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4541" w:rsidR="00A168B2" w:rsidP="00A168B2" w:rsidRDefault="00A168B2" w14:paraId="4020779E" w14:textId="4C4D26D1">
      <w:pPr>
        <w:suppressAutoHyphens/>
        <w:rPr>
          <w:b/>
          <w:bCs/>
          <w:color w:val="000000"/>
        </w:rPr>
      </w:pPr>
      <w:r w:rsidRPr="00813CDA">
        <w:rPr>
          <w:color w:val="000000"/>
        </w:rPr>
        <w:t>ALJ/BG5/</w:t>
      </w:r>
      <w:proofErr w:type="spellStart"/>
      <w:r w:rsidRPr="00813CDA">
        <w:rPr>
          <w:color w:val="000000"/>
        </w:rPr>
        <w:t>smt</w:t>
      </w:r>
      <w:proofErr w:type="spellEnd"/>
      <w:r w:rsidRPr="00813CDA">
        <w:rPr>
          <w:color w:val="000000"/>
        </w:rPr>
        <w:t xml:space="preserve">  </w:t>
      </w:r>
      <w:r w:rsidRPr="00813CDA">
        <w:rPr>
          <w:color w:val="000000"/>
        </w:rPr>
        <w:tab/>
      </w:r>
      <w:r w:rsidRPr="00813CDA">
        <w:rPr>
          <w:color w:val="000000"/>
        </w:rPr>
        <w:tab/>
      </w:r>
      <w:r w:rsidRPr="00813CDA">
        <w:rPr>
          <w:color w:val="000000"/>
        </w:rPr>
        <w:tab/>
      </w:r>
      <w:r w:rsidRPr="00D12C0F">
        <w:rPr>
          <w:b/>
          <w:bCs/>
          <w:color w:val="000000"/>
        </w:rPr>
        <w:t>PROPOSED DECISION</w:t>
      </w:r>
      <w:r>
        <w:rPr>
          <w:color w:val="000000"/>
        </w:rPr>
        <w:tab/>
      </w:r>
      <w:r>
        <w:rPr>
          <w:color w:val="000000"/>
        </w:rPr>
        <w:tab/>
      </w:r>
      <w:r w:rsidRPr="008C4541">
        <w:rPr>
          <w:b/>
          <w:bCs/>
          <w:color w:val="000000"/>
        </w:rPr>
        <w:t>Agenda ID #</w:t>
      </w:r>
      <w:r w:rsidRPr="008C4541" w:rsidR="008C4541">
        <w:rPr>
          <w:b/>
          <w:bCs/>
          <w:color w:val="000000"/>
        </w:rPr>
        <w:t>24328</w:t>
      </w:r>
    </w:p>
    <w:p w:rsidRPr="008C4541" w:rsidR="00A168B2" w:rsidP="00A168B2" w:rsidRDefault="00A168B2" w14:paraId="3899B25A" w14:textId="77777777">
      <w:pPr>
        <w:suppressAutoHyphens/>
        <w:rPr>
          <w:b/>
          <w:bCs/>
          <w:color w:val="000000"/>
        </w:rPr>
      </w:pPr>
      <w:r w:rsidRPr="008C4541">
        <w:rPr>
          <w:b/>
          <w:bCs/>
          <w:color w:val="000000"/>
        </w:rPr>
        <w:tab/>
      </w:r>
      <w:r w:rsidRPr="008C4541">
        <w:rPr>
          <w:b/>
          <w:bCs/>
          <w:color w:val="000000"/>
        </w:rPr>
        <w:tab/>
      </w:r>
      <w:r w:rsidRPr="008C4541">
        <w:rPr>
          <w:b/>
          <w:bCs/>
          <w:color w:val="000000"/>
        </w:rPr>
        <w:tab/>
      </w:r>
      <w:r w:rsidRPr="008C4541">
        <w:rPr>
          <w:b/>
          <w:bCs/>
          <w:color w:val="000000"/>
        </w:rPr>
        <w:tab/>
      </w:r>
      <w:r w:rsidRPr="008C4541">
        <w:rPr>
          <w:b/>
          <w:bCs/>
          <w:color w:val="000000"/>
        </w:rPr>
        <w:tab/>
      </w:r>
      <w:r w:rsidRPr="008C4541">
        <w:rPr>
          <w:b/>
          <w:bCs/>
          <w:color w:val="000000"/>
        </w:rPr>
        <w:tab/>
      </w:r>
      <w:r w:rsidRPr="008C4541">
        <w:rPr>
          <w:b/>
          <w:bCs/>
          <w:color w:val="000000"/>
        </w:rPr>
        <w:tab/>
      </w:r>
      <w:r w:rsidRPr="008C4541">
        <w:rPr>
          <w:b/>
          <w:bCs/>
          <w:color w:val="000000"/>
        </w:rPr>
        <w:tab/>
      </w:r>
      <w:r w:rsidRPr="008C4541">
        <w:rPr>
          <w:b/>
          <w:bCs/>
          <w:color w:val="000000"/>
        </w:rPr>
        <w:tab/>
      </w:r>
      <w:r w:rsidRPr="008C4541">
        <w:rPr>
          <w:b/>
          <w:bCs/>
          <w:color w:val="000000"/>
        </w:rPr>
        <w:tab/>
      </w:r>
      <w:r w:rsidRPr="008C4541">
        <w:rPr>
          <w:b/>
          <w:bCs/>
          <w:color w:val="000000"/>
        </w:rPr>
        <w:tab/>
      </w:r>
      <w:proofErr w:type="spellStart"/>
      <w:r w:rsidRPr="008C4541">
        <w:rPr>
          <w:b/>
          <w:bCs/>
          <w:color w:val="000000"/>
        </w:rPr>
        <w:t>Ratesetting</w:t>
      </w:r>
      <w:proofErr w:type="spellEnd"/>
    </w:p>
    <w:p w:rsidR="00AA55C2" w:rsidRDefault="00AA55C2" w14:paraId="4A651DA2" w14:textId="77777777">
      <w:pPr>
        <w:suppressAutoHyphens/>
        <w:rPr>
          <w:color w:val="000000"/>
        </w:rPr>
      </w:pPr>
    </w:p>
    <w:p w:rsidRPr="007F620E" w:rsidR="00A92D0B" w:rsidRDefault="00A92D0B" w14:paraId="5BDA9FD4" w14:textId="573C9676">
      <w:pPr>
        <w:suppressAutoHyphens/>
        <w:rPr>
          <w:color w:val="000000"/>
        </w:rPr>
      </w:pPr>
      <w:r w:rsidRPr="007F620E">
        <w:rPr>
          <w:color w:val="000000"/>
        </w:rPr>
        <w:t xml:space="preserve">Decision </w:t>
      </w:r>
      <w:r w:rsidRPr="007F620E">
        <w:rPr>
          <w:color w:val="000000"/>
          <w:u w:val="single"/>
        </w:rPr>
        <w:tab/>
      </w:r>
      <w:r w:rsidRPr="007F620E">
        <w:rPr>
          <w:color w:val="000000"/>
          <w:u w:val="single"/>
        </w:rPr>
        <w:tab/>
      </w:r>
      <w:r w:rsidRPr="007F620E">
        <w:rPr>
          <w:color w:val="000000"/>
          <w:u w:val="single"/>
        </w:rPr>
        <w:tab/>
      </w:r>
    </w:p>
    <w:p w:rsidRPr="007F620E" w:rsidR="00A92D0B" w:rsidP="00A0734B" w:rsidRDefault="00A92D0B" w14:paraId="44E03231" w14:textId="77777777">
      <w:pPr>
        <w:pStyle w:val="titlebar"/>
        <w:jc w:val="left"/>
        <w:rPr>
          <w:rFonts w:ascii="Times New Roman" w:hAnsi="Times New Roman"/>
          <w:color w:val="000000"/>
          <w:sz w:val="24"/>
          <w:szCs w:val="24"/>
        </w:rPr>
      </w:pPr>
    </w:p>
    <w:p w:rsidRPr="0057088A" w:rsidR="00A92D0B" w:rsidRDefault="00A92D0B" w14:paraId="67F2520C" w14:textId="77777777">
      <w:pPr>
        <w:pStyle w:val="titlebar"/>
        <w:rPr>
          <w:rFonts w:ascii="Arial" w:hAnsi="Arial"/>
          <w:color w:val="000000"/>
          <w:sz w:val="24"/>
          <w:szCs w:val="24"/>
        </w:rPr>
      </w:pPr>
      <w:r w:rsidRPr="0057088A">
        <w:rPr>
          <w:rFonts w:ascii="Arial" w:hAnsi="Arial"/>
          <w:color w:val="000000"/>
          <w:sz w:val="24"/>
          <w:szCs w:val="24"/>
        </w:rPr>
        <w:t>BEFORE THE PUBLIC UTILITIES COMMISSION OF THE STATE OF CALIFORNIA</w:t>
      </w:r>
    </w:p>
    <w:p w:rsidRPr="007F620E" w:rsidR="00A92D0B" w:rsidRDefault="00A92D0B" w14:paraId="564284CD" w14:textId="77777777">
      <w:pPr>
        <w:suppressAutoHyphens/>
        <w:rPr>
          <w:color w:val="000000"/>
        </w:rPr>
      </w:pPr>
    </w:p>
    <w:tbl>
      <w:tblPr>
        <w:tblW w:w="9828" w:type="dxa"/>
        <w:tblBorders>
          <w:bottom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4860"/>
        <w:gridCol w:w="4968"/>
      </w:tblGrid>
      <w:tr w:rsidRPr="007F620E" w:rsidR="00A92D0B" w:rsidTr="00A0734B" w14:paraId="3942D7B4" w14:textId="77777777">
        <w:tc>
          <w:tcPr>
            <w:tcW w:w="4860" w:type="dxa"/>
          </w:tcPr>
          <w:p w:rsidR="00A92D0B" w:rsidRDefault="005F63E8" w14:paraId="09C5B832" w14:textId="77777777">
            <w:r w:rsidRPr="005F63E8">
              <w:t>Application of Pacific Gas and Electric Company for Authority to Establish Its Authorized Cost of Capital for Utility Operations for 2023 and to Reset the Cost of Capital Adjustment Mechanism (U39M).</w:t>
            </w:r>
          </w:p>
          <w:p w:rsidRPr="008A3098" w:rsidR="00A168B2" w:rsidRDefault="00A168B2" w14:paraId="47850BD9" w14:textId="6ABCEF11">
            <w:pPr>
              <w:rPr>
                <w:b/>
                <w:bCs/>
                <w:color w:val="000000"/>
              </w:rPr>
            </w:pPr>
          </w:p>
        </w:tc>
        <w:tc>
          <w:tcPr>
            <w:tcW w:w="4968" w:type="dxa"/>
            <w:tcBorders>
              <w:top w:val="nil"/>
              <w:bottom w:val="nil"/>
            </w:tcBorders>
          </w:tcPr>
          <w:p w:rsidR="008A3098" w:rsidP="008A3098" w:rsidRDefault="008A3098" w14:paraId="0625C741" w14:textId="77777777">
            <w:pPr>
              <w:jc w:val="center"/>
            </w:pPr>
          </w:p>
          <w:p w:rsidRPr="00190784" w:rsidR="008A3098" w:rsidP="008A3098" w:rsidRDefault="008A3098" w14:paraId="462E36A4" w14:textId="2F1CCA18">
            <w:pPr>
              <w:jc w:val="center"/>
            </w:pPr>
            <w:r w:rsidRPr="00190784">
              <w:t xml:space="preserve">Application </w:t>
            </w:r>
            <w:r w:rsidR="005F63E8">
              <w:t>22-04-008</w:t>
            </w:r>
          </w:p>
          <w:p w:rsidRPr="008A3098" w:rsidR="00A92D0B" w:rsidP="008A3098" w:rsidRDefault="008A3098" w14:paraId="7EC7277D" w14:textId="7BA70A8A">
            <w:pPr>
              <w:tabs>
                <w:tab w:val="left" w:pos="1440"/>
                <w:tab w:val="left" w:pos="3600"/>
              </w:tabs>
              <w:jc w:val="center"/>
              <w:rPr>
                <w:b/>
                <w:bCs/>
                <w:color w:val="000000"/>
              </w:rPr>
            </w:pPr>
            <w:r w:rsidRPr="00190784">
              <w:t xml:space="preserve">(Filed </w:t>
            </w:r>
            <w:r w:rsidR="005F63E8">
              <w:t>April 20</w:t>
            </w:r>
            <w:r w:rsidRPr="00190784">
              <w:t>, 202</w:t>
            </w:r>
            <w:r w:rsidR="005F63E8">
              <w:t>2</w:t>
            </w:r>
            <w:r w:rsidRPr="00190784">
              <w:t>)</w:t>
            </w:r>
          </w:p>
        </w:tc>
      </w:tr>
      <w:tr w:rsidRPr="007F620E" w:rsidR="008A3098" w:rsidTr="00A0734B" w14:paraId="2C4D0554" w14:textId="77777777">
        <w:tc>
          <w:tcPr>
            <w:tcW w:w="4860" w:type="dxa"/>
          </w:tcPr>
          <w:p w:rsidR="008A3098" w:rsidRDefault="008A3098" w14:paraId="787785AE" w14:textId="77777777"/>
          <w:p w:rsidR="008A3098" w:rsidRDefault="008A3098" w14:paraId="6405ED1B" w14:textId="6D7A017A">
            <w:r w:rsidRPr="00190784">
              <w:t>And Related Matters.</w:t>
            </w:r>
          </w:p>
          <w:p w:rsidRPr="00190784" w:rsidR="008A3098" w:rsidRDefault="008A3098" w14:paraId="696E0530" w14:textId="3B771FA6"/>
        </w:tc>
        <w:tc>
          <w:tcPr>
            <w:tcW w:w="4968" w:type="dxa"/>
            <w:tcBorders>
              <w:top w:val="nil"/>
              <w:bottom w:val="nil"/>
            </w:tcBorders>
          </w:tcPr>
          <w:p w:rsidRPr="00190784" w:rsidR="008A3098" w:rsidP="008A3098" w:rsidRDefault="008A3098" w14:paraId="21D242C8" w14:textId="076CE1C6">
            <w:pPr>
              <w:jc w:val="center"/>
            </w:pPr>
            <w:r w:rsidRPr="00190784">
              <w:t>Application 2</w:t>
            </w:r>
            <w:r w:rsidR="005F63E8">
              <w:t>2-04-009</w:t>
            </w:r>
          </w:p>
          <w:p w:rsidR="008A3098" w:rsidP="008A3098" w:rsidRDefault="008A3098" w14:paraId="281ECA8F" w14:textId="77777777">
            <w:pPr>
              <w:jc w:val="center"/>
            </w:pPr>
            <w:r w:rsidRPr="00190784">
              <w:t xml:space="preserve"> Application </w:t>
            </w:r>
            <w:r w:rsidR="005F63E8">
              <w:t>22-04-011</w:t>
            </w:r>
          </w:p>
          <w:p w:rsidR="005F63E8" w:rsidP="008A3098" w:rsidRDefault="005F63E8" w14:paraId="3FD51B02" w14:textId="77777777">
            <w:pPr>
              <w:jc w:val="center"/>
            </w:pPr>
            <w:r>
              <w:t>Application 22-04-012</w:t>
            </w:r>
          </w:p>
          <w:p w:rsidRPr="00190784" w:rsidR="005F63E8" w:rsidP="008A3098" w:rsidRDefault="005F63E8" w14:paraId="3CC9FF1E" w14:textId="1B9BB756">
            <w:pPr>
              <w:jc w:val="center"/>
            </w:pPr>
          </w:p>
        </w:tc>
      </w:tr>
    </w:tbl>
    <w:p w:rsidRPr="007F620E" w:rsidR="00FC72B7" w:rsidRDefault="00FC72B7" w14:paraId="5459E071" w14:textId="77777777">
      <w:pPr>
        <w:jc w:val="center"/>
        <w:rPr>
          <w:b/>
          <w:color w:val="000000"/>
        </w:rPr>
      </w:pPr>
    </w:p>
    <w:p w:rsidRPr="00691528" w:rsidR="00374FD1" w:rsidP="009E5FBF" w:rsidRDefault="00CF6BBE" w14:paraId="7DD45571" w14:textId="5B97C16A">
      <w:pPr>
        <w:jc w:val="center"/>
        <w:rPr>
          <w:b/>
          <w:shd w:val="clear" w:color="auto" w:fill="CCFFCC"/>
        </w:rPr>
      </w:pPr>
      <w:r w:rsidRPr="00CF6BBE">
        <w:rPr>
          <w:b/>
        </w:rPr>
        <w:t xml:space="preserve">DECISION GRANTING COMPENSATION TO </w:t>
      </w:r>
      <w:r w:rsidRPr="00100142" w:rsidR="00163931">
        <w:rPr>
          <w:b/>
        </w:rPr>
        <w:t>UTILITY CONSUMERS’ ACTION NETWORK</w:t>
      </w:r>
      <w:r w:rsidR="009E5FBF">
        <w:rPr>
          <w:b/>
        </w:rPr>
        <w:t xml:space="preserve"> </w:t>
      </w:r>
      <w:r w:rsidRPr="00F07D1A" w:rsidR="00F07D1A">
        <w:rPr>
          <w:b/>
        </w:rPr>
        <w:t xml:space="preserve">FOR SUBSTANTIAL CONTRIBUTION TO DECISION </w:t>
      </w:r>
      <w:r w:rsidR="00F07D1A">
        <w:rPr>
          <w:b/>
        </w:rPr>
        <w:t>24-10-008</w:t>
      </w:r>
    </w:p>
    <w:p w:rsidRPr="007F620E" w:rsidR="00A92D0B" w:rsidRDefault="00A92D0B" w14:paraId="4BEAFF75" w14:textId="77777777">
      <w:pPr>
        <w:suppressAutoHyphens/>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975"/>
        <w:gridCol w:w="5385"/>
      </w:tblGrid>
      <w:tr w:rsidRPr="007F620E" w:rsidR="00A92D0B" w:rsidTr="00100142" w14:paraId="0FE98F62" w14:textId="77777777">
        <w:tc>
          <w:tcPr>
            <w:tcW w:w="3975" w:type="dxa"/>
          </w:tcPr>
          <w:p w:rsidRPr="00100142" w:rsidR="00A92D0B" w:rsidP="00C47A2B" w:rsidRDefault="005A63D4" w14:paraId="11570D4A" w14:textId="59AACA06">
            <w:pPr>
              <w:tabs>
                <w:tab w:val="left" w:pos="1620"/>
                <w:tab w:val="right" w:pos="4500"/>
              </w:tabs>
            </w:pPr>
            <w:r w:rsidRPr="00100142">
              <w:rPr>
                <w:b/>
                <w:bCs/>
              </w:rPr>
              <w:t>Intervenor</w:t>
            </w:r>
            <w:r w:rsidRPr="00100142" w:rsidR="00F63C29">
              <w:rPr>
                <w:b/>
                <w:bCs/>
              </w:rPr>
              <w:t>:</w:t>
            </w:r>
            <w:r w:rsidRPr="00100142" w:rsidR="00691528">
              <w:t xml:space="preserve"> </w:t>
            </w:r>
            <w:r w:rsidRPr="00100142" w:rsidR="008A3098">
              <w:t>Utility Consumers’ Action Network</w:t>
            </w:r>
          </w:p>
        </w:tc>
        <w:tc>
          <w:tcPr>
            <w:tcW w:w="5385" w:type="dxa"/>
          </w:tcPr>
          <w:p w:rsidRPr="00BC0D31" w:rsidR="00A92D0B" w:rsidP="00C47A2B" w:rsidRDefault="00A92D0B" w14:paraId="53A584EE" w14:textId="534CAEF6">
            <w:pPr>
              <w:tabs>
                <w:tab w:val="left" w:pos="1872"/>
                <w:tab w:val="right" w:pos="3672"/>
              </w:tabs>
              <w:rPr>
                <w:b/>
                <w:color w:val="000000"/>
              </w:rPr>
            </w:pPr>
            <w:r w:rsidRPr="00BC0D31">
              <w:rPr>
                <w:b/>
                <w:color w:val="000000"/>
              </w:rPr>
              <w:t>For contribution to D</w:t>
            </w:r>
            <w:r w:rsidRPr="00BC0D31" w:rsidR="00DE3A5D">
              <w:rPr>
                <w:b/>
                <w:color w:val="000000"/>
              </w:rPr>
              <w:t xml:space="preserve">ecision </w:t>
            </w:r>
            <w:r w:rsidRPr="00BC0D31" w:rsidR="001D007E">
              <w:rPr>
                <w:b/>
                <w:color w:val="000000"/>
              </w:rPr>
              <w:t>24-10-008</w:t>
            </w:r>
          </w:p>
        </w:tc>
      </w:tr>
      <w:tr w:rsidRPr="007F620E" w:rsidR="00A92D0B" w:rsidTr="00100142" w14:paraId="47003B8E" w14:textId="77777777">
        <w:tc>
          <w:tcPr>
            <w:tcW w:w="3975" w:type="dxa"/>
          </w:tcPr>
          <w:p w:rsidRPr="00BC0D31" w:rsidR="00A92D0B" w:rsidP="00C47A2B" w:rsidRDefault="00A92D0B" w14:paraId="0E2E4BD1" w14:textId="0B7B62A9">
            <w:pPr>
              <w:tabs>
                <w:tab w:val="left" w:pos="1620"/>
                <w:tab w:val="right" w:pos="4500"/>
              </w:tabs>
              <w:rPr>
                <w:b/>
                <w:color w:val="000000"/>
                <w:u w:val="single"/>
              </w:rPr>
            </w:pPr>
            <w:r w:rsidRPr="00BC0D31">
              <w:rPr>
                <w:b/>
                <w:color w:val="000000"/>
              </w:rPr>
              <w:t>Claimed:</w:t>
            </w:r>
            <w:r w:rsidRPr="00BC0D31" w:rsidR="002D21CA">
              <w:rPr>
                <w:b/>
                <w:color w:val="000000"/>
              </w:rPr>
              <w:t xml:space="preserve"> </w:t>
            </w:r>
            <w:r w:rsidRPr="00100142" w:rsidR="00FC72B7">
              <w:rPr>
                <w:bCs/>
                <w:color w:val="000000"/>
              </w:rPr>
              <w:t>$</w:t>
            </w:r>
            <w:r w:rsidRPr="00100142" w:rsidR="00AD34EA">
              <w:rPr>
                <w:bCs/>
                <w:color w:val="000000"/>
              </w:rPr>
              <w:t>122,333.23</w:t>
            </w:r>
          </w:p>
        </w:tc>
        <w:tc>
          <w:tcPr>
            <w:tcW w:w="5385" w:type="dxa"/>
            <w:tcBorders>
              <w:bottom w:val="single" w:color="auto" w:sz="4" w:space="0"/>
            </w:tcBorders>
          </w:tcPr>
          <w:p w:rsidRPr="00BC0D31" w:rsidR="00A92D0B" w:rsidP="00C47A2B" w:rsidRDefault="00A92D0B" w14:paraId="211F40A8" w14:textId="25461851">
            <w:pPr>
              <w:tabs>
                <w:tab w:val="left" w:pos="1872"/>
                <w:tab w:val="right" w:pos="3672"/>
              </w:tabs>
              <w:rPr>
                <w:b/>
                <w:color w:val="000000"/>
                <w:u w:val="single"/>
              </w:rPr>
            </w:pPr>
            <w:r w:rsidRPr="00C414F0">
              <w:rPr>
                <w:b/>
                <w:color w:val="000000"/>
              </w:rPr>
              <w:t>Awarded:</w:t>
            </w:r>
            <w:r w:rsidRPr="00C414F0" w:rsidR="00FC72B7">
              <w:rPr>
                <w:b/>
                <w:color w:val="000000"/>
              </w:rPr>
              <w:t xml:space="preserve"> </w:t>
            </w:r>
            <w:r w:rsidRPr="00C414F0" w:rsidR="00FC72B7">
              <w:rPr>
                <w:bCs/>
                <w:color w:val="000000"/>
              </w:rPr>
              <w:t>$</w:t>
            </w:r>
            <w:r w:rsidR="00955BE1">
              <w:rPr>
                <w:bCs/>
                <w:color w:val="000000"/>
              </w:rPr>
              <w:t xml:space="preserve">104,866.23 </w:t>
            </w:r>
          </w:p>
        </w:tc>
      </w:tr>
      <w:tr w:rsidRPr="007F620E" w:rsidR="00A92D0B" w:rsidTr="00100142" w14:paraId="5C56877D" w14:textId="77777777">
        <w:tc>
          <w:tcPr>
            <w:tcW w:w="3975" w:type="dxa"/>
          </w:tcPr>
          <w:p w:rsidRPr="00BC0D31" w:rsidR="00A92D0B" w:rsidP="00C47A2B" w:rsidRDefault="00A92D0B" w14:paraId="6EF99E36" w14:textId="2FF653D0">
            <w:pPr>
              <w:tabs>
                <w:tab w:val="left" w:pos="3060"/>
                <w:tab w:val="right" w:pos="4500"/>
              </w:tabs>
              <w:rPr>
                <w:color w:val="000000"/>
                <w:u w:val="single"/>
              </w:rPr>
            </w:pPr>
            <w:r w:rsidRPr="00BC0D31">
              <w:rPr>
                <w:b/>
                <w:color w:val="000000"/>
              </w:rPr>
              <w:t xml:space="preserve">Assigned Commissioner: </w:t>
            </w:r>
            <w:r w:rsidR="00306761">
              <w:rPr>
                <w:bCs/>
                <w:color w:val="000000"/>
              </w:rPr>
              <w:t>John</w:t>
            </w:r>
            <w:r w:rsidRPr="00100142" w:rsidR="00306761">
              <w:rPr>
                <w:bCs/>
                <w:color w:val="000000"/>
              </w:rPr>
              <w:t xml:space="preserve"> </w:t>
            </w:r>
            <w:r w:rsidRPr="00100142" w:rsidR="008A3098">
              <w:rPr>
                <w:bCs/>
                <w:color w:val="000000"/>
              </w:rPr>
              <w:t>Reynolds</w:t>
            </w:r>
            <w:r w:rsidR="00306761">
              <w:rPr>
                <w:rStyle w:val="FootnoteReference"/>
                <w:bCs/>
                <w:color w:val="000000"/>
              </w:rPr>
              <w:footnoteReference w:id="1"/>
            </w:r>
          </w:p>
        </w:tc>
        <w:tc>
          <w:tcPr>
            <w:tcW w:w="5385" w:type="dxa"/>
          </w:tcPr>
          <w:p w:rsidRPr="00BC0D31" w:rsidR="00A92D0B" w:rsidP="00C47A2B" w:rsidRDefault="00A92D0B" w14:paraId="79375F78" w14:textId="571DFA56">
            <w:pPr>
              <w:tabs>
                <w:tab w:val="left" w:pos="1872"/>
                <w:tab w:val="right" w:pos="3672"/>
              </w:tabs>
              <w:rPr>
                <w:color w:val="000000"/>
                <w:u w:val="single"/>
              </w:rPr>
            </w:pPr>
            <w:r w:rsidRPr="00BC0D31">
              <w:rPr>
                <w:b/>
                <w:color w:val="000000"/>
              </w:rPr>
              <w:t>Assigned ALJ:</w:t>
            </w:r>
            <w:r w:rsidRPr="00BC0D31" w:rsidR="00F63C29">
              <w:rPr>
                <w:b/>
                <w:color w:val="000000"/>
              </w:rPr>
              <w:t xml:space="preserve"> </w:t>
            </w:r>
            <w:r w:rsidR="00306761">
              <w:rPr>
                <w:bCs/>
                <w:color w:val="000000"/>
              </w:rPr>
              <w:t>Brandon Gerstle</w:t>
            </w:r>
            <w:r w:rsidR="00306761">
              <w:rPr>
                <w:rStyle w:val="FootnoteReference"/>
                <w:bCs/>
                <w:color w:val="000000"/>
              </w:rPr>
              <w:footnoteReference w:id="2"/>
            </w:r>
          </w:p>
        </w:tc>
      </w:tr>
    </w:tbl>
    <w:p w:rsidR="00691528" w:rsidP="00055843" w:rsidRDefault="00A92D0B" w14:paraId="3CEED871" w14:textId="3194DFD8">
      <w:pPr>
        <w:keepNext/>
        <w:spacing w:before="480"/>
        <w:jc w:val="center"/>
        <w:rPr>
          <w:b/>
          <w:color w:val="000000"/>
        </w:rPr>
      </w:pPr>
      <w:r w:rsidRPr="007F620E">
        <w:rPr>
          <w:b/>
          <w:color w:val="000000"/>
        </w:rPr>
        <w:t>PART I</w:t>
      </w:r>
      <w:r w:rsidRPr="007F620E" w:rsidR="00F155C2">
        <w:rPr>
          <w:b/>
          <w:color w:val="000000"/>
        </w:rPr>
        <w:t>:</w:t>
      </w:r>
      <w:r w:rsidR="00F155C2">
        <w:rPr>
          <w:b/>
          <w:color w:val="000000"/>
        </w:rPr>
        <w:t xml:space="preserve"> PROCEDURAL</w:t>
      </w:r>
      <w:r w:rsidRPr="007F620E">
        <w:rPr>
          <w:b/>
          <w:color w:val="000000"/>
        </w:rPr>
        <w:t xml:space="preserve"> ISSUES</w:t>
      </w:r>
    </w:p>
    <w:p w:rsidRPr="007F620E" w:rsidR="00A92D0B" w:rsidP="00055843" w:rsidRDefault="00A92D0B" w14:paraId="37AA25BD" w14:textId="77777777">
      <w:pPr>
        <w:keepNext/>
        <w:rPr>
          <w:color w:val="000000"/>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6120"/>
      </w:tblGrid>
      <w:tr w:rsidRPr="007F620E" w:rsidR="00A92D0B" w:rsidTr="00100142" w14:paraId="3C5C25ED" w14:textId="77777777">
        <w:tc>
          <w:tcPr>
            <w:tcW w:w="3708" w:type="dxa"/>
          </w:tcPr>
          <w:p w:rsidRPr="007F620E" w:rsidR="00A92D0B" w:rsidP="00915118" w:rsidRDefault="00A92D0B" w14:paraId="1576A0A6" w14:textId="77777777">
            <w:pPr>
              <w:rPr>
                <w:b/>
                <w:color w:val="000000"/>
              </w:rPr>
            </w:pPr>
            <w:r w:rsidRPr="007F620E">
              <w:rPr>
                <w:b/>
                <w:color w:val="000000"/>
              </w:rPr>
              <w:t xml:space="preserve">A.  Brief </w:t>
            </w:r>
            <w:r w:rsidRPr="007F620E" w:rsidR="00A319DE">
              <w:rPr>
                <w:b/>
                <w:color w:val="000000"/>
              </w:rPr>
              <w:t>d</w:t>
            </w:r>
            <w:r w:rsidRPr="007F620E">
              <w:rPr>
                <w:b/>
                <w:color w:val="000000"/>
              </w:rPr>
              <w:t xml:space="preserve">escription of Decision: </w:t>
            </w:r>
          </w:p>
        </w:tc>
        <w:tc>
          <w:tcPr>
            <w:tcW w:w="6120" w:type="dxa"/>
          </w:tcPr>
          <w:p w:rsidR="00F62AEB" w:rsidP="00F62AEB" w:rsidRDefault="00F62AEB" w14:paraId="2399D296" w14:textId="74C96B16">
            <w:pPr>
              <w:rPr>
                <w:color w:val="000000"/>
              </w:rPr>
            </w:pPr>
            <w:r w:rsidRPr="00F62AEB">
              <w:rPr>
                <w:color w:val="000000"/>
              </w:rPr>
              <w:t>Applicants</w:t>
            </w:r>
            <w:r>
              <w:rPr>
                <w:color w:val="000000"/>
              </w:rPr>
              <w:t>, the four Investor-Owned Utilities,</w:t>
            </w:r>
            <w:r w:rsidRPr="00F62AEB">
              <w:rPr>
                <w:color w:val="000000"/>
              </w:rPr>
              <w:t xml:space="preserve"> filed their </w:t>
            </w:r>
            <w:r w:rsidR="00EC774E">
              <w:rPr>
                <w:color w:val="000000"/>
              </w:rPr>
              <w:t xml:space="preserve">(Test Year) </w:t>
            </w:r>
            <w:r w:rsidRPr="00F62AEB">
              <w:rPr>
                <w:color w:val="000000"/>
              </w:rPr>
              <w:t>2023 cost of capital</w:t>
            </w:r>
            <w:r>
              <w:rPr>
                <w:color w:val="000000"/>
              </w:rPr>
              <w:t xml:space="preserve"> </w:t>
            </w:r>
            <w:r w:rsidRPr="00F62AEB">
              <w:rPr>
                <w:color w:val="000000"/>
              </w:rPr>
              <w:t>applications with the Commission on April 20, 2022. These applications were</w:t>
            </w:r>
            <w:r>
              <w:rPr>
                <w:color w:val="000000"/>
              </w:rPr>
              <w:t xml:space="preserve"> </w:t>
            </w:r>
            <w:r w:rsidRPr="00F62AEB">
              <w:rPr>
                <w:color w:val="000000"/>
              </w:rPr>
              <w:t xml:space="preserve">consolidated, </w:t>
            </w:r>
            <w:r w:rsidR="003A2F43">
              <w:rPr>
                <w:color w:val="000000"/>
              </w:rPr>
              <w:t>with</w:t>
            </w:r>
            <w:r>
              <w:rPr>
                <w:color w:val="000000"/>
              </w:rPr>
              <w:t xml:space="preserve"> the </w:t>
            </w:r>
            <w:r w:rsidRPr="00F62AEB">
              <w:rPr>
                <w:color w:val="000000"/>
              </w:rPr>
              <w:t>Assigned Commissioner’s Scoping Memo Ruling</w:t>
            </w:r>
            <w:r w:rsidR="003A2F43">
              <w:rPr>
                <w:color w:val="000000"/>
              </w:rPr>
              <w:t xml:space="preserve"> setting forth </w:t>
            </w:r>
            <w:proofErr w:type="gramStart"/>
            <w:r w:rsidR="003A2F43">
              <w:rPr>
                <w:color w:val="000000"/>
              </w:rPr>
              <w:t>a number of</w:t>
            </w:r>
            <w:proofErr w:type="gramEnd"/>
            <w:r w:rsidR="003A2F43">
              <w:rPr>
                <w:color w:val="000000"/>
              </w:rPr>
              <w:t xml:space="preserve"> </w:t>
            </w:r>
            <w:r w:rsidRPr="00F62AEB">
              <w:rPr>
                <w:color w:val="000000"/>
              </w:rPr>
              <w:t>policy</w:t>
            </w:r>
            <w:r w:rsidR="00D3294F">
              <w:rPr>
                <w:color w:val="000000"/>
              </w:rPr>
              <w:t xml:space="preserve"> issues for Parties to address in </w:t>
            </w:r>
            <w:r w:rsidRPr="00F62AEB">
              <w:rPr>
                <w:color w:val="000000"/>
              </w:rPr>
              <w:t xml:space="preserve">Phase 2 </w:t>
            </w:r>
            <w:r w:rsidR="00D3294F">
              <w:rPr>
                <w:color w:val="000000"/>
              </w:rPr>
              <w:t>(</w:t>
            </w:r>
            <w:r w:rsidRPr="00F62AEB">
              <w:rPr>
                <w:color w:val="000000"/>
              </w:rPr>
              <w:t>upon conclusion of</w:t>
            </w:r>
            <w:r w:rsidR="008C4E81">
              <w:rPr>
                <w:color w:val="000000"/>
              </w:rPr>
              <w:t xml:space="preserve"> </w:t>
            </w:r>
            <w:r w:rsidRPr="00F62AEB">
              <w:rPr>
                <w:color w:val="000000"/>
              </w:rPr>
              <w:t>Phase 1</w:t>
            </w:r>
            <w:r w:rsidR="00D3294F">
              <w:rPr>
                <w:color w:val="000000"/>
              </w:rPr>
              <w:t>)</w:t>
            </w:r>
            <w:r w:rsidRPr="00F62AEB">
              <w:rPr>
                <w:color w:val="000000"/>
              </w:rPr>
              <w:t>. Phase 1 issues were resolved in Decision (D.) 22-12-031.</w:t>
            </w:r>
          </w:p>
          <w:p w:rsidR="00F62AEB" w:rsidP="00F62AEB" w:rsidRDefault="00F62AEB" w14:paraId="63A7BD8C" w14:textId="77777777">
            <w:pPr>
              <w:rPr>
                <w:color w:val="000000"/>
              </w:rPr>
            </w:pPr>
          </w:p>
          <w:p w:rsidR="00F65B99" w:rsidP="00A13A0E" w:rsidRDefault="005002C5" w14:paraId="3325E934" w14:textId="2BA4BF43">
            <w:pPr>
              <w:rPr>
                <w:color w:val="000000"/>
              </w:rPr>
            </w:pPr>
            <w:r>
              <w:rPr>
                <w:color w:val="000000"/>
              </w:rPr>
              <w:t>In Phase</w:t>
            </w:r>
            <w:r w:rsidR="00EC774E">
              <w:rPr>
                <w:color w:val="000000"/>
              </w:rPr>
              <w:t xml:space="preserve"> 2</w:t>
            </w:r>
            <w:r>
              <w:rPr>
                <w:color w:val="000000"/>
              </w:rPr>
              <w:t>, the Scoping Memo</w:t>
            </w:r>
            <w:r w:rsidR="00104918">
              <w:rPr>
                <w:color w:val="000000"/>
              </w:rPr>
              <w:t xml:space="preserve"> requested the Parties address</w:t>
            </w:r>
            <w:r w:rsidR="0036181B">
              <w:rPr>
                <w:color w:val="000000"/>
              </w:rPr>
              <w:t xml:space="preserve"> up to 10 issues (and sub-issues) </w:t>
            </w:r>
            <w:r w:rsidR="00A13A0E">
              <w:rPr>
                <w:color w:val="000000"/>
              </w:rPr>
              <w:t>such as “m</w:t>
            </w:r>
            <w:r w:rsidRPr="00996645" w:rsidR="00996645">
              <w:rPr>
                <w:color w:val="000000"/>
              </w:rPr>
              <w:t>odifications to the Cost of Capital Mechanism (CCM)</w:t>
            </w:r>
            <w:r w:rsidR="00A13A0E">
              <w:rPr>
                <w:color w:val="000000"/>
              </w:rPr>
              <w:t>”</w:t>
            </w:r>
            <w:r w:rsidR="00996645">
              <w:rPr>
                <w:color w:val="000000"/>
              </w:rPr>
              <w:t xml:space="preserve"> as well as “</w:t>
            </w:r>
            <w:r w:rsidRPr="00996645" w:rsidR="00996645">
              <w:rPr>
                <w:color w:val="000000"/>
              </w:rPr>
              <w:t xml:space="preserve">other policy </w:t>
            </w:r>
            <w:r w:rsidRPr="00996645" w:rsidR="00996645">
              <w:rPr>
                <w:color w:val="000000"/>
              </w:rPr>
              <w:lastRenderedPageBreak/>
              <w:t>modifications</w:t>
            </w:r>
            <w:r w:rsidR="00996645">
              <w:rPr>
                <w:color w:val="000000"/>
              </w:rPr>
              <w:t xml:space="preserve">” that </w:t>
            </w:r>
            <w:r w:rsidR="00A13A0E">
              <w:rPr>
                <w:color w:val="000000"/>
              </w:rPr>
              <w:t>included a</w:t>
            </w:r>
            <w:r w:rsidRPr="00A13A0E" w:rsidR="00A13A0E">
              <w:rPr>
                <w:color w:val="000000"/>
              </w:rPr>
              <w:t>ppropriate methodologies for calculating ROE</w:t>
            </w:r>
            <w:r w:rsidR="00A13A0E">
              <w:rPr>
                <w:color w:val="000000"/>
              </w:rPr>
              <w:t>, m</w:t>
            </w:r>
            <w:r w:rsidRPr="00A13A0E" w:rsidR="00A13A0E">
              <w:rPr>
                <w:color w:val="000000"/>
              </w:rPr>
              <w:t>easures to prevent circularity, self-reference, and</w:t>
            </w:r>
            <w:r w:rsidR="002A2D35">
              <w:rPr>
                <w:color w:val="000000"/>
              </w:rPr>
              <w:t xml:space="preserve"> </w:t>
            </w:r>
            <w:r w:rsidRPr="00A13A0E" w:rsidR="00A13A0E">
              <w:rPr>
                <w:color w:val="000000"/>
              </w:rPr>
              <w:t>status quo biases.</w:t>
            </w:r>
            <w:r w:rsidR="002A2D35">
              <w:rPr>
                <w:color w:val="000000"/>
              </w:rPr>
              <w:t xml:space="preserve"> Additionally, “a</w:t>
            </w:r>
            <w:r w:rsidRPr="00A13A0E" w:rsidR="00A13A0E">
              <w:rPr>
                <w:color w:val="000000"/>
              </w:rPr>
              <w:t>ffordability considerations</w:t>
            </w:r>
            <w:r w:rsidR="002A2D35">
              <w:rPr>
                <w:color w:val="000000"/>
              </w:rPr>
              <w:t>” w</w:t>
            </w:r>
            <w:r w:rsidR="00EC774E">
              <w:rPr>
                <w:color w:val="000000"/>
              </w:rPr>
              <w:t>as</w:t>
            </w:r>
            <w:r w:rsidR="002A2D35">
              <w:rPr>
                <w:color w:val="000000"/>
              </w:rPr>
              <w:t xml:space="preserve"> also identified as </w:t>
            </w:r>
            <w:r w:rsidR="00630B6D">
              <w:rPr>
                <w:color w:val="000000"/>
              </w:rPr>
              <w:t>an issue.</w:t>
            </w:r>
            <w:r w:rsidR="00EC774E">
              <w:rPr>
                <w:color w:val="000000"/>
              </w:rPr>
              <w:t xml:space="preserve"> Other issues were identified too.</w:t>
            </w:r>
          </w:p>
          <w:p w:rsidR="00F65B99" w:rsidRDefault="00F65B99" w14:paraId="7D596D28" w14:textId="77777777">
            <w:pPr>
              <w:rPr>
                <w:color w:val="000000"/>
              </w:rPr>
            </w:pPr>
          </w:p>
          <w:p w:rsidRPr="007F620E" w:rsidR="00C02649" w:rsidP="00E304D1" w:rsidRDefault="00F62AEB" w14:paraId="67B8ECAA" w14:textId="04896B23">
            <w:pPr>
              <w:rPr>
                <w:color w:val="000000"/>
              </w:rPr>
            </w:pPr>
            <w:r>
              <w:rPr>
                <w:color w:val="000000"/>
              </w:rPr>
              <w:t xml:space="preserve">D.24-10-008 </w:t>
            </w:r>
            <w:r w:rsidR="000E1E51">
              <w:rPr>
                <w:color w:val="000000"/>
              </w:rPr>
              <w:t>resolv</w:t>
            </w:r>
            <w:r w:rsidRPr="00630B6D" w:rsidR="00630B6D">
              <w:rPr>
                <w:color w:val="000000"/>
              </w:rPr>
              <w:t>e</w:t>
            </w:r>
            <w:r w:rsidR="00630B6D">
              <w:rPr>
                <w:color w:val="000000"/>
              </w:rPr>
              <w:t>d</w:t>
            </w:r>
            <w:r w:rsidRPr="00630B6D" w:rsidR="00630B6D">
              <w:rPr>
                <w:color w:val="000000"/>
              </w:rPr>
              <w:t xml:space="preserve"> all issues in the scope of Phase 2</w:t>
            </w:r>
            <w:r w:rsidR="00630B6D">
              <w:rPr>
                <w:color w:val="000000"/>
              </w:rPr>
              <w:t xml:space="preserve">. The Decision </w:t>
            </w:r>
            <w:proofErr w:type="gramStart"/>
            <w:r w:rsidRPr="00F62AEB">
              <w:rPr>
                <w:color w:val="000000"/>
              </w:rPr>
              <w:t>modifie</w:t>
            </w:r>
            <w:r>
              <w:rPr>
                <w:color w:val="000000"/>
              </w:rPr>
              <w:t>d</w:t>
            </w:r>
            <w:proofErr w:type="gramEnd"/>
            <w:r w:rsidRPr="00F62AEB">
              <w:rPr>
                <w:color w:val="000000"/>
              </w:rPr>
              <w:t xml:space="preserve"> the Cost of Capital Mechanism that impact</w:t>
            </w:r>
            <w:r>
              <w:rPr>
                <w:color w:val="000000"/>
              </w:rPr>
              <w:t>ed</w:t>
            </w:r>
            <w:r w:rsidRPr="00F62AEB">
              <w:rPr>
                <w:color w:val="000000"/>
              </w:rPr>
              <w:t xml:space="preserve"> the</w:t>
            </w:r>
            <w:r>
              <w:rPr>
                <w:color w:val="000000"/>
              </w:rPr>
              <w:t xml:space="preserve"> </w:t>
            </w:r>
            <w:r w:rsidRPr="00F62AEB">
              <w:rPr>
                <w:color w:val="000000"/>
              </w:rPr>
              <w:t>authorized cost of capital</w:t>
            </w:r>
            <w:r>
              <w:rPr>
                <w:color w:val="000000"/>
              </w:rPr>
              <w:t xml:space="preserve">, as well as the </w:t>
            </w:r>
            <w:r w:rsidRPr="00F62AEB">
              <w:rPr>
                <w:color w:val="000000"/>
              </w:rPr>
              <w:t>returns on equity for each applicant</w:t>
            </w:r>
            <w:r>
              <w:rPr>
                <w:color w:val="000000"/>
              </w:rPr>
              <w:t>. Th</w:t>
            </w:r>
            <w:r w:rsidR="00EC774E">
              <w:rPr>
                <w:color w:val="000000"/>
              </w:rPr>
              <w:t>e</w:t>
            </w:r>
            <w:r>
              <w:rPr>
                <w:color w:val="000000"/>
              </w:rPr>
              <w:t xml:space="preserve"> Decision </w:t>
            </w:r>
            <w:r w:rsidR="00BF7D5E">
              <w:rPr>
                <w:color w:val="000000"/>
              </w:rPr>
              <w:t xml:space="preserve">did </w:t>
            </w:r>
            <w:r w:rsidRPr="00E304D1" w:rsidR="00E304D1">
              <w:rPr>
                <w:color w:val="000000"/>
              </w:rPr>
              <w:t>not adopt any other policy</w:t>
            </w:r>
            <w:r w:rsidR="00BF7D5E">
              <w:rPr>
                <w:color w:val="000000"/>
              </w:rPr>
              <w:t xml:space="preserve"> </w:t>
            </w:r>
            <w:r w:rsidRPr="00E304D1" w:rsidR="00E304D1">
              <w:rPr>
                <w:color w:val="000000"/>
              </w:rPr>
              <w:t>modifications to future cost of capital applications.</w:t>
            </w:r>
          </w:p>
        </w:tc>
      </w:tr>
    </w:tbl>
    <w:p w:rsidRPr="007F620E" w:rsidR="00A92D0B" w:rsidP="006259C7" w:rsidRDefault="005A63D4" w14:paraId="2FBF046C" w14:textId="77777777">
      <w:pPr>
        <w:keepNext/>
        <w:numPr>
          <w:ilvl w:val="0"/>
          <w:numId w:val="7"/>
        </w:numPr>
        <w:spacing w:before="240" w:after="120"/>
        <w:rPr>
          <w:b/>
          <w:color w:val="000000"/>
        </w:rPr>
      </w:pPr>
      <w:r w:rsidRPr="007F620E">
        <w:rPr>
          <w:b/>
          <w:color w:val="000000"/>
        </w:rPr>
        <w:lastRenderedPageBreak/>
        <w:t xml:space="preserve">Intervenor </w:t>
      </w:r>
      <w:r w:rsidRPr="007F620E" w:rsidR="00A92D0B">
        <w:rPr>
          <w:b/>
          <w:color w:val="000000"/>
        </w:rPr>
        <w:t xml:space="preserve">must satisfy intervenor compensation </w:t>
      </w:r>
      <w:r w:rsidRPr="007F620E" w:rsidR="00DE3A5D">
        <w:rPr>
          <w:b/>
          <w:color w:val="000000"/>
        </w:rPr>
        <w:t>requirements set forth in Pub. Util.</w:t>
      </w:r>
      <w:r w:rsidRPr="007F620E" w:rsidR="00A92D0B">
        <w:rPr>
          <w:b/>
          <w:color w:val="000000"/>
        </w:rPr>
        <w:t xml:space="preserve"> Code §§ 1801-1812</w:t>
      </w:r>
      <w:r w:rsidR="003B6A1B">
        <w:rPr>
          <w:rStyle w:val="FootnoteReference"/>
          <w:b/>
          <w:color w:val="000000"/>
        </w:rPr>
        <w:footnoteReference w:id="3"/>
      </w:r>
      <w:r w:rsidRPr="007F620E" w:rsidR="00A92D0B">
        <w:rPr>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267"/>
        <w:gridCol w:w="2276"/>
      </w:tblGrid>
      <w:tr w:rsidRPr="007F620E" w:rsidR="00A92D0B" w:rsidTr="03A7085E" w14:paraId="640CF70A" w14:textId="77777777">
        <w:trPr>
          <w:tblHeader/>
        </w:trPr>
        <w:tc>
          <w:tcPr>
            <w:tcW w:w="4817" w:type="dxa"/>
            <w:tcBorders>
              <w:bottom w:val="single" w:color="auto" w:sz="4" w:space="0"/>
            </w:tcBorders>
          </w:tcPr>
          <w:p w:rsidRPr="007F620E" w:rsidR="00A92D0B" w:rsidP="00F028C8" w:rsidRDefault="00A92D0B" w14:paraId="409E4D92" w14:textId="77777777">
            <w:pPr>
              <w:tabs>
                <w:tab w:val="left" w:pos="360"/>
              </w:tabs>
              <w:jc w:val="center"/>
              <w:rPr>
                <w:color w:val="000000"/>
              </w:rPr>
            </w:pPr>
          </w:p>
        </w:tc>
        <w:tc>
          <w:tcPr>
            <w:tcW w:w="2267" w:type="dxa"/>
            <w:tcBorders>
              <w:bottom w:val="single" w:color="auto" w:sz="4" w:space="0"/>
            </w:tcBorders>
          </w:tcPr>
          <w:p w:rsidRPr="007F620E" w:rsidR="00A92D0B" w:rsidP="00F028C8" w:rsidRDefault="005A63D4" w14:paraId="1412A3C6" w14:textId="77777777">
            <w:pPr>
              <w:tabs>
                <w:tab w:val="left" w:pos="360"/>
              </w:tabs>
              <w:jc w:val="center"/>
              <w:rPr>
                <w:b/>
                <w:color w:val="000000"/>
              </w:rPr>
            </w:pPr>
            <w:r w:rsidRPr="007F620E">
              <w:rPr>
                <w:b/>
                <w:color w:val="000000"/>
              </w:rPr>
              <w:t>Intervenor</w:t>
            </w:r>
          </w:p>
        </w:tc>
        <w:tc>
          <w:tcPr>
            <w:tcW w:w="2276" w:type="dxa"/>
            <w:tcBorders>
              <w:bottom w:val="single" w:color="auto" w:sz="4" w:space="0"/>
            </w:tcBorders>
          </w:tcPr>
          <w:p w:rsidRPr="007F620E" w:rsidR="00A92D0B" w:rsidP="00F028C8" w:rsidRDefault="00A92D0B" w14:paraId="2A218C38" w14:textId="386C9A6A">
            <w:pPr>
              <w:tabs>
                <w:tab w:val="left" w:pos="360"/>
              </w:tabs>
              <w:jc w:val="center"/>
              <w:rPr>
                <w:b/>
                <w:color w:val="000000"/>
              </w:rPr>
            </w:pPr>
            <w:r w:rsidRPr="007F620E">
              <w:rPr>
                <w:b/>
                <w:color w:val="000000"/>
              </w:rPr>
              <w:t xml:space="preserve">CPUC </w:t>
            </w:r>
            <w:r w:rsidR="0081626F">
              <w:rPr>
                <w:b/>
                <w:color w:val="000000"/>
              </w:rPr>
              <w:t>Verification</w:t>
            </w:r>
          </w:p>
        </w:tc>
      </w:tr>
      <w:tr w:rsidRPr="007F620E" w:rsidR="00A92D0B" w:rsidTr="03A7085E" w14:paraId="7D83D00D"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A92D0B" w:rsidP="00F028C8" w:rsidRDefault="00A92D0B" w14:paraId="606E2B66" w14:textId="77777777">
            <w:pPr>
              <w:keepNext/>
              <w:tabs>
                <w:tab w:val="left" w:pos="360"/>
              </w:tabs>
              <w:jc w:val="center"/>
              <w:rPr>
                <w:b/>
              </w:rPr>
            </w:pPr>
            <w:r w:rsidRPr="007F620E">
              <w:rPr>
                <w:b/>
              </w:rPr>
              <w:t>Timely filing of notice of intent to claim compensation (NOI) (§ 1804(a)):</w:t>
            </w:r>
          </w:p>
        </w:tc>
      </w:tr>
      <w:tr w:rsidRPr="007F620E" w:rsidR="00A92D0B" w:rsidTr="00100142" w14:paraId="160E284A" w14:textId="77777777">
        <w:tc>
          <w:tcPr>
            <w:tcW w:w="4817" w:type="dxa"/>
            <w:tcBorders>
              <w:top w:val="single" w:color="auto" w:sz="4" w:space="0"/>
            </w:tcBorders>
          </w:tcPr>
          <w:p w:rsidRPr="007F620E" w:rsidR="00A92D0B" w:rsidP="00F028C8" w:rsidRDefault="00A92D0B" w14:paraId="44D1876C" w14:textId="478A95F3">
            <w:pPr>
              <w:keepNext/>
              <w:tabs>
                <w:tab w:val="left" w:pos="360"/>
              </w:tabs>
              <w:ind w:left="360" w:hanging="360"/>
              <w:rPr>
                <w:color w:val="000000"/>
              </w:rPr>
            </w:pPr>
            <w:r w:rsidRPr="007F620E">
              <w:rPr>
                <w:color w:val="000000"/>
              </w:rPr>
              <w:t>1.</w:t>
            </w:r>
            <w:r w:rsidR="001E7EE2">
              <w:rPr>
                <w:color w:val="000000"/>
              </w:rPr>
              <w:tab/>
            </w:r>
            <w:r w:rsidRPr="007F620E">
              <w:rPr>
                <w:color w:val="000000"/>
              </w:rPr>
              <w:t>Date of Prehearing Conference:</w:t>
            </w:r>
          </w:p>
        </w:tc>
        <w:tc>
          <w:tcPr>
            <w:tcW w:w="2267" w:type="dxa"/>
            <w:tcBorders>
              <w:top w:val="single" w:color="auto" w:sz="4" w:space="0"/>
            </w:tcBorders>
          </w:tcPr>
          <w:p w:rsidRPr="007F620E" w:rsidR="00A92D0B" w:rsidP="00F028C8" w:rsidRDefault="00AD34EA" w14:paraId="35450816" w14:textId="1D88704B">
            <w:pPr>
              <w:keepNext/>
              <w:keepLines/>
              <w:tabs>
                <w:tab w:val="left" w:pos="360"/>
              </w:tabs>
              <w:ind w:left="360" w:hanging="360"/>
              <w:rPr>
                <w:color w:val="000000"/>
              </w:rPr>
            </w:pPr>
            <w:r>
              <w:rPr>
                <w:color w:val="000000"/>
              </w:rPr>
              <w:t xml:space="preserve">July </w:t>
            </w:r>
            <w:r w:rsidR="005F63E8">
              <w:rPr>
                <w:color w:val="000000"/>
              </w:rPr>
              <w:t>6</w:t>
            </w:r>
            <w:r>
              <w:rPr>
                <w:color w:val="000000"/>
              </w:rPr>
              <w:t xml:space="preserve">, </w:t>
            </w:r>
            <w:r w:rsidR="005F63E8">
              <w:rPr>
                <w:color w:val="000000"/>
              </w:rPr>
              <w:t>2022</w:t>
            </w:r>
          </w:p>
        </w:tc>
        <w:tc>
          <w:tcPr>
            <w:tcW w:w="2276" w:type="dxa"/>
            <w:tcBorders>
              <w:top w:val="single" w:color="auto" w:sz="4" w:space="0"/>
            </w:tcBorders>
          </w:tcPr>
          <w:p w:rsidRPr="007F620E" w:rsidR="00A92D0B" w:rsidP="00F028C8" w:rsidRDefault="00311ED5" w14:paraId="34540344" w14:textId="1F7DE8E3">
            <w:pPr>
              <w:keepNext/>
              <w:tabs>
                <w:tab w:val="left" w:pos="360"/>
              </w:tabs>
              <w:jc w:val="both"/>
              <w:rPr>
                <w:color w:val="000000"/>
              </w:rPr>
            </w:pPr>
            <w:r>
              <w:rPr>
                <w:color w:val="000000"/>
              </w:rPr>
              <w:t>Verified</w:t>
            </w:r>
          </w:p>
        </w:tc>
      </w:tr>
      <w:tr w:rsidRPr="007F620E" w:rsidR="00A92D0B" w:rsidTr="00100142" w14:paraId="24C85564" w14:textId="77777777">
        <w:tc>
          <w:tcPr>
            <w:tcW w:w="4817" w:type="dxa"/>
          </w:tcPr>
          <w:p w:rsidRPr="007F620E" w:rsidR="00A92D0B" w:rsidP="00F028C8" w:rsidRDefault="00A92D0B" w14:paraId="382C5788" w14:textId="49F0E39E">
            <w:pPr>
              <w:tabs>
                <w:tab w:val="left" w:pos="360"/>
              </w:tabs>
              <w:ind w:left="360" w:hanging="360"/>
              <w:rPr>
                <w:color w:val="000000"/>
              </w:rPr>
            </w:pPr>
            <w:r w:rsidRPr="007F620E">
              <w:rPr>
                <w:color w:val="000000"/>
              </w:rPr>
              <w:t>2.</w:t>
            </w:r>
            <w:r w:rsidR="001E7EE2">
              <w:rPr>
                <w:color w:val="000000"/>
              </w:rPr>
              <w:tab/>
            </w:r>
            <w:r w:rsidRPr="007F620E">
              <w:rPr>
                <w:color w:val="000000"/>
              </w:rPr>
              <w:t xml:space="preserve">Other </w:t>
            </w:r>
            <w:r w:rsidRPr="007F620E" w:rsidR="00A319DE">
              <w:rPr>
                <w:color w:val="000000"/>
              </w:rPr>
              <w:t>s</w:t>
            </w:r>
            <w:r w:rsidRPr="007F620E">
              <w:rPr>
                <w:color w:val="000000"/>
              </w:rPr>
              <w:t xml:space="preserve">pecified </w:t>
            </w:r>
            <w:r w:rsidRPr="007F620E" w:rsidR="00A319DE">
              <w:rPr>
                <w:color w:val="000000"/>
              </w:rPr>
              <w:t>d</w:t>
            </w:r>
            <w:r w:rsidRPr="007F620E">
              <w:rPr>
                <w:color w:val="000000"/>
              </w:rPr>
              <w:t>ate for NOI:</w:t>
            </w:r>
          </w:p>
        </w:tc>
        <w:tc>
          <w:tcPr>
            <w:tcW w:w="2267" w:type="dxa"/>
          </w:tcPr>
          <w:p w:rsidRPr="007F620E" w:rsidR="00A92D0B" w:rsidP="00F028C8" w:rsidRDefault="00A92D0B" w14:paraId="1826BC2C" w14:textId="77777777">
            <w:pPr>
              <w:keepNext/>
              <w:keepLines/>
              <w:tabs>
                <w:tab w:val="left" w:pos="360"/>
              </w:tabs>
              <w:ind w:left="360" w:hanging="360"/>
              <w:rPr>
                <w:color w:val="000000"/>
              </w:rPr>
            </w:pPr>
          </w:p>
        </w:tc>
        <w:tc>
          <w:tcPr>
            <w:tcW w:w="2276" w:type="dxa"/>
          </w:tcPr>
          <w:p w:rsidRPr="007F620E" w:rsidR="00A92D0B" w:rsidP="00F028C8" w:rsidRDefault="00A92D0B" w14:paraId="210DAD91" w14:textId="77777777">
            <w:pPr>
              <w:tabs>
                <w:tab w:val="left" w:pos="360"/>
              </w:tabs>
              <w:jc w:val="both"/>
              <w:rPr>
                <w:color w:val="000000"/>
              </w:rPr>
            </w:pPr>
          </w:p>
        </w:tc>
      </w:tr>
      <w:tr w:rsidRPr="007F620E" w:rsidR="00A92D0B" w:rsidTr="00100142" w14:paraId="4836EEA6" w14:textId="77777777">
        <w:tc>
          <w:tcPr>
            <w:tcW w:w="4817" w:type="dxa"/>
          </w:tcPr>
          <w:p w:rsidRPr="007F620E" w:rsidR="00A92D0B" w:rsidP="00F028C8" w:rsidRDefault="00A92D0B" w14:paraId="34809C45" w14:textId="2501A8A3">
            <w:pPr>
              <w:tabs>
                <w:tab w:val="left" w:pos="360"/>
              </w:tabs>
              <w:ind w:left="360" w:hanging="360"/>
              <w:rPr>
                <w:color w:val="000000"/>
              </w:rPr>
            </w:pPr>
            <w:r w:rsidRPr="007F620E">
              <w:rPr>
                <w:color w:val="000000"/>
              </w:rPr>
              <w:t>3.</w:t>
            </w:r>
            <w:r w:rsidR="001E7EE2">
              <w:rPr>
                <w:color w:val="000000"/>
              </w:rPr>
              <w:tab/>
            </w:r>
            <w:r w:rsidRPr="007F620E">
              <w:rPr>
                <w:color w:val="000000"/>
              </w:rPr>
              <w:t xml:space="preserve">Date NOI </w:t>
            </w:r>
            <w:r w:rsidRPr="007F620E" w:rsidR="00A319DE">
              <w:rPr>
                <w:color w:val="000000"/>
              </w:rPr>
              <w:t>f</w:t>
            </w:r>
            <w:r w:rsidRPr="007F620E">
              <w:rPr>
                <w:color w:val="000000"/>
              </w:rPr>
              <w:t>iled:</w:t>
            </w:r>
          </w:p>
        </w:tc>
        <w:tc>
          <w:tcPr>
            <w:tcW w:w="2267" w:type="dxa"/>
            <w:tcBorders>
              <w:bottom w:val="single" w:color="auto" w:sz="4" w:space="0"/>
            </w:tcBorders>
          </w:tcPr>
          <w:p w:rsidRPr="007F620E" w:rsidR="00A92D0B" w:rsidP="00F028C8" w:rsidRDefault="00AD34EA" w14:paraId="44F7CCB9" w14:textId="0D94DF88">
            <w:pPr>
              <w:keepNext/>
              <w:keepLines/>
              <w:tabs>
                <w:tab w:val="left" w:pos="360"/>
              </w:tabs>
              <w:ind w:left="360" w:hanging="360"/>
              <w:rPr>
                <w:color w:val="000000"/>
              </w:rPr>
            </w:pPr>
            <w:r>
              <w:rPr>
                <w:color w:val="000000"/>
              </w:rPr>
              <w:t xml:space="preserve">August </w:t>
            </w:r>
            <w:r w:rsidR="005F63E8">
              <w:rPr>
                <w:color w:val="000000"/>
              </w:rPr>
              <w:t>4</w:t>
            </w:r>
            <w:r>
              <w:rPr>
                <w:color w:val="000000"/>
              </w:rPr>
              <w:t xml:space="preserve">, </w:t>
            </w:r>
            <w:r w:rsidR="005F63E8">
              <w:rPr>
                <w:color w:val="000000"/>
              </w:rPr>
              <w:t>2022</w:t>
            </w:r>
          </w:p>
        </w:tc>
        <w:tc>
          <w:tcPr>
            <w:tcW w:w="2276" w:type="dxa"/>
            <w:tcBorders>
              <w:bottom w:val="single" w:color="auto" w:sz="4" w:space="0"/>
            </w:tcBorders>
          </w:tcPr>
          <w:p w:rsidRPr="007F620E" w:rsidR="00A92D0B" w:rsidP="00F028C8" w:rsidRDefault="00311ED5" w14:paraId="71759DE3" w14:textId="7AE1879E">
            <w:pPr>
              <w:tabs>
                <w:tab w:val="left" w:pos="360"/>
              </w:tabs>
              <w:jc w:val="both"/>
              <w:rPr>
                <w:color w:val="000000"/>
              </w:rPr>
            </w:pPr>
            <w:r>
              <w:rPr>
                <w:color w:val="000000"/>
              </w:rPr>
              <w:t>Verified</w:t>
            </w:r>
          </w:p>
        </w:tc>
      </w:tr>
      <w:tr w:rsidRPr="007F620E" w:rsidR="00A92D0B" w:rsidTr="03A7085E" w14:paraId="22BBCDE3" w14:textId="77777777">
        <w:tc>
          <w:tcPr>
            <w:tcW w:w="7084" w:type="dxa"/>
            <w:gridSpan w:val="2"/>
            <w:tcBorders>
              <w:bottom w:val="single" w:color="auto" w:sz="4" w:space="0"/>
            </w:tcBorders>
          </w:tcPr>
          <w:p w:rsidRPr="007F620E" w:rsidR="00A92D0B" w:rsidP="00F028C8" w:rsidRDefault="00A92D0B" w14:paraId="7E6E2068" w14:textId="1D4DD6B8">
            <w:pPr>
              <w:tabs>
                <w:tab w:val="left" w:pos="360"/>
              </w:tabs>
              <w:ind w:left="360" w:hanging="360"/>
              <w:rPr>
                <w:color w:val="000000"/>
              </w:rPr>
            </w:pPr>
            <w:r w:rsidRPr="007F620E">
              <w:rPr>
                <w:color w:val="000000"/>
              </w:rPr>
              <w:t>4.</w:t>
            </w:r>
            <w:r w:rsidR="001E7EE2">
              <w:rPr>
                <w:color w:val="000000"/>
              </w:rPr>
              <w:tab/>
            </w:r>
            <w:r w:rsidRPr="007F620E">
              <w:rPr>
                <w:color w:val="000000"/>
              </w:rPr>
              <w:t>Was the NOI timely filed?</w:t>
            </w:r>
          </w:p>
        </w:tc>
        <w:tc>
          <w:tcPr>
            <w:tcW w:w="2276" w:type="dxa"/>
            <w:tcBorders>
              <w:bottom w:val="single" w:color="auto" w:sz="4" w:space="0"/>
            </w:tcBorders>
          </w:tcPr>
          <w:p w:rsidRPr="007F620E" w:rsidR="00A92D0B" w:rsidP="00F028C8" w:rsidRDefault="00311ED5" w14:paraId="61DE2845" w14:textId="3681A642">
            <w:pPr>
              <w:tabs>
                <w:tab w:val="left" w:pos="360"/>
              </w:tabs>
              <w:rPr>
                <w:color w:val="000000"/>
              </w:rPr>
            </w:pPr>
            <w:r>
              <w:rPr>
                <w:color w:val="000000"/>
              </w:rPr>
              <w:t>Yes</w:t>
            </w:r>
          </w:p>
        </w:tc>
      </w:tr>
      <w:tr w:rsidRPr="007F620E" w:rsidR="00A92D0B" w:rsidTr="03A7085E" w14:paraId="4CD7D46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00F028C8" w:rsidP="00F028C8" w:rsidRDefault="00A92D0B" w14:paraId="003AB151" w14:textId="75841E30">
            <w:pPr>
              <w:keepNext/>
              <w:keepLines/>
              <w:tabs>
                <w:tab w:val="left" w:pos="360"/>
              </w:tabs>
              <w:jc w:val="center"/>
              <w:rPr>
                <w:b/>
                <w:color w:val="000000"/>
              </w:rPr>
            </w:pPr>
            <w:r w:rsidRPr="007F620E">
              <w:rPr>
                <w:b/>
                <w:color w:val="000000"/>
              </w:rPr>
              <w:t xml:space="preserve">Showing of </w:t>
            </w:r>
            <w:r w:rsidRPr="007F620E" w:rsidR="00F63C29">
              <w:rPr>
                <w:b/>
                <w:color w:val="000000"/>
              </w:rPr>
              <w:t xml:space="preserve">eligible </w:t>
            </w:r>
            <w:r w:rsidRPr="007F620E">
              <w:rPr>
                <w:b/>
                <w:color w:val="000000"/>
              </w:rPr>
              <w:t xml:space="preserve">customer </w:t>
            </w:r>
            <w:r w:rsidRPr="007F620E" w:rsidR="00F63C29">
              <w:rPr>
                <w:b/>
                <w:color w:val="000000"/>
              </w:rPr>
              <w:t>status (§ 1802(b)</w:t>
            </w:r>
            <w:r w:rsidR="00F028C8">
              <w:rPr>
                <w:b/>
                <w:color w:val="000000"/>
              </w:rPr>
              <w:t>)</w:t>
            </w:r>
          </w:p>
          <w:p w:rsidRPr="007F620E" w:rsidR="00A92D0B" w:rsidP="00F028C8" w:rsidRDefault="00F63C29" w14:paraId="19D649BF" w14:textId="31FAE647">
            <w:pPr>
              <w:keepNext/>
              <w:keepLines/>
              <w:tabs>
                <w:tab w:val="left" w:pos="360"/>
              </w:tabs>
              <w:jc w:val="center"/>
              <w:rPr>
                <w:b/>
                <w:color w:val="000000"/>
              </w:rPr>
            </w:pPr>
            <w:r w:rsidRPr="007F620E">
              <w:rPr>
                <w:b/>
                <w:color w:val="000000"/>
              </w:rPr>
              <w:t xml:space="preserve"> or eligible local government entity </w:t>
            </w:r>
            <w:r w:rsidR="00ED6B6B">
              <w:rPr>
                <w:b/>
                <w:color w:val="000000"/>
              </w:rPr>
              <w:t>status</w:t>
            </w:r>
            <w:r w:rsidR="00F028C8">
              <w:rPr>
                <w:b/>
                <w:color w:val="000000"/>
              </w:rPr>
              <w:t xml:space="preserve"> </w:t>
            </w:r>
            <w:r w:rsidRPr="007F620E">
              <w:rPr>
                <w:b/>
                <w:color w:val="000000"/>
              </w:rPr>
              <w:t>(§§ 1802(d), 1802.4)</w:t>
            </w:r>
            <w:r w:rsidRPr="007F620E" w:rsidR="00A92D0B">
              <w:rPr>
                <w:b/>
                <w:color w:val="000000"/>
              </w:rPr>
              <w:t>:</w:t>
            </w:r>
          </w:p>
        </w:tc>
      </w:tr>
      <w:tr w:rsidRPr="007F620E" w:rsidR="00A92D0B" w:rsidTr="00100142" w14:paraId="259EC227" w14:textId="77777777">
        <w:tc>
          <w:tcPr>
            <w:tcW w:w="4817" w:type="dxa"/>
            <w:tcBorders>
              <w:top w:val="single" w:color="auto" w:sz="4" w:space="0"/>
            </w:tcBorders>
          </w:tcPr>
          <w:p w:rsidRPr="007F620E" w:rsidR="00A92D0B" w:rsidP="00F028C8" w:rsidRDefault="00A92D0B" w14:paraId="0EFCD0E9" w14:textId="1A5E3FBE">
            <w:pPr>
              <w:keepNext/>
              <w:keepLines/>
              <w:ind w:left="360" w:hanging="360"/>
              <w:rPr>
                <w:color w:val="000000"/>
              </w:rPr>
            </w:pPr>
            <w:r w:rsidRPr="007F620E">
              <w:rPr>
                <w:color w:val="000000"/>
              </w:rPr>
              <w:t>5.</w:t>
            </w:r>
            <w:r w:rsidR="001E7EE2">
              <w:rPr>
                <w:color w:val="000000"/>
              </w:rPr>
              <w:tab/>
            </w:r>
            <w:r w:rsidRPr="007F620E">
              <w:rPr>
                <w:color w:val="000000"/>
              </w:rPr>
              <w:t xml:space="preserve">Based on ALJ ruling issued in proceeding </w:t>
            </w:r>
            <w:r w:rsidRPr="007F620E" w:rsidR="00E3786F">
              <w:rPr>
                <w:color w:val="000000"/>
              </w:rPr>
              <w:t xml:space="preserve">  </w:t>
            </w:r>
            <w:r w:rsidRPr="007F620E">
              <w:rPr>
                <w:color w:val="000000"/>
              </w:rPr>
              <w:t>number:</w:t>
            </w:r>
          </w:p>
        </w:tc>
        <w:tc>
          <w:tcPr>
            <w:tcW w:w="2267" w:type="dxa"/>
            <w:tcBorders>
              <w:top w:val="single" w:color="auto" w:sz="4" w:space="0"/>
            </w:tcBorders>
          </w:tcPr>
          <w:p w:rsidRPr="007F620E" w:rsidR="00A92D0B" w:rsidP="00F028C8" w:rsidRDefault="008A3098" w14:paraId="13E72B6D" w14:textId="500F9253">
            <w:pPr>
              <w:keepNext/>
              <w:keepLines/>
              <w:tabs>
                <w:tab w:val="left" w:pos="360"/>
              </w:tabs>
              <w:ind w:left="360" w:hanging="360"/>
              <w:rPr>
                <w:color w:val="000000"/>
              </w:rPr>
            </w:pPr>
            <w:r>
              <w:rPr>
                <w:color w:val="000000"/>
              </w:rPr>
              <w:t>R.20-07-013</w:t>
            </w:r>
          </w:p>
        </w:tc>
        <w:tc>
          <w:tcPr>
            <w:tcW w:w="2276" w:type="dxa"/>
            <w:tcBorders>
              <w:top w:val="single" w:color="auto" w:sz="4" w:space="0"/>
            </w:tcBorders>
          </w:tcPr>
          <w:p w:rsidRPr="007F620E" w:rsidR="00A92D0B" w:rsidP="00F028C8" w:rsidRDefault="00A92D0B" w14:paraId="2679B197" w14:textId="46FE0640">
            <w:pPr>
              <w:keepNext/>
              <w:keepLines/>
              <w:tabs>
                <w:tab w:val="left" w:pos="360"/>
              </w:tabs>
              <w:rPr>
                <w:color w:val="000000"/>
              </w:rPr>
            </w:pPr>
          </w:p>
        </w:tc>
      </w:tr>
      <w:tr w:rsidRPr="007F620E" w:rsidR="00A92D0B" w:rsidTr="00100142" w14:paraId="4E0FB3B6" w14:textId="77777777">
        <w:tc>
          <w:tcPr>
            <w:tcW w:w="4817" w:type="dxa"/>
          </w:tcPr>
          <w:p w:rsidRPr="007F620E" w:rsidR="00A92D0B" w:rsidP="00F028C8" w:rsidRDefault="00A92D0B" w14:paraId="568B12E8" w14:textId="6121FC05">
            <w:pPr>
              <w:tabs>
                <w:tab w:val="left" w:pos="360"/>
              </w:tabs>
              <w:ind w:left="360" w:hanging="360"/>
              <w:rPr>
                <w:color w:val="000000"/>
              </w:rPr>
            </w:pPr>
            <w:r w:rsidRPr="007F620E">
              <w:rPr>
                <w:color w:val="000000"/>
              </w:rPr>
              <w:t>6.</w:t>
            </w:r>
            <w:r w:rsidR="001E7EE2">
              <w:rPr>
                <w:color w:val="000000"/>
              </w:rPr>
              <w:tab/>
            </w:r>
            <w:r w:rsidRPr="007F620E">
              <w:rPr>
                <w:color w:val="000000"/>
              </w:rPr>
              <w:t>Date of ALJ ruling:</w:t>
            </w:r>
          </w:p>
        </w:tc>
        <w:tc>
          <w:tcPr>
            <w:tcW w:w="2267" w:type="dxa"/>
          </w:tcPr>
          <w:p w:rsidRPr="007F620E" w:rsidR="00A92D0B" w:rsidP="00F028C8" w:rsidRDefault="008A3098" w14:paraId="306125B9" w14:textId="0C3C1127">
            <w:pPr>
              <w:tabs>
                <w:tab w:val="left" w:pos="360"/>
              </w:tabs>
              <w:ind w:left="360" w:hanging="360"/>
              <w:rPr>
                <w:color w:val="000000"/>
              </w:rPr>
            </w:pPr>
            <w:r>
              <w:rPr>
                <w:color w:val="000000"/>
              </w:rPr>
              <w:t>December 14, 2020</w:t>
            </w:r>
          </w:p>
        </w:tc>
        <w:tc>
          <w:tcPr>
            <w:tcW w:w="2276" w:type="dxa"/>
          </w:tcPr>
          <w:p w:rsidRPr="007F620E" w:rsidR="00A92D0B" w:rsidP="00F028C8" w:rsidRDefault="00A92D0B" w14:paraId="19F10313" w14:textId="42067A0F">
            <w:pPr>
              <w:tabs>
                <w:tab w:val="left" w:pos="360"/>
              </w:tabs>
              <w:rPr>
                <w:color w:val="000000"/>
              </w:rPr>
            </w:pPr>
          </w:p>
        </w:tc>
      </w:tr>
      <w:tr w:rsidRPr="007F620E" w:rsidR="00A92D0B" w:rsidTr="00100142" w14:paraId="7F6C1E54" w14:textId="77777777">
        <w:tc>
          <w:tcPr>
            <w:tcW w:w="4817" w:type="dxa"/>
          </w:tcPr>
          <w:p w:rsidRPr="007F620E" w:rsidR="00A92D0B" w:rsidP="00F028C8" w:rsidRDefault="00A92D0B" w14:paraId="4B6E35B7" w14:textId="56E59D65">
            <w:pPr>
              <w:tabs>
                <w:tab w:val="left" w:pos="360"/>
              </w:tabs>
              <w:ind w:left="360" w:hanging="360"/>
              <w:rPr>
                <w:color w:val="000000"/>
              </w:rPr>
            </w:pPr>
            <w:r w:rsidRPr="007F620E">
              <w:rPr>
                <w:color w:val="000000"/>
              </w:rPr>
              <w:t>7.</w:t>
            </w:r>
            <w:r w:rsidR="001E7EE2">
              <w:rPr>
                <w:color w:val="000000"/>
              </w:rPr>
              <w:tab/>
            </w:r>
            <w:r w:rsidRPr="007F620E">
              <w:rPr>
                <w:color w:val="000000"/>
              </w:rPr>
              <w:t>Based on another CPUC determination (specify):</w:t>
            </w:r>
          </w:p>
        </w:tc>
        <w:tc>
          <w:tcPr>
            <w:tcW w:w="2267" w:type="dxa"/>
            <w:tcBorders>
              <w:bottom w:val="single" w:color="auto" w:sz="4" w:space="0"/>
            </w:tcBorders>
          </w:tcPr>
          <w:p w:rsidRPr="007F620E" w:rsidR="00A92D0B" w:rsidP="00F028C8" w:rsidRDefault="00A92D0B" w14:paraId="5E0F9D32" w14:textId="77777777">
            <w:pPr>
              <w:tabs>
                <w:tab w:val="left" w:pos="360"/>
              </w:tabs>
              <w:ind w:left="360" w:hanging="360"/>
              <w:rPr>
                <w:color w:val="000000"/>
              </w:rPr>
            </w:pPr>
          </w:p>
        </w:tc>
        <w:tc>
          <w:tcPr>
            <w:tcW w:w="2276" w:type="dxa"/>
            <w:tcBorders>
              <w:bottom w:val="single" w:color="auto" w:sz="4" w:space="0"/>
            </w:tcBorders>
          </w:tcPr>
          <w:p w:rsidRPr="007F620E" w:rsidR="00A92D0B" w:rsidP="00F028C8" w:rsidRDefault="00306761" w14:paraId="180E80B3" w14:textId="6AF0125C">
            <w:pPr>
              <w:tabs>
                <w:tab w:val="left" w:pos="360"/>
              </w:tabs>
              <w:rPr>
                <w:color w:val="000000"/>
              </w:rPr>
            </w:pPr>
            <w:r w:rsidRPr="00115553">
              <w:rPr>
                <w:color w:val="000000" w:themeColor="text1"/>
              </w:rPr>
              <w:t>D.24-01-019</w:t>
            </w:r>
            <w:r>
              <w:rPr>
                <w:color w:val="000000" w:themeColor="text1"/>
              </w:rPr>
              <w:t xml:space="preserve"> granted </w:t>
            </w:r>
            <w:r w:rsidRPr="03A7085E">
              <w:rPr>
                <w:color w:val="000000" w:themeColor="text1"/>
              </w:rPr>
              <w:t>UCAN</w:t>
            </w:r>
            <w:r>
              <w:rPr>
                <w:color w:val="000000" w:themeColor="text1"/>
              </w:rPr>
              <w:t xml:space="preserve"> a finding of</w:t>
            </w:r>
            <w:r w:rsidRPr="03A7085E">
              <w:rPr>
                <w:color w:val="000000" w:themeColor="text1"/>
              </w:rPr>
              <w:t xml:space="preserve"> eligible customer status in Phase 1 of th</w:t>
            </w:r>
            <w:r>
              <w:rPr>
                <w:color w:val="000000" w:themeColor="text1"/>
              </w:rPr>
              <w:t>is</w:t>
            </w:r>
            <w:r w:rsidRPr="03A7085E">
              <w:rPr>
                <w:color w:val="000000" w:themeColor="text1"/>
              </w:rPr>
              <w:t xml:space="preserve"> proceeding; under</w:t>
            </w:r>
            <w:r>
              <w:rPr>
                <w:color w:val="000000" w:themeColor="text1"/>
              </w:rPr>
              <w:t xml:space="preserve"> the Commission’s Rules of Practice and Procedure (Rules)</w:t>
            </w:r>
            <w:r w:rsidRPr="03A7085E">
              <w:rPr>
                <w:color w:val="000000" w:themeColor="text1"/>
              </w:rPr>
              <w:t xml:space="preserve"> </w:t>
            </w:r>
            <w:r>
              <w:rPr>
                <w:color w:val="000000" w:themeColor="text1"/>
              </w:rPr>
              <w:t xml:space="preserve">Rule </w:t>
            </w:r>
            <w:r w:rsidRPr="03A7085E">
              <w:rPr>
                <w:color w:val="000000" w:themeColor="text1"/>
              </w:rPr>
              <w:t>17.2, this finding continues through all phases of this proceeding.</w:t>
            </w:r>
          </w:p>
        </w:tc>
      </w:tr>
      <w:tr w:rsidRPr="007F620E" w:rsidR="00A92D0B" w:rsidTr="03A7085E" w14:paraId="397CC4AD" w14:textId="77777777">
        <w:tc>
          <w:tcPr>
            <w:tcW w:w="7084" w:type="dxa"/>
            <w:gridSpan w:val="2"/>
            <w:tcBorders>
              <w:bottom w:val="single" w:color="auto" w:sz="4" w:space="0"/>
            </w:tcBorders>
          </w:tcPr>
          <w:p w:rsidRPr="007F620E" w:rsidR="00A92D0B" w:rsidP="00F028C8" w:rsidRDefault="00A92D0B" w14:paraId="71D46B68" w14:textId="56857D2E">
            <w:pPr>
              <w:tabs>
                <w:tab w:val="left" w:pos="360"/>
              </w:tabs>
              <w:ind w:left="360" w:hanging="360"/>
              <w:rPr>
                <w:color w:val="000000"/>
              </w:rPr>
            </w:pPr>
            <w:r w:rsidRPr="007F620E">
              <w:rPr>
                <w:color w:val="000000"/>
              </w:rPr>
              <w:lastRenderedPageBreak/>
              <w:t>8.</w:t>
            </w:r>
            <w:r w:rsidR="001E7EE2">
              <w:rPr>
                <w:color w:val="000000"/>
              </w:rPr>
              <w:tab/>
            </w:r>
            <w:r w:rsidRPr="007F620E">
              <w:rPr>
                <w:color w:val="000000"/>
              </w:rPr>
              <w:t xml:space="preserve">Has the </w:t>
            </w:r>
            <w:r w:rsidRPr="007F620E" w:rsidR="005A63D4">
              <w:rPr>
                <w:color w:val="000000"/>
              </w:rPr>
              <w:t xml:space="preserve">Intervenor </w:t>
            </w:r>
            <w:r w:rsidRPr="007F620E">
              <w:rPr>
                <w:color w:val="000000"/>
              </w:rPr>
              <w:t xml:space="preserve">demonstrated </w:t>
            </w:r>
            <w:r w:rsidRPr="00ED6B6B">
              <w:t>customer</w:t>
            </w:r>
            <w:r w:rsidRPr="007F620E">
              <w:rPr>
                <w:color w:val="000000"/>
              </w:rPr>
              <w:t xml:space="preserve"> </w:t>
            </w:r>
            <w:r w:rsidR="00ED6B6B">
              <w:rPr>
                <w:color w:val="000000"/>
              </w:rPr>
              <w:t>status or eligible government entity status</w:t>
            </w:r>
            <w:r w:rsidRPr="007F620E">
              <w:rPr>
                <w:color w:val="000000"/>
              </w:rPr>
              <w:t>?</w:t>
            </w:r>
          </w:p>
        </w:tc>
        <w:tc>
          <w:tcPr>
            <w:tcW w:w="2276" w:type="dxa"/>
            <w:tcBorders>
              <w:bottom w:val="single" w:color="auto" w:sz="4" w:space="0"/>
            </w:tcBorders>
          </w:tcPr>
          <w:p w:rsidRPr="007F620E" w:rsidR="00A92D0B" w:rsidP="00F028C8" w:rsidRDefault="00311ED5" w14:paraId="7D296E63" w14:textId="76FDFF00">
            <w:pPr>
              <w:tabs>
                <w:tab w:val="left" w:pos="360"/>
              </w:tabs>
              <w:rPr>
                <w:color w:val="000000"/>
              </w:rPr>
            </w:pPr>
            <w:r>
              <w:rPr>
                <w:color w:val="000000"/>
              </w:rPr>
              <w:t>Yes</w:t>
            </w:r>
          </w:p>
        </w:tc>
      </w:tr>
      <w:tr w:rsidRPr="007F620E" w:rsidR="00A92D0B" w:rsidTr="03A7085E" w14:paraId="33231C71"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F028C8" w:rsidRDefault="00A92D0B" w14:paraId="0291EC4E" w14:textId="77777777">
            <w:pPr>
              <w:keepNext/>
              <w:tabs>
                <w:tab w:val="left" w:pos="360"/>
              </w:tabs>
              <w:jc w:val="center"/>
              <w:rPr>
                <w:color w:val="000000"/>
              </w:rPr>
            </w:pPr>
            <w:r w:rsidRPr="007F620E">
              <w:rPr>
                <w:b/>
                <w:color w:val="000000"/>
              </w:rPr>
              <w:t>Showing of “significant</w:t>
            </w:r>
            <w:r w:rsidRPr="007F620E" w:rsidR="00F63C29">
              <w:rPr>
                <w:b/>
                <w:color w:val="000000"/>
              </w:rPr>
              <w:t xml:space="preserve"> financial hardship” (§1802(</w:t>
            </w:r>
            <w:r w:rsidR="00175865">
              <w:rPr>
                <w:b/>
                <w:color w:val="000000"/>
              </w:rPr>
              <w:t>h</w:t>
            </w:r>
            <w:r w:rsidRPr="007F620E" w:rsidR="00F63C29">
              <w:rPr>
                <w:b/>
                <w:color w:val="000000"/>
              </w:rPr>
              <w:t xml:space="preserve">) or </w:t>
            </w:r>
            <w:r w:rsidRPr="007F620E" w:rsidR="00ED6B6B">
              <w:rPr>
                <w:b/>
                <w:color w:val="000000"/>
              </w:rPr>
              <w:t>§</w:t>
            </w:r>
            <w:r w:rsidRPr="007F620E" w:rsidR="00F63C29">
              <w:rPr>
                <w:b/>
                <w:color w:val="000000"/>
              </w:rPr>
              <w:t>1803.1(b))</w:t>
            </w:r>
            <w:r w:rsidR="00C02649">
              <w:rPr>
                <w:b/>
                <w:color w:val="000000"/>
              </w:rPr>
              <w:t>:</w:t>
            </w:r>
          </w:p>
        </w:tc>
      </w:tr>
      <w:tr w:rsidRPr="007F620E" w:rsidR="00A92D0B" w:rsidTr="00100142" w14:paraId="77F91856" w14:textId="77777777">
        <w:tc>
          <w:tcPr>
            <w:tcW w:w="4817" w:type="dxa"/>
            <w:tcBorders>
              <w:top w:val="single" w:color="auto" w:sz="4" w:space="0"/>
            </w:tcBorders>
          </w:tcPr>
          <w:p w:rsidRPr="007F620E" w:rsidR="00A92D0B" w:rsidP="00F028C8" w:rsidRDefault="00A92D0B" w14:paraId="6506E60E" w14:textId="7F0FF6A0">
            <w:pPr>
              <w:tabs>
                <w:tab w:val="left" w:pos="315"/>
              </w:tabs>
              <w:ind w:left="360" w:hanging="360"/>
              <w:rPr>
                <w:color w:val="000000"/>
              </w:rPr>
            </w:pPr>
            <w:r w:rsidRPr="007F620E">
              <w:rPr>
                <w:color w:val="000000"/>
              </w:rPr>
              <w:t>9.</w:t>
            </w:r>
            <w:r w:rsidR="001E7EE2">
              <w:rPr>
                <w:color w:val="000000"/>
              </w:rPr>
              <w:tab/>
            </w:r>
            <w:r w:rsidRPr="007F620E">
              <w:rPr>
                <w:color w:val="000000"/>
              </w:rPr>
              <w:t>Based on ALJ ruling issued in proceeding number:</w:t>
            </w:r>
          </w:p>
        </w:tc>
        <w:tc>
          <w:tcPr>
            <w:tcW w:w="2267" w:type="dxa"/>
            <w:tcBorders>
              <w:top w:val="single" w:color="auto" w:sz="4" w:space="0"/>
            </w:tcBorders>
          </w:tcPr>
          <w:p w:rsidRPr="007F620E" w:rsidR="00A92D0B" w:rsidP="00F028C8" w:rsidRDefault="008A3098" w14:paraId="54B4911C" w14:textId="43AE05CA">
            <w:pPr>
              <w:tabs>
                <w:tab w:val="left" w:pos="360"/>
              </w:tabs>
              <w:ind w:left="360" w:hanging="360"/>
              <w:rPr>
                <w:color w:val="000000"/>
              </w:rPr>
            </w:pPr>
            <w:r>
              <w:rPr>
                <w:color w:val="000000"/>
              </w:rPr>
              <w:t>R.20-07-013</w:t>
            </w:r>
          </w:p>
        </w:tc>
        <w:tc>
          <w:tcPr>
            <w:tcW w:w="2276" w:type="dxa"/>
            <w:tcBorders>
              <w:top w:val="single" w:color="auto" w:sz="4" w:space="0"/>
            </w:tcBorders>
          </w:tcPr>
          <w:p w:rsidRPr="007F620E" w:rsidR="00A92D0B" w:rsidP="00F028C8" w:rsidRDefault="00A92D0B" w14:paraId="2E2FB9D6" w14:textId="7B99C55D">
            <w:pPr>
              <w:tabs>
                <w:tab w:val="left" w:pos="360"/>
              </w:tabs>
              <w:rPr>
                <w:color w:val="000000"/>
              </w:rPr>
            </w:pPr>
          </w:p>
        </w:tc>
      </w:tr>
      <w:tr w:rsidRPr="007F620E" w:rsidR="00A92D0B" w:rsidTr="00100142" w14:paraId="4AD750C1" w14:textId="77777777">
        <w:tc>
          <w:tcPr>
            <w:tcW w:w="4817" w:type="dxa"/>
          </w:tcPr>
          <w:p w:rsidRPr="007F620E" w:rsidR="00A92D0B" w:rsidP="00F028C8" w:rsidRDefault="00A92D0B" w14:paraId="2A279407" w14:textId="1E831EEE">
            <w:pPr>
              <w:ind w:left="360" w:hanging="360"/>
              <w:rPr>
                <w:color w:val="000000"/>
              </w:rPr>
            </w:pPr>
            <w:r w:rsidRPr="007F620E">
              <w:rPr>
                <w:color w:val="000000"/>
              </w:rPr>
              <w:t>10.</w:t>
            </w:r>
            <w:r w:rsidR="001E7EE2">
              <w:rPr>
                <w:color w:val="000000"/>
              </w:rPr>
              <w:tab/>
            </w:r>
            <w:r w:rsidRPr="007F620E">
              <w:rPr>
                <w:color w:val="000000"/>
              </w:rPr>
              <w:t>Date of ALJ ruling:</w:t>
            </w:r>
          </w:p>
        </w:tc>
        <w:tc>
          <w:tcPr>
            <w:tcW w:w="2267" w:type="dxa"/>
          </w:tcPr>
          <w:p w:rsidRPr="007F620E" w:rsidR="00A92D0B" w:rsidP="00F028C8" w:rsidRDefault="008A3098" w14:paraId="4B66A2E4" w14:textId="62350099">
            <w:pPr>
              <w:tabs>
                <w:tab w:val="left" w:pos="360"/>
              </w:tabs>
              <w:ind w:left="360" w:hanging="360"/>
              <w:rPr>
                <w:color w:val="000000"/>
              </w:rPr>
            </w:pPr>
            <w:r>
              <w:rPr>
                <w:color w:val="000000"/>
              </w:rPr>
              <w:t>December 14, 2020</w:t>
            </w:r>
          </w:p>
        </w:tc>
        <w:tc>
          <w:tcPr>
            <w:tcW w:w="2276" w:type="dxa"/>
          </w:tcPr>
          <w:p w:rsidRPr="007F620E" w:rsidR="00A92D0B" w:rsidP="00F028C8" w:rsidRDefault="00A92D0B" w14:paraId="3B83D035" w14:textId="17894036">
            <w:pPr>
              <w:tabs>
                <w:tab w:val="left" w:pos="360"/>
              </w:tabs>
              <w:rPr>
                <w:color w:val="000000"/>
              </w:rPr>
            </w:pPr>
          </w:p>
        </w:tc>
      </w:tr>
      <w:tr w:rsidRPr="007F620E" w:rsidR="00357F1A" w:rsidTr="00100142" w14:paraId="7C183C5E" w14:textId="77777777">
        <w:tc>
          <w:tcPr>
            <w:tcW w:w="4817" w:type="dxa"/>
          </w:tcPr>
          <w:p w:rsidRPr="007F620E" w:rsidR="00357F1A" w:rsidP="00F028C8" w:rsidRDefault="00357F1A" w14:paraId="4141CB3D" w14:textId="2DCA8797">
            <w:pPr>
              <w:ind w:left="360" w:hanging="360"/>
              <w:rPr>
                <w:color w:val="000000"/>
              </w:rPr>
            </w:pPr>
            <w:r w:rsidRPr="007F620E">
              <w:rPr>
                <w:color w:val="000000"/>
              </w:rPr>
              <w:t>11.</w:t>
            </w:r>
            <w:r w:rsidR="001E7EE2">
              <w:rPr>
                <w:color w:val="000000"/>
              </w:rPr>
              <w:tab/>
            </w:r>
            <w:r w:rsidRPr="007F620E">
              <w:rPr>
                <w:color w:val="000000"/>
              </w:rPr>
              <w:t>Based on another CPUC determination (specify):</w:t>
            </w:r>
          </w:p>
        </w:tc>
        <w:tc>
          <w:tcPr>
            <w:tcW w:w="2267" w:type="dxa"/>
          </w:tcPr>
          <w:p w:rsidRPr="007F620E" w:rsidR="00357F1A" w:rsidP="00F028C8" w:rsidRDefault="00357F1A" w14:paraId="141EB5CF" w14:textId="02D302C1">
            <w:pPr>
              <w:tabs>
                <w:tab w:val="left" w:pos="360"/>
              </w:tabs>
              <w:ind w:left="360" w:hanging="360"/>
              <w:rPr>
                <w:color w:val="000000"/>
              </w:rPr>
            </w:pPr>
          </w:p>
        </w:tc>
        <w:tc>
          <w:tcPr>
            <w:tcW w:w="2276" w:type="dxa"/>
          </w:tcPr>
          <w:p w:rsidRPr="00442AD2" w:rsidR="00357F1A" w:rsidP="00F028C8" w:rsidRDefault="00306761" w14:paraId="79318715" w14:textId="4A94FB83">
            <w:pPr>
              <w:tabs>
                <w:tab w:val="left" w:pos="360"/>
              </w:tabs>
              <w:rPr>
                <w:color w:val="000000"/>
                <w:highlight w:val="yellow"/>
              </w:rPr>
            </w:pPr>
            <w:r w:rsidRPr="00115553">
              <w:rPr>
                <w:color w:val="000000" w:themeColor="text1"/>
              </w:rPr>
              <w:t>D.24-01-019 granted UCAN a finding significant financial hardship in Phase 1 of th</w:t>
            </w:r>
            <w:r>
              <w:rPr>
                <w:color w:val="000000" w:themeColor="text1"/>
              </w:rPr>
              <w:t>is</w:t>
            </w:r>
            <w:r w:rsidRPr="00115553">
              <w:rPr>
                <w:color w:val="000000" w:themeColor="text1"/>
              </w:rPr>
              <w:t xml:space="preserve"> proceeding; under Rule 17.2, this finding continues through all phases of this proceeding.</w:t>
            </w:r>
          </w:p>
        </w:tc>
      </w:tr>
      <w:tr w:rsidRPr="007F620E" w:rsidR="00A92D0B" w:rsidTr="03A7085E" w14:paraId="4E8D20BF" w14:textId="77777777">
        <w:tc>
          <w:tcPr>
            <w:tcW w:w="7084" w:type="dxa"/>
            <w:gridSpan w:val="2"/>
            <w:tcBorders>
              <w:bottom w:val="single" w:color="auto" w:sz="4" w:space="0"/>
            </w:tcBorders>
          </w:tcPr>
          <w:p w:rsidRPr="007F620E" w:rsidR="00A92D0B" w:rsidP="00F028C8" w:rsidRDefault="00180E8C" w14:paraId="48D0D936" w14:textId="6A3DF8B8">
            <w:pPr>
              <w:tabs>
                <w:tab w:val="left" w:pos="360"/>
              </w:tabs>
              <w:ind w:left="360" w:hanging="360"/>
              <w:rPr>
                <w:color w:val="000000"/>
              </w:rPr>
            </w:pPr>
            <w:r>
              <w:rPr>
                <w:color w:val="000000"/>
              </w:rPr>
              <w:t>12</w:t>
            </w:r>
            <w:r w:rsidRPr="007F620E" w:rsidR="00A92D0B">
              <w:rPr>
                <w:color w:val="000000"/>
              </w:rPr>
              <w:t>.</w:t>
            </w:r>
            <w:r w:rsidR="001E7EE2">
              <w:rPr>
                <w:color w:val="000000"/>
              </w:rPr>
              <w:tab/>
            </w:r>
            <w:r w:rsidRPr="007F620E" w:rsidR="00A92D0B">
              <w:rPr>
                <w:color w:val="000000"/>
              </w:rPr>
              <w:t>Has the</w:t>
            </w:r>
            <w:r w:rsidRPr="007F620E" w:rsidR="00A319DE">
              <w:rPr>
                <w:color w:val="000000"/>
              </w:rPr>
              <w:t xml:space="preserve"> </w:t>
            </w:r>
            <w:r w:rsidRPr="007F620E" w:rsidR="005A63D4">
              <w:rPr>
                <w:color w:val="000000"/>
              </w:rPr>
              <w:t>Intervenor</w:t>
            </w:r>
            <w:r w:rsidRPr="007F620E" w:rsidR="00A92D0B">
              <w:rPr>
                <w:color w:val="000000"/>
              </w:rPr>
              <w:t xml:space="preserve"> demonstrated significant financial hardship?</w:t>
            </w:r>
          </w:p>
        </w:tc>
        <w:tc>
          <w:tcPr>
            <w:tcW w:w="2276" w:type="dxa"/>
            <w:tcBorders>
              <w:bottom w:val="single" w:color="auto" w:sz="4" w:space="0"/>
            </w:tcBorders>
          </w:tcPr>
          <w:p w:rsidRPr="007F620E" w:rsidR="00A92D0B" w:rsidP="00F028C8" w:rsidRDefault="007224C7" w14:paraId="0F29B839" w14:textId="6E23742B">
            <w:pPr>
              <w:tabs>
                <w:tab w:val="left" w:pos="360"/>
              </w:tabs>
              <w:rPr>
                <w:color w:val="000000"/>
              </w:rPr>
            </w:pPr>
            <w:r>
              <w:rPr>
                <w:color w:val="000000"/>
              </w:rPr>
              <w:t>Yes</w:t>
            </w:r>
          </w:p>
        </w:tc>
      </w:tr>
      <w:tr w:rsidRPr="007F620E" w:rsidR="00A92D0B" w:rsidTr="03A7085E" w14:paraId="60D4FD5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7056FC" w:rsidRDefault="00A92D0B" w14:paraId="172E2884" w14:textId="77777777">
            <w:pPr>
              <w:keepNext/>
              <w:tabs>
                <w:tab w:val="left" w:pos="360"/>
              </w:tabs>
              <w:jc w:val="center"/>
              <w:rPr>
                <w:color w:val="000000"/>
              </w:rPr>
            </w:pPr>
            <w:r w:rsidRPr="007F620E">
              <w:rPr>
                <w:b/>
                <w:color w:val="000000"/>
              </w:rPr>
              <w:t>Timely request for compensation (§ 1804(c)):</w:t>
            </w:r>
          </w:p>
        </w:tc>
      </w:tr>
      <w:tr w:rsidRPr="007F620E" w:rsidR="00A92D0B" w:rsidTr="00100142" w14:paraId="3E7938B0" w14:textId="77777777">
        <w:tc>
          <w:tcPr>
            <w:tcW w:w="4817" w:type="dxa"/>
            <w:tcBorders>
              <w:top w:val="single" w:color="auto" w:sz="4" w:space="0"/>
            </w:tcBorders>
          </w:tcPr>
          <w:p w:rsidRPr="007F620E" w:rsidR="00A92D0B" w:rsidP="00F028C8" w:rsidRDefault="00A92D0B" w14:paraId="66088F1B" w14:textId="2DB4A731">
            <w:pPr>
              <w:keepNext/>
              <w:tabs>
                <w:tab w:val="left" w:pos="612"/>
              </w:tabs>
              <w:ind w:left="360" w:hanging="360"/>
              <w:rPr>
                <w:color w:val="000000"/>
              </w:rPr>
            </w:pPr>
            <w:r w:rsidRPr="007F620E">
              <w:rPr>
                <w:color w:val="000000"/>
              </w:rPr>
              <w:t>13.</w:t>
            </w:r>
            <w:r w:rsidR="001E7EE2">
              <w:rPr>
                <w:color w:val="000000"/>
              </w:rPr>
              <w:tab/>
            </w:r>
            <w:r w:rsidRPr="007F620E">
              <w:rPr>
                <w:color w:val="000000"/>
              </w:rPr>
              <w:t>Identify Final Decision:</w:t>
            </w:r>
          </w:p>
        </w:tc>
        <w:tc>
          <w:tcPr>
            <w:tcW w:w="2267" w:type="dxa"/>
            <w:tcBorders>
              <w:top w:val="single" w:color="auto" w:sz="4" w:space="0"/>
            </w:tcBorders>
          </w:tcPr>
          <w:p w:rsidRPr="007F620E" w:rsidR="00A92D0B" w:rsidP="00F028C8" w:rsidRDefault="008A3098" w14:paraId="7166F318" w14:textId="32CB56F8">
            <w:pPr>
              <w:tabs>
                <w:tab w:val="left" w:pos="360"/>
              </w:tabs>
              <w:rPr>
                <w:color w:val="000000"/>
              </w:rPr>
            </w:pPr>
            <w:r>
              <w:rPr>
                <w:color w:val="000000"/>
              </w:rPr>
              <w:t>D.</w:t>
            </w:r>
            <w:r w:rsidR="005F63E8">
              <w:rPr>
                <w:color w:val="000000"/>
              </w:rPr>
              <w:t>2</w:t>
            </w:r>
            <w:r w:rsidR="00C1320C">
              <w:rPr>
                <w:color w:val="000000"/>
              </w:rPr>
              <w:t>4-</w:t>
            </w:r>
            <w:r w:rsidR="0039260F">
              <w:rPr>
                <w:color w:val="000000"/>
              </w:rPr>
              <w:t>10-008</w:t>
            </w:r>
          </w:p>
        </w:tc>
        <w:tc>
          <w:tcPr>
            <w:tcW w:w="2276" w:type="dxa"/>
            <w:tcBorders>
              <w:top w:val="single" w:color="auto" w:sz="4" w:space="0"/>
            </w:tcBorders>
          </w:tcPr>
          <w:p w:rsidRPr="007F620E" w:rsidR="00A92D0B" w:rsidP="00F028C8" w:rsidRDefault="00311ED5" w14:paraId="1588DC54" w14:textId="4894F2D3">
            <w:pPr>
              <w:tabs>
                <w:tab w:val="left" w:pos="360"/>
              </w:tabs>
              <w:rPr>
                <w:color w:val="000000"/>
              </w:rPr>
            </w:pPr>
            <w:r>
              <w:rPr>
                <w:color w:val="000000"/>
              </w:rPr>
              <w:t>Verified</w:t>
            </w:r>
          </w:p>
        </w:tc>
      </w:tr>
      <w:tr w:rsidRPr="007F620E" w:rsidR="00A92D0B" w:rsidTr="00100142" w14:paraId="6360DE59" w14:textId="77777777">
        <w:tc>
          <w:tcPr>
            <w:tcW w:w="4817" w:type="dxa"/>
          </w:tcPr>
          <w:p w:rsidRPr="007F620E" w:rsidR="00A92D0B" w:rsidP="00F028C8" w:rsidRDefault="00A92D0B" w14:paraId="4B809E4A" w14:textId="4BEED0BB">
            <w:pPr>
              <w:tabs>
                <w:tab w:val="left" w:pos="612"/>
              </w:tabs>
              <w:ind w:left="360" w:hanging="360"/>
              <w:rPr>
                <w:color w:val="000000"/>
              </w:rPr>
            </w:pPr>
            <w:r w:rsidRPr="007F620E">
              <w:rPr>
                <w:color w:val="000000"/>
              </w:rPr>
              <w:t>14.</w:t>
            </w:r>
            <w:r w:rsidR="001E7EE2">
              <w:rPr>
                <w:color w:val="000000"/>
              </w:rPr>
              <w:tab/>
            </w:r>
            <w:r w:rsidRPr="007F620E">
              <w:rPr>
                <w:color w:val="000000"/>
              </w:rPr>
              <w:t xml:space="preserve">Date of </w:t>
            </w:r>
            <w:r w:rsidRPr="007F620E" w:rsidR="00A319DE">
              <w:rPr>
                <w:color w:val="000000"/>
              </w:rPr>
              <w:t>i</w:t>
            </w:r>
            <w:r w:rsidRPr="007F620E">
              <w:rPr>
                <w:color w:val="000000"/>
              </w:rPr>
              <w:t xml:space="preserve">ssuance of Final Order or Decision:    </w:t>
            </w:r>
          </w:p>
        </w:tc>
        <w:tc>
          <w:tcPr>
            <w:tcW w:w="2267" w:type="dxa"/>
          </w:tcPr>
          <w:p w:rsidRPr="007F620E" w:rsidR="00A92D0B" w:rsidP="00F028C8" w:rsidRDefault="0039260F" w14:paraId="20455B5F" w14:textId="256846B3">
            <w:pPr>
              <w:tabs>
                <w:tab w:val="left" w:pos="360"/>
              </w:tabs>
              <w:rPr>
                <w:color w:val="000000"/>
              </w:rPr>
            </w:pPr>
            <w:r>
              <w:rPr>
                <w:color w:val="000000"/>
              </w:rPr>
              <w:t>October 22, 2024</w:t>
            </w:r>
          </w:p>
        </w:tc>
        <w:tc>
          <w:tcPr>
            <w:tcW w:w="2276" w:type="dxa"/>
          </w:tcPr>
          <w:p w:rsidRPr="007F620E" w:rsidR="00A92D0B" w:rsidP="00F028C8" w:rsidRDefault="00311ED5" w14:paraId="1FCF00DD" w14:textId="200C6AE4">
            <w:pPr>
              <w:tabs>
                <w:tab w:val="left" w:pos="360"/>
              </w:tabs>
              <w:rPr>
                <w:color w:val="000000"/>
              </w:rPr>
            </w:pPr>
            <w:r>
              <w:rPr>
                <w:color w:val="000000"/>
              </w:rPr>
              <w:t>Verified</w:t>
            </w:r>
          </w:p>
        </w:tc>
      </w:tr>
      <w:tr w:rsidRPr="007F620E" w:rsidR="00A92D0B" w:rsidTr="00100142" w14:paraId="723259E3" w14:textId="77777777">
        <w:tc>
          <w:tcPr>
            <w:tcW w:w="4817" w:type="dxa"/>
          </w:tcPr>
          <w:p w:rsidRPr="007F620E" w:rsidR="00A92D0B" w:rsidP="00F028C8" w:rsidRDefault="00A92D0B" w14:paraId="163EE1CA" w14:textId="2B64EB9E">
            <w:pPr>
              <w:tabs>
                <w:tab w:val="left" w:pos="612"/>
              </w:tabs>
              <w:ind w:left="360" w:hanging="360"/>
              <w:rPr>
                <w:color w:val="000000"/>
              </w:rPr>
            </w:pPr>
            <w:r w:rsidRPr="007F620E">
              <w:rPr>
                <w:color w:val="000000"/>
              </w:rPr>
              <w:t>15.</w:t>
            </w:r>
            <w:r w:rsidR="001E7EE2">
              <w:rPr>
                <w:color w:val="000000"/>
              </w:rPr>
              <w:tab/>
            </w:r>
            <w:r w:rsidRPr="007F620E">
              <w:rPr>
                <w:color w:val="000000"/>
              </w:rPr>
              <w:t>File date of compensation request:</w:t>
            </w:r>
          </w:p>
        </w:tc>
        <w:tc>
          <w:tcPr>
            <w:tcW w:w="2267" w:type="dxa"/>
          </w:tcPr>
          <w:p w:rsidRPr="007F620E" w:rsidR="00A92D0B" w:rsidP="00F028C8" w:rsidRDefault="0039260F" w14:paraId="0568B39D" w14:textId="2862C1FE">
            <w:pPr>
              <w:tabs>
                <w:tab w:val="left" w:pos="360"/>
              </w:tabs>
              <w:rPr>
                <w:color w:val="000000"/>
              </w:rPr>
            </w:pPr>
            <w:r>
              <w:rPr>
                <w:color w:val="000000"/>
              </w:rPr>
              <w:t>December 1</w:t>
            </w:r>
            <w:r w:rsidR="00AD34EA">
              <w:rPr>
                <w:color w:val="000000"/>
              </w:rPr>
              <w:t>8</w:t>
            </w:r>
            <w:r>
              <w:rPr>
                <w:color w:val="000000"/>
              </w:rPr>
              <w:t>, 2024</w:t>
            </w:r>
          </w:p>
        </w:tc>
        <w:tc>
          <w:tcPr>
            <w:tcW w:w="2276" w:type="dxa"/>
          </w:tcPr>
          <w:p w:rsidRPr="007F620E" w:rsidR="00A92D0B" w:rsidP="00F028C8" w:rsidRDefault="00311ED5" w14:paraId="1CBF4E7A" w14:textId="5300593F">
            <w:pPr>
              <w:tabs>
                <w:tab w:val="left" w:pos="360"/>
              </w:tabs>
              <w:rPr>
                <w:color w:val="000000"/>
              </w:rPr>
            </w:pPr>
            <w:r>
              <w:rPr>
                <w:color w:val="000000"/>
              </w:rPr>
              <w:t>Verified</w:t>
            </w:r>
          </w:p>
        </w:tc>
      </w:tr>
      <w:tr w:rsidRPr="007F620E" w:rsidR="00A92D0B" w:rsidTr="03A7085E" w14:paraId="406BCA3A" w14:textId="77777777">
        <w:tc>
          <w:tcPr>
            <w:tcW w:w="7084" w:type="dxa"/>
            <w:gridSpan w:val="2"/>
          </w:tcPr>
          <w:p w:rsidRPr="007F620E" w:rsidR="00A92D0B" w:rsidP="00F028C8" w:rsidRDefault="00A92D0B" w14:paraId="10AF42D1" w14:textId="67695104">
            <w:pPr>
              <w:tabs>
                <w:tab w:val="left" w:pos="360"/>
              </w:tabs>
              <w:ind w:left="360" w:hanging="360"/>
              <w:rPr>
                <w:color w:val="000000"/>
              </w:rPr>
            </w:pPr>
            <w:proofErr w:type="gramStart"/>
            <w:r w:rsidRPr="007F620E">
              <w:rPr>
                <w:color w:val="000000"/>
              </w:rPr>
              <w:t>16</w:t>
            </w:r>
            <w:r w:rsidR="001E7EE2">
              <w:rPr>
                <w:color w:val="000000"/>
              </w:rPr>
              <w:t>.</w:t>
            </w:r>
            <w:r w:rsidR="001E7EE2">
              <w:rPr>
                <w:color w:val="000000"/>
              </w:rPr>
              <w:tab/>
            </w:r>
            <w:r w:rsidRPr="007F620E">
              <w:rPr>
                <w:color w:val="000000"/>
              </w:rPr>
              <w:t>Was</w:t>
            </w:r>
            <w:proofErr w:type="gramEnd"/>
            <w:r w:rsidRPr="007F620E">
              <w:rPr>
                <w:color w:val="000000"/>
              </w:rPr>
              <w:t xml:space="preserve"> the request for compensation timely?</w:t>
            </w:r>
          </w:p>
        </w:tc>
        <w:tc>
          <w:tcPr>
            <w:tcW w:w="2276" w:type="dxa"/>
          </w:tcPr>
          <w:p w:rsidRPr="007F620E" w:rsidR="00A92D0B" w:rsidP="00F028C8" w:rsidRDefault="00311ED5" w14:paraId="2EA30E63" w14:textId="023914AC">
            <w:pPr>
              <w:tabs>
                <w:tab w:val="left" w:pos="360"/>
              </w:tabs>
              <w:rPr>
                <w:color w:val="000000"/>
              </w:rPr>
            </w:pPr>
            <w:r>
              <w:rPr>
                <w:color w:val="000000"/>
              </w:rPr>
              <w:t>Yes</w:t>
            </w:r>
          </w:p>
        </w:tc>
      </w:tr>
    </w:tbl>
    <w:p w:rsidR="003B6A1B" w:rsidP="006259C7" w:rsidRDefault="00A92D0B" w14:paraId="501B5F3D" w14:textId="556EC374">
      <w:pPr>
        <w:keepNext/>
        <w:spacing w:before="360"/>
        <w:jc w:val="center"/>
        <w:rPr>
          <w:b/>
          <w:color w:val="000000"/>
        </w:rPr>
      </w:pPr>
      <w:r w:rsidRPr="007F620E">
        <w:rPr>
          <w:b/>
          <w:color w:val="000000"/>
        </w:rPr>
        <w:t>PART II</w:t>
      </w:r>
      <w:r w:rsidRPr="007F620E" w:rsidR="00F155C2">
        <w:rPr>
          <w:b/>
          <w:color w:val="000000"/>
        </w:rPr>
        <w:t>:</w:t>
      </w:r>
      <w:r w:rsidR="00F155C2">
        <w:rPr>
          <w:b/>
          <w:color w:val="000000"/>
        </w:rPr>
        <w:t xml:space="preserve"> SUBSTANTIAL</w:t>
      </w:r>
      <w:r w:rsidRPr="007F620E">
        <w:rPr>
          <w:b/>
          <w:color w:val="000000"/>
        </w:rPr>
        <w:t xml:space="preserve"> CONTRIBUTION</w:t>
      </w:r>
    </w:p>
    <w:p w:rsidRPr="00C02649" w:rsidR="00A92D0B" w:rsidP="006259C7" w:rsidRDefault="00D075B1" w14:paraId="337CC332" w14:textId="0FCE9127">
      <w:pPr>
        <w:keepNext/>
        <w:numPr>
          <w:ilvl w:val="0"/>
          <w:numId w:val="10"/>
        </w:numPr>
        <w:spacing w:before="120" w:after="120"/>
        <w:rPr>
          <w:b/>
          <w:color w:val="000000"/>
        </w:rPr>
      </w:pPr>
      <w:r w:rsidRPr="007F620E">
        <w:rPr>
          <w:b/>
          <w:color w:val="000000"/>
        </w:rPr>
        <w:t xml:space="preserve">Did the </w:t>
      </w:r>
      <w:r w:rsidRPr="007F620E" w:rsidR="005A63D4">
        <w:rPr>
          <w:b/>
          <w:color w:val="000000"/>
        </w:rPr>
        <w:t>Intervenor</w:t>
      </w:r>
      <w:r w:rsidRPr="007F620E">
        <w:rPr>
          <w:b/>
          <w:color w:val="000000"/>
        </w:rPr>
        <w:t xml:space="preserve"> substantially contribute to the final decision</w:t>
      </w:r>
      <w:r w:rsidRPr="007F620E" w:rsidR="00A92D0B">
        <w:rPr>
          <w:b/>
          <w:color w:val="000000"/>
        </w:rPr>
        <w:t xml:space="preserve"> (</w:t>
      </w:r>
      <w:r w:rsidRPr="007F620E" w:rsidR="00A92D0B">
        <w:rPr>
          <w:b/>
          <w:i/>
          <w:color w:val="000000"/>
        </w:rPr>
        <w:t>see</w:t>
      </w:r>
      <w:r w:rsidRPr="007F620E" w:rsidR="00A92D0B">
        <w:rPr>
          <w:b/>
          <w:color w:val="000000"/>
        </w:rPr>
        <w:t xml:space="preserve"> § 1802(</w:t>
      </w:r>
      <w:r w:rsidR="00ED6B6B">
        <w:rPr>
          <w:b/>
          <w:color w:val="000000"/>
        </w:rPr>
        <w:t>j</w:t>
      </w:r>
      <w:r w:rsidRPr="007F620E" w:rsidR="00A92D0B">
        <w:rPr>
          <w:b/>
          <w:color w:val="000000"/>
        </w:rPr>
        <w:t xml:space="preserve">), </w:t>
      </w:r>
      <w:r w:rsidRPr="007F620E" w:rsidR="001E77CF">
        <w:rPr>
          <w:b/>
          <w:color w:val="000000"/>
        </w:rPr>
        <w:br/>
      </w:r>
      <w:r w:rsidRPr="007F620E" w:rsidR="00A92D0B">
        <w:rPr>
          <w:b/>
          <w:color w:val="000000"/>
        </w:rPr>
        <w:t>§ 1803(a)</w:t>
      </w:r>
      <w:r w:rsidRPr="007F620E" w:rsidR="00F30DA8">
        <w:rPr>
          <w:b/>
          <w:color w:val="000000"/>
        </w:rPr>
        <w:t>,</w:t>
      </w:r>
      <w:r w:rsidRPr="007F620E" w:rsidR="00A92D0B">
        <w:rPr>
          <w:b/>
          <w:color w:val="000000"/>
        </w:rPr>
        <w:t xml:space="preserve"> </w:t>
      </w:r>
      <w:r w:rsidR="00ED6B6B">
        <w:rPr>
          <w:b/>
          <w:color w:val="000000"/>
        </w:rPr>
        <w:t xml:space="preserve">1803.1(a) </w:t>
      </w:r>
      <w:r w:rsidRPr="007F620E" w:rsidR="00F30DA8">
        <w:rPr>
          <w:b/>
          <w:color w:val="000000"/>
        </w:rPr>
        <w:t>and</w:t>
      </w:r>
      <w:r w:rsidRPr="007F620E" w:rsidR="00A92D0B">
        <w:rPr>
          <w:b/>
          <w:color w:val="000000"/>
        </w:rPr>
        <w:t xml:space="preserve"> D.98-04-059)</w:t>
      </w:r>
      <w:r w:rsidR="00C02649">
        <w:rPr>
          <w:b/>
          <w:color w:val="000000"/>
        </w:rPr>
        <w:t>:</w:t>
      </w:r>
      <w:r w:rsidRPr="007F620E" w:rsidR="00A92D0B">
        <w:rPr>
          <w:b/>
          <w:color w:val="000000"/>
        </w:rPr>
        <w:t xml:space="preserve"> </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258"/>
        <w:gridCol w:w="4140"/>
        <w:gridCol w:w="2340"/>
      </w:tblGrid>
      <w:tr w:rsidRPr="007F620E" w:rsidR="00A92D0B" w:rsidTr="00100142" w14:paraId="67755362" w14:textId="77777777">
        <w:trPr>
          <w:tblHeader/>
        </w:trPr>
        <w:tc>
          <w:tcPr>
            <w:tcW w:w="3258" w:type="dxa"/>
            <w:tcBorders>
              <w:bottom w:val="single" w:color="auto" w:sz="4" w:space="0"/>
            </w:tcBorders>
            <w:shd w:val="clear" w:color="auto" w:fill="D9D9D9" w:themeFill="background1" w:themeFillShade="D9"/>
            <w:vAlign w:val="bottom"/>
          </w:tcPr>
          <w:p w:rsidRPr="007F620E" w:rsidR="00A92D0B" w:rsidP="00073262" w:rsidRDefault="00D075B1" w14:paraId="7CE2E5BB" w14:textId="77777777">
            <w:pPr>
              <w:jc w:val="center"/>
              <w:rPr>
                <w:b/>
                <w:color w:val="000000"/>
              </w:rPr>
            </w:pPr>
            <w:r w:rsidRPr="007F620E">
              <w:rPr>
                <w:b/>
                <w:color w:val="000000"/>
              </w:rPr>
              <w:t>Intervenor’s Claimed Contribution(s)</w:t>
            </w:r>
          </w:p>
        </w:tc>
        <w:tc>
          <w:tcPr>
            <w:tcW w:w="4140" w:type="dxa"/>
            <w:tcBorders>
              <w:bottom w:val="single" w:color="auto" w:sz="4" w:space="0"/>
            </w:tcBorders>
            <w:shd w:val="clear" w:color="auto" w:fill="D9D9D9" w:themeFill="background1" w:themeFillShade="D9"/>
            <w:vAlign w:val="bottom"/>
          </w:tcPr>
          <w:p w:rsidRPr="007F620E" w:rsidR="00A92D0B" w:rsidP="00073262" w:rsidRDefault="00A92D0B" w14:paraId="2794272E" w14:textId="77777777">
            <w:pPr>
              <w:jc w:val="center"/>
              <w:rPr>
                <w:b/>
                <w:color w:val="000000"/>
              </w:rPr>
            </w:pPr>
            <w:r w:rsidRPr="007F620E">
              <w:rPr>
                <w:b/>
                <w:color w:val="000000"/>
              </w:rPr>
              <w:t xml:space="preserve">Specific References to </w:t>
            </w:r>
            <w:r w:rsidRPr="007F620E" w:rsidR="00D075B1">
              <w:rPr>
                <w:b/>
                <w:color w:val="000000"/>
              </w:rPr>
              <w:t>Intervenor’s Claimed Contribution(s)</w:t>
            </w:r>
          </w:p>
        </w:tc>
        <w:tc>
          <w:tcPr>
            <w:tcW w:w="2340" w:type="dxa"/>
            <w:shd w:val="clear" w:color="auto" w:fill="D9D9D9" w:themeFill="background1" w:themeFillShade="D9"/>
            <w:vAlign w:val="bottom"/>
          </w:tcPr>
          <w:p w:rsidRPr="007F620E" w:rsidR="00A92D0B" w:rsidP="00073262" w:rsidRDefault="00D075B1" w14:paraId="79AFC714" w14:textId="77777777">
            <w:pPr>
              <w:jc w:val="center"/>
              <w:rPr>
                <w:b/>
                <w:color w:val="000000"/>
              </w:rPr>
            </w:pPr>
            <w:r w:rsidRPr="007F620E">
              <w:rPr>
                <w:b/>
                <w:color w:val="000000"/>
              </w:rPr>
              <w:t>CPUC Discussion</w:t>
            </w:r>
          </w:p>
        </w:tc>
      </w:tr>
      <w:tr w:rsidRPr="007F620E" w:rsidR="00A92D0B" w:rsidTr="00100142" w14:paraId="2E691FFC" w14:textId="77777777">
        <w:tc>
          <w:tcPr>
            <w:tcW w:w="3258" w:type="dxa"/>
          </w:tcPr>
          <w:p w:rsidRPr="00EF1F9B" w:rsidR="00A92D0B" w:rsidP="00073262" w:rsidRDefault="00A92D0B" w14:paraId="54649358" w14:textId="357A4377">
            <w:pPr>
              <w:rPr>
                <w:b/>
                <w:bCs/>
                <w:color w:val="000000"/>
              </w:rPr>
            </w:pPr>
            <w:r w:rsidRPr="007F620E">
              <w:rPr>
                <w:color w:val="000000"/>
              </w:rPr>
              <w:t>1.</w:t>
            </w:r>
            <w:r w:rsidR="00E25078">
              <w:rPr>
                <w:color w:val="000000"/>
              </w:rPr>
              <w:t xml:space="preserve"> </w:t>
            </w:r>
            <w:r w:rsidRPr="00EF1F9B" w:rsidR="004A388D">
              <w:rPr>
                <w:b/>
                <w:bCs/>
                <w:i/>
                <w:iCs/>
                <w:color w:val="000000"/>
              </w:rPr>
              <w:t>UCAN contributed to the Ruling to modify the CCM.</w:t>
            </w:r>
          </w:p>
          <w:p w:rsidR="0089132C" w:rsidP="00073262" w:rsidRDefault="0089132C" w14:paraId="3F35333D" w14:textId="77777777">
            <w:pPr>
              <w:rPr>
                <w:color w:val="000000"/>
              </w:rPr>
            </w:pPr>
          </w:p>
          <w:p w:rsidR="008C7BBD" w:rsidP="00073262" w:rsidRDefault="008C7BBD" w14:paraId="7280BA52" w14:textId="77777777">
            <w:pPr>
              <w:rPr>
                <w:color w:val="000000"/>
              </w:rPr>
            </w:pPr>
          </w:p>
          <w:p w:rsidR="0089132C" w:rsidP="00073262" w:rsidRDefault="0089132C" w14:paraId="2824B9F4" w14:textId="4F78BF71">
            <w:pPr>
              <w:rPr>
                <w:color w:val="000000"/>
              </w:rPr>
            </w:pPr>
            <w:r>
              <w:rPr>
                <w:color w:val="000000"/>
              </w:rPr>
              <w:t>UCAN testified, briefed and presented arguments</w:t>
            </w:r>
            <w:r w:rsidR="00302326">
              <w:rPr>
                <w:color w:val="000000"/>
              </w:rPr>
              <w:t xml:space="preserve"> that the Decision incorporated into its holdings.</w:t>
            </w:r>
          </w:p>
          <w:p w:rsidR="00452A11" w:rsidP="00073262" w:rsidRDefault="00452A11" w14:paraId="4EB20502" w14:textId="77777777">
            <w:pPr>
              <w:rPr>
                <w:color w:val="000000"/>
              </w:rPr>
            </w:pPr>
          </w:p>
          <w:p w:rsidR="00302326" w:rsidP="00073262" w:rsidRDefault="00302326" w14:paraId="4C54FCA0" w14:textId="31833FB5">
            <w:pPr>
              <w:rPr>
                <w:color w:val="000000"/>
              </w:rPr>
            </w:pPr>
            <w:r>
              <w:rPr>
                <w:color w:val="000000"/>
              </w:rPr>
              <w:lastRenderedPageBreak/>
              <w:t>UCAN’s Witness</w:t>
            </w:r>
            <w:r w:rsidR="00305C2E">
              <w:rPr>
                <w:color w:val="000000"/>
              </w:rPr>
              <w:t xml:space="preserve"> testified to the regulatory burden presently incurred in the current CCM process.</w:t>
            </w:r>
          </w:p>
          <w:p w:rsidRPr="00F276D8" w:rsidR="005D525A" w:rsidP="00073262" w:rsidRDefault="00D16DB6" w14:paraId="4996AB3C" w14:textId="299F0692">
            <w:pPr>
              <w:rPr>
                <w:b/>
                <w:bCs/>
                <w:color w:val="000000"/>
              </w:rPr>
            </w:pPr>
            <w:r>
              <w:rPr>
                <w:b/>
                <w:bCs/>
                <w:color w:val="000000"/>
              </w:rPr>
              <w:t xml:space="preserve">Phase 2 </w:t>
            </w:r>
            <w:r w:rsidRPr="00F276D8" w:rsidR="00317A50">
              <w:rPr>
                <w:b/>
                <w:bCs/>
                <w:color w:val="000000"/>
              </w:rPr>
              <w:t>Opening Brief</w:t>
            </w:r>
            <w:r w:rsidR="008C03F9">
              <w:rPr>
                <w:b/>
                <w:bCs/>
                <w:color w:val="000000"/>
              </w:rPr>
              <w:t xml:space="preserve"> of UCAN</w:t>
            </w:r>
            <w:r w:rsidRPr="00F276D8" w:rsidR="00317A50">
              <w:rPr>
                <w:b/>
                <w:bCs/>
                <w:color w:val="000000"/>
              </w:rPr>
              <w:t xml:space="preserve">, at pp. 2-4; </w:t>
            </w:r>
            <w:r w:rsidRPr="00F276D8" w:rsidR="00F276D8">
              <w:rPr>
                <w:b/>
                <w:bCs/>
                <w:color w:val="000000"/>
              </w:rPr>
              <w:t>Phase 2 Rebuttal Testimony of Karl Richard Pavlovic at pp. 4-6.</w:t>
            </w:r>
          </w:p>
          <w:p w:rsidR="00305C2E" w:rsidP="00073262" w:rsidRDefault="00305C2E" w14:paraId="15A3937A" w14:textId="77777777">
            <w:pPr>
              <w:rPr>
                <w:color w:val="000000"/>
              </w:rPr>
            </w:pPr>
          </w:p>
          <w:p w:rsidR="00305C2E" w:rsidP="00073262" w:rsidRDefault="00305C2E" w14:paraId="7E30ABEE" w14:textId="54B14EE2">
            <w:pPr>
              <w:rPr>
                <w:color w:val="000000"/>
              </w:rPr>
            </w:pPr>
            <w:r>
              <w:rPr>
                <w:color w:val="000000"/>
              </w:rPr>
              <w:t>UCAN’s Witness also</w:t>
            </w:r>
            <w:r w:rsidR="002B14F8">
              <w:rPr>
                <w:color w:val="000000"/>
              </w:rPr>
              <w:t xml:space="preserve"> raised concerns regarding the asymmetrical application of the CCM tilting in favor of the </w:t>
            </w:r>
            <w:r w:rsidR="00C27BD1">
              <w:rPr>
                <w:color w:val="000000"/>
              </w:rPr>
              <w:t>Utilities.</w:t>
            </w:r>
          </w:p>
          <w:p w:rsidRPr="00F276D8" w:rsidR="004565FB" w:rsidP="004565FB" w:rsidRDefault="00D16DB6" w14:paraId="4D8E71AF" w14:textId="41F306B6">
            <w:pPr>
              <w:rPr>
                <w:b/>
                <w:bCs/>
                <w:color w:val="000000"/>
              </w:rPr>
            </w:pPr>
            <w:r>
              <w:rPr>
                <w:b/>
                <w:bCs/>
                <w:color w:val="000000"/>
              </w:rPr>
              <w:t xml:space="preserve">Phase 2 </w:t>
            </w:r>
            <w:r w:rsidRPr="00F276D8" w:rsidR="004565FB">
              <w:rPr>
                <w:b/>
                <w:bCs/>
                <w:color w:val="000000"/>
              </w:rPr>
              <w:t>Opening Brief</w:t>
            </w:r>
            <w:r>
              <w:rPr>
                <w:b/>
                <w:bCs/>
                <w:color w:val="000000"/>
              </w:rPr>
              <w:t xml:space="preserve"> of UCAN</w:t>
            </w:r>
            <w:r w:rsidRPr="00F276D8" w:rsidR="004565FB">
              <w:rPr>
                <w:b/>
                <w:bCs/>
                <w:color w:val="000000"/>
              </w:rPr>
              <w:t xml:space="preserve">, at p. </w:t>
            </w:r>
            <w:r w:rsidR="004565FB">
              <w:rPr>
                <w:b/>
                <w:bCs/>
                <w:color w:val="000000"/>
              </w:rPr>
              <w:t>8</w:t>
            </w:r>
            <w:r w:rsidRPr="00F276D8" w:rsidR="004565FB">
              <w:rPr>
                <w:b/>
                <w:bCs/>
                <w:color w:val="000000"/>
              </w:rPr>
              <w:t>; Phase 2 Rebuttal Testimony of Karl Richard Pavlovic at p. 6.</w:t>
            </w:r>
          </w:p>
          <w:p w:rsidRPr="00822BB0" w:rsidR="00C27BD1" w:rsidP="00073262" w:rsidRDefault="00C27BD1" w14:paraId="6FB44FF0" w14:textId="6CAC1E76">
            <w:pPr>
              <w:rPr>
                <w:b/>
                <w:bCs/>
                <w:color w:val="000000"/>
              </w:rPr>
            </w:pPr>
          </w:p>
          <w:p w:rsidR="00B053DE" w:rsidP="00073262" w:rsidRDefault="00DB1EBD" w14:paraId="69D726E5" w14:textId="77777777">
            <w:pPr>
              <w:rPr>
                <w:color w:val="000000"/>
              </w:rPr>
            </w:pPr>
            <w:r>
              <w:rPr>
                <w:color w:val="000000"/>
              </w:rPr>
              <w:t xml:space="preserve">In its Brief and Comments, </w:t>
            </w:r>
            <w:r w:rsidRPr="00DB1EBD">
              <w:rPr>
                <w:color w:val="000000"/>
              </w:rPr>
              <w:t>UCAN argue</w:t>
            </w:r>
            <w:r>
              <w:rPr>
                <w:color w:val="000000"/>
              </w:rPr>
              <w:t>d</w:t>
            </w:r>
            <w:r w:rsidRPr="00DB1EBD">
              <w:rPr>
                <w:color w:val="000000"/>
              </w:rPr>
              <w:t xml:space="preserve"> that the CCM has not supported the goals of promoting regulatory efficiency and reducing the administrative burden on the utilities, intervenors, and Commission staff.</w:t>
            </w:r>
          </w:p>
          <w:p w:rsidRPr="00751A7D" w:rsidR="00751A7D" w:rsidP="00751A7D" w:rsidRDefault="00D16DB6" w14:paraId="4FD62C5C" w14:textId="18F680FE">
            <w:pPr>
              <w:rPr>
                <w:b/>
                <w:bCs/>
                <w:color w:val="000000"/>
              </w:rPr>
            </w:pPr>
            <w:r>
              <w:rPr>
                <w:b/>
                <w:bCs/>
                <w:color w:val="000000"/>
              </w:rPr>
              <w:t xml:space="preserve">Phase 2 </w:t>
            </w:r>
            <w:r w:rsidRPr="00F276D8" w:rsidR="00026BA7">
              <w:rPr>
                <w:b/>
                <w:bCs/>
                <w:color w:val="000000"/>
              </w:rPr>
              <w:t>Opening Brief</w:t>
            </w:r>
            <w:r>
              <w:rPr>
                <w:b/>
                <w:bCs/>
                <w:color w:val="000000"/>
              </w:rPr>
              <w:t xml:space="preserve"> of UCAN</w:t>
            </w:r>
            <w:r w:rsidRPr="00F276D8" w:rsidR="00026BA7">
              <w:rPr>
                <w:b/>
                <w:bCs/>
                <w:color w:val="000000"/>
              </w:rPr>
              <w:t xml:space="preserve">, at pp. </w:t>
            </w:r>
            <w:r w:rsidR="00026BA7">
              <w:rPr>
                <w:b/>
                <w:bCs/>
                <w:color w:val="000000"/>
              </w:rPr>
              <w:t>4</w:t>
            </w:r>
            <w:r w:rsidRPr="00F276D8" w:rsidR="00026BA7">
              <w:rPr>
                <w:b/>
                <w:bCs/>
                <w:color w:val="000000"/>
              </w:rPr>
              <w:t>-</w:t>
            </w:r>
            <w:r w:rsidR="00026BA7">
              <w:rPr>
                <w:b/>
                <w:bCs/>
                <w:color w:val="000000"/>
              </w:rPr>
              <w:t>6</w:t>
            </w:r>
            <w:r w:rsidRPr="00F276D8" w:rsidR="00026BA7">
              <w:rPr>
                <w:b/>
                <w:bCs/>
                <w:color w:val="000000"/>
              </w:rPr>
              <w:t>;</w:t>
            </w:r>
            <w:r w:rsidR="00E61666">
              <w:rPr>
                <w:b/>
                <w:bCs/>
                <w:color w:val="000000"/>
              </w:rPr>
              <w:t xml:space="preserve"> Phase 2 Reply Brief, at p. </w:t>
            </w:r>
            <w:r w:rsidR="00FB2553">
              <w:rPr>
                <w:b/>
                <w:bCs/>
                <w:color w:val="000000"/>
              </w:rPr>
              <w:t>5</w:t>
            </w:r>
            <w:r w:rsidR="00AD1821">
              <w:rPr>
                <w:b/>
                <w:bCs/>
                <w:color w:val="000000"/>
              </w:rPr>
              <w:t xml:space="preserve">; </w:t>
            </w:r>
            <w:r w:rsidRPr="00751A7D" w:rsidR="00751A7D">
              <w:rPr>
                <w:b/>
                <w:bCs/>
                <w:color w:val="000000"/>
              </w:rPr>
              <w:t>Opening Comments of UCAN on the Proposed Phase Two Decision, at p</w:t>
            </w:r>
            <w:r w:rsidR="00751A7D">
              <w:rPr>
                <w:b/>
                <w:bCs/>
                <w:color w:val="000000"/>
              </w:rPr>
              <w:t xml:space="preserve"> </w:t>
            </w:r>
            <w:r w:rsidRPr="00751A7D" w:rsidR="00751A7D">
              <w:rPr>
                <w:b/>
                <w:bCs/>
                <w:color w:val="000000"/>
              </w:rPr>
              <w:t>3.</w:t>
            </w:r>
          </w:p>
          <w:p w:rsidRPr="00822BB0" w:rsidR="00B053DE" w:rsidP="00B053DE" w:rsidRDefault="00B053DE" w14:paraId="30637682" w14:textId="6670A3D4">
            <w:pPr>
              <w:rPr>
                <w:b/>
                <w:bCs/>
                <w:color w:val="000000"/>
              </w:rPr>
            </w:pPr>
          </w:p>
          <w:p w:rsidR="00B053DE" w:rsidP="00073262" w:rsidRDefault="00B053DE" w14:paraId="4836E670" w14:textId="77777777">
            <w:pPr>
              <w:rPr>
                <w:color w:val="000000"/>
              </w:rPr>
            </w:pPr>
          </w:p>
          <w:p w:rsidR="00DB1EBD" w:rsidP="00073262" w:rsidRDefault="00B053DE" w14:paraId="713188EC" w14:textId="3A4F1482">
            <w:pPr>
              <w:rPr>
                <w:color w:val="000000"/>
              </w:rPr>
            </w:pPr>
            <w:r>
              <w:rPr>
                <w:color w:val="000000"/>
              </w:rPr>
              <w:t xml:space="preserve">And UCAN contended </w:t>
            </w:r>
            <w:r w:rsidRPr="00DB1EBD" w:rsidR="00DB1EBD">
              <w:rPr>
                <w:color w:val="000000"/>
              </w:rPr>
              <w:t xml:space="preserve">that the provisions of the CCM have been applied asymmetrically to the detriment of ratepayers. UCAN further argues that refining and revising the CCM process would not reduce the controversy around the CCM </w:t>
            </w:r>
            <w:r w:rsidRPr="00DB1EBD" w:rsidR="00DB1EBD">
              <w:rPr>
                <w:color w:val="000000"/>
              </w:rPr>
              <w:lastRenderedPageBreak/>
              <w:t>nor address the asymmetric application of the CCM.</w:t>
            </w:r>
          </w:p>
          <w:p w:rsidR="00515CAF" w:rsidP="00073262" w:rsidRDefault="00515CAF" w14:paraId="3B917682" w14:textId="25035601">
            <w:pPr>
              <w:rPr>
                <w:b/>
                <w:bCs/>
                <w:color w:val="000000"/>
              </w:rPr>
            </w:pPr>
            <w:r w:rsidRPr="000908FD">
              <w:rPr>
                <w:b/>
                <w:bCs/>
              </w:rPr>
              <w:t>P</w:t>
            </w:r>
            <w:r>
              <w:rPr>
                <w:b/>
                <w:bCs/>
              </w:rPr>
              <w:t>hase</w:t>
            </w:r>
            <w:r w:rsidRPr="000908FD">
              <w:rPr>
                <w:b/>
                <w:bCs/>
              </w:rPr>
              <w:t xml:space="preserve"> </w:t>
            </w:r>
            <w:r>
              <w:rPr>
                <w:b/>
                <w:bCs/>
              </w:rPr>
              <w:t>2</w:t>
            </w:r>
            <w:r w:rsidRPr="000908FD">
              <w:rPr>
                <w:b/>
                <w:bCs/>
              </w:rPr>
              <w:t xml:space="preserve"> R</w:t>
            </w:r>
            <w:r>
              <w:rPr>
                <w:b/>
                <w:bCs/>
              </w:rPr>
              <w:t>eply Brief of</w:t>
            </w:r>
            <w:r w:rsidRPr="000908FD">
              <w:rPr>
                <w:b/>
                <w:bCs/>
              </w:rPr>
              <w:t xml:space="preserve"> UCA</w:t>
            </w:r>
            <w:r>
              <w:rPr>
                <w:b/>
                <w:bCs/>
              </w:rPr>
              <w:t>N</w:t>
            </w:r>
            <w:r w:rsidRPr="00822BB0">
              <w:rPr>
                <w:b/>
                <w:bCs/>
                <w:color w:val="000000"/>
              </w:rPr>
              <w:t>, at p</w:t>
            </w:r>
            <w:r>
              <w:rPr>
                <w:b/>
                <w:bCs/>
                <w:color w:val="000000"/>
              </w:rPr>
              <w:t>p</w:t>
            </w:r>
            <w:r w:rsidRPr="00822BB0">
              <w:rPr>
                <w:b/>
                <w:bCs/>
                <w:color w:val="000000"/>
              </w:rPr>
              <w:t xml:space="preserve">. </w:t>
            </w:r>
            <w:r>
              <w:rPr>
                <w:b/>
                <w:bCs/>
                <w:color w:val="000000"/>
              </w:rPr>
              <w:t>5-6</w:t>
            </w:r>
            <w:r w:rsidR="00B77201">
              <w:rPr>
                <w:b/>
                <w:bCs/>
                <w:color w:val="000000"/>
              </w:rPr>
              <w:t xml:space="preserve">; </w:t>
            </w:r>
            <w:r w:rsidRPr="00910CC8" w:rsidR="00910CC8">
              <w:rPr>
                <w:b/>
                <w:bCs/>
                <w:color w:val="000000"/>
              </w:rPr>
              <w:t>Phase 2 Rebuttal Testimony of Karl Richard Pavlovic at p</w:t>
            </w:r>
            <w:r w:rsidR="00910CC8">
              <w:rPr>
                <w:b/>
                <w:bCs/>
                <w:color w:val="000000"/>
              </w:rPr>
              <w:t>p</w:t>
            </w:r>
            <w:r w:rsidRPr="00910CC8" w:rsidR="00910CC8">
              <w:rPr>
                <w:b/>
                <w:bCs/>
                <w:color w:val="000000"/>
              </w:rPr>
              <w:t xml:space="preserve">. </w:t>
            </w:r>
            <w:r w:rsidR="00910CC8">
              <w:rPr>
                <w:b/>
                <w:bCs/>
                <w:color w:val="000000"/>
              </w:rPr>
              <w:t>3-6</w:t>
            </w:r>
          </w:p>
          <w:p w:rsidR="00D3346E" w:rsidP="00073262" w:rsidRDefault="00D3346E" w14:paraId="08A2F3D7" w14:textId="5CE1408F">
            <w:pPr>
              <w:rPr>
                <w:color w:val="000000"/>
              </w:rPr>
            </w:pPr>
            <w:r w:rsidRPr="00D3346E">
              <w:rPr>
                <w:b/>
                <w:bCs/>
                <w:color w:val="000000"/>
              </w:rPr>
              <w:t>Opening Comments of UCAN on the Proposed Phase Two Decision</w:t>
            </w:r>
            <w:r>
              <w:rPr>
                <w:b/>
                <w:bCs/>
                <w:color w:val="000000"/>
              </w:rPr>
              <w:t>, a</w:t>
            </w:r>
            <w:r w:rsidR="00AD772A">
              <w:rPr>
                <w:b/>
                <w:bCs/>
                <w:color w:val="000000"/>
              </w:rPr>
              <w:t>t pp. 2-3.</w:t>
            </w:r>
          </w:p>
          <w:p w:rsidR="00DB1EBD" w:rsidP="00073262" w:rsidRDefault="00DB1EBD" w14:paraId="46A88B7B" w14:textId="77777777">
            <w:pPr>
              <w:rPr>
                <w:color w:val="000000"/>
              </w:rPr>
            </w:pPr>
          </w:p>
          <w:p w:rsidR="00D871DD" w:rsidP="00D871DD" w:rsidRDefault="00D56604" w14:paraId="38268080" w14:textId="2507B374">
            <w:pPr>
              <w:rPr>
                <w:color w:val="000000"/>
              </w:rPr>
            </w:pPr>
            <w:r>
              <w:rPr>
                <w:color w:val="000000"/>
              </w:rPr>
              <w:t xml:space="preserve">UCAN’s Witness presented research and findings that </w:t>
            </w:r>
            <w:r w:rsidR="00411FDC">
              <w:rPr>
                <w:color w:val="000000"/>
              </w:rPr>
              <w:t>presented</w:t>
            </w:r>
            <w:r>
              <w:rPr>
                <w:color w:val="000000"/>
              </w:rPr>
              <w:t xml:space="preserve"> </w:t>
            </w:r>
            <w:r w:rsidRPr="00D871DD" w:rsidR="00D871DD">
              <w:rPr>
                <w:color w:val="000000"/>
              </w:rPr>
              <w:t>a 20% adjustment factor is more appropriate.</w:t>
            </w:r>
          </w:p>
          <w:p w:rsidRPr="00822BB0" w:rsidR="00411FDC" w:rsidP="00D871DD" w:rsidRDefault="00951B2C" w14:paraId="430FF583" w14:textId="3CF0FA52">
            <w:pPr>
              <w:rPr>
                <w:b/>
                <w:bCs/>
                <w:color w:val="000000"/>
              </w:rPr>
            </w:pPr>
            <w:r w:rsidRPr="00951B2C">
              <w:rPr>
                <w:b/>
                <w:bCs/>
                <w:color w:val="000000"/>
              </w:rPr>
              <w:t xml:space="preserve">Phase 2 </w:t>
            </w:r>
            <w:r>
              <w:rPr>
                <w:b/>
                <w:bCs/>
                <w:color w:val="000000"/>
              </w:rPr>
              <w:t xml:space="preserve">Direct </w:t>
            </w:r>
            <w:r w:rsidRPr="00951B2C">
              <w:rPr>
                <w:b/>
                <w:bCs/>
                <w:color w:val="000000"/>
              </w:rPr>
              <w:t>Testimony of Karl Richard Pavlovic at p</w:t>
            </w:r>
            <w:r>
              <w:rPr>
                <w:b/>
                <w:bCs/>
                <w:color w:val="000000"/>
              </w:rPr>
              <w:t>p</w:t>
            </w:r>
            <w:r w:rsidRPr="00951B2C">
              <w:rPr>
                <w:b/>
                <w:bCs/>
                <w:color w:val="000000"/>
              </w:rPr>
              <w:t>. 6</w:t>
            </w:r>
            <w:r>
              <w:rPr>
                <w:b/>
                <w:bCs/>
                <w:color w:val="000000"/>
              </w:rPr>
              <w:t xml:space="preserve">-11; </w:t>
            </w:r>
            <w:r w:rsidRPr="00272528" w:rsidR="00272528">
              <w:rPr>
                <w:b/>
                <w:bCs/>
                <w:color w:val="000000"/>
              </w:rPr>
              <w:t xml:space="preserve">Phase 2 Rebuttal Testimony of Karl Richard Pavlovic at p. </w:t>
            </w:r>
            <w:r w:rsidR="007E30FF">
              <w:rPr>
                <w:b/>
                <w:bCs/>
                <w:color w:val="000000"/>
              </w:rPr>
              <w:t>2</w:t>
            </w:r>
            <w:r w:rsidR="003435B1">
              <w:rPr>
                <w:b/>
                <w:bCs/>
                <w:color w:val="000000"/>
              </w:rPr>
              <w:t xml:space="preserve">; </w:t>
            </w:r>
            <w:r w:rsidRPr="00B77201" w:rsidR="00B77201">
              <w:rPr>
                <w:b/>
                <w:bCs/>
                <w:color w:val="000000"/>
              </w:rPr>
              <w:t>Phase 2 Rebuttal Testimony of Marlon F. Griffing, at p</w:t>
            </w:r>
            <w:r w:rsidR="00B77201">
              <w:rPr>
                <w:b/>
                <w:bCs/>
                <w:color w:val="000000"/>
              </w:rPr>
              <w:t>p</w:t>
            </w:r>
            <w:r w:rsidRPr="00B77201" w:rsidR="00B77201">
              <w:rPr>
                <w:b/>
                <w:bCs/>
                <w:color w:val="000000"/>
              </w:rPr>
              <w:t xml:space="preserve">. </w:t>
            </w:r>
            <w:r w:rsidR="00B77201">
              <w:rPr>
                <w:b/>
                <w:bCs/>
                <w:color w:val="000000"/>
              </w:rPr>
              <w:t>3-</w:t>
            </w:r>
            <w:r w:rsidR="00D94809">
              <w:rPr>
                <w:b/>
                <w:bCs/>
                <w:color w:val="000000"/>
              </w:rPr>
              <w:t>5</w:t>
            </w:r>
            <w:r w:rsidR="00B77201">
              <w:rPr>
                <w:b/>
                <w:bCs/>
                <w:color w:val="000000"/>
              </w:rPr>
              <w:t>.</w:t>
            </w:r>
          </w:p>
          <w:p w:rsidR="00411FDC" w:rsidP="00D871DD" w:rsidRDefault="00411FDC" w14:paraId="7F6EC8DF" w14:textId="77777777">
            <w:pPr>
              <w:rPr>
                <w:color w:val="000000"/>
              </w:rPr>
            </w:pPr>
          </w:p>
          <w:p w:rsidR="00D871DD" w:rsidP="00D871DD" w:rsidRDefault="00D871DD" w14:paraId="381C9215" w14:textId="54232C21">
            <w:pPr>
              <w:rPr>
                <w:color w:val="000000"/>
              </w:rPr>
            </w:pPr>
            <w:r w:rsidRPr="00D871DD">
              <w:rPr>
                <w:color w:val="000000"/>
              </w:rPr>
              <w:t>UCAN’s linear regression analysis of authorized ROEs against Baa utility bond rates is also persuasive, showing that a 100-basis point change in bond rates correlates with an approximate 21-basis point change in ROE over the period 2009-2023.</w:t>
            </w:r>
          </w:p>
          <w:p w:rsidRPr="00822BB0" w:rsidR="003748E8" w:rsidP="00D871DD" w:rsidRDefault="00B451C8" w14:paraId="6FB9835E" w14:textId="6FC14379">
            <w:pPr>
              <w:rPr>
                <w:b/>
                <w:bCs/>
                <w:color w:val="000000"/>
              </w:rPr>
            </w:pPr>
            <w:r>
              <w:rPr>
                <w:b/>
                <w:bCs/>
                <w:color w:val="000000"/>
              </w:rPr>
              <w:t xml:space="preserve">Phase 2 </w:t>
            </w:r>
            <w:r w:rsidRPr="00F276D8" w:rsidR="00847DB6">
              <w:rPr>
                <w:b/>
                <w:bCs/>
                <w:color w:val="000000"/>
              </w:rPr>
              <w:t>Opening Brief</w:t>
            </w:r>
            <w:r w:rsidR="00D16DB6">
              <w:rPr>
                <w:b/>
                <w:bCs/>
                <w:color w:val="000000"/>
              </w:rPr>
              <w:t xml:space="preserve"> of UCAN</w:t>
            </w:r>
            <w:r w:rsidRPr="00F276D8" w:rsidR="00847DB6">
              <w:rPr>
                <w:b/>
                <w:bCs/>
                <w:color w:val="000000"/>
              </w:rPr>
              <w:t xml:space="preserve">, at pp. </w:t>
            </w:r>
            <w:r w:rsidR="00847DB6">
              <w:rPr>
                <w:b/>
                <w:bCs/>
                <w:color w:val="000000"/>
              </w:rPr>
              <w:t>6</w:t>
            </w:r>
            <w:r w:rsidRPr="00F276D8" w:rsidR="00847DB6">
              <w:rPr>
                <w:b/>
                <w:bCs/>
                <w:color w:val="000000"/>
              </w:rPr>
              <w:t>-</w:t>
            </w:r>
            <w:r w:rsidR="00847DB6">
              <w:rPr>
                <w:b/>
                <w:bCs/>
                <w:color w:val="000000"/>
              </w:rPr>
              <w:t>7</w:t>
            </w:r>
            <w:r w:rsidRPr="00F276D8" w:rsidR="00847DB6">
              <w:rPr>
                <w:b/>
                <w:bCs/>
                <w:color w:val="000000"/>
              </w:rPr>
              <w:t>;</w:t>
            </w:r>
            <w:r w:rsidR="00EB4CAB">
              <w:t xml:space="preserve"> </w:t>
            </w:r>
            <w:r w:rsidRPr="00EB4CAB" w:rsidR="00EB4CAB">
              <w:rPr>
                <w:b/>
                <w:bCs/>
                <w:color w:val="000000"/>
              </w:rPr>
              <w:t>Phase 2 Rebuttal Testimony of Karl Richard Pavlovic at p</w:t>
            </w:r>
            <w:r w:rsidR="00EB4CAB">
              <w:rPr>
                <w:b/>
                <w:bCs/>
                <w:color w:val="000000"/>
              </w:rPr>
              <w:t>p</w:t>
            </w:r>
            <w:r w:rsidRPr="00EB4CAB" w:rsidR="00EB4CAB">
              <w:rPr>
                <w:b/>
                <w:bCs/>
                <w:color w:val="000000"/>
              </w:rPr>
              <w:t xml:space="preserve">. </w:t>
            </w:r>
            <w:r w:rsidR="00EB4CAB">
              <w:rPr>
                <w:b/>
                <w:bCs/>
                <w:color w:val="000000"/>
              </w:rPr>
              <w:t>9-10</w:t>
            </w:r>
            <w:r w:rsidRPr="00EB4CAB" w:rsidR="00EB4CAB">
              <w:rPr>
                <w:b/>
                <w:bCs/>
                <w:color w:val="000000"/>
              </w:rPr>
              <w:t>.</w:t>
            </w:r>
          </w:p>
          <w:p w:rsidR="003748E8" w:rsidP="00D871DD" w:rsidRDefault="003748E8" w14:paraId="03B0C4DC" w14:textId="77777777">
            <w:pPr>
              <w:rPr>
                <w:color w:val="000000"/>
              </w:rPr>
            </w:pPr>
          </w:p>
          <w:p w:rsidR="007D4E24" w:rsidP="00D871DD" w:rsidRDefault="007D4E24" w14:paraId="154B1ABF" w14:textId="77777777">
            <w:pPr>
              <w:rPr>
                <w:color w:val="000000"/>
              </w:rPr>
            </w:pPr>
          </w:p>
          <w:p w:rsidRPr="00D871DD" w:rsidR="007D4E24" w:rsidP="00D871DD" w:rsidRDefault="007D4E24" w14:paraId="2C271CB7" w14:textId="77777777">
            <w:pPr>
              <w:rPr>
                <w:color w:val="000000"/>
              </w:rPr>
            </w:pPr>
          </w:p>
          <w:p w:rsidR="00EB4CAB" w:rsidP="00D871DD" w:rsidRDefault="00EB4CAB" w14:paraId="0C3667BF" w14:textId="77777777">
            <w:pPr>
              <w:rPr>
                <w:color w:val="000000"/>
              </w:rPr>
            </w:pPr>
          </w:p>
          <w:p w:rsidR="00EB4CAB" w:rsidP="00D871DD" w:rsidRDefault="00EB4CAB" w14:paraId="37495FFF" w14:textId="77777777">
            <w:pPr>
              <w:rPr>
                <w:color w:val="000000"/>
              </w:rPr>
            </w:pPr>
          </w:p>
          <w:p w:rsidR="00D56604" w:rsidP="00D871DD" w:rsidRDefault="00B451C8" w14:paraId="06D467B7" w14:textId="46B00A3A">
            <w:pPr>
              <w:rPr>
                <w:color w:val="000000"/>
              </w:rPr>
            </w:pPr>
            <w:r w:rsidRPr="00115553">
              <w:rPr>
                <w:color w:val="000000"/>
              </w:rPr>
              <w:t>U</w:t>
            </w:r>
            <w:r w:rsidRPr="00115553" w:rsidR="00D871DD">
              <w:rPr>
                <w:color w:val="000000"/>
              </w:rPr>
              <w:t>CAN support</w:t>
            </w:r>
            <w:r w:rsidRPr="00115553" w:rsidR="003E1012">
              <w:rPr>
                <w:color w:val="000000"/>
              </w:rPr>
              <w:t>ed</w:t>
            </w:r>
            <w:r w:rsidRPr="00115553" w:rsidR="00D871DD">
              <w:rPr>
                <w:color w:val="000000"/>
              </w:rPr>
              <w:t xml:space="preserve"> Cal Advocates’ position and</w:t>
            </w:r>
            <w:r w:rsidRPr="00115553" w:rsidR="0067079E">
              <w:rPr>
                <w:color w:val="000000"/>
              </w:rPr>
              <w:t xml:space="preserve">, along </w:t>
            </w:r>
            <w:r w:rsidRPr="00115553" w:rsidR="0067079E">
              <w:rPr>
                <w:color w:val="000000"/>
              </w:rPr>
              <w:lastRenderedPageBreak/>
              <w:t>with its own findings,</w:t>
            </w:r>
            <w:r w:rsidR="0067079E">
              <w:rPr>
                <w:color w:val="000000"/>
              </w:rPr>
              <w:t xml:space="preserve"> suggested at least </w:t>
            </w:r>
            <w:r w:rsidRPr="00D871DD" w:rsidR="00D871DD">
              <w:rPr>
                <w:color w:val="000000"/>
              </w:rPr>
              <w:t>that an adjustment factor of less than 50% and closer to 20% is more empirically accurate regarding the relationship between Baa utility bond yields and authorized ROEs.</w:t>
            </w:r>
          </w:p>
          <w:p w:rsidRPr="00440820" w:rsidR="00440820" w:rsidP="00440820" w:rsidRDefault="00515CAF" w14:paraId="3E2BAE1D" w14:textId="4FE08AFE">
            <w:pPr>
              <w:rPr>
                <w:b/>
                <w:bCs/>
                <w:color w:val="000000"/>
              </w:rPr>
            </w:pPr>
            <w:r w:rsidRPr="000908FD">
              <w:rPr>
                <w:b/>
                <w:bCs/>
              </w:rPr>
              <w:t>P</w:t>
            </w:r>
            <w:r>
              <w:rPr>
                <w:b/>
                <w:bCs/>
              </w:rPr>
              <w:t>hase</w:t>
            </w:r>
            <w:r w:rsidRPr="000908FD">
              <w:rPr>
                <w:b/>
                <w:bCs/>
              </w:rPr>
              <w:t xml:space="preserve"> </w:t>
            </w:r>
            <w:r>
              <w:rPr>
                <w:b/>
                <w:bCs/>
              </w:rPr>
              <w:t>2</w:t>
            </w:r>
            <w:r w:rsidRPr="000908FD">
              <w:rPr>
                <w:b/>
                <w:bCs/>
              </w:rPr>
              <w:t xml:space="preserve"> R</w:t>
            </w:r>
            <w:r>
              <w:rPr>
                <w:b/>
                <w:bCs/>
              </w:rPr>
              <w:t>eply Brief of</w:t>
            </w:r>
            <w:r w:rsidRPr="000908FD">
              <w:rPr>
                <w:b/>
                <w:bCs/>
              </w:rPr>
              <w:t xml:space="preserve"> UCA</w:t>
            </w:r>
            <w:r>
              <w:rPr>
                <w:b/>
                <w:bCs/>
              </w:rPr>
              <w:t>N</w:t>
            </w:r>
            <w:r w:rsidRPr="00822BB0">
              <w:rPr>
                <w:b/>
                <w:bCs/>
                <w:color w:val="000000"/>
              </w:rPr>
              <w:t>, at p</w:t>
            </w:r>
            <w:r>
              <w:rPr>
                <w:b/>
                <w:bCs/>
                <w:color w:val="000000"/>
              </w:rPr>
              <w:t>p</w:t>
            </w:r>
            <w:r w:rsidRPr="00822BB0">
              <w:rPr>
                <w:b/>
                <w:bCs/>
                <w:color w:val="000000"/>
              </w:rPr>
              <w:t xml:space="preserve">. </w:t>
            </w:r>
            <w:r>
              <w:rPr>
                <w:b/>
                <w:bCs/>
                <w:color w:val="000000"/>
              </w:rPr>
              <w:t>5-6</w:t>
            </w:r>
            <w:r w:rsidR="003022E2">
              <w:rPr>
                <w:b/>
                <w:bCs/>
                <w:color w:val="000000"/>
              </w:rPr>
              <w:t xml:space="preserve">; Phase 2 Opening Brief of UCAN, at </w:t>
            </w:r>
            <w:r w:rsidRPr="00CE0BEB" w:rsidR="00CE0BEB">
              <w:rPr>
                <w:b/>
                <w:bCs/>
                <w:color w:val="000000"/>
              </w:rPr>
              <w:t>pp. 6-7; Phase 2 Rebuttal Testimony of Karl Richard Pavlovic at pp. 9-11 and Attachment 2</w:t>
            </w:r>
            <w:r w:rsidR="00B7500F">
              <w:rPr>
                <w:b/>
                <w:bCs/>
                <w:color w:val="000000"/>
              </w:rPr>
              <w:t xml:space="preserve">; </w:t>
            </w:r>
            <w:r w:rsidRPr="00B7500F" w:rsidR="00B7500F">
              <w:rPr>
                <w:b/>
                <w:bCs/>
                <w:color w:val="000000"/>
              </w:rPr>
              <w:t xml:space="preserve">Phase 2 </w:t>
            </w:r>
            <w:r w:rsidR="00B7500F">
              <w:rPr>
                <w:b/>
                <w:bCs/>
                <w:color w:val="000000"/>
              </w:rPr>
              <w:t>Rebuttal</w:t>
            </w:r>
            <w:r w:rsidRPr="00B7500F" w:rsidR="00B7500F">
              <w:rPr>
                <w:b/>
                <w:bCs/>
                <w:color w:val="000000"/>
              </w:rPr>
              <w:t xml:space="preserve"> Testimony of Marlon F. Griffing, at p</w:t>
            </w:r>
            <w:r w:rsidR="00B7500F">
              <w:rPr>
                <w:b/>
                <w:bCs/>
                <w:color w:val="000000"/>
              </w:rPr>
              <w:t>. 2</w:t>
            </w:r>
            <w:r w:rsidR="00EC774E">
              <w:rPr>
                <w:b/>
                <w:bCs/>
                <w:color w:val="000000"/>
              </w:rPr>
              <w:t xml:space="preserve">; </w:t>
            </w:r>
            <w:r w:rsidR="00751A7D">
              <w:rPr>
                <w:b/>
                <w:bCs/>
                <w:color w:val="000000"/>
              </w:rPr>
              <w:t xml:space="preserve">Reply Comments of UCAN </w:t>
            </w:r>
            <w:r w:rsidRPr="00440820" w:rsidR="00440820">
              <w:rPr>
                <w:b/>
                <w:bCs/>
                <w:color w:val="000000"/>
              </w:rPr>
              <w:t xml:space="preserve">on the Proposed Phase Two Decision, at pp. </w:t>
            </w:r>
            <w:r w:rsidR="003D61AC">
              <w:rPr>
                <w:b/>
                <w:bCs/>
                <w:color w:val="000000"/>
              </w:rPr>
              <w:t>3</w:t>
            </w:r>
            <w:r w:rsidRPr="00440820" w:rsidR="00440820">
              <w:rPr>
                <w:b/>
                <w:bCs/>
                <w:color w:val="000000"/>
              </w:rPr>
              <w:t>-</w:t>
            </w:r>
            <w:r w:rsidR="003D61AC">
              <w:rPr>
                <w:b/>
                <w:bCs/>
                <w:color w:val="000000"/>
              </w:rPr>
              <w:t>4</w:t>
            </w:r>
            <w:r w:rsidRPr="00440820" w:rsidR="00440820">
              <w:rPr>
                <w:b/>
                <w:bCs/>
                <w:color w:val="000000"/>
              </w:rPr>
              <w:t>.</w:t>
            </w:r>
          </w:p>
          <w:p w:rsidR="00E25078" w:rsidP="00073262" w:rsidRDefault="00E25078" w14:paraId="3E3D6C0B" w14:textId="2CC35964">
            <w:pPr>
              <w:rPr>
                <w:b/>
                <w:bCs/>
                <w:color w:val="000000"/>
              </w:rPr>
            </w:pPr>
          </w:p>
          <w:p w:rsidRPr="00137AC0" w:rsidR="00137AC0" w:rsidP="00137AC0" w:rsidRDefault="005D252D" w14:paraId="5D4D43F4" w14:textId="08CB9750">
            <w:pPr>
              <w:rPr>
                <w:color w:val="000000"/>
              </w:rPr>
            </w:pPr>
            <w:r w:rsidRPr="00137AC0">
              <w:rPr>
                <w:color w:val="000000"/>
              </w:rPr>
              <w:t xml:space="preserve">UCAN concurred and supported the Decision’s holding that </w:t>
            </w:r>
            <w:r w:rsidRPr="00137AC0" w:rsidR="00137AC0">
              <w:rPr>
                <w:color w:val="000000"/>
              </w:rPr>
              <w:t xml:space="preserve">to adopt an earlier cost of capital application filing date – March 20 in the year prior to the test year - </w:t>
            </w:r>
          </w:p>
          <w:p w:rsidRPr="00137AC0" w:rsidR="00137AC0" w:rsidP="00137AC0" w:rsidRDefault="00137AC0" w14:paraId="7834D376" w14:textId="77777777">
            <w:pPr>
              <w:rPr>
                <w:color w:val="000000"/>
              </w:rPr>
            </w:pPr>
            <w:r w:rsidRPr="00137AC0">
              <w:rPr>
                <w:color w:val="000000"/>
              </w:rPr>
              <w:t>to provide more time for consideration of this complex issue by intervenors, and ultimately the</w:t>
            </w:r>
          </w:p>
          <w:p w:rsidR="00542762" w:rsidP="00137AC0" w:rsidRDefault="00137AC0" w14:paraId="16ADCCA8" w14:textId="77777777">
            <w:pPr>
              <w:rPr>
                <w:color w:val="000000"/>
              </w:rPr>
            </w:pPr>
            <w:r w:rsidRPr="00137AC0">
              <w:rPr>
                <w:color w:val="000000"/>
              </w:rPr>
              <w:t>Commission, in making its final determination.</w:t>
            </w:r>
          </w:p>
          <w:p w:rsidRPr="00822BB0" w:rsidR="00137AC0" w:rsidP="00137AC0" w:rsidRDefault="00C64B5D" w14:paraId="1B0CC007" w14:textId="4BADD82F">
            <w:pPr>
              <w:rPr>
                <w:b/>
                <w:bCs/>
                <w:color w:val="000000"/>
              </w:rPr>
            </w:pPr>
            <w:r w:rsidRPr="00C64B5D">
              <w:rPr>
                <w:b/>
                <w:bCs/>
                <w:color w:val="000000"/>
              </w:rPr>
              <w:t>Opening Comments of UCAN on the Proposed Phase Two Decision, at pp. 1-2.</w:t>
            </w:r>
          </w:p>
        </w:tc>
        <w:tc>
          <w:tcPr>
            <w:tcW w:w="4140" w:type="dxa"/>
          </w:tcPr>
          <w:p w:rsidR="005A6F91" w:rsidP="005A6F91" w:rsidRDefault="005A6F91" w14:paraId="6CD6E6FF" w14:textId="1C74EA59">
            <w:pPr>
              <w:rPr>
                <w:color w:val="000000"/>
              </w:rPr>
            </w:pPr>
            <w:r>
              <w:rPr>
                <w:color w:val="000000"/>
              </w:rPr>
              <w:lastRenderedPageBreak/>
              <w:t xml:space="preserve">The Decision </w:t>
            </w:r>
            <w:r w:rsidR="00600CE1">
              <w:rPr>
                <w:color w:val="000000"/>
              </w:rPr>
              <w:t xml:space="preserve">held </w:t>
            </w:r>
            <w:r w:rsidRPr="005A6F91">
              <w:rPr>
                <w:color w:val="000000"/>
              </w:rPr>
              <w:t>that modifications to the CCM are warranted.</w:t>
            </w:r>
            <w:r w:rsidR="00600CE1">
              <w:rPr>
                <w:color w:val="000000"/>
              </w:rPr>
              <w:t xml:space="preserve"> </w:t>
            </w:r>
          </w:p>
          <w:p w:rsidR="008C7BBD" w:rsidP="005A6F91" w:rsidRDefault="0089132C" w14:paraId="129EC4C4" w14:textId="01DBB66A">
            <w:pPr>
              <w:rPr>
                <w:b/>
                <w:color w:val="000000"/>
              </w:rPr>
            </w:pPr>
            <w:r w:rsidRPr="007F620E">
              <w:rPr>
                <w:b/>
                <w:color w:val="000000"/>
              </w:rPr>
              <w:t>D</w:t>
            </w:r>
            <w:r>
              <w:rPr>
                <w:b/>
                <w:color w:val="000000"/>
              </w:rPr>
              <w:t xml:space="preserve">.24-10-008, at p. </w:t>
            </w:r>
            <w:r w:rsidR="002E2031">
              <w:rPr>
                <w:b/>
                <w:color w:val="000000"/>
              </w:rPr>
              <w:t>24</w:t>
            </w:r>
            <w:r w:rsidR="008C7BBD">
              <w:rPr>
                <w:b/>
                <w:color w:val="000000"/>
              </w:rPr>
              <w:t>.</w:t>
            </w:r>
          </w:p>
          <w:p w:rsidR="008C7BBD" w:rsidP="005A6F91" w:rsidRDefault="008C7BBD" w14:paraId="571A5BE4" w14:textId="77777777">
            <w:pPr>
              <w:rPr>
                <w:color w:val="000000"/>
              </w:rPr>
            </w:pPr>
          </w:p>
          <w:p w:rsidR="00722672" w:rsidP="005A6F91" w:rsidRDefault="00722672" w14:paraId="1723D7DB" w14:textId="77777777">
            <w:pPr>
              <w:rPr>
                <w:color w:val="000000"/>
              </w:rPr>
            </w:pPr>
          </w:p>
          <w:p w:rsidR="00722672" w:rsidP="005A6F91" w:rsidRDefault="00722672" w14:paraId="4A16DE32" w14:textId="77777777">
            <w:pPr>
              <w:rPr>
                <w:color w:val="000000"/>
              </w:rPr>
            </w:pPr>
          </w:p>
          <w:p w:rsidR="00722672" w:rsidP="005A6F91" w:rsidRDefault="00722672" w14:paraId="2552C9EF" w14:textId="77777777">
            <w:pPr>
              <w:rPr>
                <w:color w:val="000000"/>
              </w:rPr>
            </w:pPr>
          </w:p>
          <w:p w:rsidR="00722672" w:rsidP="005A6F91" w:rsidRDefault="00722672" w14:paraId="17B726F8" w14:textId="77777777">
            <w:pPr>
              <w:rPr>
                <w:color w:val="000000"/>
              </w:rPr>
            </w:pPr>
          </w:p>
          <w:p w:rsidR="00722672" w:rsidP="005A6F91" w:rsidRDefault="00722672" w14:paraId="135BCC8A" w14:textId="77777777">
            <w:pPr>
              <w:rPr>
                <w:color w:val="000000"/>
              </w:rPr>
            </w:pPr>
          </w:p>
          <w:p w:rsidR="005A6F91" w:rsidP="005A6F91" w:rsidRDefault="008C7BBD" w14:paraId="0B68B243" w14:textId="43C29822">
            <w:pPr>
              <w:rPr>
                <w:color w:val="000000"/>
              </w:rPr>
            </w:pPr>
            <w:r>
              <w:rPr>
                <w:color w:val="000000"/>
              </w:rPr>
              <w:lastRenderedPageBreak/>
              <w:t xml:space="preserve">The Decision supported its holdings by observing that </w:t>
            </w:r>
            <w:r w:rsidR="007B0815">
              <w:rPr>
                <w:color w:val="000000"/>
              </w:rPr>
              <w:t>“[o]</w:t>
            </w:r>
            <w:proofErr w:type="spellStart"/>
            <w:r w:rsidRPr="005A6F91" w:rsidR="005A6F91">
              <w:rPr>
                <w:color w:val="000000"/>
              </w:rPr>
              <w:t>ne</w:t>
            </w:r>
            <w:proofErr w:type="spellEnd"/>
            <w:r w:rsidRPr="005A6F91" w:rsidR="005A6F91">
              <w:rPr>
                <w:color w:val="000000"/>
              </w:rPr>
              <w:t xml:space="preserve"> of the primary goals of the CCM is to reduce the regulatory burden associated with annual cost of capital proceedings.</w:t>
            </w:r>
          </w:p>
          <w:p w:rsidR="00452A11" w:rsidP="00452A11" w:rsidRDefault="00452A11" w14:paraId="2DB80CDB" w14:textId="710C091C">
            <w:pPr>
              <w:rPr>
                <w:b/>
                <w:color w:val="000000"/>
              </w:rPr>
            </w:pPr>
            <w:r w:rsidRPr="007F620E">
              <w:rPr>
                <w:b/>
                <w:color w:val="000000"/>
              </w:rPr>
              <w:t>D</w:t>
            </w:r>
            <w:r>
              <w:rPr>
                <w:b/>
                <w:color w:val="000000"/>
              </w:rPr>
              <w:t xml:space="preserve">.24-10-008, at p. </w:t>
            </w:r>
            <w:r w:rsidR="00B8020E">
              <w:rPr>
                <w:b/>
                <w:color w:val="000000"/>
              </w:rPr>
              <w:t>24</w:t>
            </w:r>
            <w:r>
              <w:rPr>
                <w:b/>
                <w:color w:val="000000"/>
              </w:rPr>
              <w:t>.</w:t>
            </w:r>
          </w:p>
          <w:p w:rsidR="00452A11" w:rsidP="005A6F91" w:rsidRDefault="00452A11" w14:paraId="7405F31C" w14:textId="77777777">
            <w:pPr>
              <w:rPr>
                <w:color w:val="000000"/>
              </w:rPr>
            </w:pPr>
          </w:p>
          <w:p w:rsidR="00230C84" w:rsidP="005A6F91" w:rsidRDefault="00230C84" w14:paraId="4F4CEE13" w14:textId="77777777">
            <w:pPr>
              <w:rPr>
                <w:color w:val="000000"/>
              </w:rPr>
            </w:pPr>
          </w:p>
          <w:p w:rsidR="00230C84" w:rsidP="005A6F91" w:rsidRDefault="00230C84" w14:paraId="64072279" w14:textId="77777777">
            <w:pPr>
              <w:rPr>
                <w:color w:val="000000"/>
              </w:rPr>
            </w:pPr>
          </w:p>
          <w:p w:rsidR="00722672" w:rsidP="005A6F91" w:rsidRDefault="00452A11" w14:paraId="1369BDD9" w14:textId="55561F99">
            <w:pPr>
              <w:rPr>
                <w:color w:val="000000"/>
              </w:rPr>
            </w:pPr>
            <w:r>
              <w:rPr>
                <w:color w:val="000000"/>
              </w:rPr>
              <w:t>The Decision</w:t>
            </w:r>
            <w:r w:rsidR="00722672">
              <w:rPr>
                <w:color w:val="000000"/>
              </w:rPr>
              <w:t xml:space="preserve"> pronounced, “</w:t>
            </w:r>
            <w:r w:rsidRPr="005A6F91" w:rsidR="005A6F91">
              <w:rPr>
                <w:color w:val="000000"/>
              </w:rPr>
              <w:t>as noted by many parties, there is a structural asymmetry in the implementation of the CCM that favors shareholders.</w:t>
            </w:r>
            <w:r w:rsidR="00722672">
              <w:rPr>
                <w:color w:val="000000"/>
              </w:rPr>
              <w:t>”</w:t>
            </w:r>
          </w:p>
          <w:p w:rsidR="00722672" w:rsidP="00722672" w:rsidRDefault="00722672" w14:paraId="1DDCC28E" w14:textId="6091FA13">
            <w:pPr>
              <w:rPr>
                <w:b/>
                <w:color w:val="000000"/>
              </w:rPr>
            </w:pPr>
            <w:r w:rsidRPr="007F620E">
              <w:rPr>
                <w:b/>
                <w:color w:val="000000"/>
              </w:rPr>
              <w:t>D</w:t>
            </w:r>
            <w:r>
              <w:rPr>
                <w:b/>
                <w:color w:val="000000"/>
              </w:rPr>
              <w:t xml:space="preserve">.24-10-008, at p. </w:t>
            </w:r>
            <w:r w:rsidR="001A6581">
              <w:rPr>
                <w:b/>
                <w:color w:val="000000"/>
              </w:rPr>
              <w:t>24</w:t>
            </w:r>
            <w:r>
              <w:rPr>
                <w:b/>
                <w:color w:val="000000"/>
              </w:rPr>
              <w:t>.</w:t>
            </w:r>
          </w:p>
          <w:p w:rsidR="00722672" w:rsidP="005A6F91" w:rsidRDefault="00722672" w14:paraId="6844DF9D" w14:textId="77777777">
            <w:pPr>
              <w:rPr>
                <w:color w:val="000000"/>
              </w:rPr>
            </w:pPr>
          </w:p>
          <w:p w:rsidR="00722672" w:rsidP="005A6F91" w:rsidRDefault="00722672" w14:paraId="78357932" w14:textId="77777777">
            <w:pPr>
              <w:rPr>
                <w:color w:val="000000"/>
              </w:rPr>
            </w:pPr>
          </w:p>
          <w:p w:rsidR="00DB1EBD" w:rsidP="005A6F91" w:rsidRDefault="00DB1EBD" w14:paraId="340510FB" w14:textId="77777777">
            <w:pPr>
              <w:rPr>
                <w:color w:val="000000"/>
              </w:rPr>
            </w:pPr>
          </w:p>
          <w:p w:rsidR="00A82DDE" w:rsidP="005A6F91" w:rsidRDefault="00A82DDE" w14:paraId="1B914870" w14:textId="77777777">
            <w:pPr>
              <w:rPr>
                <w:color w:val="000000"/>
              </w:rPr>
            </w:pPr>
          </w:p>
          <w:p w:rsidR="00A82DDE" w:rsidP="005A6F91" w:rsidRDefault="00A82DDE" w14:paraId="74C98CA9" w14:textId="77777777">
            <w:pPr>
              <w:rPr>
                <w:color w:val="000000"/>
              </w:rPr>
            </w:pPr>
          </w:p>
          <w:p w:rsidR="005A6F91" w:rsidP="005A6F91" w:rsidRDefault="00B053DE" w14:paraId="5F9F1FAB" w14:textId="7D1F84CE">
            <w:pPr>
              <w:rPr>
                <w:color w:val="000000"/>
              </w:rPr>
            </w:pPr>
            <w:r>
              <w:rPr>
                <w:color w:val="000000"/>
              </w:rPr>
              <w:t>The Decision concurred with these conclusions.</w:t>
            </w:r>
            <w:r w:rsidR="002207D6">
              <w:rPr>
                <w:color w:val="000000"/>
              </w:rPr>
              <w:t xml:space="preserve"> </w:t>
            </w:r>
            <w:r w:rsidR="004403BC">
              <w:rPr>
                <w:color w:val="000000"/>
              </w:rPr>
              <w:t>“</w:t>
            </w:r>
            <w:r w:rsidRPr="005A6F91" w:rsidR="005A6F91">
              <w:rPr>
                <w:color w:val="000000"/>
              </w:rPr>
              <w:t xml:space="preserve">Ratepayers have no direct path to challenge an upward CCM adjustment. If the CCM results in a downward adjustment to ROE, the Joint Utilities </w:t>
            </w:r>
            <w:proofErr w:type="gramStart"/>
            <w:r w:rsidRPr="005A6F91" w:rsidR="005A6F91">
              <w:rPr>
                <w:color w:val="000000"/>
              </w:rPr>
              <w:t>are able to</w:t>
            </w:r>
            <w:proofErr w:type="gramEnd"/>
            <w:r w:rsidRPr="005A6F91" w:rsidR="005A6F91">
              <w:rPr>
                <w:color w:val="000000"/>
              </w:rPr>
              <w:t xml:space="preserve"> file a cost of capital application outside of the CCM process citing to an “extraordinary or catastrophic event,” as allowed under D.08-05-035. If the CCM results in an upwards adjustment to ROE, ratepayer intervenors can protest the Joint Utilities’ Tier 2 Advice Letters implementing the CCM adjustments but cannot directly challenge the adjustments unless the Joint Utilities file an off-cycle application. Together, these features of the CCM do not necessarily lead to the reduction in regulatory burden on which the CCM is </w:t>
            </w:r>
            <w:proofErr w:type="gramStart"/>
            <w:r w:rsidRPr="005A6F91" w:rsidR="005A6F91">
              <w:rPr>
                <w:color w:val="000000"/>
              </w:rPr>
              <w:t>premised.</w:t>
            </w:r>
            <w:r w:rsidR="004403BC">
              <w:rPr>
                <w:color w:val="000000"/>
              </w:rPr>
              <w:t>”</w:t>
            </w:r>
            <w:proofErr w:type="gramEnd"/>
          </w:p>
          <w:p w:rsidR="004403BC" w:rsidP="004403BC" w:rsidRDefault="004403BC" w14:paraId="1C4B78E8" w14:textId="1492743E">
            <w:pPr>
              <w:rPr>
                <w:b/>
                <w:color w:val="000000"/>
              </w:rPr>
            </w:pPr>
            <w:r w:rsidRPr="007F620E">
              <w:rPr>
                <w:b/>
                <w:color w:val="000000"/>
              </w:rPr>
              <w:t>D</w:t>
            </w:r>
            <w:r>
              <w:rPr>
                <w:b/>
                <w:color w:val="000000"/>
              </w:rPr>
              <w:t xml:space="preserve">.24-10-008, at p. </w:t>
            </w:r>
            <w:r w:rsidR="004066AD">
              <w:rPr>
                <w:b/>
                <w:color w:val="000000"/>
              </w:rPr>
              <w:t>24</w:t>
            </w:r>
            <w:r>
              <w:rPr>
                <w:b/>
                <w:color w:val="000000"/>
              </w:rPr>
              <w:t>.</w:t>
            </w:r>
          </w:p>
          <w:p w:rsidR="00FD6834" w:rsidP="005A6F91" w:rsidRDefault="00FD6834" w14:paraId="27CA49A7" w14:textId="77777777">
            <w:pPr>
              <w:rPr>
                <w:color w:val="000000"/>
              </w:rPr>
            </w:pPr>
          </w:p>
          <w:p w:rsidR="00515CAF" w:rsidP="005A6F91" w:rsidRDefault="00515CAF" w14:paraId="6BD52390" w14:textId="77777777">
            <w:pPr>
              <w:rPr>
                <w:color w:val="000000"/>
              </w:rPr>
            </w:pPr>
          </w:p>
          <w:p w:rsidR="00FB2553" w:rsidP="005A6F91" w:rsidRDefault="00FB2553" w14:paraId="4AD708E7" w14:textId="77777777">
            <w:pPr>
              <w:rPr>
                <w:color w:val="000000"/>
              </w:rPr>
            </w:pPr>
          </w:p>
          <w:p w:rsidR="00910CC8" w:rsidP="005A6F91" w:rsidRDefault="00910CC8" w14:paraId="5E79729A" w14:textId="77777777">
            <w:pPr>
              <w:rPr>
                <w:color w:val="000000"/>
              </w:rPr>
            </w:pPr>
          </w:p>
          <w:p w:rsidR="00910CC8" w:rsidP="005A6F91" w:rsidRDefault="00910CC8" w14:paraId="35349A4A" w14:textId="77777777">
            <w:pPr>
              <w:rPr>
                <w:color w:val="000000"/>
              </w:rPr>
            </w:pPr>
          </w:p>
          <w:p w:rsidR="00AD772A" w:rsidP="005A6F91" w:rsidRDefault="00AD772A" w14:paraId="06721FFD" w14:textId="77777777">
            <w:pPr>
              <w:rPr>
                <w:color w:val="000000"/>
              </w:rPr>
            </w:pPr>
          </w:p>
          <w:p w:rsidR="00AD772A" w:rsidP="005A6F91" w:rsidRDefault="00AD772A" w14:paraId="72D6B5C9" w14:textId="77777777">
            <w:pPr>
              <w:rPr>
                <w:color w:val="000000"/>
              </w:rPr>
            </w:pPr>
          </w:p>
          <w:p w:rsidR="00AD772A" w:rsidP="005A6F91" w:rsidRDefault="00AD772A" w14:paraId="1A803198" w14:textId="77777777">
            <w:pPr>
              <w:rPr>
                <w:color w:val="000000"/>
              </w:rPr>
            </w:pPr>
          </w:p>
          <w:p w:rsidR="00AD772A" w:rsidP="005A6F91" w:rsidRDefault="00AD772A" w14:paraId="3DD1DFA3" w14:textId="77777777">
            <w:pPr>
              <w:rPr>
                <w:color w:val="000000"/>
              </w:rPr>
            </w:pPr>
          </w:p>
          <w:p w:rsidR="00751A7D" w:rsidP="005A6F91" w:rsidRDefault="00751A7D" w14:paraId="1DF29344" w14:textId="77777777">
            <w:pPr>
              <w:rPr>
                <w:color w:val="000000"/>
              </w:rPr>
            </w:pPr>
          </w:p>
          <w:p w:rsidR="00751A7D" w:rsidP="005A6F91" w:rsidRDefault="00751A7D" w14:paraId="21B158EF" w14:textId="77777777">
            <w:pPr>
              <w:rPr>
                <w:color w:val="000000"/>
              </w:rPr>
            </w:pPr>
          </w:p>
          <w:p w:rsidR="00751A7D" w:rsidP="005A6F91" w:rsidRDefault="00751A7D" w14:paraId="3B974FD9" w14:textId="77777777">
            <w:pPr>
              <w:rPr>
                <w:color w:val="000000"/>
              </w:rPr>
            </w:pPr>
          </w:p>
          <w:p w:rsidR="00751A7D" w:rsidP="005A6F91" w:rsidRDefault="00751A7D" w14:paraId="27FD766A" w14:textId="77777777">
            <w:pPr>
              <w:rPr>
                <w:color w:val="000000"/>
              </w:rPr>
            </w:pPr>
          </w:p>
          <w:p w:rsidR="002207D6" w:rsidP="005A6F91" w:rsidRDefault="002207D6" w14:paraId="7AE65CD4" w14:textId="77777777">
            <w:pPr>
              <w:rPr>
                <w:color w:val="000000"/>
              </w:rPr>
            </w:pPr>
          </w:p>
          <w:p w:rsidR="005A6F91" w:rsidP="005A6F91" w:rsidRDefault="003748E8" w14:paraId="768EC367" w14:textId="26DFE2BA">
            <w:pPr>
              <w:rPr>
                <w:color w:val="000000"/>
              </w:rPr>
            </w:pPr>
            <w:r>
              <w:rPr>
                <w:color w:val="000000"/>
              </w:rPr>
              <w:t>The Decision agreed “</w:t>
            </w:r>
            <w:r w:rsidRPr="005A6F91" w:rsidR="005A6F91">
              <w:rPr>
                <w:color w:val="000000"/>
              </w:rPr>
              <w:t>Further, with ratepayer intervenors that a 50% adjustment factor likely leads to excessive changes to ROE.</w:t>
            </w:r>
            <w:r>
              <w:rPr>
                <w:color w:val="000000"/>
              </w:rPr>
              <w:t>”</w:t>
            </w:r>
          </w:p>
          <w:p w:rsidR="003748E8" w:rsidP="003748E8" w:rsidRDefault="003748E8" w14:paraId="74789F59" w14:textId="461B3EE0">
            <w:pPr>
              <w:rPr>
                <w:b/>
                <w:color w:val="000000"/>
              </w:rPr>
            </w:pPr>
            <w:r w:rsidRPr="007F620E">
              <w:rPr>
                <w:b/>
                <w:color w:val="000000"/>
              </w:rPr>
              <w:t>D</w:t>
            </w:r>
            <w:r>
              <w:rPr>
                <w:b/>
                <w:color w:val="000000"/>
              </w:rPr>
              <w:t xml:space="preserve">.24-10-008, at p. </w:t>
            </w:r>
            <w:r w:rsidR="004066AD">
              <w:rPr>
                <w:b/>
                <w:color w:val="000000"/>
              </w:rPr>
              <w:t>25</w:t>
            </w:r>
            <w:r>
              <w:rPr>
                <w:b/>
                <w:color w:val="000000"/>
              </w:rPr>
              <w:t>.</w:t>
            </w:r>
          </w:p>
          <w:p w:rsidR="003748E8" w:rsidP="005A6F91" w:rsidRDefault="003748E8" w14:paraId="1724CF88" w14:textId="77777777">
            <w:pPr>
              <w:rPr>
                <w:color w:val="000000"/>
              </w:rPr>
            </w:pPr>
          </w:p>
          <w:p w:rsidR="003748E8" w:rsidP="005A6F91" w:rsidRDefault="003748E8" w14:paraId="27413654" w14:textId="77777777">
            <w:pPr>
              <w:rPr>
                <w:color w:val="000000"/>
              </w:rPr>
            </w:pPr>
          </w:p>
          <w:p w:rsidR="00951B2C" w:rsidP="009801C8" w:rsidRDefault="00951B2C" w14:paraId="556AB9CD" w14:textId="77777777">
            <w:pPr>
              <w:rPr>
                <w:color w:val="000000"/>
              </w:rPr>
            </w:pPr>
          </w:p>
          <w:p w:rsidR="00951B2C" w:rsidP="009801C8" w:rsidRDefault="00951B2C" w14:paraId="52D9A6AB" w14:textId="77777777">
            <w:pPr>
              <w:rPr>
                <w:color w:val="000000"/>
              </w:rPr>
            </w:pPr>
          </w:p>
          <w:p w:rsidR="00951B2C" w:rsidP="009801C8" w:rsidRDefault="00951B2C" w14:paraId="430C0BA1" w14:textId="77777777">
            <w:pPr>
              <w:rPr>
                <w:color w:val="000000"/>
              </w:rPr>
            </w:pPr>
          </w:p>
          <w:p w:rsidR="00B77201" w:rsidP="009801C8" w:rsidRDefault="00B77201" w14:paraId="3374F239" w14:textId="77777777">
            <w:pPr>
              <w:rPr>
                <w:color w:val="000000"/>
              </w:rPr>
            </w:pPr>
          </w:p>
          <w:p w:rsidR="00B77201" w:rsidP="009801C8" w:rsidRDefault="00B77201" w14:paraId="65DFD4B5" w14:textId="77777777">
            <w:pPr>
              <w:rPr>
                <w:color w:val="000000"/>
              </w:rPr>
            </w:pPr>
          </w:p>
          <w:p w:rsidR="00636177" w:rsidP="009801C8" w:rsidRDefault="00636177" w14:paraId="0C3CCBB0" w14:textId="77777777">
            <w:pPr>
              <w:rPr>
                <w:color w:val="000000"/>
              </w:rPr>
            </w:pPr>
          </w:p>
          <w:p w:rsidR="009801C8" w:rsidP="009801C8" w:rsidRDefault="00FD6834" w14:paraId="50FD2571" w14:textId="63A6ACB7">
            <w:pPr>
              <w:rPr>
                <w:color w:val="000000"/>
              </w:rPr>
            </w:pPr>
            <w:r>
              <w:rPr>
                <w:color w:val="000000"/>
              </w:rPr>
              <w:t>The Decision adopted “</w:t>
            </w:r>
            <w:r w:rsidRPr="009801C8" w:rsidR="009801C8">
              <w:rPr>
                <w:color w:val="000000"/>
              </w:rPr>
              <w:t>Cal Advocates’ proposal to modify the CCM to implement a 20% adjustment ratio instead of the current 50%.</w:t>
            </w:r>
            <w:r>
              <w:rPr>
                <w:color w:val="000000"/>
              </w:rPr>
              <w:t>”</w:t>
            </w:r>
          </w:p>
          <w:p w:rsidR="00FD6834" w:rsidP="00FD6834" w:rsidRDefault="00FD6834" w14:paraId="2B5C2DBD" w14:textId="2D051CD9">
            <w:pPr>
              <w:rPr>
                <w:b/>
                <w:color w:val="000000"/>
              </w:rPr>
            </w:pPr>
            <w:r w:rsidRPr="007F620E">
              <w:rPr>
                <w:b/>
                <w:color w:val="000000"/>
              </w:rPr>
              <w:t>D</w:t>
            </w:r>
            <w:r>
              <w:rPr>
                <w:b/>
                <w:color w:val="000000"/>
              </w:rPr>
              <w:t xml:space="preserve">.24-10-008, at p. </w:t>
            </w:r>
            <w:r w:rsidR="002B4947">
              <w:rPr>
                <w:b/>
                <w:color w:val="000000"/>
              </w:rPr>
              <w:t>26</w:t>
            </w:r>
            <w:r>
              <w:rPr>
                <w:b/>
                <w:color w:val="000000"/>
              </w:rPr>
              <w:t>.</w:t>
            </w:r>
          </w:p>
          <w:p w:rsidR="00E53A7C" w:rsidP="009801C8" w:rsidRDefault="00E53A7C" w14:paraId="0DC05C8B" w14:textId="77777777">
            <w:pPr>
              <w:rPr>
                <w:color w:val="000000"/>
              </w:rPr>
            </w:pPr>
          </w:p>
          <w:p w:rsidRPr="009801C8" w:rsidR="00FD6834" w:rsidP="009801C8" w:rsidRDefault="007D4E24" w14:paraId="1249F80F" w14:textId="1DCD456F">
            <w:pPr>
              <w:rPr>
                <w:color w:val="000000"/>
              </w:rPr>
            </w:pPr>
            <w:r>
              <w:rPr>
                <w:color w:val="000000"/>
              </w:rPr>
              <w:t>The Decision cited UCAN’s linear regression as a basis for its ruling.</w:t>
            </w:r>
          </w:p>
          <w:p w:rsidR="00D56604" w:rsidP="009801C8" w:rsidRDefault="007D4E24" w14:paraId="3C9E588F" w14:textId="7DF8DA5B">
            <w:pPr>
              <w:rPr>
                <w:color w:val="000000"/>
              </w:rPr>
            </w:pPr>
            <w:r>
              <w:rPr>
                <w:color w:val="000000"/>
              </w:rPr>
              <w:t>“</w:t>
            </w:r>
            <w:r w:rsidRPr="009801C8" w:rsidR="009801C8">
              <w:rPr>
                <w:color w:val="000000"/>
              </w:rPr>
              <w:t>Reducing the CCM adjustment ratio to 20% would better align CCM ROE changes with recent Commission Cost of Capital decision ROE changes, in addition to the nationwide average annual changes in ROEs noted by Cal Advocates and the linear regression analysis put forth by UCAN.</w:t>
            </w:r>
            <w:r>
              <w:rPr>
                <w:color w:val="000000"/>
              </w:rPr>
              <w:t>”</w:t>
            </w:r>
          </w:p>
          <w:p w:rsidR="007D4E24" w:rsidP="007D4E24" w:rsidRDefault="007D4E24" w14:paraId="08DE979E" w14:textId="7600E92A">
            <w:pPr>
              <w:rPr>
                <w:b/>
                <w:color w:val="000000"/>
              </w:rPr>
            </w:pPr>
            <w:r w:rsidRPr="007F620E">
              <w:rPr>
                <w:b/>
                <w:color w:val="000000"/>
              </w:rPr>
              <w:t>D</w:t>
            </w:r>
            <w:r>
              <w:rPr>
                <w:b/>
                <w:color w:val="000000"/>
              </w:rPr>
              <w:t>.24-10-008, at p</w:t>
            </w:r>
            <w:r w:rsidR="001C259E">
              <w:rPr>
                <w:b/>
                <w:color w:val="000000"/>
              </w:rPr>
              <w:t>p</w:t>
            </w:r>
            <w:r>
              <w:rPr>
                <w:b/>
                <w:color w:val="000000"/>
              </w:rPr>
              <w:t xml:space="preserve">. </w:t>
            </w:r>
            <w:r w:rsidR="001C259E">
              <w:rPr>
                <w:b/>
                <w:color w:val="000000"/>
              </w:rPr>
              <w:t>26-27</w:t>
            </w:r>
            <w:r>
              <w:rPr>
                <w:b/>
                <w:color w:val="000000"/>
              </w:rPr>
              <w:t>.</w:t>
            </w:r>
          </w:p>
          <w:p w:rsidR="007D4E24" w:rsidP="009801C8" w:rsidRDefault="007D4E24" w14:paraId="302B7300" w14:textId="77777777">
            <w:pPr>
              <w:rPr>
                <w:color w:val="000000"/>
              </w:rPr>
            </w:pPr>
          </w:p>
          <w:p w:rsidR="00E53A7C" w:rsidP="00E53A7C" w:rsidRDefault="00652A69" w14:paraId="3A49F348" w14:textId="26CDC1FA">
            <w:pPr>
              <w:rPr>
                <w:color w:val="000000"/>
              </w:rPr>
            </w:pPr>
            <w:r>
              <w:rPr>
                <w:color w:val="000000"/>
              </w:rPr>
              <w:t xml:space="preserve">The Decision’s basis also </w:t>
            </w:r>
            <w:r w:rsidR="00713B28">
              <w:rPr>
                <w:color w:val="000000"/>
              </w:rPr>
              <w:t>incorporated these arguments. “</w:t>
            </w:r>
            <w:r w:rsidRPr="005A6F91" w:rsidR="00E53A7C">
              <w:rPr>
                <w:color w:val="000000"/>
              </w:rPr>
              <w:t xml:space="preserve">While a 50% adjustment factor is used in these other </w:t>
            </w:r>
            <w:r w:rsidRPr="005A6F91" w:rsidR="00E53A7C">
              <w:rPr>
                <w:color w:val="000000"/>
              </w:rPr>
              <w:lastRenderedPageBreak/>
              <w:t>regulatory jurisdictions, it is not clear that the 50% adjustment factor is appropriate for a formula that relies solely on changes in utility bond yields relative to a benchmark rate and has a 100-basis point deadband, as the CCM does.</w:t>
            </w:r>
            <w:r w:rsidR="00713B28">
              <w:rPr>
                <w:color w:val="000000"/>
              </w:rPr>
              <w:t>”</w:t>
            </w:r>
          </w:p>
          <w:p w:rsidR="00713B28" w:rsidP="00713B28" w:rsidRDefault="00713B28" w14:paraId="6FEF60C1" w14:textId="01D3DB17">
            <w:pPr>
              <w:rPr>
                <w:b/>
                <w:color w:val="000000"/>
              </w:rPr>
            </w:pPr>
            <w:r w:rsidRPr="007F620E">
              <w:rPr>
                <w:b/>
                <w:color w:val="000000"/>
              </w:rPr>
              <w:t>D</w:t>
            </w:r>
            <w:r>
              <w:rPr>
                <w:b/>
                <w:color w:val="000000"/>
              </w:rPr>
              <w:t xml:space="preserve">.24-10-008, at p. </w:t>
            </w:r>
            <w:r w:rsidR="00A52DE3">
              <w:rPr>
                <w:b/>
                <w:color w:val="000000"/>
              </w:rPr>
              <w:t>2</w:t>
            </w:r>
            <w:r w:rsidR="002F62E6">
              <w:rPr>
                <w:b/>
                <w:color w:val="000000"/>
              </w:rPr>
              <w:t>5</w:t>
            </w:r>
            <w:r>
              <w:rPr>
                <w:b/>
                <w:color w:val="000000"/>
              </w:rPr>
              <w:t>.</w:t>
            </w:r>
          </w:p>
          <w:p w:rsidR="00D56604" w:rsidP="005A6F91" w:rsidRDefault="00D56604" w14:paraId="61C73A77" w14:textId="77777777">
            <w:pPr>
              <w:rPr>
                <w:color w:val="000000"/>
              </w:rPr>
            </w:pPr>
          </w:p>
          <w:p w:rsidR="00542762" w:rsidP="005A6F91" w:rsidRDefault="00542762" w14:paraId="272B01A8" w14:textId="77777777">
            <w:pPr>
              <w:rPr>
                <w:color w:val="000000"/>
              </w:rPr>
            </w:pPr>
          </w:p>
          <w:p w:rsidR="00542762" w:rsidP="005A6F91" w:rsidRDefault="00542762" w14:paraId="5B1B826D" w14:textId="77777777">
            <w:pPr>
              <w:rPr>
                <w:color w:val="000000"/>
              </w:rPr>
            </w:pPr>
          </w:p>
          <w:p w:rsidR="00542762" w:rsidP="005A6F91" w:rsidRDefault="00542762" w14:paraId="209DAFD8" w14:textId="77777777">
            <w:pPr>
              <w:rPr>
                <w:color w:val="000000"/>
              </w:rPr>
            </w:pPr>
          </w:p>
          <w:p w:rsidR="00542762" w:rsidP="005A6F91" w:rsidRDefault="00542762" w14:paraId="42A7631F" w14:textId="77777777">
            <w:pPr>
              <w:rPr>
                <w:color w:val="000000"/>
              </w:rPr>
            </w:pPr>
          </w:p>
          <w:p w:rsidR="00542762" w:rsidP="005A6F91" w:rsidRDefault="00542762" w14:paraId="4D962E77" w14:textId="77777777">
            <w:pPr>
              <w:rPr>
                <w:color w:val="000000"/>
              </w:rPr>
            </w:pPr>
          </w:p>
          <w:p w:rsidR="00542762" w:rsidP="005A6F91" w:rsidRDefault="00542762" w14:paraId="204E725E" w14:textId="77777777">
            <w:pPr>
              <w:rPr>
                <w:color w:val="000000"/>
              </w:rPr>
            </w:pPr>
          </w:p>
          <w:p w:rsidR="00542762" w:rsidP="005A6F91" w:rsidRDefault="00542762" w14:paraId="470F296A" w14:textId="77777777">
            <w:pPr>
              <w:rPr>
                <w:color w:val="000000"/>
              </w:rPr>
            </w:pPr>
          </w:p>
          <w:p w:rsidR="00542762" w:rsidP="005A6F91" w:rsidRDefault="00542762" w14:paraId="496B3E5A" w14:textId="77777777">
            <w:pPr>
              <w:rPr>
                <w:color w:val="000000"/>
              </w:rPr>
            </w:pPr>
          </w:p>
          <w:p w:rsidR="00440820" w:rsidP="005A6F91" w:rsidRDefault="00440820" w14:paraId="7D5EF00A" w14:textId="77777777">
            <w:pPr>
              <w:rPr>
                <w:color w:val="000000"/>
              </w:rPr>
            </w:pPr>
          </w:p>
          <w:p w:rsidR="003D61AC" w:rsidP="005A6F91" w:rsidRDefault="003D61AC" w14:paraId="435D94FA" w14:textId="77777777">
            <w:pPr>
              <w:rPr>
                <w:color w:val="000000"/>
              </w:rPr>
            </w:pPr>
          </w:p>
          <w:p w:rsidR="003D61AC" w:rsidP="005A6F91" w:rsidRDefault="003D61AC" w14:paraId="5CCDB4C3" w14:textId="77777777">
            <w:pPr>
              <w:rPr>
                <w:color w:val="000000"/>
              </w:rPr>
            </w:pPr>
          </w:p>
          <w:p w:rsidR="00542762" w:rsidP="005A6F91" w:rsidRDefault="002207D6" w14:paraId="1D03467F" w14:textId="36F8EDDC">
            <w:pPr>
              <w:rPr>
                <w:color w:val="000000"/>
              </w:rPr>
            </w:pPr>
            <w:r>
              <w:rPr>
                <w:color w:val="000000"/>
              </w:rPr>
              <w:t>“</w:t>
            </w:r>
            <w:r w:rsidRPr="00542762" w:rsidR="00542762">
              <w:rPr>
                <w:color w:val="000000"/>
              </w:rPr>
              <w:t>It is reasonable to adopt an earlier cost of capital application filing date to provide more time for consideration of this complex issue by intervenors, and ultimately the Commission, in making its final determination. We adopt a new filing deadline of March 20 in the year prior to the test year, a modification from the current filing deadline of April 20 in the year prior to the test year.</w:t>
            </w:r>
            <w:r>
              <w:rPr>
                <w:color w:val="000000"/>
              </w:rPr>
              <w:t>”</w:t>
            </w:r>
          </w:p>
          <w:p w:rsidRPr="00542762" w:rsidR="00542762" w:rsidP="00542762" w:rsidRDefault="00542762" w14:paraId="21B43108" w14:textId="2BD1F7F2">
            <w:pPr>
              <w:rPr>
                <w:b/>
                <w:color w:val="000000"/>
              </w:rPr>
            </w:pPr>
            <w:r w:rsidRPr="00542762">
              <w:rPr>
                <w:b/>
                <w:color w:val="000000"/>
              </w:rPr>
              <w:t xml:space="preserve">D.24-10-008, at p. </w:t>
            </w:r>
            <w:r>
              <w:rPr>
                <w:b/>
                <w:color w:val="000000"/>
              </w:rPr>
              <w:t>7</w:t>
            </w:r>
            <w:r w:rsidRPr="00542762">
              <w:rPr>
                <w:b/>
                <w:color w:val="000000"/>
              </w:rPr>
              <w:t>.</w:t>
            </w:r>
          </w:p>
          <w:p w:rsidRPr="007F620E" w:rsidR="00542762" w:rsidP="005A6F91" w:rsidRDefault="00542762" w14:paraId="532F95D2" w14:textId="1151E5AC">
            <w:pPr>
              <w:rPr>
                <w:color w:val="000000"/>
              </w:rPr>
            </w:pPr>
          </w:p>
        </w:tc>
        <w:tc>
          <w:tcPr>
            <w:tcW w:w="2340" w:type="dxa"/>
          </w:tcPr>
          <w:p w:rsidR="00A92D0B" w:rsidP="00073262" w:rsidRDefault="0032062C" w14:paraId="54B5AA02" w14:textId="07F5356C">
            <w:pPr>
              <w:rPr>
                <w:color w:val="000000"/>
              </w:rPr>
            </w:pPr>
            <w:r>
              <w:rPr>
                <w:color w:val="000000"/>
              </w:rPr>
              <w:lastRenderedPageBreak/>
              <w:t>Verified</w:t>
            </w:r>
          </w:p>
          <w:p w:rsidR="0032062C" w:rsidP="00073262" w:rsidRDefault="0032062C" w14:paraId="591F3AF1" w14:textId="77777777">
            <w:pPr>
              <w:rPr>
                <w:color w:val="000000"/>
              </w:rPr>
            </w:pPr>
          </w:p>
          <w:p w:rsidR="0032062C" w:rsidP="00073262" w:rsidRDefault="0032062C" w14:paraId="10951418" w14:textId="77777777">
            <w:pPr>
              <w:rPr>
                <w:color w:val="000000"/>
              </w:rPr>
            </w:pPr>
          </w:p>
          <w:p w:rsidR="0032062C" w:rsidP="00073262" w:rsidRDefault="0032062C" w14:paraId="5DE76B03" w14:textId="77777777">
            <w:pPr>
              <w:rPr>
                <w:color w:val="000000"/>
              </w:rPr>
            </w:pPr>
          </w:p>
          <w:p w:rsidR="0032062C" w:rsidP="00073262" w:rsidRDefault="0032062C" w14:paraId="55FB8D39" w14:textId="77777777">
            <w:pPr>
              <w:rPr>
                <w:color w:val="000000"/>
              </w:rPr>
            </w:pPr>
          </w:p>
          <w:p w:rsidR="0032062C" w:rsidP="00073262" w:rsidRDefault="0032062C" w14:paraId="7FE45191" w14:textId="69E03124">
            <w:pPr>
              <w:rPr>
                <w:color w:val="000000"/>
              </w:rPr>
            </w:pPr>
          </w:p>
          <w:p w:rsidR="0032062C" w:rsidP="00073262" w:rsidRDefault="0032062C" w14:paraId="07255850" w14:textId="77777777">
            <w:pPr>
              <w:rPr>
                <w:color w:val="000000"/>
              </w:rPr>
            </w:pPr>
          </w:p>
          <w:p w:rsidR="0032062C" w:rsidP="00073262" w:rsidRDefault="0032062C" w14:paraId="710BE107" w14:textId="77777777">
            <w:pPr>
              <w:rPr>
                <w:color w:val="000000"/>
              </w:rPr>
            </w:pPr>
          </w:p>
          <w:p w:rsidR="0032062C" w:rsidP="00073262" w:rsidRDefault="0032062C" w14:paraId="671B6892" w14:textId="77777777">
            <w:pPr>
              <w:rPr>
                <w:color w:val="000000"/>
              </w:rPr>
            </w:pPr>
          </w:p>
          <w:p w:rsidR="0032062C" w:rsidP="00073262" w:rsidRDefault="0032062C" w14:paraId="67167F03" w14:textId="77777777">
            <w:pPr>
              <w:rPr>
                <w:color w:val="000000"/>
              </w:rPr>
            </w:pPr>
          </w:p>
          <w:p w:rsidR="0032062C" w:rsidP="00073262" w:rsidRDefault="0032062C" w14:paraId="37A838E4" w14:textId="77777777">
            <w:pPr>
              <w:rPr>
                <w:color w:val="000000"/>
              </w:rPr>
            </w:pPr>
          </w:p>
          <w:p w:rsidR="0032062C" w:rsidP="00073262" w:rsidRDefault="0032062C" w14:paraId="1F703E20" w14:textId="77777777">
            <w:pPr>
              <w:rPr>
                <w:color w:val="000000"/>
              </w:rPr>
            </w:pPr>
          </w:p>
          <w:p w:rsidR="0032062C" w:rsidP="00073262" w:rsidRDefault="0032062C" w14:paraId="5D06503F" w14:textId="77777777">
            <w:pPr>
              <w:rPr>
                <w:color w:val="000000"/>
              </w:rPr>
            </w:pPr>
          </w:p>
          <w:p w:rsidR="0032062C" w:rsidP="00073262" w:rsidRDefault="0032062C" w14:paraId="3983DB30" w14:textId="77777777">
            <w:pPr>
              <w:rPr>
                <w:color w:val="000000"/>
              </w:rPr>
            </w:pPr>
          </w:p>
          <w:p w:rsidR="0032062C" w:rsidP="00073262" w:rsidRDefault="0032062C" w14:paraId="521D5D1E" w14:textId="77777777">
            <w:pPr>
              <w:rPr>
                <w:color w:val="000000"/>
              </w:rPr>
            </w:pPr>
          </w:p>
          <w:p w:rsidR="0032062C" w:rsidP="00073262" w:rsidRDefault="0032062C" w14:paraId="0F81C736" w14:textId="77777777">
            <w:pPr>
              <w:rPr>
                <w:color w:val="000000"/>
              </w:rPr>
            </w:pPr>
          </w:p>
          <w:p w:rsidR="0032062C" w:rsidP="00073262" w:rsidRDefault="0032062C" w14:paraId="7F39D53F" w14:textId="77777777">
            <w:pPr>
              <w:rPr>
                <w:color w:val="000000"/>
              </w:rPr>
            </w:pPr>
          </w:p>
          <w:p w:rsidR="0032062C" w:rsidP="00073262" w:rsidRDefault="0032062C" w14:paraId="492AD3B1" w14:textId="77777777">
            <w:pPr>
              <w:rPr>
                <w:color w:val="000000"/>
              </w:rPr>
            </w:pPr>
          </w:p>
          <w:p w:rsidR="0032062C" w:rsidP="00073262" w:rsidRDefault="0032062C" w14:paraId="4F2ED46E" w14:textId="77777777">
            <w:pPr>
              <w:rPr>
                <w:color w:val="000000"/>
              </w:rPr>
            </w:pPr>
          </w:p>
          <w:p w:rsidR="0032062C" w:rsidP="00073262" w:rsidRDefault="0032062C" w14:paraId="3949C430" w14:textId="77777777">
            <w:pPr>
              <w:rPr>
                <w:color w:val="000000"/>
              </w:rPr>
            </w:pPr>
          </w:p>
          <w:p w:rsidR="0032062C" w:rsidP="00073262" w:rsidRDefault="0032062C" w14:paraId="18A5ECB3" w14:textId="77777777">
            <w:pPr>
              <w:rPr>
                <w:color w:val="000000"/>
              </w:rPr>
            </w:pPr>
          </w:p>
          <w:p w:rsidR="0032062C" w:rsidP="00073262" w:rsidRDefault="0032062C" w14:paraId="451B7270" w14:textId="77777777">
            <w:pPr>
              <w:rPr>
                <w:color w:val="000000"/>
              </w:rPr>
            </w:pPr>
          </w:p>
          <w:p w:rsidR="0032062C" w:rsidP="00073262" w:rsidRDefault="0032062C" w14:paraId="70427638" w14:textId="77777777">
            <w:pPr>
              <w:rPr>
                <w:color w:val="000000"/>
              </w:rPr>
            </w:pPr>
          </w:p>
          <w:p w:rsidR="0032062C" w:rsidP="00073262" w:rsidRDefault="0032062C" w14:paraId="5BE6BF3B" w14:textId="77777777">
            <w:pPr>
              <w:rPr>
                <w:color w:val="000000"/>
              </w:rPr>
            </w:pPr>
          </w:p>
          <w:p w:rsidR="0032062C" w:rsidP="00073262" w:rsidRDefault="0032062C" w14:paraId="3156119B" w14:textId="77777777">
            <w:pPr>
              <w:rPr>
                <w:color w:val="000000"/>
              </w:rPr>
            </w:pPr>
          </w:p>
          <w:p w:rsidR="0032062C" w:rsidP="00073262" w:rsidRDefault="0032062C" w14:paraId="493A757C" w14:textId="77777777">
            <w:pPr>
              <w:rPr>
                <w:color w:val="000000"/>
              </w:rPr>
            </w:pPr>
          </w:p>
          <w:p w:rsidR="0032062C" w:rsidP="00073262" w:rsidRDefault="0032062C" w14:paraId="1162D295" w14:textId="77777777">
            <w:pPr>
              <w:rPr>
                <w:color w:val="000000"/>
              </w:rPr>
            </w:pPr>
          </w:p>
          <w:p w:rsidR="0032062C" w:rsidP="00073262" w:rsidRDefault="0032062C" w14:paraId="728E643B" w14:textId="77777777">
            <w:pPr>
              <w:rPr>
                <w:color w:val="000000"/>
              </w:rPr>
            </w:pPr>
          </w:p>
          <w:p w:rsidR="0032062C" w:rsidP="00073262" w:rsidRDefault="0032062C" w14:paraId="59CAAA23" w14:textId="77777777">
            <w:pPr>
              <w:rPr>
                <w:color w:val="000000"/>
              </w:rPr>
            </w:pPr>
          </w:p>
          <w:p w:rsidR="0032062C" w:rsidP="00073262" w:rsidRDefault="0032062C" w14:paraId="15CC6C6D" w14:textId="77777777">
            <w:pPr>
              <w:rPr>
                <w:color w:val="000000"/>
              </w:rPr>
            </w:pPr>
          </w:p>
          <w:p w:rsidR="0032062C" w:rsidP="00073262" w:rsidRDefault="0032062C" w14:paraId="60EC9E8C" w14:textId="77777777">
            <w:pPr>
              <w:rPr>
                <w:color w:val="000000"/>
              </w:rPr>
            </w:pPr>
          </w:p>
          <w:p w:rsidR="0032062C" w:rsidP="00073262" w:rsidRDefault="0032062C" w14:paraId="2AFB384F" w14:textId="77777777">
            <w:pPr>
              <w:rPr>
                <w:color w:val="000000"/>
              </w:rPr>
            </w:pPr>
          </w:p>
          <w:p w:rsidR="0032062C" w:rsidP="00073262" w:rsidRDefault="0032062C" w14:paraId="1B5AB89F" w14:textId="77777777">
            <w:pPr>
              <w:rPr>
                <w:color w:val="000000"/>
              </w:rPr>
            </w:pPr>
          </w:p>
          <w:p w:rsidR="0032062C" w:rsidP="00073262" w:rsidRDefault="0032062C" w14:paraId="1F3292F1" w14:textId="77777777">
            <w:pPr>
              <w:rPr>
                <w:color w:val="000000"/>
              </w:rPr>
            </w:pPr>
          </w:p>
          <w:p w:rsidR="0032062C" w:rsidP="00073262" w:rsidRDefault="0032062C" w14:paraId="7F344E5C" w14:textId="77777777">
            <w:pPr>
              <w:rPr>
                <w:color w:val="000000"/>
              </w:rPr>
            </w:pPr>
          </w:p>
          <w:p w:rsidR="0032062C" w:rsidP="00073262" w:rsidRDefault="0032062C" w14:paraId="1B12A942" w14:textId="77777777">
            <w:pPr>
              <w:rPr>
                <w:color w:val="000000"/>
              </w:rPr>
            </w:pPr>
          </w:p>
          <w:p w:rsidR="0032062C" w:rsidP="00073262" w:rsidRDefault="0032062C" w14:paraId="6CA45A40" w14:textId="77777777">
            <w:pPr>
              <w:rPr>
                <w:color w:val="000000"/>
              </w:rPr>
            </w:pPr>
          </w:p>
          <w:p w:rsidR="0032062C" w:rsidP="00073262" w:rsidRDefault="0032062C" w14:paraId="12994296" w14:textId="77777777">
            <w:pPr>
              <w:rPr>
                <w:color w:val="000000"/>
              </w:rPr>
            </w:pPr>
          </w:p>
          <w:p w:rsidR="0032062C" w:rsidP="00073262" w:rsidRDefault="0032062C" w14:paraId="31A9F93E" w14:textId="77777777">
            <w:pPr>
              <w:rPr>
                <w:color w:val="000000"/>
              </w:rPr>
            </w:pPr>
          </w:p>
          <w:p w:rsidR="0032062C" w:rsidP="00073262" w:rsidRDefault="0032062C" w14:paraId="7ECA0AD0" w14:textId="77777777">
            <w:pPr>
              <w:rPr>
                <w:color w:val="000000"/>
              </w:rPr>
            </w:pPr>
          </w:p>
          <w:p w:rsidR="0032062C" w:rsidP="00073262" w:rsidRDefault="0032062C" w14:paraId="367314BE" w14:textId="77777777">
            <w:pPr>
              <w:rPr>
                <w:color w:val="000000"/>
              </w:rPr>
            </w:pPr>
          </w:p>
          <w:p w:rsidR="0032062C" w:rsidP="00073262" w:rsidRDefault="0032062C" w14:paraId="3AE92B93" w14:textId="77777777">
            <w:pPr>
              <w:rPr>
                <w:color w:val="000000"/>
              </w:rPr>
            </w:pPr>
          </w:p>
          <w:p w:rsidR="0032062C" w:rsidP="00073262" w:rsidRDefault="0032062C" w14:paraId="1C9DF75B" w14:textId="77777777">
            <w:pPr>
              <w:rPr>
                <w:color w:val="000000"/>
              </w:rPr>
            </w:pPr>
          </w:p>
          <w:p w:rsidR="0032062C" w:rsidP="00073262" w:rsidRDefault="0032062C" w14:paraId="3FFD623B" w14:textId="77777777">
            <w:pPr>
              <w:rPr>
                <w:color w:val="000000"/>
              </w:rPr>
            </w:pPr>
          </w:p>
          <w:p w:rsidR="0032062C" w:rsidP="00073262" w:rsidRDefault="0032062C" w14:paraId="170C13CB" w14:textId="77777777">
            <w:pPr>
              <w:rPr>
                <w:color w:val="000000"/>
              </w:rPr>
            </w:pPr>
          </w:p>
          <w:p w:rsidR="0032062C" w:rsidP="00073262" w:rsidRDefault="0032062C" w14:paraId="13FD5ACA" w14:textId="77777777">
            <w:pPr>
              <w:rPr>
                <w:color w:val="000000"/>
              </w:rPr>
            </w:pPr>
          </w:p>
          <w:p w:rsidR="0032062C" w:rsidP="00073262" w:rsidRDefault="0032062C" w14:paraId="40982D55" w14:textId="77777777">
            <w:pPr>
              <w:rPr>
                <w:color w:val="000000"/>
              </w:rPr>
            </w:pPr>
          </w:p>
          <w:p w:rsidR="0032062C" w:rsidP="00073262" w:rsidRDefault="0032062C" w14:paraId="410029D8" w14:textId="77777777">
            <w:pPr>
              <w:rPr>
                <w:color w:val="000000"/>
              </w:rPr>
            </w:pPr>
          </w:p>
          <w:p w:rsidR="0032062C" w:rsidP="00073262" w:rsidRDefault="0032062C" w14:paraId="6D7DA56A" w14:textId="77777777">
            <w:pPr>
              <w:rPr>
                <w:color w:val="000000"/>
              </w:rPr>
            </w:pPr>
          </w:p>
          <w:p w:rsidR="0032062C" w:rsidP="00073262" w:rsidRDefault="0032062C" w14:paraId="1195F6DE" w14:textId="77777777">
            <w:pPr>
              <w:rPr>
                <w:color w:val="000000"/>
              </w:rPr>
            </w:pPr>
          </w:p>
          <w:p w:rsidR="0032062C" w:rsidP="00073262" w:rsidRDefault="0032062C" w14:paraId="5E3B6C6C" w14:textId="77777777">
            <w:pPr>
              <w:rPr>
                <w:color w:val="000000"/>
              </w:rPr>
            </w:pPr>
          </w:p>
          <w:p w:rsidR="0032062C" w:rsidP="00073262" w:rsidRDefault="0032062C" w14:paraId="36FBF18B" w14:textId="77777777">
            <w:pPr>
              <w:rPr>
                <w:color w:val="000000"/>
              </w:rPr>
            </w:pPr>
          </w:p>
          <w:p w:rsidR="0032062C" w:rsidP="00073262" w:rsidRDefault="0032062C" w14:paraId="72573EDE" w14:textId="77777777">
            <w:pPr>
              <w:rPr>
                <w:color w:val="000000"/>
              </w:rPr>
            </w:pPr>
          </w:p>
          <w:p w:rsidR="0032062C" w:rsidP="00073262" w:rsidRDefault="0032062C" w14:paraId="4934AC22" w14:textId="77777777">
            <w:pPr>
              <w:rPr>
                <w:color w:val="000000"/>
              </w:rPr>
            </w:pPr>
          </w:p>
          <w:p w:rsidR="0032062C" w:rsidP="00073262" w:rsidRDefault="0032062C" w14:paraId="4C96F711" w14:textId="77777777">
            <w:pPr>
              <w:rPr>
                <w:color w:val="000000"/>
              </w:rPr>
            </w:pPr>
          </w:p>
          <w:p w:rsidR="0032062C" w:rsidP="00073262" w:rsidRDefault="0032062C" w14:paraId="18B507BD" w14:textId="77777777">
            <w:pPr>
              <w:rPr>
                <w:color w:val="000000"/>
              </w:rPr>
            </w:pPr>
          </w:p>
          <w:p w:rsidR="0032062C" w:rsidP="00073262" w:rsidRDefault="0032062C" w14:paraId="58FEF149" w14:textId="77777777">
            <w:pPr>
              <w:rPr>
                <w:color w:val="000000"/>
              </w:rPr>
            </w:pPr>
          </w:p>
          <w:p w:rsidR="0032062C" w:rsidP="00073262" w:rsidRDefault="0032062C" w14:paraId="63E41E4C" w14:textId="77777777">
            <w:pPr>
              <w:rPr>
                <w:color w:val="000000"/>
              </w:rPr>
            </w:pPr>
          </w:p>
          <w:p w:rsidR="0032062C" w:rsidP="00073262" w:rsidRDefault="0032062C" w14:paraId="478375B5" w14:textId="77777777">
            <w:pPr>
              <w:rPr>
                <w:color w:val="000000"/>
              </w:rPr>
            </w:pPr>
          </w:p>
          <w:p w:rsidR="0032062C" w:rsidP="00073262" w:rsidRDefault="0032062C" w14:paraId="46BC8AB7" w14:textId="77777777">
            <w:pPr>
              <w:rPr>
                <w:color w:val="000000"/>
              </w:rPr>
            </w:pPr>
          </w:p>
          <w:p w:rsidR="0032062C" w:rsidP="00073262" w:rsidRDefault="0032062C" w14:paraId="239EB3C2" w14:textId="77777777">
            <w:pPr>
              <w:rPr>
                <w:color w:val="000000"/>
              </w:rPr>
            </w:pPr>
          </w:p>
          <w:p w:rsidR="0032062C" w:rsidP="00073262" w:rsidRDefault="0032062C" w14:paraId="5E5FDBA7" w14:textId="77777777">
            <w:pPr>
              <w:rPr>
                <w:color w:val="000000"/>
              </w:rPr>
            </w:pPr>
          </w:p>
          <w:p w:rsidR="0032062C" w:rsidP="00073262" w:rsidRDefault="0032062C" w14:paraId="5B39D2B5" w14:textId="77777777">
            <w:pPr>
              <w:rPr>
                <w:color w:val="000000"/>
              </w:rPr>
            </w:pPr>
          </w:p>
          <w:p w:rsidR="0032062C" w:rsidP="00073262" w:rsidRDefault="0032062C" w14:paraId="663CEDD2" w14:textId="77777777">
            <w:pPr>
              <w:rPr>
                <w:color w:val="000000"/>
              </w:rPr>
            </w:pPr>
          </w:p>
          <w:p w:rsidR="0032062C" w:rsidP="00073262" w:rsidRDefault="0032062C" w14:paraId="23B350D1" w14:textId="77777777">
            <w:pPr>
              <w:rPr>
                <w:color w:val="000000"/>
              </w:rPr>
            </w:pPr>
          </w:p>
          <w:p w:rsidR="0032062C" w:rsidP="00073262" w:rsidRDefault="0032062C" w14:paraId="1DA3573B" w14:textId="77777777">
            <w:pPr>
              <w:rPr>
                <w:color w:val="000000"/>
              </w:rPr>
            </w:pPr>
          </w:p>
          <w:p w:rsidR="0032062C" w:rsidP="00073262" w:rsidRDefault="0032062C" w14:paraId="69C56FA4" w14:textId="77777777">
            <w:pPr>
              <w:rPr>
                <w:color w:val="000000"/>
              </w:rPr>
            </w:pPr>
          </w:p>
          <w:p w:rsidR="0032062C" w:rsidP="00073262" w:rsidRDefault="0032062C" w14:paraId="2B275D81" w14:textId="77777777">
            <w:pPr>
              <w:rPr>
                <w:color w:val="000000"/>
              </w:rPr>
            </w:pPr>
          </w:p>
          <w:p w:rsidR="0032062C" w:rsidP="00073262" w:rsidRDefault="0032062C" w14:paraId="0D217566" w14:textId="77777777">
            <w:pPr>
              <w:rPr>
                <w:color w:val="000000"/>
              </w:rPr>
            </w:pPr>
          </w:p>
          <w:p w:rsidR="0032062C" w:rsidP="00073262" w:rsidRDefault="0032062C" w14:paraId="6B1A07E7" w14:textId="77777777">
            <w:pPr>
              <w:rPr>
                <w:color w:val="000000"/>
              </w:rPr>
            </w:pPr>
          </w:p>
          <w:p w:rsidR="0032062C" w:rsidP="00073262" w:rsidRDefault="0032062C" w14:paraId="0FFFCEF7" w14:textId="77777777">
            <w:pPr>
              <w:rPr>
                <w:color w:val="000000"/>
              </w:rPr>
            </w:pPr>
          </w:p>
          <w:p w:rsidR="0032062C" w:rsidP="00073262" w:rsidRDefault="0032062C" w14:paraId="7D143B34" w14:textId="77777777">
            <w:pPr>
              <w:rPr>
                <w:color w:val="000000"/>
              </w:rPr>
            </w:pPr>
          </w:p>
          <w:p w:rsidR="0032062C" w:rsidP="00073262" w:rsidRDefault="0032062C" w14:paraId="301AA916" w14:textId="77777777">
            <w:pPr>
              <w:rPr>
                <w:color w:val="000000"/>
              </w:rPr>
            </w:pPr>
          </w:p>
          <w:p w:rsidR="0032062C" w:rsidP="00073262" w:rsidRDefault="0032062C" w14:paraId="5EEB8E2E" w14:textId="77777777">
            <w:pPr>
              <w:rPr>
                <w:color w:val="000000"/>
              </w:rPr>
            </w:pPr>
          </w:p>
          <w:p w:rsidR="0032062C" w:rsidP="00073262" w:rsidRDefault="0032062C" w14:paraId="437DB209" w14:textId="77777777">
            <w:pPr>
              <w:rPr>
                <w:color w:val="000000"/>
              </w:rPr>
            </w:pPr>
          </w:p>
          <w:p w:rsidR="0032062C" w:rsidP="00073262" w:rsidRDefault="0032062C" w14:paraId="250B5425" w14:textId="77777777">
            <w:pPr>
              <w:rPr>
                <w:color w:val="000000"/>
              </w:rPr>
            </w:pPr>
          </w:p>
          <w:p w:rsidR="0032062C" w:rsidP="00073262" w:rsidRDefault="0032062C" w14:paraId="47A243E0" w14:textId="7B55B153">
            <w:pPr>
              <w:rPr>
                <w:color w:val="000000"/>
              </w:rPr>
            </w:pPr>
          </w:p>
          <w:p w:rsidR="0032062C" w:rsidP="00073262" w:rsidRDefault="0032062C" w14:paraId="5351330C" w14:textId="77777777">
            <w:pPr>
              <w:rPr>
                <w:color w:val="000000"/>
              </w:rPr>
            </w:pPr>
          </w:p>
          <w:p w:rsidR="0032062C" w:rsidP="00073262" w:rsidRDefault="0032062C" w14:paraId="08475A1F" w14:textId="77777777">
            <w:pPr>
              <w:rPr>
                <w:color w:val="000000"/>
              </w:rPr>
            </w:pPr>
          </w:p>
          <w:p w:rsidR="0032062C" w:rsidP="00073262" w:rsidRDefault="0032062C" w14:paraId="59C0E684" w14:textId="77777777">
            <w:pPr>
              <w:rPr>
                <w:color w:val="000000"/>
              </w:rPr>
            </w:pPr>
          </w:p>
          <w:p w:rsidR="0032062C" w:rsidP="00073262" w:rsidRDefault="0032062C" w14:paraId="4D6A2B2C" w14:textId="77777777">
            <w:pPr>
              <w:rPr>
                <w:color w:val="000000"/>
              </w:rPr>
            </w:pPr>
          </w:p>
          <w:p w:rsidR="0032062C" w:rsidP="00073262" w:rsidRDefault="0032062C" w14:paraId="1367FCF7" w14:textId="77777777">
            <w:pPr>
              <w:rPr>
                <w:color w:val="000000"/>
              </w:rPr>
            </w:pPr>
          </w:p>
          <w:p w:rsidR="0032062C" w:rsidP="00073262" w:rsidRDefault="0032062C" w14:paraId="641E8CFE" w14:textId="77777777">
            <w:pPr>
              <w:rPr>
                <w:color w:val="000000"/>
              </w:rPr>
            </w:pPr>
          </w:p>
          <w:p w:rsidR="0032062C" w:rsidP="00073262" w:rsidRDefault="0032062C" w14:paraId="2A0E47EA" w14:textId="77777777">
            <w:pPr>
              <w:rPr>
                <w:color w:val="000000"/>
              </w:rPr>
            </w:pPr>
          </w:p>
          <w:p w:rsidR="0032062C" w:rsidP="00073262" w:rsidRDefault="0032062C" w14:paraId="1DCD52B8" w14:textId="77777777">
            <w:pPr>
              <w:rPr>
                <w:color w:val="000000"/>
              </w:rPr>
            </w:pPr>
          </w:p>
          <w:p w:rsidR="0032062C" w:rsidP="00073262" w:rsidRDefault="0032062C" w14:paraId="21A3A000" w14:textId="77777777">
            <w:pPr>
              <w:rPr>
                <w:color w:val="000000"/>
              </w:rPr>
            </w:pPr>
          </w:p>
          <w:p w:rsidR="0032062C" w:rsidP="00073262" w:rsidRDefault="0032062C" w14:paraId="6C05B187" w14:textId="77777777">
            <w:pPr>
              <w:rPr>
                <w:color w:val="000000"/>
              </w:rPr>
            </w:pPr>
          </w:p>
          <w:p w:rsidR="0032062C" w:rsidP="00073262" w:rsidRDefault="0032062C" w14:paraId="758EA765" w14:textId="77777777">
            <w:pPr>
              <w:rPr>
                <w:color w:val="000000"/>
              </w:rPr>
            </w:pPr>
          </w:p>
          <w:p w:rsidR="0032062C" w:rsidP="00073262" w:rsidRDefault="0032062C" w14:paraId="586C3FC3" w14:textId="77777777">
            <w:pPr>
              <w:rPr>
                <w:color w:val="000000"/>
              </w:rPr>
            </w:pPr>
          </w:p>
          <w:p w:rsidR="0032062C" w:rsidP="00073262" w:rsidRDefault="0032062C" w14:paraId="134DC6D9" w14:textId="77777777">
            <w:pPr>
              <w:rPr>
                <w:color w:val="000000"/>
              </w:rPr>
            </w:pPr>
          </w:p>
          <w:p w:rsidR="0032062C" w:rsidP="00073262" w:rsidRDefault="0032062C" w14:paraId="7F4528A9" w14:textId="77777777">
            <w:pPr>
              <w:rPr>
                <w:color w:val="000000"/>
              </w:rPr>
            </w:pPr>
          </w:p>
          <w:p w:rsidR="0032062C" w:rsidP="00073262" w:rsidRDefault="0032062C" w14:paraId="79EBE8B5" w14:textId="77777777">
            <w:pPr>
              <w:rPr>
                <w:color w:val="000000"/>
              </w:rPr>
            </w:pPr>
          </w:p>
          <w:p w:rsidR="0032062C" w:rsidP="00073262" w:rsidRDefault="0032062C" w14:paraId="6A5B8E43" w14:textId="77777777">
            <w:pPr>
              <w:rPr>
                <w:color w:val="000000"/>
              </w:rPr>
            </w:pPr>
          </w:p>
          <w:p w:rsidRPr="007F620E" w:rsidR="0032062C" w:rsidP="00073262" w:rsidRDefault="00C764CC" w14:paraId="63938BDA" w14:textId="2B0F4415">
            <w:pPr>
              <w:rPr>
                <w:color w:val="000000"/>
              </w:rPr>
            </w:pPr>
            <w:r>
              <w:rPr>
                <w:color w:val="000000"/>
              </w:rPr>
              <w:t>.</w:t>
            </w:r>
          </w:p>
        </w:tc>
      </w:tr>
      <w:tr w:rsidRPr="007F620E" w:rsidR="00A92D0B" w:rsidTr="00100142" w14:paraId="4AAA05AE" w14:textId="77777777">
        <w:tc>
          <w:tcPr>
            <w:tcW w:w="3258" w:type="dxa"/>
          </w:tcPr>
          <w:p w:rsidRPr="00A271BF" w:rsidR="00A92D0B" w:rsidP="00704E0B" w:rsidRDefault="00A92D0B" w14:paraId="31756DBD" w14:textId="5706B852">
            <w:pPr>
              <w:rPr>
                <w:b/>
                <w:bCs/>
                <w:i/>
                <w:iCs/>
                <w:color w:val="000000"/>
              </w:rPr>
            </w:pPr>
            <w:r w:rsidRPr="007F620E">
              <w:rPr>
                <w:color w:val="000000"/>
              </w:rPr>
              <w:lastRenderedPageBreak/>
              <w:t>2.</w:t>
            </w:r>
            <w:r w:rsidR="00AF4152">
              <w:t xml:space="preserve"> </w:t>
            </w:r>
            <w:r w:rsidRPr="00EF1F9B" w:rsidR="00AF4152">
              <w:rPr>
                <w:b/>
                <w:bCs/>
                <w:i/>
                <w:iCs/>
                <w:color w:val="000000"/>
              </w:rPr>
              <w:t>UCAN addressed the Scoping Memorandum Issues</w:t>
            </w:r>
            <w:r w:rsidRPr="00EF1F9B" w:rsidR="006A2350">
              <w:rPr>
                <w:b/>
                <w:bCs/>
                <w:i/>
                <w:iCs/>
                <w:color w:val="000000"/>
              </w:rPr>
              <w:t xml:space="preserve">, as requested, </w:t>
            </w:r>
            <w:r w:rsidRPr="00EF1F9B" w:rsidR="00AF4152">
              <w:rPr>
                <w:b/>
                <w:bCs/>
                <w:i/>
                <w:iCs/>
                <w:color w:val="000000"/>
              </w:rPr>
              <w:t xml:space="preserve">regarding policy recommendations </w:t>
            </w:r>
            <w:r w:rsidRPr="00EF1F9B" w:rsidR="006A2350">
              <w:rPr>
                <w:b/>
                <w:bCs/>
                <w:i/>
                <w:iCs/>
                <w:color w:val="000000"/>
              </w:rPr>
              <w:t>and</w:t>
            </w:r>
            <w:proofErr w:type="gramStart"/>
            <w:r w:rsidRPr="00EF1F9B" w:rsidR="006A2350">
              <w:rPr>
                <w:b/>
                <w:bCs/>
                <w:i/>
                <w:iCs/>
                <w:color w:val="000000"/>
              </w:rPr>
              <w:t xml:space="preserve">, in particular, </w:t>
            </w:r>
            <w:r w:rsidRPr="00EF1F9B" w:rsidR="00591DF1">
              <w:rPr>
                <w:b/>
                <w:bCs/>
                <w:i/>
                <w:iCs/>
                <w:color w:val="000000"/>
              </w:rPr>
              <w:t>provided</w:t>
            </w:r>
            <w:proofErr w:type="gramEnd"/>
            <w:r w:rsidRPr="00EF1F9B" w:rsidR="00591DF1">
              <w:rPr>
                <w:b/>
                <w:bCs/>
                <w:i/>
                <w:iCs/>
                <w:color w:val="000000"/>
              </w:rPr>
              <w:t xml:space="preserve"> recommendations on ROE </w:t>
            </w:r>
            <w:r w:rsidRPr="00EF1F9B" w:rsidR="00591DF1">
              <w:rPr>
                <w:b/>
                <w:bCs/>
                <w:i/>
                <w:iCs/>
                <w:color w:val="000000"/>
              </w:rPr>
              <w:lastRenderedPageBreak/>
              <w:t>calculation methodologies and modeling.</w:t>
            </w:r>
            <w:r w:rsidR="00704E0B">
              <w:t xml:space="preserve"> Even though the Decision did not adopt</w:t>
            </w:r>
            <w:proofErr w:type="gramStart"/>
            <w:r w:rsidR="00704E0B">
              <w:t>, as a</w:t>
            </w:r>
            <w:r w:rsidR="00AB7901">
              <w:t xml:space="preserve"> whole, any</w:t>
            </w:r>
            <w:proofErr w:type="gramEnd"/>
            <w:r w:rsidR="00AB7901">
              <w:t xml:space="preserve"> policy-type recommendations, UCAN’s contribution helped</w:t>
            </w:r>
            <w:r w:rsidR="006F4F80">
              <w:t xml:space="preserve"> more adequately co</w:t>
            </w:r>
            <w:r w:rsidR="00D5698D">
              <w:t>mplete the proceeding record and ensure a</w:t>
            </w:r>
            <w:r w:rsidR="00A271BF">
              <w:t xml:space="preserve"> more comprehensive analysis of issues.</w:t>
            </w:r>
          </w:p>
          <w:p w:rsidR="006A2350" w:rsidP="00073262" w:rsidRDefault="006A2350" w14:paraId="0A27E890" w14:textId="77777777">
            <w:pPr>
              <w:rPr>
                <w:color w:val="000000"/>
              </w:rPr>
            </w:pPr>
          </w:p>
          <w:p w:rsidRPr="00DB701C" w:rsidR="00DB701C" w:rsidP="00DB701C" w:rsidRDefault="00303116" w14:paraId="31ED81D0" w14:textId="082E83E5">
            <w:pPr>
              <w:rPr>
                <w:color w:val="000000"/>
              </w:rPr>
            </w:pPr>
            <w:r>
              <w:rPr>
                <w:color w:val="000000"/>
              </w:rPr>
              <w:t>UCAN’s Witness, per the Scoping Memo, addressed only issues 5(</w:t>
            </w:r>
            <w:r w:rsidR="00E920B0">
              <w:rPr>
                <w:color w:val="000000"/>
              </w:rPr>
              <w:t>d</w:t>
            </w:r>
            <w:r w:rsidR="008B7C9A">
              <w:rPr>
                <w:color w:val="000000"/>
              </w:rPr>
              <w:t>) and 5(</w:t>
            </w:r>
            <w:r w:rsidR="00E920B0">
              <w:rPr>
                <w:color w:val="000000"/>
              </w:rPr>
              <w:t>e</w:t>
            </w:r>
            <w:r w:rsidR="008B7C9A">
              <w:rPr>
                <w:color w:val="000000"/>
              </w:rPr>
              <w:t xml:space="preserve">). UCAN recommended </w:t>
            </w:r>
            <w:r w:rsidR="00773AFA">
              <w:rPr>
                <w:color w:val="000000"/>
              </w:rPr>
              <w:t>excluding</w:t>
            </w:r>
            <w:r w:rsidR="000869EA">
              <w:rPr>
                <w:color w:val="000000"/>
              </w:rPr>
              <w:t xml:space="preserve"> </w:t>
            </w:r>
            <w:r w:rsidR="00705D12">
              <w:rPr>
                <w:color w:val="000000"/>
              </w:rPr>
              <w:t xml:space="preserve">the </w:t>
            </w:r>
            <w:r w:rsidRPr="00705D12" w:rsidR="00705D12">
              <w:rPr>
                <w:color w:val="000000"/>
              </w:rPr>
              <w:t xml:space="preserve">risk premium approach (RPA) </w:t>
            </w:r>
            <w:r w:rsidR="00705D12">
              <w:rPr>
                <w:color w:val="000000"/>
              </w:rPr>
              <w:t xml:space="preserve">due to </w:t>
            </w:r>
            <w:r w:rsidR="007D591D">
              <w:rPr>
                <w:color w:val="000000"/>
              </w:rPr>
              <w:t xml:space="preserve">its reliance </w:t>
            </w:r>
            <w:r w:rsidRPr="007D591D" w:rsidR="007D591D">
              <w:rPr>
                <w:color w:val="000000"/>
              </w:rPr>
              <w:t>on inputs that do not reflect current market conditions</w:t>
            </w:r>
            <w:r w:rsidR="00DB701C">
              <w:rPr>
                <w:color w:val="000000"/>
              </w:rPr>
              <w:t xml:space="preserve"> and the fact that it </w:t>
            </w:r>
            <w:r w:rsidRPr="00DB701C" w:rsidR="00DB701C">
              <w:rPr>
                <w:color w:val="000000"/>
              </w:rPr>
              <w:t>introduces circularity into the process of determining a current ROE for</w:t>
            </w:r>
          </w:p>
          <w:p w:rsidR="006A2350" w:rsidP="00DB701C" w:rsidRDefault="00DB701C" w14:paraId="16B193F1" w14:textId="7F99D669">
            <w:pPr>
              <w:rPr>
                <w:color w:val="000000"/>
              </w:rPr>
            </w:pPr>
            <w:r w:rsidRPr="00DB701C">
              <w:rPr>
                <w:color w:val="000000"/>
              </w:rPr>
              <w:t>a public utility.</w:t>
            </w:r>
          </w:p>
          <w:p w:rsidR="00822BB0" w:rsidP="00073262" w:rsidRDefault="00DE2F19" w14:paraId="1B0900B7" w14:textId="405A4D4C">
            <w:pPr>
              <w:rPr>
                <w:b/>
                <w:bCs/>
                <w:color w:val="000000"/>
              </w:rPr>
            </w:pPr>
            <w:r>
              <w:rPr>
                <w:b/>
                <w:bCs/>
                <w:color w:val="000000"/>
              </w:rPr>
              <w:t xml:space="preserve">Phase 2 Opening Brief of </w:t>
            </w:r>
            <w:r w:rsidRPr="00822BB0" w:rsidR="00DB701C">
              <w:rPr>
                <w:b/>
                <w:bCs/>
                <w:color w:val="000000"/>
              </w:rPr>
              <w:t>UCAN</w:t>
            </w:r>
            <w:r w:rsidR="003020D1">
              <w:rPr>
                <w:b/>
                <w:bCs/>
                <w:color w:val="000000"/>
              </w:rPr>
              <w:t xml:space="preserve">, </w:t>
            </w:r>
            <w:r w:rsidRPr="00822BB0" w:rsidR="00DB701C">
              <w:rPr>
                <w:b/>
                <w:bCs/>
                <w:color w:val="000000"/>
              </w:rPr>
              <w:t>at p</w:t>
            </w:r>
            <w:r>
              <w:rPr>
                <w:b/>
                <w:bCs/>
                <w:color w:val="000000"/>
              </w:rPr>
              <w:t>p</w:t>
            </w:r>
            <w:r w:rsidRPr="00822BB0" w:rsidR="00DB701C">
              <w:rPr>
                <w:b/>
                <w:bCs/>
                <w:color w:val="000000"/>
              </w:rPr>
              <w:t xml:space="preserve">. </w:t>
            </w:r>
            <w:r>
              <w:rPr>
                <w:b/>
                <w:bCs/>
                <w:color w:val="000000"/>
              </w:rPr>
              <w:t>9-14;</w:t>
            </w:r>
            <w:r w:rsidR="001E7F12">
              <w:rPr>
                <w:b/>
                <w:bCs/>
                <w:color w:val="000000"/>
              </w:rPr>
              <w:t xml:space="preserve"> </w:t>
            </w:r>
            <w:r w:rsidRPr="001E7F12" w:rsidR="001E7F12">
              <w:rPr>
                <w:b/>
                <w:bCs/>
              </w:rPr>
              <w:t>Phase 2 Direct Testimony of Marlon F. Griffing, at pp. 2-5</w:t>
            </w:r>
            <w:r w:rsidR="00F00087">
              <w:rPr>
                <w:b/>
                <w:bCs/>
              </w:rPr>
              <w:t xml:space="preserve">; </w:t>
            </w:r>
            <w:r w:rsidRPr="000908FD" w:rsidR="00F00087">
              <w:rPr>
                <w:b/>
                <w:bCs/>
              </w:rPr>
              <w:t>P</w:t>
            </w:r>
            <w:r w:rsidR="00F00087">
              <w:rPr>
                <w:b/>
                <w:bCs/>
              </w:rPr>
              <w:t>hase</w:t>
            </w:r>
            <w:r w:rsidRPr="000908FD" w:rsidR="00F00087">
              <w:rPr>
                <w:b/>
                <w:bCs/>
              </w:rPr>
              <w:t xml:space="preserve"> </w:t>
            </w:r>
            <w:r w:rsidR="00F00087">
              <w:rPr>
                <w:b/>
                <w:bCs/>
              </w:rPr>
              <w:t>2</w:t>
            </w:r>
            <w:r w:rsidRPr="000908FD" w:rsidR="00F00087">
              <w:rPr>
                <w:b/>
                <w:bCs/>
              </w:rPr>
              <w:t xml:space="preserve"> R</w:t>
            </w:r>
            <w:r w:rsidR="00F00087">
              <w:rPr>
                <w:b/>
                <w:bCs/>
              </w:rPr>
              <w:t>eply Brief of</w:t>
            </w:r>
            <w:r w:rsidRPr="000908FD" w:rsidR="00F00087">
              <w:rPr>
                <w:b/>
                <w:bCs/>
              </w:rPr>
              <w:t xml:space="preserve"> UCA</w:t>
            </w:r>
            <w:r w:rsidR="00F00087">
              <w:rPr>
                <w:b/>
                <w:bCs/>
              </w:rPr>
              <w:t>N</w:t>
            </w:r>
            <w:r w:rsidRPr="00822BB0" w:rsidR="00F00087">
              <w:rPr>
                <w:b/>
                <w:bCs/>
                <w:color w:val="000000"/>
              </w:rPr>
              <w:t>, at p</w:t>
            </w:r>
            <w:r w:rsidR="00F00087">
              <w:rPr>
                <w:b/>
                <w:bCs/>
                <w:color w:val="000000"/>
              </w:rPr>
              <w:t>p</w:t>
            </w:r>
            <w:r w:rsidRPr="00822BB0" w:rsidR="00F00087">
              <w:rPr>
                <w:b/>
                <w:bCs/>
                <w:color w:val="000000"/>
              </w:rPr>
              <w:t xml:space="preserve">. </w:t>
            </w:r>
            <w:r w:rsidR="00F00087">
              <w:rPr>
                <w:b/>
                <w:bCs/>
                <w:color w:val="000000"/>
              </w:rPr>
              <w:t>3-5</w:t>
            </w:r>
            <w:r w:rsidR="00F12E87">
              <w:rPr>
                <w:b/>
                <w:bCs/>
                <w:color w:val="000000"/>
              </w:rPr>
              <w:t>.</w:t>
            </w:r>
          </w:p>
          <w:p w:rsidR="008B65A4" w:rsidP="00073262" w:rsidRDefault="008B65A4" w14:paraId="08161310" w14:textId="77777777">
            <w:pPr>
              <w:rPr>
                <w:color w:val="000000"/>
              </w:rPr>
            </w:pPr>
          </w:p>
          <w:p w:rsidR="006775AF" w:rsidP="00073262" w:rsidRDefault="006775AF" w14:paraId="0F19392F" w14:textId="2586140F">
            <w:pPr>
              <w:rPr>
                <w:color w:val="000000"/>
              </w:rPr>
            </w:pPr>
            <w:r>
              <w:rPr>
                <w:color w:val="000000"/>
              </w:rPr>
              <w:t xml:space="preserve">And in its Briefs and Comments, UCAN also </w:t>
            </w:r>
            <w:r w:rsidR="005A212D">
              <w:rPr>
                <w:color w:val="000000"/>
              </w:rPr>
              <w:t xml:space="preserve">presented, </w:t>
            </w:r>
            <w:r>
              <w:rPr>
                <w:color w:val="000000"/>
              </w:rPr>
              <w:t xml:space="preserve">emphasized, </w:t>
            </w:r>
            <w:r w:rsidR="005A212D">
              <w:rPr>
                <w:color w:val="000000"/>
              </w:rPr>
              <w:t>and supported the arguments that the proceeding should address and incorporate</w:t>
            </w:r>
            <w:r w:rsidR="00822BB0">
              <w:rPr>
                <w:color w:val="000000"/>
              </w:rPr>
              <w:t xml:space="preserve"> aspects of affordability and protection for ratepayers.</w:t>
            </w:r>
          </w:p>
          <w:p w:rsidRPr="00822BB0" w:rsidR="00822BB0" w:rsidP="00073262" w:rsidRDefault="000908FD" w14:paraId="0B201F65" w14:textId="6798FAF7">
            <w:pPr>
              <w:rPr>
                <w:b/>
                <w:bCs/>
                <w:color w:val="000000"/>
              </w:rPr>
            </w:pPr>
            <w:r w:rsidRPr="000908FD">
              <w:rPr>
                <w:b/>
                <w:bCs/>
              </w:rPr>
              <w:t>P</w:t>
            </w:r>
            <w:r>
              <w:rPr>
                <w:b/>
                <w:bCs/>
              </w:rPr>
              <w:t>hase</w:t>
            </w:r>
            <w:r w:rsidRPr="000908FD">
              <w:rPr>
                <w:b/>
                <w:bCs/>
              </w:rPr>
              <w:t xml:space="preserve"> </w:t>
            </w:r>
            <w:r>
              <w:rPr>
                <w:b/>
                <w:bCs/>
              </w:rPr>
              <w:t>2</w:t>
            </w:r>
            <w:r w:rsidRPr="000908FD">
              <w:rPr>
                <w:b/>
                <w:bCs/>
              </w:rPr>
              <w:t xml:space="preserve"> R</w:t>
            </w:r>
            <w:r>
              <w:rPr>
                <w:b/>
                <w:bCs/>
              </w:rPr>
              <w:t>eply Brief of</w:t>
            </w:r>
            <w:r w:rsidRPr="000908FD">
              <w:rPr>
                <w:b/>
                <w:bCs/>
              </w:rPr>
              <w:t xml:space="preserve"> UCA</w:t>
            </w:r>
            <w:r>
              <w:rPr>
                <w:b/>
                <w:bCs/>
              </w:rPr>
              <w:t>N</w:t>
            </w:r>
            <w:r w:rsidRPr="00822BB0" w:rsidR="00822BB0">
              <w:rPr>
                <w:b/>
                <w:bCs/>
                <w:color w:val="000000"/>
              </w:rPr>
              <w:t>, at p</w:t>
            </w:r>
            <w:r>
              <w:rPr>
                <w:b/>
                <w:bCs/>
                <w:color w:val="000000"/>
              </w:rPr>
              <w:t>p</w:t>
            </w:r>
            <w:r w:rsidRPr="00822BB0" w:rsidR="00822BB0">
              <w:rPr>
                <w:b/>
                <w:bCs/>
                <w:color w:val="000000"/>
              </w:rPr>
              <w:t xml:space="preserve">. </w:t>
            </w:r>
            <w:r>
              <w:rPr>
                <w:b/>
                <w:bCs/>
                <w:color w:val="000000"/>
              </w:rPr>
              <w:t>1-2</w:t>
            </w:r>
            <w:r w:rsidRPr="00822BB0" w:rsidR="00822BB0">
              <w:rPr>
                <w:b/>
                <w:bCs/>
                <w:color w:val="000000"/>
              </w:rPr>
              <w:t xml:space="preserve">; </w:t>
            </w:r>
            <w:r w:rsidR="00FE02AE">
              <w:rPr>
                <w:b/>
                <w:bCs/>
                <w:color w:val="000000"/>
              </w:rPr>
              <w:t xml:space="preserve">Phase 2 </w:t>
            </w:r>
            <w:r w:rsidRPr="007B41B2" w:rsidR="007B41B2">
              <w:rPr>
                <w:b/>
                <w:bCs/>
                <w:color w:val="000000"/>
              </w:rPr>
              <w:t>Opening Brief</w:t>
            </w:r>
            <w:r w:rsidR="00E3241F">
              <w:rPr>
                <w:b/>
                <w:bCs/>
                <w:color w:val="000000"/>
              </w:rPr>
              <w:t xml:space="preserve"> of UCAN</w:t>
            </w:r>
            <w:r w:rsidRPr="007B41B2" w:rsidR="007B41B2">
              <w:rPr>
                <w:b/>
                <w:bCs/>
                <w:color w:val="000000"/>
              </w:rPr>
              <w:t>, at pp. 10-12</w:t>
            </w:r>
            <w:r w:rsidR="00B7500F">
              <w:rPr>
                <w:b/>
                <w:bCs/>
                <w:color w:val="000000"/>
              </w:rPr>
              <w:t>.</w:t>
            </w:r>
          </w:p>
          <w:p w:rsidRPr="007F620E" w:rsidR="00E25078" w:rsidP="00073262" w:rsidRDefault="00E25078" w14:paraId="11FCCEB5" w14:textId="77777777">
            <w:pPr>
              <w:rPr>
                <w:color w:val="000000"/>
              </w:rPr>
            </w:pPr>
          </w:p>
        </w:tc>
        <w:tc>
          <w:tcPr>
            <w:tcW w:w="4140" w:type="dxa"/>
          </w:tcPr>
          <w:p w:rsidR="00F662C0" w:rsidP="005D6BDF" w:rsidRDefault="005D6BDF" w14:paraId="02CABA85" w14:textId="77777777">
            <w:pPr>
              <w:rPr>
                <w:color w:val="000000"/>
              </w:rPr>
            </w:pPr>
            <w:r>
              <w:rPr>
                <w:color w:val="000000"/>
              </w:rPr>
              <w:lastRenderedPageBreak/>
              <w:t>While the Decision</w:t>
            </w:r>
            <w:r w:rsidR="008C72AC">
              <w:rPr>
                <w:color w:val="000000"/>
              </w:rPr>
              <w:t>, o</w:t>
            </w:r>
            <w:r w:rsidRPr="005D6BDF">
              <w:rPr>
                <w:color w:val="000000"/>
              </w:rPr>
              <w:t xml:space="preserve">n the broader question of use of </w:t>
            </w:r>
            <w:proofErr w:type="gramStart"/>
            <w:r w:rsidRPr="005D6BDF">
              <w:rPr>
                <w:color w:val="000000"/>
              </w:rPr>
              <w:t>particular models</w:t>
            </w:r>
            <w:proofErr w:type="gramEnd"/>
            <w:r w:rsidRPr="005D6BDF">
              <w:rPr>
                <w:color w:val="000000"/>
              </w:rPr>
              <w:t xml:space="preserve"> or assumptions (i.e., issues 5(a) through 5(e)) above), decline</w:t>
            </w:r>
            <w:r w:rsidR="008C72AC">
              <w:rPr>
                <w:color w:val="000000"/>
              </w:rPr>
              <w:t>d</w:t>
            </w:r>
            <w:r w:rsidRPr="005D6BDF">
              <w:rPr>
                <w:color w:val="000000"/>
              </w:rPr>
              <w:t xml:space="preserve"> to implement these constraints at this time</w:t>
            </w:r>
            <w:r w:rsidR="00F662C0">
              <w:rPr>
                <w:color w:val="000000"/>
              </w:rPr>
              <w:t>, it did note the contribution of Intervenors.</w:t>
            </w:r>
          </w:p>
          <w:p w:rsidRPr="00F662C0" w:rsidR="00F662C0" w:rsidP="005D6BDF" w:rsidRDefault="00F662C0" w14:paraId="71107CEB" w14:textId="0CCFB596">
            <w:pPr>
              <w:rPr>
                <w:b/>
                <w:bCs/>
                <w:color w:val="000000"/>
              </w:rPr>
            </w:pPr>
            <w:r w:rsidRPr="00F662C0">
              <w:rPr>
                <w:b/>
                <w:bCs/>
                <w:color w:val="000000"/>
              </w:rPr>
              <w:lastRenderedPageBreak/>
              <w:t xml:space="preserve">D.24-10-008, at p. </w:t>
            </w:r>
            <w:r w:rsidR="00943136">
              <w:rPr>
                <w:b/>
                <w:bCs/>
                <w:color w:val="000000"/>
              </w:rPr>
              <w:t>29</w:t>
            </w:r>
            <w:r w:rsidRPr="00F662C0">
              <w:rPr>
                <w:b/>
                <w:bCs/>
                <w:color w:val="000000"/>
              </w:rPr>
              <w:t>.</w:t>
            </w:r>
          </w:p>
          <w:p w:rsidR="00F662C0" w:rsidP="005D6BDF" w:rsidRDefault="00F662C0" w14:paraId="78B82118" w14:textId="77777777">
            <w:pPr>
              <w:rPr>
                <w:color w:val="000000"/>
              </w:rPr>
            </w:pPr>
          </w:p>
          <w:p w:rsidR="00822BB0" w:rsidP="005D6BDF" w:rsidRDefault="00822BB0" w14:paraId="554B50DE" w14:textId="77777777">
            <w:pPr>
              <w:rPr>
                <w:color w:val="000000"/>
              </w:rPr>
            </w:pPr>
          </w:p>
          <w:p w:rsidR="00A271BF" w:rsidP="005D6BDF" w:rsidRDefault="00A271BF" w14:paraId="431DE410" w14:textId="77777777">
            <w:pPr>
              <w:rPr>
                <w:color w:val="000000"/>
              </w:rPr>
            </w:pPr>
          </w:p>
          <w:p w:rsidR="00A271BF" w:rsidP="005D6BDF" w:rsidRDefault="00A271BF" w14:paraId="11CA6B5F" w14:textId="77777777">
            <w:pPr>
              <w:rPr>
                <w:color w:val="000000"/>
              </w:rPr>
            </w:pPr>
          </w:p>
          <w:p w:rsidR="00A271BF" w:rsidP="005D6BDF" w:rsidRDefault="00A271BF" w14:paraId="3145D2E0" w14:textId="77777777">
            <w:pPr>
              <w:rPr>
                <w:color w:val="000000"/>
              </w:rPr>
            </w:pPr>
          </w:p>
          <w:p w:rsidR="00A271BF" w:rsidP="005D6BDF" w:rsidRDefault="00A271BF" w14:paraId="490BCC83" w14:textId="77777777">
            <w:pPr>
              <w:rPr>
                <w:color w:val="000000"/>
              </w:rPr>
            </w:pPr>
          </w:p>
          <w:p w:rsidR="00A271BF" w:rsidP="005D6BDF" w:rsidRDefault="00A271BF" w14:paraId="0F35C42B" w14:textId="77777777">
            <w:pPr>
              <w:rPr>
                <w:color w:val="000000"/>
              </w:rPr>
            </w:pPr>
          </w:p>
          <w:p w:rsidR="00A271BF" w:rsidP="005D6BDF" w:rsidRDefault="00A271BF" w14:paraId="25AD79EE" w14:textId="77777777">
            <w:pPr>
              <w:rPr>
                <w:color w:val="000000"/>
              </w:rPr>
            </w:pPr>
          </w:p>
          <w:p w:rsidR="00A271BF" w:rsidP="005D6BDF" w:rsidRDefault="00A271BF" w14:paraId="1C63A176" w14:textId="77777777">
            <w:pPr>
              <w:rPr>
                <w:color w:val="000000"/>
              </w:rPr>
            </w:pPr>
          </w:p>
          <w:p w:rsidR="00A271BF" w:rsidP="005D6BDF" w:rsidRDefault="00A271BF" w14:paraId="6E8107BE" w14:textId="77777777">
            <w:pPr>
              <w:rPr>
                <w:color w:val="000000"/>
              </w:rPr>
            </w:pPr>
          </w:p>
          <w:p w:rsidR="001524DA" w:rsidP="005D6BDF" w:rsidRDefault="001524DA" w14:paraId="7EFC1F99" w14:textId="77777777">
            <w:pPr>
              <w:rPr>
                <w:color w:val="000000"/>
              </w:rPr>
            </w:pPr>
          </w:p>
          <w:p w:rsidR="001524DA" w:rsidP="005D6BDF" w:rsidRDefault="001524DA" w14:paraId="4587FD5C" w14:textId="77777777">
            <w:pPr>
              <w:rPr>
                <w:color w:val="000000"/>
              </w:rPr>
            </w:pPr>
          </w:p>
          <w:p w:rsidR="001524DA" w:rsidP="005D6BDF" w:rsidRDefault="001524DA" w14:paraId="2642F202" w14:textId="77777777">
            <w:pPr>
              <w:rPr>
                <w:color w:val="000000"/>
              </w:rPr>
            </w:pPr>
          </w:p>
          <w:p w:rsidR="001524DA" w:rsidP="005D6BDF" w:rsidRDefault="001524DA" w14:paraId="655D5827" w14:textId="77777777">
            <w:pPr>
              <w:rPr>
                <w:color w:val="000000"/>
              </w:rPr>
            </w:pPr>
          </w:p>
          <w:p w:rsidR="001524DA" w:rsidP="005D6BDF" w:rsidRDefault="001524DA" w14:paraId="60045AB5" w14:textId="77777777">
            <w:pPr>
              <w:rPr>
                <w:color w:val="000000"/>
              </w:rPr>
            </w:pPr>
          </w:p>
          <w:p w:rsidR="001524DA" w:rsidP="005D6BDF" w:rsidRDefault="001524DA" w14:paraId="28FCE690" w14:textId="77777777">
            <w:pPr>
              <w:rPr>
                <w:color w:val="000000"/>
              </w:rPr>
            </w:pPr>
          </w:p>
          <w:p w:rsidR="001524DA" w:rsidP="005D6BDF" w:rsidRDefault="001524DA" w14:paraId="0EF150BE" w14:textId="77777777">
            <w:pPr>
              <w:rPr>
                <w:color w:val="000000"/>
              </w:rPr>
            </w:pPr>
          </w:p>
          <w:p w:rsidR="001524DA" w:rsidP="005D6BDF" w:rsidRDefault="001524DA" w14:paraId="2B0D7630" w14:textId="77777777">
            <w:pPr>
              <w:rPr>
                <w:color w:val="000000"/>
              </w:rPr>
            </w:pPr>
          </w:p>
          <w:p w:rsidR="001524DA" w:rsidP="005D6BDF" w:rsidRDefault="001524DA" w14:paraId="311EAC92" w14:textId="77777777">
            <w:pPr>
              <w:rPr>
                <w:color w:val="000000"/>
              </w:rPr>
            </w:pPr>
          </w:p>
          <w:p w:rsidR="001524DA" w:rsidP="005D6BDF" w:rsidRDefault="001524DA" w14:paraId="28A1659A" w14:textId="77777777">
            <w:pPr>
              <w:rPr>
                <w:color w:val="000000"/>
              </w:rPr>
            </w:pPr>
          </w:p>
          <w:p w:rsidR="001524DA" w:rsidP="005D6BDF" w:rsidRDefault="001524DA" w14:paraId="32B88456" w14:textId="77777777">
            <w:pPr>
              <w:rPr>
                <w:color w:val="000000"/>
              </w:rPr>
            </w:pPr>
          </w:p>
          <w:p w:rsidR="001524DA" w:rsidP="005D6BDF" w:rsidRDefault="001524DA" w14:paraId="4C3BB647" w14:textId="77777777">
            <w:pPr>
              <w:rPr>
                <w:color w:val="000000"/>
              </w:rPr>
            </w:pPr>
          </w:p>
          <w:p w:rsidR="001524DA" w:rsidP="005D6BDF" w:rsidRDefault="001524DA" w14:paraId="29086CB3" w14:textId="77777777">
            <w:pPr>
              <w:rPr>
                <w:color w:val="000000"/>
              </w:rPr>
            </w:pPr>
          </w:p>
          <w:p w:rsidR="001524DA" w:rsidP="005D6BDF" w:rsidRDefault="001524DA" w14:paraId="5B5C4DA7" w14:textId="77777777">
            <w:pPr>
              <w:rPr>
                <w:color w:val="000000"/>
              </w:rPr>
            </w:pPr>
          </w:p>
          <w:p w:rsidR="001524DA" w:rsidP="005D6BDF" w:rsidRDefault="001524DA" w14:paraId="6C348DB9" w14:textId="77777777">
            <w:pPr>
              <w:rPr>
                <w:color w:val="000000"/>
              </w:rPr>
            </w:pPr>
          </w:p>
          <w:p w:rsidR="001524DA" w:rsidP="005D6BDF" w:rsidRDefault="001524DA" w14:paraId="7452AA96" w14:textId="77777777">
            <w:pPr>
              <w:rPr>
                <w:color w:val="000000"/>
              </w:rPr>
            </w:pPr>
          </w:p>
          <w:p w:rsidR="001524DA" w:rsidP="005D6BDF" w:rsidRDefault="001524DA" w14:paraId="696B9A34" w14:textId="77777777">
            <w:pPr>
              <w:rPr>
                <w:color w:val="000000"/>
              </w:rPr>
            </w:pPr>
          </w:p>
          <w:p w:rsidR="001524DA" w:rsidP="005D6BDF" w:rsidRDefault="001524DA" w14:paraId="23DFB40A" w14:textId="77777777">
            <w:pPr>
              <w:rPr>
                <w:color w:val="000000"/>
              </w:rPr>
            </w:pPr>
          </w:p>
          <w:p w:rsidR="00F00087" w:rsidP="005D6BDF" w:rsidRDefault="00F00087" w14:paraId="17F21592" w14:textId="77777777">
            <w:pPr>
              <w:rPr>
                <w:color w:val="000000"/>
              </w:rPr>
            </w:pPr>
          </w:p>
          <w:p w:rsidR="00F662C0" w:rsidP="005D6BDF" w:rsidRDefault="00AE552D" w14:paraId="3FDB834A" w14:textId="3D3231B2">
            <w:pPr>
              <w:rPr>
                <w:color w:val="000000"/>
              </w:rPr>
            </w:pPr>
            <w:r>
              <w:rPr>
                <w:color w:val="000000"/>
              </w:rPr>
              <w:t xml:space="preserve">Even though the ruling noted the limitations inherent in </w:t>
            </w:r>
            <w:proofErr w:type="gramStart"/>
            <w:r>
              <w:rPr>
                <w:color w:val="000000"/>
              </w:rPr>
              <w:t>a Cost</w:t>
            </w:r>
            <w:proofErr w:type="gramEnd"/>
            <w:r>
              <w:rPr>
                <w:color w:val="000000"/>
              </w:rPr>
              <w:t xml:space="preserve"> of Capital proceeding, </w:t>
            </w:r>
            <w:r w:rsidR="00F662C0">
              <w:rPr>
                <w:color w:val="000000"/>
              </w:rPr>
              <w:t xml:space="preserve">the Decision echoed Intervenors’ emphasis on </w:t>
            </w:r>
            <w:r w:rsidR="0055539A">
              <w:rPr>
                <w:color w:val="000000"/>
              </w:rPr>
              <w:t xml:space="preserve">affordability and the </w:t>
            </w:r>
            <w:r>
              <w:rPr>
                <w:color w:val="000000"/>
              </w:rPr>
              <w:t>duty to protect Utility customers from unreasonable risks.</w:t>
            </w:r>
          </w:p>
          <w:p w:rsidR="0055539A" w:rsidP="005D6BDF" w:rsidRDefault="0055539A" w14:paraId="4995B743" w14:textId="77777777">
            <w:pPr>
              <w:rPr>
                <w:color w:val="000000"/>
              </w:rPr>
            </w:pPr>
          </w:p>
          <w:p w:rsidR="00BB0BD6" w:rsidP="005D6BDF" w:rsidRDefault="0055539A" w14:paraId="71262790" w14:textId="77777777">
            <w:pPr>
              <w:rPr>
                <w:color w:val="000000"/>
              </w:rPr>
            </w:pPr>
            <w:r>
              <w:rPr>
                <w:color w:val="000000"/>
              </w:rPr>
              <w:t>“</w:t>
            </w:r>
            <w:r w:rsidRPr="005D6BDF" w:rsidR="005D6BDF">
              <w:rPr>
                <w:color w:val="000000"/>
              </w:rPr>
              <w:t>On the question of affordability, the Commission agrees that affordability is of paramount importance. Cost of capital proceedings address affordability in that they set an allowed – but not guaranteed – rate of return for public utilities.</w:t>
            </w:r>
            <w:r w:rsidR="00BB0BD6">
              <w:rPr>
                <w:color w:val="000000"/>
              </w:rPr>
              <w:t>”</w:t>
            </w:r>
          </w:p>
          <w:p w:rsidRPr="00F662C0" w:rsidR="00BB0BD6" w:rsidP="00BB0BD6" w:rsidRDefault="00BB0BD6" w14:paraId="2671BD65" w14:textId="1775FDE2">
            <w:pPr>
              <w:rPr>
                <w:b/>
                <w:bCs/>
                <w:color w:val="000000"/>
              </w:rPr>
            </w:pPr>
            <w:r w:rsidRPr="00F662C0">
              <w:rPr>
                <w:b/>
                <w:bCs/>
                <w:color w:val="000000"/>
              </w:rPr>
              <w:lastRenderedPageBreak/>
              <w:t xml:space="preserve">D.24-10-008, at </w:t>
            </w:r>
            <w:proofErr w:type="gramStart"/>
            <w:r w:rsidRPr="00F662C0">
              <w:rPr>
                <w:b/>
                <w:bCs/>
                <w:color w:val="000000"/>
              </w:rPr>
              <w:t>p</w:t>
            </w:r>
            <w:r w:rsidR="00943136">
              <w:rPr>
                <w:b/>
                <w:bCs/>
                <w:color w:val="000000"/>
              </w:rPr>
              <w:t>p</w:t>
            </w:r>
            <w:proofErr w:type="gramEnd"/>
            <w:r w:rsidRPr="00F662C0">
              <w:rPr>
                <w:b/>
                <w:bCs/>
                <w:color w:val="000000"/>
              </w:rPr>
              <w:t xml:space="preserve">. </w:t>
            </w:r>
            <w:r w:rsidR="004317D7">
              <w:rPr>
                <w:b/>
                <w:bCs/>
                <w:color w:val="000000"/>
              </w:rPr>
              <w:t>29-30</w:t>
            </w:r>
            <w:r w:rsidRPr="00F662C0">
              <w:rPr>
                <w:b/>
                <w:bCs/>
                <w:color w:val="000000"/>
              </w:rPr>
              <w:t>.</w:t>
            </w:r>
          </w:p>
          <w:p w:rsidR="00BB0BD6" w:rsidP="005D6BDF" w:rsidRDefault="00BB0BD6" w14:paraId="33178052" w14:textId="77777777">
            <w:pPr>
              <w:rPr>
                <w:color w:val="000000"/>
              </w:rPr>
            </w:pPr>
          </w:p>
          <w:p w:rsidR="00A92D0B" w:rsidP="005D6BDF" w:rsidRDefault="008B4112" w14:paraId="0AFAF174" w14:textId="27DD03C3">
            <w:pPr>
              <w:rPr>
                <w:color w:val="000000"/>
              </w:rPr>
            </w:pPr>
            <w:r>
              <w:rPr>
                <w:color w:val="000000"/>
              </w:rPr>
              <w:t>“I</w:t>
            </w:r>
            <w:r w:rsidRPr="005D6BDF" w:rsidR="005D6BDF">
              <w:rPr>
                <w:color w:val="000000"/>
              </w:rPr>
              <w:t>n approving a cost of capital, the Commission has a duty to utility ratepayers to protect them from unreasonable risks, including risks of imprudent management.</w:t>
            </w:r>
          </w:p>
          <w:p w:rsidRPr="001E7F12" w:rsidR="00BB0BD6" w:rsidP="005D6BDF" w:rsidRDefault="00BB0BD6" w14:paraId="2A92A629" w14:textId="2462B6F4">
            <w:pPr>
              <w:rPr>
                <w:b/>
                <w:bCs/>
                <w:color w:val="000000"/>
              </w:rPr>
            </w:pPr>
            <w:r w:rsidRPr="00F662C0">
              <w:rPr>
                <w:b/>
                <w:bCs/>
                <w:color w:val="000000"/>
              </w:rPr>
              <w:t xml:space="preserve">D.24-10-008, at p. </w:t>
            </w:r>
            <w:r w:rsidR="00E46D9B">
              <w:rPr>
                <w:b/>
                <w:bCs/>
                <w:color w:val="000000"/>
              </w:rPr>
              <w:t>30</w:t>
            </w:r>
            <w:r w:rsidRPr="00F662C0">
              <w:rPr>
                <w:b/>
                <w:bCs/>
                <w:color w:val="000000"/>
              </w:rPr>
              <w:t>.</w:t>
            </w:r>
          </w:p>
        </w:tc>
        <w:tc>
          <w:tcPr>
            <w:tcW w:w="2340" w:type="dxa"/>
          </w:tcPr>
          <w:p w:rsidRPr="00086426" w:rsidR="00086426" w:rsidP="133E9F8B" w:rsidRDefault="00582233" w14:paraId="63EEE8A7" w14:textId="4DF6615D">
            <w:r w:rsidRPr="00582233">
              <w:rPr>
                <w:i/>
                <w:iCs/>
              </w:rPr>
              <w:lastRenderedPageBreak/>
              <w:t>See</w:t>
            </w:r>
            <w:r w:rsidRPr="00582233">
              <w:t xml:space="preserve"> Part III.D CPUC Comments, Disallowances, and Adjustments</w:t>
            </w:r>
            <w:r w:rsidR="00DB4B1C">
              <w:t xml:space="preserve"> [1]</w:t>
            </w:r>
            <w:r>
              <w:t>.</w:t>
            </w:r>
          </w:p>
          <w:p w:rsidR="00A92D0B" w:rsidP="00073262" w:rsidRDefault="00A92D0B" w14:paraId="79FCC444" w14:textId="6E4DAA69">
            <w:pPr>
              <w:rPr>
                <w:color w:val="000000"/>
              </w:rPr>
            </w:pPr>
          </w:p>
          <w:p w:rsidR="00086426" w:rsidP="00073262" w:rsidRDefault="00086426" w14:paraId="4141ED19" w14:textId="77777777">
            <w:pPr>
              <w:rPr>
                <w:color w:val="000000"/>
              </w:rPr>
            </w:pPr>
          </w:p>
          <w:p w:rsidR="00C764CC" w:rsidP="00073262" w:rsidRDefault="00C764CC" w14:paraId="01DAC192" w14:textId="77777777">
            <w:pPr>
              <w:rPr>
                <w:color w:val="000000"/>
              </w:rPr>
            </w:pPr>
          </w:p>
          <w:p w:rsidR="00C764CC" w:rsidP="00073262" w:rsidRDefault="00C764CC" w14:paraId="0B4EB8FF" w14:textId="77777777">
            <w:pPr>
              <w:rPr>
                <w:color w:val="000000"/>
              </w:rPr>
            </w:pPr>
          </w:p>
          <w:p w:rsidR="00C764CC" w:rsidP="00073262" w:rsidRDefault="00C764CC" w14:paraId="5109CEAF" w14:textId="77777777">
            <w:pPr>
              <w:rPr>
                <w:color w:val="000000"/>
              </w:rPr>
            </w:pPr>
          </w:p>
          <w:p w:rsidR="00C764CC" w:rsidP="00073262" w:rsidRDefault="00C764CC" w14:paraId="53204DBE" w14:textId="77777777">
            <w:pPr>
              <w:rPr>
                <w:color w:val="000000"/>
              </w:rPr>
            </w:pPr>
          </w:p>
          <w:p w:rsidR="00C764CC" w:rsidP="00073262" w:rsidRDefault="00C764CC" w14:paraId="2BF6D8D2" w14:textId="77777777">
            <w:pPr>
              <w:rPr>
                <w:color w:val="000000"/>
              </w:rPr>
            </w:pPr>
          </w:p>
          <w:p w:rsidR="00C764CC" w:rsidP="00073262" w:rsidRDefault="00C764CC" w14:paraId="7377C105" w14:textId="77777777">
            <w:pPr>
              <w:rPr>
                <w:color w:val="000000"/>
              </w:rPr>
            </w:pPr>
          </w:p>
          <w:p w:rsidR="00C764CC" w:rsidP="00073262" w:rsidRDefault="00C764CC" w14:paraId="07022954" w14:textId="77777777">
            <w:pPr>
              <w:rPr>
                <w:color w:val="000000"/>
              </w:rPr>
            </w:pPr>
          </w:p>
          <w:p w:rsidR="00C764CC" w:rsidP="00073262" w:rsidRDefault="00C764CC" w14:paraId="64F02F47" w14:textId="77777777">
            <w:pPr>
              <w:rPr>
                <w:color w:val="000000"/>
              </w:rPr>
            </w:pPr>
          </w:p>
          <w:p w:rsidR="00C764CC" w:rsidP="00073262" w:rsidRDefault="00C764CC" w14:paraId="18127405" w14:textId="77777777">
            <w:pPr>
              <w:rPr>
                <w:color w:val="000000"/>
              </w:rPr>
            </w:pPr>
          </w:p>
          <w:p w:rsidR="00C764CC" w:rsidP="00073262" w:rsidRDefault="00C764CC" w14:paraId="0255D117" w14:textId="77777777">
            <w:pPr>
              <w:rPr>
                <w:color w:val="000000"/>
              </w:rPr>
            </w:pPr>
          </w:p>
          <w:p w:rsidR="00C764CC" w:rsidP="00073262" w:rsidRDefault="00C764CC" w14:paraId="774CEEFF" w14:textId="77777777">
            <w:pPr>
              <w:rPr>
                <w:color w:val="000000"/>
              </w:rPr>
            </w:pPr>
          </w:p>
          <w:p w:rsidR="00C764CC" w:rsidP="00073262" w:rsidRDefault="00C764CC" w14:paraId="1DA6BFED" w14:textId="77777777">
            <w:pPr>
              <w:rPr>
                <w:color w:val="000000"/>
              </w:rPr>
            </w:pPr>
          </w:p>
          <w:p w:rsidR="00C764CC" w:rsidP="00073262" w:rsidRDefault="00C764CC" w14:paraId="076C6ED4" w14:textId="77777777">
            <w:pPr>
              <w:rPr>
                <w:color w:val="000000"/>
              </w:rPr>
            </w:pPr>
          </w:p>
          <w:p w:rsidRPr="007F620E" w:rsidR="00C764CC" w:rsidP="00073262" w:rsidRDefault="00C764CC" w14:paraId="56FD3368" w14:textId="4967FEA1">
            <w:pPr>
              <w:rPr>
                <w:color w:val="000000"/>
              </w:rPr>
            </w:pPr>
          </w:p>
        </w:tc>
      </w:tr>
    </w:tbl>
    <w:p w:rsidRPr="007F620E" w:rsidR="00A92D0B" w:rsidP="006259C7" w:rsidRDefault="00A92D0B" w14:paraId="0D4BCD3A" w14:textId="77777777">
      <w:pPr>
        <w:keepNext/>
        <w:numPr>
          <w:ilvl w:val="0"/>
          <w:numId w:val="10"/>
        </w:numPr>
        <w:spacing w:before="240" w:after="120"/>
        <w:rPr>
          <w:b/>
          <w:color w:val="000000"/>
        </w:rPr>
      </w:pPr>
      <w:r w:rsidRPr="007F620E">
        <w:rPr>
          <w:b/>
          <w:color w:val="000000"/>
        </w:rPr>
        <w:lastRenderedPageBreak/>
        <w:t xml:space="preserve">Duplication of Effort (§ 1801.3(f) </w:t>
      </w:r>
      <w:r w:rsidRPr="007F620E" w:rsidR="00F30DA8">
        <w:rPr>
          <w:b/>
          <w:color w:val="000000"/>
        </w:rPr>
        <w:t xml:space="preserve">and § </w:t>
      </w:r>
      <w:r w:rsidR="0022302F">
        <w:rPr>
          <w:b/>
          <w:color w:val="000000"/>
        </w:rPr>
        <w:t>1802.5)</w:t>
      </w:r>
      <w:r w:rsidR="00C02649">
        <w:rPr>
          <w:b/>
          <w:color w:val="000000"/>
        </w:rPr>
        <w:t>:</w:t>
      </w:r>
    </w:p>
    <w:tbl>
      <w:tblPr>
        <w:tblpPr w:leftFromText="180" w:rightFromText="180" w:vertAnchor="text" w:tblpY="1"/>
        <w:tblOverlap w:val="neve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980"/>
      </w:tblGrid>
      <w:tr w:rsidRPr="007F620E" w:rsidR="00A92D0B" w:rsidTr="03A7085E" w14:paraId="76F3266C" w14:textId="77777777">
        <w:tc>
          <w:tcPr>
            <w:tcW w:w="6048" w:type="dxa"/>
            <w:shd w:val="clear" w:color="auto" w:fill="D9D9D9" w:themeFill="background1" w:themeFillShade="D9"/>
          </w:tcPr>
          <w:p w:rsidRPr="007F620E" w:rsidR="00A92D0B" w:rsidP="00115553" w:rsidRDefault="00A92D0B" w14:paraId="300CEDBC" w14:textId="77777777">
            <w:pPr>
              <w:widowControl w:val="0"/>
              <w:rPr>
                <w:color w:val="000000"/>
              </w:rPr>
            </w:pPr>
          </w:p>
        </w:tc>
        <w:tc>
          <w:tcPr>
            <w:tcW w:w="1710" w:type="dxa"/>
            <w:tcBorders>
              <w:bottom w:val="single" w:color="auto" w:sz="4" w:space="0"/>
            </w:tcBorders>
            <w:shd w:val="clear" w:color="auto" w:fill="D9D9D9" w:themeFill="background1" w:themeFillShade="D9"/>
          </w:tcPr>
          <w:p w:rsidRPr="007F620E" w:rsidR="00A92D0B" w:rsidP="00115553" w:rsidRDefault="005A63D4" w14:paraId="7B091096" w14:textId="77777777">
            <w:pPr>
              <w:widowControl w:val="0"/>
              <w:jc w:val="center"/>
              <w:rPr>
                <w:b/>
                <w:bCs/>
                <w:color w:val="000000"/>
              </w:rPr>
            </w:pPr>
            <w:r w:rsidRPr="03A7085E">
              <w:rPr>
                <w:b/>
                <w:bCs/>
                <w:color w:val="000000" w:themeColor="text1"/>
              </w:rPr>
              <w:t>Interveno</w:t>
            </w:r>
            <w:r w:rsidRPr="03A7085E" w:rsidR="2602FB67">
              <w:rPr>
                <w:b/>
                <w:bCs/>
                <w:color w:val="000000" w:themeColor="text1"/>
              </w:rPr>
              <w:t>r</w:t>
            </w:r>
            <w:r w:rsidRPr="03A7085E">
              <w:rPr>
                <w:b/>
                <w:bCs/>
                <w:color w:val="000000" w:themeColor="text1"/>
              </w:rPr>
              <w:t xml:space="preserve">’s </w:t>
            </w:r>
            <w:r w:rsidRPr="03A7085E" w:rsidR="00D075B1">
              <w:rPr>
                <w:b/>
                <w:bCs/>
                <w:color w:val="000000" w:themeColor="text1"/>
              </w:rPr>
              <w:t>Assertion</w:t>
            </w:r>
          </w:p>
        </w:tc>
        <w:tc>
          <w:tcPr>
            <w:tcW w:w="1980" w:type="dxa"/>
            <w:shd w:val="clear" w:color="auto" w:fill="D9D9D9" w:themeFill="background1" w:themeFillShade="D9"/>
          </w:tcPr>
          <w:p w:rsidRPr="007F620E" w:rsidR="00A92D0B" w:rsidP="00115553" w:rsidRDefault="00A92D0B" w14:paraId="25CE5081" w14:textId="77777777">
            <w:pPr>
              <w:widowControl w:val="0"/>
              <w:jc w:val="center"/>
              <w:rPr>
                <w:b/>
                <w:bCs/>
                <w:color w:val="000000"/>
              </w:rPr>
            </w:pPr>
            <w:r w:rsidRPr="03A7085E">
              <w:rPr>
                <w:b/>
                <w:bCs/>
                <w:color w:val="000000" w:themeColor="text1"/>
              </w:rPr>
              <w:t xml:space="preserve">CPUC </w:t>
            </w:r>
            <w:r w:rsidRPr="03A7085E" w:rsidR="00D075B1">
              <w:rPr>
                <w:b/>
                <w:bCs/>
                <w:color w:val="000000" w:themeColor="text1"/>
              </w:rPr>
              <w:t>Discussion</w:t>
            </w:r>
          </w:p>
        </w:tc>
      </w:tr>
      <w:tr w:rsidRPr="007F620E" w:rsidR="00A92D0B" w:rsidTr="00100142" w14:paraId="24A12BE1" w14:textId="77777777">
        <w:trPr>
          <w:tblHeader/>
        </w:trPr>
        <w:tc>
          <w:tcPr>
            <w:tcW w:w="6048" w:type="dxa"/>
            <w:shd w:val="clear" w:color="auto" w:fill="FFFFFF" w:themeFill="background1"/>
          </w:tcPr>
          <w:p w:rsidRPr="007F620E" w:rsidR="00A92D0B" w:rsidP="00115553" w:rsidRDefault="00A92D0B" w14:paraId="6915FAF6" w14:textId="2A14F6DC">
            <w:pPr>
              <w:widowControl w:val="0"/>
              <w:ind w:left="360" w:hanging="360"/>
              <w:rPr>
                <w:b/>
                <w:bCs/>
                <w:color w:val="000000"/>
              </w:rPr>
            </w:pPr>
            <w:r w:rsidRPr="03A7085E">
              <w:rPr>
                <w:b/>
                <w:bCs/>
                <w:color w:val="000000"/>
              </w:rPr>
              <w:t>a.</w:t>
            </w:r>
            <w:r w:rsidRPr="007F620E">
              <w:rPr>
                <w:b/>
                <w:color w:val="000000"/>
              </w:rPr>
              <w:tab/>
            </w:r>
            <w:r w:rsidRPr="03A7085E">
              <w:rPr>
                <w:b/>
                <w:bCs/>
              </w:rPr>
              <w:t xml:space="preserve">Was the </w:t>
            </w:r>
            <w:r w:rsidRPr="03A7085E" w:rsidR="0032CAFD">
              <w:rPr>
                <w:b/>
                <w:bCs/>
                <w:color w:val="000000"/>
                <w:sz w:val="22"/>
                <w:szCs w:val="22"/>
              </w:rPr>
              <w:t>Public Advocate</w:t>
            </w:r>
            <w:r w:rsidRPr="03A7085E" w:rsidR="3D491425">
              <w:rPr>
                <w:b/>
                <w:bCs/>
                <w:color w:val="000000"/>
                <w:sz w:val="22"/>
                <w:szCs w:val="22"/>
              </w:rPr>
              <w:t>’</w:t>
            </w:r>
            <w:r w:rsidRPr="03A7085E" w:rsidR="0032CAFD">
              <w:rPr>
                <w:b/>
                <w:bCs/>
                <w:color w:val="000000"/>
                <w:sz w:val="22"/>
                <w:szCs w:val="22"/>
              </w:rPr>
              <w:t>s Office of the Public Utilities Commission</w:t>
            </w:r>
            <w:r w:rsidRPr="03A7085E" w:rsidR="0032CAFD">
              <w:rPr>
                <w:b/>
                <w:bCs/>
              </w:rPr>
              <w:t xml:space="preserve"> </w:t>
            </w:r>
            <w:r w:rsidRPr="03A7085E">
              <w:rPr>
                <w:b/>
                <w:bCs/>
                <w:color w:val="000000"/>
                <w:sz w:val="22"/>
                <w:szCs w:val="22"/>
              </w:rPr>
              <w:t>(</w:t>
            </w:r>
            <w:r w:rsidRPr="03A7085E" w:rsidR="7E8C1A59">
              <w:rPr>
                <w:b/>
                <w:bCs/>
                <w:color w:val="000000"/>
                <w:sz w:val="22"/>
                <w:szCs w:val="22"/>
              </w:rPr>
              <w:t>Cal Advocates</w:t>
            </w:r>
            <w:r w:rsidRPr="03A7085E">
              <w:rPr>
                <w:b/>
                <w:bCs/>
              </w:rPr>
              <w:t>) a party to the proceeding</w:t>
            </w:r>
            <w:r w:rsidRPr="03A7085E">
              <w:rPr>
                <w:b/>
                <w:bCs/>
                <w:color w:val="000000"/>
              </w:rPr>
              <w:t>?</w:t>
            </w:r>
          </w:p>
        </w:tc>
        <w:tc>
          <w:tcPr>
            <w:tcW w:w="1710" w:type="dxa"/>
            <w:shd w:val="clear" w:color="auto" w:fill="FFFFFF" w:themeFill="background1"/>
          </w:tcPr>
          <w:p w:rsidRPr="00E25078" w:rsidR="00A92D0B" w:rsidP="00115553" w:rsidRDefault="5712895F" w14:paraId="0B49A7C8" w14:textId="369EFDEB">
            <w:pPr>
              <w:widowControl w:val="0"/>
              <w:rPr>
                <w:color w:val="000000"/>
              </w:rPr>
            </w:pPr>
            <w:r w:rsidRPr="03A7085E">
              <w:rPr>
                <w:color w:val="000000" w:themeColor="text1"/>
              </w:rPr>
              <w:t>Yes</w:t>
            </w:r>
          </w:p>
        </w:tc>
        <w:tc>
          <w:tcPr>
            <w:tcW w:w="1980" w:type="dxa"/>
          </w:tcPr>
          <w:p w:rsidRPr="00E25078" w:rsidR="00A92D0B" w:rsidP="00115553" w:rsidRDefault="000C1A2E" w14:paraId="23B6532A" w14:textId="11BC9068">
            <w:pPr>
              <w:widowControl w:val="0"/>
              <w:rPr>
                <w:color w:val="000000"/>
              </w:rPr>
            </w:pPr>
            <w:r w:rsidRPr="03A7085E">
              <w:rPr>
                <w:color w:val="000000" w:themeColor="text1"/>
              </w:rPr>
              <w:t>Verified</w:t>
            </w:r>
          </w:p>
        </w:tc>
      </w:tr>
      <w:tr w:rsidRPr="007F620E" w:rsidR="00A92D0B" w:rsidTr="00100142" w14:paraId="3317BD71" w14:textId="77777777">
        <w:tc>
          <w:tcPr>
            <w:tcW w:w="6048" w:type="dxa"/>
            <w:shd w:val="clear" w:color="auto" w:fill="FFFFFF" w:themeFill="background1"/>
          </w:tcPr>
          <w:p w:rsidRPr="007F620E" w:rsidR="00A92D0B" w:rsidP="00115553" w:rsidRDefault="00A92D0B" w14:paraId="561D245D" w14:textId="77777777">
            <w:pPr>
              <w:widowControl w:val="0"/>
              <w:tabs>
                <w:tab w:val="left" w:pos="360"/>
              </w:tabs>
              <w:ind w:left="360" w:hanging="360"/>
              <w:rPr>
                <w:b/>
                <w:bCs/>
                <w:color w:val="000000"/>
              </w:rPr>
            </w:pPr>
            <w:r w:rsidRPr="03A7085E">
              <w:rPr>
                <w:b/>
                <w:bCs/>
                <w:color w:val="000000" w:themeColor="text1"/>
              </w:rPr>
              <w:t>b.</w:t>
            </w:r>
            <w:r>
              <w:tab/>
            </w:r>
            <w:r w:rsidRPr="03A7085E">
              <w:rPr>
                <w:b/>
                <w:bCs/>
                <w:color w:val="000000" w:themeColor="text1"/>
              </w:rPr>
              <w:t xml:space="preserve">Were there other parties to </w:t>
            </w:r>
            <w:proofErr w:type="gramStart"/>
            <w:r w:rsidRPr="03A7085E">
              <w:rPr>
                <w:b/>
                <w:bCs/>
                <w:color w:val="000000" w:themeColor="text1"/>
              </w:rPr>
              <w:t>the proceeding</w:t>
            </w:r>
            <w:proofErr w:type="gramEnd"/>
            <w:r w:rsidRPr="03A7085E">
              <w:rPr>
                <w:b/>
                <w:bCs/>
                <w:color w:val="000000" w:themeColor="text1"/>
              </w:rPr>
              <w:t xml:space="preserve"> with positions </w:t>
            </w:r>
            <w:proofErr w:type="gramStart"/>
            <w:r w:rsidRPr="03A7085E">
              <w:rPr>
                <w:b/>
                <w:bCs/>
                <w:color w:val="000000" w:themeColor="text1"/>
              </w:rPr>
              <w:t>similar to</w:t>
            </w:r>
            <w:proofErr w:type="gramEnd"/>
            <w:r w:rsidRPr="03A7085E">
              <w:rPr>
                <w:b/>
                <w:bCs/>
                <w:color w:val="000000" w:themeColor="text1"/>
              </w:rPr>
              <w:t xml:space="preserve"> yours? </w:t>
            </w:r>
          </w:p>
        </w:tc>
        <w:tc>
          <w:tcPr>
            <w:tcW w:w="1710" w:type="dxa"/>
            <w:shd w:val="clear" w:color="auto" w:fill="FFFFFF" w:themeFill="background1"/>
          </w:tcPr>
          <w:p w:rsidRPr="00E25078" w:rsidR="00A92D0B" w:rsidP="00115553" w:rsidRDefault="5712895F" w14:paraId="3708E485" w14:textId="216C6F96">
            <w:pPr>
              <w:widowControl w:val="0"/>
              <w:rPr>
                <w:color w:val="000000"/>
              </w:rPr>
            </w:pPr>
            <w:r w:rsidRPr="03A7085E">
              <w:rPr>
                <w:color w:val="000000" w:themeColor="text1"/>
              </w:rPr>
              <w:t>Yes</w:t>
            </w:r>
          </w:p>
        </w:tc>
        <w:tc>
          <w:tcPr>
            <w:tcW w:w="1980" w:type="dxa"/>
          </w:tcPr>
          <w:p w:rsidRPr="00E25078" w:rsidR="00A92D0B" w:rsidP="00115553" w:rsidRDefault="03D7FBE2" w14:paraId="6B3388E6" w14:textId="554E5B39">
            <w:pPr>
              <w:widowControl w:val="0"/>
              <w:rPr>
                <w:color w:val="000000"/>
              </w:rPr>
            </w:pPr>
            <w:r w:rsidRPr="03A7085E">
              <w:rPr>
                <w:color w:val="000000" w:themeColor="text1"/>
              </w:rPr>
              <w:t>Verified</w:t>
            </w:r>
          </w:p>
        </w:tc>
      </w:tr>
      <w:tr w:rsidRPr="007F620E" w:rsidR="00A92D0B" w:rsidTr="00100142" w14:paraId="0A51B7D4" w14:textId="77777777">
        <w:tc>
          <w:tcPr>
            <w:tcW w:w="7758" w:type="dxa"/>
            <w:gridSpan w:val="2"/>
            <w:shd w:val="clear" w:color="auto" w:fill="FFFFFF" w:themeFill="background1"/>
          </w:tcPr>
          <w:p w:rsidRPr="00E25078" w:rsidR="00A92D0B" w:rsidP="00115553" w:rsidRDefault="00A92D0B" w14:paraId="30CB6275" w14:textId="7D63B4F2">
            <w:pPr>
              <w:widowControl w:val="0"/>
              <w:ind w:left="360" w:hanging="360"/>
              <w:rPr>
                <w:color w:val="000000"/>
              </w:rPr>
            </w:pPr>
            <w:proofErr w:type="gramStart"/>
            <w:r w:rsidRPr="03A7085E">
              <w:rPr>
                <w:b/>
                <w:bCs/>
                <w:color w:val="000000" w:themeColor="text1"/>
              </w:rPr>
              <w:t>c.</w:t>
            </w:r>
            <w:r>
              <w:tab/>
            </w:r>
            <w:r w:rsidRPr="03A7085E">
              <w:rPr>
                <w:b/>
                <w:bCs/>
                <w:color w:val="000000" w:themeColor="text1"/>
              </w:rPr>
              <w:t>If</w:t>
            </w:r>
            <w:proofErr w:type="gramEnd"/>
            <w:r w:rsidRPr="03A7085E">
              <w:rPr>
                <w:b/>
                <w:bCs/>
                <w:color w:val="000000" w:themeColor="text1"/>
              </w:rPr>
              <w:t xml:space="preserve"> so, provide name of other parties:</w:t>
            </w:r>
            <w:r w:rsidRPr="03A7085E" w:rsidR="22E4124C">
              <w:rPr>
                <w:color w:val="000000" w:themeColor="text1"/>
              </w:rPr>
              <w:t xml:space="preserve"> </w:t>
            </w:r>
          </w:p>
          <w:p w:rsidR="00FB3DB3" w:rsidP="00115553" w:rsidRDefault="00FB3DB3" w14:paraId="0015B3E4" w14:textId="77777777">
            <w:pPr>
              <w:widowControl w:val="0"/>
              <w:ind w:left="360" w:hanging="360"/>
              <w:rPr>
                <w:color w:val="000000"/>
              </w:rPr>
            </w:pPr>
          </w:p>
          <w:p w:rsidRPr="00E25078" w:rsidR="00A92D0B" w:rsidP="00115553" w:rsidRDefault="421321CC" w14:paraId="0919176B" w14:textId="4E974C35">
            <w:pPr>
              <w:widowControl w:val="0"/>
              <w:ind w:left="360" w:hanging="360"/>
              <w:rPr>
                <w:color w:val="000000"/>
              </w:rPr>
            </w:pPr>
            <w:r w:rsidRPr="03A7085E">
              <w:rPr>
                <w:color w:val="000000" w:themeColor="text1"/>
              </w:rPr>
              <w:t>TURN, PCF, UCAN, EDF, and EPUC/IS</w:t>
            </w:r>
          </w:p>
        </w:tc>
        <w:tc>
          <w:tcPr>
            <w:tcW w:w="1980" w:type="dxa"/>
          </w:tcPr>
          <w:p w:rsidRPr="00E25078" w:rsidR="00A92D0B" w:rsidP="00115553" w:rsidRDefault="000C1A2E" w14:paraId="22A40B49" w14:textId="1C9BB601">
            <w:pPr>
              <w:widowControl w:val="0"/>
              <w:rPr>
                <w:color w:val="000000"/>
              </w:rPr>
            </w:pPr>
            <w:r w:rsidRPr="03A7085E">
              <w:rPr>
                <w:color w:val="000000" w:themeColor="text1"/>
              </w:rPr>
              <w:t>Noted</w:t>
            </w:r>
          </w:p>
        </w:tc>
      </w:tr>
      <w:tr w:rsidRPr="007F620E" w:rsidR="00A92D0B" w:rsidTr="00100142" w14:paraId="744830F5" w14:textId="77777777">
        <w:tc>
          <w:tcPr>
            <w:tcW w:w="7758" w:type="dxa"/>
            <w:gridSpan w:val="2"/>
            <w:shd w:val="clear" w:color="auto" w:fill="FFFFFF" w:themeFill="background1"/>
          </w:tcPr>
          <w:p w:rsidRPr="00E25078" w:rsidR="00A92D0B" w:rsidP="00115553" w:rsidRDefault="00A92D0B" w14:paraId="7C05FE5A" w14:textId="7521972E">
            <w:pPr>
              <w:widowControl w:val="0"/>
              <w:tabs>
                <w:tab w:val="left" w:pos="360"/>
              </w:tabs>
              <w:ind w:left="360" w:hanging="360"/>
              <w:rPr>
                <w:color w:val="000000"/>
              </w:rPr>
            </w:pPr>
            <w:r w:rsidRPr="03A7085E">
              <w:rPr>
                <w:b/>
                <w:bCs/>
                <w:color w:val="000000" w:themeColor="text1"/>
              </w:rPr>
              <w:t>d.</w:t>
            </w:r>
            <w:r>
              <w:tab/>
            </w:r>
            <w:r w:rsidRPr="03A7085E" w:rsidR="00D075B1">
              <w:rPr>
                <w:b/>
                <w:bCs/>
                <w:color w:val="000000" w:themeColor="text1"/>
              </w:rPr>
              <w:t xml:space="preserve">Intervenor’s </w:t>
            </w:r>
            <w:r w:rsidRPr="03A7085E" w:rsidR="00A319DE">
              <w:rPr>
                <w:b/>
                <w:bCs/>
                <w:color w:val="000000" w:themeColor="text1"/>
              </w:rPr>
              <w:t>c</w:t>
            </w:r>
            <w:r w:rsidRPr="03A7085E" w:rsidR="00D075B1">
              <w:rPr>
                <w:b/>
                <w:bCs/>
                <w:color w:val="000000" w:themeColor="text1"/>
              </w:rPr>
              <w:t xml:space="preserve">laim of </w:t>
            </w:r>
            <w:r w:rsidRPr="03A7085E" w:rsidR="00A319DE">
              <w:rPr>
                <w:b/>
                <w:bCs/>
                <w:color w:val="000000" w:themeColor="text1"/>
              </w:rPr>
              <w:t>n</w:t>
            </w:r>
            <w:r w:rsidRPr="03A7085E" w:rsidR="00D075B1">
              <w:rPr>
                <w:b/>
                <w:bCs/>
                <w:color w:val="000000" w:themeColor="text1"/>
              </w:rPr>
              <w:t>on-</w:t>
            </w:r>
            <w:r w:rsidRPr="03A7085E" w:rsidR="00A319DE">
              <w:rPr>
                <w:b/>
                <w:bCs/>
                <w:color w:val="000000" w:themeColor="text1"/>
              </w:rPr>
              <w:t>d</w:t>
            </w:r>
            <w:r w:rsidRPr="03A7085E" w:rsidR="00D075B1">
              <w:rPr>
                <w:b/>
                <w:bCs/>
                <w:color w:val="000000" w:themeColor="text1"/>
              </w:rPr>
              <w:t>uplication:</w:t>
            </w:r>
            <w:r w:rsidRPr="03A7085E" w:rsidR="22E4124C">
              <w:rPr>
                <w:color w:val="000000" w:themeColor="text1"/>
              </w:rPr>
              <w:t xml:space="preserve"> </w:t>
            </w:r>
          </w:p>
          <w:p w:rsidRPr="00E25078" w:rsidR="00A92D0B" w:rsidP="00115553" w:rsidRDefault="6AC6D115" w14:paraId="3228BB07" w14:textId="5D31A8EA">
            <w:pPr>
              <w:widowControl w:val="0"/>
              <w:ind w:hanging="20"/>
              <w:rPr>
                <w:color w:val="000000"/>
              </w:rPr>
            </w:pPr>
            <w:r w:rsidRPr="03A7085E">
              <w:rPr>
                <w:color w:val="000000" w:themeColor="text1"/>
              </w:rPr>
              <w:t xml:space="preserve">UCAN </w:t>
            </w:r>
            <w:r w:rsidRPr="03A7085E" w:rsidR="4B27C25B">
              <w:rPr>
                <w:color w:val="000000" w:themeColor="text1"/>
              </w:rPr>
              <w:t xml:space="preserve">presented </w:t>
            </w:r>
            <w:r w:rsidRPr="03A7085E">
              <w:rPr>
                <w:color w:val="000000" w:themeColor="text1"/>
              </w:rPr>
              <w:t xml:space="preserve">unique </w:t>
            </w:r>
            <w:r w:rsidRPr="03A7085E" w:rsidR="4B27C25B">
              <w:rPr>
                <w:color w:val="000000" w:themeColor="text1"/>
              </w:rPr>
              <w:t>research and findings</w:t>
            </w:r>
            <w:r w:rsidRPr="03A7085E">
              <w:rPr>
                <w:color w:val="000000" w:themeColor="text1"/>
              </w:rPr>
              <w:t xml:space="preserve">, </w:t>
            </w:r>
            <w:r w:rsidRPr="03A7085E" w:rsidR="581EEDC3">
              <w:rPr>
                <w:color w:val="000000" w:themeColor="text1"/>
              </w:rPr>
              <w:t>with</w:t>
            </w:r>
            <w:r w:rsidRPr="03A7085E">
              <w:rPr>
                <w:color w:val="000000" w:themeColor="text1"/>
              </w:rPr>
              <w:t xml:space="preserve"> its </w:t>
            </w:r>
            <w:r w:rsidRPr="03A7085E" w:rsidR="1BF5FBC3">
              <w:rPr>
                <w:color w:val="000000" w:themeColor="text1"/>
              </w:rPr>
              <w:t>linear regression analysis of authorized ROEs against Baa utility bond rates</w:t>
            </w:r>
            <w:r w:rsidRPr="03A7085E" w:rsidR="25243C19">
              <w:rPr>
                <w:color w:val="000000" w:themeColor="text1"/>
              </w:rPr>
              <w:t xml:space="preserve">, </w:t>
            </w:r>
            <w:r w:rsidRPr="03A7085E" w:rsidR="1BF5FBC3">
              <w:rPr>
                <w:color w:val="000000" w:themeColor="text1"/>
              </w:rPr>
              <w:t>showing that a 100-basis point change in bond rates correlates with an approximate 21-basis point change in RO</w:t>
            </w:r>
            <w:r w:rsidRPr="03A7085E" w:rsidR="7A28C167">
              <w:rPr>
                <w:color w:val="000000" w:themeColor="text1"/>
              </w:rPr>
              <w:t xml:space="preserve">I, that </w:t>
            </w:r>
            <w:r w:rsidRPr="03A7085E" w:rsidR="7414BA8A">
              <w:rPr>
                <w:color w:val="000000" w:themeColor="text1"/>
              </w:rPr>
              <w:t>directly</w:t>
            </w:r>
            <w:r w:rsidRPr="03A7085E" w:rsidR="2B481962">
              <w:rPr>
                <w:color w:val="000000" w:themeColor="text1"/>
              </w:rPr>
              <w:t xml:space="preserve"> contributed to the holding </w:t>
            </w:r>
            <w:r w:rsidRPr="03A7085E" w:rsidR="25243C19">
              <w:rPr>
                <w:color w:val="000000" w:themeColor="text1"/>
              </w:rPr>
              <w:t xml:space="preserve">that a 20% adjustment factor </w:t>
            </w:r>
            <w:r w:rsidRPr="03A7085E" w:rsidR="2B481962">
              <w:rPr>
                <w:color w:val="000000" w:themeColor="text1"/>
              </w:rPr>
              <w:t>wa</w:t>
            </w:r>
            <w:r w:rsidRPr="03A7085E" w:rsidR="25243C19">
              <w:rPr>
                <w:color w:val="000000" w:themeColor="text1"/>
              </w:rPr>
              <w:t>s more appropriate</w:t>
            </w:r>
            <w:r w:rsidRPr="03A7085E" w:rsidR="2B481962">
              <w:rPr>
                <w:color w:val="000000" w:themeColor="text1"/>
              </w:rPr>
              <w:t xml:space="preserve">. </w:t>
            </w:r>
            <w:r w:rsidRPr="03A7085E" w:rsidR="5BA500A7">
              <w:rPr>
                <w:color w:val="000000" w:themeColor="text1"/>
              </w:rPr>
              <w:t xml:space="preserve">Phase 2 </w:t>
            </w:r>
            <w:r w:rsidRPr="03A7085E" w:rsidR="089B484E">
              <w:rPr>
                <w:color w:val="000000" w:themeColor="text1"/>
              </w:rPr>
              <w:t xml:space="preserve">requested </w:t>
            </w:r>
            <w:r w:rsidRPr="03A7085E" w:rsidR="5492017D">
              <w:rPr>
                <w:color w:val="000000" w:themeColor="text1"/>
              </w:rPr>
              <w:t xml:space="preserve">the Parties </w:t>
            </w:r>
            <w:r w:rsidRPr="03A7085E" w:rsidR="793D06D8">
              <w:rPr>
                <w:color w:val="000000" w:themeColor="text1"/>
              </w:rPr>
              <w:t xml:space="preserve">to address </w:t>
            </w:r>
            <w:r w:rsidRPr="03A7085E" w:rsidR="00AD34EA">
              <w:rPr>
                <w:color w:val="000000" w:themeColor="text1"/>
              </w:rPr>
              <w:t>various</w:t>
            </w:r>
            <w:r w:rsidRPr="03A7085E" w:rsidR="793D06D8">
              <w:rPr>
                <w:color w:val="000000" w:themeColor="text1"/>
              </w:rPr>
              <w:t xml:space="preserve"> and numerous topics</w:t>
            </w:r>
            <w:r w:rsidRPr="03A7085E" w:rsidR="5D17DCEC">
              <w:rPr>
                <w:color w:val="000000" w:themeColor="text1"/>
              </w:rPr>
              <w:t xml:space="preserve">, </w:t>
            </w:r>
            <w:r w:rsidRPr="03A7085E" w:rsidR="089B484E">
              <w:rPr>
                <w:color w:val="000000" w:themeColor="text1"/>
              </w:rPr>
              <w:t>and</w:t>
            </w:r>
            <w:r w:rsidRPr="03A7085E" w:rsidR="5D7446F5">
              <w:rPr>
                <w:color w:val="000000" w:themeColor="text1"/>
              </w:rPr>
              <w:t>, accordingly,</w:t>
            </w:r>
            <w:r w:rsidRPr="03A7085E" w:rsidR="089B484E">
              <w:rPr>
                <w:color w:val="000000" w:themeColor="text1"/>
              </w:rPr>
              <w:t xml:space="preserve"> </w:t>
            </w:r>
            <w:r w:rsidRPr="03A7085E" w:rsidR="5D17DCEC">
              <w:rPr>
                <w:color w:val="000000" w:themeColor="text1"/>
              </w:rPr>
              <w:t xml:space="preserve">UCAN addressed </w:t>
            </w:r>
            <w:r w:rsidRPr="03A7085E" w:rsidR="3F2C0C74">
              <w:rPr>
                <w:color w:val="000000" w:themeColor="text1"/>
              </w:rPr>
              <w:t xml:space="preserve">only </w:t>
            </w:r>
            <w:r w:rsidRPr="03A7085E" w:rsidR="2C626616">
              <w:rPr>
                <w:color w:val="000000" w:themeColor="text1"/>
              </w:rPr>
              <w:t xml:space="preserve">a select few of the </w:t>
            </w:r>
            <w:r w:rsidRPr="03A7085E" w:rsidR="3F2C0C74">
              <w:rPr>
                <w:color w:val="000000" w:themeColor="text1"/>
              </w:rPr>
              <w:t>issues</w:t>
            </w:r>
            <w:r w:rsidRPr="03A7085E" w:rsidR="6A57B345">
              <w:rPr>
                <w:color w:val="000000" w:themeColor="text1"/>
              </w:rPr>
              <w:t xml:space="preserve"> to avoid duplication of effort by other Intervenors.</w:t>
            </w:r>
            <w:r w:rsidR="5BA500A7">
              <w:t xml:space="preserve"> </w:t>
            </w:r>
            <w:r w:rsidRPr="03A7085E" w:rsidR="5BA500A7">
              <w:rPr>
                <w:color w:val="000000" w:themeColor="text1"/>
              </w:rPr>
              <w:t>UCAN</w:t>
            </w:r>
            <w:r w:rsidRPr="03A7085E" w:rsidR="793D06D8">
              <w:rPr>
                <w:color w:val="000000" w:themeColor="text1"/>
              </w:rPr>
              <w:t xml:space="preserve"> </w:t>
            </w:r>
            <w:r w:rsidRPr="03A7085E" w:rsidR="5BA500A7">
              <w:rPr>
                <w:color w:val="000000" w:themeColor="text1"/>
              </w:rPr>
              <w:t xml:space="preserve">restrained its focus </w:t>
            </w:r>
            <w:r w:rsidRPr="03A7085E" w:rsidR="5492017D">
              <w:rPr>
                <w:color w:val="000000" w:themeColor="text1"/>
              </w:rPr>
              <w:t>on</w:t>
            </w:r>
            <w:r w:rsidRPr="03A7085E" w:rsidR="5BA500A7">
              <w:rPr>
                <w:color w:val="000000" w:themeColor="text1"/>
              </w:rPr>
              <w:t xml:space="preserve"> </w:t>
            </w:r>
            <w:r w:rsidRPr="03A7085E" w:rsidR="58FB7A3C">
              <w:rPr>
                <w:color w:val="000000" w:themeColor="text1"/>
              </w:rPr>
              <w:t>calculation</w:t>
            </w:r>
            <w:r w:rsidRPr="03A7085E" w:rsidR="5492017D">
              <w:rPr>
                <w:color w:val="000000" w:themeColor="text1"/>
              </w:rPr>
              <w:t xml:space="preserve"> (methodology)</w:t>
            </w:r>
            <w:r w:rsidRPr="03A7085E" w:rsidR="58FB7A3C">
              <w:rPr>
                <w:color w:val="000000" w:themeColor="text1"/>
              </w:rPr>
              <w:t xml:space="preserve"> and modeling concerns and left </w:t>
            </w:r>
            <w:r w:rsidRPr="03A7085E" w:rsidR="089B484E">
              <w:rPr>
                <w:color w:val="000000" w:themeColor="text1"/>
              </w:rPr>
              <w:t>remaining</w:t>
            </w:r>
            <w:r w:rsidRPr="03A7085E" w:rsidR="126C0BBF">
              <w:rPr>
                <w:color w:val="000000" w:themeColor="text1"/>
              </w:rPr>
              <w:t xml:space="preserve"> policy</w:t>
            </w:r>
            <w:r w:rsidRPr="03A7085E" w:rsidR="089B484E">
              <w:rPr>
                <w:color w:val="000000" w:themeColor="text1"/>
              </w:rPr>
              <w:t xml:space="preserve"> </w:t>
            </w:r>
            <w:r w:rsidRPr="03A7085E" w:rsidR="5BA500A7">
              <w:rPr>
                <w:color w:val="000000" w:themeColor="text1"/>
              </w:rPr>
              <w:t>issues</w:t>
            </w:r>
            <w:r w:rsidRPr="03A7085E" w:rsidR="126C0BBF">
              <w:rPr>
                <w:color w:val="000000" w:themeColor="text1"/>
              </w:rPr>
              <w:t xml:space="preserve"> to other Intervenors.</w:t>
            </w:r>
          </w:p>
        </w:tc>
        <w:tc>
          <w:tcPr>
            <w:tcW w:w="1980" w:type="dxa"/>
          </w:tcPr>
          <w:p w:rsidRPr="00E25078" w:rsidR="00A92D0B" w:rsidP="00115553" w:rsidRDefault="03D7FBE2" w14:paraId="5F9BBA55" w14:textId="4FF1EDAC">
            <w:pPr>
              <w:widowControl w:val="0"/>
              <w:tabs>
                <w:tab w:val="left" w:pos="360"/>
              </w:tabs>
              <w:ind w:left="360" w:hanging="360"/>
              <w:rPr>
                <w:color w:val="000000"/>
              </w:rPr>
            </w:pPr>
            <w:r w:rsidRPr="03A7085E">
              <w:rPr>
                <w:color w:val="000000" w:themeColor="text1"/>
              </w:rPr>
              <w:t>Noted</w:t>
            </w:r>
          </w:p>
        </w:tc>
      </w:tr>
    </w:tbl>
    <w:p w:rsidRPr="007F620E" w:rsidR="00B312DA" w:rsidP="006259C7" w:rsidRDefault="00A92D0B" w14:paraId="175C3F89" w14:textId="78367D93">
      <w:pPr>
        <w:keepNext/>
        <w:tabs>
          <w:tab w:val="left" w:pos="1260"/>
        </w:tabs>
        <w:spacing w:before="360"/>
        <w:ind w:left="1267" w:hanging="1267"/>
        <w:jc w:val="center"/>
        <w:rPr>
          <w:b/>
          <w:color w:val="000000"/>
        </w:rPr>
      </w:pPr>
      <w:r w:rsidRPr="007F620E">
        <w:rPr>
          <w:b/>
          <w:color w:val="000000"/>
        </w:rPr>
        <w:t>PART III</w:t>
      </w:r>
      <w:r w:rsidRPr="007F620E" w:rsidR="00752D7D">
        <w:rPr>
          <w:b/>
          <w:color w:val="000000"/>
        </w:rPr>
        <w:t>:</w:t>
      </w:r>
      <w:r w:rsidR="00752D7D">
        <w:rPr>
          <w:b/>
          <w:color w:val="000000"/>
        </w:rPr>
        <w:t xml:space="preserve"> REASONABLENESS</w:t>
      </w:r>
      <w:r w:rsidRPr="007F620E">
        <w:rPr>
          <w:b/>
          <w:color w:val="000000"/>
        </w:rPr>
        <w:t xml:space="preserve"> OF REQUESTED COMPENSATION</w:t>
      </w:r>
    </w:p>
    <w:p w:rsidRPr="007F620E" w:rsidR="00A92D0B" w:rsidP="006259C7" w:rsidRDefault="00A92D0B" w14:paraId="6F74DAE2" w14:textId="77777777">
      <w:pPr>
        <w:keepNext/>
        <w:numPr>
          <w:ilvl w:val="0"/>
          <w:numId w:val="11"/>
        </w:numPr>
        <w:spacing w:before="120" w:after="120"/>
        <w:rPr>
          <w:b/>
          <w:color w:val="000000"/>
        </w:rPr>
      </w:pPr>
      <w:r w:rsidRPr="007F620E">
        <w:rPr>
          <w:b/>
          <w:color w:val="000000"/>
        </w:rPr>
        <w:t xml:space="preserve">General Claim of Reasonableness </w:t>
      </w:r>
      <w:r w:rsidRPr="007F620E" w:rsidR="00F30DA8">
        <w:rPr>
          <w:b/>
          <w:color w:val="000000"/>
        </w:rPr>
        <w:t xml:space="preserve">(§ </w:t>
      </w:r>
      <w:r w:rsidRPr="007F620E">
        <w:rPr>
          <w:b/>
          <w:color w:val="000000"/>
        </w:rPr>
        <w:t xml:space="preserve">1801 </w:t>
      </w:r>
      <w:r w:rsidRPr="007F620E" w:rsidR="00F30DA8">
        <w:rPr>
          <w:b/>
          <w:color w:val="000000"/>
        </w:rPr>
        <w:t>and §</w:t>
      </w:r>
      <w:r w:rsidR="0022302F">
        <w:rPr>
          <w:b/>
          <w:color w:val="000000"/>
        </w:rPr>
        <w:t xml:space="preserve"> 1806)</w:t>
      </w:r>
      <w:r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488"/>
        <w:gridCol w:w="2250"/>
      </w:tblGrid>
      <w:tr w:rsidRPr="007F620E" w:rsidR="00FE3BAE" w:rsidTr="00EC6387" w14:paraId="4078AC87" w14:textId="77777777">
        <w:trPr>
          <w:tblHeader/>
        </w:trPr>
        <w:tc>
          <w:tcPr>
            <w:tcW w:w="7488" w:type="dxa"/>
            <w:tcBorders>
              <w:bottom w:val="single" w:color="auto" w:sz="4" w:space="0"/>
            </w:tcBorders>
            <w:shd w:val="clear" w:color="auto" w:fill="D9D9D9" w:themeFill="background1" w:themeFillShade="D9"/>
          </w:tcPr>
          <w:p w:rsidRPr="007F620E" w:rsidR="00FE3BAE" w:rsidP="00EC6387" w:rsidRDefault="00FE3BAE" w14:paraId="70FDF5DA" w14:textId="77777777">
            <w:pPr>
              <w:rPr>
                <w:b/>
                <w:color w:val="000000"/>
              </w:rPr>
            </w:pPr>
          </w:p>
        </w:tc>
        <w:tc>
          <w:tcPr>
            <w:tcW w:w="2250" w:type="dxa"/>
            <w:shd w:val="clear" w:color="auto" w:fill="D9D9D9" w:themeFill="background1" w:themeFillShade="D9"/>
          </w:tcPr>
          <w:p w:rsidRPr="00FE3BAE" w:rsidR="00FE3BAE" w:rsidP="00EC6387" w:rsidRDefault="00FE3BAE" w14:paraId="59CD9FCF" w14:textId="77777777">
            <w:pPr>
              <w:rPr>
                <w:color w:val="000000"/>
              </w:rPr>
            </w:pPr>
            <w:r w:rsidRPr="007F620E">
              <w:rPr>
                <w:b/>
                <w:color w:val="000000"/>
              </w:rPr>
              <w:t>CPUC Discussion</w:t>
            </w:r>
          </w:p>
        </w:tc>
      </w:tr>
      <w:tr w:rsidRPr="007F620E" w:rsidR="00FE3BAE" w:rsidTr="00100142" w14:paraId="5708510E" w14:textId="77777777">
        <w:tc>
          <w:tcPr>
            <w:tcW w:w="7488" w:type="dxa"/>
            <w:tcBorders>
              <w:bottom w:val="single" w:color="auto" w:sz="4" w:space="0"/>
            </w:tcBorders>
          </w:tcPr>
          <w:p w:rsidRPr="00E25078" w:rsidR="00FE3BAE" w:rsidP="00EC6387" w:rsidRDefault="00FE3BAE" w14:paraId="707F9932" w14:textId="24B1B5E0">
            <w:pPr>
              <w:rPr>
                <w:color w:val="000000"/>
              </w:rPr>
            </w:pPr>
            <w:r w:rsidRPr="007F620E">
              <w:rPr>
                <w:b/>
                <w:color w:val="000000"/>
              </w:rPr>
              <w:t>a. Intervenor’s claim of cost reasonableness:</w:t>
            </w:r>
            <w:r w:rsidRPr="00E25078" w:rsidR="00E25078">
              <w:rPr>
                <w:color w:val="000000"/>
              </w:rPr>
              <w:t xml:space="preserve"> </w:t>
            </w:r>
          </w:p>
          <w:p w:rsidR="00691528" w:rsidP="00EC6387" w:rsidRDefault="00691528" w14:paraId="6A25116A" w14:textId="77777777">
            <w:pPr>
              <w:rPr>
                <w:color w:val="000000"/>
              </w:rPr>
            </w:pPr>
          </w:p>
          <w:p w:rsidRPr="003D4455" w:rsidR="004D08ED" w:rsidP="002B220A" w:rsidRDefault="00526A55" w14:paraId="2B1A1242" w14:textId="00C42DD4">
            <w:pPr>
              <w:rPr>
                <w:color w:val="000000"/>
              </w:rPr>
            </w:pPr>
            <w:r w:rsidRPr="00526A55">
              <w:rPr>
                <w:color w:val="000000"/>
              </w:rPr>
              <w:t xml:space="preserve">UCAN was conscientious about limiting </w:t>
            </w:r>
            <w:r w:rsidR="000C6C0F">
              <w:rPr>
                <w:color w:val="000000"/>
              </w:rPr>
              <w:t xml:space="preserve">its issue focus, and </w:t>
            </w:r>
            <w:r w:rsidRPr="00526A55">
              <w:rPr>
                <w:color w:val="000000"/>
              </w:rPr>
              <w:t>the number of hours it devoted</w:t>
            </w:r>
            <w:r w:rsidR="000C6C0F">
              <w:rPr>
                <w:color w:val="000000"/>
              </w:rPr>
              <w:t>, in</w:t>
            </w:r>
            <w:r w:rsidRPr="00526A55">
              <w:rPr>
                <w:color w:val="000000"/>
              </w:rPr>
              <w:t xml:space="preserve"> this phase of </w:t>
            </w:r>
            <w:r w:rsidR="00E400CA">
              <w:rPr>
                <w:color w:val="000000"/>
              </w:rPr>
              <w:t>A.22-04-008</w:t>
            </w:r>
            <w:r w:rsidRPr="00526A55">
              <w:rPr>
                <w:color w:val="000000"/>
              </w:rPr>
              <w:t xml:space="preserve">. </w:t>
            </w:r>
            <w:r w:rsidRPr="004D08ED" w:rsidR="004D08ED">
              <w:rPr>
                <w:color w:val="000000"/>
              </w:rPr>
              <w:t xml:space="preserve">As noted earlier, UCAN </w:t>
            </w:r>
            <w:r w:rsidRPr="0065772A" w:rsidR="0065772A">
              <w:rPr>
                <w:color w:val="000000"/>
              </w:rPr>
              <w:t>unique</w:t>
            </w:r>
            <w:r w:rsidR="0065772A">
              <w:rPr>
                <w:color w:val="000000"/>
              </w:rPr>
              <w:t xml:space="preserve">ly </w:t>
            </w:r>
            <w:r w:rsidR="00EA31E6">
              <w:rPr>
                <w:color w:val="000000"/>
              </w:rPr>
              <w:t xml:space="preserve">contributed to the determination of the </w:t>
            </w:r>
            <w:r w:rsidR="00D905A8">
              <w:rPr>
                <w:color w:val="000000"/>
              </w:rPr>
              <w:t>CCM</w:t>
            </w:r>
            <w:r w:rsidR="00EA31E6">
              <w:rPr>
                <w:color w:val="000000"/>
              </w:rPr>
              <w:t xml:space="preserve"> adjustment factor </w:t>
            </w:r>
            <w:r w:rsidRPr="0065772A" w:rsidR="0065772A">
              <w:rPr>
                <w:color w:val="000000"/>
              </w:rPr>
              <w:lastRenderedPageBreak/>
              <w:t>with its linear regression analysis of authorized ROEs against Baa utility bond rates, showing that a 100-basis point change in bond rates correlates with an approximate 21-basis point change in ROI</w:t>
            </w:r>
            <w:r w:rsidR="00E84DB4">
              <w:rPr>
                <w:color w:val="000000"/>
              </w:rPr>
              <w:t>.</w:t>
            </w:r>
            <w:r w:rsidR="00D905A8">
              <w:rPr>
                <w:color w:val="000000"/>
              </w:rPr>
              <w:t xml:space="preserve"> </w:t>
            </w:r>
            <w:r w:rsidRPr="00117DE1" w:rsidR="00117DE1">
              <w:rPr>
                <w:color w:val="000000"/>
              </w:rPr>
              <w:t>UCAN leveraged the expertise of its consultant</w:t>
            </w:r>
            <w:r w:rsidR="00D905A8">
              <w:rPr>
                <w:color w:val="000000"/>
              </w:rPr>
              <w:t>s</w:t>
            </w:r>
            <w:r w:rsidRPr="00117DE1" w:rsidR="00117DE1">
              <w:rPr>
                <w:color w:val="000000"/>
              </w:rPr>
              <w:t xml:space="preserve"> to analyze the </w:t>
            </w:r>
            <w:r w:rsidR="001D42DD">
              <w:rPr>
                <w:color w:val="000000"/>
              </w:rPr>
              <w:t xml:space="preserve">considerations associated with various </w:t>
            </w:r>
            <w:r w:rsidRPr="002B220A" w:rsidR="002B220A">
              <w:rPr>
                <w:color w:val="000000"/>
              </w:rPr>
              <w:t>ROE calculation</w:t>
            </w:r>
            <w:r w:rsidR="00AB3734">
              <w:rPr>
                <w:color w:val="000000"/>
              </w:rPr>
              <w:t xml:space="preserve"> </w:t>
            </w:r>
            <w:r w:rsidRPr="002B220A" w:rsidR="002B220A">
              <w:rPr>
                <w:color w:val="000000"/>
              </w:rPr>
              <w:t>methodologies and modeling</w:t>
            </w:r>
            <w:r w:rsidR="001D42DD">
              <w:rPr>
                <w:color w:val="000000"/>
              </w:rPr>
              <w:t xml:space="preserve"> as requested in the Scoping Memo. While not adopted in the final decision, this contribution</w:t>
            </w:r>
            <w:r w:rsidR="00DD0BBA">
              <w:rPr>
                <w:color w:val="000000"/>
              </w:rPr>
              <w:t>, minimal in scope, did help form and complete the overall record in this proceeding.</w:t>
            </w:r>
          </w:p>
        </w:tc>
        <w:tc>
          <w:tcPr>
            <w:tcW w:w="2250" w:type="dxa"/>
          </w:tcPr>
          <w:p w:rsidRPr="00FE3BAE" w:rsidR="00FE3BAE" w:rsidP="00EC6387" w:rsidRDefault="009B64CB" w14:paraId="223B4665" w14:textId="5F9EBA6A">
            <w:pPr>
              <w:rPr>
                <w:color w:val="000000"/>
              </w:rPr>
            </w:pPr>
            <w:r>
              <w:rPr>
                <w:color w:val="000000"/>
              </w:rPr>
              <w:lastRenderedPageBreak/>
              <w:t>Noted</w:t>
            </w:r>
          </w:p>
        </w:tc>
      </w:tr>
      <w:tr w:rsidRPr="007F620E" w:rsidR="00FE3BAE" w:rsidTr="00100142" w14:paraId="5548029C" w14:textId="77777777">
        <w:tc>
          <w:tcPr>
            <w:tcW w:w="7488" w:type="dxa"/>
          </w:tcPr>
          <w:p w:rsidRPr="00E25078" w:rsidR="00FE3BAE" w:rsidP="00EC6387" w:rsidRDefault="00FE3BAE" w14:paraId="751A610C" w14:textId="509B1715">
            <w:pPr>
              <w:rPr>
                <w:color w:val="000000"/>
              </w:rPr>
            </w:pPr>
            <w:r w:rsidRPr="007F620E">
              <w:rPr>
                <w:b/>
                <w:color w:val="000000"/>
              </w:rPr>
              <w:t>b. Reasonableness of hours claimed:</w:t>
            </w:r>
            <w:r w:rsidRPr="00E25078" w:rsidR="00E25078">
              <w:rPr>
                <w:color w:val="000000"/>
              </w:rPr>
              <w:t xml:space="preserve"> </w:t>
            </w:r>
          </w:p>
          <w:p w:rsidR="00FE3BAE" w:rsidP="00EC6387" w:rsidRDefault="00FE3BAE" w14:paraId="1009F6D5" w14:textId="77777777">
            <w:pPr>
              <w:rPr>
                <w:color w:val="000000"/>
              </w:rPr>
            </w:pPr>
          </w:p>
          <w:p w:rsidRPr="007F620E" w:rsidR="00691528" w:rsidP="00EC6387" w:rsidRDefault="00FA1AA9" w14:paraId="694F0B63" w14:textId="6396BB49">
            <w:pPr>
              <w:rPr>
                <w:color w:val="000000"/>
              </w:rPr>
            </w:pPr>
            <w:r>
              <w:rPr>
                <w:color w:val="000000"/>
              </w:rPr>
              <w:t xml:space="preserve">UCAN </w:t>
            </w:r>
            <w:r w:rsidR="009A0C8D">
              <w:rPr>
                <w:color w:val="000000"/>
              </w:rPr>
              <w:t>assigned</w:t>
            </w:r>
            <w:r>
              <w:rPr>
                <w:color w:val="000000"/>
              </w:rPr>
              <w:t xml:space="preserve"> a single </w:t>
            </w:r>
            <w:r w:rsidR="009A0C8D">
              <w:rPr>
                <w:color w:val="000000"/>
              </w:rPr>
              <w:t xml:space="preserve">staff </w:t>
            </w:r>
            <w:r>
              <w:rPr>
                <w:color w:val="000000"/>
              </w:rPr>
              <w:t xml:space="preserve">attorney </w:t>
            </w:r>
            <w:r w:rsidR="009A0C8D">
              <w:rPr>
                <w:color w:val="000000"/>
              </w:rPr>
              <w:t xml:space="preserve">to </w:t>
            </w:r>
            <w:r w:rsidR="00CA68E6">
              <w:rPr>
                <w:color w:val="000000"/>
              </w:rPr>
              <w:t xml:space="preserve">Phase 2 of </w:t>
            </w:r>
            <w:r w:rsidR="009A0C8D">
              <w:rPr>
                <w:color w:val="000000"/>
              </w:rPr>
              <w:t xml:space="preserve">the </w:t>
            </w:r>
            <w:proofErr w:type="gramStart"/>
            <w:r w:rsidR="009A0C8D">
              <w:rPr>
                <w:color w:val="000000"/>
              </w:rPr>
              <w:t>proceeding</w:t>
            </w:r>
            <w:proofErr w:type="gramEnd"/>
            <w:r w:rsidR="009A0C8D">
              <w:rPr>
                <w:color w:val="000000"/>
              </w:rPr>
              <w:t xml:space="preserve"> and ensure its consultants focused on specific and non-duplicative issues. </w:t>
            </w:r>
            <w:r w:rsidRPr="002A6918" w:rsidR="002A6918">
              <w:rPr>
                <w:color w:val="000000"/>
              </w:rPr>
              <w:t xml:space="preserve">UCAN focused on areas where it could provide a substantial contribution and on which it had established research within the </w:t>
            </w:r>
            <w:r w:rsidRPr="002A6918" w:rsidR="00CB15C4">
              <w:rPr>
                <w:color w:val="000000"/>
              </w:rPr>
              <w:t>pr</w:t>
            </w:r>
            <w:r w:rsidR="00CB15C4">
              <w:rPr>
                <w:color w:val="000000"/>
              </w:rPr>
              <w:t>o</w:t>
            </w:r>
            <w:r w:rsidRPr="002A6918" w:rsidR="00CB15C4">
              <w:rPr>
                <w:color w:val="000000"/>
              </w:rPr>
              <w:t>ceeding</w:t>
            </w:r>
            <w:r w:rsidRPr="002A6918" w:rsidR="002A6918">
              <w:rPr>
                <w:color w:val="000000"/>
              </w:rPr>
              <w:t>. All hours submitted to the Commission were crucial to UCAN’s substantial contribution.</w:t>
            </w:r>
          </w:p>
        </w:tc>
        <w:tc>
          <w:tcPr>
            <w:tcW w:w="2250" w:type="dxa"/>
          </w:tcPr>
          <w:p w:rsidRPr="007F620E" w:rsidR="00FE3BAE" w:rsidP="00EC6387" w:rsidRDefault="007614E2" w14:paraId="1874D625" w14:textId="3332DD7F">
            <w:pPr>
              <w:rPr>
                <w:color w:val="000000"/>
              </w:rPr>
            </w:pPr>
            <w:r w:rsidRPr="00A525A8">
              <w:rPr>
                <w:color w:val="000000"/>
              </w:rPr>
              <w:t xml:space="preserve">After the adjustments made to this claim, the remainder of the claimed </w:t>
            </w:r>
            <w:r>
              <w:rPr>
                <w:color w:val="000000"/>
              </w:rPr>
              <w:t>hours</w:t>
            </w:r>
            <w:r w:rsidRPr="00A525A8">
              <w:rPr>
                <w:color w:val="000000"/>
              </w:rPr>
              <w:t xml:space="preserve"> are reasonable. </w:t>
            </w:r>
            <w:r w:rsidRPr="00C414F0">
              <w:rPr>
                <w:i/>
                <w:iCs/>
                <w:color w:val="000000"/>
              </w:rPr>
              <w:t>See</w:t>
            </w:r>
            <w:r w:rsidRPr="00A525A8">
              <w:rPr>
                <w:color w:val="000000"/>
              </w:rPr>
              <w:t xml:space="preserve"> Part III.D CPUC Comments, Disallowances, and Adjustments [1]</w:t>
            </w:r>
            <w:r>
              <w:rPr>
                <w:color w:val="000000"/>
              </w:rPr>
              <w:t>.</w:t>
            </w:r>
          </w:p>
        </w:tc>
      </w:tr>
      <w:tr w:rsidRPr="007F620E" w:rsidR="00FE3BAE" w:rsidTr="00100142" w14:paraId="3FD38B74" w14:textId="77777777">
        <w:tc>
          <w:tcPr>
            <w:tcW w:w="7488" w:type="dxa"/>
          </w:tcPr>
          <w:p w:rsidRPr="00E25078" w:rsidR="00FE3BAE" w:rsidP="00EC6387" w:rsidRDefault="00FE3BAE" w14:paraId="46990B37" w14:textId="569E5E0F">
            <w:pPr>
              <w:rPr>
                <w:color w:val="000000"/>
              </w:rPr>
            </w:pPr>
            <w:r w:rsidRPr="007F620E">
              <w:rPr>
                <w:b/>
                <w:color w:val="000000"/>
              </w:rPr>
              <w:t>c. Allocation of hours by issue:</w:t>
            </w:r>
            <w:r w:rsidRPr="00E25078" w:rsidR="00E25078">
              <w:rPr>
                <w:color w:val="000000"/>
              </w:rPr>
              <w:t xml:space="preserve"> </w:t>
            </w:r>
          </w:p>
          <w:p w:rsidR="00FE3BAE" w:rsidP="00EC6387" w:rsidRDefault="00FE3BAE" w14:paraId="78501013" w14:textId="77777777">
            <w:pPr>
              <w:rPr>
                <w:color w:val="000000"/>
              </w:rPr>
            </w:pPr>
          </w:p>
          <w:p w:rsidRPr="00372AE8" w:rsidR="00372AE8" w:rsidP="00372AE8" w:rsidRDefault="00372AE8" w14:paraId="0DFC6281" w14:textId="77777777">
            <w:pPr>
              <w:rPr>
                <w:color w:val="000000"/>
              </w:rPr>
            </w:pPr>
            <w:r w:rsidRPr="00372AE8">
              <w:rPr>
                <w:color w:val="000000"/>
              </w:rPr>
              <w:t>UCAN reviewed D.98-04-059 and has adopted the practice articulated</w:t>
            </w:r>
          </w:p>
          <w:p w:rsidRPr="00372AE8" w:rsidR="00372AE8" w:rsidP="00372AE8" w:rsidRDefault="00372AE8" w14:paraId="265BAD35" w14:textId="77777777">
            <w:pPr>
              <w:rPr>
                <w:color w:val="000000"/>
              </w:rPr>
            </w:pPr>
            <w:r w:rsidRPr="00372AE8">
              <w:rPr>
                <w:color w:val="000000"/>
              </w:rPr>
              <w:t xml:space="preserve">in that decision of how to allocate time and costs by issue to the best of </w:t>
            </w:r>
            <w:proofErr w:type="gramStart"/>
            <w:r w:rsidRPr="00372AE8">
              <w:rPr>
                <w:color w:val="000000"/>
              </w:rPr>
              <w:t>our</w:t>
            </w:r>
            <w:proofErr w:type="gramEnd"/>
          </w:p>
          <w:p w:rsidRPr="00691528" w:rsidR="002A6918" w:rsidP="00372AE8" w:rsidRDefault="00372AE8" w14:paraId="1F3AF3EF" w14:textId="26108287">
            <w:pPr>
              <w:rPr>
                <w:color w:val="000000"/>
              </w:rPr>
            </w:pPr>
            <w:r w:rsidRPr="00372AE8">
              <w:rPr>
                <w:color w:val="000000"/>
              </w:rPr>
              <w:t>understanding. In Part II.A above, UCAN identified its substantial contribution by issue, either where the Decisions cited UCAN’s participation or addressed issues/arguments raised by UCAN and that, in our opinion, added to the record of this proceeding. UCAN’s attached timesheet shows the work done as per Issue as so identified.</w:t>
            </w:r>
          </w:p>
          <w:p w:rsidR="00691528" w:rsidP="00EC6387" w:rsidRDefault="00691528" w14:paraId="2F369C0C" w14:textId="77777777">
            <w:pPr>
              <w:rPr>
                <w:color w:val="000000"/>
              </w:rPr>
            </w:pPr>
          </w:p>
          <w:tbl>
            <w:tblPr>
              <w:tblW w:w="6293" w:type="dxa"/>
              <w:jc w:val="center"/>
              <w:tblLook w:val="04A0" w:firstRow="1" w:lastRow="0" w:firstColumn="1" w:lastColumn="0" w:noHBand="0" w:noVBand="1"/>
            </w:tblPr>
            <w:tblGrid>
              <w:gridCol w:w="3032"/>
              <w:gridCol w:w="1149"/>
              <w:gridCol w:w="2112"/>
            </w:tblGrid>
            <w:tr w:rsidR="00AD34EA" w:rsidTr="00AD34EA" w14:paraId="6C64CD65" w14:textId="77777777">
              <w:trPr>
                <w:trHeight w:val="196"/>
                <w:jc w:val="center"/>
              </w:trPr>
              <w:tc>
                <w:tcPr>
                  <w:tcW w:w="3032" w:type="dxa"/>
                  <w:tcBorders>
                    <w:top w:val="single" w:color="auto" w:sz="8" w:space="0"/>
                    <w:left w:val="single" w:color="auto" w:sz="8" w:space="0"/>
                    <w:bottom w:val="single" w:color="auto" w:sz="8" w:space="0"/>
                    <w:right w:val="single" w:color="auto" w:sz="8" w:space="0"/>
                  </w:tcBorders>
                  <w:vAlign w:val="center"/>
                  <w:hideMark/>
                </w:tcPr>
                <w:p w:rsidR="00AD34EA" w:rsidP="00AD34EA" w:rsidRDefault="00AD34EA" w14:paraId="29822395" w14:textId="77777777">
                  <w:pPr>
                    <w:jc w:val="center"/>
                    <w:rPr>
                      <w:b/>
                      <w:bCs/>
                      <w:color w:val="000000"/>
                    </w:rPr>
                  </w:pPr>
                  <w:r>
                    <w:rPr>
                      <w:b/>
                      <w:bCs/>
                      <w:color w:val="000000"/>
                    </w:rPr>
                    <w:t>Issue</w:t>
                  </w:r>
                </w:p>
              </w:tc>
              <w:tc>
                <w:tcPr>
                  <w:tcW w:w="1149" w:type="dxa"/>
                  <w:tcBorders>
                    <w:top w:val="single" w:color="auto" w:sz="8" w:space="0"/>
                    <w:left w:val="nil"/>
                    <w:bottom w:val="single" w:color="auto" w:sz="8" w:space="0"/>
                    <w:right w:val="single" w:color="auto" w:sz="8" w:space="0"/>
                  </w:tcBorders>
                  <w:vAlign w:val="center"/>
                  <w:hideMark/>
                </w:tcPr>
                <w:p w:rsidR="00AD34EA" w:rsidP="00AD34EA" w:rsidRDefault="00AD34EA" w14:paraId="009BD34A" w14:textId="77777777">
                  <w:pPr>
                    <w:jc w:val="center"/>
                    <w:rPr>
                      <w:b/>
                      <w:bCs/>
                      <w:color w:val="000000"/>
                    </w:rPr>
                  </w:pPr>
                  <w:r>
                    <w:rPr>
                      <w:b/>
                      <w:bCs/>
                      <w:color w:val="000000"/>
                    </w:rPr>
                    <w:t>Hours</w:t>
                  </w:r>
                </w:p>
              </w:tc>
              <w:tc>
                <w:tcPr>
                  <w:tcW w:w="2112" w:type="dxa"/>
                  <w:tcBorders>
                    <w:top w:val="single" w:color="auto" w:sz="8" w:space="0"/>
                    <w:left w:val="nil"/>
                    <w:bottom w:val="single" w:color="auto" w:sz="8" w:space="0"/>
                    <w:right w:val="single" w:color="auto" w:sz="8" w:space="0"/>
                  </w:tcBorders>
                  <w:vAlign w:val="center"/>
                  <w:hideMark/>
                </w:tcPr>
                <w:p w:rsidR="00AD34EA" w:rsidP="00AD34EA" w:rsidRDefault="00AD34EA" w14:paraId="75056E49" w14:textId="77777777">
                  <w:pPr>
                    <w:jc w:val="center"/>
                    <w:rPr>
                      <w:b/>
                      <w:bCs/>
                      <w:color w:val="000000"/>
                    </w:rPr>
                  </w:pPr>
                  <w:r>
                    <w:rPr>
                      <w:b/>
                      <w:bCs/>
                      <w:color w:val="000000"/>
                    </w:rPr>
                    <w:t>Percentage</w:t>
                  </w:r>
                </w:p>
              </w:tc>
            </w:tr>
            <w:tr w:rsidR="00AD34EA" w:rsidTr="00AD34EA" w14:paraId="704A9933" w14:textId="77777777">
              <w:trPr>
                <w:trHeight w:val="529"/>
                <w:jc w:val="center"/>
              </w:trPr>
              <w:tc>
                <w:tcPr>
                  <w:tcW w:w="3032" w:type="dxa"/>
                  <w:tcBorders>
                    <w:top w:val="nil"/>
                    <w:left w:val="single" w:color="auto" w:sz="8" w:space="0"/>
                    <w:bottom w:val="single" w:color="auto" w:sz="4" w:space="0"/>
                    <w:right w:val="single" w:color="auto" w:sz="8" w:space="0"/>
                  </w:tcBorders>
                  <w:vAlign w:val="center"/>
                  <w:hideMark/>
                </w:tcPr>
                <w:p w:rsidR="00AD34EA" w:rsidP="00AD34EA" w:rsidRDefault="00AD34EA" w14:paraId="72289034" w14:textId="3B057720">
                  <w:pPr>
                    <w:jc w:val="center"/>
                    <w:rPr>
                      <w:b/>
                      <w:bCs/>
                      <w:color w:val="000000"/>
                    </w:rPr>
                  </w:pPr>
                  <w:r w:rsidRPr="00AD34EA">
                    <w:rPr>
                      <w:b/>
                      <w:bCs/>
                      <w:color w:val="000000"/>
                    </w:rPr>
                    <w:t>Issue #1: CCM Modifications</w:t>
                  </w:r>
                </w:p>
              </w:tc>
              <w:tc>
                <w:tcPr>
                  <w:tcW w:w="1149" w:type="dxa"/>
                  <w:tcBorders>
                    <w:top w:val="nil"/>
                    <w:left w:val="nil"/>
                    <w:bottom w:val="single" w:color="auto" w:sz="4" w:space="0"/>
                    <w:right w:val="single" w:color="auto" w:sz="4" w:space="0"/>
                  </w:tcBorders>
                  <w:vAlign w:val="center"/>
                  <w:hideMark/>
                </w:tcPr>
                <w:p w:rsidR="00AD34EA" w:rsidP="00AD34EA" w:rsidRDefault="00AD34EA" w14:paraId="1931061E" w14:textId="77777777">
                  <w:pPr>
                    <w:jc w:val="center"/>
                    <w:rPr>
                      <w:color w:val="000000"/>
                    </w:rPr>
                  </w:pPr>
                  <w:r>
                    <w:rPr>
                      <w:color w:val="000000"/>
                    </w:rPr>
                    <w:t>114.59</w:t>
                  </w:r>
                </w:p>
              </w:tc>
              <w:tc>
                <w:tcPr>
                  <w:tcW w:w="2112" w:type="dxa"/>
                  <w:tcBorders>
                    <w:top w:val="nil"/>
                    <w:left w:val="nil"/>
                    <w:bottom w:val="single" w:color="auto" w:sz="4" w:space="0"/>
                    <w:right w:val="single" w:color="auto" w:sz="8" w:space="0"/>
                  </w:tcBorders>
                  <w:noWrap/>
                  <w:vAlign w:val="center"/>
                  <w:hideMark/>
                </w:tcPr>
                <w:p w:rsidR="00AD34EA" w:rsidP="00AD34EA" w:rsidRDefault="00AD34EA" w14:paraId="08C45DAE" w14:textId="77777777">
                  <w:pPr>
                    <w:jc w:val="center"/>
                    <w:rPr>
                      <w:color w:val="000000"/>
                    </w:rPr>
                  </w:pPr>
                  <w:r>
                    <w:rPr>
                      <w:color w:val="000000"/>
                    </w:rPr>
                    <w:t>71%</w:t>
                  </w:r>
                </w:p>
              </w:tc>
            </w:tr>
            <w:tr w:rsidR="00AD34EA" w:rsidTr="00AD34EA" w14:paraId="53178F02" w14:textId="77777777">
              <w:trPr>
                <w:trHeight w:val="549"/>
                <w:jc w:val="center"/>
              </w:trPr>
              <w:tc>
                <w:tcPr>
                  <w:tcW w:w="3032" w:type="dxa"/>
                  <w:tcBorders>
                    <w:top w:val="nil"/>
                    <w:left w:val="single" w:color="auto" w:sz="8" w:space="0"/>
                    <w:bottom w:val="nil"/>
                    <w:right w:val="single" w:color="auto" w:sz="8" w:space="0"/>
                  </w:tcBorders>
                  <w:vAlign w:val="center"/>
                  <w:hideMark/>
                </w:tcPr>
                <w:p w:rsidR="00AD34EA" w:rsidP="00AD34EA" w:rsidRDefault="00AD34EA" w14:paraId="78E4342F" w14:textId="4DE43D93">
                  <w:pPr>
                    <w:jc w:val="center"/>
                    <w:rPr>
                      <w:b/>
                      <w:bCs/>
                      <w:color w:val="000000"/>
                    </w:rPr>
                  </w:pPr>
                  <w:r w:rsidRPr="00AD34EA">
                    <w:rPr>
                      <w:b/>
                      <w:bCs/>
                      <w:color w:val="000000"/>
                    </w:rPr>
                    <w:t>Issue #2: ROE Methodologies and Modeling</w:t>
                  </w:r>
                </w:p>
              </w:tc>
              <w:tc>
                <w:tcPr>
                  <w:tcW w:w="1149" w:type="dxa"/>
                  <w:tcBorders>
                    <w:top w:val="nil"/>
                    <w:left w:val="nil"/>
                    <w:bottom w:val="nil"/>
                    <w:right w:val="single" w:color="auto" w:sz="4" w:space="0"/>
                  </w:tcBorders>
                  <w:vAlign w:val="center"/>
                  <w:hideMark/>
                </w:tcPr>
                <w:p w:rsidR="00AD34EA" w:rsidP="00AD34EA" w:rsidRDefault="00AD34EA" w14:paraId="65B2D640" w14:textId="77777777">
                  <w:pPr>
                    <w:jc w:val="center"/>
                    <w:rPr>
                      <w:color w:val="000000"/>
                    </w:rPr>
                  </w:pPr>
                  <w:r>
                    <w:rPr>
                      <w:color w:val="000000"/>
                    </w:rPr>
                    <w:t>47.92</w:t>
                  </w:r>
                </w:p>
              </w:tc>
              <w:tc>
                <w:tcPr>
                  <w:tcW w:w="2112" w:type="dxa"/>
                  <w:tcBorders>
                    <w:top w:val="nil"/>
                    <w:left w:val="nil"/>
                    <w:bottom w:val="nil"/>
                    <w:right w:val="single" w:color="auto" w:sz="8" w:space="0"/>
                  </w:tcBorders>
                  <w:noWrap/>
                  <w:vAlign w:val="center"/>
                  <w:hideMark/>
                </w:tcPr>
                <w:p w:rsidR="00AD34EA" w:rsidP="00AD34EA" w:rsidRDefault="00AD34EA" w14:paraId="18D233BD" w14:textId="77777777">
                  <w:pPr>
                    <w:jc w:val="center"/>
                    <w:rPr>
                      <w:color w:val="000000"/>
                    </w:rPr>
                  </w:pPr>
                  <w:r>
                    <w:rPr>
                      <w:color w:val="000000"/>
                    </w:rPr>
                    <w:t>29%</w:t>
                  </w:r>
                </w:p>
              </w:tc>
            </w:tr>
            <w:tr w:rsidR="00AD34EA" w:rsidTr="00AD34EA" w14:paraId="13ECA580" w14:textId="77777777">
              <w:trPr>
                <w:trHeight w:val="549"/>
                <w:jc w:val="center"/>
              </w:trPr>
              <w:tc>
                <w:tcPr>
                  <w:tcW w:w="3032" w:type="dxa"/>
                  <w:tcBorders>
                    <w:top w:val="single" w:color="auto" w:sz="8" w:space="0"/>
                    <w:left w:val="single" w:color="auto" w:sz="8" w:space="0"/>
                    <w:bottom w:val="single" w:color="auto" w:sz="8" w:space="0"/>
                    <w:right w:val="single" w:color="auto" w:sz="8" w:space="0"/>
                  </w:tcBorders>
                  <w:vAlign w:val="center"/>
                  <w:hideMark/>
                </w:tcPr>
                <w:p w:rsidR="00AD34EA" w:rsidP="00AD34EA" w:rsidRDefault="00AD34EA" w14:paraId="49D62627" w14:textId="77777777">
                  <w:pPr>
                    <w:jc w:val="center"/>
                    <w:rPr>
                      <w:b/>
                      <w:bCs/>
                      <w:color w:val="000000"/>
                    </w:rPr>
                  </w:pPr>
                  <w:r>
                    <w:rPr>
                      <w:b/>
                      <w:bCs/>
                      <w:color w:val="000000"/>
                    </w:rPr>
                    <w:t>Total</w:t>
                  </w:r>
                </w:p>
              </w:tc>
              <w:tc>
                <w:tcPr>
                  <w:tcW w:w="1149" w:type="dxa"/>
                  <w:tcBorders>
                    <w:top w:val="single" w:color="auto" w:sz="8" w:space="0"/>
                    <w:left w:val="nil"/>
                    <w:bottom w:val="single" w:color="auto" w:sz="8" w:space="0"/>
                    <w:right w:val="nil"/>
                  </w:tcBorders>
                  <w:vAlign w:val="center"/>
                  <w:hideMark/>
                </w:tcPr>
                <w:p w:rsidR="00AD34EA" w:rsidP="00AD34EA" w:rsidRDefault="00AD34EA" w14:paraId="37828B9F" w14:textId="77777777">
                  <w:pPr>
                    <w:jc w:val="center"/>
                    <w:rPr>
                      <w:b/>
                      <w:bCs/>
                      <w:color w:val="000000"/>
                    </w:rPr>
                  </w:pPr>
                  <w:r>
                    <w:rPr>
                      <w:b/>
                      <w:bCs/>
                      <w:color w:val="000000"/>
                    </w:rPr>
                    <w:t>162.51</w:t>
                  </w:r>
                </w:p>
              </w:tc>
              <w:tc>
                <w:tcPr>
                  <w:tcW w:w="2112" w:type="dxa"/>
                  <w:tcBorders>
                    <w:top w:val="single" w:color="auto" w:sz="8" w:space="0"/>
                    <w:left w:val="single" w:color="auto" w:sz="8" w:space="0"/>
                    <w:bottom w:val="single" w:color="auto" w:sz="8" w:space="0"/>
                    <w:right w:val="single" w:color="auto" w:sz="8" w:space="0"/>
                  </w:tcBorders>
                  <w:noWrap/>
                  <w:vAlign w:val="center"/>
                  <w:hideMark/>
                </w:tcPr>
                <w:p w:rsidR="00AD34EA" w:rsidP="00AD34EA" w:rsidRDefault="00AD34EA" w14:paraId="26332A5B" w14:textId="77777777">
                  <w:pPr>
                    <w:jc w:val="center"/>
                    <w:rPr>
                      <w:b/>
                      <w:bCs/>
                      <w:color w:val="000000"/>
                    </w:rPr>
                  </w:pPr>
                  <w:r>
                    <w:rPr>
                      <w:b/>
                      <w:bCs/>
                      <w:color w:val="000000"/>
                    </w:rPr>
                    <w:t>100%</w:t>
                  </w:r>
                </w:p>
              </w:tc>
            </w:tr>
          </w:tbl>
          <w:p w:rsidRPr="003D4455" w:rsidR="00AD34EA" w:rsidP="00EC6387" w:rsidRDefault="00AD34EA" w14:paraId="3285939A" w14:textId="3A3F1875">
            <w:pPr>
              <w:rPr>
                <w:color w:val="000000"/>
              </w:rPr>
            </w:pPr>
          </w:p>
        </w:tc>
        <w:tc>
          <w:tcPr>
            <w:tcW w:w="2250" w:type="dxa"/>
          </w:tcPr>
          <w:p w:rsidRPr="007F620E" w:rsidR="00FE3BAE" w:rsidP="00EC6387" w:rsidRDefault="00086426" w14:paraId="497C4799" w14:textId="2FF8DF80">
            <w:pPr>
              <w:rPr>
                <w:color w:val="000000"/>
              </w:rPr>
            </w:pPr>
            <w:r>
              <w:rPr>
                <w:color w:val="000000"/>
              </w:rPr>
              <w:t>Noted.</w:t>
            </w:r>
            <w:r w:rsidR="007E167C">
              <w:rPr>
                <w:color w:val="000000"/>
              </w:rPr>
              <w:t xml:space="preserve"> Totals 100%.</w:t>
            </w:r>
          </w:p>
        </w:tc>
      </w:tr>
    </w:tbl>
    <w:p w:rsidRPr="007F620E" w:rsidR="00A92D0B" w:rsidP="006259C7" w:rsidRDefault="00A92D0B" w14:paraId="710BC7D6" w14:textId="785FCBBB">
      <w:pPr>
        <w:keepNext/>
        <w:numPr>
          <w:ilvl w:val="0"/>
          <w:numId w:val="11"/>
        </w:numPr>
        <w:spacing w:before="240" w:after="120"/>
        <w:rPr>
          <w:b/>
          <w:color w:val="000000"/>
        </w:rPr>
      </w:pPr>
      <w:r w:rsidRPr="007F620E">
        <w:rPr>
          <w:b/>
          <w:color w:val="000000"/>
        </w:rPr>
        <w:lastRenderedPageBreak/>
        <w:t xml:space="preserve">Specific </w:t>
      </w:r>
      <w:r w:rsidRPr="007F620E" w:rsidR="00752D7D">
        <w:rPr>
          <w:b/>
          <w:color w:val="000000"/>
        </w:rPr>
        <w:t>Claim</w:t>
      </w:r>
      <w:r w:rsidR="00752D7D">
        <w:rPr>
          <w:b/>
          <w:color w:val="000000"/>
        </w:rPr>
        <w:t>:</w:t>
      </w:r>
      <w:r w:rsidRPr="007F620E" w:rsidR="00752D7D">
        <w:rPr>
          <w:b/>
          <w:color w:val="000000"/>
        </w:rPr>
        <w:t xml:space="preserve"> *</w:t>
      </w:r>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89"/>
        <w:gridCol w:w="821"/>
        <w:gridCol w:w="382"/>
        <w:gridCol w:w="502"/>
        <w:gridCol w:w="930"/>
        <w:gridCol w:w="477"/>
        <w:gridCol w:w="1244"/>
        <w:gridCol w:w="1047"/>
        <w:gridCol w:w="286"/>
        <w:gridCol w:w="955"/>
        <w:gridCol w:w="1146"/>
        <w:gridCol w:w="1881"/>
      </w:tblGrid>
      <w:tr w:rsidRPr="007F620E" w:rsidR="00A92D0B" w:rsidTr="03A7085E" w14:paraId="780664A2" w14:textId="77777777">
        <w:trPr>
          <w:tblHeader/>
          <w:jc w:val="center"/>
        </w:trPr>
        <w:tc>
          <w:tcPr>
            <w:tcW w:w="7178" w:type="dxa"/>
            <w:gridSpan w:val="9"/>
            <w:tcBorders>
              <w:bottom w:val="single" w:color="auto" w:sz="4" w:space="0"/>
              <w:right w:val="single" w:color="auto" w:sz="24" w:space="0"/>
            </w:tcBorders>
          </w:tcPr>
          <w:p w:rsidRPr="007F620E" w:rsidR="00A92D0B" w:rsidP="00DE3A5D" w:rsidRDefault="00A92D0B" w14:paraId="6BFE54DA" w14:textId="77777777">
            <w:pPr>
              <w:keepNext/>
              <w:keepLines/>
              <w:spacing w:before="60" w:after="60"/>
              <w:jc w:val="center"/>
              <w:rPr>
                <w:b/>
                <w:smallCaps/>
                <w:color w:val="000000"/>
              </w:rPr>
            </w:pPr>
            <w:r w:rsidRPr="007F620E">
              <w:rPr>
                <w:b/>
                <w:smallCaps/>
                <w:color w:val="000000"/>
              </w:rPr>
              <w:t>Claimed</w:t>
            </w:r>
          </w:p>
        </w:tc>
        <w:tc>
          <w:tcPr>
            <w:tcW w:w="3982" w:type="dxa"/>
            <w:gridSpan w:val="3"/>
            <w:tcBorders>
              <w:left w:val="single" w:color="auto" w:sz="24" w:space="0"/>
              <w:bottom w:val="single" w:color="auto" w:sz="4" w:space="0"/>
            </w:tcBorders>
          </w:tcPr>
          <w:p w:rsidRPr="007F620E" w:rsidR="00A92D0B" w:rsidP="00DE3A5D" w:rsidRDefault="00A92D0B" w14:paraId="170A0FA1" w14:textId="77777777">
            <w:pPr>
              <w:keepNext/>
              <w:keepLines/>
              <w:spacing w:before="60" w:after="60"/>
              <w:jc w:val="center"/>
              <w:rPr>
                <w:b/>
                <w:smallCaps/>
                <w:color w:val="000000"/>
              </w:rPr>
            </w:pPr>
            <w:r w:rsidRPr="007F620E">
              <w:rPr>
                <w:b/>
                <w:smallCaps/>
                <w:color w:val="000000"/>
              </w:rPr>
              <w:t>CPUC Award</w:t>
            </w:r>
          </w:p>
        </w:tc>
      </w:tr>
      <w:tr w:rsidRPr="007F620E" w:rsidR="00A92D0B" w:rsidTr="03A7085E" w14:paraId="0F5B6CAA"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A92D0B" w:rsidP="00DE3A5D" w:rsidRDefault="00A92D0B" w14:paraId="284F9031" w14:textId="77777777">
            <w:pPr>
              <w:keepNext/>
              <w:keepLines/>
              <w:spacing w:before="60" w:after="60"/>
              <w:jc w:val="center"/>
              <w:rPr>
                <w:b/>
              </w:rPr>
            </w:pPr>
            <w:r w:rsidRPr="007F620E">
              <w:rPr>
                <w:b/>
              </w:rPr>
              <w:t>ATTORNEY, EXPERT, AND ADVOCATE FEES</w:t>
            </w:r>
          </w:p>
        </w:tc>
      </w:tr>
      <w:tr w:rsidRPr="00260518" w:rsidR="00A92D0B" w:rsidTr="03A7085E" w14:paraId="5A70C962" w14:textId="77777777">
        <w:trPr>
          <w:jc w:val="center"/>
        </w:trPr>
        <w:tc>
          <w:tcPr>
            <w:tcW w:w="1489" w:type="dxa"/>
            <w:tcBorders>
              <w:top w:val="single" w:color="auto" w:sz="4" w:space="0"/>
              <w:bottom w:val="single" w:color="auto" w:sz="4" w:space="0"/>
            </w:tcBorders>
            <w:vAlign w:val="bottom"/>
          </w:tcPr>
          <w:p w:rsidRPr="00260518" w:rsidR="00A92D0B" w:rsidP="003B6A1B" w:rsidRDefault="00A92D0B" w14:paraId="41646676" w14:textId="77777777">
            <w:pPr>
              <w:keepNext/>
              <w:keepLines/>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A92D0B" w:rsidP="003B6A1B" w:rsidRDefault="00A92D0B" w14:paraId="43BB9941" w14:textId="77777777">
            <w:pPr>
              <w:keepNext/>
              <w:keepLines/>
              <w:spacing w:before="60" w:after="60"/>
              <w:jc w:val="center"/>
              <w:rPr>
                <w:b/>
                <w:color w:val="000000"/>
                <w:sz w:val="22"/>
                <w:szCs w:val="22"/>
              </w:rPr>
            </w:pPr>
            <w:r w:rsidRPr="00260518">
              <w:rPr>
                <w:b/>
                <w:color w:val="000000"/>
                <w:sz w:val="22"/>
                <w:szCs w:val="22"/>
              </w:rPr>
              <w:t>Year</w:t>
            </w:r>
          </w:p>
        </w:tc>
        <w:tc>
          <w:tcPr>
            <w:tcW w:w="884" w:type="dxa"/>
            <w:gridSpan w:val="2"/>
            <w:tcBorders>
              <w:top w:val="single" w:color="auto" w:sz="4" w:space="0"/>
              <w:bottom w:val="single" w:color="auto" w:sz="4" w:space="0"/>
            </w:tcBorders>
            <w:vAlign w:val="bottom"/>
          </w:tcPr>
          <w:p w:rsidRPr="00260518" w:rsidR="00A92D0B" w:rsidP="003B6A1B" w:rsidRDefault="00A92D0B" w14:paraId="0EF32B08" w14:textId="77777777">
            <w:pPr>
              <w:keepNext/>
              <w:keepLines/>
              <w:spacing w:before="60" w:after="60"/>
              <w:jc w:val="center"/>
              <w:rPr>
                <w:b/>
                <w:color w:val="000000"/>
                <w:sz w:val="22"/>
                <w:szCs w:val="22"/>
              </w:rPr>
            </w:pPr>
            <w:r w:rsidRPr="00260518">
              <w:rPr>
                <w:b/>
                <w:color w:val="000000"/>
                <w:sz w:val="22"/>
                <w:szCs w:val="22"/>
              </w:rPr>
              <w:t>Hours</w:t>
            </w:r>
          </w:p>
        </w:tc>
        <w:tc>
          <w:tcPr>
            <w:tcW w:w="930" w:type="dxa"/>
            <w:tcBorders>
              <w:top w:val="single" w:color="auto" w:sz="4" w:space="0"/>
              <w:bottom w:val="single" w:color="auto" w:sz="4" w:space="0"/>
            </w:tcBorders>
            <w:vAlign w:val="bottom"/>
          </w:tcPr>
          <w:p w:rsidRPr="00260518" w:rsidR="00A92D0B" w:rsidP="003B6A1B" w:rsidRDefault="00A92D0B" w14:paraId="21C69246"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721" w:type="dxa"/>
            <w:gridSpan w:val="2"/>
            <w:tcBorders>
              <w:top w:val="single" w:color="auto" w:sz="4" w:space="0"/>
              <w:bottom w:val="single" w:color="auto" w:sz="4" w:space="0"/>
              <w:right w:val="single" w:color="auto" w:sz="4" w:space="0"/>
            </w:tcBorders>
            <w:vAlign w:val="bottom"/>
          </w:tcPr>
          <w:p w:rsidRPr="00260518" w:rsidR="00A92D0B" w:rsidP="003B6A1B" w:rsidRDefault="00A92D0B" w14:paraId="59E63C07" w14:textId="77777777">
            <w:pPr>
              <w:keepNext/>
              <w:keepLines/>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60518" w:rsidR="00A92D0B" w:rsidP="003B6A1B" w:rsidRDefault="00A92D0B" w14:paraId="7099C603" w14:textId="77777777">
            <w:pPr>
              <w:keepNext/>
              <w:keepLines/>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A92D0B" w:rsidP="03A7085E" w:rsidRDefault="00A92D0B" w14:paraId="564E4964" w14:textId="77777777">
            <w:pPr>
              <w:keepNext/>
              <w:keepLines/>
              <w:spacing w:before="60" w:after="60"/>
              <w:jc w:val="center"/>
              <w:rPr>
                <w:b/>
                <w:bCs/>
                <w:color w:val="000000"/>
                <w:sz w:val="22"/>
                <w:szCs w:val="22"/>
              </w:rPr>
            </w:pPr>
            <w:r w:rsidRPr="03A7085E">
              <w:rPr>
                <w:b/>
                <w:bCs/>
                <w:color w:val="000000" w:themeColor="text1"/>
                <w:sz w:val="22"/>
                <w:szCs w:val="22"/>
              </w:rPr>
              <w:t>Hours</w:t>
            </w:r>
          </w:p>
        </w:tc>
        <w:tc>
          <w:tcPr>
            <w:tcW w:w="1146" w:type="dxa"/>
            <w:tcBorders>
              <w:top w:val="single" w:color="auto" w:sz="4" w:space="0"/>
            </w:tcBorders>
            <w:vAlign w:val="bottom"/>
          </w:tcPr>
          <w:p w:rsidRPr="00260518" w:rsidR="00A92D0B" w:rsidP="003B6A1B" w:rsidRDefault="00A92D0B" w14:paraId="1462552D"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881" w:type="dxa"/>
            <w:tcBorders>
              <w:top w:val="single" w:color="auto" w:sz="4" w:space="0"/>
            </w:tcBorders>
            <w:vAlign w:val="bottom"/>
          </w:tcPr>
          <w:p w:rsidRPr="00260518" w:rsidR="00A92D0B" w:rsidP="003B6A1B" w:rsidRDefault="00A92D0B" w14:paraId="1B6A5CA4" w14:textId="77777777">
            <w:pPr>
              <w:keepNext/>
              <w:keepLines/>
              <w:spacing w:before="60" w:after="60"/>
              <w:jc w:val="center"/>
              <w:rPr>
                <w:b/>
                <w:color w:val="000000"/>
                <w:sz w:val="22"/>
                <w:szCs w:val="22"/>
              </w:rPr>
            </w:pPr>
            <w:r w:rsidRPr="00260518">
              <w:rPr>
                <w:b/>
                <w:color w:val="000000"/>
                <w:sz w:val="22"/>
                <w:szCs w:val="22"/>
              </w:rPr>
              <w:t>Total $</w:t>
            </w:r>
          </w:p>
        </w:tc>
      </w:tr>
      <w:tr w:rsidRPr="007F620E" w:rsidR="00AD34EA" w:rsidTr="00E94AEC" w14:paraId="4ECC3FC6" w14:textId="77777777">
        <w:trPr>
          <w:jc w:val="center"/>
        </w:trPr>
        <w:tc>
          <w:tcPr>
            <w:tcW w:w="1489" w:type="dxa"/>
          </w:tcPr>
          <w:p w:rsidR="00AD34EA" w:rsidP="00AD34EA" w:rsidRDefault="00AD34EA" w14:paraId="501E064D" w14:textId="7FAC1F0F">
            <w:pPr>
              <w:spacing w:before="60" w:after="60"/>
              <w:rPr>
                <w:color w:val="000000"/>
              </w:rPr>
            </w:pPr>
            <w:r>
              <w:rPr>
                <w:color w:val="000000"/>
              </w:rPr>
              <w:t>Edward Lopez</w:t>
            </w:r>
          </w:p>
        </w:tc>
        <w:tc>
          <w:tcPr>
            <w:tcW w:w="821" w:type="dxa"/>
          </w:tcPr>
          <w:p w:rsidR="00AD34EA" w:rsidP="00AD34EA" w:rsidRDefault="00AD34EA" w14:paraId="2AE4AB24" w14:textId="3EEDB02F">
            <w:pPr>
              <w:spacing w:before="60" w:after="60"/>
              <w:jc w:val="center"/>
              <w:rPr>
                <w:color w:val="000000"/>
              </w:rPr>
            </w:pPr>
            <w:r>
              <w:rPr>
                <w:color w:val="000000"/>
              </w:rPr>
              <w:t>2023</w:t>
            </w:r>
          </w:p>
        </w:tc>
        <w:tc>
          <w:tcPr>
            <w:tcW w:w="884" w:type="dxa"/>
            <w:gridSpan w:val="2"/>
          </w:tcPr>
          <w:p w:rsidRPr="007F620E" w:rsidR="00AD34EA" w:rsidP="00AD34EA" w:rsidRDefault="00AD34EA" w14:paraId="21863E86" w14:textId="7C39D164">
            <w:pPr>
              <w:spacing w:before="60" w:after="60"/>
              <w:jc w:val="center"/>
              <w:rPr>
                <w:color w:val="000000"/>
              </w:rPr>
            </w:pPr>
            <w:r w:rsidRPr="00E47330">
              <w:t>4</w:t>
            </w:r>
          </w:p>
        </w:tc>
        <w:tc>
          <w:tcPr>
            <w:tcW w:w="930" w:type="dxa"/>
          </w:tcPr>
          <w:p w:rsidRPr="007F620E" w:rsidR="00AD34EA" w:rsidP="00AD34EA" w:rsidRDefault="00AD34EA" w14:paraId="3619683B" w14:textId="54AE50FD">
            <w:pPr>
              <w:spacing w:before="60" w:after="60"/>
              <w:jc w:val="right"/>
              <w:rPr>
                <w:color w:val="000000"/>
              </w:rPr>
            </w:pPr>
            <w:r>
              <w:rPr>
                <w:color w:val="000000"/>
              </w:rPr>
              <w:t>$475</w:t>
            </w:r>
          </w:p>
        </w:tc>
        <w:tc>
          <w:tcPr>
            <w:tcW w:w="1721" w:type="dxa"/>
            <w:gridSpan w:val="2"/>
            <w:tcBorders>
              <w:right w:val="single" w:color="auto" w:sz="4" w:space="0"/>
            </w:tcBorders>
          </w:tcPr>
          <w:p w:rsidRPr="007F620E" w:rsidR="00AD34EA" w:rsidP="00AD34EA" w:rsidRDefault="00AD34EA" w14:paraId="07C07934" w14:textId="5E07850C">
            <w:pPr>
              <w:rPr>
                <w:color w:val="000000"/>
              </w:rPr>
            </w:pPr>
            <w:r>
              <w:rPr>
                <w:color w:val="000000"/>
              </w:rPr>
              <w:t>D.24-01-019</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AD34EA" w:rsidP="00AD34EA" w:rsidRDefault="00AD34EA" w14:paraId="7DF6643A" w14:textId="3EDE2F95">
            <w:pPr>
              <w:spacing w:before="60" w:after="60"/>
              <w:jc w:val="right"/>
              <w:rPr>
                <w:color w:val="000000"/>
              </w:rPr>
            </w:pPr>
            <w:r w:rsidRPr="00B27C88">
              <w:t xml:space="preserve"> $1,900.00 </w:t>
            </w:r>
          </w:p>
        </w:tc>
        <w:tc>
          <w:tcPr>
            <w:tcW w:w="955" w:type="dxa"/>
            <w:tcBorders>
              <w:left w:val="single" w:color="auto" w:sz="4" w:space="0"/>
            </w:tcBorders>
          </w:tcPr>
          <w:p w:rsidRPr="007F620E" w:rsidR="00AD34EA" w:rsidP="00E94AEC" w:rsidRDefault="00E82D91" w14:paraId="707008F1" w14:textId="5613096E">
            <w:pPr>
              <w:spacing w:before="60" w:after="60"/>
              <w:jc w:val="center"/>
              <w:rPr>
                <w:color w:val="000000"/>
              </w:rPr>
            </w:pPr>
            <w:r>
              <w:rPr>
                <w:color w:val="000000"/>
              </w:rPr>
              <w:t>3.</w:t>
            </w:r>
            <w:r w:rsidR="0080093F">
              <w:rPr>
                <w:color w:val="000000"/>
              </w:rPr>
              <w:t>25</w:t>
            </w:r>
            <w:r w:rsidR="00CA7B44">
              <w:rPr>
                <w:color w:val="000000"/>
              </w:rPr>
              <w:t xml:space="preserve"> [</w:t>
            </w:r>
            <w:r w:rsidR="00DB4B1C">
              <w:rPr>
                <w:color w:val="000000"/>
              </w:rPr>
              <w:t>1</w:t>
            </w:r>
            <w:r w:rsidR="00CA7B44">
              <w:rPr>
                <w:color w:val="000000"/>
              </w:rPr>
              <w:t>]</w:t>
            </w:r>
          </w:p>
        </w:tc>
        <w:tc>
          <w:tcPr>
            <w:tcW w:w="1146" w:type="dxa"/>
          </w:tcPr>
          <w:p w:rsidRPr="007F620E" w:rsidR="00AD34EA" w:rsidP="00E94AEC" w:rsidRDefault="003C5DEE" w14:paraId="1513F9C4" w14:textId="7D463B89">
            <w:pPr>
              <w:spacing w:before="60" w:after="60"/>
              <w:jc w:val="center"/>
              <w:rPr>
                <w:color w:val="000000"/>
              </w:rPr>
            </w:pPr>
            <w:r>
              <w:rPr>
                <w:color w:val="000000"/>
              </w:rPr>
              <w:t>$460.00</w:t>
            </w:r>
            <w:r w:rsidR="00CA7B44">
              <w:rPr>
                <w:color w:val="000000"/>
              </w:rPr>
              <w:t xml:space="preserve"> [</w:t>
            </w:r>
            <w:r w:rsidR="00496D90">
              <w:rPr>
                <w:color w:val="000000"/>
              </w:rPr>
              <w:t>2</w:t>
            </w:r>
            <w:r w:rsidR="00CA7B44">
              <w:rPr>
                <w:color w:val="000000"/>
              </w:rPr>
              <w:t>]</w:t>
            </w:r>
          </w:p>
        </w:tc>
        <w:tc>
          <w:tcPr>
            <w:tcW w:w="1881" w:type="dxa"/>
          </w:tcPr>
          <w:p w:rsidRPr="007F620E" w:rsidR="00AD34EA" w:rsidP="00E94AEC" w:rsidRDefault="008A2E99" w14:paraId="3A61A38E" w14:textId="4FBF862B">
            <w:pPr>
              <w:spacing w:before="60" w:after="60"/>
              <w:jc w:val="center"/>
              <w:rPr>
                <w:color w:val="000000"/>
              </w:rPr>
            </w:pPr>
            <w:r w:rsidRPr="008A2E99">
              <w:rPr>
                <w:color w:val="000000"/>
              </w:rPr>
              <w:t xml:space="preserve">$1,495.00 </w:t>
            </w:r>
          </w:p>
        </w:tc>
      </w:tr>
      <w:tr w:rsidRPr="007F620E" w:rsidR="00AD34EA" w:rsidTr="00E94AEC" w14:paraId="7D4EFA62" w14:textId="77777777">
        <w:trPr>
          <w:jc w:val="center"/>
        </w:trPr>
        <w:tc>
          <w:tcPr>
            <w:tcW w:w="1489" w:type="dxa"/>
          </w:tcPr>
          <w:p w:rsidR="00AD34EA" w:rsidP="00AD34EA" w:rsidRDefault="00AD34EA" w14:paraId="09B93560" w14:textId="6FC34DF2">
            <w:pPr>
              <w:spacing w:before="60" w:after="60"/>
              <w:rPr>
                <w:color w:val="000000"/>
              </w:rPr>
            </w:pPr>
            <w:r>
              <w:rPr>
                <w:color w:val="000000"/>
              </w:rPr>
              <w:t>Edward Lopez</w:t>
            </w:r>
          </w:p>
        </w:tc>
        <w:tc>
          <w:tcPr>
            <w:tcW w:w="821" w:type="dxa"/>
          </w:tcPr>
          <w:p w:rsidR="00AD34EA" w:rsidP="00AD34EA" w:rsidRDefault="00AD34EA" w14:paraId="214169B6" w14:textId="4045EA36">
            <w:pPr>
              <w:spacing w:before="60" w:after="60"/>
              <w:jc w:val="center"/>
              <w:rPr>
                <w:color w:val="000000"/>
              </w:rPr>
            </w:pPr>
            <w:r>
              <w:rPr>
                <w:color w:val="000000"/>
              </w:rPr>
              <w:t>2024</w:t>
            </w:r>
          </w:p>
        </w:tc>
        <w:tc>
          <w:tcPr>
            <w:tcW w:w="884" w:type="dxa"/>
            <w:gridSpan w:val="2"/>
          </w:tcPr>
          <w:p w:rsidRPr="007F620E" w:rsidR="00AD34EA" w:rsidP="00AD34EA" w:rsidRDefault="00AD34EA" w14:paraId="658129AE" w14:textId="44D2E7CE">
            <w:pPr>
              <w:spacing w:before="60" w:after="60"/>
              <w:jc w:val="center"/>
              <w:rPr>
                <w:color w:val="000000"/>
              </w:rPr>
            </w:pPr>
            <w:r w:rsidRPr="00E47330">
              <w:t>54.5</w:t>
            </w:r>
          </w:p>
        </w:tc>
        <w:tc>
          <w:tcPr>
            <w:tcW w:w="930" w:type="dxa"/>
          </w:tcPr>
          <w:p w:rsidRPr="007F620E" w:rsidR="00AD34EA" w:rsidP="00AD34EA" w:rsidRDefault="00AD34EA" w14:paraId="2728EBC1" w14:textId="66887A4D">
            <w:pPr>
              <w:spacing w:before="60" w:after="60"/>
              <w:jc w:val="right"/>
              <w:rPr>
                <w:color w:val="000000"/>
              </w:rPr>
            </w:pPr>
            <w:r>
              <w:rPr>
                <w:color w:val="000000"/>
              </w:rPr>
              <w:t>$495</w:t>
            </w:r>
          </w:p>
        </w:tc>
        <w:tc>
          <w:tcPr>
            <w:tcW w:w="1721" w:type="dxa"/>
            <w:gridSpan w:val="2"/>
            <w:tcBorders>
              <w:right w:val="single" w:color="auto" w:sz="4" w:space="0"/>
            </w:tcBorders>
          </w:tcPr>
          <w:p w:rsidRPr="00901CEF" w:rsidR="00AD34EA" w:rsidP="00AD34EA" w:rsidRDefault="00AD34EA" w14:paraId="67E90209" w14:textId="00CDE07E">
            <w:pPr>
              <w:pStyle w:val="Default"/>
              <w:rPr>
                <w:sz w:val="23"/>
                <w:szCs w:val="23"/>
              </w:rPr>
            </w:pPr>
            <w:r>
              <w:rPr>
                <w:sz w:val="23"/>
                <w:szCs w:val="23"/>
              </w:rPr>
              <w:t xml:space="preserve">See Comment 1 </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AD34EA" w:rsidP="00AD34EA" w:rsidRDefault="00AD34EA" w14:paraId="70FFF293" w14:textId="6CD43188">
            <w:pPr>
              <w:spacing w:before="60" w:after="60"/>
              <w:jc w:val="right"/>
              <w:rPr>
                <w:color w:val="000000"/>
              </w:rPr>
            </w:pPr>
            <w:r w:rsidRPr="00B27C88">
              <w:t xml:space="preserve"> $26,977.50 </w:t>
            </w:r>
          </w:p>
        </w:tc>
        <w:tc>
          <w:tcPr>
            <w:tcW w:w="955" w:type="dxa"/>
            <w:tcBorders>
              <w:left w:val="single" w:color="auto" w:sz="4" w:space="0"/>
            </w:tcBorders>
          </w:tcPr>
          <w:p w:rsidRPr="007F620E" w:rsidR="00AD34EA" w:rsidP="00E94AEC" w:rsidRDefault="007E61CF" w14:paraId="2609F368" w14:textId="018AF09F">
            <w:pPr>
              <w:spacing w:before="60" w:after="60"/>
              <w:jc w:val="center"/>
              <w:rPr>
                <w:color w:val="000000"/>
              </w:rPr>
            </w:pPr>
            <w:r>
              <w:rPr>
                <w:color w:val="000000"/>
              </w:rPr>
              <w:t>43.25</w:t>
            </w:r>
            <w:r w:rsidR="00CA7B44">
              <w:rPr>
                <w:color w:val="000000"/>
              </w:rPr>
              <w:t xml:space="preserve"> [</w:t>
            </w:r>
            <w:r w:rsidR="001C7134">
              <w:rPr>
                <w:color w:val="000000"/>
              </w:rPr>
              <w:t>1</w:t>
            </w:r>
            <w:r w:rsidR="00CA7B44">
              <w:rPr>
                <w:color w:val="000000"/>
              </w:rPr>
              <w:t>]</w:t>
            </w:r>
          </w:p>
        </w:tc>
        <w:tc>
          <w:tcPr>
            <w:tcW w:w="1146" w:type="dxa"/>
          </w:tcPr>
          <w:p w:rsidRPr="007F620E" w:rsidR="00AD34EA" w:rsidP="00E94AEC" w:rsidRDefault="00EF4A06" w14:paraId="66CB95F3" w14:textId="6BF5C081">
            <w:pPr>
              <w:spacing w:before="60" w:after="60"/>
              <w:jc w:val="center"/>
              <w:rPr>
                <w:color w:val="000000"/>
              </w:rPr>
            </w:pPr>
            <w:r>
              <w:rPr>
                <w:color w:val="000000"/>
              </w:rPr>
              <w:t>$475.00</w:t>
            </w:r>
            <w:r w:rsidR="00CA7B44">
              <w:rPr>
                <w:color w:val="000000"/>
              </w:rPr>
              <w:t xml:space="preserve"> [</w:t>
            </w:r>
            <w:r w:rsidR="00496D90">
              <w:rPr>
                <w:color w:val="000000"/>
              </w:rPr>
              <w:t>2</w:t>
            </w:r>
            <w:r w:rsidR="00CA7B44">
              <w:rPr>
                <w:color w:val="000000"/>
              </w:rPr>
              <w:t>]</w:t>
            </w:r>
          </w:p>
        </w:tc>
        <w:tc>
          <w:tcPr>
            <w:tcW w:w="1881" w:type="dxa"/>
          </w:tcPr>
          <w:p w:rsidRPr="007F620E" w:rsidR="00AD34EA" w:rsidP="00E94AEC" w:rsidRDefault="000770C3" w14:paraId="2B447BD2" w14:textId="623F62DD">
            <w:pPr>
              <w:spacing w:before="60" w:after="60"/>
              <w:jc w:val="center"/>
              <w:rPr>
                <w:color w:val="000000"/>
              </w:rPr>
            </w:pPr>
            <w:r w:rsidRPr="000770C3">
              <w:rPr>
                <w:color w:val="000000"/>
              </w:rPr>
              <w:t xml:space="preserve">$20,543.75 </w:t>
            </w:r>
          </w:p>
        </w:tc>
      </w:tr>
      <w:tr w:rsidRPr="007F620E" w:rsidR="00AD34EA" w:rsidTr="00C414F0" w14:paraId="499B1334" w14:textId="77777777">
        <w:trPr>
          <w:jc w:val="center"/>
        </w:trPr>
        <w:tc>
          <w:tcPr>
            <w:tcW w:w="1489" w:type="dxa"/>
          </w:tcPr>
          <w:p w:rsidRPr="00C414F0" w:rsidR="00AD34EA" w:rsidP="00AD34EA" w:rsidRDefault="00AD34EA" w14:paraId="23EA0B89" w14:textId="77777777">
            <w:pPr>
              <w:spacing w:before="60" w:after="60"/>
              <w:rPr>
                <w:spacing w:val="1"/>
              </w:rPr>
            </w:pPr>
            <w:r w:rsidRPr="00C414F0">
              <w:rPr>
                <w:spacing w:val="1"/>
              </w:rPr>
              <w:t>Karl Pavlovic</w:t>
            </w:r>
          </w:p>
          <w:p w:rsidRPr="00C414F0" w:rsidR="00AD34EA" w:rsidP="00AD34EA" w:rsidRDefault="00AD34EA" w14:paraId="1131FB84" w14:textId="64C93CF1">
            <w:pPr>
              <w:spacing w:before="60" w:after="60"/>
              <w:rPr>
                <w:spacing w:val="1"/>
              </w:rPr>
            </w:pPr>
            <w:r w:rsidRPr="00C414F0">
              <w:rPr>
                <w:spacing w:val="1"/>
              </w:rPr>
              <w:t>(Expert)</w:t>
            </w:r>
          </w:p>
        </w:tc>
        <w:tc>
          <w:tcPr>
            <w:tcW w:w="821" w:type="dxa"/>
          </w:tcPr>
          <w:p w:rsidRPr="00C414F0" w:rsidR="00AD34EA" w:rsidP="00AD34EA" w:rsidRDefault="00AD34EA" w14:paraId="458ABBF6" w14:textId="7CEAA84E">
            <w:pPr>
              <w:spacing w:before="60" w:after="60"/>
              <w:jc w:val="center"/>
              <w:rPr>
                <w:color w:val="000000"/>
              </w:rPr>
            </w:pPr>
            <w:r w:rsidRPr="00C414F0">
              <w:rPr>
                <w:color w:val="000000"/>
              </w:rPr>
              <w:t>2024</w:t>
            </w:r>
          </w:p>
        </w:tc>
        <w:tc>
          <w:tcPr>
            <w:tcW w:w="884" w:type="dxa"/>
            <w:gridSpan w:val="2"/>
          </w:tcPr>
          <w:p w:rsidRPr="00C414F0" w:rsidR="00AD34EA" w:rsidP="00AD34EA" w:rsidRDefault="00AD34EA" w14:paraId="7659B15E" w14:textId="0CCEA8CB">
            <w:pPr>
              <w:spacing w:before="60" w:after="60"/>
              <w:jc w:val="center"/>
              <w:rPr>
                <w:color w:val="000000"/>
              </w:rPr>
            </w:pPr>
            <w:r w:rsidRPr="00C414F0">
              <w:t>70.75</w:t>
            </w:r>
          </w:p>
        </w:tc>
        <w:tc>
          <w:tcPr>
            <w:tcW w:w="930" w:type="dxa"/>
          </w:tcPr>
          <w:p w:rsidRPr="00C414F0" w:rsidR="00AD34EA" w:rsidP="00AD34EA" w:rsidRDefault="00AD34EA" w14:paraId="69F65DA7" w14:textId="4C9FCFB6">
            <w:pPr>
              <w:spacing w:before="60" w:after="60"/>
              <w:jc w:val="right"/>
              <w:rPr>
                <w:color w:val="000000"/>
              </w:rPr>
            </w:pPr>
            <w:r w:rsidRPr="00C414F0">
              <w:rPr>
                <w:color w:val="000000"/>
              </w:rPr>
              <w:t>$885</w:t>
            </w:r>
          </w:p>
        </w:tc>
        <w:tc>
          <w:tcPr>
            <w:tcW w:w="1721" w:type="dxa"/>
            <w:gridSpan w:val="2"/>
            <w:tcBorders>
              <w:right w:val="single" w:color="auto" w:sz="4" w:space="0"/>
            </w:tcBorders>
          </w:tcPr>
          <w:p w:rsidRPr="00C414F0" w:rsidR="00AD34EA" w:rsidP="00AD34EA" w:rsidRDefault="00AD34EA" w14:paraId="2B73CF46" w14:textId="72FB78F3">
            <w:pPr>
              <w:spacing w:before="60" w:after="60"/>
              <w:rPr>
                <w:color w:val="000000"/>
              </w:rPr>
            </w:pPr>
            <w:r w:rsidRPr="00C414F0">
              <w:rPr>
                <w:color w:val="000000"/>
              </w:rPr>
              <w:t>See Comment 3</w:t>
            </w:r>
          </w:p>
        </w:tc>
        <w:tc>
          <w:tcPr>
            <w:tcW w:w="1333" w:type="dxa"/>
            <w:gridSpan w:val="2"/>
            <w:tcBorders>
              <w:top w:val="single" w:color="auto" w:sz="4" w:space="0"/>
              <w:left w:val="single" w:color="auto" w:sz="4" w:space="0"/>
              <w:bottom w:val="single" w:color="auto" w:sz="4" w:space="0"/>
              <w:right w:val="single" w:color="auto" w:sz="24" w:space="0"/>
            </w:tcBorders>
          </w:tcPr>
          <w:p w:rsidRPr="00C414F0" w:rsidR="00AD34EA" w:rsidP="00AD34EA" w:rsidRDefault="00AD34EA" w14:paraId="14E370B9" w14:textId="237D1669">
            <w:pPr>
              <w:spacing w:before="60" w:after="60"/>
              <w:jc w:val="right"/>
              <w:rPr>
                <w:color w:val="000000"/>
              </w:rPr>
            </w:pPr>
            <w:r w:rsidRPr="00C414F0">
              <w:t xml:space="preserve"> $62,613.75 </w:t>
            </w:r>
          </w:p>
        </w:tc>
        <w:tc>
          <w:tcPr>
            <w:tcW w:w="955" w:type="dxa"/>
            <w:tcBorders>
              <w:left w:val="single" w:color="auto" w:sz="4" w:space="0"/>
            </w:tcBorders>
          </w:tcPr>
          <w:p w:rsidRPr="007F620E" w:rsidR="00AD34EA" w:rsidP="00AD34EA" w:rsidRDefault="00466663" w14:paraId="746816D6" w14:textId="3552220B">
            <w:pPr>
              <w:spacing w:before="60" w:after="60"/>
              <w:jc w:val="center"/>
              <w:rPr>
                <w:color w:val="000000"/>
              </w:rPr>
            </w:pPr>
            <w:r>
              <w:rPr>
                <w:color w:val="000000"/>
              </w:rPr>
              <w:t>68</w:t>
            </w:r>
            <w:r w:rsidR="00832E74">
              <w:rPr>
                <w:color w:val="000000"/>
              </w:rPr>
              <w:t>.00</w:t>
            </w:r>
            <w:r w:rsidR="00CA7B44">
              <w:rPr>
                <w:color w:val="000000"/>
              </w:rPr>
              <w:t xml:space="preserve"> [</w:t>
            </w:r>
            <w:r w:rsidR="001C7134">
              <w:rPr>
                <w:color w:val="000000"/>
              </w:rPr>
              <w:t>1</w:t>
            </w:r>
            <w:r w:rsidR="00CA7B44">
              <w:rPr>
                <w:color w:val="000000"/>
              </w:rPr>
              <w:t>]</w:t>
            </w:r>
          </w:p>
        </w:tc>
        <w:tc>
          <w:tcPr>
            <w:tcW w:w="1146" w:type="dxa"/>
          </w:tcPr>
          <w:p w:rsidRPr="007F620E" w:rsidR="00AD34EA" w:rsidP="00865ED0" w:rsidRDefault="00496D90" w14:paraId="58410155" w14:textId="30631AC0">
            <w:pPr>
              <w:spacing w:before="60" w:after="60"/>
              <w:jc w:val="center"/>
              <w:rPr>
                <w:color w:val="000000"/>
              </w:rPr>
            </w:pPr>
            <w:r>
              <w:rPr>
                <w:color w:val="000000"/>
              </w:rPr>
              <w:t>$</w:t>
            </w:r>
            <w:r w:rsidR="002B2FC9">
              <w:rPr>
                <w:color w:val="000000"/>
              </w:rPr>
              <w:t>885</w:t>
            </w:r>
            <w:r w:rsidR="00CB22E3">
              <w:rPr>
                <w:color w:val="000000"/>
              </w:rPr>
              <w:t>.00</w:t>
            </w:r>
            <w:r w:rsidR="002B2FC9">
              <w:rPr>
                <w:color w:val="000000"/>
              </w:rPr>
              <w:br/>
            </w:r>
            <w:r w:rsidR="00CA7B44">
              <w:rPr>
                <w:color w:val="000000"/>
              </w:rPr>
              <w:t>[</w:t>
            </w:r>
            <w:r>
              <w:rPr>
                <w:color w:val="000000"/>
              </w:rPr>
              <w:t>3</w:t>
            </w:r>
            <w:r w:rsidR="00CA7B44">
              <w:rPr>
                <w:color w:val="000000"/>
              </w:rPr>
              <w:t>]</w:t>
            </w:r>
          </w:p>
        </w:tc>
        <w:tc>
          <w:tcPr>
            <w:tcW w:w="1881" w:type="dxa"/>
          </w:tcPr>
          <w:p w:rsidRPr="007F620E" w:rsidR="00AD34EA" w:rsidP="00AD34EA" w:rsidRDefault="000770C3" w14:paraId="50DD01CE" w14:textId="2B85F265">
            <w:pPr>
              <w:spacing w:before="60" w:after="60"/>
              <w:jc w:val="right"/>
              <w:rPr>
                <w:color w:val="000000"/>
              </w:rPr>
            </w:pPr>
            <w:r w:rsidRPr="000770C3">
              <w:rPr>
                <w:color w:val="000000"/>
              </w:rPr>
              <w:t>$60,180.00</w:t>
            </w:r>
          </w:p>
        </w:tc>
      </w:tr>
      <w:tr w:rsidRPr="007F620E" w:rsidR="00AD34EA" w:rsidTr="00C414F0" w14:paraId="46D77850" w14:textId="77777777">
        <w:trPr>
          <w:jc w:val="center"/>
        </w:trPr>
        <w:tc>
          <w:tcPr>
            <w:tcW w:w="1489" w:type="dxa"/>
          </w:tcPr>
          <w:p w:rsidRPr="00C414F0" w:rsidR="00AD34EA" w:rsidP="00AD34EA" w:rsidRDefault="00AD34EA" w14:paraId="4875CDD4" w14:textId="77777777">
            <w:pPr>
              <w:spacing w:before="60" w:after="60"/>
            </w:pPr>
            <w:r w:rsidRPr="00C414F0">
              <w:t>Marlon Griffing</w:t>
            </w:r>
          </w:p>
          <w:p w:rsidRPr="00C414F0" w:rsidR="00AD34EA" w:rsidP="00AD34EA" w:rsidRDefault="00AD34EA" w14:paraId="0266EFBB" w14:textId="6A6620B2">
            <w:pPr>
              <w:spacing w:before="60" w:after="60"/>
            </w:pPr>
            <w:r w:rsidRPr="00C414F0">
              <w:t>(Expert)</w:t>
            </w:r>
          </w:p>
        </w:tc>
        <w:tc>
          <w:tcPr>
            <w:tcW w:w="821" w:type="dxa"/>
          </w:tcPr>
          <w:p w:rsidRPr="00C414F0" w:rsidR="00AD34EA" w:rsidP="00AD34EA" w:rsidRDefault="00AD34EA" w14:paraId="42078DD5" w14:textId="549AF330">
            <w:pPr>
              <w:spacing w:before="60" w:after="60"/>
              <w:jc w:val="center"/>
              <w:rPr>
                <w:color w:val="000000"/>
              </w:rPr>
            </w:pPr>
            <w:r w:rsidRPr="00C414F0">
              <w:rPr>
                <w:color w:val="000000"/>
              </w:rPr>
              <w:t>2024</w:t>
            </w:r>
          </w:p>
        </w:tc>
        <w:tc>
          <w:tcPr>
            <w:tcW w:w="884" w:type="dxa"/>
            <w:gridSpan w:val="2"/>
          </w:tcPr>
          <w:p w:rsidRPr="00C414F0" w:rsidR="00AD34EA" w:rsidP="00AD34EA" w:rsidRDefault="00AD34EA" w14:paraId="36D9075D" w14:textId="589AE7C4">
            <w:pPr>
              <w:spacing w:before="60" w:after="60"/>
              <w:jc w:val="center"/>
              <w:rPr>
                <w:color w:val="000000"/>
              </w:rPr>
            </w:pPr>
            <w:r w:rsidRPr="00C414F0">
              <w:t>33.26</w:t>
            </w:r>
          </w:p>
        </w:tc>
        <w:tc>
          <w:tcPr>
            <w:tcW w:w="930" w:type="dxa"/>
          </w:tcPr>
          <w:p w:rsidRPr="00C414F0" w:rsidR="00AD34EA" w:rsidP="00AD34EA" w:rsidRDefault="00AD34EA" w14:paraId="3EFC433E" w14:textId="2CF90D26">
            <w:pPr>
              <w:spacing w:before="60" w:after="60"/>
              <w:jc w:val="right"/>
              <w:rPr>
                <w:color w:val="000000"/>
              </w:rPr>
            </w:pPr>
            <w:r w:rsidRPr="00C414F0">
              <w:rPr>
                <w:color w:val="000000"/>
              </w:rPr>
              <w:t>$885</w:t>
            </w:r>
          </w:p>
        </w:tc>
        <w:tc>
          <w:tcPr>
            <w:tcW w:w="1721" w:type="dxa"/>
            <w:gridSpan w:val="2"/>
            <w:tcBorders>
              <w:right w:val="single" w:color="auto" w:sz="4" w:space="0"/>
            </w:tcBorders>
          </w:tcPr>
          <w:p w:rsidRPr="00C414F0" w:rsidR="00AD34EA" w:rsidP="00AD34EA" w:rsidRDefault="00AD34EA" w14:paraId="6EAC6DCC" w14:textId="68EA4830">
            <w:pPr>
              <w:spacing w:before="60" w:after="60"/>
              <w:rPr>
                <w:color w:val="000000"/>
              </w:rPr>
            </w:pPr>
            <w:r w:rsidRPr="00C414F0">
              <w:rPr>
                <w:color w:val="000000"/>
              </w:rPr>
              <w:t>See Comment 4</w:t>
            </w:r>
          </w:p>
        </w:tc>
        <w:tc>
          <w:tcPr>
            <w:tcW w:w="1333" w:type="dxa"/>
            <w:gridSpan w:val="2"/>
            <w:tcBorders>
              <w:top w:val="single" w:color="auto" w:sz="4" w:space="0"/>
              <w:left w:val="single" w:color="auto" w:sz="4" w:space="0"/>
              <w:bottom w:val="single" w:color="auto" w:sz="4" w:space="0"/>
              <w:right w:val="single" w:color="auto" w:sz="24" w:space="0"/>
            </w:tcBorders>
          </w:tcPr>
          <w:p w:rsidRPr="00C414F0" w:rsidR="00AD34EA" w:rsidP="00AD34EA" w:rsidRDefault="00AD34EA" w14:paraId="67FD27DD" w14:textId="10D1721F">
            <w:pPr>
              <w:spacing w:before="60" w:after="60"/>
              <w:jc w:val="right"/>
              <w:rPr>
                <w:color w:val="000000"/>
              </w:rPr>
            </w:pPr>
            <w:r w:rsidRPr="00C414F0">
              <w:t xml:space="preserve"> $29,435.10 </w:t>
            </w:r>
          </w:p>
        </w:tc>
        <w:tc>
          <w:tcPr>
            <w:tcW w:w="955" w:type="dxa"/>
            <w:tcBorders>
              <w:left w:val="single" w:color="auto" w:sz="4" w:space="0"/>
            </w:tcBorders>
          </w:tcPr>
          <w:p w:rsidRPr="007F620E" w:rsidR="00AD34EA" w:rsidP="00AD34EA" w:rsidRDefault="00C530B6" w14:paraId="75EF33C1" w14:textId="4CB0D2C0">
            <w:pPr>
              <w:spacing w:before="60" w:after="60"/>
              <w:jc w:val="center"/>
              <w:rPr>
                <w:color w:val="000000"/>
              </w:rPr>
            </w:pPr>
            <w:r>
              <w:rPr>
                <w:color w:val="000000"/>
              </w:rPr>
              <w:t>24.06</w:t>
            </w:r>
            <w:r w:rsidR="00CA7B44">
              <w:rPr>
                <w:color w:val="000000"/>
              </w:rPr>
              <w:t xml:space="preserve"> [</w:t>
            </w:r>
            <w:r w:rsidR="001C7134">
              <w:rPr>
                <w:color w:val="000000"/>
              </w:rPr>
              <w:t>1</w:t>
            </w:r>
            <w:r w:rsidR="00CA7B44">
              <w:rPr>
                <w:color w:val="000000"/>
              </w:rPr>
              <w:t>]</w:t>
            </w:r>
          </w:p>
        </w:tc>
        <w:tc>
          <w:tcPr>
            <w:tcW w:w="1146" w:type="dxa"/>
          </w:tcPr>
          <w:p w:rsidRPr="007F620E" w:rsidR="00AD34EA" w:rsidP="00865ED0" w:rsidRDefault="00496D90" w14:paraId="74A17795" w14:textId="3919CC8E">
            <w:pPr>
              <w:spacing w:before="60" w:after="60"/>
              <w:jc w:val="center"/>
              <w:rPr>
                <w:color w:val="000000"/>
              </w:rPr>
            </w:pPr>
            <w:r>
              <w:rPr>
                <w:color w:val="000000"/>
              </w:rPr>
              <w:t>$</w:t>
            </w:r>
            <w:r w:rsidR="002B2FC9">
              <w:rPr>
                <w:color w:val="000000"/>
              </w:rPr>
              <w:t>885</w:t>
            </w:r>
            <w:r w:rsidR="00CB22E3">
              <w:rPr>
                <w:color w:val="000000"/>
              </w:rPr>
              <w:t>.00</w:t>
            </w:r>
            <w:r w:rsidR="002B2FC9">
              <w:rPr>
                <w:color w:val="000000"/>
              </w:rPr>
              <w:br/>
            </w:r>
            <w:r w:rsidR="00CA7B44">
              <w:rPr>
                <w:color w:val="000000"/>
              </w:rPr>
              <w:t>[</w:t>
            </w:r>
            <w:r>
              <w:rPr>
                <w:color w:val="000000"/>
              </w:rPr>
              <w:t>4</w:t>
            </w:r>
            <w:r w:rsidR="00CA7B44">
              <w:rPr>
                <w:color w:val="000000"/>
              </w:rPr>
              <w:t>]</w:t>
            </w:r>
          </w:p>
        </w:tc>
        <w:tc>
          <w:tcPr>
            <w:tcW w:w="1881" w:type="dxa"/>
          </w:tcPr>
          <w:p w:rsidRPr="007F620E" w:rsidR="00AD34EA" w:rsidP="00AD34EA" w:rsidRDefault="000770C3" w14:paraId="717594B9" w14:textId="31AB7B7D">
            <w:pPr>
              <w:spacing w:before="60" w:after="60"/>
              <w:jc w:val="right"/>
              <w:rPr>
                <w:color w:val="000000"/>
              </w:rPr>
            </w:pPr>
            <w:r w:rsidRPr="000770C3">
              <w:rPr>
                <w:color w:val="000000"/>
              </w:rPr>
              <w:t>$21,293.10</w:t>
            </w:r>
          </w:p>
        </w:tc>
      </w:tr>
      <w:tr w:rsidRPr="007F620E" w:rsidR="00E3786F" w:rsidTr="03A7085E" w14:paraId="1B237C11" w14:textId="77777777">
        <w:trPr>
          <w:jc w:val="center"/>
        </w:trPr>
        <w:tc>
          <w:tcPr>
            <w:tcW w:w="7178" w:type="dxa"/>
            <w:gridSpan w:val="9"/>
            <w:tcBorders>
              <w:bottom w:val="single" w:color="auto" w:sz="4" w:space="0"/>
              <w:right w:val="single" w:color="auto" w:sz="24" w:space="0"/>
            </w:tcBorders>
            <w:vAlign w:val="bottom"/>
          </w:tcPr>
          <w:p w:rsidRPr="00374FD1" w:rsidR="00E3786F" w:rsidP="00691528" w:rsidRDefault="00E3786F" w14:paraId="2ECB6744" w14:textId="4D069CBA">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AD34EA">
              <w:rPr>
                <w:b/>
                <w:i/>
                <w:color w:val="000000"/>
              </w:rPr>
              <w:t>120,926.35</w:t>
            </w:r>
          </w:p>
        </w:tc>
        <w:tc>
          <w:tcPr>
            <w:tcW w:w="3982" w:type="dxa"/>
            <w:gridSpan w:val="3"/>
            <w:tcBorders>
              <w:left w:val="single" w:color="auto" w:sz="24" w:space="0"/>
              <w:bottom w:val="single" w:color="auto" w:sz="4" w:space="0"/>
            </w:tcBorders>
            <w:vAlign w:val="bottom"/>
          </w:tcPr>
          <w:p w:rsidRPr="007F620E" w:rsidR="00E3786F" w:rsidP="003B6A1B" w:rsidRDefault="00E3786F" w14:paraId="4C4556E5" w14:textId="3C19D28E">
            <w:pPr>
              <w:tabs>
                <w:tab w:val="left" w:pos="957"/>
              </w:tabs>
              <w:spacing w:before="60" w:after="60"/>
              <w:ind w:right="162"/>
              <w:jc w:val="right"/>
              <w:rPr>
                <w:color w:val="000000"/>
              </w:rPr>
            </w:pPr>
            <w:r w:rsidRPr="007F620E">
              <w:rPr>
                <w:b/>
                <w:i/>
                <w:color w:val="000000"/>
              </w:rPr>
              <w:t xml:space="preserve">Subtotal: </w:t>
            </w:r>
            <w:r w:rsidRPr="000770C3" w:rsidR="000770C3">
              <w:rPr>
                <w:b/>
                <w:color w:val="000000"/>
              </w:rPr>
              <w:t>$103,511.85</w:t>
            </w:r>
          </w:p>
        </w:tc>
      </w:tr>
      <w:tr w:rsidRPr="007F620E" w:rsidR="00A92D0B" w:rsidTr="03A7085E" w14:paraId="4F8FAF05"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A92D0B" w:rsidP="004A6FD4" w:rsidRDefault="00A92D0B" w14:paraId="41FE304C" w14:textId="11C0D852">
            <w:pPr>
              <w:keepNext/>
              <w:spacing w:before="60" w:after="60"/>
              <w:jc w:val="center"/>
              <w:rPr>
                <w:color w:val="000000"/>
              </w:rPr>
            </w:pPr>
            <w:r w:rsidRPr="007F620E">
              <w:rPr>
                <w:b/>
                <w:color w:val="000000"/>
              </w:rPr>
              <w:t xml:space="preserve">INTERVENOR COMPENSATION CLAIM </w:t>
            </w:r>
            <w:r w:rsidRPr="007F620E" w:rsidR="00752D7D">
              <w:rPr>
                <w:b/>
                <w:color w:val="000000"/>
              </w:rPr>
              <w:t xml:space="preserve">PREPARATION </w:t>
            </w:r>
            <w:r w:rsidRPr="007F620E" w:rsidR="00752D7D">
              <w:rPr>
                <w:b/>
                <w:smallCaps/>
                <w:color w:val="000000"/>
              </w:rPr>
              <w:t>*</w:t>
            </w:r>
            <w:r w:rsidRPr="007F620E">
              <w:rPr>
                <w:b/>
                <w:smallCaps/>
                <w:color w:val="000000"/>
              </w:rPr>
              <w:t>*</w:t>
            </w:r>
          </w:p>
        </w:tc>
      </w:tr>
      <w:tr w:rsidRPr="00260518" w:rsidR="00A92D0B" w:rsidTr="03A7085E" w14:paraId="48B3E535" w14:textId="77777777">
        <w:trPr>
          <w:jc w:val="center"/>
        </w:trPr>
        <w:tc>
          <w:tcPr>
            <w:tcW w:w="1489" w:type="dxa"/>
            <w:tcBorders>
              <w:top w:val="single" w:color="auto" w:sz="4" w:space="0"/>
              <w:bottom w:val="single" w:color="auto" w:sz="4" w:space="0"/>
            </w:tcBorders>
            <w:vAlign w:val="bottom"/>
          </w:tcPr>
          <w:p w:rsidRPr="00260518" w:rsidR="00A92D0B" w:rsidP="004A6FD4" w:rsidRDefault="00A92D0B" w14:paraId="563A43BB" w14:textId="77777777">
            <w:pPr>
              <w:keepNext/>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A92D0B" w:rsidP="004A6FD4" w:rsidRDefault="00A92D0B" w14:paraId="144552E0" w14:textId="77777777">
            <w:pPr>
              <w:keepNext/>
              <w:spacing w:before="60" w:after="60"/>
              <w:jc w:val="center"/>
              <w:rPr>
                <w:b/>
                <w:color w:val="000000"/>
                <w:sz w:val="22"/>
                <w:szCs w:val="22"/>
              </w:rPr>
            </w:pPr>
            <w:r w:rsidRPr="00260518">
              <w:rPr>
                <w:b/>
                <w:color w:val="000000"/>
                <w:sz w:val="22"/>
                <w:szCs w:val="22"/>
              </w:rPr>
              <w:t>Year</w:t>
            </w:r>
          </w:p>
        </w:tc>
        <w:tc>
          <w:tcPr>
            <w:tcW w:w="884" w:type="dxa"/>
            <w:gridSpan w:val="2"/>
            <w:tcBorders>
              <w:top w:val="single" w:color="auto" w:sz="4" w:space="0"/>
              <w:bottom w:val="single" w:color="auto" w:sz="4" w:space="0"/>
            </w:tcBorders>
            <w:vAlign w:val="bottom"/>
          </w:tcPr>
          <w:p w:rsidRPr="00260518" w:rsidR="00A92D0B" w:rsidP="004A6FD4" w:rsidRDefault="00A92D0B" w14:paraId="42890B1B" w14:textId="77777777">
            <w:pPr>
              <w:keepNext/>
              <w:spacing w:before="60" w:after="60"/>
              <w:jc w:val="center"/>
              <w:rPr>
                <w:b/>
                <w:color w:val="000000"/>
                <w:sz w:val="22"/>
                <w:szCs w:val="22"/>
              </w:rPr>
            </w:pPr>
            <w:r w:rsidRPr="00260518">
              <w:rPr>
                <w:b/>
                <w:color w:val="000000"/>
                <w:sz w:val="22"/>
                <w:szCs w:val="22"/>
              </w:rPr>
              <w:t>Hours</w:t>
            </w:r>
          </w:p>
        </w:tc>
        <w:tc>
          <w:tcPr>
            <w:tcW w:w="930" w:type="dxa"/>
            <w:tcBorders>
              <w:top w:val="single" w:color="auto" w:sz="4" w:space="0"/>
              <w:bottom w:val="single" w:color="auto" w:sz="4" w:space="0"/>
            </w:tcBorders>
            <w:vAlign w:val="bottom"/>
          </w:tcPr>
          <w:p w:rsidRPr="00260518" w:rsidR="00A92D0B" w:rsidP="004A6FD4" w:rsidRDefault="00A92D0B" w14:paraId="1E7BD956" w14:textId="243077B9">
            <w:pPr>
              <w:keepNext/>
              <w:spacing w:before="60" w:after="60"/>
              <w:jc w:val="center"/>
              <w:rPr>
                <w:b/>
                <w:color w:val="000000"/>
                <w:sz w:val="22"/>
                <w:szCs w:val="22"/>
              </w:rPr>
            </w:pPr>
            <w:r w:rsidRPr="00260518">
              <w:rPr>
                <w:b/>
                <w:color w:val="000000"/>
                <w:sz w:val="22"/>
                <w:szCs w:val="22"/>
              </w:rPr>
              <w:t>Rate</w:t>
            </w:r>
            <w:r w:rsidRPr="00260518" w:rsidR="00380703">
              <w:rPr>
                <w:b/>
                <w:color w:val="000000"/>
                <w:sz w:val="22"/>
                <w:szCs w:val="22"/>
              </w:rPr>
              <w:t xml:space="preserve"> $</w:t>
            </w:r>
          </w:p>
        </w:tc>
        <w:tc>
          <w:tcPr>
            <w:tcW w:w="1721" w:type="dxa"/>
            <w:gridSpan w:val="2"/>
            <w:tcBorders>
              <w:top w:val="single" w:color="auto" w:sz="4" w:space="0"/>
              <w:bottom w:val="single" w:color="auto" w:sz="4" w:space="0"/>
              <w:right w:val="single" w:color="auto" w:sz="4" w:space="0"/>
            </w:tcBorders>
            <w:vAlign w:val="bottom"/>
          </w:tcPr>
          <w:p w:rsidRPr="00260518" w:rsidR="00A92D0B" w:rsidP="004A6FD4" w:rsidRDefault="00A92D0B" w14:paraId="104D7982" w14:textId="77777777">
            <w:pPr>
              <w:keepNext/>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60518" w:rsidR="00A92D0B" w:rsidP="004A6FD4" w:rsidRDefault="00A92D0B" w14:paraId="073B2BB9" w14:textId="77777777">
            <w:pPr>
              <w:keepNext/>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A92D0B" w:rsidP="004A6FD4" w:rsidRDefault="00A92D0B" w14:paraId="0409143B" w14:textId="77777777">
            <w:pPr>
              <w:keepNext/>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A92D0B" w:rsidP="004A6FD4" w:rsidRDefault="00A92D0B" w14:paraId="6B59BB80" w14:textId="2C791D8E">
            <w:pPr>
              <w:keepNext/>
              <w:spacing w:before="60" w:after="60"/>
              <w:jc w:val="center"/>
              <w:rPr>
                <w:b/>
                <w:color w:val="000000"/>
                <w:sz w:val="22"/>
                <w:szCs w:val="22"/>
              </w:rPr>
            </w:pPr>
            <w:r w:rsidRPr="00260518">
              <w:rPr>
                <w:b/>
                <w:color w:val="000000"/>
                <w:sz w:val="22"/>
                <w:szCs w:val="22"/>
              </w:rPr>
              <w:t xml:space="preserve">Rate </w:t>
            </w:r>
            <w:r w:rsidR="00B17005">
              <w:rPr>
                <w:b/>
                <w:color w:val="000000"/>
                <w:sz w:val="22"/>
                <w:szCs w:val="22"/>
              </w:rPr>
              <w:t>$</w:t>
            </w:r>
          </w:p>
        </w:tc>
        <w:tc>
          <w:tcPr>
            <w:tcW w:w="1881" w:type="dxa"/>
            <w:tcBorders>
              <w:top w:val="single" w:color="auto" w:sz="4" w:space="0"/>
            </w:tcBorders>
            <w:vAlign w:val="bottom"/>
          </w:tcPr>
          <w:p w:rsidRPr="00260518" w:rsidR="00A92D0B" w:rsidP="004A6FD4" w:rsidRDefault="00A92D0B" w14:paraId="6C7B13CF" w14:textId="77777777">
            <w:pPr>
              <w:keepNext/>
              <w:spacing w:before="60" w:after="60"/>
              <w:jc w:val="center"/>
              <w:rPr>
                <w:b/>
                <w:color w:val="000000"/>
                <w:sz w:val="22"/>
                <w:szCs w:val="22"/>
              </w:rPr>
            </w:pPr>
            <w:r w:rsidRPr="00260518">
              <w:rPr>
                <w:b/>
                <w:color w:val="000000"/>
                <w:sz w:val="22"/>
                <w:szCs w:val="22"/>
              </w:rPr>
              <w:t>Total $</w:t>
            </w:r>
          </w:p>
        </w:tc>
      </w:tr>
      <w:tr w:rsidRPr="007F620E" w:rsidR="00A92D0B" w:rsidTr="00E94AEC" w14:paraId="7AB9EF54" w14:textId="77777777">
        <w:trPr>
          <w:jc w:val="center"/>
        </w:trPr>
        <w:tc>
          <w:tcPr>
            <w:tcW w:w="1489" w:type="dxa"/>
          </w:tcPr>
          <w:p w:rsidRPr="007F620E" w:rsidR="00A92D0B" w:rsidP="003B6A1B" w:rsidRDefault="005F63E8" w14:paraId="4F803C09" w14:textId="2A243C7F">
            <w:pPr>
              <w:spacing w:before="60" w:after="60"/>
              <w:rPr>
                <w:color w:val="000000"/>
              </w:rPr>
            </w:pPr>
            <w:r>
              <w:rPr>
                <w:color w:val="000000"/>
              </w:rPr>
              <w:t>Edward Lopez</w:t>
            </w:r>
          </w:p>
        </w:tc>
        <w:tc>
          <w:tcPr>
            <w:tcW w:w="821" w:type="dxa"/>
          </w:tcPr>
          <w:p w:rsidRPr="007F620E" w:rsidR="00A92D0B" w:rsidP="00AF61A9" w:rsidRDefault="005F63E8" w14:paraId="058BFE37" w14:textId="50C06CA5">
            <w:pPr>
              <w:spacing w:before="60" w:after="60"/>
              <w:jc w:val="center"/>
              <w:rPr>
                <w:color w:val="000000"/>
              </w:rPr>
            </w:pPr>
            <w:r>
              <w:rPr>
                <w:color w:val="000000"/>
              </w:rPr>
              <w:t>202</w:t>
            </w:r>
            <w:r w:rsidR="00346B57">
              <w:rPr>
                <w:color w:val="000000"/>
              </w:rPr>
              <w:t>4</w:t>
            </w:r>
          </w:p>
        </w:tc>
        <w:tc>
          <w:tcPr>
            <w:tcW w:w="884" w:type="dxa"/>
            <w:gridSpan w:val="2"/>
          </w:tcPr>
          <w:p w:rsidRPr="007F620E" w:rsidR="00A92D0B" w:rsidP="00AF61A9" w:rsidRDefault="00AD34EA" w14:paraId="66A42865" w14:textId="2C66FDCE">
            <w:pPr>
              <w:spacing w:before="60" w:after="60"/>
              <w:jc w:val="center"/>
              <w:rPr>
                <w:color w:val="000000"/>
              </w:rPr>
            </w:pPr>
            <w:r>
              <w:rPr>
                <w:color w:val="000000"/>
              </w:rPr>
              <w:t>5.25</w:t>
            </w:r>
          </w:p>
        </w:tc>
        <w:tc>
          <w:tcPr>
            <w:tcW w:w="930" w:type="dxa"/>
          </w:tcPr>
          <w:p w:rsidRPr="007F620E" w:rsidR="00A92D0B" w:rsidP="003B6A1B" w:rsidRDefault="00FE7C82" w14:paraId="42AE8F2C" w14:textId="5FE46808">
            <w:pPr>
              <w:spacing w:before="60" w:after="60"/>
              <w:rPr>
                <w:color w:val="000000"/>
              </w:rPr>
            </w:pPr>
            <w:r>
              <w:rPr>
                <w:color w:val="000000"/>
              </w:rPr>
              <w:t>$247.50</w:t>
            </w:r>
          </w:p>
        </w:tc>
        <w:tc>
          <w:tcPr>
            <w:tcW w:w="1721" w:type="dxa"/>
            <w:gridSpan w:val="2"/>
            <w:tcBorders>
              <w:right w:val="single" w:color="auto" w:sz="4" w:space="0"/>
            </w:tcBorders>
          </w:tcPr>
          <w:p w:rsidRPr="007F620E" w:rsidR="005F63E8" w:rsidP="003B6A1B" w:rsidRDefault="005F63E8" w14:paraId="3DB754B7" w14:textId="423C5403">
            <w:pPr>
              <w:spacing w:before="60" w:after="60"/>
              <w:rPr>
                <w:color w:val="000000"/>
              </w:rPr>
            </w:pPr>
            <w:r>
              <w:rPr>
                <w:color w:val="000000"/>
              </w:rPr>
              <w:t xml:space="preserve">½ approved rate </w:t>
            </w:r>
            <w:r w:rsidR="00346B57">
              <w:rPr>
                <w:color w:val="000000"/>
              </w:rPr>
              <w:t>2024</w:t>
            </w:r>
            <w:r w:rsidR="00B7703C">
              <w:rPr>
                <w:color w:val="000000"/>
              </w:rPr>
              <w:t xml:space="preserve"> (See Comment 1)</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A92D0B" w:rsidP="00AE6488" w:rsidRDefault="00AD34EA" w14:paraId="3D39C021" w14:textId="05494FDA">
            <w:pPr>
              <w:spacing w:before="60" w:after="60"/>
              <w:jc w:val="right"/>
              <w:rPr>
                <w:color w:val="000000"/>
              </w:rPr>
            </w:pPr>
            <w:r>
              <w:rPr>
                <w:color w:val="000000"/>
              </w:rPr>
              <w:t>$1,299.38</w:t>
            </w:r>
          </w:p>
        </w:tc>
        <w:tc>
          <w:tcPr>
            <w:tcW w:w="955" w:type="dxa"/>
            <w:tcBorders>
              <w:left w:val="single" w:color="auto" w:sz="4" w:space="0"/>
              <w:right w:val="single" w:color="auto" w:sz="4" w:space="0"/>
            </w:tcBorders>
          </w:tcPr>
          <w:p w:rsidRPr="007F620E" w:rsidR="00A92D0B" w:rsidP="00E94AEC" w:rsidRDefault="00E82D91" w14:paraId="6B8C8F0C" w14:textId="5B99500A">
            <w:pPr>
              <w:spacing w:before="60" w:after="60"/>
              <w:jc w:val="center"/>
              <w:rPr>
                <w:color w:val="000000"/>
              </w:rPr>
            </w:pPr>
            <w:r>
              <w:rPr>
                <w:color w:val="000000"/>
              </w:rPr>
              <w:t>5.25</w:t>
            </w:r>
          </w:p>
        </w:tc>
        <w:tc>
          <w:tcPr>
            <w:tcW w:w="1146" w:type="dxa"/>
            <w:tcBorders>
              <w:left w:val="single" w:color="auto" w:sz="4" w:space="0"/>
            </w:tcBorders>
          </w:tcPr>
          <w:p w:rsidRPr="007F620E" w:rsidR="00A92D0B" w:rsidP="00E94AEC" w:rsidRDefault="00A05307" w14:paraId="0A58B021" w14:textId="377D92BB">
            <w:pPr>
              <w:spacing w:before="60" w:after="60"/>
              <w:jc w:val="center"/>
              <w:rPr>
                <w:color w:val="000000"/>
              </w:rPr>
            </w:pPr>
            <w:r>
              <w:rPr>
                <w:color w:val="000000"/>
              </w:rPr>
              <w:t>$237.50</w:t>
            </w:r>
            <w:r w:rsidR="00CA7B44">
              <w:rPr>
                <w:color w:val="000000"/>
              </w:rPr>
              <w:t xml:space="preserve"> [</w:t>
            </w:r>
            <w:r w:rsidR="00496D90">
              <w:rPr>
                <w:color w:val="000000"/>
              </w:rPr>
              <w:t>2</w:t>
            </w:r>
            <w:r w:rsidR="00CA7B44">
              <w:rPr>
                <w:color w:val="000000"/>
              </w:rPr>
              <w:t>]</w:t>
            </w:r>
          </w:p>
        </w:tc>
        <w:tc>
          <w:tcPr>
            <w:tcW w:w="1881" w:type="dxa"/>
          </w:tcPr>
          <w:p w:rsidRPr="007F620E" w:rsidR="00A92D0B" w:rsidP="00E94AEC" w:rsidRDefault="00F87AB2" w14:paraId="0769A3B4" w14:textId="468AE01D">
            <w:pPr>
              <w:spacing w:before="60" w:after="60"/>
              <w:jc w:val="center"/>
              <w:rPr>
                <w:color w:val="000000"/>
              </w:rPr>
            </w:pPr>
            <w:r w:rsidRPr="00F87AB2">
              <w:rPr>
                <w:color w:val="000000"/>
              </w:rPr>
              <w:t>$1,246.88</w:t>
            </w:r>
          </w:p>
        </w:tc>
      </w:tr>
      <w:tr w:rsidRPr="007F620E" w:rsidR="005F63E8" w:rsidTr="00E94AEC" w14:paraId="619909C0" w14:textId="77777777">
        <w:trPr>
          <w:jc w:val="center"/>
        </w:trPr>
        <w:tc>
          <w:tcPr>
            <w:tcW w:w="1489" w:type="dxa"/>
          </w:tcPr>
          <w:p w:rsidR="005F63E8" w:rsidP="005F63E8" w:rsidRDefault="005F63E8" w14:paraId="2D68CC82" w14:textId="26E4A022">
            <w:pPr>
              <w:spacing w:before="60" w:after="60"/>
              <w:rPr>
                <w:color w:val="000000"/>
              </w:rPr>
            </w:pPr>
            <w:r>
              <w:rPr>
                <w:color w:val="000000"/>
              </w:rPr>
              <w:t>Courtney Cook-Sloan</w:t>
            </w:r>
          </w:p>
        </w:tc>
        <w:tc>
          <w:tcPr>
            <w:tcW w:w="821" w:type="dxa"/>
          </w:tcPr>
          <w:p w:rsidR="005F63E8" w:rsidP="005F63E8" w:rsidRDefault="005F63E8" w14:paraId="287A65AE" w14:textId="14F88E67">
            <w:pPr>
              <w:spacing w:before="60" w:after="60"/>
              <w:jc w:val="center"/>
              <w:rPr>
                <w:color w:val="000000"/>
              </w:rPr>
            </w:pPr>
            <w:r>
              <w:rPr>
                <w:color w:val="000000"/>
              </w:rPr>
              <w:t>202</w:t>
            </w:r>
            <w:r w:rsidR="00346B57">
              <w:rPr>
                <w:color w:val="000000"/>
              </w:rPr>
              <w:t>4</w:t>
            </w:r>
          </w:p>
        </w:tc>
        <w:tc>
          <w:tcPr>
            <w:tcW w:w="884" w:type="dxa"/>
            <w:gridSpan w:val="2"/>
          </w:tcPr>
          <w:p w:rsidR="005F63E8" w:rsidP="005F63E8" w:rsidRDefault="00AD34EA" w14:paraId="7A9B7E80" w14:textId="10309A9C">
            <w:pPr>
              <w:spacing w:before="60" w:after="60"/>
              <w:jc w:val="center"/>
              <w:rPr>
                <w:color w:val="000000"/>
              </w:rPr>
            </w:pPr>
            <w:r>
              <w:rPr>
                <w:color w:val="000000"/>
              </w:rPr>
              <w:t>1</w:t>
            </w:r>
          </w:p>
        </w:tc>
        <w:tc>
          <w:tcPr>
            <w:tcW w:w="930" w:type="dxa"/>
          </w:tcPr>
          <w:p w:rsidR="005F63E8" w:rsidP="005F63E8" w:rsidRDefault="00FE7C82" w14:paraId="3A5100D7" w14:textId="557137E3">
            <w:pPr>
              <w:spacing w:before="60" w:after="60"/>
              <w:rPr>
                <w:color w:val="000000"/>
              </w:rPr>
            </w:pPr>
            <w:r>
              <w:rPr>
                <w:color w:val="000000"/>
              </w:rPr>
              <w:t>$107.50</w:t>
            </w:r>
          </w:p>
        </w:tc>
        <w:tc>
          <w:tcPr>
            <w:tcW w:w="1721" w:type="dxa"/>
            <w:gridSpan w:val="2"/>
            <w:tcBorders>
              <w:right w:val="single" w:color="auto" w:sz="4" w:space="0"/>
            </w:tcBorders>
          </w:tcPr>
          <w:p w:rsidR="005F63E8" w:rsidP="005F63E8" w:rsidRDefault="005F63E8" w14:paraId="509A1A30" w14:textId="06EDCD44">
            <w:pPr>
              <w:spacing w:before="60" w:after="60"/>
              <w:rPr>
                <w:color w:val="000000"/>
              </w:rPr>
            </w:pPr>
            <w:r>
              <w:rPr>
                <w:color w:val="000000"/>
              </w:rPr>
              <w:t>½ approved rate</w:t>
            </w:r>
            <w:r w:rsidR="00346B57">
              <w:rPr>
                <w:color w:val="000000"/>
              </w:rPr>
              <w:t xml:space="preserve"> 2024</w:t>
            </w:r>
            <w:r w:rsidR="00B7703C">
              <w:rPr>
                <w:color w:val="000000"/>
              </w:rPr>
              <w:t xml:space="preserve"> (See Comment 2)</w:t>
            </w:r>
          </w:p>
        </w:tc>
        <w:tc>
          <w:tcPr>
            <w:tcW w:w="1333" w:type="dxa"/>
            <w:gridSpan w:val="2"/>
            <w:tcBorders>
              <w:top w:val="single" w:color="auto" w:sz="4" w:space="0"/>
              <w:left w:val="single" w:color="auto" w:sz="4" w:space="0"/>
              <w:bottom w:val="single" w:color="auto" w:sz="4" w:space="0"/>
              <w:right w:val="single" w:color="auto" w:sz="24" w:space="0"/>
            </w:tcBorders>
          </w:tcPr>
          <w:p w:rsidR="005F63E8" w:rsidP="005F63E8" w:rsidRDefault="00FE7C82" w14:paraId="291B3775" w14:textId="3222D61A">
            <w:pPr>
              <w:spacing w:before="60" w:after="60"/>
              <w:jc w:val="right"/>
              <w:rPr>
                <w:color w:val="000000"/>
              </w:rPr>
            </w:pPr>
            <w:r>
              <w:rPr>
                <w:color w:val="000000"/>
              </w:rPr>
              <w:t>$</w:t>
            </w:r>
            <w:r w:rsidR="00AD34EA">
              <w:rPr>
                <w:color w:val="000000"/>
              </w:rPr>
              <w:t>107.50</w:t>
            </w:r>
          </w:p>
          <w:p w:rsidRPr="007F620E" w:rsidR="002B23D8" w:rsidP="005F63E8" w:rsidRDefault="002B23D8" w14:paraId="42EB745C" w14:textId="59661CD8">
            <w:pPr>
              <w:spacing w:before="60" w:after="60"/>
              <w:jc w:val="right"/>
              <w:rPr>
                <w:color w:val="000000"/>
              </w:rPr>
            </w:pPr>
          </w:p>
        </w:tc>
        <w:tc>
          <w:tcPr>
            <w:tcW w:w="955" w:type="dxa"/>
            <w:tcBorders>
              <w:left w:val="single" w:color="auto" w:sz="4" w:space="0"/>
              <w:right w:val="single" w:color="auto" w:sz="4" w:space="0"/>
            </w:tcBorders>
          </w:tcPr>
          <w:p w:rsidRPr="007F620E" w:rsidR="005F63E8" w:rsidP="00E94AEC" w:rsidRDefault="00E82D91" w14:paraId="5DDBCDDA" w14:textId="23A06C05">
            <w:pPr>
              <w:spacing w:before="60" w:after="60"/>
              <w:jc w:val="center"/>
              <w:rPr>
                <w:color w:val="000000"/>
              </w:rPr>
            </w:pPr>
            <w:r>
              <w:rPr>
                <w:color w:val="000000"/>
              </w:rPr>
              <w:t>1</w:t>
            </w:r>
          </w:p>
        </w:tc>
        <w:tc>
          <w:tcPr>
            <w:tcW w:w="1146" w:type="dxa"/>
            <w:tcBorders>
              <w:left w:val="single" w:color="auto" w:sz="4" w:space="0"/>
            </w:tcBorders>
          </w:tcPr>
          <w:p w:rsidRPr="007F620E" w:rsidR="005F63E8" w:rsidP="00E94AEC" w:rsidRDefault="00C564A6" w14:paraId="54751BA1" w14:textId="6841B147">
            <w:pPr>
              <w:spacing w:before="60" w:after="60"/>
              <w:jc w:val="center"/>
              <w:rPr>
                <w:color w:val="000000"/>
              </w:rPr>
            </w:pPr>
            <w:r>
              <w:rPr>
                <w:color w:val="000000"/>
              </w:rPr>
              <w:t>$</w:t>
            </w:r>
            <w:r w:rsidR="001D1639">
              <w:rPr>
                <w:color w:val="000000"/>
              </w:rPr>
              <w:t>10</w:t>
            </w:r>
            <w:r w:rsidR="00CE675A">
              <w:rPr>
                <w:color w:val="000000"/>
              </w:rPr>
              <w:t>7.50</w:t>
            </w:r>
            <w:r w:rsidR="00CA7B44">
              <w:rPr>
                <w:color w:val="000000"/>
              </w:rPr>
              <w:t xml:space="preserve"> [</w:t>
            </w:r>
            <w:r w:rsidR="00496D90">
              <w:rPr>
                <w:color w:val="000000"/>
              </w:rPr>
              <w:t>5</w:t>
            </w:r>
            <w:r w:rsidR="00CA7B44">
              <w:rPr>
                <w:color w:val="000000"/>
              </w:rPr>
              <w:t>]</w:t>
            </w:r>
          </w:p>
        </w:tc>
        <w:tc>
          <w:tcPr>
            <w:tcW w:w="1881" w:type="dxa"/>
          </w:tcPr>
          <w:p w:rsidRPr="007F620E" w:rsidR="005F63E8" w:rsidP="00E94AEC" w:rsidRDefault="00F87AB2" w14:paraId="2BB1DDDC" w14:textId="68B47346">
            <w:pPr>
              <w:spacing w:before="60" w:after="60"/>
              <w:jc w:val="center"/>
              <w:rPr>
                <w:color w:val="000000"/>
              </w:rPr>
            </w:pPr>
            <w:r w:rsidRPr="00F87AB2">
              <w:rPr>
                <w:color w:val="000000"/>
              </w:rPr>
              <w:t>$107.50</w:t>
            </w:r>
          </w:p>
        </w:tc>
      </w:tr>
      <w:tr w:rsidRPr="007F620E" w:rsidR="005F63E8" w:rsidTr="03A7085E" w14:paraId="266CEDD5" w14:textId="77777777">
        <w:trPr>
          <w:jc w:val="center"/>
        </w:trPr>
        <w:tc>
          <w:tcPr>
            <w:tcW w:w="7178" w:type="dxa"/>
            <w:gridSpan w:val="9"/>
            <w:tcBorders>
              <w:bottom w:val="single" w:color="auto" w:sz="4" w:space="0"/>
              <w:right w:val="single" w:color="auto" w:sz="24" w:space="0"/>
            </w:tcBorders>
            <w:vAlign w:val="bottom"/>
          </w:tcPr>
          <w:p w:rsidRPr="00374FD1" w:rsidR="005F63E8" w:rsidP="005F63E8" w:rsidRDefault="005F63E8" w14:paraId="4A1F5988" w14:textId="791F3345">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AD34EA">
              <w:rPr>
                <w:b/>
                <w:i/>
                <w:color w:val="000000"/>
              </w:rPr>
              <w:t>1,406.88</w:t>
            </w:r>
          </w:p>
        </w:tc>
        <w:tc>
          <w:tcPr>
            <w:tcW w:w="3982" w:type="dxa"/>
            <w:gridSpan w:val="3"/>
            <w:tcBorders>
              <w:left w:val="single" w:color="auto" w:sz="24" w:space="0"/>
              <w:bottom w:val="single" w:color="auto" w:sz="4" w:space="0"/>
            </w:tcBorders>
            <w:vAlign w:val="bottom"/>
          </w:tcPr>
          <w:p w:rsidRPr="00374FD1" w:rsidR="005F63E8" w:rsidP="005F63E8" w:rsidRDefault="005F63E8" w14:paraId="2FBAA587" w14:textId="14807BFD">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306761">
              <w:rPr>
                <w:b/>
                <w:i/>
                <w:color w:val="000000"/>
              </w:rPr>
              <w:t>1,354.38</w:t>
            </w:r>
          </w:p>
        </w:tc>
      </w:tr>
      <w:tr w:rsidRPr="007F620E" w:rsidR="005F63E8" w:rsidTr="03A7085E" w14:paraId="06E7371A" w14:textId="77777777">
        <w:trPr>
          <w:jc w:val="center"/>
        </w:trPr>
        <w:tc>
          <w:tcPr>
            <w:tcW w:w="7178" w:type="dxa"/>
            <w:gridSpan w:val="9"/>
            <w:tcBorders>
              <w:top w:val="single" w:color="auto" w:sz="4" w:space="0"/>
              <w:bottom w:val="single" w:color="auto" w:sz="4" w:space="0"/>
              <w:right w:val="single" w:color="auto" w:sz="24" w:space="0"/>
            </w:tcBorders>
            <w:shd w:val="clear" w:color="auto" w:fill="E6E6E6"/>
            <w:vAlign w:val="bottom"/>
          </w:tcPr>
          <w:p w:rsidRPr="00FE3BAE" w:rsidR="005F63E8" w:rsidP="005F63E8" w:rsidRDefault="005F63E8" w14:paraId="11B3B704" w14:textId="5DEBCDB2">
            <w:pPr>
              <w:tabs>
                <w:tab w:val="left" w:pos="957"/>
              </w:tabs>
              <w:spacing w:before="60" w:after="60"/>
              <w:ind w:right="72"/>
              <w:jc w:val="right"/>
              <w:rPr>
                <w:b/>
                <w:color w:val="000000"/>
              </w:rPr>
            </w:pPr>
            <w:r w:rsidRPr="00374FD1">
              <w:rPr>
                <w:b/>
                <w:i/>
                <w:color w:val="000000"/>
              </w:rPr>
              <w:t>TOTAL REQUEST: $</w:t>
            </w:r>
            <w:r w:rsidR="00AD34EA">
              <w:rPr>
                <w:b/>
                <w:i/>
                <w:color w:val="000000"/>
              </w:rPr>
              <w:t>122,333.23</w:t>
            </w:r>
          </w:p>
        </w:tc>
        <w:tc>
          <w:tcPr>
            <w:tcW w:w="3982" w:type="dxa"/>
            <w:gridSpan w:val="3"/>
            <w:tcBorders>
              <w:left w:val="single" w:color="auto" w:sz="24" w:space="0"/>
            </w:tcBorders>
            <w:shd w:val="clear" w:color="auto" w:fill="E6E6E6"/>
            <w:vAlign w:val="bottom"/>
          </w:tcPr>
          <w:p w:rsidRPr="00FE3BAE" w:rsidR="005F63E8" w:rsidP="005F63E8" w:rsidRDefault="005F63E8" w14:paraId="3680D139" w14:textId="45AF632F">
            <w:pPr>
              <w:tabs>
                <w:tab w:val="left" w:pos="957"/>
              </w:tabs>
              <w:spacing w:before="60" w:after="60"/>
              <w:ind w:right="72"/>
              <w:jc w:val="right"/>
              <w:rPr>
                <w:b/>
                <w:color w:val="000000"/>
              </w:rPr>
            </w:pPr>
            <w:r w:rsidRPr="00374FD1">
              <w:rPr>
                <w:b/>
                <w:i/>
                <w:color w:val="000000"/>
              </w:rPr>
              <w:t>TOTAL AWARD: $</w:t>
            </w:r>
            <w:r w:rsidR="00955BE1">
              <w:rPr>
                <w:b/>
                <w:i/>
                <w:color w:val="000000"/>
              </w:rPr>
              <w:t xml:space="preserve">104,866.23 </w:t>
            </w:r>
          </w:p>
        </w:tc>
      </w:tr>
      <w:tr w:rsidRPr="007F620E" w:rsidR="005F63E8" w:rsidTr="03A7085E" w14:paraId="6A909BC1" w14:textId="77777777">
        <w:trPr>
          <w:jc w:val="center"/>
        </w:trPr>
        <w:tc>
          <w:tcPr>
            <w:tcW w:w="11160" w:type="dxa"/>
            <w:gridSpan w:val="12"/>
            <w:tcBorders>
              <w:top w:val="single" w:color="auto" w:sz="4" w:space="0"/>
              <w:bottom w:val="single" w:color="auto" w:sz="4" w:space="0"/>
            </w:tcBorders>
          </w:tcPr>
          <w:p w:rsidRPr="007F620E" w:rsidR="005F63E8" w:rsidP="005F63E8" w:rsidRDefault="005F63E8" w14:paraId="6F39872E" w14:textId="77777777">
            <w:pPr>
              <w:spacing w:before="60" w:after="60"/>
              <w:rPr>
                <w:color w:val="000000"/>
              </w:rPr>
            </w:pPr>
            <w:r w:rsidRPr="007F620E">
              <w:rPr>
                <w:color w:val="000000"/>
              </w:rPr>
              <w:t xml:space="preserve">  *We remind all intervenors that Commission staff may audit </w:t>
            </w:r>
            <w:r>
              <w:t>the records and books of the intervenors to the extent necessary to verify the basis for the award (§1804(d)).  I</w:t>
            </w:r>
            <w:r w:rsidRPr="007F620E">
              <w:rPr>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7F620E" w:rsidR="005F63E8" w:rsidP="005F63E8" w:rsidRDefault="005F63E8" w14:paraId="0D03EC65" w14:textId="77777777">
            <w:pPr>
              <w:spacing w:before="60" w:after="60"/>
              <w:rPr>
                <w:color w:val="000000"/>
              </w:rPr>
            </w:pPr>
            <w:r w:rsidRPr="007F620E">
              <w:rPr>
                <w:color w:val="000000"/>
              </w:rPr>
              <w:t xml:space="preserve">**Travel and Reasonable Claim preparation time </w:t>
            </w:r>
            <w:r>
              <w:rPr>
                <w:color w:val="000000"/>
              </w:rPr>
              <w:t xml:space="preserve">are </w:t>
            </w:r>
            <w:r w:rsidRPr="007F620E">
              <w:rPr>
                <w:color w:val="000000"/>
              </w:rPr>
              <w:t>typically compensated at ½ of preparer’s normal hourly rate</w:t>
            </w:r>
            <w:r w:rsidRPr="007F620E" w:rsidDel="00D075B1">
              <w:rPr>
                <w:color w:val="000000"/>
              </w:rPr>
              <w:t xml:space="preserve"> </w:t>
            </w:r>
          </w:p>
        </w:tc>
      </w:tr>
      <w:tr w:rsidRPr="007F620E" w:rsidR="005F63E8" w:rsidTr="03A7085E" w14:paraId="458B01A4"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5F63E8" w:rsidP="005F63E8" w:rsidRDefault="005F63E8" w14:paraId="48B43CBD" w14:textId="77777777">
            <w:pPr>
              <w:keepNext/>
              <w:spacing w:before="60" w:after="60"/>
              <w:jc w:val="center"/>
              <w:rPr>
                <w:b/>
                <w:smallCaps/>
                <w:color w:val="000000"/>
              </w:rPr>
            </w:pPr>
            <w:r w:rsidRPr="007F620E">
              <w:rPr>
                <w:b/>
                <w:smallCaps/>
                <w:color w:val="000000"/>
              </w:rPr>
              <w:lastRenderedPageBreak/>
              <w:t>ATTORNEY INFORMATION</w:t>
            </w:r>
          </w:p>
        </w:tc>
      </w:tr>
      <w:tr w:rsidRPr="00C16981" w:rsidR="005F63E8" w:rsidTr="03A7085E" w14:paraId="790C92C0" w14:textId="77777777">
        <w:trPr>
          <w:trHeight w:val="173"/>
          <w:jc w:val="center"/>
        </w:trPr>
        <w:tc>
          <w:tcPr>
            <w:tcW w:w="2692" w:type="dxa"/>
            <w:gridSpan w:val="3"/>
            <w:tcBorders>
              <w:top w:val="single" w:color="auto" w:sz="4" w:space="0"/>
              <w:bottom w:val="single" w:color="auto" w:sz="4" w:space="0"/>
            </w:tcBorders>
            <w:shd w:val="clear" w:color="auto" w:fill="FFFFFF" w:themeFill="background1"/>
            <w:vAlign w:val="bottom"/>
          </w:tcPr>
          <w:p w:rsidRPr="00C16981" w:rsidR="005F63E8" w:rsidP="005F63E8" w:rsidRDefault="005F63E8" w14:paraId="00CAC866" w14:textId="77777777">
            <w:pPr>
              <w:keepNext/>
              <w:keepLines/>
              <w:spacing w:before="60" w:after="60"/>
              <w:jc w:val="center"/>
              <w:rPr>
                <w:b/>
                <w:color w:val="000000"/>
                <w:sz w:val="22"/>
                <w:szCs w:val="22"/>
              </w:rPr>
            </w:pPr>
            <w:r w:rsidRPr="00C16981">
              <w:rPr>
                <w:b/>
                <w:sz w:val="22"/>
                <w:szCs w:val="22"/>
              </w:rPr>
              <w:t>Attorney</w:t>
            </w:r>
          </w:p>
        </w:tc>
        <w:tc>
          <w:tcPr>
            <w:tcW w:w="1909" w:type="dxa"/>
            <w:gridSpan w:val="3"/>
            <w:tcBorders>
              <w:top w:val="single" w:color="auto" w:sz="4" w:space="0"/>
              <w:bottom w:val="single" w:color="auto" w:sz="4" w:space="0"/>
            </w:tcBorders>
            <w:shd w:val="clear" w:color="auto" w:fill="FFFFFF" w:themeFill="background1"/>
            <w:vAlign w:val="bottom"/>
          </w:tcPr>
          <w:p w:rsidRPr="00C16981" w:rsidR="005F63E8" w:rsidP="005F63E8" w:rsidRDefault="005F63E8" w14:paraId="7E76A008" w14:textId="77777777">
            <w:pPr>
              <w:keepNext/>
              <w:keepLines/>
              <w:spacing w:before="60" w:after="60"/>
              <w:jc w:val="center"/>
              <w:rPr>
                <w:b/>
                <w:color w:val="000000"/>
                <w:sz w:val="22"/>
                <w:szCs w:val="22"/>
              </w:rPr>
            </w:pPr>
            <w:r w:rsidRPr="00C16981">
              <w:rPr>
                <w:b/>
                <w:sz w:val="22"/>
                <w:szCs w:val="22"/>
              </w:rPr>
              <w:t>Date Admitted to CA BAR</w:t>
            </w:r>
            <w:r w:rsidRPr="00C16981">
              <w:rPr>
                <w:rStyle w:val="FootnoteReference"/>
                <w:b/>
                <w:sz w:val="22"/>
                <w:szCs w:val="22"/>
              </w:rPr>
              <w:footnoteReference w:id="4"/>
            </w:r>
          </w:p>
        </w:tc>
        <w:tc>
          <w:tcPr>
            <w:tcW w:w="2291" w:type="dxa"/>
            <w:gridSpan w:val="2"/>
            <w:tcBorders>
              <w:top w:val="single" w:color="auto" w:sz="4" w:space="0"/>
              <w:bottom w:val="single" w:color="auto" w:sz="4" w:space="0"/>
            </w:tcBorders>
            <w:shd w:val="clear" w:color="auto" w:fill="FFFFFF" w:themeFill="background1"/>
            <w:vAlign w:val="bottom"/>
          </w:tcPr>
          <w:p w:rsidRPr="00C16981" w:rsidR="005F63E8" w:rsidP="005F63E8" w:rsidRDefault="005F63E8" w14:paraId="27E64ED7" w14:textId="77777777">
            <w:pPr>
              <w:keepNext/>
              <w:keepLines/>
              <w:spacing w:before="60" w:after="60"/>
              <w:jc w:val="center"/>
              <w:rPr>
                <w:b/>
                <w:color w:val="000000"/>
                <w:sz w:val="22"/>
                <w:szCs w:val="22"/>
              </w:rPr>
            </w:pPr>
            <w:r w:rsidRPr="00C16981">
              <w:rPr>
                <w:b/>
                <w:sz w:val="22"/>
                <w:szCs w:val="22"/>
              </w:rPr>
              <w:t>Member Number</w:t>
            </w:r>
          </w:p>
        </w:tc>
        <w:tc>
          <w:tcPr>
            <w:tcW w:w="4268" w:type="dxa"/>
            <w:gridSpan w:val="4"/>
            <w:tcBorders>
              <w:top w:val="single" w:color="auto" w:sz="4" w:space="0"/>
              <w:bottom w:val="single" w:color="auto" w:sz="4" w:space="0"/>
            </w:tcBorders>
            <w:shd w:val="clear" w:color="auto" w:fill="FFFFFF" w:themeFill="background1"/>
            <w:vAlign w:val="bottom"/>
          </w:tcPr>
          <w:p w:rsidRPr="00C16981" w:rsidR="005F63E8" w:rsidP="005F63E8" w:rsidRDefault="005F63E8" w14:paraId="496B5DC1" w14:textId="77777777">
            <w:pPr>
              <w:keepNext/>
              <w:keepLines/>
              <w:spacing w:before="60" w:after="60"/>
              <w:jc w:val="center"/>
              <w:rPr>
                <w:b/>
                <w:sz w:val="22"/>
                <w:szCs w:val="22"/>
              </w:rPr>
            </w:pPr>
            <w:r w:rsidRPr="00C16981">
              <w:rPr>
                <w:b/>
                <w:sz w:val="22"/>
                <w:szCs w:val="22"/>
              </w:rPr>
              <w:t>Actions Affecting Eligibility (Yes/No?)</w:t>
            </w:r>
          </w:p>
          <w:p w:rsidRPr="00C16981" w:rsidR="005F63E8" w:rsidP="005F63E8" w:rsidRDefault="005F63E8" w14:paraId="36F8922D" w14:textId="77777777">
            <w:pPr>
              <w:keepNext/>
              <w:keepLines/>
              <w:spacing w:before="60" w:after="60"/>
              <w:jc w:val="center"/>
              <w:rPr>
                <w:b/>
                <w:color w:val="000000"/>
                <w:sz w:val="22"/>
                <w:szCs w:val="22"/>
              </w:rPr>
            </w:pPr>
            <w:r w:rsidRPr="00C16981">
              <w:rPr>
                <w:b/>
                <w:sz w:val="22"/>
                <w:szCs w:val="22"/>
              </w:rPr>
              <w:t>If “Yes”, attach explanation</w:t>
            </w:r>
          </w:p>
        </w:tc>
      </w:tr>
      <w:tr w:rsidRPr="007F620E" w:rsidR="005F63E8" w:rsidTr="00E94AEC" w14:paraId="4DC5EE9B" w14:textId="77777777">
        <w:trPr>
          <w:trHeight w:val="172"/>
          <w:jc w:val="center"/>
        </w:trPr>
        <w:tc>
          <w:tcPr>
            <w:tcW w:w="2692" w:type="dxa"/>
            <w:gridSpan w:val="3"/>
            <w:tcBorders>
              <w:top w:val="single" w:color="auto" w:sz="4" w:space="0"/>
              <w:bottom w:val="single" w:color="auto" w:sz="4" w:space="0"/>
            </w:tcBorders>
          </w:tcPr>
          <w:p w:rsidRPr="007F620E" w:rsidR="005F63E8" w:rsidP="005F63E8" w:rsidRDefault="005F63E8" w14:paraId="7266B7BF" w14:textId="7A09E450">
            <w:pPr>
              <w:keepLines/>
              <w:spacing w:before="60" w:after="60"/>
              <w:jc w:val="center"/>
              <w:rPr>
                <w:color w:val="000000"/>
              </w:rPr>
            </w:pPr>
            <w:r>
              <w:rPr>
                <w:color w:val="000000"/>
              </w:rPr>
              <w:t>Edward Lopez</w:t>
            </w:r>
          </w:p>
        </w:tc>
        <w:tc>
          <w:tcPr>
            <w:tcW w:w="1909" w:type="dxa"/>
            <w:gridSpan w:val="3"/>
            <w:tcBorders>
              <w:top w:val="single" w:color="auto" w:sz="4" w:space="0"/>
              <w:bottom w:val="single" w:color="auto" w:sz="4" w:space="0"/>
            </w:tcBorders>
          </w:tcPr>
          <w:p w:rsidRPr="007F620E" w:rsidR="005F63E8" w:rsidP="005F63E8" w:rsidRDefault="005F63E8" w14:paraId="69A41F15" w14:textId="6888CDAB">
            <w:pPr>
              <w:keepLines/>
              <w:spacing w:before="60" w:after="60"/>
              <w:jc w:val="center"/>
              <w:rPr>
                <w:color w:val="000000"/>
              </w:rPr>
            </w:pPr>
            <w:r>
              <w:rPr>
                <w:color w:val="000000"/>
              </w:rPr>
              <w:t>12/20/1991</w:t>
            </w:r>
          </w:p>
        </w:tc>
        <w:tc>
          <w:tcPr>
            <w:tcW w:w="2291" w:type="dxa"/>
            <w:gridSpan w:val="2"/>
            <w:tcBorders>
              <w:top w:val="single" w:color="auto" w:sz="4" w:space="0"/>
              <w:bottom w:val="single" w:color="auto" w:sz="4" w:space="0"/>
            </w:tcBorders>
          </w:tcPr>
          <w:p w:rsidRPr="007F620E" w:rsidR="005F63E8" w:rsidP="005F63E8" w:rsidRDefault="005F63E8" w14:paraId="58495CD7" w14:textId="6346F5A8">
            <w:pPr>
              <w:keepLines/>
              <w:spacing w:before="60" w:after="60"/>
              <w:jc w:val="center"/>
              <w:rPr>
                <w:color w:val="000000"/>
              </w:rPr>
            </w:pPr>
            <w:r>
              <w:rPr>
                <w:color w:val="000000"/>
              </w:rPr>
              <w:t>157052</w:t>
            </w:r>
          </w:p>
        </w:tc>
        <w:tc>
          <w:tcPr>
            <w:tcW w:w="4268" w:type="dxa"/>
            <w:gridSpan w:val="4"/>
            <w:tcBorders>
              <w:top w:val="single" w:color="auto" w:sz="4" w:space="0"/>
              <w:bottom w:val="single" w:color="auto" w:sz="4" w:space="0"/>
            </w:tcBorders>
          </w:tcPr>
          <w:p w:rsidRPr="007F620E" w:rsidR="005F63E8" w:rsidP="005F63E8" w:rsidRDefault="005F63E8" w14:paraId="117B99BF" w14:textId="344B1462">
            <w:pPr>
              <w:keepLines/>
              <w:spacing w:before="60" w:after="60"/>
              <w:jc w:val="center"/>
              <w:rPr>
                <w:color w:val="000000"/>
              </w:rPr>
            </w:pPr>
            <w:r>
              <w:rPr>
                <w:color w:val="000000"/>
              </w:rPr>
              <w:t>No</w:t>
            </w:r>
          </w:p>
        </w:tc>
      </w:tr>
    </w:tbl>
    <w:p w:rsidRPr="000F2303" w:rsidR="00A92D0B" w:rsidP="006259C7" w:rsidRDefault="00A92D0B" w14:paraId="04BC309E" w14:textId="7A25C4A8">
      <w:pPr>
        <w:keepNext/>
        <w:numPr>
          <w:ilvl w:val="0"/>
          <w:numId w:val="11"/>
        </w:numPr>
        <w:spacing w:before="240" w:after="120"/>
        <w:rPr>
          <w:b/>
          <w:i/>
          <w:color w:val="000000"/>
          <w:u w:val="single"/>
        </w:rPr>
      </w:pPr>
      <w:r w:rsidRPr="005B5B44">
        <w:rPr>
          <w:b/>
          <w:color w:val="000000"/>
        </w:rPr>
        <w:t>Attachments</w:t>
      </w:r>
      <w:r w:rsidRPr="007F620E">
        <w:rPr>
          <w:b/>
        </w:rPr>
        <w:t xml:space="preserve"> Documenting Specific Claim and Comments on Part III</w:t>
      </w:r>
      <w:r w:rsidR="006D3836">
        <w:rPr>
          <w:rStyle w:val="FootnoteReference"/>
          <w:b/>
        </w:rPr>
        <w:footnoteReference w:id="5"/>
      </w:r>
      <w:r w:rsidR="00C02649">
        <w:rPr>
          <w:b/>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7F620E" w:rsidR="00A92D0B" w:rsidTr="001A3CF3" w14:paraId="0C2B760A" w14:textId="77777777">
        <w:trPr>
          <w:tblHeader/>
        </w:trPr>
        <w:tc>
          <w:tcPr>
            <w:tcW w:w="1795" w:type="dxa"/>
            <w:shd w:val="clear" w:color="auto" w:fill="D9D9D9" w:themeFill="background1" w:themeFillShade="D9"/>
            <w:vAlign w:val="bottom"/>
          </w:tcPr>
          <w:p w:rsidRPr="007F620E" w:rsidR="00A92D0B" w:rsidP="001A3CF3" w:rsidRDefault="00A92D0B" w14:paraId="42A1D838" w14:textId="4A0AD83B">
            <w:pPr>
              <w:tabs>
                <w:tab w:val="left" w:pos="1260"/>
              </w:tabs>
              <w:jc w:val="center"/>
              <w:rPr>
                <w:b/>
                <w:color w:val="000000"/>
              </w:rPr>
            </w:pPr>
            <w:r w:rsidRPr="007F620E">
              <w:rPr>
                <w:b/>
                <w:color w:val="000000"/>
              </w:rPr>
              <w:t xml:space="preserve">Attachment or </w:t>
            </w:r>
            <w:r w:rsidRPr="007F620E" w:rsidR="00752D7D">
              <w:rPr>
                <w:b/>
                <w:color w:val="000000"/>
              </w:rPr>
              <w:t>Comment #</w:t>
            </w:r>
          </w:p>
        </w:tc>
        <w:tc>
          <w:tcPr>
            <w:tcW w:w="7565" w:type="dxa"/>
            <w:tcBorders>
              <w:bottom w:val="single" w:color="auto" w:sz="4" w:space="0"/>
            </w:tcBorders>
            <w:shd w:val="clear" w:color="auto" w:fill="D9D9D9" w:themeFill="background1" w:themeFillShade="D9"/>
            <w:vAlign w:val="bottom"/>
          </w:tcPr>
          <w:p w:rsidRPr="007F620E" w:rsidR="00A92D0B" w:rsidP="001A3CF3" w:rsidRDefault="00A92D0B" w14:paraId="55F0A65F" w14:textId="77777777">
            <w:pPr>
              <w:tabs>
                <w:tab w:val="left" w:pos="1260"/>
              </w:tabs>
              <w:jc w:val="center"/>
              <w:rPr>
                <w:b/>
                <w:color w:val="000000"/>
              </w:rPr>
            </w:pPr>
            <w:r w:rsidRPr="007F620E">
              <w:rPr>
                <w:b/>
                <w:color w:val="000000"/>
              </w:rPr>
              <w:t>Description/Comment</w:t>
            </w:r>
          </w:p>
        </w:tc>
      </w:tr>
      <w:tr w:rsidRPr="007F620E" w:rsidR="00A92D0B" w:rsidTr="00E94AEC" w14:paraId="71F47148" w14:textId="77777777">
        <w:tc>
          <w:tcPr>
            <w:tcW w:w="1795" w:type="dxa"/>
            <w:tcBorders>
              <w:bottom w:val="single" w:color="auto" w:sz="4" w:space="0"/>
            </w:tcBorders>
          </w:tcPr>
          <w:p w:rsidRPr="007F620E" w:rsidR="00A92D0B" w:rsidP="001A3CF3" w:rsidRDefault="00A92D0B" w14:paraId="7A5C03D8" w14:textId="77777777">
            <w:pPr>
              <w:tabs>
                <w:tab w:val="left" w:pos="1260"/>
              </w:tabs>
              <w:rPr>
                <w:color w:val="000000"/>
              </w:rPr>
            </w:pPr>
            <w:r w:rsidRPr="007F620E">
              <w:rPr>
                <w:color w:val="000000"/>
              </w:rPr>
              <w:t>1</w:t>
            </w:r>
          </w:p>
        </w:tc>
        <w:tc>
          <w:tcPr>
            <w:tcW w:w="7565" w:type="dxa"/>
            <w:tcBorders>
              <w:bottom w:val="single" w:color="auto" w:sz="4" w:space="0"/>
            </w:tcBorders>
          </w:tcPr>
          <w:p w:rsidRPr="001C0DD1" w:rsidR="00A92D0B" w:rsidP="001A3CF3" w:rsidRDefault="00A92D0B" w14:paraId="370C67BC" w14:textId="77777777">
            <w:pPr>
              <w:tabs>
                <w:tab w:val="left" w:pos="1260"/>
              </w:tabs>
              <w:rPr>
                <w:color w:val="000000"/>
              </w:rPr>
            </w:pPr>
            <w:r w:rsidRPr="001C0DD1">
              <w:rPr>
                <w:color w:val="000000"/>
              </w:rPr>
              <w:t>Certificate of Service</w:t>
            </w:r>
          </w:p>
        </w:tc>
      </w:tr>
      <w:tr w:rsidRPr="007F620E" w:rsidR="00817760" w:rsidTr="00E94AEC" w14:paraId="677E330B" w14:textId="77777777">
        <w:tc>
          <w:tcPr>
            <w:tcW w:w="1795" w:type="dxa"/>
            <w:tcBorders>
              <w:bottom w:val="single" w:color="auto" w:sz="4" w:space="0"/>
            </w:tcBorders>
          </w:tcPr>
          <w:p w:rsidRPr="007F620E" w:rsidR="00817760" w:rsidP="001A3CF3" w:rsidRDefault="00817760" w14:paraId="07839754" w14:textId="2F1B58BD">
            <w:pPr>
              <w:tabs>
                <w:tab w:val="left" w:pos="1260"/>
              </w:tabs>
              <w:rPr>
                <w:color w:val="000000"/>
              </w:rPr>
            </w:pPr>
            <w:r>
              <w:rPr>
                <w:color w:val="000000"/>
              </w:rPr>
              <w:t>Comment 1</w:t>
            </w:r>
            <w:r w:rsidR="00DB49C1">
              <w:rPr>
                <w:color w:val="000000"/>
              </w:rPr>
              <w:t xml:space="preserve"> Edward Lopez Rate Request</w:t>
            </w:r>
          </w:p>
        </w:tc>
        <w:tc>
          <w:tcPr>
            <w:tcW w:w="7565" w:type="dxa"/>
            <w:tcBorders>
              <w:bottom w:val="single" w:color="auto" w:sz="4" w:space="0"/>
            </w:tcBorders>
          </w:tcPr>
          <w:p w:rsidRPr="00817760" w:rsidR="00817760" w:rsidP="00817760" w:rsidRDefault="00817760" w14:paraId="5E511422" w14:textId="28ADCEE3">
            <w:pPr>
              <w:pStyle w:val="Default"/>
              <w:rPr>
                <w:sz w:val="23"/>
                <w:szCs w:val="23"/>
              </w:rPr>
            </w:pPr>
            <w:r>
              <w:rPr>
                <w:sz w:val="23"/>
                <w:szCs w:val="23"/>
              </w:rPr>
              <w:t xml:space="preserve">Based on the approved $475 2023 hourly rate, per D.24-01-019, the application of the Commission’s 4.07% escalation for 2024, and rounding to the nearest $5 increment, UCAN requests the 2024 hourly rate for Mr. Lopez of $495. </w:t>
            </w:r>
          </w:p>
        </w:tc>
      </w:tr>
      <w:tr w:rsidRPr="007F620E" w:rsidR="00FE7C82" w:rsidTr="00E94AEC" w14:paraId="38D56002" w14:textId="77777777">
        <w:tc>
          <w:tcPr>
            <w:tcW w:w="1795" w:type="dxa"/>
            <w:tcBorders>
              <w:bottom w:val="single" w:color="auto" w:sz="4" w:space="0"/>
            </w:tcBorders>
          </w:tcPr>
          <w:p w:rsidR="000A525B" w:rsidP="001A3CF3" w:rsidRDefault="00006D73" w14:paraId="686C0AFA" w14:textId="77777777">
            <w:pPr>
              <w:tabs>
                <w:tab w:val="left" w:pos="1260"/>
              </w:tabs>
              <w:rPr>
                <w:color w:val="000000"/>
              </w:rPr>
            </w:pPr>
            <w:r>
              <w:rPr>
                <w:color w:val="000000"/>
              </w:rPr>
              <w:t>Comment 2</w:t>
            </w:r>
            <w:r w:rsidR="00DB49C1">
              <w:rPr>
                <w:color w:val="000000"/>
              </w:rPr>
              <w:t xml:space="preserve"> </w:t>
            </w:r>
          </w:p>
          <w:p w:rsidR="00FE7C82" w:rsidP="001A3CF3" w:rsidRDefault="00DB49C1" w14:paraId="29DEE747" w14:textId="13EE0924">
            <w:pPr>
              <w:tabs>
                <w:tab w:val="left" w:pos="1260"/>
              </w:tabs>
              <w:rPr>
                <w:color w:val="000000"/>
              </w:rPr>
            </w:pPr>
            <w:r>
              <w:rPr>
                <w:color w:val="000000"/>
              </w:rPr>
              <w:t>Courtney Cook-Sloan Rate Request</w:t>
            </w:r>
          </w:p>
        </w:tc>
        <w:tc>
          <w:tcPr>
            <w:tcW w:w="7565" w:type="dxa"/>
            <w:tcBorders>
              <w:bottom w:val="single" w:color="auto" w:sz="4" w:space="0"/>
            </w:tcBorders>
          </w:tcPr>
          <w:p w:rsidR="00FE7C82" w:rsidP="00817760" w:rsidRDefault="00006D73" w14:paraId="675B68EE" w14:textId="7F398EF7">
            <w:pPr>
              <w:pStyle w:val="Default"/>
              <w:rPr>
                <w:sz w:val="23"/>
                <w:szCs w:val="23"/>
              </w:rPr>
            </w:pPr>
            <w:r>
              <w:rPr>
                <w:sz w:val="23"/>
                <w:szCs w:val="23"/>
              </w:rPr>
              <w:t xml:space="preserve">Based on the approved $205 2023 hourly rate, per D. 24-01-019, the application of the Commission’s 4.07% escalation for 2024, and rounding to the nearest $5 increment, UCAN requests the 2024 hourly rate for Ms. Cook-Sloan of $215. </w:t>
            </w:r>
          </w:p>
        </w:tc>
      </w:tr>
      <w:tr w:rsidRPr="007F620E" w:rsidR="004640EF" w:rsidTr="00E94AEC" w14:paraId="72C869B0" w14:textId="77777777">
        <w:tc>
          <w:tcPr>
            <w:tcW w:w="1795" w:type="dxa"/>
          </w:tcPr>
          <w:p w:rsidR="000A525B" w:rsidP="004640EF" w:rsidRDefault="004640EF" w14:paraId="5A6824FF" w14:textId="77777777">
            <w:pPr>
              <w:tabs>
                <w:tab w:val="left" w:pos="1260"/>
              </w:tabs>
              <w:rPr>
                <w:color w:val="000000"/>
              </w:rPr>
            </w:pPr>
            <w:r>
              <w:rPr>
                <w:color w:val="000000"/>
              </w:rPr>
              <w:t xml:space="preserve">Comment </w:t>
            </w:r>
            <w:r w:rsidR="006F1C2E">
              <w:rPr>
                <w:color w:val="000000"/>
              </w:rPr>
              <w:t>3</w:t>
            </w:r>
          </w:p>
          <w:p w:rsidRPr="007F620E" w:rsidR="004640EF" w:rsidP="004640EF" w:rsidRDefault="006F1C2E" w14:paraId="49AADD21" w14:textId="5538DD93">
            <w:pPr>
              <w:tabs>
                <w:tab w:val="left" w:pos="1260"/>
              </w:tabs>
              <w:rPr>
                <w:color w:val="000000"/>
              </w:rPr>
            </w:pPr>
            <w:r>
              <w:rPr>
                <w:color w:val="000000"/>
              </w:rPr>
              <w:t xml:space="preserve">Dr. Karl Pavlovic </w:t>
            </w:r>
            <w:r w:rsidR="000A525B">
              <w:rPr>
                <w:color w:val="000000"/>
              </w:rPr>
              <w:t xml:space="preserve">(Expert) </w:t>
            </w:r>
            <w:r>
              <w:rPr>
                <w:color w:val="000000"/>
              </w:rPr>
              <w:t>Rate Request</w:t>
            </w:r>
          </w:p>
        </w:tc>
        <w:tc>
          <w:tcPr>
            <w:tcW w:w="7565" w:type="dxa"/>
          </w:tcPr>
          <w:p w:rsidRPr="00D816BC" w:rsidR="004640EF" w:rsidP="00D816BC" w:rsidRDefault="00006D73" w14:paraId="3AF20C23" w14:textId="4619B043">
            <w:pPr>
              <w:pStyle w:val="Default"/>
              <w:rPr>
                <w:sz w:val="23"/>
                <w:szCs w:val="23"/>
              </w:rPr>
            </w:pPr>
            <w:r>
              <w:rPr>
                <w:sz w:val="23"/>
                <w:szCs w:val="23"/>
              </w:rPr>
              <w:t>Based on the approved $815 2022 hourly rate, per D.</w:t>
            </w:r>
            <w:r w:rsidR="00AA03FB">
              <w:rPr>
                <w:sz w:val="23"/>
                <w:szCs w:val="23"/>
              </w:rPr>
              <w:t>24-01-019</w:t>
            </w:r>
            <w:r>
              <w:rPr>
                <w:sz w:val="23"/>
                <w:szCs w:val="23"/>
              </w:rPr>
              <w:t xml:space="preserve">, the application of the </w:t>
            </w:r>
            <w:r w:rsidR="00385AA3">
              <w:rPr>
                <w:sz w:val="23"/>
                <w:szCs w:val="23"/>
              </w:rPr>
              <w:t>Commission’s 4.46% escalation for 2023 and</w:t>
            </w:r>
            <w:r>
              <w:rPr>
                <w:sz w:val="23"/>
                <w:szCs w:val="23"/>
              </w:rPr>
              <w:t xml:space="preserve"> 4.07% escalation for 2024, and rounding to the nearest $5 increment, </w:t>
            </w:r>
            <w:r w:rsidR="00856302">
              <w:rPr>
                <w:sz w:val="23"/>
                <w:szCs w:val="23"/>
              </w:rPr>
              <w:t>UCAN requests the 2023 hourly rate of $850 and 2024 hourly rate of $885 for Dr. Pavlovic</w:t>
            </w:r>
          </w:p>
        </w:tc>
      </w:tr>
      <w:tr w:rsidRPr="007F620E" w:rsidR="004640EF" w:rsidTr="00E94AEC" w14:paraId="527E59AC" w14:textId="77777777">
        <w:tc>
          <w:tcPr>
            <w:tcW w:w="1795" w:type="dxa"/>
          </w:tcPr>
          <w:p w:rsidR="000A525B" w:rsidP="004640EF" w:rsidRDefault="004640EF" w14:paraId="7B17AD94" w14:textId="77777777">
            <w:pPr>
              <w:tabs>
                <w:tab w:val="left" w:pos="1260"/>
              </w:tabs>
              <w:rPr>
                <w:color w:val="000000"/>
              </w:rPr>
            </w:pPr>
            <w:r>
              <w:rPr>
                <w:color w:val="000000"/>
              </w:rPr>
              <w:t xml:space="preserve">Comment </w:t>
            </w:r>
            <w:r w:rsidR="000A525B">
              <w:rPr>
                <w:color w:val="000000"/>
              </w:rPr>
              <w:t>4</w:t>
            </w:r>
          </w:p>
          <w:p w:rsidR="004640EF" w:rsidP="004640EF" w:rsidRDefault="00DB49C1" w14:paraId="03A835F1" w14:textId="6E2F8496">
            <w:pPr>
              <w:tabs>
                <w:tab w:val="left" w:pos="1260"/>
              </w:tabs>
              <w:rPr>
                <w:color w:val="000000"/>
              </w:rPr>
            </w:pPr>
            <w:r w:rsidRPr="00ED5AEE">
              <w:t>Dr. Marlon Griffing</w:t>
            </w:r>
            <w:r w:rsidR="000A525B">
              <w:t xml:space="preserve"> (Expert)</w:t>
            </w:r>
            <w:r>
              <w:t xml:space="preserve"> Rate Req</w:t>
            </w:r>
            <w:r w:rsidR="00D816BC">
              <w:t>uest</w:t>
            </w:r>
          </w:p>
        </w:tc>
        <w:tc>
          <w:tcPr>
            <w:tcW w:w="7565" w:type="dxa"/>
          </w:tcPr>
          <w:p w:rsidRPr="00D816BC" w:rsidR="004640EF" w:rsidP="00D816BC" w:rsidRDefault="00DB49C1" w14:paraId="672A07E9" w14:textId="5529FB63">
            <w:pPr>
              <w:pStyle w:val="Default"/>
              <w:rPr>
                <w:sz w:val="23"/>
                <w:szCs w:val="23"/>
              </w:rPr>
            </w:pPr>
            <w:r>
              <w:rPr>
                <w:sz w:val="23"/>
                <w:szCs w:val="23"/>
              </w:rPr>
              <w:t>Based on the approved $815 2022 hourly rate, per D.24-01-019, the application of the Commission’s</w:t>
            </w:r>
            <w:r w:rsidR="00385AA3">
              <w:rPr>
                <w:sz w:val="23"/>
                <w:szCs w:val="23"/>
              </w:rPr>
              <w:t xml:space="preserve"> 4.46% escalation for 2023 and</w:t>
            </w:r>
            <w:r>
              <w:rPr>
                <w:sz w:val="23"/>
                <w:szCs w:val="23"/>
              </w:rPr>
              <w:t xml:space="preserve"> 4.07% escalation for 2024, and rounding to the nearest $5 increment, UCAN requests the </w:t>
            </w:r>
            <w:r w:rsidR="00856302">
              <w:rPr>
                <w:sz w:val="23"/>
                <w:szCs w:val="23"/>
              </w:rPr>
              <w:t>2023</w:t>
            </w:r>
            <w:r w:rsidR="00EC774E">
              <w:rPr>
                <w:sz w:val="23"/>
                <w:szCs w:val="23"/>
              </w:rPr>
              <w:t xml:space="preserve"> </w:t>
            </w:r>
            <w:r w:rsidR="00856302">
              <w:rPr>
                <w:sz w:val="23"/>
                <w:szCs w:val="23"/>
              </w:rPr>
              <w:t>hourly</w:t>
            </w:r>
            <w:r w:rsidR="00D7744F">
              <w:rPr>
                <w:sz w:val="23"/>
                <w:szCs w:val="23"/>
              </w:rPr>
              <w:t xml:space="preserve"> rate </w:t>
            </w:r>
            <w:r w:rsidR="00856302">
              <w:rPr>
                <w:sz w:val="23"/>
                <w:szCs w:val="23"/>
              </w:rPr>
              <w:t xml:space="preserve">of $850 and </w:t>
            </w:r>
            <w:r>
              <w:rPr>
                <w:sz w:val="23"/>
                <w:szCs w:val="23"/>
              </w:rPr>
              <w:t>2024 hourly rate</w:t>
            </w:r>
            <w:r w:rsidR="00856302">
              <w:rPr>
                <w:sz w:val="23"/>
                <w:szCs w:val="23"/>
              </w:rPr>
              <w:t xml:space="preserve"> of $885 for Dr. Griffing</w:t>
            </w:r>
          </w:p>
        </w:tc>
      </w:tr>
    </w:tbl>
    <w:p w:rsidRPr="007F620E" w:rsidR="00A92D0B" w:rsidP="006259C7" w:rsidRDefault="00A92D0B" w14:paraId="0D8B7003" w14:textId="7B8EA4E8">
      <w:pPr>
        <w:keepNext/>
        <w:numPr>
          <w:ilvl w:val="0"/>
          <w:numId w:val="11"/>
        </w:numPr>
        <w:spacing w:before="240" w:after="120"/>
        <w:rPr>
          <w:b/>
          <w:color w:val="000000"/>
        </w:rPr>
      </w:pPr>
      <w:r w:rsidRPr="007F620E">
        <w:rPr>
          <w:b/>
          <w:color w:val="000000"/>
        </w:rPr>
        <w:t xml:space="preserve">CPUC </w:t>
      </w:r>
      <w:r w:rsidR="008C09F7">
        <w:rPr>
          <w:b/>
          <w:color w:val="000000"/>
        </w:rPr>
        <w:t xml:space="preserve">Comments, </w:t>
      </w:r>
      <w:r w:rsidRPr="007F620E">
        <w:rPr>
          <w:b/>
          <w:color w:val="000000"/>
        </w:rPr>
        <w:t>Disallowances</w:t>
      </w:r>
      <w:r w:rsidR="008C09F7">
        <w:rPr>
          <w:b/>
          <w:color w:val="000000"/>
        </w:rPr>
        <w:t>,</w:t>
      </w:r>
      <w:r w:rsidRPr="007F620E" w:rsidR="00D075B1">
        <w:rPr>
          <w:b/>
          <w:color w:val="000000"/>
        </w:rPr>
        <w:t xml:space="preserve"> </w:t>
      </w:r>
      <w:r w:rsidRPr="007F620E" w:rsidR="00A319DE">
        <w:rPr>
          <w:b/>
          <w:color w:val="000000"/>
        </w:rPr>
        <w:t>and</w:t>
      </w:r>
      <w:r w:rsidRPr="007F620E" w:rsidR="00D075B1">
        <w:rPr>
          <w:b/>
          <w:color w:val="000000"/>
        </w:rPr>
        <w:t xml:space="preserve"> </w:t>
      </w:r>
      <w:r w:rsidRPr="007F620E">
        <w:rPr>
          <w:b/>
          <w:color w:val="000000"/>
        </w:rPr>
        <w:t>Adjustments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603"/>
        <w:gridCol w:w="7757"/>
      </w:tblGrid>
      <w:tr w:rsidRPr="007F620E" w:rsidR="00A92D0B" w:rsidTr="00532AC1" w14:paraId="52CD0603" w14:textId="77777777">
        <w:trPr>
          <w:tblHeader/>
        </w:trPr>
        <w:tc>
          <w:tcPr>
            <w:tcW w:w="1545" w:type="dxa"/>
            <w:shd w:val="clear" w:color="auto" w:fill="D9D9D9" w:themeFill="background1" w:themeFillShade="D9"/>
          </w:tcPr>
          <w:p w:rsidRPr="007F620E" w:rsidR="00A92D0B" w:rsidP="00EB64CF" w:rsidRDefault="00072C81" w14:paraId="3954EC4C" w14:textId="77777777">
            <w:pPr>
              <w:tabs>
                <w:tab w:val="left" w:pos="1440"/>
              </w:tabs>
              <w:jc w:val="center"/>
              <w:rPr>
                <w:b/>
                <w:color w:val="000000"/>
              </w:rPr>
            </w:pPr>
            <w:r w:rsidRPr="007F620E">
              <w:rPr>
                <w:b/>
                <w:color w:val="000000"/>
              </w:rPr>
              <w:t>Item</w:t>
            </w:r>
          </w:p>
        </w:tc>
        <w:tc>
          <w:tcPr>
            <w:tcW w:w="7815" w:type="dxa"/>
            <w:shd w:val="clear" w:color="auto" w:fill="D9D9D9" w:themeFill="background1" w:themeFillShade="D9"/>
          </w:tcPr>
          <w:p w:rsidRPr="007F620E" w:rsidR="00A92D0B" w:rsidP="00EB64CF" w:rsidRDefault="00A92D0B" w14:paraId="09F9E4D9" w14:textId="77777777">
            <w:pPr>
              <w:tabs>
                <w:tab w:val="left" w:pos="1440"/>
              </w:tabs>
              <w:jc w:val="center"/>
              <w:rPr>
                <w:b/>
                <w:color w:val="000000"/>
              </w:rPr>
            </w:pPr>
            <w:r w:rsidRPr="007F620E">
              <w:rPr>
                <w:b/>
                <w:color w:val="000000"/>
              </w:rPr>
              <w:t>Reason</w:t>
            </w:r>
          </w:p>
        </w:tc>
      </w:tr>
      <w:tr w:rsidR="18F65E85" w:rsidTr="00532AC1" w14:paraId="4567CC10" w14:textId="77777777">
        <w:trPr>
          <w:trHeight w:val="300"/>
        </w:trPr>
        <w:tc>
          <w:tcPr>
            <w:tcW w:w="1545" w:type="dxa"/>
          </w:tcPr>
          <w:p w:rsidR="18F65E85" w:rsidP="133E9F8B" w:rsidRDefault="0058493D" w14:paraId="77705D66" w14:textId="6202364F">
            <w:pPr>
              <w:rPr>
                <w:color w:val="000000" w:themeColor="text1"/>
              </w:rPr>
            </w:pPr>
            <w:r>
              <w:rPr>
                <w:color w:val="000000" w:themeColor="text1"/>
              </w:rPr>
              <w:t>[</w:t>
            </w:r>
            <w:r w:rsidR="00DB4B1C">
              <w:rPr>
                <w:color w:val="000000" w:themeColor="text1"/>
              </w:rPr>
              <w:t>1</w:t>
            </w:r>
            <w:r>
              <w:rPr>
                <w:color w:val="000000" w:themeColor="text1"/>
              </w:rPr>
              <w:t xml:space="preserve">] </w:t>
            </w:r>
            <w:r w:rsidRPr="133E9F8B" w:rsidR="4BAF5B1D">
              <w:rPr>
                <w:color w:val="000000" w:themeColor="text1"/>
              </w:rPr>
              <w:t>Lack of Substantial Contribution</w:t>
            </w:r>
          </w:p>
        </w:tc>
        <w:tc>
          <w:tcPr>
            <w:tcW w:w="7815" w:type="dxa"/>
          </w:tcPr>
          <w:p w:rsidR="00D72422" w:rsidP="00C414F0" w:rsidRDefault="00F67578" w14:paraId="1C7EC685" w14:textId="2B8D8815">
            <w:pPr>
              <w:spacing w:after="120"/>
              <w:rPr>
                <w:color w:val="000000" w:themeColor="text1"/>
                <w:u w:val="single"/>
              </w:rPr>
            </w:pPr>
            <w:r w:rsidRPr="00F67578">
              <w:rPr>
                <w:color w:val="000000" w:themeColor="text1"/>
                <w:u w:val="single"/>
              </w:rPr>
              <w:t>Lack of Substantial Contribution</w:t>
            </w:r>
            <w:r w:rsidR="00955F17">
              <w:rPr>
                <w:color w:val="000000" w:themeColor="text1"/>
                <w:u w:val="single"/>
              </w:rPr>
              <w:t xml:space="preserve"> (16.</w:t>
            </w:r>
            <w:r w:rsidR="003F5E60">
              <w:rPr>
                <w:color w:val="000000" w:themeColor="text1"/>
                <w:u w:val="single"/>
              </w:rPr>
              <w:t xml:space="preserve">77 </w:t>
            </w:r>
            <w:r w:rsidR="00955F17">
              <w:rPr>
                <w:color w:val="000000" w:themeColor="text1"/>
                <w:u w:val="single"/>
              </w:rPr>
              <w:t>hours)</w:t>
            </w:r>
            <w:r w:rsidRPr="00FE2FA9" w:rsidR="001B43D0">
              <w:rPr>
                <w:color w:val="000000" w:themeColor="text1"/>
                <w:u w:val="single"/>
              </w:rPr>
              <w:t>:</w:t>
            </w:r>
          </w:p>
          <w:p w:rsidRPr="00FE2FA9" w:rsidR="00916D7B" w:rsidP="00FE2FA9" w:rsidRDefault="00916D7B" w14:paraId="4120B167" w14:textId="19680FCF">
            <w:pPr>
              <w:rPr>
                <w:color w:val="000000" w:themeColor="text1"/>
              </w:rPr>
            </w:pPr>
            <w:r w:rsidRPr="00FE2FA9">
              <w:rPr>
                <w:color w:val="000000" w:themeColor="text1"/>
              </w:rPr>
              <w:t xml:space="preserve">UCAN seeks compensation for contributions made to address issues related to (1) modifications to the Cost of Capital mechanism (issues 5.a- 5.e </w:t>
            </w:r>
            <w:r w:rsidR="00366704">
              <w:rPr>
                <w:color w:val="000000" w:themeColor="text1"/>
              </w:rPr>
              <w:t>in D.24-10-088 at 4-5</w:t>
            </w:r>
            <w:r w:rsidRPr="00FE2FA9">
              <w:rPr>
                <w:color w:val="000000" w:themeColor="text1"/>
              </w:rPr>
              <w:t>) and (2) affordability (issue 5.f</w:t>
            </w:r>
            <w:r w:rsidR="00366704">
              <w:rPr>
                <w:color w:val="000000" w:themeColor="text1"/>
              </w:rPr>
              <w:t xml:space="preserve"> in D.24-10-088 at 5</w:t>
            </w:r>
            <w:r w:rsidRPr="00FE2FA9">
              <w:rPr>
                <w:color w:val="000000" w:themeColor="text1"/>
              </w:rPr>
              <w:t xml:space="preserve">). The October 31, 2023 ALJ Ruling Outlining Phase 2 Issues and Schedule </w:t>
            </w:r>
            <w:r w:rsidRPr="00FE2FA9">
              <w:rPr>
                <w:color w:val="000000" w:themeColor="text1"/>
              </w:rPr>
              <w:lastRenderedPageBreak/>
              <w:t xml:space="preserve">(October 31 Ruling) affirmed inclusion of consideration of “other policy modifications for future cost of capital application cycles,” and listed the sub-issues identified in </w:t>
            </w:r>
            <w:r w:rsidR="00366704">
              <w:rPr>
                <w:color w:val="000000" w:themeColor="text1"/>
              </w:rPr>
              <w:t>D.</w:t>
            </w:r>
            <w:r w:rsidR="00BE13C7">
              <w:rPr>
                <w:color w:val="000000" w:themeColor="text1"/>
              </w:rPr>
              <w:t>24-10-088</w:t>
            </w:r>
            <w:r w:rsidR="00366704">
              <w:rPr>
                <w:color w:val="000000" w:themeColor="text1"/>
              </w:rPr>
              <w:t xml:space="preserve"> </w:t>
            </w:r>
            <w:r w:rsidRPr="00FE2FA9">
              <w:rPr>
                <w:color w:val="000000" w:themeColor="text1"/>
              </w:rPr>
              <w:t>as issues 5.a-</w:t>
            </w:r>
            <w:r w:rsidRPr="00752D7D" w:rsidR="00752D7D">
              <w:rPr>
                <w:color w:val="000000" w:themeColor="text1"/>
              </w:rPr>
              <w:t>5.f.</w:t>
            </w:r>
            <w:r w:rsidRPr="00FE2FA9">
              <w:rPr>
                <w:color w:val="000000" w:themeColor="text1"/>
              </w:rPr>
              <w:t xml:space="preserve"> Regarding these issues, the October 31 Ruling states: “Parties are authorized to address these issues in their phase 2 testimony, although the Commission may not make specific findings related to some or all of these issues.”</w:t>
            </w:r>
          </w:p>
          <w:p w:rsidRPr="00FE2FA9" w:rsidR="00916D7B" w:rsidP="00916D7B" w:rsidRDefault="00916D7B" w14:paraId="790A307C" w14:textId="71D56C3D">
            <w:pPr>
              <w:spacing w:before="120"/>
              <w:rPr>
                <w:color w:val="000000" w:themeColor="text1"/>
              </w:rPr>
            </w:pPr>
            <w:r w:rsidRPr="00FE2FA9">
              <w:rPr>
                <w:color w:val="000000" w:themeColor="text1"/>
              </w:rPr>
              <w:t xml:space="preserve">Ultimately, the Commission declined to address or resolve issues 5.a-5.e in </w:t>
            </w:r>
            <w:r w:rsidRPr="00FE2FA9" w:rsidR="00366704">
              <w:rPr>
                <w:color w:val="000000" w:themeColor="text1"/>
              </w:rPr>
              <w:t>D</w:t>
            </w:r>
            <w:r w:rsidR="00366704">
              <w:rPr>
                <w:color w:val="000000" w:themeColor="text1"/>
              </w:rPr>
              <w:t>.24-10-088</w:t>
            </w:r>
            <w:r w:rsidRPr="00FE2FA9">
              <w:rPr>
                <w:color w:val="000000" w:themeColor="text1"/>
              </w:rPr>
              <w:t>, stating that it did so “without prejudice.”  In recognition of the value added to the proceeding pursuant to the Commission’s direction that parties respond to these scoped issues, we find compensation for 5</w:t>
            </w:r>
            <w:r w:rsidR="00F96715">
              <w:rPr>
                <w:color w:val="000000" w:themeColor="text1"/>
              </w:rPr>
              <w:t>0</w:t>
            </w:r>
            <w:r w:rsidRPr="00FE2FA9">
              <w:rPr>
                <w:color w:val="000000" w:themeColor="text1"/>
              </w:rPr>
              <w:t xml:space="preserve">% of the total hours spent addressing these issues </w:t>
            </w:r>
            <w:r w:rsidR="0003257A">
              <w:rPr>
                <w:color w:val="000000" w:themeColor="text1"/>
              </w:rPr>
              <w:t xml:space="preserve">to be </w:t>
            </w:r>
            <w:r w:rsidRPr="00FE2FA9">
              <w:rPr>
                <w:color w:val="000000" w:themeColor="text1"/>
              </w:rPr>
              <w:t>reasonable</w:t>
            </w:r>
            <w:r w:rsidR="00F96715">
              <w:rPr>
                <w:color w:val="000000" w:themeColor="text1"/>
              </w:rPr>
              <w:t xml:space="preserve"> given the contribution made by UCAN</w:t>
            </w:r>
            <w:r w:rsidRPr="00FE2FA9">
              <w:rPr>
                <w:color w:val="000000" w:themeColor="text1"/>
              </w:rPr>
              <w:t>. To the extent that UCAN relies on the work for which compensation is here authorized in future proceedings, UCAN may not request compensation for such work in the future</w:t>
            </w:r>
            <w:r w:rsidR="004B5F3B">
              <w:rPr>
                <w:color w:val="000000" w:themeColor="text1"/>
              </w:rPr>
              <w:t>.</w:t>
            </w:r>
          </w:p>
          <w:p w:rsidRPr="00FE2FA9" w:rsidR="00916D7B" w:rsidP="00916D7B" w:rsidRDefault="00916D7B" w14:paraId="03C9DDD3" w14:textId="268BB396">
            <w:pPr>
              <w:spacing w:before="120"/>
              <w:rPr>
                <w:color w:val="000000" w:themeColor="text1"/>
              </w:rPr>
            </w:pPr>
            <w:r w:rsidRPr="00FE2FA9">
              <w:rPr>
                <w:color w:val="000000" w:themeColor="text1"/>
              </w:rPr>
              <w:t xml:space="preserve">Regarding issue 5.f, </w:t>
            </w:r>
            <w:r w:rsidR="00BE13C7">
              <w:rPr>
                <w:color w:val="000000" w:themeColor="text1"/>
              </w:rPr>
              <w:t xml:space="preserve">D.24-10-088 </w:t>
            </w:r>
            <w:r w:rsidRPr="00FE2FA9">
              <w:rPr>
                <w:color w:val="000000" w:themeColor="text1"/>
              </w:rPr>
              <w:t xml:space="preserve">ultimately made no policy changes related to affordability and cost of capital proceedings, finding that, beyond application of the Hope and Bluefield standards, cost of capital proceedings </w:t>
            </w:r>
            <w:proofErr w:type="gramStart"/>
            <w:r w:rsidRPr="00FE2FA9">
              <w:rPr>
                <w:color w:val="000000" w:themeColor="text1"/>
              </w:rPr>
              <w:t>are</w:t>
            </w:r>
            <w:proofErr w:type="gramEnd"/>
            <w:r w:rsidRPr="00FE2FA9">
              <w:rPr>
                <w:color w:val="000000" w:themeColor="text1"/>
              </w:rPr>
              <w:t xml:space="preserve"> “ill-suited to more targeted consideration of the affordability of specific expenditures and investments.” (</w:t>
            </w:r>
            <w:r w:rsidR="00BE13C7">
              <w:rPr>
                <w:color w:val="000000" w:themeColor="text1"/>
              </w:rPr>
              <w:t xml:space="preserve">D.24-10-088 </w:t>
            </w:r>
            <w:r w:rsidRPr="00FE2FA9">
              <w:rPr>
                <w:color w:val="000000" w:themeColor="text1"/>
              </w:rPr>
              <w:t xml:space="preserve">at 30). The Commission did not rely on or </w:t>
            </w:r>
            <w:r w:rsidRPr="001D0404" w:rsidR="001D0404">
              <w:rPr>
                <w:color w:val="000000" w:themeColor="text1"/>
              </w:rPr>
              <w:t>cite</w:t>
            </w:r>
            <w:r w:rsidRPr="00FE2FA9">
              <w:rPr>
                <w:color w:val="000000" w:themeColor="text1"/>
              </w:rPr>
              <w:t xml:space="preserve"> UCAN in support of this holding. Because the Commission did not rely on UCAN’s contribution to make this finding on affordability, </w:t>
            </w:r>
            <w:r w:rsidR="00C65523">
              <w:rPr>
                <w:color w:val="000000" w:themeColor="text1"/>
              </w:rPr>
              <w:t xml:space="preserve">we </w:t>
            </w:r>
            <w:proofErr w:type="gramStart"/>
            <w:r w:rsidR="00C65523">
              <w:rPr>
                <w:color w:val="000000" w:themeColor="text1"/>
              </w:rPr>
              <w:t>reduce</w:t>
            </w:r>
            <w:proofErr w:type="gramEnd"/>
            <w:r w:rsidR="00C65523">
              <w:rPr>
                <w:color w:val="000000" w:themeColor="text1"/>
              </w:rPr>
              <w:t xml:space="preserve"> </w:t>
            </w:r>
            <w:r w:rsidR="008B30F2">
              <w:rPr>
                <w:color w:val="000000" w:themeColor="text1"/>
              </w:rPr>
              <w:t>5</w:t>
            </w:r>
            <w:r w:rsidRPr="00FE2FA9">
              <w:rPr>
                <w:color w:val="000000" w:themeColor="text1"/>
              </w:rPr>
              <w:t xml:space="preserve">0% of UCAN’s hours dedicated to Issues 5.a-5.f </w:t>
            </w:r>
            <w:r w:rsidR="00C65523">
              <w:rPr>
                <w:color w:val="000000" w:themeColor="text1"/>
              </w:rPr>
              <w:t xml:space="preserve">as we find this </w:t>
            </w:r>
            <w:r w:rsidR="004473BC">
              <w:rPr>
                <w:color w:val="000000" w:themeColor="text1"/>
              </w:rPr>
              <w:t>commensurate</w:t>
            </w:r>
            <w:r w:rsidR="00C65523">
              <w:rPr>
                <w:color w:val="000000" w:themeColor="text1"/>
              </w:rPr>
              <w:t xml:space="preserve"> with </w:t>
            </w:r>
            <w:r w:rsidR="004473BC">
              <w:rPr>
                <w:color w:val="000000" w:themeColor="text1"/>
              </w:rPr>
              <w:t>the work performed</w:t>
            </w:r>
            <w:r w:rsidRPr="00FE2FA9">
              <w:rPr>
                <w:color w:val="000000" w:themeColor="text1"/>
              </w:rPr>
              <w:t xml:space="preserve">. </w:t>
            </w:r>
          </w:p>
          <w:p w:rsidRPr="00F73B85" w:rsidR="18F65E85" w:rsidP="00F73B85" w:rsidRDefault="4BF1FD4F" w14:paraId="6DEDBB45" w14:textId="347F1189">
            <w:pPr>
              <w:spacing w:before="120"/>
              <w:rPr>
                <w:color w:val="000000" w:themeColor="text1"/>
              </w:rPr>
            </w:pPr>
            <w:r w:rsidRPr="00F73B85">
              <w:rPr>
                <w:color w:val="000000" w:themeColor="text1"/>
              </w:rPr>
              <w:t xml:space="preserve">UCAN requested 47.92 hours for Issue 2. As discussed, </w:t>
            </w:r>
            <w:r w:rsidRPr="00F73B85" w:rsidR="682A54B8">
              <w:rPr>
                <w:color w:val="000000" w:themeColor="text1"/>
              </w:rPr>
              <w:t xml:space="preserve">we apply </w:t>
            </w:r>
            <w:r w:rsidR="005A21AA">
              <w:rPr>
                <w:color w:val="000000" w:themeColor="text1"/>
              </w:rPr>
              <w:t xml:space="preserve">the </w:t>
            </w:r>
            <w:r w:rsidR="00603D19">
              <w:rPr>
                <w:color w:val="000000" w:themeColor="text1"/>
              </w:rPr>
              <w:t>reduction</w:t>
            </w:r>
            <w:r w:rsidR="005A21AA">
              <w:rPr>
                <w:color w:val="000000" w:themeColor="text1"/>
              </w:rPr>
              <w:t>s</w:t>
            </w:r>
            <w:r w:rsidRPr="00F73B85" w:rsidR="00603D19">
              <w:rPr>
                <w:color w:val="000000" w:themeColor="text1"/>
              </w:rPr>
              <w:t xml:space="preserve"> </w:t>
            </w:r>
            <w:r w:rsidRPr="00F73B85" w:rsidR="682A54B8">
              <w:rPr>
                <w:color w:val="000000" w:themeColor="text1"/>
              </w:rPr>
              <w:t>due to (1)</w:t>
            </w:r>
            <w:r w:rsidRPr="00F73B85" w:rsidR="63B1FAA1">
              <w:rPr>
                <w:color w:val="000000" w:themeColor="text1"/>
              </w:rPr>
              <w:t xml:space="preserve"> a</w:t>
            </w:r>
            <w:r w:rsidRPr="00F73B85" w:rsidR="682A54B8">
              <w:rPr>
                <w:color w:val="000000" w:themeColor="text1"/>
              </w:rPr>
              <w:t xml:space="preserve"> lack of substantial contribution to Commission discussion of affordability and (2) </w:t>
            </w:r>
            <w:r w:rsidR="009B2ADF">
              <w:rPr>
                <w:color w:val="000000" w:themeColor="text1"/>
              </w:rPr>
              <w:t>work on</w:t>
            </w:r>
            <w:r w:rsidRPr="00F73B85" w:rsidR="682A54B8">
              <w:rPr>
                <w:color w:val="000000" w:themeColor="text1"/>
              </w:rPr>
              <w:t xml:space="preserve"> issues the Commission scoped but did not address.</w:t>
            </w:r>
            <w:r w:rsidRPr="00F73B85" w:rsidR="6E7894DE">
              <w:rPr>
                <w:color w:val="000000" w:themeColor="text1"/>
              </w:rPr>
              <w:t xml:space="preserve"> This results in a </w:t>
            </w:r>
            <w:r w:rsidRPr="00C328E7" w:rsidR="00782C7D">
              <w:rPr>
                <w:color w:val="000000" w:themeColor="text1"/>
              </w:rPr>
              <w:t xml:space="preserve">reduction </w:t>
            </w:r>
            <w:r w:rsidRPr="00C328E7" w:rsidR="6E7894DE">
              <w:rPr>
                <w:color w:val="000000" w:themeColor="text1"/>
              </w:rPr>
              <w:t xml:space="preserve">of </w:t>
            </w:r>
            <w:r w:rsidRPr="00C328E7" w:rsidR="00A97A20">
              <w:rPr>
                <w:color w:val="000000" w:themeColor="text1"/>
              </w:rPr>
              <w:t>23</w:t>
            </w:r>
            <w:r w:rsidR="00A97A20">
              <w:rPr>
                <w:color w:val="000000" w:themeColor="text1"/>
              </w:rPr>
              <w:t>.9</w:t>
            </w:r>
            <w:r w:rsidR="00321520">
              <w:rPr>
                <w:color w:val="000000" w:themeColor="text1"/>
              </w:rPr>
              <w:t>5</w:t>
            </w:r>
            <w:r w:rsidR="00A97A20">
              <w:rPr>
                <w:color w:val="000000" w:themeColor="text1"/>
              </w:rPr>
              <w:t xml:space="preserve"> </w:t>
            </w:r>
            <w:r w:rsidRPr="00F73B85" w:rsidR="6E7894DE">
              <w:rPr>
                <w:color w:val="000000" w:themeColor="text1"/>
              </w:rPr>
              <w:t xml:space="preserve">hours from UCAN’s work on Issue 2, which breaks down as follows: </w:t>
            </w:r>
          </w:p>
          <w:p w:rsidRPr="00F73B85" w:rsidR="18F65E85" w:rsidP="00F73B85" w:rsidRDefault="6E7894DE" w14:paraId="17BD4390" w14:textId="0A53F3F7">
            <w:pPr>
              <w:pStyle w:val="ListParagraph"/>
              <w:numPr>
                <w:ilvl w:val="0"/>
                <w:numId w:val="2"/>
              </w:numPr>
              <w:spacing w:before="120"/>
              <w:rPr>
                <w:rFonts w:ascii="Times New Roman" w:hAnsi="Times New Roman" w:eastAsia="Times New Roman"/>
                <w:color w:val="000000" w:themeColor="text1"/>
                <w:sz w:val="24"/>
                <w:szCs w:val="24"/>
              </w:rPr>
            </w:pPr>
            <w:r w:rsidRPr="00F73B85">
              <w:rPr>
                <w:rFonts w:ascii="Times New Roman" w:hAnsi="Times New Roman" w:eastAsia="Times New Roman"/>
                <w:color w:val="000000" w:themeColor="text1"/>
                <w:sz w:val="24"/>
                <w:szCs w:val="24"/>
              </w:rPr>
              <w:t>Lopez 2023: 0.</w:t>
            </w:r>
            <w:r w:rsidR="00B07A05">
              <w:rPr>
                <w:rFonts w:ascii="Times New Roman" w:hAnsi="Times New Roman" w:eastAsia="Times New Roman"/>
                <w:color w:val="000000" w:themeColor="text1"/>
                <w:sz w:val="24"/>
                <w:szCs w:val="24"/>
              </w:rPr>
              <w:t>75</w:t>
            </w:r>
            <w:r w:rsidRPr="00F73B85" w:rsidR="00B07A05">
              <w:rPr>
                <w:rFonts w:ascii="Times New Roman" w:hAnsi="Times New Roman" w:eastAsia="Times New Roman"/>
                <w:color w:val="000000" w:themeColor="text1"/>
                <w:sz w:val="24"/>
                <w:szCs w:val="24"/>
              </w:rPr>
              <w:t xml:space="preserve"> </w:t>
            </w:r>
            <w:r w:rsidRPr="00F73B85">
              <w:rPr>
                <w:rFonts w:ascii="Times New Roman" w:hAnsi="Times New Roman" w:eastAsia="Times New Roman"/>
                <w:color w:val="000000" w:themeColor="text1"/>
                <w:sz w:val="24"/>
                <w:szCs w:val="24"/>
              </w:rPr>
              <w:t xml:space="preserve">hours </w:t>
            </w:r>
          </w:p>
          <w:p w:rsidRPr="00F73B85" w:rsidR="18F65E85" w:rsidP="00F73B85" w:rsidRDefault="6E7894DE" w14:paraId="7706CB6A" w14:textId="4AE7F0ED">
            <w:pPr>
              <w:pStyle w:val="ListParagraph"/>
              <w:numPr>
                <w:ilvl w:val="0"/>
                <w:numId w:val="2"/>
              </w:numPr>
              <w:rPr>
                <w:rFonts w:ascii="Times New Roman" w:hAnsi="Times New Roman" w:eastAsia="Times New Roman"/>
                <w:color w:val="000000" w:themeColor="text1"/>
                <w:sz w:val="24"/>
                <w:szCs w:val="24"/>
              </w:rPr>
            </w:pPr>
            <w:r w:rsidRPr="00F73B85">
              <w:rPr>
                <w:rFonts w:ascii="Times New Roman" w:hAnsi="Times New Roman" w:eastAsia="Times New Roman"/>
                <w:color w:val="000000" w:themeColor="text1"/>
                <w:sz w:val="24"/>
                <w:szCs w:val="24"/>
              </w:rPr>
              <w:t>Lopez 2024</w:t>
            </w:r>
            <w:r w:rsidRPr="0061621D" w:rsidR="0061621D">
              <w:rPr>
                <w:rFonts w:ascii="Times New Roman" w:hAnsi="Times New Roman" w:eastAsia="Times New Roman"/>
                <w:color w:val="000000" w:themeColor="text1"/>
                <w:sz w:val="24"/>
                <w:szCs w:val="24"/>
              </w:rPr>
              <w:t xml:space="preserve">: </w:t>
            </w:r>
            <w:r w:rsidR="004C1494">
              <w:rPr>
                <w:rFonts w:ascii="Times New Roman" w:hAnsi="Times New Roman" w:eastAsia="Times New Roman"/>
                <w:color w:val="000000" w:themeColor="text1"/>
                <w:sz w:val="24"/>
                <w:szCs w:val="24"/>
              </w:rPr>
              <w:t>11.25</w:t>
            </w:r>
            <w:r w:rsidRPr="00F73B85">
              <w:rPr>
                <w:rFonts w:ascii="Times New Roman" w:hAnsi="Times New Roman" w:eastAsia="Times New Roman"/>
                <w:color w:val="000000" w:themeColor="text1"/>
                <w:sz w:val="24"/>
                <w:szCs w:val="24"/>
              </w:rPr>
              <w:t xml:space="preserve"> hours  </w:t>
            </w:r>
          </w:p>
          <w:p w:rsidRPr="00F73B85" w:rsidR="18F65E85" w:rsidP="00F73B85" w:rsidRDefault="6E7894DE" w14:paraId="7708B71D" w14:textId="4AF4CD40">
            <w:pPr>
              <w:pStyle w:val="ListParagraph"/>
              <w:numPr>
                <w:ilvl w:val="0"/>
                <w:numId w:val="2"/>
              </w:numPr>
              <w:rPr>
                <w:rFonts w:ascii="Times New Roman" w:hAnsi="Times New Roman" w:eastAsia="Times New Roman"/>
                <w:color w:val="000000" w:themeColor="text1"/>
                <w:sz w:val="24"/>
                <w:szCs w:val="24"/>
              </w:rPr>
            </w:pPr>
            <w:r w:rsidRPr="00F73B85">
              <w:rPr>
                <w:rFonts w:ascii="Times New Roman" w:hAnsi="Times New Roman" w:eastAsia="Times New Roman"/>
                <w:color w:val="000000" w:themeColor="text1"/>
                <w:sz w:val="24"/>
                <w:szCs w:val="24"/>
              </w:rPr>
              <w:t xml:space="preserve">Griffing 2024: </w:t>
            </w:r>
            <w:r w:rsidR="004C1494">
              <w:rPr>
                <w:rFonts w:ascii="Times New Roman" w:hAnsi="Times New Roman" w:eastAsia="Times New Roman"/>
                <w:color w:val="000000" w:themeColor="text1"/>
                <w:sz w:val="24"/>
                <w:szCs w:val="24"/>
              </w:rPr>
              <w:t>9.2</w:t>
            </w:r>
            <w:r w:rsidR="00A4734A">
              <w:rPr>
                <w:rFonts w:ascii="Times New Roman" w:hAnsi="Times New Roman" w:eastAsia="Times New Roman"/>
                <w:color w:val="000000" w:themeColor="text1"/>
                <w:sz w:val="24"/>
                <w:szCs w:val="24"/>
              </w:rPr>
              <w:t>0</w:t>
            </w:r>
            <w:r w:rsidRPr="00F73B85">
              <w:rPr>
                <w:rFonts w:ascii="Times New Roman" w:hAnsi="Times New Roman" w:eastAsia="Times New Roman"/>
                <w:color w:val="000000" w:themeColor="text1"/>
                <w:sz w:val="24"/>
                <w:szCs w:val="24"/>
              </w:rPr>
              <w:t xml:space="preserve"> hours </w:t>
            </w:r>
          </w:p>
          <w:p w:rsidRPr="00F73B85" w:rsidR="18F65E85" w:rsidP="00F73B85" w:rsidRDefault="6E7894DE" w14:paraId="3C8DCC2E" w14:textId="5BCA4C27">
            <w:pPr>
              <w:pStyle w:val="ListParagraph"/>
              <w:numPr>
                <w:ilvl w:val="0"/>
                <w:numId w:val="2"/>
              </w:numPr>
              <w:rPr>
                <w:rFonts w:ascii="Times New Roman" w:hAnsi="Times New Roman" w:eastAsia="Times New Roman"/>
                <w:i/>
                <w:iCs/>
                <w:color w:val="000000" w:themeColor="text1"/>
                <w:sz w:val="24"/>
                <w:szCs w:val="24"/>
              </w:rPr>
            </w:pPr>
            <w:r w:rsidRPr="00F73B85">
              <w:rPr>
                <w:rFonts w:ascii="Times New Roman" w:hAnsi="Times New Roman" w:eastAsia="Times New Roman"/>
                <w:color w:val="000000" w:themeColor="text1"/>
                <w:sz w:val="24"/>
                <w:szCs w:val="24"/>
              </w:rPr>
              <w:t xml:space="preserve">Pavlovic 2024: </w:t>
            </w:r>
            <w:r w:rsidR="00A4734A">
              <w:rPr>
                <w:rFonts w:ascii="Times New Roman" w:hAnsi="Times New Roman" w:eastAsia="Times New Roman"/>
                <w:color w:val="000000" w:themeColor="text1"/>
                <w:sz w:val="24"/>
                <w:szCs w:val="24"/>
              </w:rPr>
              <w:t>2.75</w:t>
            </w:r>
            <w:r w:rsidRPr="00F73B85">
              <w:rPr>
                <w:rFonts w:ascii="Times New Roman" w:hAnsi="Times New Roman" w:eastAsia="Times New Roman"/>
                <w:color w:val="000000" w:themeColor="text1"/>
                <w:sz w:val="24"/>
                <w:szCs w:val="24"/>
              </w:rPr>
              <w:t xml:space="preserve"> hours</w:t>
            </w:r>
          </w:p>
        </w:tc>
      </w:tr>
      <w:tr w:rsidR="00AB5C95" w:rsidTr="00532AC1" w14:paraId="7DE955EB" w14:textId="77777777">
        <w:trPr>
          <w:trHeight w:val="300"/>
        </w:trPr>
        <w:tc>
          <w:tcPr>
            <w:tcW w:w="1545" w:type="dxa"/>
          </w:tcPr>
          <w:p w:rsidRPr="133E9F8B" w:rsidR="00AB5C95" w:rsidP="133E9F8B" w:rsidRDefault="0058493D" w14:paraId="1D53E7AB" w14:textId="04B996B8">
            <w:pPr>
              <w:rPr>
                <w:color w:val="000000" w:themeColor="text1"/>
              </w:rPr>
            </w:pPr>
            <w:r>
              <w:rPr>
                <w:color w:val="000000" w:themeColor="text1"/>
              </w:rPr>
              <w:lastRenderedPageBreak/>
              <w:t>[</w:t>
            </w:r>
            <w:r w:rsidR="00496D90">
              <w:rPr>
                <w:color w:val="000000" w:themeColor="text1"/>
              </w:rPr>
              <w:t>2</w:t>
            </w:r>
            <w:r>
              <w:rPr>
                <w:color w:val="000000" w:themeColor="text1"/>
              </w:rPr>
              <w:t xml:space="preserve">] </w:t>
            </w:r>
            <w:r w:rsidR="00AB5C95">
              <w:rPr>
                <w:color w:val="000000" w:themeColor="text1"/>
              </w:rPr>
              <w:t xml:space="preserve">Lopez’s 2023 </w:t>
            </w:r>
            <w:r w:rsidR="00A15312">
              <w:rPr>
                <w:color w:val="000000" w:themeColor="text1"/>
              </w:rPr>
              <w:t>and</w:t>
            </w:r>
            <w:r w:rsidR="00AB5C95">
              <w:rPr>
                <w:color w:val="000000" w:themeColor="text1"/>
              </w:rPr>
              <w:t xml:space="preserve"> 2024 Hourly Rate</w:t>
            </w:r>
          </w:p>
        </w:tc>
        <w:tc>
          <w:tcPr>
            <w:tcW w:w="7815" w:type="dxa"/>
          </w:tcPr>
          <w:p w:rsidR="00AB5C95" w:rsidP="001B43D0" w:rsidRDefault="00AB5C95" w14:paraId="3E22362A" w14:textId="1C4C85CD">
            <w:pPr>
              <w:rPr>
                <w:color w:val="000000" w:themeColor="text1"/>
              </w:rPr>
            </w:pPr>
            <w:r w:rsidRPr="00AB5C95">
              <w:rPr>
                <w:color w:val="000000" w:themeColor="text1"/>
              </w:rPr>
              <w:t>D.25-06-028 approved a 2023 hourly rate of $460.00 for Lopez.</w:t>
            </w:r>
          </w:p>
          <w:p w:rsidR="00AB5C95" w:rsidP="00F73B85" w:rsidRDefault="00AB5C95" w14:paraId="36EB5A05" w14:textId="2175C563">
            <w:pPr>
              <w:spacing w:before="120"/>
              <w:rPr>
                <w:color w:val="000000" w:themeColor="text1"/>
              </w:rPr>
            </w:pPr>
            <w:r w:rsidRPr="00AB5C95">
              <w:rPr>
                <w:color w:val="000000" w:themeColor="text1"/>
              </w:rPr>
              <w:t>D.25-06-028 approved a 2024 hourly rate of $475.00 for Lopez.</w:t>
            </w:r>
          </w:p>
        </w:tc>
      </w:tr>
      <w:tr w:rsidR="001C7134" w:rsidTr="0058493D" w14:paraId="4DBA2400" w14:textId="77777777">
        <w:trPr>
          <w:trHeight w:val="300"/>
        </w:trPr>
        <w:tc>
          <w:tcPr>
            <w:tcW w:w="1545" w:type="dxa"/>
          </w:tcPr>
          <w:p w:rsidR="001C7134" w:rsidP="133E9F8B" w:rsidRDefault="001C7134" w14:paraId="7932D25D" w14:textId="5CBF5F65">
            <w:pPr>
              <w:rPr>
                <w:color w:val="000000" w:themeColor="text1"/>
              </w:rPr>
            </w:pPr>
            <w:r>
              <w:rPr>
                <w:color w:val="000000" w:themeColor="text1"/>
              </w:rPr>
              <w:t>[</w:t>
            </w:r>
            <w:r w:rsidR="00496D90">
              <w:rPr>
                <w:color w:val="000000" w:themeColor="text1"/>
              </w:rPr>
              <w:t>3</w:t>
            </w:r>
            <w:r>
              <w:rPr>
                <w:color w:val="000000" w:themeColor="text1"/>
              </w:rPr>
              <w:t>]</w:t>
            </w:r>
            <w:r w:rsidR="00313F4F">
              <w:rPr>
                <w:color w:val="000000" w:themeColor="text1"/>
              </w:rPr>
              <w:t xml:space="preserve"> Pavlovic’s 2024 Hourly Rate</w:t>
            </w:r>
          </w:p>
        </w:tc>
        <w:tc>
          <w:tcPr>
            <w:tcW w:w="7815" w:type="dxa"/>
          </w:tcPr>
          <w:p w:rsidR="00306761" w:rsidP="00306761" w:rsidRDefault="00564E31" w14:paraId="24604CA4" w14:textId="71CE0050">
            <w:pPr>
              <w:rPr>
                <w:color w:val="000000" w:themeColor="text1"/>
              </w:rPr>
            </w:pPr>
            <w:r>
              <w:rPr>
                <w:color w:val="000000" w:themeColor="text1"/>
              </w:rPr>
              <w:t>UCAN</w:t>
            </w:r>
            <w:r w:rsidR="00306761">
              <w:rPr>
                <w:color w:val="000000" w:themeColor="text1"/>
              </w:rPr>
              <w:t xml:space="preserve"> </w:t>
            </w:r>
            <w:r>
              <w:rPr>
                <w:color w:val="000000" w:themeColor="text1"/>
              </w:rPr>
              <w:t xml:space="preserve">identified </w:t>
            </w:r>
            <w:r w:rsidR="00496D90">
              <w:rPr>
                <w:color w:val="000000" w:themeColor="text1"/>
              </w:rPr>
              <w:t>Pavlovic</w:t>
            </w:r>
            <w:r w:rsidR="00306761">
              <w:rPr>
                <w:color w:val="000000" w:themeColor="text1"/>
              </w:rPr>
              <w:t xml:space="preserve"> as a consultant</w:t>
            </w:r>
            <w:r w:rsidR="006005F6">
              <w:rPr>
                <w:color w:val="000000" w:themeColor="text1"/>
              </w:rPr>
              <w:t xml:space="preserve"> in their claim in proceeding A.22-04-008 et al. for </w:t>
            </w:r>
            <w:r w:rsidR="00360E4B">
              <w:rPr>
                <w:color w:val="000000" w:themeColor="text1"/>
              </w:rPr>
              <w:t>contribution to D.22-12-031</w:t>
            </w:r>
            <w:r w:rsidRPr="00F47498" w:rsidR="00306761">
              <w:rPr>
                <w:color w:val="000000" w:themeColor="text1"/>
              </w:rPr>
              <w:t xml:space="preserve">. Pursuant to Commission policy, the rate requested by an intervenor must not exceed the rate billed to that intervenor by any outside consultant it hires, even if the consultant’s billed </w:t>
            </w:r>
            <w:r w:rsidRPr="00F47498" w:rsidR="00306761">
              <w:rPr>
                <w:color w:val="000000" w:themeColor="text1"/>
              </w:rPr>
              <w:lastRenderedPageBreak/>
              <w:t>rate is below the floor for a given experience level.</w:t>
            </w:r>
            <w:r w:rsidR="00496D90">
              <w:rPr>
                <w:rStyle w:val="FootnoteReference"/>
                <w:color w:val="000000" w:themeColor="text1"/>
              </w:rPr>
              <w:footnoteReference w:id="6"/>
            </w:r>
            <w:r w:rsidRPr="00F47498" w:rsidR="00306761">
              <w:rPr>
                <w:color w:val="000000" w:themeColor="text1"/>
              </w:rPr>
              <w:t xml:space="preserve"> Per the </w:t>
            </w:r>
            <w:proofErr w:type="spellStart"/>
            <w:r w:rsidRPr="00F47498" w:rsidR="00306761">
              <w:rPr>
                <w:color w:val="000000" w:themeColor="text1"/>
              </w:rPr>
              <w:t>IComp</w:t>
            </w:r>
            <w:proofErr w:type="spellEnd"/>
            <w:r w:rsidRPr="00F47498" w:rsidR="00306761">
              <w:rPr>
                <w:color w:val="000000" w:themeColor="text1"/>
              </w:rPr>
              <w:t xml:space="preserve"> Program Guide at 24, the Commission may audit the records and books of the intervenors to the extent necessary to verify the basis for the award (§ 1804(d)).</w:t>
            </w:r>
            <w:r w:rsidR="008A6BFB">
              <w:rPr>
                <w:color w:val="000000" w:themeColor="text1"/>
              </w:rPr>
              <w:t xml:space="preserve"> </w:t>
            </w:r>
            <w:r w:rsidR="00703024">
              <w:rPr>
                <w:color w:val="000000" w:themeColor="text1"/>
              </w:rPr>
              <w:t>Supplemental</w:t>
            </w:r>
            <w:r w:rsidR="008A6BFB">
              <w:rPr>
                <w:color w:val="000000" w:themeColor="text1"/>
              </w:rPr>
              <w:t xml:space="preserve"> </w:t>
            </w:r>
            <w:r w:rsidR="00703024">
              <w:rPr>
                <w:color w:val="000000" w:themeColor="text1"/>
              </w:rPr>
              <w:t>documentation</w:t>
            </w:r>
            <w:r w:rsidR="008A6BFB">
              <w:rPr>
                <w:color w:val="000000" w:themeColor="text1"/>
              </w:rPr>
              <w:t xml:space="preserve"> shows that Pavlovic is a consultant </w:t>
            </w:r>
            <w:r w:rsidR="00703024">
              <w:rPr>
                <w:color w:val="000000" w:themeColor="text1"/>
              </w:rPr>
              <w:t xml:space="preserve">with </w:t>
            </w:r>
            <w:r w:rsidRPr="00703024" w:rsidR="008A6BFB">
              <w:rPr>
                <w:color w:val="000000" w:themeColor="text1"/>
              </w:rPr>
              <w:t>PCMG and Associates, LLC</w:t>
            </w:r>
            <w:r w:rsidRPr="00703024" w:rsidR="00703024">
              <w:rPr>
                <w:color w:val="000000" w:themeColor="text1"/>
              </w:rPr>
              <w:t>.</w:t>
            </w:r>
            <w:r w:rsidR="00703024">
              <w:rPr>
                <w:b/>
                <w:bCs/>
                <w:color w:val="000000" w:themeColor="text1"/>
              </w:rPr>
              <w:t xml:space="preserve"> </w:t>
            </w:r>
          </w:p>
          <w:p w:rsidR="00306761" w:rsidP="00306761" w:rsidRDefault="00306761" w14:paraId="1D68E707" w14:textId="77777777">
            <w:pPr>
              <w:rPr>
                <w:color w:val="000000" w:themeColor="text1"/>
              </w:rPr>
            </w:pPr>
          </w:p>
          <w:p w:rsidR="005726AF" w:rsidP="00306761" w:rsidRDefault="005A21AA" w14:paraId="7D429F1E" w14:textId="1AEB68DC">
            <w:pPr>
              <w:rPr>
                <w:color w:val="000000" w:themeColor="text1"/>
              </w:rPr>
            </w:pPr>
            <w:r>
              <w:rPr>
                <w:color w:val="000000" w:themeColor="text1"/>
              </w:rPr>
              <w:t>Per the original consultant agreement</w:t>
            </w:r>
            <w:r w:rsidR="00BA154F">
              <w:rPr>
                <w:color w:val="000000" w:themeColor="text1"/>
              </w:rPr>
              <w:t xml:space="preserve"> executed in 2022</w:t>
            </w:r>
            <w:r>
              <w:rPr>
                <w:color w:val="000000" w:themeColor="text1"/>
              </w:rPr>
              <w:t>, Pavl</w:t>
            </w:r>
            <w:r w:rsidR="00B97E10">
              <w:rPr>
                <w:color w:val="000000" w:themeColor="text1"/>
              </w:rPr>
              <w:t>ovic’s billed rate was $200</w:t>
            </w:r>
            <w:r w:rsidR="00172867">
              <w:rPr>
                <w:color w:val="000000" w:themeColor="text1"/>
              </w:rPr>
              <w:t xml:space="preserve"> an hour, </w:t>
            </w:r>
            <w:r w:rsidR="00DE1C95">
              <w:rPr>
                <w:color w:val="000000" w:themeColor="text1"/>
              </w:rPr>
              <w:t xml:space="preserve">where </w:t>
            </w:r>
            <w:r w:rsidRPr="00DE1C95" w:rsidR="00DE1C95">
              <w:rPr>
                <w:color w:val="000000" w:themeColor="text1"/>
              </w:rPr>
              <w:t xml:space="preserve">UCAN </w:t>
            </w:r>
            <w:r w:rsidR="00DE1C95">
              <w:rPr>
                <w:color w:val="000000" w:themeColor="text1"/>
              </w:rPr>
              <w:t xml:space="preserve">would pay </w:t>
            </w:r>
            <w:r w:rsidRPr="00DE1C95" w:rsidR="00DE1C95">
              <w:rPr>
                <w:color w:val="000000" w:themeColor="text1"/>
              </w:rPr>
              <w:t xml:space="preserve">25% of </w:t>
            </w:r>
            <w:r w:rsidR="00DE1C95">
              <w:rPr>
                <w:color w:val="000000" w:themeColor="text1"/>
              </w:rPr>
              <w:t xml:space="preserve">this rate </w:t>
            </w:r>
            <w:r w:rsidRPr="00DE1C95" w:rsidR="00DE1C95">
              <w:rPr>
                <w:color w:val="000000" w:themeColor="text1"/>
              </w:rPr>
              <w:t>for all the hours invoiced in the proceeding</w:t>
            </w:r>
            <w:r w:rsidR="004F24C8">
              <w:rPr>
                <w:color w:val="000000" w:themeColor="text1"/>
              </w:rPr>
              <w:t xml:space="preserve"> with the </w:t>
            </w:r>
            <w:r w:rsidRPr="00DE1C95" w:rsidR="00DE1C95">
              <w:rPr>
                <w:color w:val="000000" w:themeColor="text1"/>
              </w:rPr>
              <w:t>remaining</w:t>
            </w:r>
            <w:r w:rsidR="004F24C8">
              <w:rPr>
                <w:color w:val="000000" w:themeColor="text1"/>
              </w:rPr>
              <w:t xml:space="preserve"> </w:t>
            </w:r>
            <w:r w:rsidRPr="00DE1C95" w:rsidR="00DE1C95">
              <w:rPr>
                <w:color w:val="000000" w:themeColor="text1"/>
              </w:rPr>
              <w:t xml:space="preserve">portion of the hourly billing deferred pending </w:t>
            </w:r>
            <w:r w:rsidR="004F24C8">
              <w:rPr>
                <w:color w:val="000000" w:themeColor="text1"/>
              </w:rPr>
              <w:t xml:space="preserve">this </w:t>
            </w:r>
            <w:proofErr w:type="spellStart"/>
            <w:r w:rsidR="004F24C8">
              <w:rPr>
                <w:color w:val="000000" w:themeColor="text1"/>
              </w:rPr>
              <w:t>IComp</w:t>
            </w:r>
            <w:proofErr w:type="spellEnd"/>
            <w:r w:rsidR="004F24C8">
              <w:rPr>
                <w:color w:val="000000" w:themeColor="text1"/>
              </w:rPr>
              <w:t xml:space="preserve"> award. </w:t>
            </w:r>
            <w:r w:rsidR="002065B4">
              <w:rPr>
                <w:color w:val="000000" w:themeColor="text1"/>
              </w:rPr>
              <w:t xml:space="preserve">It was also agreed that </w:t>
            </w:r>
            <w:r w:rsidRPr="00DE1C95" w:rsidR="00DE1C95">
              <w:rPr>
                <w:color w:val="000000" w:themeColor="text1"/>
              </w:rPr>
              <w:t xml:space="preserve">the UCAN </w:t>
            </w:r>
            <w:r w:rsidR="008C1B25">
              <w:rPr>
                <w:color w:val="000000" w:themeColor="text1"/>
              </w:rPr>
              <w:t xml:space="preserve">would not </w:t>
            </w:r>
            <w:r w:rsidRPr="00DE1C95" w:rsidR="00DE1C95">
              <w:rPr>
                <w:color w:val="000000" w:themeColor="text1"/>
              </w:rPr>
              <w:t xml:space="preserve">owe </w:t>
            </w:r>
            <w:r w:rsidR="00755BC0">
              <w:rPr>
                <w:color w:val="000000" w:themeColor="text1"/>
              </w:rPr>
              <w:t>the c</w:t>
            </w:r>
            <w:r w:rsidRPr="00DE1C95" w:rsidR="00DE1C95">
              <w:rPr>
                <w:color w:val="000000" w:themeColor="text1"/>
              </w:rPr>
              <w:t>onsultant, nor</w:t>
            </w:r>
            <w:r w:rsidR="00755BC0">
              <w:rPr>
                <w:color w:val="000000" w:themeColor="text1"/>
              </w:rPr>
              <w:t xml:space="preserve"> </w:t>
            </w:r>
            <w:r w:rsidRPr="00DE1C95" w:rsidR="00DE1C95">
              <w:rPr>
                <w:color w:val="000000" w:themeColor="text1"/>
              </w:rPr>
              <w:t xml:space="preserve">pay </w:t>
            </w:r>
            <w:r w:rsidR="00755BC0">
              <w:rPr>
                <w:color w:val="000000" w:themeColor="text1"/>
              </w:rPr>
              <w:t xml:space="preserve">for </w:t>
            </w:r>
            <w:r w:rsidRPr="00DE1C95" w:rsidR="00DE1C95">
              <w:rPr>
                <w:color w:val="000000" w:themeColor="text1"/>
              </w:rPr>
              <w:t>any amounts billed on invoices that are not awarded in th</w:t>
            </w:r>
            <w:r w:rsidR="005C6C82">
              <w:rPr>
                <w:color w:val="000000" w:themeColor="text1"/>
              </w:rPr>
              <w:t>is</w:t>
            </w:r>
            <w:r w:rsidRPr="00DE1C95" w:rsidR="00DE1C95">
              <w:rPr>
                <w:color w:val="000000" w:themeColor="text1"/>
              </w:rPr>
              <w:t xml:space="preserve"> </w:t>
            </w:r>
            <w:proofErr w:type="spellStart"/>
            <w:r w:rsidRPr="00DE1C95" w:rsidR="00DE1C95">
              <w:rPr>
                <w:color w:val="000000" w:themeColor="text1"/>
              </w:rPr>
              <w:t>I</w:t>
            </w:r>
            <w:r w:rsidR="00755BC0">
              <w:rPr>
                <w:color w:val="000000" w:themeColor="text1"/>
              </w:rPr>
              <w:t>Comp</w:t>
            </w:r>
            <w:proofErr w:type="spellEnd"/>
            <w:r w:rsidR="00755BC0">
              <w:rPr>
                <w:color w:val="000000" w:themeColor="text1"/>
              </w:rPr>
              <w:t xml:space="preserve"> </w:t>
            </w:r>
            <w:r w:rsidR="005C6C82">
              <w:rPr>
                <w:color w:val="000000" w:themeColor="text1"/>
              </w:rPr>
              <w:t>award</w:t>
            </w:r>
            <w:r w:rsidRPr="00DE1C95" w:rsidR="00DE1C95">
              <w:rPr>
                <w:color w:val="000000" w:themeColor="text1"/>
              </w:rPr>
              <w:t xml:space="preserve">. </w:t>
            </w:r>
            <w:r w:rsidR="005970E4">
              <w:rPr>
                <w:color w:val="000000" w:themeColor="text1"/>
              </w:rPr>
              <w:t xml:space="preserve"> UCAN and </w:t>
            </w:r>
            <w:r w:rsidRPr="00703024" w:rsidR="00455B6C">
              <w:rPr>
                <w:color w:val="000000" w:themeColor="text1"/>
              </w:rPr>
              <w:t>PCMG and Associates, LLC</w:t>
            </w:r>
            <w:r w:rsidR="00455B6C">
              <w:rPr>
                <w:color w:val="000000" w:themeColor="text1"/>
              </w:rPr>
              <w:t xml:space="preserve"> later amended their </w:t>
            </w:r>
            <w:r w:rsidR="007E3995">
              <w:rPr>
                <w:color w:val="000000" w:themeColor="text1"/>
              </w:rPr>
              <w:t xml:space="preserve">consultant </w:t>
            </w:r>
            <w:r w:rsidR="00BA154F">
              <w:rPr>
                <w:color w:val="000000" w:themeColor="text1"/>
              </w:rPr>
              <w:t>agreement in 2024</w:t>
            </w:r>
            <w:r w:rsidR="007E3995">
              <w:rPr>
                <w:color w:val="000000" w:themeColor="text1"/>
              </w:rPr>
              <w:t xml:space="preserve">.  The amendment </w:t>
            </w:r>
            <w:r w:rsidR="00AA0988">
              <w:rPr>
                <w:color w:val="000000" w:themeColor="text1"/>
              </w:rPr>
              <w:t>update</w:t>
            </w:r>
            <w:r w:rsidR="00973DE1">
              <w:rPr>
                <w:color w:val="000000" w:themeColor="text1"/>
              </w:rPr>
              <w:t>s</w:t>
            </w:r>
            <w:r w:rsidR="00AA0988">
              <w:rPr>
                <w:color w:val="000000" w:themeColor="text1"/>
              </w:rPr>
              <w:t xml:space="preserve"> Pavlovic’s billed </w:t>
            </w:r>
            <w:r w:rsidR="00C1093E">
              <w:rPr>
                <w:color w:val="000000" w:themeColor="text1"/>
              </w:rPr>
              <w:t xml:space="preserve">hourly </w:t>
            </w:r>
            <w:r w:rsidR="00AA0988">
              <w:rPr>
                <w:color w:val="000000" w:themeColor="text1"/>
              </w:rPr>
              <w:t xml:space="preserve">rate </w:t>
            </w:r>
            <w:r w:rsidR="00BA154F">
              <w:rPr>
                <w:color w:val="000000" w:themeColor="text1"/>
              </w:rPr>
              <w:t>for the exact same scope of work from $200 to $88</w:t>
            </w:r>
            <w:r w:rsidR="00C1093E">
              <w:rPr>
                <w:color w:val="000000" w:themeColor="text1"/>
              </w:rPr>
              <w:t>5</w:t>
            </w:r>
            <w:r w:rsidR="00BA154F">
              <w:rPr>
                <w:color w:val="000000" w:themeColor="text1"/>
              </w:rPr>
              <w:t>, a 343% increase.</w:t>
            </w:r>
            <w:r w:rsidR="00116A3F">
              <w:rPr>
                <w:color w:val="000000" w:themeColor="text1"/>
              </w:rPr>
              <w:t xml:space="preserve"> </w:t>
            </w:r>
            <w:r w:rsidR="00C1093E">
              <w:rPr>
                <w:color w:val="000000" w:themeColor="text1"/>
              </w:rPr>
              <w:t>All other terms remained the same.</w:t>
            </w:r>
            <w:r w:rsidR="00F60506">
              <w:rPr>
                <w:color w:val="000000" w:themeColor="text1"/>
              </w:rPr>
              <w:t xml:space="preserve"> However</w:t>
            </w:r>
            <w:r w:rsidR="00EF1CAB">
              <w:rPr>
                <w:color w:val="000000" w:themeColor="text1"/>
              </w:rPr>
              <w:t>,</w:t>
            </w:r>
            <w:r w:rsidR="00F60506">
              <w:rPr>
                <w:color w:val="000000" w:themeColor="text1"/>
              </w:rPr>
              <w:t xml:space="preserve"> UCAN </w:t>
            </w:r>
            <w:r w:rsidR="00C1093E">
              <w:rPr>
                <w:color w:val="000000" w:themeColor="text1"/>
              </w:rPr>
              <w:t xml:space="preserve"> </w:t>
            </w:r>
            <w:r w:rsidR="00BB5C4C">
              <w:rPr>
                <w:color w:val="000000" w:themeColor="text1"/>
              </w:rPr>
              <w:t xml:space="preserve"> </w:t>
            </w:r>
            <w:r w:rsidR="00F60506">
              <w:rPr>
                <w:color w:val="000000" w:themeColor="text1"/>
              </w:rPr>
              <w:t xml:space="preserve">provides no explanation </w:t>
            </w:r>
            <w:r w:rsidR="00EF1CAB">
              <w:rPr>
                <w:color w:val="000000" w:themeColor="text1"/>
              </w:rPr>
              <w:t>for</w:t>
            </w:r>
            <w:r w:rsidR="00F60506">
              <w:rPr>
                <w:color w:val="000000" w:themeColor="text1"/>
              </w:rPr>
              <w:t xml:space="preserve"> this </w:t>
            </w:r>
            <w:r w:rsidRPr="005102D7" w:rsidR="00F60506">
              <w:rPr>
                <w:color w:val="000000" w:themeColor="text1"/>
              </w:rPr>
              <w:t xml:space="preserve">large rate change </w:t>
            </w:r>
            <w:r w:rsidR="00F60506">
              <w:rPr>
                <w:color w:val="000000" w:themeColor="text1"/>
              </w:rPr>
              <w:t>in the consultant agreement.</w:t>
            </w:r>
          </w:p>
          <w:p w:rsidR="00782C3B" w:rsidP="00306761" w:rsidRDefault="00782C3B" w14:paraId="5A034443" w14:textId="2D91B760">
            <w:pPr>
              <w:rPr>
                <w:color w:val="000000" w:themeColor="text1"/>
              </w:rPr>
            </w:pPr>
          </w:p>
          <w:p w:rsidRPr="00F47498" w:rsidR="00306761" w:rsidP="006456EB" w:rsidRDefault="00782C3B" w14:paraId="5C73BAE7" w14:textId="56D6A75C">
            <w:pPr>
              <w:tabs>
                <w:tab w:val="left" w:pos="1440"/>
              </w:tabs>
              <w:rPr>
                <w:color w:val="000000" w:themeColor="text1"/>
              </w:rPr>
            </w:pPr>
            <w:r>
              <w:rPr>
                <w:color w:val="000000"/>
              </w:rPr>
              <w:t xml:space="preserve">We </w:t>
            </w:r>
            <w:r w:rsidRPr="009158B9">
              <w:rPr>
                <w:color w:val="000000"/>
              </w:rPr>
              <w:t xml:space="preserve">remind </w:t>
            </w:r>
            <w:r>
              <w:rPr>
                <w:color w:val="000000"/>
              </w:rPr>
              <w:t>UCAN</w:t>
            </w:r>
            <w:r w:rsidRPr="009158B9">
              <w:rPr>
                <w:color w:val="000000"/>
              </w:rPr>
              <w:t xml:space="preserve"> that they bear the burden of providing accurate, complete, and honest information </w:t>
            </w:r>
            <w:proofErr w:type="gramStart"/>
            <w:r w:rsidRPr="009158B9">
              <w:rPr>
                <w:color w:val="000000"/>
              </w:rPr>
              <w:t>in</w:t>
            </w:r>
            <w:proofErr w:type="gramEnd"/>
            <w:r w:rsidRPr="009158B9">
              <w:rPr>
                <w:color w:val="000000"/>
              </w:rPr>
              <w:t xml:space="preserve"> all compensation requests</w:t>
            </w:r>
            <w:r w:rsidR="005E3AFB">
              <w:rPr>
                <w:color w:val="000000"/>
              </w:rPr>
              <w:t>. Here, w</w:t>
            </w:r>
            <w:r>
              <w:rPr>
                <w:color w:val="000000"/>
              </w:rPr>
              <w:t xml:space="preserve">e </w:t>
            </w:r>
            <w:r w:rsidR="005E3AFB">
              <w:rPr>
                <w:color w:val="000000"/>
              </w:rPr>
              <w:t xml:space="preserve">will </w:t>
            </w:r>
            <w:r>
              <w:rPr>
                <w:color w:val="000000"/>
              </w:rPr>
              <w:t xml:space="preserve">rely on UCAN’s </w:t>
            </w:r>
            <w:r w:rsidRPr="009158B9">
              <w:rPr>
                <w:color w:val="000000"/>
              </w:rPr>
              <w:t>good faith representation</w:t>
            </w:r>
            <w:r w:rsidR="005E3AFB">
              <w:rPr>
                <w:color w:val="000000"/>
              </w:rPr>
              <w:t xml:space="preserve"> of this </w:t>
            </w:r>
            <w:r w:rsidRPr="009158B9">
              <w:rPr>
                <w:color w:val="000000"/>
              </w:rPr>
              <w:t xml:space="preserve">consultant agreement and payments, as </w:t>
            </w:r>
            <w:r>
              <w:rPr>
                <w:color w:val="000000"/>
              </w:rPr>
              <w:t>we do</w:t>
            </w:r>
            <w:r w:rsidRPr="009158B9">
              <w:rPr>
                <w:color w:val="000000"/>
              </w:rPr>
              <w:t xml:space="preserve"> not have the resources to review every contract or non-standard arrangement in detail.</w:t>
            </w:r>
            <w:r>
              <w:rPr>
                <w:color w:val="000000"/>
              </w:rPr>
              <w:t xml:space="preserve"> </w:t>
            </w:r>
            <w:r w:rsidRPr="526B98EB" w:rsidR="00306761">
              <w:rPr>
                <w:color w:val="000000" w:themeColor="text1"/>
              </w:rPr>
              <w:t xml:space="preserve">Moving forward, UCAN </w:t>
            </w:r>
            <w:r>
              <w:rPr>
                <w:color w:val="000000" w:themeColor="text1"/>
              </w:rPr>
              <w:t>shall</w:t>
            </w:r>
            <w:r w:rsidRPr="526B98EB" w:rsidR="00306761">
              <w:rPr>
                <w:color w:val="000000" w:themeColor="text1"/>
              </w:rPr>
              <w:t xml:space="preserve"> ensure consistency between contractual agreements and submitted claims</w:t>
            </w:r>
            <w:r>
              <w:rPr>
                <w:color w:val="000000" w:themeColor="text1"/>
              </w:rPr>
              <w:t xml:space="preserve"> and provide an explanation for </w:t>
            </w:r>
            <w:r w:rsidR="0066072F">
              <w:rPr>
                <w:color w:val="000000" w:themeColor="text1"/>
              </w:rPr>
              <w:t xml:space="preserve">any </w:t>
            </w:r>
            <w:r>
              <w:rPr>
                <w:color w:val="000000" w:themeColor="text1"/>
              </w:rPr>
              <w:t>amended contract</w:t>
            </w:r>
            <w:r w:rsidR="006456EB">
              <w:rPr>
                <w:color w:val="000000" w:themeColor="text1"/>
              </w:rPr>
              <w:t>s</w:t>
            </w:r>
            <w:r>
              <w:rPr>
                <w:color w:val="000000" w:themeColor="text1"/>
              </w:rPr>
              <w:t xml:space="preserve"> that reflect such significant changes</w:t>
            </w:r>
            <w:r w:rsidR="0066072F">
              <w:rPr>
                <w:color w:val="000000" w:themeColor="text1"/>
              </w:rPr>
              <w:t xml:space="preserve">. </w:t>
            </w:r>
            <w:r w:rsidRPr="526B98EB" w:rsidR="00306761">
              <w:rPr>
                <w:color w:val="000000" w:themeColor="text1"/>
              </w:rPr>
              <w:t xml:space="preserve"> While we approve the requested rate for this claim, future claims will be adjusted to reflect the lower documented rate, consistent with the Commission’s responsibility to safeguard ratepayer funds.</w:t>
            </w:r>
          </w:p>
          <w:p w:rsidRPr="00F47498" w:rsidR="00306761" w:rsidP="00306761" w:rsidRDefault="00306761" w14:paraId="5ED61512" w14:textId="77777777">
            <w:pPr>
              <w:rPr>
                <w:color w:val="000000" w:themeColor="text1"/>
              </w:rPr>
            </w:pPr>
          </w:p>
          <w:p w:rsidRPr="00F47498" w:rsidR="00306761" w:rsidP="00625613" w:rsidRDefault="00496D90" w14:paraId="55F3359F" w14:textId="4A6517FE">
            <w:pPr>
              <w:rPr>
                <w:color w:val="000000" w:themeColor="text1"/>
              </w:rPr>
            </w:pPr>
            <w:r>
              <w:rPr>
                <w:color w:val="000000" w:themeColor="text1"/>
              </w:rPr>
              <w:t>UCAN</w:t>
            </w:r>
            <w:r w:rsidRPr="00F47498" w:rsidR="00306761">
              <w:rPr>
                <w:color w:val="000000" w:themeColor="text1"/>
              </w:rPr>
              <w:t xml:space="preserve"> confirmed </w:t>
            </w:r>
            <w:r>
              <w:rPr>
                <w:color w:val="000000" w:themeColor="text1"/>
              </w:rPr>
              <w:t xml:space="preserve">in Attachment B of the supplement </w:t>
            </w:r>
            <w:r w:rsidRPr="00F47498" w:rsidR="00306761">
              <w:rPr>
                <w:color w:val="000000" w:themeColor="text1"/>
              </w:rPr>
              <w:t xml:space="preserve">that it </w:t>
            </w:r>
            <w:r w:rsidR="00EE2EB8">
              <w:rPr>
                <w:color w:val="000000" w:themeColor="text1"/>
              </w:rPr>
              <w:t xml:space="preserve">was invoiced </w:t>
            </w:r>
            <w:r w:rsidRPr="00F47498" w:rsidR="00306761">
              <w:rPr>
                <w:color w:val="000000" w:themeColor="text1"/>
              </w:rPr>
              <w:t>$</w:t>
            </w:r>
            <w:r>
              <w:rPr>
                <w:color w:val="000000" w:themeColor="text1"/>
              </w:rPr>
              <w:t xml:space="preserve">885 </w:t>
            </w:r>
            <w:r w:rsidRPr="00F47498" w:rsidR="00306761">
              <w:rPr>
                <w:color w:val="000000" w:themeColor="text1"/>
              </w:rPr>
              <w:t xml:space="preserve">per hour for </w:t>
            </w:r>
            <w:r w:rsidR="00EE2EB8">
              <w:rPr>
                <w:color w:val="000000" w:themeColor="text1"/>
              </w:rPr>
              <w:t>Pavlovic’s</w:t>
            </w:r>
            <w:r w:rsidRPr="00F47498" w:rsidR="00EE2EB8">
              <w:rPr>
                <w:color w:val="000000" w:themeColor="text1"/>
              </w:rPr>
              <w:t xml:space="preserve"> </w:t>
            </w:r>
            <w:r w:rsidRPr="00F47498" w:rsidR="00306761">
              <w:rPr>
                <w:color w:val="000000" w:themeColor="text1"/>
              </w:rPr>
              <w:t xml:space="preserve">work in this proceeding. </w:t>
            </w:r>
            <w:r w:rsidRPr="00625613" w:rsidR="00625613">
              <w:rPr>
                <w:color w:val="000000" w:themeColor="text1"/>
              </w:rPr>
              <w:t>Pavlovic has over 30 years of expertise in formal and mathematical logic, statistics, economics, financial analysis, econometrics, and computer modeling. He also has a B.A, M.A, and Ph.D.</w:t>
            </w:r>
            <w:r w:rsidR="00625613">
              <w:rPr>
                <w:color w:val="000000" w:themeColor="text1"/>
              </w:rPr>
              <w:t xml:space="preserve"> Based</w:t>
            </w:r>
            <w:r w:rsidR="00C44380">
              <w:rPr>
                <w:color w:val="000000" w:themeColor="text1"/>
              </w:rPr>
              <w:t xml:space="preserve"> on </w:t>
            </w:r>
            <w:r w:rsidR="002B2FC9">
              <w:rPr>
                <w:color w:val="000000" w:themeColor="text1"/>
              </w:rPr>
              <w:t>Pavlovic’s</w:t>
            </w:r>
            <w:r w:rsidRPr="00F47498" w:rsidR="00306761">
              <w:rPr>
                <w:color w:val="000000" w:themeColor="text1"/>
              </w:rPr>
              <w:t xml:space="preserve"> experience, </w:t>
            </w:r>
            <w:r w:rsidR="00C44380">
              <w:rPr>
                <w:color w:val="000000" w:themeColor="text1"/>
              </w:rPr>
              <w:t>we</w:t>
            </w:r>
            <w:r w:rsidRPr="00F47498" w:rsidR="00306761">
              <w:rPr>
                <w:color w:val="000000" w:themeColor="text1"/>
              </w:rPr>
              <w:t xml:space="preserve"> approve this rate here.</w:t>
            </w:r>
          </w:p>
          <w:p w:rsidRPr="00F47498" w:rsidR="00306761" w:rsidP="00306761" w:rsidRDefault="00306761" w14:paraId="6E5CE5AF" w14:textId="77777777">
            <w:pPr>
              <w:rPr>
                <w:color w:val="000000" w:themeColor="text1"/>
              </w:rPr>
            </w:pPr>
          </w:p>
          <w:p w:rsidRPr="00F47498" w:rsidR="00306761" w:rsidP="00306761" w:rsidRDefault="00306761" w14:paraId="7CE44B01" w14:textId="64EC28B3">
            <w:pPr>
              <w:rPr>
                <w:color w:val="000000" w:themeColor="text1"/>
              </w:rPr>
            </w:pPr>
            <w:r w:rsidRPr="00F47498">
              <w:rPr>
                <w:color w:val="000000" w:themeColor="text1"/>
              </w:rPr>
              <w:t xml:space="preserve">The award determined herein for </w:t>
            </w:r>
            <w:r w:rsidR="002B2FC9">
              <w:rPr>
                <w:color w:val="000000" w:themeColor="text1"/>
              </w:rPr>
              <w:t>Pavlovic</w:t>
            </w:r>
            <w:r w:rsidRPr="00F47498">
              <w:rPr>
                <w:color w:val="000000" w:themeColor="text1"/>
              </w:rPr>
              <w:t xml:space="preserve">’s contribution in this proceeding shall be paid in full to </w:t>
            </w:r>
            <w:r w:rsidR="00496D90">
              <w:rPr>
                <w:color w:val="000000" w:themeColor="text1"/>
              </w:rPr>
              <w:t>Pavlovic</w:t>
            </w:r>
            <w:r w:rsidRPr="00F47498">
              <w:rPr>
                <w:color w:val="000000" w:themeColor="text1"/>
              </w:rPr>
              <w:t xml:space="preserve">, and no portion of this part of the award shall be kept by </w:t>
            </w:r>
            <w:r w:rsidR="00496D90">
              <w:rPr>
                <w:color w:val="000000" w:themeColor="text1"/>
              </w:rPr>
              <w:t>UCAN</w:t>
            </w:r>
            <w:r w:rsidRPr="00F47498">
              <w:rPr>
                <w:color w:val="000000" w:themeColor="text1"/>
              </w:rPr>
              <w:t>. Additionally, the rates approved here are specific to work in this proceeding and the contract terms between the consultant and intervenor, as they are established in accordance with the Commission’s policy on consultant compensation.</w:t>
            </w:r>
          </w:p>
          <w:p w:rsidRPr="00F47498" w:rsidR="00306761" w:rsidP="00306761" w:rsidRDefault="00306761" w14:paraId="5D1E5CDF" w14:textId="77777777">
            <w:pPr>
              <w:rPr>
                <w:color w:val="000000" w:themeColor="text1"/>
              </w:rPr>
            </w:pPr>
          </w:p>
          <w:p w:rsidR="00306761" w:rsidP="00306761" w:rsidRDefault="00306761" w14:paraId="70DDCC6C" w14:textId="598179F2">
            <w:pPr>
              <w:rPr>
                <w:color w:val="000000" w:themeColor="text1"/>
              </w:rPr>
            </w:pPr>
            <w:r w:rsidRPr="526B98EB">
              <w:rPr>
                <w:color w:val="000000" w:themeColor="text1"/>
              </w:rPr>
              <w:lastRenderedPageBreak/>
              <w:t xml:space="preserve">We reiterate that it is the responsibility of the intervenor to be forthcoming about engaging consultants and the terms of the contract, to adhere to the Commission’s policy on compensation for consultant fees, and to provide the appropriate documentation with the initial claim to ensure efficient processing, and thus avoid the need for the Commission to request supplemental documentation. In this instance, </w:t>
            </w:r>
            <w:r w:rsidR="00496D90">
              <w:rPr>
                <w:color w:val="000000" w:themeColor="text1"/>
              </w:rPr>
              <w:t>UCAN</w:t>
            </w:r>
            <w:r w:rsidRPr="526B98EB">
              <w:rPr>
                <w:color w:val="000000" w:themeColor="text1"/>
              </w:rPr>
              <w:t xml:space="preserve"> did not provide all the documentation pertaining to the contract terms between Intervenor and Consultant in the initial claim and waited until the Commission requested supplemental documentation which delays the processing of the claim.  </w:t>
            </w:r>
          </w:p>
          <w:p w:rsidRPr="00AB5C95" w:rsidR="001C7134" w:rsidP="001B43D0" w:rsidRDefault="001C7134" w14:paraId="2DBD2ED3" w14:textId="77777777">
            <w:pPr>
              <w:rPr>
                <w:color w:val="000000" w:themeColor="text1"/>
              </w:rPr>
            </w:pPr>
          </w:p>
        </w:tc>
      </w:tr>
      <w:tr w:rsidR="001C7134" w:rsidTr="0058493D" w14:paraId="544A1AF6" w14:textId="77777777">
        <w:trPr>
          <w:trHeight w:val="300"/>
        </w:trPr>
        <w:tc>
          <w:tcPr>
            <w:tcW w:w="1545" w:type="dxa"/>
          </w:tcPr>
          <w:p w:rsidR="001C7134" w:rsidP="133E9F8B" w:rsidRDefault="00313F4F" w14:paraId="35D58DAC" w14:textId="0256E51A">
            <w:pPr>
              <w:rPr>
                <w:color w:val="000000" w:themeColor="text1"/>
              </w:rPr>
            </w:pPr>
            <w:r>
              <w:rPr>
                <w:color w:val="000000" w:themeColor="text1"/>
              </w:rPr>
              <w:lastRenderedPageBreak/>
              <w:t>[</w:t>
            </w:r>
            <w:r w:rsidR="00496D90">
              <w:rPr>
                <w:color w:val="000000" w:themeColor="text1"/>
              </w:rPr>
              <w:t>4</w:t>
            </w:r>
            <w:r>
              <w:rPr>
                <w:color w:val="000000" w:themeColor="text1"/>
              </w:rPr>
              <w:t xml:space="preserve">] </w:t>
            </w:r>
            <w:r w:rsidR="00D05093">
              <w:rPr>
                <w:color w:val="000000" w:themeColor="text1"/>
              </w:rPr>
              <w:t>Griffing’s 2024 Hourly Rate</w:t>
            </w:r>
          </w:p>
        </w:tc>
        <w:tc>
          <w:tcPr>
            <w:tcW w:w="7815" w:type="dxa"/>
          </w:tcPr>
          <w:p w:rsidR="00306761" w:rsidP="00306761" w:rsidRDefault="0069782D" w14:paraId="299CC6C1" w14:textId="37581DFF">
            <w:pPr>
              <w:rPr>
                <w:color w:val="000000" w:themeColor="text1"/>
              </w:rPr>
            </w:pPr>
            <w:r w:rsidRPr="0069782D">
              <w:rPr>
                <w:color w:val="000000" w:themeColor="text1"/>
              </w:rPr>
              <w:t xml:space="preserve">UCAN identified </w:t>
            </w:r>
            <w:r w:rsidR="007C01C6">
              <w:rPr>
                <w:color w:val="000000" w:themeColor="text1"/>
              </w:rPr>
              <w:t>Griffing</w:t>
            </w:r>
            <w:r w:rsidRPr="0069782D">
              <w:rPr>
                <w:color w:val="000000" w:themeColor="text1"/>
              </w:rPr>
              <w:t xml:space="preserve"> as a consultant in their claim in proceeding A.22-04-008 et al. for contribution to D.22-12-031</w:t>
            </w:r>
            <w:r w:rsidRPr="00F47498" w:rsidR="00306761">
              <w:rPr>
                <w:color w:val="000000" w:themeColor="text1"/>
              </w:rPr>
              <w:t>. Pursuant to Commission policy, the rate requested by an intervenor must not exceed the rate billed to that intervenor by any outside consultant it hires, even if the consultant’s billed rate is below the floor for a given experience level.</w:t>
            </w:r>
            <w:r w:rsidR="002B2FC9">
              <w:rPr>
                <w:rStyle w:val="FootnoteReference"/>
                <w:color w:val="000000" w:themeColor="text1"/>
              </w:rPr>
              <w:footnoteReference w:id="7"/>
            </w:r>
            <w:r w:rsidRPr="00F47498" w:rsidR="00306761">
              <w:rPr>
                <w:color w:val="000000" w:themeColor="text1"/>
              </w:rPr>
              <w:t xml:space="preserve"> Per the </w:t>
            </w:r>
            <w:proofErr w:type="spellStart"/>
            <w:r w:rsidRPr="00F47498" w:rsidR="00306761">
              <w:rPr>
                <w:color w:val="000000" w:themeColor="text1"/>
              </w:rPr>
              <w:t>IComp</w:t>
            </w:r>
            <w:proofErr w:type="spellEnd"/>
            <w:r w:rsidRPr="00F47498" w:rsidR="00306761">
              <w:rPr>
                <w:color w:val="000000" w:themeColor="text1"/>
              </w:rPr>
              <w:t xml:space="preserve"> Program Guide at 24, the Commission may audit the records and books of the intervenors to the extent necessary to verify the basis for the award (§ 1804(d)).</w:t>
            </w:r>
            <w:r w:rsidR="007C589B">
              <w:rPr>
                <w:color w:val="000000" w:themeColor="text1"/>
              </w:rPr>
              <w:t xml:space="preserve"> Supplemental documentation shows that Griffing is a consultant with </w:t>
            </w:r>
            <w:r w:rsidRPr="00703024" w:rsidR="007C589B">
              <w:rPr>
                <w:color w:val="000000" w:themeColor="text1"/>
              </w:rPr>
              <w:t>PCMG and Associates, LLC.</w:t>
            </w:r>
          </w:p>
          <w:p w:rsidR="00306761" w:rsidP="00306761" w:rsidRDefault="00306761" w14:paraId="7E81A51D" w14:textId="77777777">
            <w:pPr>
              <w:rPr>
                <w:color w:val="000000" w:themeColor="text1"/>
              </w:rPr>
            </w:pPr>
          </w:p>
          <w:p w:rsidR="007C589B" w:rsidP="007C589B" w:rsidRDefault="007C589B" w14:paraId="52125D8B" w14:textId="35998DFE">
            <w:pPr>
              <w:rPr>
                <w:color w:val="000000" w:themeColor="text1"/>
              </w:rPr>
            </w:pPr>
            <w:r>
              <w:rPr>
                <w:color w:val="000000" w:themeColor="text1"/>
              </w:rPr>
              <w:t xml:space="preserve">Per the original consultant agreement executed in 2022, Griffing’s billed rate was $200 an hour, where </w:t>
            </w:r>
            <w:r w:rsidRPr="00DE1C95">
              <w:rPr>
                <w:color w:val="000000" w:themeColor="text1"/>
              </w:rPr>
              <w:t xml:space="preserve">UCAN </w:t>
            </w:r>
            <w:r>
              <w:rPr>
                <w:color w:val="000000" w:themeColor="text1"/>
              </w:rPr>
              <w:t xml:space="preserve">would pay </w:t>
            </w:r>
            <w:r w:rsidRPr="00DE1C95">
              <w:rPr>
                <w:color w:val="000000" w:themeColor="text1"/>
              </w:rPr>
              <w:t xml:space="preserve">25% of </w:t>
            </w:r>
            <w:r>
              <w:rPr>
                <w:color w:val="000000" w:themeColor="text1"/>
              </w:rPr>
              <w:t xml:space="preserve">this rate </w:t>
            </w:r>
            <w:r w:rsidRPr="00DE1C95">
              <w:rPr>
                <w:color w:val="000000" w:themeColor="text1"/>
              </w:rPr>
              <w:t>for all the hours invoiced in the proceeding</w:t>
            </w:r>
            <w:r>
              <w:rPr>
                <w:color w:val="000000" w:themeColor="text1"/>
              </w:rPr>
              <w:t xml:space="preserve"> with the </w:t>
            </w:r>
            <w:r w:rsidRPr="00DE1C95">
              <w:rPr>
                <w:color w:val="000000" w:themeColor="text1"/>
              </w:rPr>
              <w:t>remaining</w:t>
            </w:r>
            <w:r>
              <w:rPr>
                <w:color w:val="000000" w:themeColor="text1"/>
              </w:rPr>
              <w:t xml:space="preserve"> </w:t>
            </w:r>
            <w:r w:rsidRPr="00DE1C95">
              <w:rPr>
                <w:color w:val="000000" w:themeColor="text1"/>
              </w:rPr>
              <w:t xml:space="preserve">portion of the hourly billing deferred pending </w:t>
            </w:r>
            <w:r>
              <w:rPr>
                <w:color w:val="000000" w:themeColor="text1"/>
              </w:rPr>
              <w:t xml:space="preserve">this </w:t>
            </w:r>
            <w:proofErr w:type="spellStart"/>
            <w:r>
              <w:rPr>
                <w:color w:val="000000" w:themeColor="text1"/>
              </w:rPr>
              <w:t>IComp</w:t>
            </w:r>
            <w:proofErr w:type="spellEnd"/>
            <w:r>
              <w:rPr>
                <w:color w:val="000000" w:themeColor="text1"/>
              </w:rPr>
              <w:t xml:space="preserve"> award. It was also agreed that </w:t>
            </w:r>
            <w:r w:rsidRPr="00DE1C95">
              <w:rPr>
                <w:color w:val="000000" w:themeColor="text1"/>
              </w:rPr>
              <w:t xml:space="preserve">the UCAN </w:t>
            </w:r>
            <w:r>
              <w:rPr>
                <w:color w:val="000000" w:themeColor="text1"/>
              </w:rPr>
              <w:t xml:space="preserve">would not </w:t>
            </w:r>
            <w:r w:rsidRPr="00DE1C95">
              <w:rPr>
                <w:color w:val="000000" w:themeColor="text1"/>
              </w:rPr>
              <w:t xml:space="preserve">owe </w:t>
            </w:r>
            <w:r>
              <w:rPr>
                <w:color w:val="000000" w:themeColor="text1"/>
              </w:rPr>
              <w:t>the c</w:t>
            </w:r>
            <w:r w:rsidRPr="00DE1C95">
              <w:rPr>
                <w:color w:val="000000" w:themeColor="text1"/>
              </w:rPr>
              <w:t>onsultant, nor</w:t>
            </w:r>
            <w:r>
              <w:rPr>
                <w:color w:val="000000" w:themeColor="text1"/>
              </w:rPr>
              <w:t xml:space="preserve"> </w:t>
            </w:r>
            <w:r w:rsidRPr="00DE1C95">
              <w:rPr>
                <w:color w:val="000000" w:themeColor="text1"/>
              </w:rPr>
              <w:t xml:space="preserve">pay </w:t>
            </w:r>
            <w:r>
              <w:rPr>
                <w:color w:val="000000" w:themeColor="text1"/>
              </w:rPr>
              <w:t xml:space="preserve">for </w:t>
            </w:r>
            <w:r w:rsidRPr="00DE1C95">
              <w:rPr>
                <w:color w:val="000000" w:themeColor="text1"/>
              </w:rPr>
              <w:t>any amounts billed on invoices that are not awarded in th</w:t>
            </w:r>
            <w:r>
              <w:rPr>
                <w:color w:val="000000" w:themeColor="text1"/>
              </w:rPr>
              <w:t>is</w:t>
            </w:r>
            <w:r w:rsidRPr="00DE1C95">
              <w:rPr>
                <w:color w:val="000000" w:themeColor="text1"/>
              </w:rPr>
              <w:t xml:space="preserve"> </w:t>
            </w:r>
            <w:proofErr w:type="spellStart"/>
            <w:r w:rsidRPr="00DE1C95">
              <w:rPr>
                <w:color w:val="000000" w:themeColor="text1"/>
              </w:rPr>
              <w:t>I</w:t>
            </w:r>
            <w:r>
              <w:rPr>
                <w:color w:val="000000" w:themeColor="text1"/>
              </w:rPr>
              <w:t>Comp</w:t>
            </w:r>
            <w:proofErr w:type="spellEnd"/>
            <w:r>
              <w:rPr>
                <w:color w:val="000000" w:themeColor="text1"/>
              </w:rPr>
              <w:t xml:space="preserve"> award</w:t>
            </w:r>
            <w:r w:rsidRPr="00DE1C95">
              <w:rPr>
                <w:color w:val="000000" w:themeColor="text1"/>
              </w:rPr>
              <w:t xml:space="preserve">. </w:t>
            </w:r>
            <w:r>
              <w:rPr>
                <w:color w:val="000000" w:themeColor="text1"/>
              </w:rPr>
              <w:t xml:space="preserve">UCAN and </w:t>
            </w:r>
            <w:r w:rsidRPr="00703024">
              <w:rPr>
                <w:color w:val="000000" w:themeColor="text1"/>
              </w:rPr>
              <w:t>PCMG and Associates, LLC</w:t>
            </w:r>
            <w:r>
              <w:rPr>
                <w:color w:val="000000" w:themeColor="text1"/>
              </w:rPr>
              <w:t xml:space="preserve"> later amended their consultant agreement in 2024.  The amendment updates Griffing’s billed hourly rate for the exact same scope of work from $200 to $885, a 343% increase. All other terms remained the same. However, UCAN   provides no explanation for this </w:t>
            </w:r>
            <w:r w:rsidRPr="005102D7">
              <w:rPr>
                <w:color w:val="000000" w:themeColor="text1"/>
              </w:rPr>
              <w:t xml:space="preserve">large rate change </w:t>
            </w:r>
            <w:r>
              <w:rPr>
                <w:color w:val="000000" w:themeColor="text1"/>
              </w:rPr>
              <w:t>in the consultant agreement.</w:t>
            </w:r>
          </w:p>
          <w:p w:rsidR="007C589B" w:rsidP="00306761" w:rsidRDefault="007C589B" w14:paraId="663B7FBF" w14:textId="77777777">
            <w:pPr>
              <w:rPr>
                <w:color w:val="000000" w:themeColor="text1"/>
              </w:rPr>
            </w:pPr>
          </w:p>
          <w:p w:rsidRPr="00F47498" w:rsidR="00306761" w:rsidP="00306761" w:rsidRDefault="007C589B" w14:paraId="4EA842EB" w14:textId="12188794">
            <w:pPr>
              <w:rPr>
                <w:color w:val="000000" w:themeColor="text1"/>
              </w:rPr>
            </w:pPr>
            <w:r>
              <w:rPr>
                <w:color w:val="000000"/>
              </w:rPr>
              <w:t xml:space="preserve">We </w:t>
            </w:r>
            <w:r w:rsidRPr="009158B9">
              <w:rPr>
                <w:color w:val="000000"/>
              </w:rPr>
              <w:t xml:space="preserve">remind </w:t>
            </w:r>
            <w:r>
              <w:rPr>
                <w:color w:val="000000"/>
              </w:rPr>
              <w:t>UCAN</w:t>
            </w:r>
            <w:r w:rsidRPr="009158B9">
              <w:rPr>
                <w:color w:val="000000"/>
              </w:rPr>
              <w:t xml:space="preserve"> that they bear the burden of providing accurate, complete, and honest information </w:t>
            </w:r>
            <w:proofErr w:type="gramStart"/>
            <w:r w:rsidRPr="009158B9">
              <w:rPr>
                <w:color w:val="000000"/>
              </w:rPr>
              <w:t>in</w:t>
            </w:r>
            <w:proofErr w:type="gramEnd"/>
            <w:r w:rsidRPr="009158B9">
              <w:rPr>
                <w:color w:val="000000"/>
              </w:rPr>
              <w:t xml:space="preserve"> all compensation requests</w:t>
            </w:r>
            <w:r>
              <w:rPr>
                <w:color w:val="000000"/>
              </w:rPr>
              <w:t xml:space="preserve">. Here, we will rely on UCAN’s </w:t>
            </w:r>
            <w:r w:rsidRPr="009158B9">
              <w:rPr>
                <w:color w:val="000000"/>
              </w:rPr>
              <w:t>good faith representation</w:t>
            </w:r>
            <w:r>
              <w:rPr>
                <w:color w:val="000000"/>
              </w:rPr>
              <w:t xml:space="preserve"> of this </w:t>
            </w:r>
            <w:r w:rsidRPr="009158B9">
              <w:rPr>
                <w:color w:val="000000"/>
              </w:rPr>
              <w:t xml:space="preserve">consultant agreement and payments, as </w:t>
            </w:r>
            <w:r>
              <w:rPr>
                <w:color w:val="000000"/>
              </w:rPr>
              <w:t>we do</w:t>
            </w:r>
            <w:r w:rsidRPr="009158B9">
              <w:rPr>
                <w:color w:val="000000"/>
              </w:rPr>
              <w:t xml:space="preserve"> not have the resources to review every contract or non-standard arrangement in detail.</w:t>
            </w:r>
            <w:r>
              <w:rPr>
                <w:color w:val="000000"/>
              </w:rPr>
              <w:t xml:space="preserve"> </w:t>
            </w:r>
            <w:r w:rsidRPr="526B98EB" w:rsidR="00306761">
              <w:rPr>
                <w:color w:val="000000" w:themeColor="text1"/>
              </w:rPr>
              <w:t xml:space="preserve">Moving forward, UCAN </w:t>
            </w:r>
            <w:r>
              <w:rPr>
                <w:color w:val="000000" w:themeColor="text1"/>
              </w:rPr>
              <w:t>shall</w:t>
            </w:r>
            <w:r w:rsidRPr="526B98EB" w:rsidR="00306761">
              <w:rPr>
                <w:color w:val="000000" w:themeColor="text1"/>
              </w:rPr>
              <w:t xml:space="preserve"> ensure consistency between contractual agreements and submitted claims</w:t>
            </w:r>
            <w:r w:rsidR="0066072F">
              <w:rPr>
                <w:color w:val="000000" w:themeColor="text1"/>
              </w:rPr>
              <w:t xml:space="preserve"> and provide an explanation for any amended contracts that reflect such significant changes</w:t>
            </w:r>
            <w:r w:rsidRPr="526B98EB" w:rsidR="00306761">
              <w:rPr>
                <w:color w:val="000000" w:themeColor="text1"/>
              </w:rPr>
              <w:t>. While we approve the requested rate for this claim, future claims will be adjusted to reflect the lower documented rate, consistent with the Commission’s responsibility to safeguard ratepayer funds.</w:t>
            </w:r>
          </w:p>
          <w:p w:rsidRPr="00F47498" w:rsidR="00306761" w:rsidP="00306761" w:rsidRDefault="00306761" w14:paraId="281C151A" w14:textId="77777777">
            <w:pPr>
              <w:rPr>
                <w:color w:val="000000" w:themeColor="text1"/>
              </w:rPr>
            </w:pPr>
          </w:p>
          <w:p w:rsidRPr="00F47498" w:rsidR="00306761" w:rsidP="00306761" w:rsidRDefault="002B2FC9" w14:paraId="58625738" w14:textId="5EE917F2">
            <w:pPr>
              <w:rPr>
                <w:color w:val="000000" w:themeColor="text1"/>
              </w:rPr>
            </w:pPr>
            <w:r>
              <w:rPr>
                <w:color w:val="000000" w:themeColor="text1"/>
              </w:rPr>
              <w:lastRenderedPageBreak/>
              <w:t>UCAN</w:t>
            </w:r>
            <w:r w:rsidRPr="00F47498" w:rsidR="00306761">
              <w:rPr>
                <w:color w:val="000000" w:themeColor="text1"/>
              </w:rPr>
              <w:t xml:space="preserve"> has confirmed </w:t>
            </w:r>
            <w:r>
              <w:rPr>
                <w:color w:val="000000" w:themeColor="text1"/>
              </w:rPr>
              <w:t>in Attachment B of the supplement</w:t>
            </w:r>
            <w:r w:rsidRPr="00F47498">
              <w:rPr>
                <w:color w:val="000000" w:themeColor="text1"/>
              </w:rPr>
              <w:t xml:space="preserve"> </w:t>
            </w:r>
            <w:r w:rsidRPr="00F47498" w:rsidR="00306761">
              <w:rPr>
                <w:color w:val="000000" w:themeColor="text1"/>
              </w:rPr>
              <w:t xml:space="preserve">that it </w:t>
            </w:r>
            <w:r w:rsidR="00C44380">
              <w:rPr>
                <w:color w:val="000000" w:themeColor="text1"/>
              </w:rPr>
              <w:t>was invoiced</w:t>
            </w:r>
            <w:r w:rsidRPr="00F47498" w:rsidR="00306761">
              <w:rPr>
                <w:color w:val="000000" w:themeColor="text1"/>
              </w:rPr>
              <w:t xml:space="preserve"> $</w:t>
            </w:r>
            <w:r>
              <w:rPr>
                <w:color w:val="000000" w:themeColor="text1"/>
              </w:rPr>
              <w:t>885</w:t>
            </w:r>
            <w:r w:rsidRPr="00F47498" w:rsidR="00306761">
              <w:rPr>
                <w:color w:val="000000" w:themeColor="text1"/>
              </w:rPr>
              <w:t xml:space="preserve"> per hour for </w:t>
            </w:r>
            <w:r w:rsidR="00C44380">
              <w:rPr>
                <w:color w:val="000000" w:themeColor="text1"/>
              </w:rPr>
              <w:t>Griffing’s</w:t>
            </w:r>
            <w:r w:rsidRPr="00F47498" w:rsidR="00C44380">
              <w:rPr>
                <w:color w:val="000000" w:themeColor="text1"/>
              </w:rPr>
              <w:t xml:space="preserve"> </w:t>
            </w:r>
            <w:r w:rsidRPr="00F47498" w:rsidR="00306761">
              <w:rPr>
                <w:color w:val="000000" w:themeColor="text1"/>
              </w:rPr>
              <w:t xml:space="preserve">work in this proceeding. </w:t>
            </w:r>
            <w:r w:rsidRPr="00625613" w:rsidR="00625613">
              <w:rPr>
                <w:color w:val="000000" w:themeColor="text1"/>
              </w:rPr>
              <w:t>Griffing has over 25 years of industry, government, and consulting experience. His work history includes providing economic data, reports, analysis, and leadership</w:t>
            </w:r>
            <w:r w:rsidR="00625613">
              <w:rPr>
                <w:color w:val="000000" w:themeColor="text1"/>
              </w:rPr>
              <w:t xml:space="preserve">. </w:t>
            </w:r>
            <w:r w:rsidR="00C44380">
              <w:rPr>
                <w:color w:val="000000" w:themeColor="text1"/>
              </w:rPr>
              <w:t>Based on</w:t>
            </w:r>
            <w:r w:rsidRPr="00F47498" w:rsidR="00306761">
              <w:rPr>
                <w:color w:val="000000" w:themeColor="text1"/>
              </w:rPr>
              <w:t xml:space="preserve"> </w:t>
            </w:r>
            <w:r>
              <w:rPr>
                <w:color w:val="000000" w:themeColor="text1"/>
              </w:rPr>
              <w:t>Griffing</w:t>
            </w:r>
            <w:r w:rsidRPr="00F47498" w:rsidR="00306761">
              <w:rPr>
                <w:color w:val="000000" w:themeColor="text1"/>
              </w:rPr>
              <w:t xml:space="preserve">'s experience, </w:t>
            </w:r>
            <w:r w:rsidR="00C44380">
              <w:rPr>
                <w:color w:val="000000" w:themeColor="text1"/>
              </w:rPr>
              <w:t>we</w:t>
            </w:r>
            <w:r w:rsidRPr="00F47498" w:rsidR="00306761">
              <w:rPr>
                <w:color w:val="000000" w:themeColor="text1"/>
              </w:rPr>
              <w:t xml:space="preserve"> approve this rate here.</w:t>
            </w:r>
          </w:p>
          <w:p w:rsidRPr="00F47498" w:rsidR="00306761" w:rsidP="00306761" w:rsidRDefault="00306761" w14:paraId="4FB8D1D7" w14:textId="77777777">
            <w:pPr>
              <w:rPr>
                <w:color w:val="000000" w:themeColor="text1"/>
              </w:rPr>
            </w:pPr>
          </w:p>
          <w:p w:rsidRPr="00F47498" w:rsidR="00306761" w:rsidP="00306761" w:rsidRDefault="00306761" w14:paraId="0056FE6D" w14:textId="2A9475A5">
            <w:pPr>
              <w:rPr>
                <w:color w:val="000000" w:themeColor="text1"/>
              </w:rPr>
            </w:pPr>
            <w:r w:rsidRPr="00F47498">
              <w:rPr>
                <w:color w:val="000000" w:themeColor="text1"/>
              </w:rPr>
              <w:t xml:space="preserve">The award determined herein for </w:t>
            </w:r>
            <w:r w:rsidR="002B2FC9">
              <w:rPr>
                <w:color w:val="000000" w:themeColor="text1"/>
              </w:rPr>
              <w:t>Griffing</w:t>
            </w:r>
            <w:r w:rsidRPr="00F47498">
              <w:rPr>
                <w:color w:val="000000" w:themeColor="text1"/>
              </w:rPr>
              <w:t xml:space="preserve">’s contribution in this proceeding shall be paid in full to </w:t>
            </w:r>
            <w:r w:rsidR="002B2FC9">
              <w:rPr>
                <w:color w:val="000000" w:themeColor="text1"/>
              </w:rPr>
              <w:t>Griffing</w:t>
            </w:r>
            <w:r w:rsidRPr="00F47498">
              <w:rPr>
                <w:color w:val="000000" w:themeColor="text1"/>
              </w:rPr>
              <w:t xml:space="preserve">, and no portion of this part of the award shall be kept by </w:t>
            </w:r>
            <w:r w:rsidR="002B2FC9">
              <w:rPr>
                <w:color w:val="000000" w:themeColor="text1"/>
              </w:rPr>
              <w:t>UCAN</w:t>
            </w:r>
            <w:r w:rsidRPr="00F47498">
              <w:rPr>
                <w:color w:val="000000" w:themeColor="text1"/>
              </w:rPr>
              <w:t>. Additionally, the rates approved here are specific to work in this proceeding and the contract terms between the consultant and intervenor, as they are established in accordance with the Commission’s policy on consultant compensation.</w:t>
            </w:r>
          </w:p>
          <w:p w:rsidRPr="00F47498" w:rsidR="00306761" w:rsidP="00306761" w:rsidRDefault="00306761" w14:paraId="246B3C7E" w14:textId="77777777">
            <w:pPr>
              <w:rPr>
                <w:color w:val="000000" w:themeColor="text1"/>
              </w:rPr>
            </w:pPr>
          </w:p>
          <w:p w:rsidR="00306761" w:rsidP="00306761" w:rsidRDefault="00306761" w14:paraId="40FC7DA6" w14:textId="6AB85412">
            <w:pPr>
              <w:rPr>
                <w:color w:val="000000" w:themeColor="text1"/>
              </w:rPr>
            </w:pPr>
            <w:r w:rsidRPr="526B98EB">
              <w:rPr>
                <w:color w:val="000000" w:themeColor="text1"/>
              </w:rPr>
              <w:t xml:space="preserve">We reiterate that it is the responsibility of the intervenor to be forthcoming about engaging consultants and the terms of the contract, to adhere to the Commission’s policy on compensation for consultant fees, and to provide the appropriate documentation with the initial claim to ensure efficient processing, and thus avoid the need for the Commission to request supplemental documentation. In this instance, </w:t>
            </w:r>
            <w:r w:rsidR="002B2FC9">
              <w:rPr>
                <w:color w:val="000000" w:themeColor="text1"/>
              </w:rPr>
              <w:t>UCAN</w:t>
            </w:r>
            <w:r w:rsidRPr="526B98EB">
              <w:rPr>
                <w:color w:val="000000" w:themeColor="text1"/>
              </w:rPr>
              <w:t xml:space="preserve"> did not provide all the documentation pertaining to the contract terms between Intervenor and Consultant in the initial claim and waited until the Commission requested supplemental documentation which delays the processing of the claim.  </w:t>
            </w:r>
          </w:p>
          <w:p w:rsidRPr="00AB5C95" w:rsidR="001C7134" w:rsidP="001B43D0" w:rsidRDefault="001C7134" w14:paraId="5CA8D6ED" w14:textId="77777777">
            <w:pPr>
              <w:rPr>
                <w:color w:val="000000" w:themeColor="text1"/>
              </w:rPr>
            </w:pPr>
          </w:p>
        </w:tc>
      </w:tr>
      <w:tr w:rsidR="00A05307" w:rsidTr="00E71014" w14:paraId="414A1CDF" w14:textId="77777777">
        <w:trPr>
          <w:trHeight w:val="300"/>
        </w:trPr>
        <w:tc>
          <w:tcPr>
            <w:tcW w:w="1545" w:type="dxa"/>
          </w:tcPr>
          <w:p w:rsidR="00A05307" w:rsidP="133E9F8B" w:rsidRDefault="0058493D" w14:paraId="59FD1564" w14:textId="50D3F920">
            <w:pPr>
              <w:rPr>
                <w:color w:val="000000" w:themeColor="text1"/>
              </w:rPr>
            </w:pPr>
            <w:r>
              <w:rPr>
                <w:color w:val="000000" w:themeColor="text1"/>
              </w:rPr>
              <w:lastRenderedPageBreak/>
              <w:t>[</w:t>
            </w:r>
            <w:r w:rsidR="00496D90">
              <w:rPr>
                <w:color w:val="000000" w:themeColor="text1"/>
              </w:rPr>
              <w:t>5</w:t>
            </w:r>
            <w:r>
              <w:rPr>
                <w:color w:val="000000" w:themeColor="text1"/>
              </w:rPr>
              <w:t xml:space="preserve">] </w:t>
            </w:r>
            <w:r w:rsidRPr="00A05307" w:rsidR="00A05307">
              <w:rPr>
                <w:color w:val="000000" w:themeColor="text1"/>
              </w:rPr>
              <w:t>Cook-Sloan</w:t>
            </w:r>
            <w:r w:rsidR="00A05307">
              <w:rPr>
                <w:color w:val="000000" w:themeColor="text1"/>
              </w:rPr>
              <w:t>’s 2024 Hourly Rate</w:t>
            </w:r>
          </w:p>
        </w:tc>
        <w:tc>
          <w:tcPr>
            <w:tcW w:w="7815" w:type="dxa"/>
          </w:tcPr>
          <w:p w:rsidR="001E7C30" w:rsidP="001B43D0" w:rsidRDefault="00A05307" w14:paraId="12FE96FE" w14:textId="77777777">
            <w:pPr>
              <w:rPr>
                <w:color w:val="000000" w:themeColor="text1"/>
              </w:rPr>
            </w:pPr>
            <w:r w:rsidRPr="00A05307">
              <w:rPr>
                <w:color w:val="000000" w:themeColor="text1"/>
              </w:rPr>
              <w:t>D.25-02-024 approved a 2024 hourly rate of $215.00 for Cook-Sloan.</w:t>
            </w:r>
            <w:r w:rsidR="004122B8">
              <w:rPr>
                <w:color w:val="000000" w:themeColor="text1"/>
              </w:rPr>
              <w:t xml:space="preserve"> </w:t>
            </w:r>
          </w:p>
          <w:p w:rsidR="001E7C30" w:rsidP="001B43D0" w:rsidRDefault="001E7C30" w14:paraId="48261431" w14:textId="77777777">
            <w:pPr>
              <w:rPr>
                <w:color w:val="000000" w:themeColor="text1"/>
              </w:rPr>
            </w:pPr>
          </w:p>
          <w:p w:rsidRPr="00AB5C95" w:rsidR="00A05307" w:rsidP="001B43D0" w:rsidRDefault="001E7C30" w14:paraId="5D2A77FD" w14:textId="45FF8E24">
            <w:pPr>
              <w:rPr>
                <w:color w:val="000000" w:themeColor="text1"/>
              </w:rPr>
            </w:pPr>
            <w:r w:rsidRPr="001E7C30">
              <w:rPr>
                <w:color w:val="000000" w:themeColor="text1"/>
              </w:rPr>
              <w:t>Intervenor Compensation claim preparation is rated at ½ preparer’s normal rate, bringing the 2025 claim preparation rate to $</w:t>
            </w:r>
            <w:r>
              <w:rPr>
                <w:color w:val="000000" w:themeColor="text1"/>
              </w:rPr>
              <w:t>107.50</w:t>
            </w:r>
            <w:r w:rsidRPr="001E7C30">
              <w:rPr>
                <w:color w:val="000000" w:themeColor="text1"/>
              </w:rPr>
              <w:t>.</w:t>
            </w:r>
          </w:p>
        </w:tc>
      </w:tr>
      <w:tr w:rsidR="00EF1CAB" w:rsidTr="00E71014" w14:paraId="0A213E90" w14:textId="77777777">
        <w:trPr>
          <w:trHeight w:val="300"/>
        </w:trPr>
        <w:tc>
          <w:tcPr>
            <w:tcW w:w="1545" w:type="dxa"/>
          </w:tcPr>
          <w:p w:rsidR="00EF1CAB" w:rsidP="133E9F8B" w:rsidRDefault="00165297" w14:paraId="5DD2B929" w14:textId="747C5359">
            <w:pPr>
              <w:rPr>
                <w:color w:val="000000" w:themeColor="text1"/>
              </w:rPr>
            </w:pPr>
            <w:r>
              <w:rPr>
                <w:color w:val="000000" w:themeColor="text1"/>
              </w:rPr>
              <w:t>[6]</w:t>
            </w:r>
            <w:r w:rsidR="009011C9">
              <w:rPr>
                <w:color w:val="000000"/>
              </w:rPr>
              <w:t xml:space="preserve"> </w:t>
            </w:r>
            <w:r w:rsidRPr="00A54276" w:rsidR="009011C9">
              <w:rPr>
                <w:color w:val="000000"/>
              </w:rPr>
              <w:t>Intervenor Responsibility for Transparency and Accuracy in Compensation Requests</w:t>
            </w:r>
          </w:p>
        </w:tc>
        <w:tc>
          <w:tcPr>
            <w:tcW w:w="7815" w:type="dxa"/>
          </w:tcPr>
          <w:p w:rsidR="006436A8" w:rsidP="006436A8" w:rsidRDefault="006436A8" w14:paraId="4E13F768" w14:textId="77777777">
            <w:pPr>
              <w:tabs>
                <w:tab w:val="left" w:pos="1440"/>
              </w:tabs>
              <w:rPr>
                <w:color w:val="000000"/>
              </w:rPr>
            </w:pPr>
            <w:r w:rsidRPr="009158B9">
              <w:rPr>
                <w:color w:val="000000"/>
              </w:rPr>
              <w:t xml:space="preserve">The Commission takes this opportunity to remind all intervenors that they bear the burden of providing accurate, complete, and honest information </w:t>
            </w:r>
            <w:proofErr w:type="gramStart"/>
            <w:r w:rsidRPr="009158B9">
              <w:rPr>
                <w:color w:val="000000"/>
              </w:rPr>
              <w:t>in</w:t>
            </w:r>
            <w:proofErr w:type="gramEnd"/>
            <w:r w:rsidRPr="009158B9">
              <w:rPr>
                <w:color w:val="000000"/>
              </w:rPr>
              <w:t xml:space="preserve"> all compensation requests. The Commission relies on intervenors' good faith representations, particularly regarding consultant agreements and payments, as it does not have the resources to review every contract or non-standard arrangement in detail.</w:t>
            </w:r>
          </w:p>
          <w:p w:rsidRPr="009158B9" w:rsidR="006436A8" w:rsidP="006436A8" w:rsidRDefault="006436A8" w14:paraId="2648BCC5" w14:textId="77777777">
            <w:pPr>
              <w:tabs>
                <w:tab w:val="left" w:pos="1440"/>
              </w:tabs>
              <w:rPr>
                <w:color w:val="000000"/>
              </w:rPr>
            </w:pPr>
          </w:p>
          <w:p w:rsidRPr="009158B9" w:rsidR="006436A8" w:rsidP="006436A8" w:rsidRDefault="006436A8" w14:paraId="6F072B5E" w14:textId="77777777">
            <w:pPr>
              <w:tabs>
                <w:tab w:val="left" w:pos="1440"/>
              </w:tabs>
              <w:rPr>
                <w:color w:val="000000"/>
              </w:rPr>
            </w:pPr>
            <w:r w:rsidRPr="009158B9">
              <w:rPr>
                <w:color w:val="000000"/>
              </w:rPr>
              <w:t>Intervenor compensation is funded by ratepayers, and the Commission takes seriously any effort to mislead or obscure the financial basis for a claim. Although no violation of Rule 1.1 has been found in this instance, we remind intervenors that under Rule 1.1, intent to deceive is not required for a violation, misstatements may still be actionable. Dishonest or misleading claims not only risk denial of compensation but may also subject the intervenor to penalties.</w:t>
            </w:r>
          </w:p>
          <w:p w:rsidRPr="009158B9" w:rsidR="006436A8" w:rsidP="006436A8" w:rsidRDefault="006436A8" w14:paraId="0117A625" w14:textId="77777777">
            <w:pPr>
              <w:tabs>
                <w:tab w:val="left" w:pos="1440"/>
              </w:tabs>
              <w:rPr>
                <w:color w:val="000000"/>
              </w:rPr>
            </w:pPr>
          </w:p>
          <w:p w:rsidRPr="00A05307" w:rsidR="00EF1CAB" w:rsidP="006436A8" w:rsidRDefault="006436A8" w14:paraId="781649FC" w14:textId="034D89A0">
            <w:pPr>
              <w:rPr>
                <w:color w:val="000000" w:themeColor="text1"/>
              </w:rPr>
            </w:pPr>
            <w:r w:rsidRPr="009158B9">
              <w:rPr>
                <w:color w:val="000000"/>
              </w:rPr>
              <w:t xml:space="preserve">The Commission has clear authority to audit intervenors' books and records to verify the basis for any award. Intervenors must therefore ensure full </w:t>
            </w:r>
            <w:r w:rsidRPr="009158B9">
              <w:rPr>
                <w:color w:val="000000"/>
              </w:rPr>
              <w:lastRenderedPageBreak/>
              <w:t>transparency regarding actual time spent on issues, consultant fees, payment arrangements, and the actual disbursement of funds. Failure to meet this obligation undermines the integrity of the compensation process and may lead to denial of claims or further enforcement action.</w:t>
            </w:r>
          </w:p>
        </w:tc>
      </w:tr>
    </w:tbl>
    <w:p w:rsidRPr="007F620E" w:rsidR="00A92D0B" w:rsidP="006259C7" w:rsidRDefault="00A92D0B" w14:paraId="18E9D359" w14:textId="227187D4">
      <w:pPr>
        <w:keepNext/>
        <w:tabs>
          <w:tab w:val="left" w:pos="1260"/>
        </w:tabs>
        <w:spacing w:before="360"/>
        <w:jc w:val="center"/>
        <w:rPr>
          <w:b/>
          <w:color w:val="000000"/>
        </w:rPr>
      </w:pPr>
      <w:r w:rsidRPr="007F620E">
        <w:rPr>
          <w:b/>
          <w:color w:val="000000"/>
        </w:rPr>
        <w:lastRenderedPageBreak/>
        <w:t>PART IV:</w:t>
      </w:r>
      <w:r w:rsidR="00D1778A">
        <w:rPr>
          <w:b/>
          <w:color w:val="000000"/>
        </w:rPr>
        <w:t xml:space="preserve"> </w:t>
      </w:r>
      <w:r w:rsidRPr="007F620E">
        <w:rPr>
          <w:b/>
          <w:color w:val="000000"/>
        </w:rPr>
        <w:t>OPPOSITIONS AND COMMENTS</w:t>
      </w:r>
    </w:p>
    <w:p w:rsidR="00D1778A" w:rsidP="00575494" w:rsidRDefault="00A92D0B" w14:paraId="4E460EA0" w14:textId="77777777">
      <w:pPr>
        <w:keepNext/>
        <w:tabs>
          <w:tab w:val="left" w:pos="1260"/>
        </w:tabs>
        <w:ind w:left="1267" w:hanging="1267"/>
        <w:jc w:val="center"/>
        <w:rPr>
          <w:b/>
          <w:color w:val="000000"/>
        </w:rPr>
      </w:pPr>
      <w:r w:rsidRPr="007F620E">
        <w:rPr>
          <w:b/>
          <w:color w:val="000000"/>
        </w:rPr>
        <w:t>Within 30 days after service of this Claim, Commission Staff</w:t>
      </w:r>
    </w:p>
    <w:p w:rsidRPr="007F620E" w:rsidR="00A92D0B" w:rsidP="00575494" w:rsidRDefault="00F20061" w14:paraId="5D5DC317" w14:textId="6B3AEA94">
      <w:pPr>
        <w:keepNext/>
        <w:tabs>
          <w:tab w:val="left" w:pos="1260"/>
        </w:tabs>
        <w:spacing w:after="240"/>
        <w:ind w:left="1267" w:hanging="1267"/>
        <w:jc w:val="center"/>
        <w:rPr>
          <w:b/>
          <w:color w:val="000000"/>
        </w:rPr>
      </w:pPr>
      <w:r>
        <w:rPr>
          <w:b/>
          <w:color w:val="000000"/>
        </w:rPr>
        <w:t xml:space="preserve"> </w:t>
      </w:r>
      <w:r w:rsidRPr="007F620E" w:rsidR="00A92D0B">
        <w:rPr>
          <w:b/>
          <w:color w:val="000000"/>
        </w:rPr>
        <w:t>or any other party may file a response to the Claim (</w:t>
      </w:r>
      <w:r w:rsidRPr="007F620E" w:rsidR="00A92D0B">
        <w:rPr>
          <w:b/>
          <w:i/>
          <w:color w:val="000000"/>
        </w:rPr>
        <w:t>see</w:t>
      </w:r>
      <w:r w:rsidRPr="007F620E" w:rsidR="00A92D0B">
        <w:rPr>
          <w:b/>
          <w:color w:val="000000"/>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7F620E" w:rsidR="00A92D0B" w:rsidTr="03A7085E" w14:paraId="46A51699" w14:textId="77777777">
        <w:tc>
          <w:tcPr>
            <w:tcW w:w="7336" w:type="dxa"/>
          </w:tcPr>
          <w:p w:rsidRPr="007F620E" w:rsidR="00A92D0B" w:rsidP="005A3018" w:rsidRDefault="00A92D0B" w14:paraId="607B1FB9" w14:textId="639D7800">
            <w:pPr>
              <w:ind w:left="360" w:hanging="360"/>
              <w:rPr>
                <w:color w:val="000000"/>
              </w:rPr>
            </w:pPr>
            <w:r w:rsidRPr="03A7085E">
              <w:rPr>
                <w:b/>
                <w:bCs/>
                <w:color w:val="000000" w:themeColor="text1"/>
              </w:rPr>
              <w:t>A.</w:t>
            </w:r>
            <w:r>
              <w:tab/>
            </w:r>
            <w:r w:rsidRPr="03A7085E">
              <w:rPr>
                <w:b/>
                <w:bCs/>
                <w:color w:val="000000" w:themeColor="text1"/>
              </w:rPr>
              <w:t>Opposition:  Did any party oppose the Claim?</w:t>
            </w:r>
          </w:p>
        </w:tc>
        <w:tc>
          <w:tcPr>
            <w:tcW w:w="2024" w:type="dxa"/>
          </w:tcPr>
          <w:p w:rsidRPr="007F620E" w:rsidR="00A92D0B" w:rsidP="005A3018" w:rsidRDefault="00115553" w14:paraId="6E7CD931" w14:textId="2D9C9421">
            <w:pPr>
              <w:rPr>
                <w:color w:val="000000"/>
              </w:rPr>
            </w:pPr>
            <w:r>
              <w:rPr>
                <w:color w:val="000000"/>
              </w:rPr>
              <w:t>No</w:t>
            </w:r>
          </w:p>
        </w:tc>
      </w:tr>
    </w:tbl>
    <w:p w:rsidRPr="007F620E" w:rsidR="00A92D0B" w:rsidRDefault="00A92D0B" w14:paraId="23420BFC" w14:textId="77777777">
      <w:pPr>
        <w:tabs>
          <w:tab w:val="left" w:pos="1260"/>
        </w:tabs>
        <w:spacing w:before="60"/>
        <w:ind w:left="1267" w:hanging="1267"/>
        <w:jc w:val="center"/>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1"/>
        <w:gridCol w:w="2029"/>
      </w:tblGrid>
      <w:tr w:rsidRPr="007F620E" w:rsidR="00A92D0B" w:rsidTr="005A3018" w14:paraId="7A0D8740" w14:textId="77777777">
        <w:tc>
          <w:tcPr>
            <w:tcW w:w="7488" w:type="dxa"/>
          </w:tcPr>
          <w:p w:rsidRPr="00100142" w:rsidR="00A92D0B" w:rsidP="005A3018" w:rsidRDefault="00A92D0B" w14:paraId="37D28D8D" w14:textId="4491DFC7">
            <w:pPr>
              <w:ind w:left="360" w:hanging="360"/>
              <w:rPr>
                <w:color w:val="000000"/>
                <w:highlight w:val="yellow"/>
              </w:rPr>
            </w:pPr>
            <w:r w:rsidRPr="00C414F0">
              <w:rPr>
                <w:b/>
                <w:color w:val="000000"/>
              </w:rPr>
              <w:t>B.</w:t>
            </w:r>
            <w:r w:rsidRPr="00C414F0" w:rsidR="005A3018">
              <w:rPr>
                <w:b/>
                <w:color w:val="000000"/>
              </w:rPr>
              <w:tab/>
            </w:r>
            <w:r w:rsidRPr="00C414F0">
              <w:rPr>
                <w:b/>
                <w:color w:val="000000"/>
              </w:rPr>
              <w:t>Comment Period</w:t>
            </w:r>
            <w:r w:rsidRPr="00C414F0" w:rsidR="001D0404">
              <w:rPr>
                <w:b/>
                <w:color w:val="000000"/>
              </w:rPr>
              <w:t>: Was</w:t>
            </w:r>
            <w:r w:rsidRPr="00C414F0">
              <w:rPr>
                <w:b/>
                <w:color w:val="000000"/>
              </w:rPr>
              <w:t xml:space="preserve"> the 30-day comment period waived (</w:t>
            </w:r>
            <w:r w:rsidRPr="00C414F0">
              <w:rPr>
                <w:b/>
                <w:i/>
                <w:color w:val="000000"/>
              </w:rPr>
              <w:t>see</w:t>
            </w:r>
            <w:r w:rsidRPr="00C414F0" w:rsidR="00A60203">
              <w:rPr>
                <w:b/>
                <w:color w:val="000000"/>
              </w:rPr>
              <w:t> </w:t>
            </w:r>
            <w:r w:rsidRPr="00C414F0">
              <w:rPr>
                <w:b/>
                <w:color w:val="000000"/>
              </w:rPr>
              <w:t>Rule 14.6(</w:t>
            </w:r>
            <w:r w:rsidRPr="00C414F0" w:rsidR="00963EEF">
              <w:rPr>
                <w:b/>
                <w:color w:val="000000"/>
              </w:rPr>
              <w:t>c</w:t>
            </w:r>
            <w:r w:rsidRPr="00C414F0">
              <w:rPr>
                <w:b/>
                <w:color w:val="000000"/>
              </w:rPr>
              <w:t>)(6))?</w:t>
            </w:r>
          </w:p>
        </w:tc>
        <w:tc>
          <w:tcPr>
            <w:tcW w:w="2070" w:type="dxa"/>
          </w:tcPr>
          <w:p w:rsidRPr="00100142" w:rsidR="00A92D0B" w:rsidP="00DE3A5D" w:rsidRDefault="002B2FC9" w14:paraId="238D2D3F" w14:textId="3D4067B3">
            <w:pPr>
              <w:keepNext/>
              <w:keepLines/>
              <w:spacing w:after="240"/>
              <w:rPr>
                <w:color w:val="000000"/>
                <w:highlight w:val="yellow"/>
              </w:rPr>
            </w:pPr>
            <w:r w:rsidRPr="00C414F0">
              <w:rPr>
                <w:color w:val="000000"/>
              </w:rPr>
              <w:t>Yes</w:t>
            </w:r>
          </w:p>
        </w:tc>
      </w:tr>
    </w:tbl>
    <w:p w:rsidRPr="007F620E" w:rsidR="00A92D0B" w:rsidP="00CE057B" w:rsidRDefault="00A92D0B" w14:paraId="186E115A" w14:textId="77777777">
      <w:pPr>
        <w:keepNext/>
        <w:spacing w:before="480" w:after="240"/>
        <w:jc w:val="center"/>
        <w:rPr>
          <w:b/>
          <w:color w:val="000000"/>
          <w:u w:val="single"/>
        </w:rPr>
      </w:pPr>
      <w:r w:rsidRPr="007F620E">
        <w:rPr>
          <w:b/>
          <w:color w:val="000000"/>
          <w:u w:val="single"/>
        </w:rPr>
        <w:t>FINDINGS OF FACT</w:t>
      </w:r>
    </w:p>
    <w:p w:rsidRPr="007F620E" w:rsidR="00A92D0B" w:rsidRDefault="00163931" w14:paraId="7772A9DC" w14:textId="61C7D12F">
      <w:pPr>
        <w:numPr>
          <w:ilvl w:val="0"/>
          <w:numId w:val="5"/>
        </w:numPr>
        <w:tabs>
          <w:tab w:val="num" w:pos="540"/>
        </w:tabs>
        <w:ind w:left="540" w:hanging="540"/>
      </w:pPr>
      <w:r w:rsidRPr="00F73B85">
        <w:rPr>
          <w:bCs/>
        </w:rPr>
        <w:t>Utility Consumers’ Action Network</w:t>
      </w:r>
      <w:r w:rsidRPr="002B1F6B" w:rsidR="00FE3BAE">
        <w:t xml:space="preserve"> </w:t>
      </w:r>
      <w:r w:rsidRPr="002B1F6B" w:rsidR="00A92D0B">
        <w:t>has made a substantia</w:t>
      </w:r>
      <w:r w:rsidRPr="002B1F6B" w:rsidR="00DE3A5D">
        <w:t xml:space="preserve">l contribution to </w:t>
      </w:r>
      <w:r w:rsidRPr="00F73B85" w:rsidR="0063296F">
        <w:t>D.24-10-008</w:t>
      </w:r>
      <w:r w:rsidRPr="002B1F6B" w:rsidR="00A92D0B">
        <w:t>.</w:t>
      </w:r>
    </w:p>
    <w:p w:rsidRPr="007F620E" w:rsidR="00A92D0B" w:rsidRDefault="00A92D0B" w14:paraId="04EB50FD" w14:textId="2F3A2090">
      <w:pPr>
        <w:numPr>
          <w:ilvl w:val="0"/>
          <w:numId w:val="5"/>
        </w:numPr>
        <w:tabs>
          <w:tab w:val="num" w:pos="540"/>
        </w:tabs>
        <w:spacing w:before="240"/>
      </w:pPr>
      <w:r w:rsidRPr="007F620E">
        <w:t>The requested hourly rates for</w:t>
      </w:r>
      <w:r w:rsidR="003B6A1B">
        <w:t xml:space="preserve"> </w:t>
      </w:r>
      <w:bookmarkStart w:name="_Hlk201319723" w:id="0"/>
      <w:r w:rsidRPr="00F73B85" w:rsidR="00163931">
        <w:rPr>
          <w:bCs/>
        </w:rPr>
        <w:t>Utility Consumers’ Action Network</w:t>
      </w:r>
      <w:bookmarkEnd w:id="0"/>
      <w:r w:rsidRPr="002B1F6B" w:rsidR="005A63D4">
        <w:rPr>
          <w:bCs/>
        </w:rPr>
        <w:t>’s</w:t>
      </w:r>
      <w:r w:rsidRPr="007F620E" w:rsidR="005A63D4">
        <w:t xml:space="preserve"> </w:t>
      </w:r>
      <w:r w:rsidRPr="007F620E">
        <w:t>representatives,</w:t>
      </w:r>
      <w:r w:rsidR="003B5EAC">
        <w:t xml:space="preserve"> </w:t>
      </w:r>
      <w:r w:rsidRPr="007F620E">
        <w:t>as adjusted herein, are comparable to market rates paid to experts and advocates having comparable training and experience and offering similar services.</w:t>
      </w:r>
    </w:p>
    <w:p w:rsidRPr="007F620E" w:rsidR="00A92D0B" w:rsidRDefault="00A92D0B" w14:paraId="528EBB52" w14:textId="0540F3DF">
      <w:pPr>
        <w:numPr>
          <w:ilvl w:val="0"/>
          <w:numId w:val="5"/>
        </w:numPr>
        <w:tabs>
          <w:tab w:val="num" w:pos="540"/>
        </w:tabs>
        <w:spacing w:before="240"/>
      </w:pPr>
      <w:r w:rsidRPr="007F620E">
        <w:t>The claimed costs and expenses,</w:t>
      </w:r>
      <w:r w:rsidR="003B5EAC">
        <w:t xml:space="preserve"> </w:t>
      </w:r>
      <w:r w:rsidRPr="007F620E">
        <w:t xml:space="preserve">as adjusted herein, are reasonable and commensurate with the work performed. </w:t>
      </w:r>
    </w:p>
    <w:p w:rsidRPr="007F620E" w:rsidR="00A92D0B" w:rsidRDefault="00A92D0B" w14:paraId="48B52895" w14:textId="3CF841A2">
      <w:pPr>
        <w:numPr>
          <w:ilvl w:val="0"/>
          <w:numId w:val="5"/>
        </w:numPr>
        <w:tabs>
          <w:tab w:val="num" w:pos="540"/>
        </w:tabs>
        <w:spacing w:before="240"/>
      </w:pPr>
      <w:r w:rsidRPr="007F620E">
        <w:t xml:space="preserve">The total of reasonable </w:t>
      </w:r>
      <w:r w:rsidRPr="007F620E" w:rsidR="003C608A">
        <w:t xml:space="preserve">compensation </w:t>
      </w:r>
      <w:r w:rsidRPr="007F620E">
        <w:t>is $</w:t>
      </w:r>
      <w:r w:rsidR="00955BE1">
        <w:t>104,866.23.</w:t>
      </w:r>
    </w:p>
    <w:p w:rsidRPr="007F620E" w:rsidR="00A92D0B" w:rsidP="00CE057B" w:rsidRDefault="00A92D0B" w14:paraId="5C773C3F" w14:textId="77777777">
      <w:pPr>
        <w:keepNext/>
        <w:spacing w:before="480" w:after="240"/>
        <w:jc w:val="center"/>
        <w:rPr>
          <w:b/>
          <w:color w:val="000000"/>
          <w:u w:val="single"/>
        </w:rPr>
      </w:pPr>
      <w:r w:rsidRPr="007F620E">
        <w:rPr>
          <w:b/>
          <w:color w:val="000000"/>
          <w:u w:val="single"/>
        </w:rPr>
        <w:t>CONCLUSION OF LAW</w:t>
      </w:r>
    </w:p>
    <w:p w:rsidRPr="007F620E" w:rsidR="00A92D0B" w:rsidP="00575494" w:rsidRDefault="00A92D0B" w14:paraId="654F2C27" w14:textId="7D4D74E3">
      <w:pPr>
        <w:numPr>
          <w:ilvl w:val="0"/>
          <w:numId w:val="12"/>
        </w:numPr>
        <w:spacing w:before="240"/>
        <w:rPr>
          <w:color w:val="000000"/>
        </w:rPr>
      </w:pPr>
      <w:r w:rsidRPr="00575494">
        <w:t>The</w:t>
      </w:r>
      <w:r w:rsidRPr="007F620E">
        <w:rPr>
          <w:color w:val="000000"/>
        </w:rPr>
        <w:t xml:space="preserve"> Claim, with any adjustment set forth above, satisfies</w:t>
      </w:r>
      <w:r w:rsidRPr="007F620E" w:rsidR="00DE3A5D">
        <w:rPr>
          <w:color w:val="000000"/>
        </w:rPr>
        <w:t xml:space="preserve"> all requirements of Pub. Util.</w:t>
      </w:r>
      <w:r w:rsidRPr="007F620E">
        <w:rPr>
          <w:color w:val="000000"/>
        </w:rPr>
        <w:t xml:space="preserve"> Code §§ 1801-1812.</w:t>
      </w:r>
    </w:p>
    <w:p w:rsidRPr="007F620E" w:rsidR="00A92D0B" w:rsidP="00CE057B" w:rsidRDefault="00A92D0B" w14:paraId="0E2503A5" w14:textId="77777777">
      <w:pPr>
        <w:keepNext/>
        <w:spacing w:before="480" w:after="240"/>
        <w:jc w:val="center"/>
        <w:rPr>
          <w:b/>
          <w:color w:val="000000"/>
          <w:u w:val="single"/>
        </w:rPr>
      </w:pPr>
      <w:r w:rsidRPr="007F620E">
        <w:rPr>
          <w:b/>
          <w:color w:val="000000"/>
          <w:u w:val="single"/>
        </w:rPr>
        <w:t>ORDER</w:t>
      </w:r>
    </w:p>
    <w:p w:rsidRPr="007F620E" w:rsidR="00A92D0B" w:rsidP="00CE057B" w:rsidRDefault="00163931" w14:paraId="33FB4E15" w14:textId="300DA8D8">
      <w:pPr>
        <w:keepNext/>
        <w:numPr>
          <w:ilvl w:val="0"/>
          <w:numId w:val="6"/>
        </w:numPr>
        <w:tabs>
          <w:tab w:val="clear" w:pos="900"/>
          <w:tab w:val="num" w:pos="540"/>
        </w:tabs>
        <w:ind w:left="547" w:hanging="547"/>
        <w:rPr>
          <w:color w:val="000000"/>
        </w:rPr>
      </w:pPr>
      <w:r w:rsidRPr="00F73B85">
        <w:t>Utility Consumers’ Action Network</w:t>
      </w:r>
      <w:r w:rsidRPr="00FE3BAE" w:rsidR="00FE3BAE">
        <w:t xml:space="preserve"> </w:t>
      </w:r>
      <w:r w:rsidR="00831652">
        <w:t>is</w:t>
      </w:r>
      <w:r w:rsidRPr="00FE3BAE" w:rsidR="00FE3BAE">
        <w:t xml:space="preserve"> </w:t>
      </w:r>
      <w:r w:rsidRPr="00FE3BAE" w:rsidR="00A92D0B">
        <w:rPr>
          <w:color w:val="000000"/>
        </w:rPr>
        <w:t xml:space="preserve">awarded </w:t>
      </w:r>
      <w:r w:rsidRPr="007F620E" w:rsidR="00A92D0B">
        <w:rPr>
          <w:color w:val="000000"/>
        </w:rPr>
        <w:t>$</w:t>
      </w:r>
      <w:r w:rsidR="00955BE1">
        <w:t>104,866.23.</w:t>
      </w:r>
    </w:p>
    <w:p w:rsidR="0018426F" w:rsidP="0018426F" w:rsidRDefault="0018426F" w14:paraId="10143F08" w14:textId="19EE5A62">
      <w:pPr>
        <w:numPr>
          <w:ilvl w:val="0"/>
          <w:numId w:val="6"/>
        </w:numPr>
        <w:tabs>
          <w:tab w:val="clear" w:pos="900"/>
          <w:tab w:val="num" w:pos="540"/>
        </w:tabs>
        <w:spacing w:before="240"/>
        <w:ind w:left="547" w:hanging="547"/>
      </w:pPr>
      <w:r w:rsidRPr="007F620E">
        <w:t xml:space="preserve">Within 30 days of the effective date of this decision, </w:t>
      </w:r>
      <w:r w:rsidRPr="00207915" w:rsidR="00207915">
        <w:t>Pacific Gas and Electric</w:t>
      </w:r>
      <w:r w:rsidRPr="007344DF" w:rsidR="007344DF">
        <w:t>,</w:t>
      </w:r>
      <w:r w:rsidR="007344DF">
        <w:t xml:space="preserve"> </w:t>
      </w:r>
      <w:r w:rsidRPr="007344DF" w:rsidR="007344DF">
        <w:t>Southern California Edison Company, Southern California Gas Company, and San Diego Gas &amp; Electric Company shall pay</w:t>
      </w:r>
      <w:r w:rsidRPr="007F620E">
        <w:t xml:space="preserve"> </w:t>
      </w:r>
      <w:r w:rsidRPr="00207915" w:rsidR="00207915">
        <w:t>Utility Consumers’ Action Network</w:t>
      </w:r>
      <w:r>
        <w:t xml:space="preserve"> </w:t>
      </w:r>
      <w:r w:rsidRPr="00456367" w:rsidR="00456367">
        <w:t xml:space="preserve">their respective shares of the award, based on their California-jurisdictional gas and electric revenues for the 2024 calendar year, to reflect the year in which the proceeding was primarily litigated. If such data </w:t>
      </w:r>
      <w:proofErr w:type="gramStart"/>
      <w:r w:rsidRPr="00456367" w:rsidR="00456367">
        <w:t>are</w:t>
      </w:r>
      <w:proofErr w:type="gramEnd"/>
      <w:r w:rsidRPr="00456367" w:rsidR="00456367">
        <w:t xml:space="preserve"> unavailable, the most recent gas and electric revenue data shall be used. Payment </w:t>
      </w:r>
      <w:r w:rsidRPr="00456367" w:rsidR="00456367">
        <w:lastRenderedPageBreak/>
        <w:t xml:space="preserve">of the award shall include compound interest at the rate earned on prime, three-month non-financial commercial paper as reported in Federal Reserve Statistical Release H.15, beginning </w:t>
      </w:r>
      <w:r w:rsidR="00456367">
        <w:t>March 3</w:t>
      </w:r>
      <w:r w:rsidRPr="00456367" w:rsidR="00456367">
        <w:t>, 2025, the 75th day after the filing of Utility Consumers’ Action Network</w:t>
      </w:r>
      <w:r w:rsidR="00456367">
        <w:t>’s</w:t>
      </w:r>
      <w:r w:rsidRPr="00456367" w:rsidR="00456367">
        <w:t xml:space="preserve"> request, and continuing until full payment is made.</w:t>
      </w:r>
    </w:p>
    <w:p w:rsidRPr="007F620E" w:rsidR="00A92D0B" w:rsidP="00DE3A5D" w:rsidRDefault="00A92D0B" w14:paraId="5AD40C95" w14:textId="1A444C2F">
      <w:pPr>
        <w:keepNext/>
        <w:keepLines/>
        <w:numPr>
          <w:ilvl w:val="0"/>
          <w:numId w:val="6"/>
        </w:numPr>
        <w:tabs>
          <w:tab w:val="clear" w:pos="900"/>
          <w:tab w:val="num" w:pos="540"/>
        </w:tabs>
        <w:spacing w:before="240"/>
        <w:ind w:left="547" w:hanging="547"/>
      </w:pPr>
      <w:r w:rsidRPr="007F620E">
        <w:t xml:space="preserve">The comment period for today’s decision </w:t>
      </w:r>
      <w:r w:rsidRPr="00C414F0">
        <w:t>is</w:t>
      </w:r>
      <w:r w:rsidRPr="007F620E">
        <w:t xml:space="preserve"> waived.</w:t>
      </w:r>
    </w:p>
    <w:p w:rsidRPr="007F620E" w:rsidR="00A92D0B" w:rsidP="00467E65" w:rsidRDefault="00A92D0B" w14:paraId="13F3A0AD" w14:textId="77777777">
      <w:pPr>
        <w:keepNext/>
        <w:keepLines/>
        <w:spacing w:before="240"/>
        <w:ind w:left="547"/>
        <w:rPr>
          <w:color w:val="000000"/>
        </w:rPr>
      </w:pPr>
      <w:r w:rsidRPr="007F620E">
        <w:rPr>
          <w:color w:val="000000"/>
        </w:rPr>
        <w:t>This decision is effective today.</w:t>
      </w:r>
    </w:p>
    <w:p w:rsidRPr="007F620E" w:rsidR="00A92D0B" w:rsidP="00357623" w:rsidRDefault="00A92D0B" w14:paraId="0467B995" w14:textId="77777777">
      <w:pPr>
        <w:keepNext/>
        <w:keepLines/>
        <w:spacing w:before="240"/>
        <w:ind w:left="547"/>
        <w:rPr>
          <w:color w:val="000000"/>
        </w:rPr>
      </w:pPr>
      <w:r w:rsidRPr="007F620E">
        <w:rPr>
          <w:color w:val="000000"/>
        </w:rPr>
        <w:t>Dated _____________, at San Francisco, California.</w:t>
      </w:r>
    </w:p>
    <w:p w:rsidRPr="007F620E" w:rsidR="00A92D0B" w:rsidRDefault="00A92D0B" w14:paraId="1A474D77" w14:textId="77777777"/>
    <w:p w:rsidR="00FE3BAE" w:rsidRDefault="00FE3BAE" w14:paraId="3C739AE2" w14:textId="71F3AFC8"/>
    <w:p w:rsidR="006B7228" w:rsidRDefault="006B7228" w14:paraId="37D74F32" w14:textId="77777777">
      <w:pPr>
        <w:sectPr w:rsidR="006B7228" w:rsidSect="006B7228">
          <w:headerReference w:type="default" r:id="rId8"/>
          <w:footerReference w:type="default" r:id="rId9"/>
          <w:footerReference w:type="first" r:id="rId10"/>
          <w:pgSz w:w="12240" w:h="15840"/>
          <w:pgMar w:top="1440" w:right="1440" w:bottom="1440" w:left="1440" w:header="720" w:footer="720" w:gutter="0"/>
          <w:pgNumType w:fmt="numberInDash" w:start="1"/>
          <w:cols w:space="720"/>
          <w:titlePg/>
          <w:docGrid w:linePitch="360"/>
        </w:sectPr>
      </w:pPr>
    </w:p>
    <w:p w:rsidRPr="00B803D5" w:rsidR="00FE3BAE" w:rsidP="00FE3BAE" w:rsidRDefault="00FE3BAE" w14:paraId="7A1C7043" w14:textId="77777777">
      <w:pPr>
        <w:pStyle w:val="standard"/>
        <w:ind w:firstLine="0"/>
        <w:jc w:val="center"/>
        <w:rPr>
          <w:rFonts w:ascii="Times New Roman" w:hAnsi="Times New Roman"/>
          <w:b/>
          <w:szCs w:val="26"/>
        </w:rPr>
      </w:pPr>
      <w:r w:rsidRPr="00B803D5">
        <w:rPr>
          <w:rFonts w:ascii="Times New Roman" w:hAnsi="Times New Roman"/>
          <w:b/>
          <w:szCs w:val="26"/>
        </w:rPr>
        <w:lastRenderedPageBreak/>
        <w:t>APPENDIX</w:t>
      </w:r>
    </w:p>
    <w:p w:rsidRPr="00F7579D" w:rsidR="00FE3BAE" w:rsidP="00F7579D" w:rsidRDefault="00FE3BAE" w14:paraId="300BB274" w14:textId="77777777">
      <w:pPr>
        <w:pStyle w:val="standard"/>
        <w:ind w:firstLine="0"/>
        <w:jc w:val="center"/>
        <w:rPr>
          <w:rFonts w:ascii="Times New Roman" w:hAnsi="Times New Roman"/>
          <w:b/>
          <w:bCs/>
        </w:rPr>
      </w:pPr>
      <w:r w:rsidRPr="00F7579D">
        <w:rPr>
          <w:rFonts w:ascii="Times New Roman" w:hAnsi="Times New Roman"/>
          <w:b/>
          <w:bCs/>
          <w:sz w:val="28"/>
          <w:szCs w:val="28"/>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B803D5" w:rsidR="00FE3BAE" w:rsidTr="00F862A9" w14:paraId="062C592A"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FE2042" w:rsidRDefault="00FE3BAE" w14:paraId="4BC9C636" w14:textId="77777777">
            <w:pPr>
              <w:rPr>
                <w:b/>
                <w:bCs/>
              </w:rPr>
            </w:pPr>
            <w:r w:rsidRPr="00F7579D">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B803D5" w:rsidR="00FE3BAE" w:rsidP="00FE2042" w:rsidRDefault="00FE3BAE" w14:paraId="16C5D6B1" w14:textId="77777777"/>
        </w:tc>
        <w:tc>
          <w:tcPr>
            <w:tcW w:w="2475" w:type="dxa"/>
            <w:tcBorders>
              <w:top w:val="single" w:color="auto" w:sz="4" w:space="0"/>
              <w:left w:val="single" w:color="auto" w:sz="4" w:space="0"/>
              <w:bottom w:val="single" w:color="auto" w:sz="4" w:space="0"/>
              <w:right w:val="single" w:color="auto" w:sz="4" w:space="0"/>
            </w:tcBorders>
            <w:hideMark/>
          </w:tcPr>
          <w:p w:rsidRPr="006B0BC7" w:rsidR="00FE3BAE" w:rsidP="00FE2042" w:rsidRDefault="00FE3BAE" w14:paraId="3ECA0C4F" w14:textId="77777777">
            <w:pPr>
              <w:rPr>
                <w:b/>
                <w:bCs/>
              </w:rPr>
            </w:pPr>
            <w:r w:rsidRPr="006B0BC7">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B803D5" w:rsidR="00FE3BAE" w:rsidP="00FE2042" w:rsidRDefault="00FB5B08" w14:paraId="6846FB87" w14:textId="3E4B3FBA">
            <w:pPr>
              <w:jc w:val="center"/>
            </w:pPr>
            <w:r>
              <w:t>No</w:t>
            </w:r>
          </w:p>
        </w:tc>
      </w:tr>
      <w:tr w:rsidRPr="00B803D5" w:rsidR="00FE3BAE" w:rsidTr="00F73B85" w14:paraId="3E0218AD"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FE2042" w:rsidRDefault="00FE3BAE" w14:paraId="6E65620B" w14:textId="77777777">
            <w:pPr>
              <w:rPr>
                <w:b/>
                <w:bCs/>
              </w:rPr>
            </w:pPr>
            <w:r w:rsidRPr="00F7579D">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FE2042" w:rsidRDefault="0063296F" w14:paraId="426F2C45" w14:textId="5F4276E7">
            <w:r>
              <w:rPr>
                <w:color w:val="000000"/>
              </w:rPr>
              <w:t>D2410008</w:t>
            </w:r>
          </w:p>
        </w:tc>
      </w:tr>
      <w:tr w:rsidRPr="00B803D5" w:rsidR="00FE3BAE" w:rsidTr="00F73B85" w14:paraId="2808C576"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FE2042" w:rsidRDefault="00FE3BAE" w14:paraId="717974DE" w14:textId="77777777">
            <w:pPr>
              <w:rPr>
                <w:b/>
                <w:bCs/>
              </w:rPr>
            </w:pPr>
            <w:r w:rsidRPr="00F7579D">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FE2042" w:rsidRDefault="005F63E8" w14:paraId="5B85688D" w14:textId="7F74B640">
            <w:r>
              <w:t>A2204008, A2204009, A2204011, A2204012</w:t>
            </w:r>
          </w:p>
        </w:tc>
      </w:tr>
      <w:tr w:rsidRPr="00B803D5" w:rsidR="00FE3BAE" w:rsidTr="00F862A9" w14:paraId="66779179"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FE2042" w:rsidRDefault="00FE3BAE" w14:paraId="738C0A58" w14:textId="77777777">
            <w:pPr>
              <w:rPr>
                <w:b/>
                <w:bCs/>
              </w:rPr>
            </w:pPr>
            <w:r w:rsidRPr="00F7579D">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FE2042" w:rsidRDefault="000C1EF0" w14:paraId="5E75C0F0" w14:textId="6AB72DF8">
            <w:r>
              <w:t xml:space="preserve">Judge </w:t>
            </w:r>
            <w:r w:rsidR="002B2FC9">
              <w:t>Gerstle</w:t>
            </w:r>
          </w:p>
        </w:tc>
      </w:tr>
      <w:tr w:rsidRPr="00B803D5" w:rsidR="00FE3BAE" w:rsidTr="00F862A9" w14:paraId="305F69F4"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FE2042" w:rsidRDefault="00FE3BAE" w14:paraId="1414CA71" w14:textId="77777777">
            <w:pPr>
              <w:rPr>
                <w:b/>
                <w:bCs/>
              </w:rPr>
            </w:pPr>
            <w:r w:rsidRPr="00F7579D">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FE2042" w:rsidRDefault="002A0DB8" w14:paraId="7CA711B6" w14:textId="2FD091C4">
            <w:r w:rsidRPr="002A0DB8">
              <w:t>Pacific Gas and Electric</w:t>
            </w:r>
            <w:r w:rsidRPr="007344DF" w:rsidR="00384879">
              <w:t>,</w:t>
            </w:r>
            <w:r w:rsidR="00384879">
              <w:t xml:space="preserve"> </w:t>
            </w:r>
            <w:r w:rsidRPr="007344DF" w:rsidR="00384879">
              <w:t>Southern California Edison Company, Southern California Gas Company, and San Diego Gas &amp; Electric Company</w:t>
            </w:r>
          </w:p>
        </w:tc>
      </w:tr>
    </w:tbl>
    <w:p w:rsidRPr="00B803D5" w:rsidR="00FE3BAE" w:rsidP="00CE057B" w:rsidRDefault="00FE3BAE" w14:paraId="7F0236A2" w14:textId="77777777">
      <w:pPr>
        <w:spacing w:before="480" w:after="240"/>
        <w:jc w:val="center"/>
        <w:rPr>
          <w:b/>
          <w:bCs/>
          <w:sz w:val="28"/>
          <w:szCs w:val="28"/>
        </w:rPr>
      </w:pPr>
      <w:r w:rsidRPr="00B803D5">
        <w:rPr>
          <w:b/>
          <w:bCs/>
          <w:sz w:val="28"/>
          <w:szCs w:val="28"/>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379"/>
        <w:gridCol w:w="1311"/>
        <w:gridCol w:w="1447"/>
        <w:gridCol w:w="1708"/>
        <w:gridCol w:w="1530"/>
        <w:gridCol w:w="3065"/>
      </w:tblGrid>
      <w:tr w:rsidRPr="00B803D5" w:rsidR="00FE3BAE" w:rsidTr="00424185" w14:paraId="6CDB318E" w14:textId="77777777">
        <w:trPr>
          <w:jc w:val="center"/>
        </w:trPr>
        <w:tc>
          <w:tcPr>
            <w:tcW w:w="1379"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2578F35B" w14:textId="77777777">
            <w:pPr>
              <w:jc w:val="center"/>
              <w:rPr>
                <w:b/>
                <w:bCs/>
              </w:rPr>
            </w:pPr>
            <w:r w:rsidRPr="00B803D5">
              <w:rPr>
                <w:b/>
                <w:bCs/>
              </w:rPr>
              <w:t>Intervenor</w:t>
            </w:r>
          </w:p>
        </w:tc>
        <w:tc>
          <w:tcPr>
            <w:tcW w:w="1311"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81626F" w14:paraId="1A2BF295" w14:textId="77777777">
            <w:pPr>
              <w:jc w:val="center"/>
              <w:rPr>
                <w:b/>
                <w:bCs/>
              </w:rPr>
            </w:pPr>
            <w:r w:rsidRPr="00B803D5">
              <w:rPr>
                <w:b/>
                <w:bCs/>
              </w:rPr>
              <w:t>Date</w:t>
            </w:r>
          </w:p>
          <w:p w:rsidRPr="00B803D5" w:rsidR="00FE3BAE" w:rsidP="00CE057B" w:rsidRDefault="0081626F" w14:paraId="2C1C9DC3" w14:textId="2305FDF8">
            <w:pPr>
              <w:jc w:val="center"/>
              <w:rPr>
                <w:b/>
                <w:bCs/>
              </w:rPr>
            </w:pPr>
            <w:r w:rsidRPr="00B803D5">
              <w:rPr>
                <w:b/>
                <w:bCs/>
              </w:rPr>
              <w:t>Claim Filed</w:t>
            </w:r>
          </w:p>
        </w:tc>
        <w:tc>
          <w:tcPr>
            <w:tcW w:w="1447"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60DD020D" w14:textId="77777777">
            <w:pPr>
              <w:jc w:val="center"/>
              <w:rPr>
                <w:b/>
                <w:bCs/>
              </w:rPr>
            </w:pPr>
            <w:r w:rsidRPr="00B803D5">
              <w:rPr>
                <w:b/>
                <w:bCs/>
              </w:rPr>
              <w:t>Amount Requested</w:t>
            </w:r>
          </w:p>
        </w:tc>
        <w:tc>
          <w:tcPr>
            <w:tcW w:w="1708"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19A4A01D" w14:textId="77777777">
            <w:pPr>
              <w:jc w:val="center"/>
              <w:rPr>
                <w:b/>
                <w:bCs/>
              </w:rPr>
            </w:pPr>
            <w:r w:rsidRPr="00C414F0">
              <w:rPr>
                <w:b/>
                <w:bCs/>
              </w:rPr>
              <w:t>Amount Awarded</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5B9F47E2" w14:textId="77777777">
            <w:pPr>
              <w:jc w:val="center"/>
              <w:rPr>
                <w:b/>
                <w:bCs/>
              </w:rPr>
            </w:pPr>
            <w:r w:rsidRPr="00B803D5">
              <w:rPr>
                <w:b/>
                <w:bCs/>
              </w:rPr>
              <w:t>Multiplier?</w:t>
            </w:r>
          </w:p>
        </w:tc>
        <w:tc>
          <w:tcPr>
            <w:tcW w:w="3065"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089590A8" w14:textId="77777777">
            <w:pPr>
              <w:jc w:val="center"/>
              <w:rPr>
                <w:b/>
                <w:bCs/>
              </w:rPr>
            </w:pPr>
            <w:r w:rsidRPr="00B803D5">
              <w:rPr>
                <w:b/>
                <w:bCs/>
              </w:rPr>
              <w:t>Reason Change/Disallowance</w:t>
            </w:r>
          </w:p>
        </w:tc>
      </w:tr>
      <w:tr w:rsidRPr="00B803D5" w:rsidR="00FE3BAE" w:rsidTr="00424185" w14:paraId="080524E3" w14:textId="77777777">
        <w:trPr>
          <w:trHeight w:val="872"/>
          <w:jc w:val="center"/>
        </w:trPr>
        <w:tc>
          <w:tcPr>
            <w:tcW w:w="1379" w:type="dxa"/>
            <w:tcBorders>
              <w:top w:val="single" w:color="auto" w:sz="4" w:space="0"/>
              <w:left w:val="single" w:color="auto" w:sz="4" w:space="0"/>
              <w:bottom w:val="single" w:color="auto" w:sz="4" w:space="0"/>
              <w:right w:val="single" w:color="auto" w:sz="4" w:space="0"/>
            </w:tcBorders>
            <w:hideMark/>
          </w:tcPr>
          <w:p w:rsidRPr="00F05740" w:rsidR="00FE3BAE" w:rsidP="00FE2042" w:rsidRDefault="00163931" w14:paraId="3008FB17" w14:textId="22B04980">
            <w:pPr>
              <w:jc w:val="center"/>
            </w:pPr>
            <w:r w:rsidRPr="00F73B85">
              <w:t>Utility Consumers’ Action Network</w:t>
            </w:r>
          </w:p>
        </w:tc>
        <w:tc>
          <w:tcPr>
            <w:tcW w:w="1311" w:type="dxa"/>
            <w:tcBorders>
              <w:top w:val="single" w:color="auto" w:sz="4" w:space="0"/>
              <w:left w:val="single" w:color="auto" w:sz="4" w:space="0"/>
              <w:bottom w:val="single" w:color="auto" w:sz="4" w:space="0"/>
              <w:right w:val="single" w:color="auto" w:sz="4" w:space="0"/>
            </w:tcBorders>
            <w:hideMark/>
          </w:tcPr>
          <w:p w:rsidRPr="00F05740" w:rsidR="00FE3BAE" w:rsidP="00FE2042" w:rsidRDefault="000A525B" w14:paraId="63956769" w14:textId="4B5A8A31">
            <w:pPr>
              <w:jc w:val="center"/>
            </w:pPr>
            <w:r w:rsidRPr="00F05740">
              <w:t>12/1</w:t>
            </w:r>
            <w:r w:rsidRPr="00F05740" w:rsidR="00AD34EA">
              <w:t>8</w:t>
            </w:r>
            <w:r w:rsidRPr="00F05740">
              <w:t>/2024</w:t>
            </w:r>
          </w:p>
        </w:tc>
        <w:tc>
          <w:tcPr>
            <w:tcW w:w="1447" w:type="dxa"/>
            <w:tcBorders>
              <w:top w:val="single" w:color="auto" w:sz="4" w:space="0"/>
              <w:left w:val="single" w:color="auto" w:sz="4" w:space="0"/>
              <w:bottom w:val="single" w:color="auto" w:sz="4" w:space="0"/>
              <w:right w:val="single" w:color="auto" w:sz="4" w:space="0"/>
            </w:tcBorders>
            <w:hideMark/>
          </w:tcPr>
          <w:p w:rsidRPr="00F05740" w:rsidR="00FE3BAE" w:rsidP="00FE2042" w:rsidRDefault="00AD34EA" w14:paraId="75AD20FA" w14:textId="408A4EEE">
            <w:pPr>
              <w:jc w:val="center"/>
            </w:pPr>
            <w:r w:rsidRPr="00F05740">
              <w:t>$122,333.23</w:t>
            </w:r>
          </w:p>
        </w:tc>
        <w:tc>
          <w:tcPr>
            <w:tcW w:w="1708" w:type="dxa"/>
            <w:tcBorders>
              <w:top w:val="single" w:color="auto" w:sz="4" w:space="0"/>
              <w:left w:val="single" w:color="auto" w:sz="4" w:space="0"/>
              <w:bottom w:val="single" w:color="auto" w:sz="4" w:space="0"/>
              <w:right w:val="single" w:color="auto" w:sz="4" w:space="0"/>
            </w:tcBorders>
            <w:hideMark/>
          </w:tcPr>
          <w:p w:rsidRPr="00B803D5" w:rsidR="00FE3BAE" w:rsidP="00955BE1" w:rsidRDefault="002B2FC9" w14:paraId="0DD6FE00" w14:textId="733D4BDA">
            <w:pPr>
              <w:jc w:val="center"/>
            </w:pPr>
            <w:r>
              <w:t>$</w:t>
            </w:r>
            <w:r w:rsidR="00955BE1">
              <w:t>104,866.23</w:t>
            </w:r>
          </w:p>
        </w:tc>
        <w:tc>
          <w:tcPr>
            <w:tcW w:w="1530" w:type="dxa"/>
            <w:tcBorders>
              <w:top w:val="single" w:color="auto" w:sz="4" w:space="0"/>
              <w:left w:val="single" w:color="auto" w:sz="4" w:space="0"/>
              <w:bottom w:val="single" w:color="auto" w:sz="4" w:space="0"/>
              <w:right w:val="single" w:color="auto" w:sz="4" w:space="0"/>
            </w:tcBorders>
            <w:hideMark/>
          </w:tcPr>
          <w:p w:rsidRPr="00B803D5" w:rsidR="00FE3BAE" w:rsidP="00FE2042" w:rsidRDefault="00FE3BAE" w14:paraId="0BDAFE20" w14:textId="77777777">
            <w:pPr>
              <w:jc w:val="center"/>
            </w:pPr>
            <w:r w:rsidRPr="00B803D5">
              <w:t>N/A</w:t>
            </w:r>
          </w:p>
        </w:tc>
        <w:tc>
          <w:tcPr>
            <w:tcW w:w="3065" w:type="dxa"/>
            <w:tcBorders>
              <w:top w:val="single" w:color="auto" w:sz="4" w:space="0"/>
              <w:left w:val="single" w:color="auto" w:sz="4" w:space="0"/>
              <w:bottom w:val="single" w:color="auto" w:sz="4" w:space="0"/>
              <w:right w:val="single" w:color="auto" w:sz="4" w:space="0"/>
            </w:tcBorders>
            <w:hideMark/>
          </w:tcPr>
          <w:p w:rsidRPr="00B803D5" w:rsidR="00FE3BAE" w:rsidP="00FE2042" w:rsidRDefault="00F05740" w14:paraId="6B53C6F9" w14:textId="3C63DB8E">
            <w:pPr>
              <w:jc w:val="center"/>
            </w:pPr>
            <w:r w:rsidRPr="00F05740">
              <w:rPr>
                <w:i/>
                <w:iCs/>
              </w:rPr>
              <w:t>See</w:t>
            </w:r>
            <w:r w:rsidRPr="00F05740">
              <w:t xml:space="preserve"> Part III.D CPUC Comments, Disallowances, and Adjustments above.</w:t>
            </w:r>
          </w:p>
        </w:tc>
      </w:tr>
    </w:tbl>
    <w:p w:rsidRPr="00B803D5" w:rsidR="00FE3BAE" w:rsidP="00CE057B" w:rsidRDefault="0022302F" w14:paraId="2841210B" w14:textId="77777777">
      <w:pPr>
        <w:spacing w:before="480" w:after="240"/>
        <w:jc w:val="center"/>
        <w:rPr>
          <w:b/>
          <w:bCs/>
          <w:sz w:val="28"/>
          <w:szCs w:val="28"/>
        </w:rPr>
      </w:pPr>
      <w:r w:rsidRPr="00B803D5">
        <w:rPr>
          <w:b/>
          <w:bCs/>
          <w:sz w:val="28"/>
          <w:szCs w:val="28"/>
        </w:rPr>
        <w:t>Hourly Fee</w:t>
      </w:r>
      <w:r w:rsidRPr="00B803D5" w:rsidR="00FE3BAE">
        <w:rPr>
          <w:b/>
          <w:bCs/>
          <w:sz w:val="28"/>
          <w:szCs w:val="28"/>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B803D5" w:rsidR="00C02649" w:rsidTr="00163931"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61500303" w14:textId="77777777">
            <w:pPr>
              <w:jc w:val="center"/>
              <w:rPr>
                <w:b/>
                <w:bCs/>
              </w:rPr>
            </w:pPr>
            <w:r w:rsidRPr="00B803D5">
              <w:rPr>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55908486" w14:textId="77777777">
            <w:pPr>
              <w:jc w:val="center"/>
              <w:rPr>
                <w:b/>
                <w:bCs/>
              </w:rPr>
            </w:pPr>
            <w:r w:rsidRPr="00B803D5">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171EBF" w14:paraId="2438DAE1" w14:textId="77777777">
            <w:pPr>
              <w:ind w:left="12" w:firstLine="12"/>
              <w:jc w:val="center"/>
              <w:rPr>
                <w:b/>
                <w:bCs/>
              </w:rPr>
            </w:pPr>
            <w:r w:rsidRPr="00B803D5">
              <w:rPr>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30FCBD16" w14:textId="77777777">
            <w:pPr>
              <w:jc w:val="center"/>
              <w:rPr>
                <w:b/>
                <w:bCs/>
              </w:rPr>
            </w:pPr>
            <w:r w:rsidRPr="00B803D5">
              <w:rPr>
                <w:b/>
                <w:bCs/>
              </w:rPr>
              <w:t>Hourly</w:t>
            </w:r>
          </w:p>
          <w:p w:rsidRPr="00B803D5" w:rsidR="003B6A1B" w:rsidP="00CE057B" w:rsidRDefault="003B6A1B" w14:paraId="3431A72E" w14:textId="15E5EE89">
            <w:pPr>
              <w:jc w:val="center"/>
              <w:rPr>
                <w:b/>
                <w:bCs/>
              </w:rPr>
            </w:pPr>
            <w:r w:rsidRPr="00B803D5">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27A4F1D1" w14:textId="77777777">
            <w:pPr>
              <w:jc w:val="center"/>
              <w:rPr>
                <w:b/>
                <w:bCs/>
              </w:rPr>
            </w:pPr>
            <w:r w:rsidRPr="00B803D5">
              <w:rPr>
                <w:b/>
                <w:bCs/>
              </w:rPr>
              <w:t>Year Hourly</w:t>
            </w:r>
          </w:p>
          <w:p w:rsidRPr="00B803D5" w:rsidR="003B6A1B" w:rsidP="00CE057B" w:rsidRDefault="003B6A1B" w14:paraId="6FE76773" w14:textId="7DDDAF05">
            <w:pPr>
              <w:jc w:val="center"/>
              <w:rPr>
                <w:b/>
                <w:bCs/>
              </w:rPr>
            </w:pPr>
            <w:r w:rsidRPr="00B803D5">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08CD8CFB" w14:textId="50A63D11">
            <w:pPr>
              <w:jc w:val="center"/>
              <w:rPr>
                <w:b/>
                <w:bCs/>
              </w:rPr>
            </w:pPr>
            <w:r w:rsidRPr="00B803D5">
              <w:rPr>
                <w:b/>
                <w:bCs/>
              </w:rPr>
              <w:t>Hourly</w:t>
            </w:r>
          </w:p>
          <w:p w:rsidRPr="00B803D5" w:rsidR="003B6A1B" w:rsidP="00CE057B" w:rsidRDefault="003B6A1B" w14:paraId="1B789B85" w14:textId="3C9059B0">
            <w:pPr>
              <w:jc w:val="center"/>
              <w:rPr>
                <w:b/>
                <w:bCs/>
              </w:rPr>
            </w:pPr>
            <w:r w:rsidRPr="00B803D5">
              <w:rPr>
                <w:b/>
                <w:bCs/>
              </w:rPr>
              <w:t>Fee Adopted</w:t>
            </w:r>
          </w:p>
        </w:tc>
      </w:tr>
      <w:tr w:rsidRPr="00B803D5" w:rsidR="00C02649" w:rsidTr="00F73B85" w14:paraId="6C04DB40"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F73B85" w:rsidR="003B6A1B" w:rsidP="00FE2042" w:rsidRDefault="00163931" w14:paraId="71BF257F" w14:textId="727C294A">
            <w:pPr>
              <w:jc w:val="center"/>
            </w:pPr>
            <w:r w:rsidRPr="00F73B85">
              <w:t>Edward</w:t>
            </w:r>
          </w:p>
        </w:tc>
        <w:tc>
          <w:tcPr>
            <w:tcW w:w="1725" w:type="dxa"/>
            <w:tcBorders>
              <w:top w:val="single" w:color="auto" w:sz="4" w:space="0"/>
              <w:left w:val="single" w:color="auto" w:sz="4" w:space="0"/>
              <w:bottom w:val="single" w:color="auto" w:sz="4" w:space="0"/>
              <w:right w:val="single" w:color="auto" w:sz="4" w:space="0"/>
            </w:tcBorders>
          </w:tcPr>
          <w:p w:rsidRPr="00F73B85" w:rsidR="003B6A1B" w:rsidP="00FE2042" w:rsidRDefault="00163931" w14:paraId="4D0E5B24" w14:textId="7577BE12">
            <w:pPr>
              <w:jc w:val="center"/>
            </w:pPr>
            <w:r w:rsidRPr="00F73B85">
              <w:t>Lopez</w:t>
            </w:r>
          </w:p>
        </w:tc>
        <w:tc>
          <w:tcPr>
            <w:tcW w:w="2088" w:type="dxa"/>
            <w:tcBorders>
              <w:top w:val="single" w:color="auto" w:sz="4" w:space="0"/>
              <w:left w:val="single" w:color="auto" w:sz="4" w:space="0"/>
              <w:bottom w:val="single" w:color="auto" w:sz="4" w:space="0"/>
              <w:right w:val="single" w:color="auto" w:sz="4" w:space="0"/>
            </w:tcBorders>
          </w:tcPr>
          <w:p w:rsidRPr="00F73B85" w:rsidR="003B6A1B" w:rsidP="00FE2042" w:rsidRDefault="000A525B" w14:paraId="3ACB6465" w14:textId="46AB28C0">
            <w:pPr>
              <w:jc w:val="center"/>
            </w:pPr>
            <w:r w:rsidRPr="00F73B85">
              <w:t>Attorney</w:t>
            </w:r>
            <w:bookmarkStart w:name="_Ref202954793" w:id="1"/>
            <w:r w:rsidRPr="00F73B85" w:rsidR="004E250B">
              <w:rPr>
                <w:vertAlign w:val="superscript"/>
              </w:rPr>
              <w:footnoteReference w:id="8"/>
            </w:r>
            <w:bookmarkEnd w:id="1"/>
          </w:p>
        </w:tc>
        <w:tc>
          <w:tcPr>
            <w:tcW w:w="1748" w:type="dxa"/>
            <w:tcBorders>
              <w:top w:val="single" w:color="auto" w:sz="4" w:space="0"/>
              <w:left w:val="single" w:color="auto" w:sz="4" w:space="0"/>
              <w:bottom w:val="single" w:color="auto" w:sz="4" w:space="0"/>
              <w:right w:val="single" w:color="auto" w:sz="4" w:space="0"/>
            </w:tcBorders>
          </w:tcPr>
          <w:p w:rsidRPr="00B803D5" w:rsidR="003B6A1B" w:rsidP="00FE2042" w:rsidRDefault="00163931" w14:paraId="27D75B3F" w14:textId="33008C99">
            <w:pPr>
              <w:jc w:val="center"/>
            </w:pPr>
            <w:r>
              <w:t>$4</w:t>
            </w:r>
            <w:r w:rsidR="000A525B">
              <w:t>75</w:t>
            </w:r>
          </w:p>
        </w:tc>
        <w:tc>
          <w:tcPr>
            <w:tcW w:w="1725" w:type="dxa"/>
            <w:tcBorders>
              <w:top w:val="single" w:color="auto" w:sz="4" w:space="0"/>
              <w:left w:val="single" w:color="auto" w:sz="4" w:space="0"/>
              <w:bottom w:val="single" w:color="auto" w:sz="4" w:space="0"/>
              <w:right w:val="single" w:color="auto" w:sz="4" w:space="0"/>
            </w:tcBorders>
          </w:tcPr>
          <w:p w:rsidRPr="00B803D5" w:rsidR="003B6A1B" w:rsidP="00FE2042" w:rsidRDefault="00163931" w14:paraId="0BD45097" w14:textId="4F53E172">
            <w:pPr>
              <w:jc w:val="center"/>
            </w:pPr>
            <w:r>
              <w:t>202</w:t>
            </w:r>
            <w:r w:rsidR="000A525B">
              <w:t>3</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FE2042" w:rsidRDefault="0040495D" w14:paraId="6B245605" w14:textId="17638393">
            <w:pPr>
              <w:jc w:val="center"/>
            </w:pPr>
            <w:r>
              <w:t>$460.00</w:t>
            </w:r>
          </w:p>
        </w:tc>
      </w:tr>
      <w:tr w:rsidRPr="00B803D5" w:rsidR="005F63E8" w:rsidTr="00F73B85" w14:paraId="450CB883"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F73B85" w:rsidR="005F63E8" w:rsidP="005F63E8" w:rsidRDefault="005F63E8" w14:paraId="2379119A" w14:textId="049398F7">
            <w:pPr>
              <w:jc w:val="center"/>
            </w:pPr>
            <w:r w:rsidRPr="00F73B85">
              <w:t>Edward</w:t>
            </w:r>
          </w:p>
        </w:tc>
        <w:tc>
          <w:tcPr>
            <w:tcW w:w="1725" w:type="dxa"/>
            <w:tcBorders>
              <w:top w:val="single" w:color="auto" w:sz="4" w:space="0"/>
              <w:left w:val="single" w:color="auto" w:sz="4" w:space="0"/>
              <w:bottom w:val="single" w:color="auto" w:sz="4" w:space="0"/>
              <w:right w:val="single" w:color="auto" w:sz="4" w:space="0"/>
            </w:tcBorders>
          </w:tcPr>
          <w:p w:rsidRPr="00F73B85" w:rsidR="005F63E8" w:rsidP="005F63E8" w:rsidRDefault="005F63E8" w14:paraId="76A50534" w14:textId="2D5FF580">
            <w:pPr>
              <w:jc w:val="center"/>
            </w:pPr>
            <w:r w:rsidRPr="00F73B85">
              <w:t>Lopez</w:t>
            </w:r>
          </w:p>
        </w:tc>
        <w:tc>
          <w:tcPr>
            <w:tcW w:w="2088" w:type="dxa"/>
            <w:tcBorders>
              <w:top w:val="single" w:color="auto" w:sz="4" w:space="0"/>
              <w:left w:val="single" w:color="auto" w:sz="4" w:space="0"/>
              <w:bottom w:val="single" w:color="auto" w:sz="4" w:space="0"/>
              <w:right w:val="single" w:color="auto" w:sz="4" w:space="0"/>
            </w:tcBorders>
          </w:tcPr>
          <w:p w:rsidRPr="00F05740" w:rsidR="005F63E8" w:rsidP="005F63E8" w:rsidRDefault="000A525B" w14:paraId="33C587F0" w14:textId="69E08115">
            <w:pPr>
              <w:jc w:val="center"/>
              <w:rPr>
                <w:shd w:val="clear" w:color="auto" w:fill="CCFFCC"/>
              </w:rPr>
            </w:pPr>
            <w:r w:rsidRPr="00F73B85">
              <w:t>Attorney</w:t>
            </w:r>
            <w:r w:rsidR="005B4328">
              <w:rPr>
                <w:shd w:val="clear" w:color="auto" w:fill="CCFFCC"/>
              </w:rPr>
              <w:fldChar w:fldCharType="begin"/>
            </w:r>
            <w:r w:rsidR="005B4328">
              <w:instrText xml:space="preserve"> NOTEREF _Ref202954793 \f \h </w:instrText>
            </w:r>
            <w:r w:rsidR="005B4328">
              <w:rPr>
                <w:shd w:val="clear" w:color="auto" w:fill="CCFFCC"/>
              </w:rPr>
            </w:r>
            <w:r w:rsidR="005B4328">
              <w:rPr>
                <w:shd w:val="clear" w:color="auto" w:fill="CCFFCC"/>
              </w:rPr>
              <w:fldChar w:fldCharType="separate"/>
            </w:r>
            <w:r w:rsidRPr="005B4328" w:rsidR="005B4328">
              <w:rPr>
                <w:rStyle w:val="FootnoteReference"/>
              </w:rPr>
              <w:t>4</w:t>
            </w:r>
            <w:r w:rsidR="005B4328">
              <w:rPr>
                <w:shd w:val="clear" w:color="auto" w:fill="CCFFCC"/>
              </w:rPr>
              <w:fldChar w:fldCharType="end"/>
            </w:r>
          </w:p>
        </w:tc>
        <w:tc>
          <w:tcPr>
            <w:tcW w:w="1748" w:type="dxa"/>
            <w:tcBorders>
              <w:top w:val="single" w:color="auto" w:sz="4" w:space="0"/>
              <w:left w:val="single" w:color="auto" w:sz="4" w:space="0"/>
              <w:bottom w:val="single" w:color="auto" w:sz="4" w:space="0"/>
              <w:right w:val="single" w:color="auto" w:sz="4" w:space="0"/>
            </w:tcBorders>
          </w:tcPr>
          <w:p w:rsidR="005F63E8" w:rsidP="005F63E8" w:rsidRDefault="005F63E8" w14:paraId="3BFCD954" w14:textId="77CF9262">
            <w:pPr>
              <w:jc w:val="center"/>
            </w:pPr>
            <w:r>
              <w:t>$4</w:t>
            </w:r>
            <w:r w:rsidR="000A525B">
              <w:t>95</w:t>
            </w:r>
          </w:p>
        </w:tc>
        <w:tc>
          <w:tcPr>
            <w:tcW w:w="1725" w:type="dxa"/>
            <w:tcBorders>
              <w:top w:val="single" w:color="auto" w:sz="4" w:space="0"/>
              <w:left w:val="single" w:color="auto" w:sz="4" w:space="0"/>
              <w:bottom w:val="single" w:color="auto" w:sz="4" w:space="0"/>
              <w:right w:val="single" w:color="auto" w:sz="4" w:space="0"/>
            </w:tcBorders>
          </w:tcPr>
          <w:p w:rsidR="005F63E8" w:rsidP="005F63E8" w:rsidRDefault="004640EF" w14:paraId="6E2A4EDE" w14:textId="79E21CDF">
            <w:pPr>
              <w:jc w:val="center"/>
            </w:pPr>
            <w:r>
              <w:t>202</w:t>
            </w:r>
            <w:r w:rsidR="000A525B">
              <w:t>4</w:t>
            </w:r>
          </w:p>
        </w:tc>
        <w:tc>
          <w:tcPr>
            <w:tcW w:w="1634" w:type="dxa"/>
            <w:tcBorders>
              <w:top w:val="single" w:color="auto" w:sz="4" w:space="0"/>
              <w:left w:val="single" w:color="auto" w:sz="4" w:space="0"/>
              <w:bottom w:val="single" w:color="auto" w:sz="4" w:space="0"/>
              <w:right w:val="single" w:color="auto" w:sz="4" w:space="0"/>
            </w:tcBorders>
          </w:tcPr>
          <w:p w:rsidRPr="00B803D5" w:rsidR="005F63E8" w:rsidP="005F63E8" w:rsidRDefault="0040495D" w14:paraId="6820954E" w14:textId="3D9A0E94">
            <w:pPr>
              <w:jc w:val="center"/>
            </w:pPr>
            <w:r>
              <w:t>$475.00</w:t>
            </w:r>
          </w:p>
        </w:tc>
      </w:tr>
      <w:tr w:rsidRPr="00B803D5" w:rsidR="000A525B" w:rsidTr="00C414F0" w14:paraId="15F177FE"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C414F0" w:rsidR="000A525B" w:rsidP="000A525B" w:rsidRDefault="000A525B" w14:paraId="433CC8BD" w14:textId="6B43489D">
            <w:pPr>
              <w:jc w:val="center"/>
              <w:rPr>
                <w:spacing w:val="1"/>
              </w:rPr>
            </w:pPr>
            <w:r w:rsidRPr="00C414F0">
              <w:rPr>
                <w:spacing w:val="1"/>
              </w:rPr>
              <w:t>Karl</w:t>
            </w:r>
          </w:p>
        </w:tc>
        <w:tc>
          <w:tcPr>
            <w:tcW w:w="1725" w:type="dxa"/>
            <w:tcBorders>
              <w:top w:val="single" w:color="auto" w:sz="4" w:space="0"/>
              <w:left w:val="single" w:color="auto" w:sz="4" w:space="0"/>
              <w:bottom w:val="single" w:color="auto" w:sz="4" w:space="0"/>
              <w:right w:val="single" w:color="auto" w:sz="4" w:space="0"/>
            </w:tcBorders>
          </w:tcPr>
          <w:p w:rsidRPr="00C414F0" w:rsidR="000A525B" w:rsidP="000A525B" w:rsidRDefault="000A525B" w14:paraId="0DEDDB52" w14:textId="0F4592D8">
            <w:pPr>
              <w:jc w:val="center"/>
              <w:rPr>
                <w:spacing w:val="1"/>
              </w:rPr>
            </w:pPr>
            <w:r w:rsidRPr="00C414F0">
              <w:rPr>
                <w:spacing w:val="1"/>
              </w:rPr>
              <w:t>Pavlovic</w:t>
            </w:r>
          </w:p>
        </w:tc>
        <w:tc>
          <w:tcPr>
            <w:tcW w:w="2088" w:type="dxa"/>
            <w:tcBorders>
              <w:top w:val="single" w:color="auto" w:sz="4" w:space="0"/>
              <w:left w:val="single" w:color="auto" w:sz="4" w:space="0"/>
              <w:bottom w:val="single" w:color="auto" w:sz="4" w:space="0"/>
              <w:right w:val="single" w:color="auto" w:sz="4" w:space="0"/>
            </w:tcBorders>
          </w:tcPr>
          <w:p w:rsidRPr="00C414F0" w:rsidR="000A525B" w:rsidP="000A525B" w:rsidRDefault="000A525B" w14:paraId="79039866" w14:textId="6D1C7415">
            <w:pPr>
              <w:jc w:val="center"/>
              <w:rPr>
                <w:shd w:val="clear" w:color="auto" w:fill="CCFFCC"/>
              </w:rPr>
            </w:pPr>
            <w:r w:rsidRPr="00C414F0">
              <w:rPr>
                <w:spacing w:val="1"/>
              </w:rPr>
              <w:t>Expert</w:t>
            </w:r>
            <w:r w:rsidRPr="00C414F0" w:rsidR="00893C13">
              <w:rPr>
                <w:spacing w:val="1"/>
                <w:vertAlign w:val="superscript"/>
              </w:rPr>
              <w:footnoteReference w:id="9"/>
            </w:r>
          </w:p>
        </w:tc>
        <w:tc>
          <w:tcPr>
            <w:tcW w:w="1748" w:type="dxa"/>
            <w:tcBorders>
              <w:top w:val="single" w:color="auto" w:sz="4" w:space="0"/>
              <w:left w:val="single" w:color="auto" w:sz="4" w:space="0"/>
              <w:bottom w:val="single" w:color="auto" w:sz="4" w:space="0"/>
              <w:right w:val="single" w:color="auto" w:sz="4" w:space="0"/>
            </w:tcBorders>
          </w:tcPr>
          <w:p w:rsidRPr="00C414F0" w:rsidR="000A525B" w:rsidP="000A525B" w:rsidRDefault="000A525B" w14:paraId="19FA896D" w14:textId="4DB80EA3">
            <w:pPr>
              <w:jc w:val="center"/>
            </w:pPr>
            <w:r w:rsidRPr="00C414F0">
              <w:t>$885</w:t>
            </w:r>
          </w:p>
        </w:tc>
        <w:tc>
          <w:tcPr>
            <w:tcW w:w="1725" w:type="dxa"/>
            <w:tcBorders>
              <w:top w:val="single" w:color="auto" w:sz="4" w:space="0"/>
              <w:left w:val="single" w:color="auto" w:sz="4" w:space="0"/>
              <w:bottom w:val="single" w:color="auto" w:sz="4" w:space="0"/>
              <w:right w:val="single" w:color="auto" w:sz="4" w:space="0"/>
            </w:tcBorders>
          </w:tcPr>
          <w:p w:rsidRPr="00C414F0" w:rsidR="000A525B" w:rsidP="000A525B" w:rsidRDefault="000A525B" w14:paraId="3B76E48D" w14:textId="5011AB03">
            <w:pPr>
              <w:jc w:val="center"/>
            </w:pPr>
            <w:r w:rsidRPr="00C414F0">
              <w:t>2024</w:t>
            </w:r>
          </w:p>
        </w:tc>
        <w:tc>
          <w:tcPr>
            <w:tcW w:w="1634" w:type="dxa"/>
            <w:tcBorders>
              <w:top w:val="single" w:color="auto" w:sz="4" w:space="0"/>
              <w:left w:val="single" w:color="auto" w:sz="4" w:space="0"/>
              <w:bottom w:val="single" w:color="auto" w:sz="4" w:space="0"/>
              <w:right w:val="single" w:color="auto" w:sz="4" w:space="0"/>
            </w:tcBorders>
          </w:tcPr>
          <w:p w:rsidRPr="00B803D5" w:rsidR="000A525B" w:rsidP="000A525B" w:rsidRDefault="002B2FC9" w14:paraId="5B2AD9C6" w14:textId="601EBC3C">
            <w:pPr>
              <w:jc w:val="center"/>
            </w:pPr>
            <w:r>
              <w:t>$885.00</w:t>
            </w:r>
          </w:p>
        </w:tc>
      </w:tr>
      <w:tr w:rsidRPr="00B803D5" w:rsidR="000A525B" w:rsidTr="00F73B85" w14:paraId="250CCA84"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C414F0" w:rsidR="000A525B" w:rsidP="000A525B" w:rsidRDefault="000A525B" w14:paraId="6C81D1CC" w14:textId="2C6D8066">
            <w:pPr>
              <w:jc w:val="center"/>
              <w:rPr>
                <w:spacing w:val="1"/>
              </w:rPr>
            </w:pPr>
            <w:r w:rsidRPr="00C414F0">
              <w:rPr>
                <w:spacing w:val="1"/>
              </w:rPr>
              <w:t xml:space="preserve">Marlon </w:t>
            </w:r>
          </w:p>
        </w:tc>
        <w:tc>
          <w:tcPr>
            <w:tcW w:w="1725" w:type="dxa"/>
            <w:tcBorders>
              <w:top w:val="single" w:color="auto" w:sz="4" w:space="0"/>
              <w:left w:val="single" w:color="auto" w:sz="4" w:space="0"/>
              <w:bottom w:val="single" w:color="auto" w:sz="4" w:space="0"/>
              <w:right w:val="single" w:color="auto" w:sz="4" w:space="0"/>
            </w:tcBorders>
          </w:tcPr>
          <w:p w:rsidRPr="00C414F0" w:rsidR="000A525B" w:rsidP="000A525B" w:rsidRDefault="000A525B" w14:paraId="4B5A5E1E" w14:textId="7FE3A450">
            <w:pPr>
              <w:jc w:val="center"/>
              <w:rPr>
                <w:spacing w:val="1"/>
              </w:rPr>
            </w:pPr>
            <w:r w:rsidRPr="00C414F0">
              <w:rPr>
                <w:spacing w:val="1"/>
              </w:rPr>
              <w:t>Griffing</w:t>
            </w:r>
          </w:p>
        </w:tc>
        <w:tc>
          <w:tcPr>
            <w:tcW w:w="2088" w:type="dxa"/>
            <w:tcBorders>
              <w:top w:val="single" w:color="auto" w:sz="4" w:space="0"/>
              <w:left w:val="single" w:color="auto" w:sz="4" w:space="0"/>
              <w:bottom w:val="single" w:color="auto" w:sz="4" w:space="0"/>
              <w:right w:val="single" w:color="auto" w:sz="4" w:space="0"/>
            </w:tcBorders>
          </w:tcPr>
          <w:p w:rsidRPr="00C414F0" w:rsidR="000A525B" w:rsidP="000A525B" w:rsidRDefault="000A525B" w14:paraId="64D98B06" w14:textId="1684C102">
            <w:pPr>
              <w:jc w:val="center"/>
              <w:rPr>
                <w:shd w:val="clear" w:color="auto" w:fill="CCFFCC"/>
              </w:rPr>
            </w:pPr>
            <w:r w:rsidRPr="00C414F0">
              <w:rPr>
                <w:spacing w:val="1"/>
              </w:rPr>
              <w:t>Expert</w:t>
            </w:r>
            <w:r w:rsidRPr="00C414F0" w:rsidR="00AF25C4">
              <w:rPr>
                <w:spacing w:val="1"/>
                <w:vertAlign w:val="superscript"/>
              </w:rPr>
              <w:footnoteReference w:id="10"/>
            </w:r>
          </w:p>
        </w:tc>
        <w:tc>
          <w:tcPr>
            <w:tcW w:w="1748" w:type="dxa"/>
            <w:tcBorders>
              <w:top w:val="single" w:color="auto" w:sz="4" w:space="0"/>
              <w:left w:val="single" w:color="auto" w:sz="4" w:space="0"/>
              <w:bottom w:val="single" w:color="auto" w:sz="4" w:space="0"/>
              <w:right w:val="single" w:color="auto" w:sz="4" w:space="0"/>
            </w:tcBorders>
          </w:tcPr>
          <w:p w:rsidRPr="00C414F0" w:rsidR="000A525B" w:rsidP="000A525B" w:rsidRDefault="000A525B" w14:paraId="08B75520" w14:textId="43442ADB">
            <w:pPr>
              <w:jc w:val="center"/>
              <w:rPr>
                <w:spacing w:val="1"/>
              </w:rPr>
            </w:pPr>
            <w:r w:rsidRPr="00C414F0">
              <w:rPr>
                <w:spacing w:val="1"/>
              </w:rPr>
              <w:t>$885</w:t>
            </w:r>
          </w:p>
        </w:tc>
        <w:tc>
          <w:tcPr>
            <w:tcW w:w="1725" w:type="dxa"/>
            <w:tcBorders>
              <w:top w:val="single" w:color="auto" w:sz="4" w:space="0"/>
              <w:left w:val="single" w:color="auto" w:sz="4" w:space="0"/>
              <w:bottom w:val="single" w:color="auto" w:sz="4" w:space="0"/>
              <w:right w:val="single" w:color="auto" w:sz="4" w:space="0"/>
            </w:tcBorders>
          </w:tcPr>
          <w:p w:rsidRPr="00C414F0" w:rsidR="000A525B" w:rsidP="000A525B" w:rsidRDefault="000A525B" w14:paraId="7C496E55" w14:textId="19AC95D7">
            <w:pPr>
              <w:jc w:val="center"/>
              <w:rPr>
                <w:spacing w:val="1"/>
              </w:rPr>
            </w:pPr>
            <w:r w:rsidRPr="00C414F0">
              <w:rPr>
                <w:spacing w:val="1"/>
              </w:rPr>
              <w:t>2024</w:t>
            </w:r>
          </w:p>
        </w:tc>
        <w:tc>
          <w:tcPr>
            <w:tcW w:w="1634" w:type="dxa"/>
            <w:tcBorders>
              <w:top w:val="single" w:color="auto" w:sz="4" w:space="0"/>
              <w:left w:val="single" w:color="auto" w:sz="4" w:space="0"/>
              <w:bottom w:val="single" w:color="auto" w:sz="4" w:space="0"/>
              <w:right w:val="single" w:color="auto" w:sz="4" w:space="0"/>
            </w:tcBorders>
          </w:tcPr>
          <w:p w:rsidRPr="00B803D5" w:rsidR="000A525B" w:rsidP="000A525B" w:rsidRDefault="002B2FC9" w14:paraId="281ABE8C" w14:textId="65967F4B">
            <w:pPr>
              <w:jc w:val="center"/>
            </w:pPr>
            <w:r>
              <w:t>$885.00</w:t>
            </w:r>
          </w:p>
        </w:tc>
      </w:tr>
      <w:tr w:rsidRPr="00B803D5" w:rsidR="000A525B" w:rsidTr="00F73B85" w14:paraId="4FDD5BEC"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000A525B" w:rsidP="000A525B" w:rsidRDefault="000A525B" w14:paraId="3316F6C4" w14:textId="6E311BBA">
            <w:pPr>
              <w:jc w:val="center"/>
            </w:pPr>
            <w:r>
              <w:t>Courtney</w:t>
            </w:r>
          </w:p>
        </w:tc>
        <w:tc>
          <w:tcPr>
            <w:tcW w:w="1725" w:type="dxa"/>
            <w:tcBorders>
              <w:top w:val="single" w:color="auto" w:sz="4" w:space="0"/>
              <w:left w:val="single" w:color="auto" w:sz="4" w:space="0"/>
              <w:bottom w:val="single" w:color="auto" w:sz="4" w:space="0"/>
              <w:right w:val="single" w:color="auto" w:sz="4" w:space="0"/>
            </w:tcBorders>
          </w:tcPr>
          <w:p w:rsidR="000A525B" w:rsidP="000A525B" w:rsidRDefault="000A525B" w14:paraId="130584D6" w14:textId="49FD4D09">
            <w:pPr>
              <w:jc w:val="center"/>
            </w:pPr>
            <w:r>
              <w:t>Cook-Sloan</w:t>
            </w:r>
          </w:p>
        </w:tc>
        <w:tc>
          <w:tcPr>
            <w:tcW w:w="2088" w:type="dxa"/>
            <w:tcBorders>
              <w:top w:val="single" w:color="auto" w:sz="4" w:space="0"/>
              <w:left w:val="single" w:color="auto" w:sz="4" w:space="0"/>
              <w:bottom w:val="single" w:color="auto" w:sz="4" w:space="0"/>
              <w:right w:val="single" w:color="auto" w:sz="4" w:space="0"/>
            </w:tcBorders>
          </w:tcPr>
          <w:p w:rsidRPr="00B803D5" w:rsidR="000A525B" w:rsidP="000A525B" w:rsidRDefault="000A525B" w14:paraId="55C5D218" w14:textId="61D6E173">
            <w:pPr>
              <w:jc w:val="center"/>
              <w:rPr>
                <w:szCs w:val="26"/>
              </w:rPr>
            </w:pPr>
            <w:r>
              <w:rPr>
                <w:szCs w:val="26"/>
              </w:rPr>
              <w:t>Paralegal</w:t>
            </w:r>
            <w:r w:rsidR="000C2429">
              <w:rPr>
                <w:rStyle w:val="FootnoteReference"/>
                <w:szCs w:val="26"/>
              </w:rPr>
              <w:footnoteReference w:id="11"/>
            </w:r>
          </w:p>
        </w:tc>
        <w:tc>
          <w:tcPr>
            <w:tcW w:w="1748" w:type="dxa"/>
            <w:tcBorders>
              <w:top w:val="single" w:color="auto" w:sz="4" w:space="0"/>
              <w:left w:val="single" w:color="auto" w:sz="4" w:space="0"/>
              <w:bottom w:val="single" w:color="auto" w:sz="4" w:space="0"/>
              <w:right w:val="single" w:color="auto" w:sz="4" w:space="0"/>
            </w:tcBorders>
          </w:tcPr>
          <w:p w:rsidR="000A525B" w:rsidP="000A525B" w:rsidRDefault="000A525B" w14:paraId="2119C015" w14:textId="445143EC">
            <w:pPr>
              <w:jc w:val="center"/>
            </w:pPr>
            <w:r>
              <w:t>$215</w:t>
            </w:r>
          </w:p>
        </w:tc>
        <w:tc>
          <w:tcPr>
            <w:tcW w:w="1725" w:type="dxa"/>
            <w:tcBorders>
              <w:top w:val="single" w:color="auto" w:sz="4" w:space="0"/>
              <w:left w:val="single" w:color="auto" w:sz="4" w:space="0"/>
              <w:bottom w:val="single" w:color="auto" w:sz="4" w:space="0"/>
              <w:right w:val="single" w:color="auto" w:sz="4" w:space="0"/>
            </w:tcBorders>
          </w:tcPr>
          <w:p w:rsidR="000A525B" w:rsidP="000A525B" w:rsidRDefault="000A525B" w14:paraId="73EAA58A" w14:textId="0986120A">
            <w:pPr>
              <w:jc w:val="center"/>
            </w:pPr>
            <w:r>
              <w:t>2024</w:t>
            </w:r>
          </w:p>
        </w:tc>
        <w:tc>
          <w:tcPr>
            <w:tcW w:w="1634" w:type="dxa"/>
            <w:tcBorders>
              <w:top w:val="single" w:color="auto" w:sz="4" w:space="0"/>
              <w:left w:val="single" w:color="auto" w:sz="4" w:space="0"/>
              <w:bottom w:val="single" w:color="auto" w:sz="4" w:space="0"/>
              <w:right w:val="single" w:color="auto" w:sz="4" w:space="0"/>
            </w:tcBorders>
          </w:tcPr>
          <w:p w:rsidRPr="00B803D5" w:rsidR="000A525B" w:rsidP="000A525B" w:rsidRDefault="002373B2" w14:paraId="0BDD9D04" w14:textId="2B7EB26D">
            <w:pPr>
              <w:jc w:val="center"/>
            </w:pPr>
            <w:r>
              <w:t>$215.00</w:t>
            </w:r>
          </w:p>
        </w:tc>
      </w:tr>
    </w:tbl>
    <w:p w:rsidR="0022302F" w:rsidP="00FE3BAE" w:rsidRDefault="0022302F" w14:paraId="1CF37A00" w14:textId="77777777">
      <w:pPr>
        <w:spacing w:line="360" w:lineRule="auto"/>
        <w:rPr>
          <w:b/>
        </w:rPr>
      </w:pPr>
    </w:p>
    <w:p w:rsidR="0022302F" w:rsidP="00FE3BAE" w:rsidRDefault="0022302F" w14:paraId="439C0840" w14:textId="77777777">
      <w:pPr>
        <w:spacing w:line="360" w:lineRule="auto"/>
        <w:rPr>
          <w:b/>
        </w:rPr>
      </w:pPr>
    </w:p>
    <w:p w:rsidRPr="00B803D5" w:rsidR="00FE3BAE" w:rsidP="00FE3BAE" w:rsidRDefault="00FE3BAE" w14:paraId="53F54635" w14:textId="77777777">
      <w:pPr>
        <w:jc w:val="center"/>
      </w:pPr>
      <w:r w:rsidRPr="00B803D5">
        <w:rPr>
          <w:b/>
        </w:rPr>
        <w:lastRenderedPageBreak/>
        <w:t xml:space="preserve">(END OF </w:t>
      </w:r>
      <w:r w:rsidRPr="00B803D5">
        <w:rPr>
          <w:b/>
          <w:szCs w:val="26"/>
        </w:rPr>
        <w:t>APPENDIX</w:t>
      </w:r>
      <w:r w:rsidRPr="00B803D5">
        <w:rPr>
          <w:b/>
        </w:rPr>
        <w:t>)</w:t>
      </w:r>
    </w:p>
    <w:sectPr w:rsidRPr="00B803D5" w:rsidR="00FE3BAE" w:rsidSect="006B7228">
      <w:footerReference w:type="default" r:id="rId11"/>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499BA" w14:textId="77777777" w:rsidR="00347202" w:rsidRDefault="00347202" w:rsidP="00885956">
      <w:r>
        <w:separator/>
      </w:r>
    </w:p>
  </w:endnote>
  <w:endnote w:type="continuationSeparator" w:id="0">
    <w:p w14:paraId="2E219C81" w14:textId="77777777" w:rsidR="00347202" w:rsidRDefault="00347202"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70652"/>
      <w:docPartObj>
        <w:docPartGallery w:val="Page Numbers (Bottom of Page)"/>
        <w:docPartUnique/>
      </w:docPartObj>
    </w:sdtPr>
    <w:sdtEndPr>
      <w:rPr>
        <w:noProof/>
      </w:rPr>
    </w:sdtEndPr>
    <w:sdtContent>
      <w:p w14:paraId="28A020F4" w14:textId="3FB6E185" w:rsidR="003B6A1B" w:rsidRDefault="003B6A1B" w:rsidP="00880855">
        <w:pPr>
          <w:pStyle w:val="Footer"/>
          <w:jc w:val="center"/>
        </w:pPr>
        <w:r>
          <w:fldChar w:fldCharType="begin"/>
        </w:r>
        <w:r>
          <w:instrText xml:space="preserve"> PAGE   \* MERGEFORMAT </w:instrText>
        </w:r>
        <w:r>
          <w:fldChar w:fldCharType="separate"/>
        </w:r>
        <w:r w:rsidR="0055228B">
          <w:rPr>
            <w:noProof/>
          </w:rPr>
          <w:t>- 1 -</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49329"/>
      <w:docPartObj>
        <w:docPartGallery w:val="Page Numbers (Bottom of Page)"/>
        <w:docPartUnique/>
      </w:docPartObj>
    </w:sdtPr>
    <w:sdtEndPr>
      <w:rPr>
        <w:noProof/>
      </w:rPr>
    </w:sdtEndPr>
    <w:sdtContent>
      <w:p w14:paraId="560F7D5D" w14:textId="136A16E9" w:rsidR="00CF1129" w:rsidRDefault="00A0734B" w:rsidP="00A0734B">
        <w:pPr>
          <w:pStyle w:val="Footer"/>
        </w:pPr>
        <w:r w:rsidRPr="00A0734B">
          <w:rPr>
            <w:sz w:val="16"/>
            <w:szCs w:val="16"/>
          </w:rPr>
          <w:t>609457401</w:t>
        </w:r>
        <w:r>
          <w:tab/>
        </w:r>
        <w:r w:rsidR="00CF1129">
          <w:fldChar w:fldCharType="begin"/>
        </w:r>
        <w:r w:rsidR="00CF1129">
          <w:instrText xml:space="preserve"> PAGE   \* MERGEFORMAT </w:instrText>
        </w:r>
        <w:r w:rsidR="00CF1129">
          <w:fldChar w:fldCharType="separate"/>
        </w:r>
        <w:r w:rsidR="002A6C07">
          <w:rPr>
            <w:noProof/>
          </w:rPr>
          <w:t>- 1 -</w:t>
        </w:r>
        <w:r w:rsidR="00CF1129">
          <w:rPr>
            <w:noProof/>
          </w:rPr>
          <w:fldChar w:fldCharType="end"/>
        </w:r>
      </w:p>
    </w:sdtContent>
  </w:sdt>
  <w:p w14:paraId="2B494C2D" w14:textId="77777777" w:rsidR="00CF1129" w:rsidRDefault="00CF11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5D9B7" w14:textId="77777777" w:rsidR="00347202" w:rsidRDefault="00347202" w:rsidP="00885956">
      <w:r>
        <w:separator/>
      </w:r>
    </w:p>
  </w:footnote>
  <w:footnote w:type="continuationSeparator" w:id="0">
    <w:p w14:paraId="2FA2B893" w14:textId="77777777" w:rsidR="00347202" w:rsidRDefault="00347202" w:rsidP="00885956">
      <w:r>
        <w:continuationSeparator/>
      </w:r>
    </w:p>
  </w:footnote>
  <w:footnote w:id="1">
    <w:p w14:paraId="6FA203B3" w14:textId="602E6A83" w:rsidR="00306761" w:rsidRPr="00C414F0" w:rsidRDefault="00306761">
      <w:pPr>
        <w:pStyle w:val="FootnoteText"/>
        <w:rPr>
          <w:lang w:val="en-ZW"/>
        </w:rPr>
      </w:pPr>
      <w:r>
        <w:rPr>
          <w:rStyle w:val="FootnoteReference"/>
        </w:rPr>
        <w:footnoteRef/>
      </w:r>
      <w:r>
        <w:t xml:space="preserve"> </w:t>
      </w:r>
      <w:r>
        <w:rPr>
          <w:lang w:val="en-ZW"/>
        </w:rPr>
        <w:t xml:space="preserve">This proceeding was reassigned to </w:t>
      </w:r>
      <w:r w:rsidR="00450AF7">
        <w:rPr>
          <w:lang w:val="en-ZW"/>
        </w:rPr>
        <w:t xml:space="preserve">Commissioner </w:t>
      </w:r>
      <w:r>
        <w:rPr>
          <w:lang w:val="en-ZW"/>
        </w:rPr>
        <w:t>John Reynolds on March 3, 2026.</w:t>
      </w:r>
    </w:p>
  </w:footnote>
  <w:footnote w:id="2">
    <w:p w14:paraId="2970AB3F" w14:textId="0EF27A27" w:rsidR="00306761" w:rsidRPr="00C414F0" w:rsidRDefault="00306761">
      <w:pPr>
        <w:pStyle w:val="FootnoteText"/>
        <w:rPr>
          <w:lang w:val="en-ZW"/>
        </w:rPr>
      </w:pPr>
      <w:r>
        <w:rPr>
          <w:rStyle w:val="FootnoteReference"/>
        </w:rPr>
        <w:footnoteRef/>
      </w:r>
      <w:r>
        <w:t xml:space="preserve"> </w:t>
      </w:r>
      <w:r>
        <w:rPr>
          <w:lang w:val="en-ZW"/>
        </w:rPr>
        <w:t>This proceeding was reassigned to ALJ Brandon Gerstle on March 16, 2026.</w:t>
      </w:r>
    </w:p>
  </w:footnote>
  <w:footnote w:id="3">
    <w:p w14:paraId="7CAF0DDD" w14:textId="77777777" w:rsidR="003B6A1B" w:rsidRDefault="003B6A1B">
      <w:pPr>
        <w:pStyle w:val="FootnoteText"/>
      </w:pPr>
      <w:r>
        <w:rPr>
          <w:rStyle w:val="FootnoteReference"/>
        </w:rPr>
        <w:footnoteRef/>
      </w:r>
      <w:r>
        <w:t xml:space="preserve"> All statutory references are to California Public Utilities Code unless indicated otherwise.</w:t>
      </w:r>
    </w:p>
  </w:footnote>
  <w:footnote w:id="4">
    <w:p w14:paraId="2A44723A" w14:textId="1218B29C" w:rsidR="005F63E8" w:rsidRPr="00DE3A5D" w:rsidRDefault="005F63E8" w:rsidP="00A86489">
      <w:pPr>
        <w:pStyle w:val="FootnoteText"/>
      </w:pPr>
      <w:r w:rsidRPr="00DE3A5D">
        <w:rPr>
          <w:rStyle w:val="FootnoteReference"/>
          <w:sz w:val="20"/>
        </w:rPr>
        <w:footnoteRef/>
      </w:r>
      <w:r w:rsidRPr="00DE3A5D">
        <w:t xml:space="preserve"> This information may be </w:t>
      </w:r>
      <w:r w:rsidRPr="00DE3A5D">
        <w:rPr>
          <w:color w:val="000000"/>
        </w:rPr>
        <w:t>obtain</w:t>
      </w:r>
      <w:r>
        <w:rPr>
          <w:color w:val="000000"/>
        </w:rPr>
        <w:t>ed through the State Bar of California’s website at</w:t>
      </w:r>
      <w:r w:rsidR="0064191E">
        <w:rPr>
          <w:color w:val="000000"/>
        </w:rPr>
        <w:t xml:space="preserve"> </w:t>
      </w:r>
      <w:hyperlink r:id="rId1" w:history="1">
        <w:r w:rsidR="00C570C3" w:rsidRPr="00C570C3">
          <w:rPr>
            <w:rStyle w:val="Hyperlink"/>
          </w:rPr>
          <w:t>https://apps.calbar.ca.gov/attorney/LicenseeSearch/QuickSearch</w:t>
        </w:r>
      </w:hyperlink>
      <w:r w:rsidR="00C570C3">
        <w:t xml:space="preserve">. </w:t>
      </w:r>
      <w:r w:rsidR="00C570C3">
        <w:rPr>
          <w:color w:val="000000"/>
        </w:rPr>
        <w:t xml:space="preserve"> </w:t>
      </w:r>
    </w:p>
  </w:footnote>
  <w:footnote w:id="5">
    <w:p w14:paraId="742E2C55" w14:textId="3ED3D3E3" w:rsidR="006D3836" w:rsidRDefault="006D3836">
      <w:pPr>
        <w:pStyle w:val="FootnoteText"/>
      </w:pPr>
      <w:r>
        <w:rPr>
          <w:rStyle w:val="FootnoteReference"/>
        </w:rPr>
        <w:footnoteRef/>
      </w:r>
      <w:r>
        <w:t xml:space="preserve"> Attachments not </w:t>
      </w:r>
      <w:r w:rsidR="00FB5B08">
        <w:t>included in final Decision.</w:t>
      </w:r>
    </w:p>
  </w:footnote>
  <w:footnote w:id="6">
    <w:p w14:paraId="4D21856D" w14:textId="2893D971" w:rsidR="00496D90" w:rsidRPr="006456EB" w:rsidRDefault="00496D90">
      <w:pPr>
        <w:pStyle w:val="FootnoteText"/>
        <w:rPr>
          <w:lang w:val="en-ZW"/>
        </w:rPr>
      </w:pPr>
      <w:r>
        <w:rPr>
          <w:rStyle w:val="FootnoteReference"/>
        </w:rPr>
        <w:footnoteRef/>
      </w:r>
      <w:r>
        <w:t xml:space="preserve"> </w:t>
      </w:r>
      <w:r w:rsidRPr="00496D90">
        <w:t>D.07-01-009, D.08-04-010, and Resolution ALJ-235.</w:t>
      </w:r>
    </w:p>
  </w:footnote>
  <w:footnote w:id="7">
    <w:p w14:paraId="6C74E12D" w14:textId="717C4FC5" w:rsidR="002B2FC9" w:rsidRPr="00C414F0" w:rsidRDefault="002B2FC9">
      <w:pPr>
        <w:pStyle w:val="FootnoteText"/>
        <w:rPr>
          <w:lang w:val="en-ZW"/>
        </w:rPr>
      </w:pPr>
      <w:r>
        <w:rPr>
          <w:rStyle w:val="FootnoteReference"/>
        </w:rPr>
        <w:footnoteRef/>
      </w:r>
      <w:r>
        <w:t xml:space="preserve"> </w:t>
      </w:r>
      <w:r w:rsidRPr="00496D90">
        <w:t>D.07-01-009, D.08-04-010, and Resolution ALJ-235.</w:t>
      </w:r>
    </w:p>
  </w:footnote>
  <w:footnote w:id="8">
    <w:p w14:paraId="2F4716A8" w14:textId="43724638" w:rsidR="004E250B" w:rsidRDefault="004E250B">
      <w:pPr>
        <w:pStyle w:val="FootnoteText"/>
      </w:pPr>
      <w:r>
        <w:rPr>
          <w:rStyle w:val="FootnoteReference"/>
        </w:rPr>
        <w:footnoteRef/>
      </w:r>
      <w:r>
        <w:t xml:space="preserve"> Lope</w:t>
      </w:r>
      <w:r w:rsidR="006B7E32">
        <w:t xml:space="preserve">z </w:t>
      </w:r>
      <w:r w:rsidR="004853F9">
        <w:t xml:space="preserve">is classified as a </w:t>
      </w:r>
      <w:r w:rsidR="00893C13">
        <w:t>Director V.</w:t>
      </w:r>
    </w:p>
  </w:footnote>
  <w:footnote w:id="9">
    <w:p w14:paraId="0AB86306" w14:textId="2EFB309B" w:rsidR="00EB34DB" w:rsidRDefault="00893C13">
      <w:pPr>
        <w:pStyle w:val="FootnoteText"/>
      </w:pPr>
      <w:r>
        <w:rPr>
          <w:rStyle w:val="FootnoteReference"/>
        </w:rPr>
        <w:footnoteRef/>
      </w:r>
      <w:r>
        <w:t xml:space="preserve"> Pavlovic </w:t>
      </w:r>
      <w:r w:rsidR="00EB34DB">
        <w:t>serves UCAN as a consultant.</w:t>
      </w:r>
    </w:p>
  </w:footnote>
  <w:footnote w:id="10">
    <w:p w14:paraId="7DED29DD" w14:textId="69BF35C7" w:rsidR="00AF25C4" w:rsidRDefault="00AF25C4">
      <w:pPr>
        <w:pStyle w:val="FootnoteText"/>
      </w:pPr>
      <w:r>
        <w:rPr>
          <w:rStyle w:val="FootnoteReference"/>
        </w:rPr>
        <w:footnoteRef/>
      </w:r>
      <w:r>
        <w:t xml:space="preserve"> Griffing serves UCAN as a consultant.</w:t>
      </w:r>
    </w:p>
  </w:footnote>
  <w:footnote w:id="11">
    <w:p w14:paraId="0B93D41E" w14:textId="18B60B1F" w:rsidR="000C2429" w:rsidRDefault="000C2429">
      <w:pPr>
        <w:pStyle w:val="FootnoteText"/>
      </w:pPr>
      <w:r>
        <w:rPr>
          <w:rStyle w:val="FootnoteReference"/>
        </w:rPr>
        <w:footnoteRef/>
      </w:r>
      <w:r>
        <w:t xml:space="preserve"> </w:t>
      </w:r>
      <w:r w:rsidR="00255491">
        <w:t>Cook-Sloan is classified as a Paralegal Manager 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F766" w14:textId="5E8410DB" w:rsidR="00A168B2" w:rsidRPr="00A0734B" w:rsidRDefault="00A168B2">
    <w:pPr>
      <w:pStyle w:val="Header"/>
      <w:rPr>
        <w:b/>
        <w:bCs/>
      </w:rPr>
    </w:pPr>
    <w:r w:rsidRPr="00A0734B">
      <w:t>A.22-04-008 et al.  ALJ/BG5/</w:t>
    </w:r>
    <w:proofErr w:type="spellStart"/>
    <w:r w:rsidRPr="00A0734B">
      <w:t>smt</w:t>
    </w:r>
    <w:proofErr w:type="spellEnd"/>
    <w:r w:rsidRPr="00A0734B">
      <w:tab/>
    </w:r>
    <w:r w:rsidRPr="00A0734B">
      <w:tab/>
    </w:r>
    <w:r w:rsidRPr="00A0734B">
      <w:rPr>
        <w:b/>
        <w:bCs/>
      </w:rPr>
      <w:t>PROPOSED DECISION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69B89"/>
    <w:multiLevelType w:val="hybridMultilevel"/>
    <w:tmpl w:val="FFFFFFFF"/>
    <w:lvl w:ilvl="0" w:tplc="CF06D0C6">
      <w:start w:val="1"/>
      <w:numFmt w:val="bullet"/>
      <w:lvlText w:val=""/>
      <w:lvlJc w:val="left"/>
      <w:pPr>
        <w:ind w:left="720" w:hanging="360"/>
      </w:pPr>
      <w:rPr>
        <w:rFonts w:ascii="Symbol" w:hAnsi="Symbol" w:hint="default"/>
      </w:rPr>
    </w:lvl>
    <w:lvl w:ilvl="1" w:tplc="C1CAE112">
      <w:start w:val="1"/>
      <w:numFmt w:val="bullet"/>
      <w:lvlText w:val="o"/>
      <w:lvlJc w:val="left"/>
      <w:pPr>
        <w:ind w:left="1440" w:hanging="360"/>
      </w:pPr>
      <w:rPr>
        <w:rFonts w:ascii="Courier New" w:hAnsi="Courier New" w:hint="default"/>
      </w:rPr>
    </w:lvl>
    <w:lvl w:ilvl="2" w:tplc="127C63DE">
      <w:start w:val="1"/>
      <w:numFmt w:val="bullet"/>
      <w:lvlText w:val=""/>
      <w:lvlJc w:val="left"/>
      <w:pPr>
        <w:ind w:left="2160" w:hanging="360"/>
      </w:pPr>
      <w:rPr>
        <w:rFonts w:ascii="Wingdings" w:hAnsi="Wingdings" w:hint="default"/>
      </w:rPr>
    </w:lvl>
    <w:lvl w:ilvl="3" w:tplc="9F0284B2">
      <w:start w:val="1"/>
      <w:numFmt w:val="bullet"/>
      <w:lvlText w:val=""/>
      <w:lvlJc w:val="left"/>
      <w:pPr>
        <w:ind w:left="2880" w:hanging="360"/>
      </w:pPr>
      <w:rPr>
        <w:rFonts w:ascii="Symbol" w:hAnsi="Symbol" w:hint="default"/>
      </w:rPr>
    </w:lvl>
    <w:lvl w:ilvl="4" w:tplc="2DAA21B2">
      <w:start w:val="1"/>
      <w:numFmt w:val="bullet"/>
      <w:lvlText w:val="o"/>
      <w:lvlJc w:val="left"/>
      <w:pPr>
        <w:ind w:left="3600" w:hanging="360"/>
      </w:pPr>
      <w:rPr>
        <w:rFonts w:ascii="Courier New" w:hAnsi="Courier New" w:hint="default"/>
      </w:rPr>
    </w:lvl>
    <w:lvl w:ilvl="5" w:tplc="EDD0092E">
      <w:start w:val="1"/>
      <w:numFmt w:val="bullet"/>
      <w:lvlText w:val=""/>
      <w:lvlJc w:val="left"/>
      <w:pPr>
        <w:ind w:left="4320" w:hanging="360"/>
      </w:pPr>
      <w:rPr>
        <w:rFonts w:ascii="Wingdings" w:hAnsi="Wingdings" w:hint="default"/>
      </w:rPr>
    </w:lvl>
    <w:lvl w:ilvl="6" w:tplc="6E90075C">
      <w:start w:val="1"/>
      <w:numFmt w:val="bullet"/>
      <w:lvlText w:val=""/>
      <w:lvlJc w:val="left"/>
      <w:pPr>
        <w:ind w:left="5040" w:hanging="360"/>
      </w:pPr>
      <w:rPr>
        <w:rFonts w:ascii="Symbol" w:hAnsi="Symbol" w:hint="default"/>
      </w:rPr>
    </w:lvl>
    <w:lvl w:ilvl="7" w:tplc="9140CCAA">
      <w:start w:val="1"/>
      <w:numFmt w:val="bullet"/>
      <w:lvlText w:val="o"/>
      <w:lvlJc w:val="left"/>
      <w:pPr>
        <w:ind w:left="5760" w:hanging="360"/>
      </w:pPr>
      <w:rPr>
        <w:rFonts w:ascii="Courier New" w:hAnsi="Courier New" w:hint="default"/>
      </w:rPr>
    </w:lvl>
    <w:lvl w:ilvl="8" w:tplc="26527D2A">
      <w:start w:val="1"/>
      <w:numFmt w:val="bullet"/>
      <w:lvlText w:val=""/>
      <w:lvlJc w:val="left"/>
      <w:pPr>
        <w:ind w:left="6480" w:hanging="360"/>
      </w:pPr>
      <w:rPr>
        <w:rFonts w:ascii="Wingdings" w:hAnsi="Wingdings" w:hint="default"/>
      </w:rPr>
    </w:lvl>
  </w:abstractNum>
  <w:abstractNum w:abstractNumId="3"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3E678B"/>
    <w:multiLevelType w:val="hybridMultilevel"/>
    <w:tmpl w:val="2AB6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0"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D13AF29"/>
    <w:multiLevelType w:val="hybridMultilevel"/>
    <w:tmpl w:val="9AECD28A"/>
    <w:lvl w:ilvl="0" w:tplc="9AEE1370">
      <w:start w:val="1"/>
      <w:numFmt w:val="bullet"/>
      <w:lvlText w:val=""/>
      <w:lvlJc w:val="left"/>
      <w:pPr>
        <w:ind w:left="720" w:hanging="360"/>
      </w:pPr>
      <w:rPr>
        <w:rFonts w:ascii="Symbol" w:hAnsi="Symbol" w:hint="default"/>
      </w:rPr>
    </w:lvl>
    <w:lvl w:ilvl="1" w:tplc="0C94D8CE">
      <w:start w:val="1"/>
      <w:numFmt w:val="bullet"/>
      <w:lvlText w:val="o"/>
      <w:lvlJc w:val="left"/>
      <w:pPr>
        <w:ind w:left="1440" w:hanging="360"/>
      </w:pPr>
      <w:rPr>
        <w:rFonts w:ascii="Courier New" w:hAnsi="Courier New" w:hint="default"/>
      </w:rPr>
    </w:lvl>
    <w:lvl w:ilvl="2" w:tplc="F544F8B4">
      <w:start w:val="1"/>
      <w:numFmt w:val="bullet"/>
      <w:lvlText w:val=""/>
      <w:lvlJc w:val="left"/>
      <w:pPr>
        <w:ind w:left="2160" w:hanging="360"/>
      </w:pPr>
      <w:rPr>
        <w:rFonts w:ascii="Wingdings" w:hAnsi="Wingdings" w:hint="default"/>
      </w:rPr>
    </w:lvl>
    <w:lvl w:ilvl="3" w:tplc="97122670">
      <w:start w:val="1"/>
      <w:numFmt w:val="bullet"/>
      <w:lvlText w:val=""/>
      <w:lvlJc w:val="left"/>
      <w:pPr>
        <w:ind w:left="2880" w:hanging="360"/>
      </w:pPr>
      <w:rPr>
        <w:rFonts w:ascii="Symbol" w:hAnsi="Symbol" w:hint="default"/>
      </w:rPr>
    </w:lvl>
    <w:lvl w:ilvl="4" w:tplc="EBA6E714">
      <w:start w:val="1"/>
      <w:numFmt w:val="bullet"/>
      <w:lvlText w:val="o"/>
      <w:lvlJc w:val="left"/>
      <w:pPr>
        <w:ind w:left="3600" w:hanging="360"/>
      </w:pPr>
      <w:rPr>
        <w:rFonts w:ascii="Courier New" w:hAnsi="Courier New" w:hint="default"/>
      </w:rPr>
    </w:lvl>
    <w:lvl w:ilvl="5" w:tplc="93605012">
      <w:start w:val="1"/>
      <w:numFmt w:val="bullet"/>
      <w:lvlText w:val=""/>
      <w:lvlJc w:val="left"/>
      <w:pPr>
        <w:ind w:left="4320" w:hanging="360"/>
      </w:pPr>
      <w:rPr>
        <w:rFonts w:ascii="Wingdings" w:hAnsi="Wingdings" w:hint="default"/>
      </w:rPr>
    </w:lvl>
    <w:lvl w:ilvl="6" w:tplc="537E8512">
      <w:start w:val="1"/>
      <w:numFmt w:val="bullet"/>
      <w:lvlText w:val=""/>
      <w:lvlJc w:val="left"/>
      <w:pPr>
        <w:ind w:left="5040" w:hanging="360"/>
      </w:pPr>
      <w:rPr>
        <w:rFonts w:ascii="Symbol" w:hAnsi="Symbol" w:hint="default"/>
      </w:rPr>
    </w:lvl>
    <w:lvl w:ilvl="7" w:tplc="9E12B144">
      <w:start w:val="1"/>
      <w:numFmt w:val="bullet"/>
      <w:lvlText w:val="o"/>
      <w:lvlJc w:val="left"/>
      <w:pPr>
        <w:ind w:left="5760" w:hanging="360"/>
      </w:pPr>
      <w:rPr>
        <w:rFonts w:ascii="Courier New" w:hAnsi="Courier New" w:hint="default"/>
      </w:rPr>
    </w:lvl>
    <w:lvl w:ilvl="8" w:tplc="1B52A0EC">
      <w:start w:val="1"/>
      <w:numFmt w:val="bullet"/>
      <w:lvlText w:val=""/>
      <w:lvlJc w:val="left"/>
      <w:pPr>
        <w:ind w:left="6480" w:hanging="360"/>
      </w:pPr>
      <w:rPr>
        <w:rFonts w:ascii="Wingdings" w:hAnsi="Wingdings" w:hint="default"/>
      </w:rPr>
    </w:lvl>
  </w:abstractNum>
  <w:num w:numId="1" w16cid:durableId="197280713">
    <w:abstractNumId w:val="12"/>
  </w:num>
  <w:num w:numId="2" w16cid:durableId="1821925153">
    <w:abstractNumId w:val="2"/>
  </w:num>
  <w:num w:numId="3" w16cid:durableId="1236431786">
    <w:abstractNumId w:val="10"/>
  </w:num>
  <w:num w:numId="4" w16cid:durableId="296566636">
    <w:abstractNumId w:val="0"/>
  </w:num>
  <w:num w:numId="5" w16cid:durableId="2098595014">
    <w:abstractNumId w:val="11"/>
  </w:num>
  <w:num w:numId="6" w16cid:durableId="1312905431">
    <w:abstractNumId w:val="7"/>
  </w:num>
  <w:num w:numId="7" w16cid:durableId="417093550">
    <w:abstractNumId w:val="5"/>
  </w:num>
  <w:num w:numId="8" w16cid:durableId="1486429129">
    <w:abstractNumId w:val="9"/>
  </w:num>
  <w:num w:numId="9" w16cid:durableId="258221757">
    <w:abstractNumId w:val="6"/>
  </w:num>
  <w:num w:numId="10" w16cid:durableId="842936081">
    <w:abstractNumId w:val="8"/>
  </w:num>
  <w:num w:numId="11" w16cid:durableId="1685205339">
    <w:abstractNumId w:val="1"/>
  </w:num>
  <w:num w:numId="12" w16cid:durableId="789317941">
    <w:abstractNumId w:val="3"/>
  </w:num>
  <w:num w:numId="13" w16cid:durableId="200093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3A49"/>
    <w:rsid w:val="00006333"/>
    <w:rsid w:val="00006D73"/>
    <w:rsid w:val="00010339"/>
    <w:rsid w:val="00014314"/>
    <w:rsid w:val="00015029"/>
    <w:rsid w:val="00022BFB"/>
    <w:rsid w:val="00026A15"/>
    <w:rsid w:val="00026BA7"/>
    <w:rsid w:val="00026D21"/>
    <w:rsid w:val="0003257A"/>
    <w:rsid w:val="00034492"/>
    <w:rsid w:val="00036F54"/>
    <w:rsid w:val="00040A1E"/>
    <w:rsid w:val="00044EE1"/>
    <w:rsid w:val="00045A2F"/>
    <w:rsid w:val="00045DBF"/>
    <w:rsid w:val="00053064"/>
    <w:rsid w:val="0005538D"/>
    <w:rsid w:val="00055843"/>
    <w:rsid w:val="00072C81"/>
    <w:rsid w:val="00073262"/>
    <w:rsid w:val="000749B4"/>
    <w:rsid w:val="000770C3"/>
    <w:rsid w:val="0008298C"/>
    <w:rsid w:val="00086426"/>
    <w:rsid w:val="000869EA"/>
    <w:rsid w:val="00087AF6"/>
    <w:rsid w:val="000908FD"/>
    <w:rsid w:val="000971C0"/>
    <w:rsid w:val="000A46C5"/>
    <w:rsid w:val="000A525B"/>
    <w:rsid w:val="000B39B2"/>
    <w:rsid w:val="000C1A2E"/>
    <w:rsid w:val="000C1EF0"/>
    <w:rsid w:val="000C2429"/>
    <w:rsid w:val="000C2B1F"/>
    <w:rsid w:val="000C3D71"/>
    <w:rsid w:val="000C6C0F"/>
    <w:rsid w:val="000C7EDF"/>
    <w:rsid w:val="000D1EE6"/>
    <w:rsid w:val="000D32C0"/>
    <w:rsid w:val="000D6CA0"/>
    <w:rsid w:val="000D6DF8"/>
    <w:rsid w:val="000E1E51"/>
    <w:rsid w:val="000E41D9"/>
    <w:rsid w:val="000E4F1E"/>
    <w:rsid w:val="000E6ABD"/>
    <w:rsid w:val="000F2303"/>
    <w:rsid w:val="000F595C"/>
    <w:rsid w:val="000F7670"/>
    <w:rsid w:val="00100142"/>
    <w:rsid w:val="0010480F"/>
    <w:rsid w:val="00104918"/>
    <w:rsid w:val="00110D89"/>
    <w:rsid w:val="001146FA"/>
    <w:rsid w:val="00114EE8"/>
    <w:rsid w:val="00115553"/>
    <w:rsid w:val="00116A3F"/>
    <w:rsid w:val="00117DE1"/>
    <w:rsid w:val="00123103"/>
    <w:rsid w:val="00123FBD"/>
    <w:rsid w:val="00124172"/>
    <w:rsid w:val="00125492"/>
    <w:rsid w:val="001320CC"/>
    <w:rsid w:val="001346EB"/>
    <w:rsid w:val="0013579D"/>
    <w:rsid w:val="00137AC0"/>
    <w:rsid w:val="00141A4E"/>
    <w:rsid w:val="00151AA8"/>
    <w:rsid w:val="001524DA"/>
    <w:rsid w:val="00152721"/>
    <w:rsid w:val="00152F94"/>
    <w:rsid w:val="00163931"/>
    <w:rsid w:val="00163CA3"/>
    <w:rsid w:val="00165297"/>
    <w:rsid w:val="0016616F"/>
    <w:rsid w:val="001708B9"/>
    <w:rsid w:val="00171EBF"/>
    <w:rsid w:val="00172867"/>
    <w:rsid w:val="00175865"/>
    <w:rsid w:val="0017663C"/>
    <w:rsid w:val="00180E8C"/>
    <w:rsid w:val="0018426F"/>
    <w:rsid w:val="0019228E"/>
    <w:rsid w:val="001962EB"/>
    <w:rsid w:val="001A3CF3"/>
    <w:rsid w:val="001A557E"/>
    <w:rsid w:val="001A6581"/>
    <w:rsid w:val="001B43D0"/>
    <w:rsid w:val="001B452D"/>
    <w:rsid w:val="001B4565"/>
    <w:rsid w:val="001B6DBB"/>
    <w:rsid w:val="001C0DD1"/>
    <w:rsid w:val="001C21AE"/>
    <w:rsid w:val="001C259E"/>
    <w:rsid w:val="001C7134"/>
    <w:rsid w:val="001D007E"/>
    <w:rsid w:val="001D0404"/>
    <w:rsid w:val="001D1639"/>
    <w:rsid w:val="001D3ED2"/>
    <w:rsid w:val="001D42DD"/>
    <w:rsid w:val="001D5DAB"/>
    <w:rsid w:val="001D6112"/>
    <w:rsid w:val="001E640E"/>
    <w:rsid w:val="001E77CF"/>
    <w:rsid w:val="001E7C30"/>
    <w:rsid w:val="001E7EE2"/>
    <w:rsid w:val="001E7F12"/>
    <w:rsid w:val="001F110D"/>
    <w:rsid w:val="001F238E"/>
    <w:rsid w:val="001F3009"/>
    <w:rsid w:val="00204E3A"/>
    <w:rsid w:val="002065B4"/>
    <w:rsid w:val="00207915"/>
    <w:rsid w:val="002112E1"/>
    <w:rsid w:val="00212E10"/>
    <w:rsid w:val="00214B22"/>
    <w:rsid w:val="00217224"/>
    <w:rsid w:val="002207D6"/>
    <w:rsid w:val="0022302F"/>
    <w:rsid w:val="002258D5"/>
    <w:rsid w:val="00230392"/>
    <w:rsid w:val="00230C84"/>
    <w:rsid w:val="00231829"/>
    <w:rsid w:val="00232763"/>
    <w:rsid w:val="002373B2"/>
    <w:rsid w:val="002415DC"/>
    <w:rsid w:val="002466F8"/>
    <w:rsid w:val="00255491"/>
    <w:rsid w:val="00256F00"/>
    <w:rsid w:val="002601A6"/>
    <w:rsid w:val="00260518"/>
    <w:rsid w:val="002612BF"/>
    <w:rsid w:val="00264333"/>
    <w:rsid w:val="002678D9"/>
    <w:rsid w:val="00270E2E"/>
    <w:rsid w:val="00272528"/>
    <w:rsid w:val="00273044"/>
    <w:rsid w:val="00273200"/>
    <w:rsid w:val="00273208"/>
    <w:rsid w:val="00286446"/>
    <w:rsid w:val="00287324"/>
    <w:rsid w:val="002976E5"/>
    <w:rsid w:val="002A0DB8"/>
    <w:rsid w:val="002A2D35"/>
    <w:rsid w:val="002A6010"/>
    <w:rsid w:val="002A66A1"/>
    <w:rsid w:val="002A6918"/>
    <w:rsid w:val="002A6C07"/>
    <w:rsid w:val="002B14F8"/>
    <w:rsid w:val="002B1F6B"/>
    <w:rsid w:val="002B2014"/>
    <w:rsid w:val="002B220A"/>
    <w:rsid w:val="002B23D8"/>
    <w:rsid w:val="002B2FC9"/>
    <w:rsid w:val="002B3C2C"/>
    <w:rsid w:val="002B4947"/>
    <w:rsid w:val="002B592A"/>
    <w:rsid w:val="002B6802"/>
    <w:rsid w:val="002C40CE"/>
    <w:rsid w:val="002C79E7"/>
    <w:rsid w:val="002D1EAA"/>
    <w:rsid w:val="002D21CA"/>
    <w:rsid w:val="002D53AA"/>
    <w:rsid w:val="002D73D2"/>
    <w:rsid w:val="002E2031"/>
    <w:rsid w:val="002E25FD"/>
    <w:rsid w:val="002E3B29"/>
    <w:rsid w:val="002E58AC"/>
    <w:rsid w:val="002E5F83"/>
    <w:rsid w:val="002E77D8"/>
    <w:rsid w:val="002F20C0"/>
    <w:rsid w:val="002F296C"/>
    <w:rsid w:val="002F2C55"/>
    <w:rsid w:val="002F62E6"/>
    <w:rsid w:val="003020D1"/>
    <w:rsid w:val="003022E2"/>
    <w:rsid w:val="00302326"/>
    <w:rsid w:val="00303116"/>
    <w:rsid w:val="00303C2B"/>
    <w:rsid w:val="00305C2E"/>
    <w:rsid w:val="00306761"/>
    <w:rsid w:val="00311ED5"/>
    <w:rsid w:val="00312EB0"/>
    <w:rsid w:val="00313F4F"/>
    <w:rsid w:val="00317A50"/>
    <w:rsid w:val="0032062C"/>
    <w:rsid w:val="00321520"/>
    <w:rsid w:val="0032498A"/>
    <w:rsid w:val="0032CAFD"/>
    <w:rsid w:val="00340021"/>
    <w:rsid w:val="00342D40"/>
    <w:rsid w:val="003435B1"/>
    <w:rsid w:val="003439A1"/>
    <w:rsid w:val="00346B57"/>
    <w:rsid w:val="00347202"/>
    <w:rsid w:val="00347437"/>
    <w:rsid w:val="003501DD"/>
    <w:rsid w:val="003526A3"/>
    <w:rsid w:val="00357623"/>
    <w:rsid w:val="00357F1A"/>
    <w:rsid w:val="00360E4B"/>
    <w:rsid w:val="0036181B"/>
    <w:rsid w:val="00361C6F"/>
    <w:rsid w:val="0036571D"/>
    <w:rsid w:val="00366704"/>
    <w:rsid w:val="00372A5A"/>
    <w:rsid w:val="00372AE8"/>
    <w:rsid w:val="003748E8"/>
    <w:rsid w:val="00374FD1"/>
    <w:rsid w:val="00377884"/>
    <w:rsid w:val="00380703"/>
    <w:rsid w:val="0038175D"/>
    <w:rsid w:val="00384879"/>
    <w:rsid w:val="00384889"/>
    <w:rsid w:val="00385AA3"/>
    <w:rsid w:val="003901FC"/>
    <w:rsid w:val="0039260F"/>
    <w:rsid w:val="003942CF"/>
    <w:rsid w:val="00395CF2"/>
    <w:rsid w:val="00396179"/>
    <w:rsid w:val="003971DD"/>
    <w:rsid w:val="003A2F43"/>
    <w:rsid w:val="003B1782"/>
    <w:rsid w:val="003B5EAC"/>
    <w:rsid w:val="003B6A1B"/>
    <w:rsid w:val="003C25D8"/>
    <w:rsid w:val="003C25E6"/>
    <w:rsid w:val="003C5DEE"/>
    <w:rsid w:val="003C608A"/>
    <w:rsid w:val="003C7832"/>
    <w:rsid w:val="003D359B"/>
    <w:rsid w:val="003D39E2"/>
    <w:rsid w:val="003D4455"/>
    <w:rsid w:val="003D61AC"/>
    <w:rsid w:val="003D7CBB"/>
    <w:rsid w:val="003E1012"/>
    <w:rsid w:val="003E1D2E"/>
    <w:rsid w:val="003E34FD"/>
    <w:rsid w:val="003E39EE"/>
    <w:rsid w:val="003E43E7"/>
    <w:rsid w:val="003E563A"/>
    <w:rsid w:val="003E570A"/>
    <w:rsid w:val="003E7C74"/>
    <w:rsid w:val="003F1229"/>
    <w:rsid w:val="003F5266"/>
    <w:rsid w:val="003F5E60"/>
    <w:rsid w:val="00402351"/>
    <w:rsid w:val="004026AD"/>
    <w:rsid w:val="00403A68"/>
    <w:rsid w:val="0040495D"/>
    <w:rsid w:val="004066AD"/>
    <w:rsid w:val="00411FDC"/>
    <w:rsid w:val="004122B8"/>
    <w:rsid w:val="00417BDD"/>
    <w:rsid w:val="00424185"/>
    <w:rsid w:val="00427531"/>
    <w:rsid w:val="004317D7"/>
    <w:rsid w:val="00435C30"/>
    <w:rsid w:val="004403BC"/>
    <w:rsid w:val="00440820"/>
    <w:rsid w:val="00442AD2"/>
    <w:rsid w:val="00443E14"/>
    <w:rsid w:val="00446F07"/>
    <w:rsid w:val="004473BC"/>
    <w:rsid w:val="00450AF7"/>
    <w:rsid w:val="00452A11"/>
    <w:rsid w:val="004534E7"/>
    <w:rsid w:val="00453B48"/>
    <w:rsid w:val="0045468F"/>
    <w:rsid w:val="00455B6C"/>
    <w:rsid w:val="00456367"/>
    <w:rsid w:val="004565FB"/>
    <w:rsid w:val="00457516"/>
    <w:rsid w:val="00461054"/>
    <w:rsid w:val="0046248A"/>
    <w:rsid w:val="004640EF"/>
    <w:rsid w:val="004643DF"/>
    <w:rsid w:val="00466663"/>
    <w:rsid w:val="00467E65"/>
    <w:rsid w:val="00480BF6"/>
    <w:rsid w:val="004840D2"/>
    <w:rsid w:val="004853F9"/>
    <w:rsid w:val="00490E7A"/>
    <w:rsid w:val="00491773"/>
    <w:rsid w:val="00496D90"/>
    <w:rsid w:val="0049791F"/>
    <w:rsid w:val="004A388D"/>
    <w:rsid w:val="004A6FD4"/>
    <w:rsid w:val="004B36D4"/>
    <w:rsid w:val="004B3B56"/>
    <w:rsid w:val="004B5F3B"/>
    <w:rsid w:val="004B66AC"/>
    <w:rsid w:val="004C0961"/>
    <w:rsid w:val="004C0F19"/>
    <w:rsid w:val="004C139A"/>
    <w:rsid w:val="004C1494"/>
    <w:rsid w:val="004C37F3"/>
    <w:rsid w:val="004C39A1"/>
    <w:rsid w:val="004D08ED"/>
    <w:rsid w:val="004D1114"/>
    <w:rsid w:val="004D6B6D"/>
    <w:rsid w:val="004D779D"/>
    <w:rsid w:val="004E0395"/>
    <w:rsid w:val="004E0773"/>
    <w:rsid w:val="004E250B"/>
    <w:rsid w:val="004E3939"/>
    <w:rsid w:val="004E3D93"/>
    <w:rsid w:val="004E555F"/>
    <w:rsid w:val="004E6F13"/>
    <w:rsid w:val="004F1640"/>
    <w:rsid w:val="004F1F9D"/>
    <w:rsid w:val="004F24C8"/>
    <w:rsid w:val="005002C5"/>
    <w:rsid w:val="00501E58"/>
    <w:rsid w:val="005102D7"/>
    <w:rsid w:val="00515CAF"/>
    <w:rsid w:val="00516CE7"/>
    <w:rsid w:val="005215EF"/>
    <w:rsid w:val="00521B86"/>
    <w:rsid w:val="00524DE9"/>
    <w:rsid w:val="00526A55"/>
    <w:rsid w:val="00527FDB"/>
    <w:rsid w:val="00532AC1"/>
    <w:rsid w:val="00533373"/>
    <w:rsid w:val="00536603"/>
    <w:rsid w:val="00542762"/>
    <w:rsid w:val="00547145"/>
    <w:rsid w:val="00551967"/>
    <w:rsid w:val="0055228B"/>
    <w:rsid w:val="0055539A"/>
    <w:rsid w:val="00560CF2"/>
    <w:rsid w:val="0056365C"/>
    <w:rsid w:val="00564E31"/>
    <w:rsid w:val="0057088A"/>
    <w:rsid w:val="0057226B"/>
    <w:rsid w:val="005726AF"/>
    <w:rsid w:val="00575494"/>
    <w:rsid w:val="00582233"/>
    <w:rsid w:val="0058493D"/>
    <w:rsid w:val="00586213"/>
    <w:rsid w:val="005912FA"/>
    <w:rsid w:val="00591DF1"/>
    <w:rsid w:val="0059289A"/>
    <w:rsid w:val="00594DAE"/>
    <w:rsid w:val="005970E4"/>
    <w:rsid w:val="005A212D"/>
    <w:rsid w:val="005A21AA"/>
    <w:rsid w:val="005A3018"/>
    <w:rsid w:val="005A53F1"/>
    <w:rsid w:val="005A54E4"/>
    <w:rsid w:val="005A63D4"/>
    <w:rsid w:val="005A65C2"/>
    <w:rsid w:val="005A6F91"/>
    <w:rsid w:val="005B4328"/>
    <w:rsid w:val="005B5791"/>
    <w:rsid w:val="005B5B44"/>
    <w:rsid w:val="005C327F"/>
    <w:rsid w:val="005C6C82"/>
    <w:rsid w:val="005D252D"/>
    <w:rsid w:val="005D4388"/>
    <w:rsid w:val="005D525A"/>
    <w:rsid w:val="005D6BDF"/>
    <w:rsid w:val="005D7099"/>
    <w:rsid w:val="005E3AFB"/>
    <w:rsid w:val="005E3DF0"/>
    <w:rsid w:val="005F4D82"/>
    <w:rsid w:val="005F5F14"/>
    <w:rsid w:val="005F63E8"/>
    <w:rsid w:val="006005F6"/>
    <w:rsid w:val="00600CE1"/>
    <w:rsid w:val="00602CCB"/>
    <w:rsid w:val="00603D19"/>
    <w:rsid w:val="00606A13"/>
    <w:rsid w:val="00607BCD"/>
    <w:rsid w:val="006135A6"/>
    <w:rsid w:val="0061621D"/>
    <w:rsid w:val="00621A7C"/>
    <w:rsid w:val="00625613"/>
    <w:rsid w:val="006259C7"/>
    <w:rsid w:val="00630B6D"/>
    <w:rsid w:val="0063222B"/>
    <w:rsid w:val="006325EF"/>
    <w:rsid w:val="0063296F"/>
    <w:rsid w:val="00633A30"/>
    <w:rsid w:val="00635E6F"/>
    <w:rsid w:val="00636177"/>
    <w:rsid w:val="0064191E"/>
    <w:rsid w:val="006436A8"/>
    <w:rsid w:val="006456EB"/>
    <w:rsid w:val="0064765F"/>
    <w:rsid w:val="0065087E"/>
    <w:rsid w:val="00652A69"/>
    <w:rsid w:val="00652DEA"/>
    <w:rsid w:val="00655041"/>
    <w:rsid w:val="0065772A"/>
    <w:rsid w:val="0066072F"/>
    <w:rsid w:val="00660D7E"/>
    <w:rsid w:val="006637D2"/>
    <w:rsid w:val="0066401E"/>
    <w:rsid w:val="00664F47"/>
    <w:rsid w:val="0066541F"/>
    <w:rsid w:val="0067021C"/>
    <w:rsid w:val="0067079E"/>
    <w:rsid w:val="00672204"/>
    <w:rsid w:val="00673595"/>
    <w:rsid w:val="00673EB1"/>
    <w:rsid w:val="006775AF"/>
    <w:rsid w:val="006830DF"/>
    <w:rsid w:val="00684483"/>
    <w:rsid w:val="00684E78"/>
    <w:rsid w:val="00685C09"/>
    <w:rsid w:val="00691528"/>
    <w:rsid w:val="00692738"/>
    <w:rsid w:val="0069782D"/>
    <w:rsid w:val="006A2350"/>
    <w:rsid w:val="006A7272"/>
    <w:rsid w:val="006B0BC7"/>
    <w:rsid w:val="006B6104"/>
    <w:rsid w:val="006B7228"/>
    <w:rsid w:val="006B7375"/>
    <w:rsid w:val="006B7E32"/>
    <w:rsid w:val="006C39F5"/>
    <w:rsid w:val="006C56AC"/>
    <w:rsid w:val="006C7005"/>
    <w:rsid w:val="006C7AF1"/>
    <w:rsid w:val="006C7DFE"/>
    <w:rsid w:val="006D1BE0"/>
    <w:rsid w:val="006D3836"/>
    <w:rsid w:val="006D4B0E"/>
    <w:rsid w:val="006D58B1"/>
    <w:rsid w:val="006D67C9"/>
    <w:rsid w:val="006D775B"/>
    <w:rsid w:val="006E163F"/>
    <w:rsid w:val="006E4A1B"/>
    <w:rsid w:val="006E4BB3"/>
    <w:rsid w:val="006F1C2E"/>
    <w:rsid w:val="006F4F80"/>
    <w:rsid w:val="00701647"/>
    <w:rsid w:val="00703024"/>
    <w:rsid w:val="00703D5A"/>
    <w:rsid w:val="007042A7"/>
    <w:rsid w:val="0070486C"/>
    <w:rsid w:val="00704E0B"/>
    <w:rsid w:val="007055D1"/>
    <w:rsid w:val="007056FC"/>
    <w:rsid w:val="00705D12"/>
    <w:rsid w:val="00713B28"/>
    <w:rsid w:val="00715159"/>
    <w:rsid w:val="00716FB2"/>
    <w:rsid w:val="0072119B"/>
    <w:rsid w:val="007224C7"/>
    <w:rsid w:val="00722672"/>
    <w:rsid w:val="00723992"/>
    <w:rsid w:val="00724EE5"/>
    <w:rsid w:val="007271E1"/>
    <w:rsid w:val="00732824"/>
    <w:rsid w:val="007344DF"/>
    <w:rsid w:val="0074123F"/>
    <w:rsid w:val="0074620B"/>
    <w:rsid w:val="00751A7D"/>
    <w:rsid w:val="00752D7D"/>
    <w:rsid w:val="00755BC0"/>
    <w:rsid w:val="00757B44"/>
    <w:rsid w:val="007614E2"/>
    <w:rsid w:val="00763797"/>
    <w:rsid w:val="00773AFA"/>
    <w:rsid w:val="00780C7B"/>
    <w:rsid w:val="00782C3B"/>
    <w:rsid w:val="00782C7D"/>
    <w:rsid w:val="00786CAD"/>
    <w:rsid w:val="00791A2D"/>
    <w:rsid w:val="007936C0"/>
    <w:rsid w:val="00793A4C"/>
    <w:rsid w:val="007A05B9"/>
    <w:rsid w:val="007A3FCC"/>
    <w:rsid w:val="007B0815"/>
    <w:rsid w:val="007B41B2"/>
    <w:rsid w:val="007B5263"/>
    <w:rsid w:val="007B557A"/>
    <w:rsid w:val="007C01C6"/>
    <w:rsid w:val="007C1B69"/>
    <w:rsid w:val="007C1D9F"/>
    <w:rsid w:val="007C5000"/>
    <w:rsid w:val="007C589B"/>
    <w:rsid w:val="007C7860"/>
    <w:rsid w:val="007D4C90"/>
    <w:rsid w:val="007D4E24"/>
    <w:rsid w:val="007D591D"/>
    <w:rsid w:val="007E167C"/>
    <w:rsid w:val="007E30FF"/>
    <w:rsid w:val="007E3995"/>
    <w:rsid w:val="007E61CF"/>
    <w:rsid w:val="007E71C3"/>
    <w:rsid w:val="007E7E49"/>
    <w:rsid w:val="007F1A7B"/>
    <w:rsid w:val="007F620E"/>
    <w:rsid w:val="007F6CF5"/>
    <w:rsid w:val="0080093F"/>
    <w:rsid w:val="00801373"/>
    <w:rsid w:val="00802101"/>
    <w:rsid w:val="00802701"/>
    <w:rsid w:val="0080678A"/>
    <w:rsid w:val="00811DB1"/>
    <w:rsid w:val="00815F1F"/>
    <w:rsid w:val="0081626F"/>
    <w:rsid w:val="00817760"/>
    <w:rsid w:val="00822BB0"/>
    <w:rsid w:val="00822D1E"/>
    <w:rsid w:val="00824077"/>
    <w:rsid w:val="008308A0"/>
    <w:rsid w:val="00831652"/>
    <w:rsid w:val="00832E74"/>
    <w:rsid w:val="0083350A"/>
    <w:rsid w:val="00837E6E"/>
    <w:rsid w:val="00845CEC"/>
    <w:rsid w:val="00847DB6"/>
    <w:rsid w:val="00855FD7"/>
    <w:rsid w:val="00856302"/>
    <w:rsid w:val="00857F71"/>
    <w:rsid w:val="00865ED0"/>
    <w:rsid w:val="00866433"/>
    <w:rsid w:val="00871ABD"/>
    <w:rsid w:val="008736A1"/>
    <w:rsid w:val="00874036"/>
    <w:rsid w:val="00880855"/>
    <w:rsid w:val="00883173"/>
    <w:rsid w:val="008844B6"/>
    <w:rsid w:val="00885956"/>
    <w:rsid w:val="00886869"/>
    <w:rsid w:val="0089132C"/>
    <w:rsid w:val="008917C7"/>
    <w:rsid w:val="00893C13"/>
    <w:rsid w:val="008A2E99"/>
    <w:rsid w:val="008A306B"/>
    <w:rsid w:val="008A3098"/>
    <w:rsid w:val="008A634B"/>
    <w:rsid w:val="008A6BFB"/>
    <w:rsid w:val="008B30F2"/>
    <w:rsid w:val="008B4112"/>
    <w:rsid w:val="008B579C"/>
    <w:rsid w:val="008B65A4"/>
    <w:rsid w:val="008B67E2"/>
    <w:rsid w:val="008B7C9A"/>
    <w:rsid w:val="008C03F9"/>
    <w:rsid w:val="008C09F7"/>
    <w:rsid w:val="008C1B25"/>
    <w:rsid w:val="008C2208"/>
    <w:rsid w:val="008C4541"/>
    <w:rsid w:val="008C4E81"/>
    <w:rsid w:val="008C721A"/>
    <w:rsid w:val="008C72AC"/>
    <w:rsid w:val="008C7BBD"/>
    <w:rsid w:val="008D2853"/>
    <w:rsid w:val="008D7661"/>
    <w:rsid w:val="008E0083"/>
    <w:rsid w:val="008E0832"/>
    <w:rsid w:val="008E182E"/>
    <w:rsid w:val="008E3450"/>
    <w:rsid w:val="008E3953"/>
    <w:rsid w:val="008E4336"/>
    <w:rsid w:val="008E5867"/>
    <w:rsid w:val="008E6150"/>
    <w:rsid w:val="008E696A"/>
    <w:rsid w:val="008E7AD1"/>
    <w:rsid w:val="008E7FC2"/>
    <w:rsid w:val="009011C9"/>
    <w:rsid w:val="00901CEF"/>
    <w:rsid w:val="00910CC8"/>
    <w:rsid w:val="0091294B"/>
    <w:rsid w:val="00915118"/>
    <w:rsid w:val="00916D7B"/>
    <w:rsid w:val="009257A9"/>
    <w:rsid w:val="00925FAB"/>
    <w:rsid w:val="00934B55"/>
    <w:rsid w:val="00943136"/>
    <w:rsid w:val="00951B2C"/>
    <w:rsid w:val="00953A89"/>
    <w:rsid w:val="00955BE1"/>
    <w:rsid w:val="00955F17"/>
    <w:rsid w:val="009611B7"/>
    <w:rsid w:val="00963EEF"/>
    <w:rsid w:val="00971165"/>
    <w:rsid w:val="00973DE1"/>
    <w:rsid w:val="009801C8"/>
    <w:rsid w:val="00982F26"/>
    <w:rsid w:val="009931B0"/>
    <w:rsid w:val="00996645"/>
    <w:rsid w:val="00997423"/>
    <w:rsid w:val="009A0AEA"/>
    <w:rsid w:val="009A0C8D"/>
    <w:rsid w:val="009A1336"/>
    <w:rsid w:val="009A35E1"/>
    <w:rsid w:val="009A4F72"/>
    <w:rsid w:val="009A62F6"/>
    <w:rsid w:val="009A6B04"/>
    <w:rsid w:val="009B24EE"/>
    <w:rsid w:val="009B2ADF"/>
    <w:rsid w:val="009B5A4E"/>
    <w:rsid w:val="009B64CB"/>
    <w:rsid w:val="009C0B38"/>
    <w:rsid w:val="009C1D70"/>
    <w:rsid w:val="009D6587"/>
    <w:rsid w:val="009E1186"/>
    <w:rsid w:val="009E48E4"/>
    <w:rsid w:val="009E5FBF"/>
    <w:rsid w:val="009F4891"/>
    <w:rsid w:val="009F593F"/>
    <w:rsid w:val="00A05307"/>
    <w:rsid w:val="00A0734B"/>
    <w:rsid w:val="00A07A96"/>
    <w:rsid w:val="00A10DB2"/>
    <w:rsid w:val="00A12081"/>
    <w:rsid w:val="00A13A0E"/>
    <w:rsid w:val="00A15312"/>
    <w:rsid w:val="00A168B2"/>
    <w:rsid w:val="00A24E91"/>
    <w:rsid w:val="00A271BF"/>
    <w:rsid w:val="00A319DE"/>
    <w:rsid w:val="00A37021"/>
    <w:rsid w:val="00A40F27"/>
    <w:rsid w:val="00A43DC3"/>
    <w:rsid w:val="00A4734A"/>
    <w:rsid w:val="00A47F61"/>
    <w:rsid w:val="00A52DE3"/>
    <w:rsid w:val="00A57A61"/>
    <w:rsid w:val="00A60203"/>
    <w:rsid w:val="00A67E89"/>
    <w:rsid w:val="00A716A5"/>
    <w:rsid w:val="00A71935"/>
    <w:rsid w:val="00A71F33"/>
    <w:rsid w:val="00A72C92"/>
    <w:rsid w:val="00A746B2"/>
    <w:rsid w:val="00A75D2D"/>
    <w:rsid w:val="00A7646A"/>
    <w:rsid w:val="00A812AD"/>
    <w:rsid w:val="00A82DDE"/>
    <w:rsid w:val="00A86426"/>
    <w:rsid w:val="00A86489"/>
    <w:rsid w:val="00A86988"/>
    <w:rsid w:val="00A86DA0"/>
    <w:rsid w:val="00A910F1"/>
    <w:rsid w:val="00A92D0B"/>
    <w:rsid w:val="00A97A20"/>
    <w:rsid w:val="00AA03FB"/>
    <w:rsid w:val="00AA0988"/>
    <w:rsid w:val="00AA10AC"/>
    <w:rsid w:val="00AA1740"/>
    <w:rsid w:val="00AA55C2"/>
    <w:rsid w:val="00AB01C1"/>
    <w:rsid w:val="00AB2F7F"/>
    <w:rsid w:val="00AB3510"/>
    <w:rsid w:val="00AB3734"/>
    <w:rsid w:val="00AB5139"/>
    <w:rsid w:val="00AB5C95"/>
    <w:rsid w:val="00AB7901"/>
    <w:rsid w:val="00AC076B"/>
    <w:rsid w:val="00AC528A"/>
    <w:rsid w:val="00AC5371"/>
    <w:rsid w:val="00AC5A4B"/>
    <w:rsid w:val="00AD1821"/>
    <w:rsid w:val="00AD1D2A"/>
    <w:rsid w:val="00AD34EA"/>
    <w:rsid w:val="00AD5797"/>
    <w:rsid w:val="00AD742A"/>
    <w:rsid w:val="00AD772A"/>
    <w:rsid w:val="00AE19D4"/>
    <w:rsid w:val="00AE429F"/>
    <w:rsid w:val="00AE552D"/>
    <w:rsid w:val="00AE6488"/>
    <w:rsid w:val="00AF1EAE"/>
    <w:rsid w:val="00AF25C4"/>
    <w:rsid w:val="00AF4152"/>
    <w:rsid w:val="00AF42DA"/>
    <w:rsid w:val="00AF498F"/>
    <w:rsid w:val="00AF61A9"/>
    <w:rsid w:val="00B00BCD"/>
    <w:rsid w:val="00B03003"/>
    <w:rsid w:val="00B053DE"/>
    <w:rsid w:val="00B0787A"/>
    <w:rsid w:val="00B07A05"/>
    <w:rsid w:val="00B1147C"/>
    <w:rsid w:val="00B1593B"/>
    <w:rsid w:val="00B1597F"/>
    <w:rsid w:val="00B17005"/>
    <w:rsid w:val="00B2243A"/>
    <w:rsid w:val="00B312DA"/>
    <w:rsid w:val="00B31565"/>
    <w:rsid w:val="00B451C8"/>
    <w:rsid w:val="00B51C2B"/>
    <w:rsid w:val="00B51F03"/>
    <w:rsid w:val="00B54991"/>
    <w:rsid w:val="00B55CCD"/>
    <w:rsid w:val="00B55D78"/>
    <w:rsid w:val="00B62AC0"/>
    <w:rsid w:val="00B66CF5"/>
    <w:rsid w:val="00B72D3D"/>
    <w:rsid w:val="00B7500F"/>
    <w:rsid w:val="00B76BBF"/>
    <w:rsid w:val="00B7703C"/>
    <w:rsid w:val="00B77201"/>
    <w:rsid w:val="00B8020E"/>
    <w:rsid w:val="00B803D5"/>
    <w:rsid w:val="00B80983"/>
    <w:rsid w:val="00B85633"/>
    <w:rsid w:val="00B86A65"/>
    <w:rsid w:val="00B91688"/>
    <w:rsid w:val="00B969AE"/>
    <w:rsid w:val="00B97E10"/>
    <w:rsid w:val="00BA07DB"/>
    <w:rsid w:val="00BA154F"/>
    <w:rsid w:val="00BA548C"/>
    <w:rsid w:val="00BA7D1B"/>
    <w:rsid w:val="00BB0BD6"/>
    <w:rsid w:val="00BB1B00"/>
    <w:rsid w:val="00BB49BB"/>
    <w:rsid w:val="00BB5C4C"/>
    <w:rsid w:val="00BB758F"/>
    <w:rsid w:val="00BC0D31"/>
    <w:rsid w:val="00BC524D"/>
    <w:rsid w:val="00BD328D"/>
    <w:rsid w:val="00BE0599"/>
    <w:rsid w:val="00BE13C7"/>
    <w:rsid w:val="00BE45D0"/>
    <w:rsid w:val="00BF0F64"/>
    <w:rsid w:val="00BF2F45"/>
    <w:rsid w:val="00BF7D5E"/>
    <w:rsid w:val="00C007EA"/>
    <w:rsid w:val="00C01B19"/>
    <w:rsid w:val="00C02649"/>
    <w:rsid w:val="00C034FA"/>
    <w:rsid w:val="00C0471D"/>
    <w:rsid w:val="00C1093E"/>
    <w:rsid w:val="00C1320C"/>
    <w:rsid w:val="00C13B3F"/>
    <w:rsid w:val="00C16981"/>
    <w:rsid w:val="00C27404"/>
    <w:rsid w:val="00C27BBD"/>
    <w:rsid w:val="00C27BD1"/>
    <w:rsid w:val="00C30C02"/>
    <w:rsid w:val="00C328E7"/>
    <w:rsid w:val="00C372E0"/>
    <w:rsid w:val="00C414F0"/>
    <w:rsid w:val="00C440BB"/>
    <w:rsid w:val="00C44380"/>
    <w:rsid w:val="00C462BD"/>
    <w:rsid w:val="00C47A2B"/>
    <w:rsid w:val="00C50AF1"/>
    <w:rsid w:val="00C530B6"/>
    <w:rsid w:val="00C56472"/>
    <w:rsid w:val="00C564A6"/>
    <w:rsid w:val="00C570C3"/>
    <w:rsid w:val="00C64B5D"/>
    <w:rsid w:val="00C65523"/>
    <w:rsid w:val="00C742D7"/>
    <w:rsid w:val="00C75466"/>
    <w:rsid w:val="00C756CE"/>
    <w:rsid w:val="00C764CC"/>
    <w:rsid w:val="00C765A2"/>
    <w:rsid w:val="00C80771"/>
    <w:rsid w:val="00CA2B77"/>
    <w:rsid w:val="00CA35E9"/>
    <w:rsid w:val="00CA68E6"/>
    <w:rsid w:val="00CA7B44"/>
    <w:rsid w:val="00CB15C4"/>
    <w:rsid w:val="00CB22E3"/>
    <w:rsid w:val="00CB29AA"/>
    <w:rsid w:val="00CB5479"/>
    <w:rsid w:val="00CC10AF"/>
    <w:rsid w:val="00CC4B40"/>
    <w:rsid w:val="00CD2A65"/>
    <w:rsid w:val="00CD3722"/>
    <w:rsid w:val="00CD3CEF"/>
    <w:rsid w:val="00CD6886"/>
    <w:rsid w:val="00CD7D17"/>
    <w:rsid w:val="00CE057B"/>
    <w:rsid w:val="00CE0BEB"/>
    <w:rsid w:val="00CE675A"/>
    <w:rsid w:val="00CF1129"/>
    <w:rsid w:val="00CF6BBE"/>
    <w:rsid w:val="00CF6F77"/>
    <w:rsid w:val="00D00538"/>
    <w:rsid w:val="00D05093"/>
    <w:rsid w:val="00D050D5"/>
    <w:rsid w:val="00D075B1"/>
    <w:rsid w:val="00D10372"/>
    <w:rsid w:val="00D1655B"/>
    <w:rsid w:val="00D16DB6"/>
    <w:rsid w:val="00D1778A"/>
    <w:rsid w:val="00D25A2E"/>
    <w:rsid w:val="00D27D5F"/>
    <w:rsid w:val="00D30039"/>
    <w:rsid w:val="00D30C4F"/>
    <w:rsid w:val="00D311CF"/>
    <w:rsid w:val="00D3294F"/>
    <w:rsid w:val="00D3346E"/>
    <w:rsid w:val="00D3617D"/>
    <w:rsid w:val="00D36884"/>
    <w:rsid w:val="00D36927"/>
    <w:rsid w:val="00D37716"/>
    <w:rsid w:val="00D42D2C"/>
    <w:rsid w:val="00D4624A"/>
    <w:rsid w:val="00D47AFD"/>
    <w:rsid w:val="00D56604"/>
    <w:rsid w:val="00D5698D"/>
    <w:rsid w:val="00D56BCA"/>
    <w:rsid w:val="00D57DA3"/>
    <w:rsid w:val="00D70D88"/>
    <w:rsid w:val="00D72422"/>
    <w:rsid w:val="00D72FE8"/>
    <w:rsid w:val="00D74F4E"/>
    <w:rsid w:val="00D75107"/>
    <w:rsid w:val="00D7744F"/>
    <w:rsid w:val="00D816BC"/>
    <w:rsid w:val="00D8383A"/>
    <w:rsid w:val="00D84F94"/>
    <w:rsid w:val="00D871DD"/>
    <w:rsid w:val="00D8769E"/>
    <w:rsid w:val="00D87B10"/>
    <w:rsid w:val="00D905A8"/>
    <w:rsid w:val="00D94809"/>
    <w:rsid w:val="00D94B26"/>
    <w:rsid w:val="00DA3AEE"/>
    <w:rsid w:val="00DB0F03"/>
    <w:rsid w:val="00DB1EBD"/>
    <w:rsid w:val="00DB4195"/>
    <w:rsid w:val="00DB49C1"/>
    <w:rsid w:val="00DB4B1C"/>
    <w:rsid w:val="00DB701C"/>
    <w:rsid w:val="00DC64BB"/>
    <w:rsid w:val="00DD0BBA"/>
    <w:rsid w:val="00DD52BB"/>
    <w:rsid w:val="00DE1C95"/>
    <w:rsid w:val="00DE2F19"/>
    <w:rsid w:val="00DE3A5D"/>
    <w:rsid w:val="00DE7EDF"/>
    <w:rsid w:val="00E00990"/>
    <w:rsid w:val="00E00FCE"/>
    <w:rsid w:val="00E15DC3"/>
    <w:rsid w:val="00E16F74"/>
    <w:rsid w:val="00E17B34"/>
    <w:rsid w:val="00E21EA5"/>
    <w:rsid w:val="00E25078"/>
    <w:rsid w:val="00E304D1"/>
    <w:rsid w:val="00E305F2"/>
    <w:rsid w:val="00E30977"/>
    <w:rsid w:val="00E3241F"/>
    <w:rsid w:val="00E34D04"/>
    <w:rsid w:val="00E3786F"/>
    <w:rsid w:val="00E400CA"/>
    <w:rsid w:val="00E40140"/>
    <w:rsid w:val="00E44D74"/>
    <w:rsid w:val="00E4690B"/>
    <w:rsid w:val="00E46D9B"/>
    <w:rsid w:val="00E52992"/>
    <w:rsid w:val="00E53A7C"/>
    <w:rsid w:val="00E60942"/>
    <w:rsid w:val="00E61666"/>
    <w:rsid w:val="00E64130"/>
    <w:rsid w:val="00E65E3C"/>
    <w:rsid w:val="00E66FE7"/>
    <w:rsid w:val="00E71014"/>
    <w:rsid w:val="00E75E09"/>
    <w:rsid w:val="00E775D0"/>
    <w:rsid w:val="00E82D91"/>
    <w:rsid w:val="00E83482"/>
    <w:rsid w:val="00E84DB4"/>
    <w:rsid w:val="00E90004"/>
    <w:rsid w:val="00E920B0"/>
    <w:rsid w:val="00E9366A"/>
    <w:rsid w:val="00E9491F"/>
    <w:rsid w:val="00E94AEC"/>
    <w:rsid w:val="00E959A0"/>
    <w:rsid w:val="00E96F74"/>
    <w:rsid w:val="00EA31E6"/>
    <w:rsid w:val="00EA58CE"/>
    <w:rsid w:val="00EA7D5D"/>
    <w:rsid w:val="00EB0DBA"/>
    <w:rsid w:val="00EB0EF0"/>
    <w:rsid w:val="00EB1569"/>
    <w:rsid w:val="00EB34DB"/>
    <w:rsid w:val="00EB4218"/>
    <w:rsid w:val="00EB4CAB"/>
    <w:rsid w:val="00EB5436"/>
    <w:rsid w:val="00EB64CF"/>
    <w:rsid w:val="00EC28FF"/>
    <w:rsid w:val="00EC6387"/>
    <w:rsid w:val="00EC774E"/>
    <w:rsid w:val="00ED6B6B"/>
    <w:rsid w:val="00EE2EB8"/>
    <w:rsid w:val="00EF1CAB"/>
    <w:rsid w:val="00EF1F9B"/>
    <w:rsid w:val="00EF4A06"/>
    <w:rsid w:val="00EF6AD6"/>
    <w:rsid w:val="00F00087"/>
    <w:rsid w:val="00F01402"/>
    <w:rsid w:val="00F028C8"/>
    <w:rsid w:val="00F047F5"/>
    <w:rsid w:val="00F04904"/>
    <w:rsid w:val="00F05740"/>
    <w:rsid w:val="00F07D1A"/>
    <w:rsid w:val="00F107D6"/>
    <w:rsid w:val="00F10C13"/>
    <w:rsid w:val="00F12E87"/>
    <w:rsid w:val="00F155C2"/>
    <w:rsid w:val="00F20061"/>
    <w:rsid w:val="00F202AB"/>
    <w:rsid w:val="00F26371"/>
    <w:rsid w:val="00F2682B"/>
    <w:rsid w:val="00F276D8"/>
    <w:rsid w:val="00F30DA8"/>
    <w:rsid w:val="00F339E5"/>
    <w:rsid w:val="00F34C1F"/>
    <w:rsid w:val="00F3772B"/>
    <w:rsid w:val="00F41A95"/>
    <w:rsid w:val="00F47E87"/>
    <w:rsid w:val="00F5258D"/>
    <w:rsid w:val="00F60506"/>
    <w:rsid w:val="00F61C69"/>
    <w:rsid w:val="00F62AEB"/>
    <w:rsid w:val="00F63C29"/>
    <w:rsid w:val="00F63EE4"/>
    <w:rsid w:val="00F650AE"/>
    <w:rsid w:val="00F65B99"/>
    <w:rsid w:val="00F662C0"/>
    <w:rsid w:val="00F663F8"/>
    <w:rsid w:val="00F67578"/>
    <w:rsid w:val="00F73ACA"/>
    <w:rsid w:val="00F73B85"/>
    <w:rsid w:val="00F7579D"/>
    <w:rsid w:val="00F81778"/>
    <w:rsid w:val="00F862A9"/>
    <w:rsid w:val="00F87AB2"/>
    <w:rsid w:val="00F950E9"/>
    <w:rsid w:val="00F96715"/>
    <w:rsid w:val="00FA1AA9"/>
    <w:rsid w:val="00FA4732"/>
    <w:rsid w:val="00FB13AD"/>
    <w:rsid w:val="00FB2553"/>
    <w:rsid w:val="00FB3DB3"/>
    <w:rsid w:val="00FB5B08"/>
    <w:rsid w:val="00FC046E"/>
    <w:rsid w:val="00FC2E20"/>
    <w:rsid w:val="00FC3AF0"/>
    <w:rsid w:val="00FC72B7"/>
    <w:rsid w:val="00FD1A84"/>
    <w:rsid w:val="00FD3802"/>
    <w:rsid w:val="00FD6834"/>
    <w:rsid w:val="00FD688E"/>
    <w:rsid w:val="00FD68AD"/>
    <w:rsid w:val="00FE02AE"/>
    <w:rsid w:val="00FE035B"/>
    <w:rsid w:val="00FE2042"/>
    <w:rsid w:val="00FE29C2"/>
    <w:rsid w:val="00FE2FA9"/>
    <w:rsid w:val="00FE3BAE"/>
    <w:rsid w:val="00FE52F4"/>
    <w:rsid w:val="00FE5D05"/>
    <w:rsid w:val="00FE7C82"/>
    <w:rsid w:val="00FF2206"/>
    <w:rsid w:val="03A7085E"/>
    <w:rsid w:val="03D7FBE2"/>
    <w:rsid w:val="0435A71E"/>
    <w:rsid w:val="06DB9ECA"/>
    <w:rsid w:val="07DE4592"/>
    <w:rsid w:val="089B484E"/>
    <w:rsid w:val="0F2DBDF5"/>
    <w:rsid w:val="11CFA7E4"/>
    <w:rsid w:val="126C0BBF"/>
    <w:rsid w:val="133E9F8B"/>
    <w:rsid w:val="17F783C7"/>
    <w:rsid w:val="18F65E85"/>
    <w:rsid w:val="1BF5FBC3"/>
    <w:rsid w:val="22E4124C"/>
    <w:rsid w:val="25243C19"/>
    <w:rsid w:val="2602FB67"/>
    <w:rsid w:val="293E8E9A"/>
    <w:rsid w:val="2B30332D"/>
    <w:rsid w:val="2B481962"/>
    <w:rsid w:val="2C626616"/>
    <w:rsid w:val="2CE82ED6"/>
    <w:rsid w:val="2D9598F2"/>
    <w:rsid w:val="2E7623E3"/>
    <w:rsid w:val="30FD772A"/>
    <w:rsid w:val="318FB966"/>
    <w:rsid w:val="31C7BD74"/>
    <w:rsid w:val="33F79032"/>
    <w:rsid w:val="37461F47"/>
    <w:rsid w:val="3897F148"/>
    <w:rsid w:val="3966572B"/>
    <w:rsid w:val="3A2825E9"/>
    <w:rsid w:val="3A891AA7"/>
    <w:rsid w:val="3C54D04B"/>
    <w:rsid w:val="3D19B96B"/>
    <w:rsid w:val="3D1DF22B"/>
    <w:rsid w:val="3D491425"/>
    <w:rsid w:val="3F2C0C74"/>
    <w:rsid w:val="3F53AD65"/>
    <w:rsid w:val="3FBD4417"/>
    <w:rsid w:val="421321CC"/>
    <w:rsid w:val="43B6058D"/>
    <w:rsid w:val="4B27C25B"/>
    <w:rsid w:val="4BAF5B1D"/>
    <w:rsid w:val="4BF1FD4F"/>
    <w:rsid w:val="4C5481FD"/>
    <w:rsid w:val="4DFE453A"/>
    <w:rsid w:val="50094DB4"/>
    <w:rsid w:val="5405E6FA"/>
    <w:rsid w:val="5492017D"/>
    <w:rsid w:val="5712895F"/>
    <w:rsid w:val="581EEDC3"/>
    <w:rsid w:val="58FB7A3C"/>
    <w:rsid w:val="5902B40C"/>
    <w:rsid w:val="5BA500A7"/>
    <w:rsid w:val="5C7F0D60"/>
    <w:rsid w:val="5D17DCEC"/>
    <w:rsid w:val="5D47F737"/>
    <w:rsid w:val="5D7446F5"/>
    <w:rsid w:val="5F689404"/>
    <w:rsid w:val="5FF9FCC8"/>
    <w:rsid w:val="6174F94C"/>
    <w:rsid w:val="63B1FAA1"/>
    <w:rsid w:val="6781F722"/>
    <w:rsid w:val="682A54B8"/>
    <w:rsid w:val="6A57B345"/>
    <w:rsid w:val="6AC6D115"/>
    <w:rsid w:val="6D699042"/>
    <w:rsid w:val="6E46F78C"/>
    <w:rsid w:val="6E5B8165"/>
    <w:rsid w:val="6E7894DE"/>
    <w:rsid w:val="6FDAED67"/>
    <w:rsid w:val="7414BA8A"/>
    <w:rsid w:val="74363CFC"/>
    <w:rsid w:val="793D06D8"/>
    <w:rsid w:val="79CFB434"/>
    <w:rsid w:val="7A28C167"/>
    <w:rsid w:val="7E8C1A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15:docId w15:val="{3CDB0D8D-0403-4064-8D5C-2B090D53AB27}"/>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A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paragraph" w:customStyle="1" w:styleId="Default">
    <w:name w:val="Default"/>
    <w:rsid w:val="00901CEF"/>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C57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565994550">
      <w:bodyDiv w:val="1"/>
      <w:marLeft w:val="0"/>
      <w:marRight w:val="0"/>
      <w:marTop w:val="0"/>
      <w:marBottom w:val="0"/>
      <w:divBdr>
        <w:top w:val="none" w:sz="0" w:space="0" w:color="auto"/>
        <w:left w:val="none" w:sz="0" w:space="0" w:color="auto"/>
        <w:bottom w:val="none" w:sz="0" w:space="0" w:color="auto"/>
        <w:right w:val="none" w:sz="0" w:space="0" w:color="auto"/>
      </w:divBdr>
    </w:div>
    <w:div w:id="695740764">
      <w:bodyDiv w:val="1"/>
      <w:marLeft w:val="0"/>
      <w:marRight w:val="0"/>
      <w:marTop w:val="0"/>
      <w:marBottom w:val="0"/>
      <w:divBdr>
        <w:top w:val="none" w:sz="0" w:space="0" w:color="auto"/>
        <w:left w:val="none" w:sz="0" w:space="0" w:color="auto"/>
        <w:bottom w:val="none" w:sz="0" w:space="0" w:color="auto"/>
        <w:right w:val="none" w:sz="0" w:space="0" w:color="auto"/>
      </w:divBdr>
    </w:div>
    <w:div w:id="925923949">
      <w:bodyDiv w:val="1"/>
      <w:marLeft w:val="0"/>
      <w:marRight w:val="0"/>
      <w:marTop w:val="0"/>
      <w:marBottom w:val="0"/>
      <w:divBdr>
        <w:top w:val="none" w:sz="0" w:space="0" w:color="auto"/>
        <w:left w:val="none" w:sz="0" w:space="0" w:color="auto"/>
        <w:bottom w:val="none" w:sz="0" w:space="0" w:color="auto"/>
        <w:right w:val="none" w:sz="0" w:space="0" w:color="auto"/>
      </w:divBdr>
    </w:div>
    <w:div w:id="950626562">
      <w:bodyDiv w:val="1"/>
      <w:marLeft w:val="0"/>
      <w:marRight w:val="0"/>
      <w:marTop w:val="0"/>
      <w:marBottom w:val="0"/>
      <w:divBdr>
        <w:top w:val="none" w:sz="0" w:space="0" w:color="auto"/>
        <w:left w:val="none" w:sz="0" w:space="0" w:color="auto"/>
        <w:bottom w:val="none" w:sz="0" w:space="0" w:color="auto"/>
        <w:right w:val="none" w:sz="0" w:space="0" w:color="auto"/>
      </w:divBdr>
    </w:div>
    <w:div w:id="1282150310">
      <w:bodyDiv w:val="1"/>
      <w:marLeft w:val="0"/>
      <w:marRight w:val="0"/>
      <w:marTop w:val="0"/>
      <w:marBottom w:val="0"/>
      <w:divBdr>
        <w:top w:val="none" w:sz="0" w:space="0" w:color="auto"/>
        <w:left w:val="none" w:sz="0" w:space="0" w:color="auto"/>
        <w:bottom w:val="none" w:sz="0" w:space="0" w:color="auto"/>
        <w:right w:val="none" w:sz="0" w:space="0" w:color="auto"/>
      </w:divBdr>
    </w:div>
    <w:div w:id="1421177791">
      <w:bodyDiv w:val="1"/>
      <w:marLeft w:val="0"/>
      <w:marRight w:val="0"/>
      <w:marTop w:val="0"/>
      <w:marBottom w:val="0"/>
      <w:divBdr>
        <w:top w:val="none" w:sz="0" w:space="0" w:color="auto"/>
        <w:left w:val="none" w:sz="0" w:space="0" w:color="auto"/>
        <w:bottom w:val="none" w:sz="0" w:space="0" w:color="auto"/>
        <w:right w:val="none" w:sz="0" w:space="0" w:color="auto"/>
      </w:divBdr>
    </w:div>
    <w:div w:id="1709453906">
      <w:bodyDiv w:val="1"/>
      <w:marLeft w:val="0"/>
      <w:marRight w:val="0"/>
      <w:marTop w:val="0"/>
      <w:marBottom w:val="0"/>
      <w:divBdr>
        <w:top w:val="none" w:sz="0" w:space="0" w:color="auto"/>
        <w:left w:val="none" w:sz="0" w:space="0" w:color="auto"/>
        <w:bottom w:val="none" w:sz="0" w:space="0" w:color="auto"/>
        <w:right w:val="none" w:sz="0" w:space="0" w:color="auto"/>
      </w:divBdr>
    </w:div>
    <w:div w:id="1792244269">
      <w:bodyDiv w:val="1"/>
      <w:marLeft w:val="0"/>
      <w:marRight w:val="0"/>
      <w:marTop w:val="0"/>
      <w:marBottom w:val="0"/>
      <w:divBdr>
        <w:top w:val="none" w:sz="0" w:space="0" w:color="auto"/>
        <w:left w:val="none" w:sz="0" w:space="0" w:color="auto"/>
        <w:bottom w:val="none" w:sz="0" w:space="0" w:color="auto"/>
        <w:right w:val="none" w:sz="0" w:space="0" w:color="auto"/>
      </w:divBdr>
    </w:div>
    <w:div w:id="1850830459">
      <w:bodyDiv w:val="1"/>
      <w:marLeft w:val="0"/>
      <w:marRight w:val="0"/>
      <w:marTop w:val="0"/>
      <w:marBottom w:val="0"/>
      <w:divBdr>
        <w:top w:val="none" w:sz="0" w:space="0" w:color="auto"/>
        <w:left w:val="none" w:sz="0" w:space="0" w:color="auto"/>
        <w:bottom w:val="none" w:sz="0" w:space="0" w:color="auto"/>
        <w:right w:val="none" w:sz="0" w:space="0" w:color="auto"/>
      </w:divBdr>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pps.calbar.ca.gov/attorney/Licensee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19</ap:Pages>
  <ap:Words>4937</ap:Words>
  <ap:Characters>28142</ap:Characters>
  <ap:Application>Microsoft Office Word</ap:Application>
  <ap:DocSecurity>0</ap:DocSecurity>
  <ap:Lines>234</ap:Lines>
  <ap:Paragraphs>66</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Company/>
  <ap:LinksUpToDate>false</ap:LinksUpToDate>
  <ap:CharactersWithSpaces>33013</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2013-07-15T17:59:00Z</cp:lastPrinted>
  <dcterms:created xsi:type="dcterms:W3CDTF">2026-06-30T14:25:19Z</dcterms:created>
  <dcterms:modified xsi:type="dcterms:W3CDTF">2026-06-30T14:25:19Z</dcterms:modified>
</cp:coreProperties>
</file>