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8517B4" w:rsidRDefault="00D15EA0" w14:paraId="500A6011" w14:textId="12ED9F32">
      <w:pPr>
        <w:tabs>
          <w:tab w:val="center" w:pos="4050"/>
          <w:tab w:val="right" w:pos="9360"/>
        </w:tabs>
        <w:spacing w:line="240" w:lineRule="auto"/>
        <w:ind w:firstLine="0"/>
      </w:pPr>
      <w:r>
        <w:t>ALJ/GT2/</w:t>
      </w:r>
      <w:proofErr w:type="spellStart"/>
      <w:r>
        <w:t>asf</w:t>
      </w:r>
      <w:proofErr w:type="spellEnd"/>
      <w:r w:rsidR="008517B4">
        <w:tab/>
      </w:r>
      <w:r w:rsidR="00DA7B5D">
        <w:rPr>
          <w:rFonts w:ascii="Arial" w:hAnsi="Arial" w:cs="Arial"/>
          <w:b/>
          <w:sz w:val="32"/>
          <w:szCs w:val="32"/>
        </w:rPr>
        <w:t>PROPOSED DECISION</w:t>
      </w:r>
      <w:r w:rsidR="00DA7B5D">
        <w:tab/>
      </w:r>
      <w:r w:rsidRPr="00EE4315" w:rsidR="00DA7B5D">
        <w:rPr>
          <w:b/>
        </w:rPr>
        <w:t>Agenda ID #</w:t>
      </w:r>
      <w:r w:rsidR="008517B4">
        <w:rPr>
          <w:b/>
        </w:rPr>
        <w:t>24255 (Rev. 1)</w:t>
      </w:r>
    </w:p>
    <w:p w:rsidR="00DA7B5D" w:rsidP="00632207" w:rsidRDefault="00D15EA0" w14:paraId="39144950" w14:textId="1EF0CCCF">
      <w:pPr>
        <w:spacing w:line="240" w:lineRule="auto"/>
        <w:jc w:val="right"/>
        <w:rPr>
          <w:b/>
        </w:rPr>
      </w:pPr>
      <w:proofErr w:type="spellStart"/>
      <w:r>
        <w:rPr>
          <w:b/>
        </w:rPr>
        <w:t>Ratesetting</w:t>
      </w:r>
      <w:proofErr w:type="spellEnd"/>
    </w:p>
    <w:p w:rsidRPr="00EE4315" w:rsidR="008517B4" w:rsidP="00632207" w:rsidRDefault="008517B4" w14:paraId="0DE3F66C" w14:textId="096DB812">
      <w:pPr>
        <w:spacing w:line="240" w:lineRule="auto"/>
        <w:jc w:val="right"/>
        <w:rPr>
          <w:b/>
        </w:rPr>
      </w:pPr>
      <w:r>
        <w:rPr>
          <w:b/>
        </w:rPr>
        <w:t>7/2/2026 Item #13</w:t>
      </w:r>
    </w:p>
    <w:p w:rsidR="00DA7B5D" w:rsidP="008F0116" w:rsidRDefault="00DA7B5D" w14:paraId="5A4D536F" w14:textId="77777777">
      <w:pPr>
        <w:ind w:firstLine="0"/>
      </w:pPr>
    </w:p>
    <w:p w:rsidRPr="00181C84" w:rsidR="00DA7B5D" w:rsidP="0098655A" w:rsidRDefault="00DA7B5D" w14:paraId="6386AD34" w14:textId="529D5CFD">
      <w:pPr>
        <w:ind w:left="1080" w:hanging="1080"/>
        <w:rPr>
          <w:b/>
          <w:bCs/>
          <w:u w:val="single"/>
        </w:rPr>
      </w:pPr>
      <w:r>
        <w:t xml:space="preserve">Decision </w:t>
      </w:r>
      <w:r w:rsidR="00181C84">
        <w:rPr>
          <w:b/>
          <w:bCs/>
          <w:u w:val="single"/>
        </w:rPr>
        <w:t>PROPOSED DECISION OF ALJ TOY (Mailed 5/</w:t>
      </w:r>
      <w:r w:rsidR="004936E2">
        <w:rPr>
          <w:b/>
          <w:bCs/>
          <w:u w:val="single"/>
        </w:rPr>
        <w:t>28</w:t>
      </w:r>
      <w:r w:rsidR="00181C84">
        <w:rPr>
          <w:b/>
          <w:bCs/>
          <w:u w:val="single"/>
        </w:rPr>
        <w:t xml:space="preserve"> /2026)</w:t>
      </w:r>
    </w:p>
    <w:p w:rsidR="00DA7B5D" w:rsidP="00BB0243" w:rsidRDefault="00DA7B5D" w14:paraId="40AF829A" w14:textId="77777777">
      <w:pPr>
        <w:spacing w:line="240" w:lineRule="auto"/>
        <w:jc w:val="center"/>
        <w:rPr>
          <w:u w:val="single"/>
        </w:rPr>
      </w:pPr>
    </w:p>
    <w:p w:rsidR="00DA7B5D" w:rsidP="00BB0243" w:rsidRDefault="00DA7B5D" w14:paraId="28321833"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24D73698" w14:textId="39A70A0A">
      <w:pPr>
        <w:spacing w:line="240" w:lineRule="auto"/>
        <w:ind w:firstLine="0"/>
        <w:rPr>
          <w:rFonts w:ascii="Arial" w:hAnsi="Arial" w:cs="Arial"/>
          <w:sz w:val="24"/>
          <w:szCs w:val="24"/>
        </w:rPr>
      </w:pPr>
    </w:p>
    <w:tbl>
      <w:tblPr>
        <w:tblStyle w:val="TableGrid1"/>
        <w:tblW w:w="89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950"/>
        <w:gridCol w:w="3960"/>
      </w:tblGrid>
      <w:tr w:rsidRPr="00D15EA0" w:rsidR="00D15EA0" w:rsidTr="006E5DD8" w14:paraId="2E78A08C" w14:textId="77777777">
        <w:trPr>
          <w:trHeight w:val="1530"/>
          <w:jc w:val="center"/>
        </w:trPr>
        <w:tc>
          <w:tcPr>
            <w:tcW w:w="4950" w:type="dxa"/>
            <w:tcBorders>
              <w:bottom w:val="single" w:color="auto" w:sz="4" w:space="0"/>
              <w:right w:val="single" w:color="auto" w:sz="4" w:space="0"/>
            </w:tcBorders>
          </w:tcPr>
          <w:p w:rsidRPr="00D15EA0" w:rsidR="00D15EA0" w:rsidP="00D15EA0" w:rsidRDefault="00D15EA0" w14:paraId="1D1F1561" w14:textId="77777777">
            <w:pPr>
              <w:tabs>
                <w:tab w:val="left" w:pos="4575"/>
              </w:tabs>
              <w:spacing w:line="240" w:lineRule="auto"/>
              <w:ind w:firstLine="0"/>
              <w:rPr>
                <w:szCs w:val="26"/>
              </w:rPr>
            </w:pPr>
          </w:p>
          <w:p w:rsidRPr="00D15EA0" w:rsidR="00D15EA0" w:rsidP="00D15EA0" w:rsidRDefault="00D15EA0" w14:paraId="4C83DADE" w14:textId="77777777">
            <w:pPr>
              <w:tabs>
                <w:tab w:val="left" w:pos="4575"/>
              </w:tabs>
              <w:spacing w:line="240" w:lineRule="auto"/>
              <w:ind w:firstLine="0"/>
              <w:rPr>
                <w:szCs w:val="26"/>
              </w:rPr>
            </w:pPr>
            <w:r w:rsidRPr="00D15EA0">
              <w:rPr>
                <w:szCs w:val="26"/>
              </w:rPr>
              <w:t>Application of SAN DIEGO GAS &amp; ELECTRIC COMPANY (U 902-E) for Approval of Low-Income Assistance Programs and Budgets for Bridge Funding for Program Year 2027.</w:t>
            </w:r>
            <w:r w:rsidRPr="00D15EA0">
              <w:rPr>
                <w:szCs w:val="26"/>
              </w:rPr>
              <w:tab/>
            </w:r>
            <w:r w:rsidRPr="00D15EA0">
              <w:rPr>
                <w:szCs w:val="26"/>
              </w:rPr>
              <w:br/>
            </w:r>
          </w:p>
        </w:tc>
        <w:tc>
          <w:tcPr>
            <w:tcW w:w="3960" w:type="dxa"/>
            <w:tcBorders>
              <w:left w:val="single" w:color="auto" w:sz="4" w:space="0"/>
              <w:bottom w:val="single" w:color="auto" w:sz="4" w:space="0"/>
            </w:tcBorders>
            <w:vAlign w:val="center"/>
          </w:tcPr>
          <w:p w:rsidR="003C5772" w:rsidP="00D15EA0" w:rsidRDefault="003C5772" w14:paraId="36CC99B1" w14:textId="77777777">
            <w:pPr>
              <w:spacing w:line="240" w:lineRule="auto"/>
              <w:ind w:firstLine="0"/>
              <w:jc w:val="center"/>
              <w:rPr>
                <w:szCs w:val="26"/>
              </w:rPr>
            </w:pPr>
          </w:p>
          <w:p w:rsidRPr="00D15EA0" w:rsidR="00D15EA0" w:rsidP="00D15EA0" w:rsidRDefault="00D15EA0" w14:paraId="79704C10" w14:textId="02BD64B1">
            <w:pPr>
              <w:spacing w:line="240" w:lineRule="auto"/>
              <w:ind w:firstLine="0"/>
              <w:jc w:val="center"/>
              <w:rPr>
                <w:szCs w:val="26"/>
              </w:rPr>
            </w:pPr>
            <w:r w:rsidRPr="00D15EA0">
              <w:rPr>
                <w:szCs w:val="26"/>
              </w:rPr>
              <w:t>Application 25-06-022</w:t>
            </w:r>
          </w:p>
          <w:p w:rsidRPr="00D15EA0" w:rsidR="00D15EA0" w:rsidP="00D15EA0" w:rsidRDefault="00D15EA0" w14:paraId="642304B6" w14:textId="77777777">
            <w:pPr>
              <w:spacing w:line="240" w:lineRule="auto"/>
              <w:ind w:firstLine="0"/>
              <w:jc w:val="center"/>
              <w:rPr>
                <w:szCs w:val="26"/>
              </w:rPr>
            </w:pPr>
          </w:p>
        </w:tc>
      </w:tr>
      <w:tr w:rsidRPr="00D15EA0" w:rsidR="00D15EA0" w:rsidTr="006E5DD8" w14:paraId="7CDA578A" w14:textId="77777777">
        <w:trPr>
          <w:trHeight w:val="1530"/>
          <w:jc w:val="center"/>
        </w:trPr>
        <w:tc>
          <w:tcPr>
            <w:tcW w:w="4950" w:type="dxa"/>
            <w:tcBorders>
              <w:bottom w:val="single" w:color="auto" w:sz="4" w:space="0"/>
              <w:right w:val="single" w:color="auto" w:sz="4" w:space="0"/>
            </w:tcBorders>
          </w:tcPr>
          <w:p w:rsidRPr="00D15EA0" w:rsidR="00D15EA0" w:rsidP="00D15EA0" w:rsidRDefault="00D15EA0" w14:paraId="64B3D9F2" w14:textId="77777777">
            <w:pPr>
              <w:tabs>
                <w:tab w:val="left" w:pos="4575"/>
              </w:tabs>
              <w:spacing w:line="240" w:lineRule="auto"/>
              <w:ind w:firstLine="0"/>
              <w:rPr>
                <w:szCs w:val="26"/>
              </w:rPr>
            </w:pPr>
          </w:p>
          <w:p w:rsidRPr="00D15EA0" w:rsidR="00D15EA0" w:rsidP="00D15EA0" w:rsidRDefault="00D15EA0" w14:paraId="62BD16DE" w14:textId="77777777">
            <w:pPr>
              <w:tabs>
                <w:tab w:val="left" w:pos="4575"/>
              </w:tabs>
              <w:spacing w:line="240" w:lineRule="auto"/>
              <w:ind w:firstLine="0"/>
              <w:rPr>
                <w:szCs w:val="26"/>
              </w:rPr>
            </w:pPr>
            <w:r w:rsidRPr="00D15EA0">
              <w:rPr>
                <w:szCs w:val="26"/>
              </w:rPr>
              <w:t>And Other Matters</w:t>
            </w:r>
          </w:p>
          <w:p w:rsidRPr="00D15EA0" w:rsidR="00D15EA0" w:rsidP="00D15EA0" w:rsidRDefault="00D15EA0" w14:paraId="0B232974" w14:textId="77777777">
            <w:pPr>
              <w:tabs>
                <w:tab w:val="left" w:pos="4575"/>
              </w:tabs>
              <w:spacing w:line="240" w:lineRule="auto"/>
              <w:ind w:firstLine="0"/>
              <w:rPr>
                <w:szCs w:val="26"/>
              </w:rPr>
            </w:pPr>
          </w:p>
        </w:tc>
        <w:tc>
          <w:tcPr>
            <w:tcW w:w="3960" w:type="dxa"/>
            <w:tcBorders>
              <w:left w:val="single" w:color="auto" w:sz="4" w:space="0"/>
              <w:bottom w:val="single" w:color="auto" w:sz="4" w:space="0"/>
            </w:tcBorders>
            <w:vAlign w:val="center"/>
          </w:tcPr>
          <w:p w:rsidR="00FE2D37" w:rsidP="00D15EA0" w:rsidRDefault="00FE2D37" w14:paraId="373C59B0" w14:textId="77777777">
            <w:pPr>
              <w:spacing w:line="240" w:lineRule="auto"/>
              <w:ind w:firstLine="0"/>
              <w:jc w:val="center"/>
              <w:rPr>
                <w:rFonts w:eastAsia="Times New Roman"/>
                <w:szCs w:val="26"/>
              </w:rPr>
            </w:pPr>
          </w:p>
          <w:p w:rsidRPr="00D15EA0" w:rsidR="00D15EA0" w:rsidP="00D15EA0" w:rsidRDefault="00D15EA0" w14:paraId="5EFA02B5" w14:textId="552CEAE6">
            <w:pPr>
              <w:spacing w:line="240" w:lineRule="auto"/>
              <w:ind w:firstLine="0"/>
              <w:jc w:val="center"/>
              <w:rPr>
                <w:rFonts w:eastAsia="Times New Roman"/>
                <w:szCs w:val="26"/>
              </w:rPr>
            </w:pPr>
            <w:r w:rsidRPr="00D15EA0">
              <w:rPr>
                <w:rFonts w:eastAsia="Times New Roman"/>
                <w:szCs w:val="26"/>
              </w:rPr>
              <w:t>Application 25-06-023</w:t>
            </w:r>
          </w:p>
          <w:p w:rsidRPr="00D15EA0" w:rsidR="00D15EA0" w:rsidP="00D15EA0" w:rsidRDefault="00D15EA0" w14:paraId="3846C31B" w14:textId="77777777">
            <w:pPr>
              <w:spacing w:line="240" w:lineRule="auto"/>
              <w:ind w:firstLine="0"/>
              <w:jc w:val="center"/>
              <w:rPr>
                <w:szCs w:val="26"/>
              </w:rPr>
            </w:pPr>
            <w:r w:rsidRPr="00D15EA0">
              <w:rPr>
                <w:szCs w:val="26"/>
              </w:rPr>
              <w:t>Application 25-06-024</w:t>
            </w:r>
          </w:p>
          <w:p w:rsidRPr="00D15EA0" w:rsidR="00D15EA0" w:rsidP="00D15EA0" w:rsidRDefault="00D15EA0" w14:paraId="0DB7A520" w14:textId="77777777">
            <w:pPr>
              <w:spacing w:line="240" w:lineRule="auto"/>
              <w:ind w:firstLine="0"/>
              <w:jc w:val="center"/>
              <w:rPr>
                <w:szCs w:val="26"/>
              </w:rPr>
            </w:pPr>
            <w:r w:rsidRPr="00D15EA0">
              <w:rPr>
                <w:szCs w:val="26"/>
              </w:rPr>
              <w:t>Application 25-06-025</w:t>
            </w:r>
          </w:p>
          <w:p w:rsidRPr="00D15EA0" w:rsidR="00D15EA0" w:rsidP="00D15EA0" w:rsidRDefault="00D15EA0" w14:paraId="59466695" w14:textId="77777777">
            <w:pPr>
              <w:spacing w:line="240" w:lineRule="auto"/>
              <w:ind w:firstLine="0"/>
              <w:jc w:val="center"/>
              <w:rPr>
                <w:szCs w:val="26"/>
              </w:rPr>
            </w:pPr>
          </w:p>
        </w:tc>
      </w:tr>
    </w:tbl>
    <w:p w:rsidR="00DA7B5D" w:rsidP="008F0116" w:rsidRDefault="00DA7B5D" w14:paraId="298A098C" w14:textId="77777777">
      <w:pPr>
        <w:spacing w:line="240" w:lineRule="auto"/>
        <w:ind w:firstLine="0"/>
        <w:rPr>
          <w:rFonts w:ascii="Arial" w:hAnsi="Arial" w:cs="Arial"/>
          <w:sz w:val="24"/>
          <w:szCs w:val="24"/>
        </w:rPr>
      </w:pPr>
    </w:p>
    <w:p w:rsidR="00DA7B5D" w:rsidP="008F0116" w:rsidRDefault="00DA7B5D" w14:paraId="2F9D1AE6" w14:textId="77777777">
      <w:pPr>
        <w:spacing w:line="240" w:lineRule="auto"/>
        <w:ind w:firstLine="0"/>
        <w:rPr>
          <w:rFonts w:ascii="Arial" w:hAnsi="Arial" w:cs="Arial"/>
          <w:sz w:val="24"/>
          <w:szCs w:val="24"/>
        </w:rPr>
      </w:pPr>
    </w:p>
    <w:p w:rsidR="00D15EA0" w:rsidP="00D15EA0" w:rsidRDefault="00846BE8" w14:paraId="7F629F2D" w14:textId="77777777">
      <w:pPr>
        <w:pStyle w:val="Dummy"/>
        <w:spacing w:after="0"/>
        <w:jc w:val="center"/>
      </w:pPr>
      <w:bookmarkStart w:name="_Toc230872039" w:id="0"/>
      <w:r>
        <w:t>DECISION AUTHORIZING 2027 BRIDGE FUNDING FOR</w:t>
      </w:r>
      <w:bookmarkEnd w:id="0"/>
      <w:r>
        <w:t xml:space="preserve"> </w:t>
      </w:r>
    </w:p>
    <w:p w:rsidR="00D15EA0" w:rsidP="00D15EA0" w:rsidRDefault="00846BE8" w14:paraId="1797147A" w14:textId="4910B42C">
      <w:pPr>
        <w:pStyle w:val="Dummy"/>
        <w:spacing w:after="0"/>
        <w:jc w:val="center"/>
      </w:pPr>
      <w:bookmarkStart w:name="_Toc230872040" w:id="1"/>
      <w:r>
        <w:t>INVESTOR-OWNED UTILITIES</w:t>
      </w:r>
      <w:r w:rsidR="00613E8C">
        <w:t>’</w:t>
      </w:r>
      <w:r>
        <w:t xml:space="preserve"> </w:t>
      </w:r>
      <w:r w:rsidR="00162CDB">
        <w:t>INCOME-QUALIFIED</w:t>
      </w:r>
      <w:bookmarkEnd w:id="1"/>
      <w:r w:rsidR="00162CDB">
        <w:t xml:space="preserve"> </w:t>
      </w:r>
    </w:p>
    <w:p w:rsidRPr="00F92385" w:rsidR="00F92385" w:rsidP="00D15EA0" w:rsidRDefault="00162CDB" w14:paraId="391DB7A1" w14:textId="6BE173C4">
      <w:pPr>
        <w:pStyle w:val="Dummy"/>
        <w:spacing w:after="0"/>
        <w:jc w:val="center"/>
        <w:sectPr w:rsidRPr="00F92385" w:rsidR="00F92385" w:rsidSect="00D921AF">
          <w:footerReference w:type="first" r:id="rId11"/>
          <w:pgSz w:w="12240" w:h="15840"/>
          <w:pgMar w:top="1440" w:right="1440" w:bottom="1440" w:left="1440" w:header="720" w:footer="720" w:gutter="0"/>
          <w:pgNumType w:start="1"/>
          <w:cols w:space="720"/>
          <w:titlePg/>
          <w:docGrid w:linePitch="360"/>
        </w:sectPr>
      </w:pPr>
      <w:bookmarkStart w:name="_Toc230872041" w:id="2"/>
      <w:r>
        <w:t>ASSISTANCE PROGRAMS</w:t>
      </w:r>
      <w:bookmarkEnd w:id="2"/>
    </w:p>
    <w:p w:rsidRPr="001E2A62" w:rsidR="00D50119" w:rsidP="00F76650" w:rsidRDefault="00D50119" w14:paraId="441A7FAB"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47A09757"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785D8C" w:rsidRDefault="008C7413" w14:paraId="0058BE3C" w14:textId="5A9BEA3A">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30872039">
            <w:r w:rsidRPr="006B4C3F" w:rsidR="00785D8C">
              <w:rPr>
                <w:rStyle w:val="Hyperlink"/>
                <w:noProof/>
              </w:rPr>
              <w:t>DECISION AUTHORIZING 2027 BRIDGE FUNDING FOR</w:t>
            </w:r>
            <w:r w:rsidR="00785D8C">
              <w:rPr>
                <w:noProof/>
                <w:webHidden/>
              </w:rPr>
              <w:tab/>
            </w:r>
            <w:r w:rsidR="00785D8C">
              <w:rPr>
                <w:noProof/>
                <w:webHidden/>
              </w:rPr>
              <w:fldChar w:fldCharType="begin"/>
            </w:r>
            <w:r w:rsidR="00785D8C">
              <w:rPr>
                <w:noProof/>
                <w:webHidden/>
              </w:rPr>
              <w:instrText xml:space="preserve"> PAGEREF _Toc230872039 \h </w:instrText>
            </w:r>
            <w:r w:rsidR="00785D8C">
              <w:rPr>
                <w:noProof/>
                <w:webHidden/>
              </w:rPr>
            </w:r>
            <w:r w:rsidR="00785D8C">
              <w:rPr>
                <w:noProof/>
                <w:webHidden/>
              </w:rPr>
              <w:fldChar w:fldCharType="separate"/>
            </w:r>
            <w:r w:rsidR="0059060B">
              <w:rPr>
                <w:noProof/>
                <w:webHidden/>
              </w:rPr>
              <w:t>1</w:t>
            </w:r>
            <w:r w:rsidR="00785D8C">
              <w:rPr>
                <w:noProof/>
                <w:webHidden/>
              </w:rPr>
              <w:fldChar w:fldCharType="end"/>
            </w:r>
          </w:hyperlink>
        </w:p>
        <w:p w:rsidR="00785D8C" w:rsidRDefault="00785D8C" w14:paraId="6786B4F3" w14:textId="2AA61486">
          <w:pPr>
            <w:pStyle w:val="TOC1"/>
            <w:tabs>
              <w:tab w:val="right" w:leader="dot" w:pos="9350"/>
            </w:tabs>
            <w:rPr>
              <w:rFonts w:asciiTheme="minorHAnsi" w:hAnsiTheme="minorHAnsi" w:cstheme="minorBidi"/>
              <w:noProof/>
              <w:kern w:val="2"/>
              <w:sz w:val="24"/>
              <w:szCs w:val="24"/>
              <w14:ligatures w14:val="standardContextual"/>
            </w:rPr>
          </w:pPr>
          <w:hyperlink w:history="1" w:anchor="_Toc230872040">
            <w:r w:rsidRPr="006B4C3F">
              <w:rPr>
                <w:rStyle w:val="Hyperlink"/>
                <w:noProof/>
              </w:rPr>
              <w:t>INVESTOR-OWNED UTILITIES’ INCOME-QUALIFIED</w:t>
            </w:r>
            <w:r>
              <w:rPr>
                <w:noProof/>
                <w:webHidden/>
              </w:rPr>
              <w:tab/>
            </w:r>
            <w:r>
              <w:rPr>
                <w:noProof/>
                <w:webHidden/>
              </w:rPr>
              <w:fldChar w:fldCharType="begin"/>
            </w:r>
            <w:r>
              <w:rPr>
                <w:noProof/>
                <w:webHidden/>
              </w:rPr>
              <w:instrText xml:space="preserve"> PAGEREF _Toc230872040 \h </w:instrText>
            </w:r>
            <w:r>
              <w:rPr>
                <w:noProof/>
                <w:webHidden/>
              </w:rPr>
            </w:r>
            <w:r>
              <w:rPr>
                <w:noProof/>
                <w:webHidden/>
              </w:rPr>
              <w:fldChar w:fldCharType="separate"/>
            </w:r>
            <w:r w:rsidR="0059060B">
              <w:rPr>
                <w:noProof/>
                <w:webHidden/>
              </w:rPr>
              <w:t>1</w:t>
            </w:r>
            <w:r>
              <w:rPr>
                <w:noProof/>
                <w:webHidden/>
              </w:rPr>
              <w:fldChar w:fldCharType="end"/>
            </w:r>
          </w:hyperlink>
        </w:p>
        <w:p w:rsidR="00785D8C" w:rsidRDefault="00785D8C" w14:paraId="35D8AE1D" w14:textId="0470F871">
          <w:pPr>
            <w:pStyle w:val="TOC1"/>
            <w:tabs>
              <w:tab w:val="right" w:leader="dot" w:pos="9350"/>
            </w:tabs>
            <w:rPr>
              <w:rFonts w:asciiTheme="minorHAnsi" w:hAnsiTheme="minorHAnsi" w:cstheme="minorBidi"/>
              <w:noProof/>
              <w:kern w:val="2"/>
              <w:sz w:val="24"/>
              <w:szCs w:val="24"/>
              <w14:ligatures w14:val="standardContextual"/>
            </w:rPr>
          </w:pPr>
          <w:hyperlink w:history="1" w:anchor="_Toc230872041">
            <w:r w:rsidRPr="006B4C3F">
              <w:rPr>
                <w:rStyle w:val="Hyperlink"/>
                <w:noProof/>
              </w:rPr>
              <w:t>ASSISTANCE PROGRAMS</w:t>
            </w:r>
            <w:r>
              <w:rPr>
                <w:noProof/>
                <w:webHidden/>
              </w:rPr>
              <w:tab/>
            </w:r>
            <w:r>
              <w:rPr>
                <w:noProof/>
                <w:webHidden/>
              </w:rPr>
              <w:fldChar w:fldCharType="begin"/>
            </w:r>
            <w:r>
              <w:rPr>
                <w:noProof/>
                <w:webHidden/>
              </w:rPr>
              <w:instrText xml:space="preserve"> PAGEREF _Toc230872041 \h </w:instrText>
            </w:r>
            <w:r>
              <w:rPr>
                <w:noProof/>
                <w:webHidden/>
              </w:rPr>
            </w:r>
            <w:r>
              <w:rPr>
                <w:noProof/>
                <w:webHidden/>
              </w:rPr>
              <w:fldChar w:fldCharType="separate"/>
            </w:r>
            <w:r w:rsidR="0059060B">
              <w:rPr>
                <w:noProof/>
                <w:webHidden/>
              </w:rPr>
              <w:t>1</w:t>
            </w:r>
            <w:r>
              <w:rPr>
                <w:noProof/>
                <w:webHidden/>
              </w:rPr>
              <w:fldChar w:fldCharType="end"/>
            </w:r>
          </w:hyperlink>
        </w:p>
        <w:p w:rsidR="00785D8C" w:rsidRDefault="00785D8C" w14:paraId="549C5C9C" w14:textId="123D7B56">
          <w:pPr>
            <w:pStyle w:val="TOC1"/>
            <w:tabs>
              <w:tab w:val="right" w:leader="dot" w:pos="9350"/>
            </w:tabs>
            <w:rPr>
              <w:rFonts w:asciiTheme="minorHAnsi" w:hAnsiTheme="minorHAnsi" w:cstheme="minorBidi"/>
              <w:noProof/>
              <w:kern w:val="2"/>
              <w:sz w:val="24"/>
              <w:szCs w:val="24"/>
              <w14:ligatures w14:val="standardContextual"/>
            </w:rPr>
          </w:pPr>
          <w:hyperlink w:history="1" w:anchor="_Toc230872042">
            <w:r w:rsidRPr="006B4C3F">
              <w:rPr>
                <w:rStyle w:val="Hyperlink"/>
                <w:noProof/>
              </w:rPr>
              <w:t>Summary</w:t>
            </w:r>
            <w:r>
              <w:rPr>
                <w:noProof/>
                <w:webHidden/>
              </w:rPr>
              <w:tab/>
            </w:r>
            <w:r>
              <w:rPr>
                <w:noProof/>
                <w:webHidden/>
              </w:rPr>
              <w:fldChar w:fldCharType="begin"/>
            </w:r>
            <w:r>
              <w:rPr>
                <w:noProof/>
                <w:webHidden/>
              </w:rPr>
              <w:instrText xml:space="preserve"> PAGEREF _Toc230872042 \h </w:instrText>
            </w:r>
            <w:r>
              <w:rPr>
                <w:noProof/>
                <w:webHidden/>
              </w:rPr>
            </w:r>
            <w:r>
              <w:rPr>
                <w:noProof/>
                <w:webHidden/>
              </w:rPr>
              <w:fldChar w:fldCharType="separate"/>
            </w:r>
            <w:r w:rsidR="0059060B">
              <w:rPr>
                <w:noProof/>
                <w:webHidden/>
              </w:rPr>
              <w:t>2</w:t>
            </w:r>
            <w:r>
              <w:rPr>
                <w:noProof/>
                <w:webHidden/>
              </w:rPr>
              <w:fldChar w:fldCharType="end"/>
            </w:r>
          </w:hyperlink>
        </w:p>
        <w:p w:rsidR="00785D8C" w:rsidRDefault="00785D8C" w14:paraId="0D99B0DB" w14:textId="3EDCD83B">
          <w:pPr>
            <w:pStyle w:val="TOC1"/>
            <w:tabs>
              <w:tab w:val="right" w:leader="dot" w:pos="9350"/>
            </w:tabs>
            <w:rPr>
              <w:rFonts w:asciiTheme="minorHAnsi" w:hAnsiTheme="minorHAnsi" w:cstheme="minorBidi"/>
              <w:noProof/>
              <w:kern w:val="2"/>
              <w:sz w:val="24"/>
              <w:szCs w:val="24"/>
              <w14:ligatures w14:val="standardContextual"/>
            </w:rPr>
          </w:pPr>
          <w:hyperlink w:history="1" w:anchor="_Toc230872043">
            <w:r w:rsidRPr="006B4C3F">
              <w:rPr>
                <w:rStyle w:val="Hyperlink"/>
                <w:noProof/>
              </w:rPr>
              <w:t>1.</w:t>
            </w:r>
            <w:r>
              <w:rPr>
                <w:rFonts w:asciiTheme="minorHAnsi" w:hAnsiTheme="minorHAnsi" w:cstheme="minorBidi"/>
                <w:noProof/>
                <w:kern w:val="2"/>
                <w:sz w:val="24"/>
                <w:szCs w:val="24"/>
                <w14:ligatures w14:val="standardContextual"/>
              </w:rPr>
              <w:tab/>
            </w:r>
            <w:r w:rsidRPr="006B4C3F">
              <w:rPr>
                <w:rStyle w:val="Hyperlink"/>
                <w:noProof/>
              </w:rPr>
              <w:t>Background</w:t>
            </w:r>
            <w:r>
              <w:rPr>
                <w:noProof/>
                <w:webHidden/>
              </w:rPr>
              <w:tab/>
            </w:r>
            <w:r>
              <w:rPr>
                <w:noProof/>
                <w:webHidden/>
              </w:rPr>
              <w:fldChar w:fldCharType="begin"/>
            </w:r>
            <w:r>
              <w:rPr>
                <w:noProof/>
                <w:webHidden/>
              </w:rPr>
              <w:instrText xml:space="preserve"> PAGEREF _Toc230872043 \h </w:instrText>
            </w:r>
            <w:r>
              <w:rPr>
                <w:noProof/>
                <w:webHidden/>
              </w:rPr>
            </w:r>
            <w:r>
              <w:rPr>
                <w:noProof/>
                <w:webHidden/>
              </w:rPr>
              <w:fldChar w:fldCharType="separate"/>
            </w:r>
            <w:r w:rsidR="0059060B">
              <w:rPr>
                <w:noProof/>
                <w:webHidden/>
              </w:rPr>
              <w:t>2</w:t>
            </w:r>
            <w:r>
              <w:rPr>
                <w:noProof/>
                <w:webHidden/>
              </w:rPr>
              <w:fldChar w:fldCharType="end"/>
            </w:r>
          </w:hyperlink>
        </w:p>
        <w:p w:rsidR="00785D8C" w:rsidRDefault="00785D8C" w14:paraId="5C226F6A" w14:textId="3BAB675A">
          <w:pPr>
            <w:pStyle w:val="TOC2"/>
            <w:tabs>
              <w:tab w:val="right" w:leader="dot" w:pos="9350"/>
            </w:tabs>
            <w:rPr>
              <w:rFonts w:asciiTheme="minorHAnsi" w:hAnsiTheme="minorHAnsi" w:cstheme="minorBidi"/>
              <w:noProof/>
              <w:kern w:val="2"/>
              <w:sz w:val="24"/>
              <w:szCs w:val="24"/>
              <w14:ligatures w14:val="standardContextual"/>
            </w:rPr>
          </w:pPr>
          <w:hyperlink w:history="1" w:anchor="_Toc230872044">
            <w:r w:rsidRPr="006B4C3F">
              <w:rPr>
                <w:rStyle w:val="Hyperlink"/>
                <w:noProof/>
              </w:rPr>
              <w:t>1.1.</w:t>
            </w:r>
            <w:r>
              <w:rPr>
                <w:rFonts w:asciiTheme="minorHAnsi" w:hAnsiTheme="minorHAnsi" w:cstheme="minorBidi"/>
                <w:noProof/>
                <w:kern w:val="2"/>
                <w:sz w:val="24"/>
                <w:szCs w:val="24"/>
                <w14:ligatures w14:val="standardContextual"/>
              </w:rPr>
              <w:tab/>
            </w:r>
            <w:r w:rsidRPr="006B4C3F">
              <w:rPr>
                <w:rStyle w:val="Hyperlink"/>
                <w:noProof/>
              </w:rPr>
              <w:t>Program Background</w:t>
            </w:r>
            <w:r>
              <w:rPr>
                <w:noProof/>
                <w:webHidden/>
              </w:rPr>
              <w:tab/>
            </w:r>
            <w:r>
              <w:rPr>
                <w:noProof/>
                <w:webHidden/>
              </w:rPr>
              <w:fldChar w:fldCharType="begin"/>
            </w:r>
            <w:r>
              <w:rPr>
                <w:noProof/>
                <w:webHidden/>
              </w:rPr>
              <w:instrText xml:space="preserve"> PAGEREF _Toc230872044 \h </w:instrText>
            </w:r>
            <w:r>
              <w:rPr>
                <w:noProof/>
                <w:webHidden/>
              </w:rPr>
            </w:r>
            <w:r>
              <w:rPr>
                <w:noProof/>
                <w:webHidden/>
              </w:rPr>
              <w:fldChar w:fldCharType="separate"/>
            </w:r>
            <w:r w:rsidR="0059060B">
              <w:rPr>
                <w:noProof/>
                <w:webHidden/>
              </w:rPr>
              <w:t>2</w:t>
            </w:r>
            <w:r>
              <w:rPr>
                <w:noProof/>
                <w:webHidden/>
              </w:rPr>
              <w:fldChar w:fldCharType="end"/>
            </w:r>
          </w:hyperlink>
        </w:p>
        <w:p w:rsidR="00785D8C" w:rsidRDefault="00785D8C" w14:paraId="301915A4" w14:textId="75335F7A">
          <w:pPr>
            <w:pStyle w:val="TOC2"/>
            <w:tabs>
              <w:tab w:val="right" w:leader="dot" w:pos="9350"/>
            </w:tabs>
            <w:rPr>
              <w:rFonts w:asciiTheme="minorHAnsi" w:hAnsiTheme="minorHAnsi" w:cstheme="minorBidi"/>
              <w:noProof/>
              <w:kern w:val="2"/>
              <w:sz w:val="24"/>
              <w:szCs w:val="24"/>
              <w14:ligatures w14:val="standardContextual"/>
            </w:rPr>
          </w:pPr>
          <w:hyperlink w:history="1" w:anchor="_Toc230872045">
            <w:r w:rsidRPr="006B4C3F">
              <w:rPr>
                <w:rStyle w:val="Hyperlink"/>
                <w:noProof/>
              </w:rPr>
              <w:t>1.2.</w:t>
            </w:r>
            <w:r>
              <w:rPr>
                <w:rFonts w:asciiTheme="minorHAnsi" w:hAnsiTheme="minorHAnsi" w:cstheme="minorBidi"/>
                <w:noProof/>
                <w:kern w:val="2"/>
                <w:sz w:val="24"/>
                <w:szCs w:val="24"/>
                <w14:ligatures w14:val="standardContextual"/>
              </w:rPr>
              <w:tab/>
            </w:r>
            <w:r w:rsidRPr="006B4C3F">
              <w:rPr>
                <w:rStyle w:val="Hyperlink"/>
                <w:noProof/>
              </w:rPr>
              <w:t>Procedural Background</w:t>
            </w:r>
            <w:r>
              <w:rPr>
                <w:noProof/>
                <w:webHidden/>
              </w:rPr>
              <w:tab/>
            </w:r>
            <w:r>
              <w:rPr>
                <w:noProof/>
                <w:webHidden/>
              </w:rPr>
              <w:fldChar w:fldCharType="begin"/>
            </w:r>
            <w:r>
              <w:rPr>
                <w:noProof/>
                <w:webHidden/>
              </w:rPr>
              <w:instrText xml:space="preserve"> PAGEREF _Toc230872045 \h </w:instrText>
            </w:r>
            <w:r>
              <w:rPr>
                <w:noProof/>
                <w:webHidden/>
              </w:rPr>
            </w:r>
            <w:r>
              <w:rPr>
                <w:noProof/>
                <w:webHidden/>
              </w:rPr>
              <w:fldChar w:fldCharType="separate"/>
            </w:r>
            <w:r w:rsidR="0059060B">
              <w:rPr>
                <w:noProof/>
                <w:webHidden/>
              </w:rPr>
              <w:t>3</w:t>
            </w:r>
            <w:r>
              <w:rPr>
                <w:noProof/>
                <w:webHidden/>
              </w:rPr>
              <w:fldChar w:fldCharType="end"/>
            </w:r>
          </w:hyperlink>
        </w:p>
        <w:p w:rsidR="00785D8C" w:rsidRDefault="00785D8C" w14:paraId="4D601024" w14:textId="770DD724">
          <w:pPr>
            <w:pStyle w:val="TOC1"/>
            <w:tabs>
              <w:tab w:val="right" w:leader="dot" w:pos="9350"/>
            </w:tabs>
            <w:rPr>
              <w:rFonts w:asciiTheme="minorHAnsi" w:hAnsiTheme="minorHAnsi" w:cstheme="minorBidi"/>
              <w:noProof/>
              <w:kern w:val="2"/>
              <w:sz w:val="24"/>
              <w:szCs w:val="24"/>
              <w14:ligatures w14:val="standardContextual"/>
            </w:rPr>
          </w:pPr>
          <w:hyperlink w:history="1" w:anchor="_Toc230872046">
            <w:r w:rsidRPr="006B4C3F">
              <w:rPr>
                <w:rStyle w:val="Hyperlink"/>
                <w:noProof/>
              </w:rPr>
              <w:t>2.</w:t>
            </w:r>
            <w:r>
              <w:rPr>
                <w:rFonts w:asciiTheme="minorHAnsi" w:hAnsiTheme="minorHAnsi" w:cstheme="minorBidi"/>
                <w:noProof/>
                <w:kern w:val="2"/>
                <w:sz w:val="24"/>
                <w:szCs w:val="24"/>
                <w14:ligatures w14:val="standardContextual"/>
              </w:rPr>
              <w:tab/>
            </w:r>
            <w:r w:rsidRPr="006B4C3F">
              <w:rPr>
                <w:rStyle w:val="Hyperlink"/>
                <w:noProof/>
              </w:rPr>
              <w:t>Outstanding Motions</w:t>
            </w:r>
            <w:r>
              <w:rPr>
                <w:noProof/>
                <w:webHidden/>
              </w:rPr>
              <w:tab/>
            </w:r>
            <w:r>
              <w:rPr>
                <w:noProof/>
                <w:webHidden/>
              </w:rPr>
              <w:fldChar w:fldCharType="begin"/>
            </w:r>
            <w:r>
              <w:rPr>
                <w:noProof/>
                <w:webHidden/>
              </w:rPr>
              <w:instrText xml:space="preserve"> PAGEREF _Toc230872046 \h </w:instrText>
            </w:r>
            <w:r>
              <w:rPr>
                <w:noProof/>
                <w:webHidden/>
              </w:rPr>
            </w:r>
            <w:r>
              <w:rPr>
                <w:noProof/>
                <w:webHidden/>
              </w:rPr>
              <w:fldChar w:fldCharType="separate"/>
            </w:r>
            <w:r w:rsidR="0059060B">
              <w:rPr>
                <w:noProof/>
                <w:webHidden/>
              </w:rPr>
              <w:t>5</w:t>
            </w:r>
            <w:r>
              <w:rPr>
                <w:noProof/>
                <w:webHidden/>
              </w:rPr>
              <w:fldChar w:fldCharType="end"/>
            </w:r>
          </w:hyperlink>
        </w:p>
        <w:p w:rsidR="00785D8C" w:rsidRDefault="00785D8C" w14:paraId="79580D91" w14:textId="16878AC7">
          <w:pPr>
            <w:pStyle w:val="TOC1"/>
            <w:tabs>
              <w:tab w:val="right" w:leader="dot" w:pos="9350"/>
            </w:tabs>
            <w:rPr>
              <w:rFonts w:asciiTheme="minorHAnsi" w:hAnsiTheme="minorHAnsi" w:cstheme="minorBidi"/>
              <w:noProof/>
              <w:kern w:val="2"/>
              <w:sz w:val="24"/>
              <w:szCs w:val="24"/>
              <w14:ligatures w14:val="standardContextual"/>
            </w:rPr>
          </w:pPr>
          <w:hyperlink w:history="1" w:anchor="_Toc230872047">
            <w:r w:rsidRPr="006B4C3F">
              <w:rPr>
                <w:rStyle w:val="Hyperlink"/>
                <w:noProof/>
              </w:rPr>
              <w:t>3.</w:t>
            </w:r>
            <w:r>
              <w:rPr>
                <w:rFonts w:asciiTheme="minorHAnsi" w:hAnsiTheme="minorHAnsi" w:cstheme="minorBidi"/>
                <w:noProof/>
                <w:kern w:val="2"/>
                <w:sz w:val="24"/>
                <w:szCs w:val="24"/>
                <w14:ligatures w14:val="standardContextual"/>
              </w:rPr>
              <w:tab/>
            </w:r>
            <w:r w:rsidRPr="006B4C3F">
              <w:rPr>
                <w:rStyle w:val="Hyperlink"/>
                <w:noProof/>
              </w:rPr>
              <w:t>Submission Date</w:t>
            </w:r>
            <w:r>
              <w:rPr>
                <w:noProof/>
                <w:webHidden/>
              </w:rPr>
              <w:tab/>
            </w:r>
            <w:r>
              <w:rPr>
                <w:noProof/>
                <w:webHidden/>
              </w:rPr>
              <w:fldChar w:fldCharType="begin"/>
            </w:r>
            <w:r>
              <w:rPr>
                <w:noProof/>
                <w:webHidden/>
              </w:rPr>
              <w:instrText xml:space="preserve"> PAGEREF _Toc230872047 \h </w:instrText>
            </w:r>
            <w:r>
              <w:rPr>
                <w:noProof/>
                <w:webHidden/>
              </w:rPr>
            </w:r>
            <w:r>
              <w:rPr>
                <w:noProof/>
                <w:webHidden/>
              </w:rPr>
              <w:fldChar w:fldCharType="separate"/>
            </w:r>
            <w:r w:rsidR="0059060B">
              <w:rPr>
                <w:noProof/>
                <w:webHidden/>
              </w:rPr>
              <w:t>5</w:t>
            </w:r>
            <w:r>
              <w:rPr>
                <w:noProof/>
                <w:webHidden/>
              </w:rPr>
              <w:fldChar w:fldCharType="end"/>
            </w:r>
          </w:hyperlink>
        </w:p>
        <w:p w:rsidR="00785D8C" w:rsidRDefault="00785D8C" w14:paraId="420D615F" w14:textId="7E237D28">
          <w:pPr>
            <w:pStyle w:val="TOC1"/>
            <w:tabs>
              <w:tab w:val="right" w:leader="dot" w:pos="9350"/>
            </w:tabs>
            <w:rPr>
              <w:rFonts w:asciiTheme="minorHAnsi" w:hAnsiTheme="minorHAnsi" w:cstheme="minorBidi"/>
              <w:noProof/>
              <w:kern w:val="2"/>
              <w:sz w:val="24"/>
              <w:szCs w:val="24"/>
              <w14:ligatures w14:val="standardContextual"/>
            </w:rPr>
          </w:pPr>
          <w:hyperlink w:history="1" w:anchor="_Toc230872048">
            <w:r w:rsidRPr="006B4C3F">
              <w:rPr>
                <w:rStyle w:val="Hyperlink"/>
                <w:noProof/>
              </w:rPr>
              <w:t>4.</w:t>
            </w:r>
            <w:r>
              <w:rPr>
                <w:rFonts w:asciiTheme="minorHAnsi" w:hAnsiTheme="minorHAnsi" w:cstheme="minorBidi"/>
                <w:noProof/>
                <w:kern w:val="2"/>
                <w:sz w:val="24"/>
                <w:szCs w:val="24"/>
                <w14:ligatures w14:val="standardContextual"/>
              </w:rPr>
              <w:tab/>
            </w:r>
            <w:r w:rsidRPr="006B4C3F">
              <w:rPr>
                <w:rStyle w:val="Hyperlink"/>
                <w:noProof/>
              </w:rPr>
              <w:t>Issues Before the Commission</w:t>
            </w:r>
            <w:r>
              <w:rPr>
                <w:noProof/>
                <w:webHidden/>
              </w:rPr>
              <w:tab/>
            </w:r>
            <w:r>
              <w:rPr>
                <w:noProof/>
                <w:webHidden/>
              </w:rPr>
              <w:fldChar w:fldCharType="begin"/>
            </w:r>
            <w:r>
              <w:rPr>
                <w:noProof/>
                <w:webHidden/>
              </w:rPr>
              <w:instrText xml:space="preserve"> PAGEREF _Toc230872048 \h </w:instrText>
            </w:r>
            <w:r>
              <w:rPr>
                <w:noProof/>
                <w:webHidden/>
              </w:rPr>
            </w:r>
            <w:r>
              <w:rPr>
                <w:noProof/>
                <w:webHidden/>
              </w:rPr>
              <w:fldChar w:fldCharType="separate"/>
            </w:r>
            <w:r w:rsidR="0059060B">
              <w:rPr>
                <w:noProof/>
                <w:webHidden/>
              </w:rPr>
              <w:t>5</w:t>
            </w:r>
            <w:r>
              <w:rPr>
                <w:noProof/>
                <w:webHidden/>
              </w:rPr>
              <w:fldChar w:fldCharType="end"/>
            </w:r>
          </w:hyperlink>
        </w:p>
        <w:p w:rsidR="00785D8C" w:rsidRDefault="00785D8C" w14:paraId="165D505B" w14:textId="7263AA6D">
          <w:pPr>
            <w:pStyle w:val="TOC1"/>
            <w:tabs>
              <w:tab w:val="right" w:leader="dot" w:pos="9350"/>
            </w:tabs>
            <w:rPr>
              <w:rFonts w:asciiTheme="minorHAnsi" w:hAnsiTheme="minorHAnsi" w:cstheme="minorBidi"/>
              <w:noProof/>
              <w:kern w:val="2"/>
              <w:sz w:val="24"/>
              <w:szCs w:val="24"/>
              <w14:ligatures w14:val="standardContextual"/>
            </w:rPr>
          </w:pPr>
          <w:hyperlink w:history="1" w:anchor="_Toc230872049">
            <w:r w:rsidRPr="006B4C3F">
              <w:rPr>
                <w:rStyle w:val="Hyperlink"/>
                <w:noProof/>
              </w:rPr>
              <w:t>5.</w:t>
            </w:r>
            <w:r>
              <w:rPr>
                <w:rFonts w:asciiTheme="minorHAnsi" w:hAnsiTheme="minorHAnsi" w:cstheme="minorBidi"/>
                <w:noProof/>
                <w:kern w:val="2"/>
                <w:sz w:val="24"/>
                <w:szCs w:val="24"/>
                <w14:ligatures w14:val="standardContextual"/>
              </w:rPr>
              <w:tab/>
            </w:r>
            <w:r w:rsidRPr="006B4C3F">
              <w:rPr>
                <w:rStyle w:val="Hyperlink"/>
                <w:noProof/>
              </w:rPr>
              <w:t>Application Overview</w:t>
            </w:r>
            <w:r>
              <w:rPr>
                <w:noProof/>
                <w:webHidden/>
              </w:rPr>
              <w:tab/>
            </w:r>
            <w:r>
              <w:rPr>
                <w:noProof/>
                <w:webHidden/>
              </w:rPr>
              <w:fldChar w:fldCharType="begin"/>
            </w:r>
            <w:r>
              <w:rPr>
                <w:noProof/>
                <w:webHidden/>
              </w:rPr>
              <w:instrText xml:space="preserve"> PAGEREF _Toc230872049 \h </w:instrText>
            </w:r>
            <w:r>
              <w:rPr>
                <w:noProof/>
                <w:webHidden/>
              </w:rPr>
            </w:r>
            <w:r>
              <w:rPr>
                <w:noProof/>
                <w:webHidden/>
              </w:rPr>
              <w:fldChar w:fldCharType="separate"/>
            </w:r>
            <w:r w:rsidR="0059060B">
              <w:rPr>
                <w:noProof/>
                <w:webHidden/>
              </w:rPr>
              <w:t>6</w:t>
            </w:r>
            <w:r>
              <w:rPr>
                <w:noProof/>
                <w:webHidden/>
              </w:rPr>
              <w:fldChar w:fldCharType="end"/>
            </w:r>
          </w:hyperlink>
        </w:p>
        <w:p w:rsidR="00785D8C" w:rsidRDefault="00785D8C" w14:paraId="14E07A8B" w14:textId="381E6EA5">
          <w:pPr>
            <w:pStyle w:val="TOC2"/>
            <w:tabs>
              <w:tab w:val="right" w:leader="dot" w:pos="9350"/>
            </w:tabs>
            <w:rPr>
              <w:rFonts w:asciiTheme="minorHAnsi" w:hAnsiTheme="minorHAnsi" w:cstheme="minorBidi"/>
              <w:noProof/>
              <w:kern w:val="2"/>
              <w:sz w:val="24"/>
              <w:szCs w:val="24"/>
              <w14:ligatures w14:val="standardContextual"/>
            </w:rPr>
          </w:pPr>
          <w:hyperlink w:history="1" w:anchor="_Toc230872050">
            <w:r w:rsidRPr="006B4C3F">
              <w:rPr>
                <w:rStyle w:val="Hyperlink"/>
                <w:noProof/>
              </w:rPr>
              <w:t>5.1.</w:t>
            </w:r>
            <w:r>
              <w:rPr>
                <w:rFonts w:asciiTheme="minorHAnsi" w:hAnsiTheme="minorHAnsi" w:cstheme="minorBidi"/>
                <w:noProof/>
                <w:kern w:val="2"/>
                <w:sz w:val="24"/>
                <w:szCs w:val="24"/>
                <w14:ligatures w14:val="standardContextual"/>
              </w:rPr>
              <w:tab/>
            </w:r>
            <w:r w:rsidRPr="006B4C3F">
              <w:rPr>
                <w:rStyle w:val="Hyperlink"/>
                <w:noProof/>
              </w:rPr>
              <w:t>PG&amp;E Application</w:t>
            </w:r>
            <w:r>
              <w:rPr>
                <w:noProof/>
                <w:webHidden/>
              </w:rPr>
              <w:tab/>
            </w:r>
            <w:r>
              <w:rPr>
                <w:noProof/>
                <w:webHidden/>
              </w:rPr>
              <w:fldChar w:fldCharType="begin"/>
            </w:r>
            <w:r>
              <w:rPr>
                <w:noProof/>
                <w:webHidden/>
              </w:rPr>
              <w:instrText xml:space="preserve"> PAGEREF _Toc230872050 \h </w:instrText>
            </w:r>
            <w:r>
              <w:rPr>
                <w:noProof/>
                <w:webHidden/>
              </w:rPr>
            </w:r>
            <w:r>
              <w:rPr>
                <w:noProof/>
                <w:webHidden/>
              </w:rPr>
              <w:fldChar w:fldCharType="separate"/>
            </w:r>
            <w:r w:rsidR="0059060B">
              <w:rPr>
                <w:noProof/>
                <w:webHidden/>
              </w:rPr>
              <w:t>6</w:t>
            </w:r>
            <w:r>
              <w:rPr>
                <w:noProof/>
                <w:webHidden/>
              </w:rPr>
              <w:fldChar w:fldCharType="end"/>
            </w:r>
          </w:hyperlink>
        </w:p>
        <w:p w:rsidR="00785D8C" w:rsidRDefault="00785D8C" w14:paraId="02C9E4EA" w14:textId="29493B5D">
          <w:pPr>
            <w:pStyle w:val="TOC2"/>
            <w:tabs>
              <w:tab w:val="right" w:leader="dot" w:pos="9350"/>
            </w:tabs>
            <w:rPr>
              <w:rFonts w:asciiTheme="minorHAnsi" w:hAnsiTheme="minorHAnsi" w:cstheme="minorBidi"/>
              <w:noProof/>
              <w:kern w:val="2"/>
              <w:sz w:val="24"/>
              <w:szCs w:val="24"/>
              <w14:ligatures w14:val="standardContextual"/>
            </w:rPr>
          </w:pPr>
          <w:hyperlink w:history="1" w:anchor="_Toc230872051">
            <w:r w:rsidRPr="006B4C3F">
              <w:rPr>
                <w:rStyle w:val="Hyperlink"/>
                <w:noProof/>
              </w:rPr>
              <w:t>5.2.</w:t>
            </w:r>
            <w:r>
              <w:rPr>
                <w:rFonts w:asciiTheme="minorHAnsi" w:hAnsiTheme="minorHAnsi" w:cstheme="minorBidi"/>
                <w:noProof/>
                <w:kern w:val="2"/>
                <w:sz w:val="24"/>
                <w:szCs w:val="24"/>
                <w14:ligatures w14:val="standardContextual"/>
              </w:rPr>
              <w:tab/>
            </w:r>
            <w:r w:rsidRPr="006B4C3F">
              <w:rPr>
                <w:rStyle w:val="Hyperlink"/>
                <w:noProof/>
              </w:rPr>
              <w:t>SDG&amp;E Application</w:t>
            </w:r>
            <w:r>
              <w:rPr>
                <w:noProof/>
                <w:webHidden/>
              </w:rPr>
              <w:tab/>
            </w:r>
            <w:r>
              <w:rPr>
                <w:noProof/>
                <w:webHidden/>
              </w:rPr>
              <w:fldChar w:fldCharType="begin"/>
            </w:r>
            <w:r>
              <w:rPr>
                <w:noProof/>
                <w:webHidden/>
              </w:rPr>
              <w:instrText xml:space="preserve"> PAGEREF _Toc230872051 \h </w:instrText>
            </w:r>
            <w:r>
              <w:rPr>
                <w:noProof/>
                <w:webHidden/>
              </w:rPr>
            </w:r>
            <w:r>
              <w:rPr>
                <w:noProof/>
                <w:webHidden/>
              </w:rPr>
              <w:fldChar w:fldCharType="separate"/>
            </w:r>
            <w:r w:rsidR="0059060B">
              <w:rPr>
                <w:noProof/>
                <w:webHidden/>
              </w:rPr>
              <w:t>8</w:t>
            </w:r>
            <w:r>
              <w:rPr>
                <w:noProof/>
                <w:webHidden/>
              </w:rPr>
              <w:fldChar w:fldCharType="end"/>
            </w:r>
          </w:hyperlink>
        </w:p>
        <w:p w:rsidR="00785D8C" w:rsidRDefault="00785D8C" w14:paraId="165FA440" w14:textId="33589A44">
          <w:pPr>
            <w:pStyle w:val="TOC2"/>
            <w:tabs>
              <w:tab w:val="right" w:leader="dot" w:pos="9350"/>
            </w:tabs>
            <w:rPr>
              <w:rFonts w:asciiTheme="minorHAnsi" w:hAnsiTheme="minorHAnsi" w:cstheme="minorBidi"/>
              <w:noProof/>
              <w:kern w:val="2"/>
              <w:sz w:val="24"/>
              <w:szCs w:val="24"/>
              <w14:ligatures w14:val="standardContextual"/>
            </w:rPr>
          </w:pPr>
          <w:hyperlink w:history="1" w:anchor="_Toc230872052">
            <w:r w:rsidRPr="006B4C3F">
              <w:rPr>
                <w:rStyle w:val="Hyperlink"/>
                <w:noProof/>
              </w:rPr>
              <w:t>5.3.</w:t>
            </w:r>
            <w:r>
              <w:rPr>
                <w:rFonts w:asciiTheme="minorHAnsi" w:hAnsiTheme="minorHAnsi" w:cstheme="minorBidi"/>
                <w:noProof/>
                <w:kern w:val="2"/>
                <w:sz w:val="24"/>
                <w:szCs w:val="24"/>
                <w14:ligatures w14:val="standardContextual"/>
              </w:rPr>
              <w:tab/>
            </w:r>
            <w:r w:rsidRPr="006B4C3F">
              <w:rPr>
                <w:rStyle w:val="Hyperlink"/>
                <w:noProof/>
              </w:rPr>
              <w:t>SCE Application</w:t>
            </w:r>
            <w:r>
              <w:rPr>
                <w:noProof/>
                <w:webHidden/>
              </w:rPr>
              <w:tab/>
            </w:r>
            <w:r>
              <w:rPr>
                <w:noProof/>
                <w:webHidden/>
              </w:rPr>
              <w:fldChar w:fldCharType="begin"/>
            </w:r>
            <w:r>
              <w:rPr>
                <w:noProof/>
                <w:webHidden/>
              </w:rPr>
              <w:instrText xml:space="preserve"> PAGEREF _Toc230872052 \h </w:instrText>
            </w:r>
            <w:r>
              <w:rPr>
                <w:noProof/>
                <w:webHidden/>
              </w:rPr>
            </w:r>
            <w:r>
              <w:rPr>
                <w:noProof/>
                <w:webHidden/>
              </w:rPr>
              <w:fldChar w:fldCharType="separate"/>
            </w:r>
            <w:r w:rsidR="0059060B">
              <w:rPr>
                <w:noProof/>
                <w:webHidden/>
              </w:rPr>
              <w:t>9</w:t>
            </w:r>
            <w:r>
              <w:rPr>
                <w:noProof/>
                <w:webHidden/>
              </w:rPr>
              <w:fldChar w:fldCharType="end"/>
            </w:r>
          </w:hyperlink>
        </w:p>
        <w:p w:rsidR="00785D8C" w:rsidRDefault="00785D8C" w14:paraId="6E2CEA6A" w14:textId="23CF5EA6">
          <w:pPr>
            <w:pStyle w:val="TOC2"/>
            <w:tabs>
              <w:tab w:val="right" w:leader="dot" w:pos="9350"/>
            </w:tabs>
            <w:rPr>
              <w:rFonts w:asciiTheme="minorHAnsi" w:hAnsiTheme="minorHAnsi" w:cstheme="minorBidi"/>
              <w:noProof/>
              <w:kern w:val="2"/>
              <w:sz w:val="24"/>
              <w:szCs w:val="24"/>
              <w14:ligatures w14:val="standardContextual"/>
            </w:rPr>
          </w:pPr>
          <w:hyperlink w:history="1" w:anchor="_Toc230872053">
            <w:r w:rsidRPr="006B4C3F">
              <w:rPr>
                <w:rStyle w:val="Hyperlink"/>
                <w:noProof/>
              </w:rPr>
              <w:t>5.4.</w:t>
            </w:r>
            <w:r>
              <w:rPr>
                <w:rFonts w:asciiTheme="minorHAnsi" w:hAnsiTheme="minorHAnsi" w:cstheme="minorBidi"/>
                <w:noProof/>
                <w:kern w:val="2"/>
                <w:sz w:val="24"/>
                <w:szCs w:val="24"/>
                <w14:ligatures w14:val="standardContextual"/>
              </w:rPr>
              <w:tab/>
            </w:r>
            <w:r w:rsidRPr="006B4C3F">
              <w:rPr>
                <w:rStyle w:val="Hyperlink"/>
                <w:noProof/>
              </w:rPr>
              <w:t>SoCalGas Application</w:t>
            </w:r>
            <w:r>
              <w:rPr>
                <w:noProof/>
                <w:webHidden/>
              </w:rPr>
              <w:tab/>
            </w:r>
            <w:r>
              <w:rPr>
                <w:noProof/>
                <w:webHidden/>
              </w:rPr>
              <w:fldChar w:fldCharType="begin"/>
            </w:r>
            <w:r>
              <w:rPr>
                <w:noProof/>
                <w:webHidden/>
              </w:rPr>
              <w:instrText xml:space="preserve"> PAGEREF _Toc230872053 \h </w:instrText>
            </w:r>
            <w:r>
              <w:rPr>
                <w:noProof/>
                <w:webHidden/>
              </w:rPr>
            </w:r>
            <w:r>
              <w:rPr>
                <w:noProof/>
                <w:webHidden/>
              </w:rPr>
              <w:fldChar w:fldCharType="separate"/>
            </w:r>
            <w:r w:rsidR="0059060B">
              <w:rPr>
                <w:noProof/>
                <w:webHidden/>
              </w:rPr>
              <w:t>10</w:t>
            </w:r>
            <w:r>
              <w:rPr>
                <w:noProof/>
                <w:webHidden/>
              </w:rPr>
              <w:fldChar w:fldCharType="end"/>
            </w:r>
          </w:hyperlink>
        </w:p>
        <w:p w:rsidR="00785D8C" w:rsidRDefault="00785D8C" w14:paraId="4C29DA12" w14:textId="5D4D4444">
          <w:pPr>
            <w:pStyle w:val="TOC1"/>
            <w:tabs>
              <w:tab w:val="right" w:leader="dot" w:pos="9350"/>
            </w:tabs>
            <w:rPr>
              <w:rFonts w:asciiTheme="minorHAnsi" w:hAnsiTheme="minorHAnsi" w:cstheme="minorBidi"/>
              <w:noProof/>
              <w:kern w:val="2"/>
              <w:sz w:val="24"/>
              <w:szCs w:val="24"/>
              <w14:ligatures w14:val="standardContextual"/>
            </w:rPr>
          </w:pPr>
          <w:hyperlink w:history="1" w:anchor="_Toc230872054">
            <w:r w:rsidRPr="006B4C3F">
              <w:rPr>
                <w:rStyle w:val="Hyperlink"/>
                <w:noProof/>
              </w:rPr>
              <w:t>6.</w:t>
            </w:r>
            <w:r>
              <w:rPr>
                <w:rFonts w:asciiTheme="minorHAnsi" w:hAnsiTheme="minorHAnsi" w:cstheme="minorBidi"/>
                <w:noProof/>
                <w:kern w:val="2"/>
                <w:sz w:val="24"/>
                <w:szCs w:val="24"/>
                <w14:ligatures w14:val="standardContextual"/>
              </w:rPr>
              <w:tab/>
            </w:r>
            <w:r w:rsidRPr="006B4C3F">
              <w:rPr>
                <w:rStyle w:val="Hyperlink"/>
                <w:noProof/>
              </w:rPr>
              <w:t>CARE</w:t>
            </w:r>
            <w:r>
              <w:rPr>
                <w:noProof/>
                <w:webHidden/>
              </w:rPr>
              <w:tab/>
            </w:r>
            <w:r>
              <w:rPr>
                <w:noProof/>
                <w:webHidden/>
              </w:rPr>
              <w:fldChar w:fldCharType="begin"/>
            </w:r>
            <w:r>
              <w:rPr>
                <w:noProof/>
                <w:webHidden/>
              </w:rPr>
              <w:instrText xml:space="preserve"> PAGEREF _Toc230872054 \h </w:instrText>
            </w:r>
            <w:r>
              <w:rPr>
                <w:noProof/>
                <w:webHidden/>
              </w:rPr>
            </w:r>
            <w:r>
              <w:rPr>
                <w:noProof/>
                <w:webHidden/>
              </w:rPr>
              <w:fldChar w:fldCharType="separate"/>
            </w:r>
            <w:r w:rsidR="0059060B">
              <w:rPr>
                <w:noProof/>
                <w:webHidden/>
              </w:rPr>
              <w:t>11</w:t>
            </w:r>
            <w:r>
              <w:rPr>
                <w:noProof/>
                <w:webHidden/>
              </w:rPr>
              <w:fldChar w:fldCharType="end"/>
            </w:r>
          </w:hyperlink>
        </w:p>
        <w:p w:rsidR="00785D8C" w:rsidRDefault="00785D8C" w14:paraId="7C9FBE3A" w14:textId="6533C489">
          <w:pPr>
            <w:pStyle w:val="TOC2"/>
            <w:tabs>
              <w:tab w:val="right" w:leader="dot" w:pos="9350"/>
            </w:tabs>
            <w:rPr>
              <w:rFonts w:asciiTheme="minorHAnsi" w:hAnsiTheme="minorHAnsi" w:cstheme="minorBidi"/>
              <w:noProof/>
              <w:kern w:val="2"/>
              <w:sz w:val="24"/>
              <w:szCs w:val="24"/>
              <w14:ligatures w14:val="standardContextual"/>
            </w:rPr>
          </w:pPr>
          <w:hyperlink w:history="1" w:anchor="_Toc230872055">
            <w:r w:rsidRPr="006B4C3F">
              <w:rPr>
                <w:rStyle w:val="Hyperlink"/>
                <w:noProof/>
              </w:rPr>
              <w:t>6.1.</w:t>
            </w:r>
            <w:r>
              <w:rPr>
                <w:rFonts w:asciiTheme="minorHAnsi" w:hAnsiTheme="minorHAnsi" w:cstheme="minorBidi"/>
                <w:noProof/>
                <w:kern w:val="2"/>
                <w:sz w:val="24"/>
                <w:szCs w:val="24"/>
                <w14:ligatures w14:val="standardContextual"/>
              </w:rPr>
              <w:tab/>
            </w:r>
            <w:r w:rsidRPr="006B4C3F">
              <w:rPr>
                <w:rStyle w:val="Hyperlink"/>
                <w:noProof/>
              </w:rPr>
              <w:t>PG&amp;E’S CARE Program</w:t>
            </w:r>
            <w:r>
              <w:rPr>
                <w:noProof/>
                <w:webHidden/>
              </w:rPr>
              <w:tab/>
            </w:r>
            <w:r>
              <w:rPr>
                <w:noProof/>
                <w:webHidden/>
              </w:rPr>
              <w:fldChar w:fldCharType="begin"/>
            </w:r>
            <w:r>
              <w:rPr>
                <w:noProof/>
                <w:webHidden/>
              </w:rPr>
              <w:instrText xml:space="preserve"> PAGEREF _Toc230872055 \h </w:instrText>
            </w:r>
            <w:r>
              <w:rPr>
                <w:noProof/>
                <w:webHidden/>
              </w:rPr>
            </w:r>
            <w:r>
              <w:rPr>
                <w:noProof/>
                <w:webHidden/>
              </w:rPr>
              <w:fldChar w:fldCharType="separate"/>
            </w:r>
            <w:r w:rsidR="0059060B">
              <w:rPr>
                <w:noProof/>
                <w:webHidden/>
              </w:rPr>
              <w:t>13</w:t>
            </w:r>
            <w:r>
              <w:rPr>
                <w:noProof/>
                <w:webHidden/>
              </w:rPr>
              <w:fldChar w:fldCharType="end"/>
            </w:r>
          </w:hyperlink>
        </w:p>
        <w:p w:rsidR="00785D8C" w:rsidRDefault="00785D8C" w14:paraId="1751A12C" w14:textId="5C226269">
          <w:pPr>
            <w:pStyle w:val="TOC2"/>
            <w:tabs>
              <w:tab w:val="right" w:leader="dot" w:pos="9350"/>
            </w:tabs>
            <w:rPr>
              <w:rFonts w:asciiTheme="minorHAnsi" w:hAnsiTheme="minorHAnsi" w:cstheme="minorBidi"/>
              <w:noProof/>
              <w:kern w:val="2"/>
              <w:sz w:val="24"/>
              <w:szCs w:val="24"/>
              <w14:ligatures w14:val="standardContextual"/>
            </w:rPr>
          </w:pPr>
          <w:hyperlink w:history="1" w:anchor="_Toc230872056">
            <w:r w:rsidRPr="006B4C3F">
              <w:rPr>
                <w:rStyle w:val="Hyperlink"/>
                <w:noProof/>
              </w:rPr>
              <w:t>6.2.</w:t>
            </w:r>
            <w:r>
              <w:rPr>
                <w:rFonts w:asciiTheme="minorHAnsi" w:hAnsiTheme="minorHAnsi" w:cstheme="minorBidi"/>
                <w:noProof/>
                <w:kern w:val="2"/>
                <w:sz w:val="24"/>
                <w:szCs w:val="24"/>
                <w14:ligatures w14:val="standardContextual"/>
              </w:rPr>
              <w:tab/>
            </w:r>
            <w:r w:rsidRPr="006B4C3F">
              <w:rPr>
                <w:rStyle w:val="Hyperlink"/>
                <w:noProof/>
              </w:rPr>
              <w:t>SDG&amp;E’S CARE Program</w:t>
            </w:r>
            <w:r>
              <w:rPr>
                <w:noProof/>
                <w:webHidden/>
              </w:rPr>
              <w:tab/>
            </w:r>
            <w:r>
              <w:rPr>
                <w:noProof/>
                <w:webHidden/>
              </w:rPr>
              <w:fldChar w:fldCharType="begin"/>
            </w:r>
            <w:r>
              <w:rPr>
                <w:noProof/>
                <w:webHidden/>
              </w:rPr>
              <w:instrText xml:space="preserve"> PAGEREF _Toc230872056 \h </w:instrText>
            </w:r>
            <w:r>
              <w:rPr>
                <w:noProof/>
                <w:webHidden/>
              </w:rPr>
            </w:r>
            <w:r>
              <w:rPr>
                <w:noProof/>
                <w:webHidden/>
              </w:rPr>
              <w:fldChar w:fldCharType="separate"/>
            </w:r>
            <w:r w:rsidR="0059060B">
              <w:rPr>
                <w:noProof/>
                <w:webHidden/>
              </w:rPr>
              <w:t>14</w:t>
            </w:r>
            <w:r>
              <w:rPr>
                <w:noProof/>
                <w:webHidden/>
              </w:rPr>
              <w:fldChar w:fldCharType="end"/>
            </w:r>
          </w:hyperlink>
        </w:p>
        <w:p w:rsidR="00785D8C" w:rsidRDefault="00785D8C" w14:paraId="31A0D041" w14:textId="55CFC10D">
          <w:pPr>
            <w:pStyle w:val="TOC2"/>
            <w:tabs>
              <w:tab w:val="right" w:leader="dot" w:pos="9350"/>
            </w:tabs>
            <w:rPr>
              <w:rFonts w:asciiTheme="minorHAnsi" w:hAnsiTheme="minorHAnsi" w:cstheme="minorBidi"/>
              <w:noProof/>
              <w:kern w:val="2"/>
              <w:sz w:val="24"/>
              <w:szCs w:val="24"/>
              <w14:ligatures w14:val="standardContextual"/>
            </w:rPr>
          </w:pPr>
          <w:hyperlink w:history="1" w:anchor="_Toc230872057">
            <w:r w:rsidRPr="006B4C3F">
              <w:rPr>
                <w:rStyle w:val="Hyperlink"/>
                <w:noProof/>
              </w:rPr>
              <w:t>6.3.</w:t>
            </w:r>
            <w:r>
              <w:rPr>
                <w:rFonts w:asciiTheme="minorHAnsi" w:hAnsiTheme="minorHAnsi" w:cstheme="minorBidi"/>
                <w:noProof/>
                <w:kern w:val="2"/>
                <w:sz w:val="24"/>
                <w:szCs w:val="24"/>
                <w14:ligatures w14:val="standardContextual"/>
              </w:rPr>
              <w:tab/>
            </w:r>
            <w:r w:rsidRPr="006B4C3F">
              <w:rPr>
                <w:rStyle w:val="Hyperlink"/>
                <w:noProof/>
              </w:rPr>
              <w:t>SCE’S CARE Program</w:t>
            </w:r>
            <w:r>
              <w:rPr>
                <w:noProof/>
                <w:webHidden/>
              </w:rPr>
              <w:tab/>
            </w:r>
            <w:r>
              <w:rPr>
                <w:noProof/>
                <w:webHidden/>
              </w:rPr>
              <w:fldChar w:fldCharType="begin"/>
            </w:r>
            <w:r>
              <w:rPr>
                <w:noProof/>
                <w:webHidden/>
              </w:rPr>
              <w:instrText xml:space="preserve"> PAGEREF _Toc230872057 \h </w:instrText>
            </w:r>
            <w:r>
              <w:rPr>
                <w:noProof/>
                <w:webHidden/>
              </w:rPr>
            </w:r>
            <w:r>
              <w:rPr>
                <w:noProof/>
                <w:webHidden/>
              </w:rPr>
              <w:fldChar w:fldCharType="separate"/>
            </w:r>
            <w:r w:rsidR="0059060B">
              <w:rPr>
                <w:noProof/>
                <w:webHidden/>
              </w:rPr>
              <w:t>14</w:t>
            </w:r>
            <w:r>
              <w:rPr>
                <w:noProof/>
                <w:webHidden/>
              </w:rPr>
              <w:fldChar w:fldCharType="end"/>
            </w:r>
          </w:hyperlink>
        </w:p>
        <w:p w:rsidR="00785D8C" w:rsidRDefault="00785D8C" w14:paraId="01621B18" w14:textId="2E0B34C7">
          <w:pPr>
            <w:pStyle w:val="TOC2"/>
            <w:tabs>
              <w:tab w:val="right" w:leader="dot" w:pos="9350"/>
            </w:tabs>
            <w:rPr>
              <w:rFonts w:asciiTheme="minorHAnsi" w:hAnsiTheme="minorHAnsi" w:cstheme="minorBidi"/>
              <w:noProof/>
              <w:kern w:val="2"/>
              <w:sz w:val="24"/>
              <w:szCs w:val="24"/>
              <w14:ligatures w14:val="standardContextual"/>
            </w:rPr>
          </w:pPr>
          <w:hyperlink w:history="1" w:anchor="_Toc230872058">
            <w:r w:rsidRPr="006B4C3F">
              <w:rPr>
                <w:rStyle w:val="Hyperlink"/>
                <w:noProof/>
              </w:rPr>
              <w:t>6.4.</w:t>
            </w:r>
            <w:r>
              <w:rPr>
                <w:rFonts w:asciiTheme="minorHAnsi" w:hAnsiTheme="minorHAnsi" w:cstheme="minorBidi"/>
                <w:noProof/>
                <w:kern w:val="2"/>
                <w:sz w:val="24"/>
                <w:szCs w:val="24"/>
                <w14:ligatures w14:val="standardContextual"/>
              </w:rPr>
              <w:tab/>
            </w:r>
            <w:r w:rsidRPr="006B4C3F">
              <w:rPr>
                <w:rStyle w:val="Hyperlink"/>
                <w:noProof/>
              </w:rPr>
              <w:t>SoCalGas’ CARE Program</w:t>
            </w:r>
            <w:r>
              <w:rPr>
                <w:noProof/>
                <w:webHidden/>
              </w:rPr>
              <w:tab/>
            </w:r>
            <w:r>
              <w:rPr>
                <w:noProof/>
                <w:webHidden/>
              </w:rPr>
              <w:fldChar w:fldCharType="begin"/>
            </w:r>
            <w:r>
              <w:rPr>
                <w:noProof/>
                <w:webHidden/>
              </w:rPr>
              <w:instrText xml:space="preserve"> PAGEREF _Toc230872058 \h </w:instrText>
            </w:r>
            <w:r>
              <w:rPr>
                <w:noProof/>
                <w:webHidden/>
              </w:rPr>
            </w:r>
            <w:r>
              <w:rPr>
                <w:noProof/>
                <w:webHidden/>
              </w:rPr>
              <w:fldChar w:fldCharType="separate"/>
            </w:r>
            <w:r w:rsidR="0059060B">
              <w:rPr>
                <w:noProof/>
                <w:webHidden/>
              </w:rPr>
              <w:t>14</w:t>
            </w:r>
            <w:r>
              <w:rPr>
                <w:noProof/>
                <w:webHidden/>
              </w:rPr>
              <w:fldChar w:fldCharType="end"/>
            </w:r>
          </w:hyperlink>
        </w:p>
        <w:p w:rsidR="00785D8C" w:rsidRDefault="00785D8C" w14:paraId="2BB61427" w14:textId="274B5246">
          <w:pPr>
            <w:pStyle w:val="TOC2"/>
            <w:tabs>
              <w:tab w:val="right" w:leader="dot" w:pos="9350"/>
            </w:tabs>
            <w:rPr>
              <w:rFonts w:asciiTheme="minorHAnsi" w:hAnsiTheme="minorHAnsi" w:cstheme="minorBidi"/>
              <w:noProof/>
              <w:kern w:val="2"/>
              <w:sz w:val="24"/>
              <w:szCs w:val="24"/>
              <w14:ligatures w14:val="standardContextual"/>
            </w:rPr>
          </w:pPr>
          <w:hyperlink w:history="1" w:anchor="_Toc230872059">
            <w:r w:rsidRPr="006B4C3F">
              <w:rPr>
                <w:rStyle w:val="Hyperlink"/>
                <w:noProof/>
              </w:rPr>
              <w:t>6.5.</w:t>
            </w:r>
            <w:r>
              <w:rPr>
                <w:rFonts w:asciiTheme="minorHAnsi" w:hAnsiTheme="minorHAnsi" w:cstheme="minorBidi"/>
                <w:noProof/>
                <w:kern w:val="2"/>
                <w:sz w:val="24"/>
                <w:szCs w:val="24"/>
                <w14:ligatures w14:val="standardContextual"/>
              </w:rPr>
              <w:tab/>
            </w:r>
            <w:r w:rsidRPr="006B4C3F">
              <w:rPr>
                <w:rStyle w:val="Hyperlink"/>
                <w:noProof/>
              </w:rPr>
              <w:t>Party Comments and Discussion</w:t>
            </w:r>
            <w:r>
              <w:rPr>
                <w:noProof/>
                <w:webHidden/>
              </w:rPr>
              <w:tab/>
            </w:r>
            <w:r>
              <w:rPr>
                <w:noProof/>
                <w:webHidden/>
              </w:rPr>
              <w:fldChar w:fldCharType="begin"/>
            </w:r>
            <w:r>
              <w:rPr>
                <w:noProof/>
                <w:webHidden/>
              </w:rPr>
              <w:instrText xml:space="preserve"> PAGEREF _Toc230872059 \h </w:instrText>
            </w:r>
            <w:r>
              <w:rPr>
                <w:noProof/>
                <w:webHidden/>
              </w:rPr>
            </w:r>
            <w:r>
              <w:rPr>
                <w:noProof/>
                <w:webHidden/>
              </w:rPr>
              <w:fldChar w:fldCharType="separate"/>
            </w:r>
            <w:r w:rsidR="0059060B">
              <w:rPr>
                <w:noProof/>
                <w:webHidden/>
              </w:rPr>
              <w:t>15</w:t>
            </w:r>
            <w:r>
              <w:rPr>
                <w:noProof/>
                <w:webHidden/>
              </w:rPr>
              <w:fldChar w:fldCharType="end"/>
            </w:r>
          </w:hyperlink>
        </w:p>
        <w:p w:rsidR="00785D8C" w:rsidRDefault="00785D8C" w14:paraId="032FEAFF" w14:textId="3D5697B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0872060">
            <w:r w:rsidRPr="006B4C3F">
              <w:rPr>
                <w:rStyle w:val="Hyperlink"/>
                <w:noProof/>
              </w:rPr>
              <w:t>6.5.1.</w:t>
            </w:r>
            <w:r>
              <w:rPr>
                <w:rFonts w:asciiTheme="minorHAnsi" w:hAnsiTheme="minorHAnsi" w:cstheme="minorBidi"/>
                <w:noProof/>
                <w:kern w:val="2"/>
                <w:sz w:val="24"/>
                <w:szCs w:val="24"/>
                <w14:ligatures w14:val="standardContextual"/>
              </w:rPr>
              <w:tab/>
            </w:r>
            <w:r w:rsidRPr="006B4C3F">
              <w:rPr>
                <w:rStyle w:val="Hyperlink"/>
                <w:noProof/>
              </w:rPr>
              <w:t>CARE Activities</w:t>
            </w:r>
            <w:r>
              <w:rPr>
                <w:noProof/>
                <w:webHidden/>
              </w:rPr>
              <w:tab/>
            </w:r>
            <w:r>
              <w:rPr>
                <w:noProof/>
                <w:webHidden/>
              </w:rPr>
              <w:fldChar w:fldCharType="begin"/>
            </w:r>
            <w:r>
              <w:rPr>
                <w:noProof/>
                <w:webHidden/>
              </w:rPr>
              <w:instrText xml:space="preserve"> PAGEREF _Toc230872060 \h </w:instrText>
            </w:r>
            <w:r>
              <w:rPr>
                <w:noProof/>
                <w:webHidden/>
              </w:rPr>
            </w:r>
            <w:r>
              <w:rPr>
                <w:noProof/>
                <w:webHidden/>
              </w:rPr>
              <w:fldChar w:fldCharType="separate"/>
            </w:r>
            <w:r w:rsidR="0059060B">
              <w:rPr>
                <w:noProof/>
                <w:webHidden/>
              </w:rPr>
              <w:t>15</w:t>
            </w:r>
            <w:r>
              <w:rPr>
                <w:noProof/>
                <w:webHidden/>
              </w:rPr>
              <w:fldChar w:fldCharType="end"/>
            </w:r>
          </w:hyperlink>
        </w:p>
        <w:p w:rsidR="00785D8C" w:rsidRDefault="00785D8C" w14:paraId="6056FAE9" w14:textId="585467F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0872061">
            <w:r w:rsidRPr="006B4C3F">
              <w:rPr>
                <w:rStyle w:val="Hyperlink"/>
                <w:noProof/>
              </w:rPr>
              <w:t>6.5.2.</w:t>
            </w:r>
            <w:r>
              <w:rPr>
                <w:rFonts w:asciiTheme="minorHAnsi" w:hAnsiTheme="minorHAnsi" w:cstheme="minorBidi"/>
                <w:noProof/>
                <w:kern w:val="2"/>
                <w:sz w:val="24"/>
                <w:szCs w:val="24"/>
                <w14:ligatures w14:val="standardContextual"/>
              </w:rPr>
              <w:tab/>
            </w:r>
            <w:r w:rsidRPr="006B4C3F">
              <w:rPr>
                <w:rStyle w:val="Hyperlink"/>
                <w:noProof/>
              </w:rPr>
              <w:t>CARE Budget</w:t>
            </w:r>
            <w:r>
              <w:rPr>
                <w:noProof/>
                <w:webHidden/>
              </w:rPr>
              <w:tab/>
            </w:r>
            <w:r>
              <w:rPr>
                <w:noProof/>
                <w:webHidden/>
              </w:rPr>
              <w:fldChar w:fldCharType="begin"/>
            </w:r>
            <w:r>
              <w:rPr>
                <w:noProof/>
                <w:webHidden/>
              </w:rPr>
              <w:instrText xml:space="preserve"> PAGEREF _Toc230872061 \h </w:instrText>
            </w:r>
            <w:r>
              <w:rPr>
                <w:noProof/>
                <w:webHidden/>
              </w:rPr>
            </w:r>
            <w:r>
              <w:rPr>
                <w:noProof/>
                <w:webHidden/>
              </w:rPr>
              <w:fldChar w:fldCharType="separate"/>
            </w:r>
            <w:r w:rsidR="0059060B">
              <w:rPr>
                <w:noProof/>
                <w:webHidden/>
              </w:rPr>
              <w:t>15</w:t>
            </w:r>
            <w:r>
              <w:rPr>
                <w:noProof/>
                <w:webHidden/>
              </w:rPr>
              <w:fldChar w:fldCharType="end"/>
            </w:r>
          </w:hyperlink>
        </w:p>
        <w:p w:rsidR="00785D8C" w:rsidRDefault="00785D8C" w14:paraId="03E49CAC" w14:textId="1C185AC6">
          <w:pPr>
            <w:pStyle w:val="TOC1"/>
            <w:tabs>
              <w:tab w:val="right" w:leader="dot" w:pos="9350"/>
            </w:tabs>
            <w:rPr>
              <w:rFonts w:asciiTheme="minorHAnsi" w:hAnsiTheme="minorHAnsi" w:cstheme="minorBidi"/>
              <w:noProof/>
              <w:kern w:val="2"/>
              <w:sz w:val="24"/>
              <w:szCs w:val="24"/>
              <w14:ligatures w14:val="standardContextual"/>
            </w:rPr>
          </w:pPr>
          <w:hyperlink w:history="1" w:anchor="_Toc230872062">
            <w:r w:rsidRPr="006B4C3F">
              <w:rPr>
                <w:rStyle w:val="Hyperlink"/>
                <w:noProof/>
              </w:rPr>
              <w:t>7.</w:t>
            </w:r>
            <w:r>
              <w:rPr>
                <w:rFonts w:asciiTheme="minorHAnsi" w:hAnsiTheme="minorHAnsi" w:cstheme="minorBidi"/>
                <w:noProof/>
                <w:kern w:val="2"/>
                <w:sz w:val="24"/>
                <w:szCs w:val="24"/>
                <w14:ligatures w14:val="standardContextual"/>
              </w:rPr>
              <w:tab/>
            </w:r>
            <w:r w:rsidRPr="006B4C3F">
              <w:rPr>
                <w:rStyle w:val="Hyperlink"/>
                <w:noProof/>
              </w:rPr>
              <w:t>FERA</w:t>
            </w:r>
            <w:r>
              <w:rPr>
                <w:noProof/>
                <w:webHidden/>
              </w:rPr>
              <w:tab/>
            </w:r>
            <w:r>
              <w:rPr>
                <w:noProof/>
                <w:webHidden/>
              </w:rPr>
              <w:fldChar w:fldCharType="begin"/>
            </w:r>
            <w:r>
              <w:rPr>
                <w:noProof/>
                <w:webHidden/>
              </w:rPr>
              <w:instrText xml:space="preserve"> PAGEREF _Toc230872062 \h </w:instrText>
            </w:r>
            <w:r>
              <w:rPr>
                <w:noProof/>
                <w:webHidden/>
              </w:rPr>
            </w:r>
            <w:r>
              <w:rPr>
                <w:noProof/>
                <w:webHidden/>
              </w:rPr>
              <w:fldChar w:fldCharType="separate"/>
            </w:r>
            <w:r w:rsidR="0059060B">
              <w:rPr>
                <w:noProof/>
                <w:webHidden/>
              </w:rPr>
              <w:t>16</w:t>
            </w:r>
            <w:r>
              <w:rPr>
                <w:noProof/>
                <w:webHidden/>
              </w:rPr>
              <w:fldChar w:fldCharType="end"/>
            </w:r>
          </w:hyperlink>
        </w:p>
        <w:p w:rsidR="00785D8C" w:rsidRDefault="00785D8C" w14:paraId="745B2103" w14:textId="5FA36961">
          <w:pPr>
            <w:pStyle w:val="TOC2"/>
            <w:tabs>
              <w:tab w:val="right" w:leader="dot" w:pos="9350"/>
            </w:tabs>
            <w:rPr>
              <w:rFonts w:asciiTheme="minorHAnsi" w:hAnsiTheme="minorHAnsi" w:cstheme="minorBidi"/>
              <w:noProof/>
              <w:kern w:val="2"/>
              <w:sz w:val="24"/>
              <w:szCs w:val="24"/>
              <w14:ligatures w14:val="standardContextual"/>
            </w:rPr>
          </w:pPr>
          <w:hyperlink w:history="1" w:anchor="_Toc230872063">
            <w:r w:rsidRPr="006B4C3F">
              <w:rPr>
                <w:rStyle w:val="Hyperlink"/>
                <w:noProof/>
              </w:rPr>
              <w:t>7.1.</w:t>
            </w:r>
            <w:r>
              <w:rPr>
                <w:rFonts w:asciiTheme="minorHAnsi" w:hAnsiTheme="minorHAnsi" w:cstheme="minorBidi"/>
                <w:noProof/>
                <w:kern w:val="2"/>
                <w:sz w:val="24"/>
                <w:szCs w:val="24"/>
                <w14:ligatures w14:val="standardContextual"/>
              </w:rPr>
              <w:tab/>
            </w:r>
            <w:r w:rsidRPr="006B4C3F">
              <w:rPr>
                <w:rStyle w:val="Hyperlink"/>
                <w:noProof/>
              </w:rPr>
              <w:t>PG&amp;E’S FERA Program</w:t>
            </w:r>
            <w:r>
              <w:rPr>
                <w:noProof/>
                <w:webHidden/>
              </w:rPr>
              <w:tab/>
            </w:r>
            <w:r>
              <w:rPr>
                <w:noProof/>
                <w:webHidden/>
              </w:rPr>
              <w:fldChar w:fldCharType="begin"/>
            </w:r>
            <w:r>
              <w:rPr>
                <w:noProof/>
                <w:webHidden/>
              </w:rPr>
              <w:instrText xml:space="preserve"> PAGEREF _Toc230872063 \h </w:instrText>
            </w:r>
            <w:r>
              <w:rPr>
                <w:noProof/>
                <w:webHidden/>
              </w:rPr>
            </w:r>
            <w:r>
              <w:rPr>
                <w:noProof/>
                <w:webHidden/>
              </w:rPr>
              <w:fldChar w:fldCharType="separate"/>
            </w:r>
            <w:r w:rsidR="0059060B">
              <w:rPr>
                <w:noProof/>
                <w:webHidden/>
              </w:rPr>
              <w:t>18</w:t>
            </w:r>
            <w:r>
              <w:rPr>
                <w:noProof/>
                <w:webHidden/>
              </w:rPr>
              <w:fldChar w:fldCharType="end"/>
            </w:r>
          </w:hyperlink>
        </w:p>
        <w:p w:rsidR="00785D8C" w:rsidRDefault="00785D8C" w14:paraId="670E6893" w14:textId="0EEB77D9">
          <w:pPr>
            <w:pStyle w:val="TOC2"/>
            <w:tabs>
              <w:tab w:val="right" w:leader="dot" w:pos="9350"/>
            </w:tabs>
            <w:rPr>
              <w:rFonts w:asciiTheme="minorHAnsi" w:hAnsiTheme="minorHAnsi" w:cstheme="minorBidi"/>
              <w:noProof/>
              <w:kern w:val="2"/>
              <w:sz w:val="24"/>
              <w:szCs w:val="24"/>
              <w14:ligatures w14:val="standardContextual"/>
            </w:rPr>
          </w:pPr>
          <w:hyperlink w:history="1" w:anchor="_Toc230872064">
            <w:r w:rsidRPr="006B4C3F">
              <w:rPr>
                <w:rStyle w:val="Hyperlink"/>
                <w:noProof/>
              </w:rPr>
              <w:t>7.2.</w:t>
            </w:r>
            <w:r>
              <w:rPr>
                <w:rFonts w:asciiTheme="minorHAnsi" w:hAnsiTheme="minorHAnsi" w:cstheme="minorBidi"/>
                <w:noProof/>
                <w:kern w:val="2"/>
                <w:sz w:val="24"/>
                <w:szCs w:val="24"/>
                <w14:ligatures w14:val="standardContextual"/>
              </w:rPr>
              <w:tab/>
            </w:r>
            <w:r w:rsidRPr="006B4C3F">
              <w:rPr>
                <w:rStyle w:val="Hyperlink"/>
                <w:noProof/>
              </w:rPr>
              <w:t>SDG&amp;E’S FERA Program</w:t>
            </w:r>
            <w:r>
              <w:rPr>
                <w:noProof/>
                <w:webHidden/>
              </w:rPr>
              <w:tab/>
            </w:r>
            <w:r>
              <w:rPr>
                <w:noProof/>
                <w:webHidden/>
              </w:rPr>
              <w:fldChar w:fldCharType="begin"/>
            </w:r>
            <w:r>
              <w:rPr>
                <w:noProof/>
                <w:webHidden/>
              </w:rPr>
              <w:instrText xml:space="preserve"> PAGEREF _Toc230872064 \h </w:instrText>
            </w:r>
            <w:r>
              <w:rPr>
                <w:noProof/>
                <w:webHidden/>
              </w:rPr>
            </w:r>
            <w:r>
              <w:rPr>
                <w:noProof/>
                <w:webHidden/>
              </w:rPr>
              <w:fldChar w:fldCharType="separate"/>
            </w:r>
            <w:r w:rsidR="0059060B">
              <w:rPr>
                <w:noProof/>
                <w:webHidden/>
              </w:rPr>
              <w:t>18</w:t>
            </w:r>
            <w:r>
              <w:rPr>
                <w:noProof/>
                <w:webHidden/>
              </w:rPr>
              <w:fldChar w:fldCharType="end"/>
            </w:r>
          </w:hyperlink>
        </w:p>
        <w:p w:rsidR="00785D8C" w:rsidRDefault="00785D8C" w14:paraId="2ECEAC3D" w14:textId="5E4C3874">
          <w:pPr>
            <w:pStyle w:val="TOC2"/>
            <w:tabs>
              <w:tab w:val="right" w:leader="dot" w:pos="9350"/>
            </w:tabs>
            <w:rPr>
              <w:rFonts w:asciiTheme="minorHAnsi" w:hAnsiTheme="minorHAnsi" w:cstheme="minorBidi"/>
              <w:noProof/>
              <w:kern w:val="2"/>
              <w:sz w:val="24"/>
              <w:szCs w:val="24"/>
              <w14:ligatures w14:val="standardContextual"/>
            </w:rPr>
          </w:pPr>
          <w:hyperlink w:history="1" w:anchor="_Toc230872065">
            <w:r w:rsidRPr="006B4C3F">
              <w:rPr>
                <w:rStyle w:val="Hyperlink"/>
                <w:noProof/>
              </w:rPr>
              <w:t>7.3.</w:t>
            </w:r>
            <w:r>
              <w:rPr>
                <w:rFonts w:asciiTheme="minorHAnsi" w:hAnsiTheme="minorHAnsi" w:cstheme="minorBidi"/>
                <w:noProof/>
                <w:kern w:val="2"/>
                <w:sz w:val="24"/>
                <w:szCs w:val="24"/>
                <w14:ligatures w14:val="standardContextual"/>
              </w:rPr>
              <w:tab/>
            </w:r>
            <w:r w:rsidRPr="006B4C3F">
              <w:rPr>
                <w:rStyle w:val="Hyperlink"/>
                <w:noProof/>
              </w:rPr>
              <w:t>SCE FERA Program</w:t>
            </w:r>
            <w:r>
              <w:rPr>
                <w:noProof/>
                <w:webHidden/>
              </w:rPr>
              <w:tab/>
            </w:r>
            <w:r>
              <w:rPr>
                <w:noProof/>
                <w:webHidden/>
              </w:rPr>
              <w:fldChar w:fldCharType="begin"/>
            </w:r>
            <w:r>
              <w:rPr>
                <w:noProof/>
                <w:webHidden/>
              </w:rPr>
              <w:instrText xml:space="preserve"> PAGEREF _Toc230872065 \h </w:instrText>
            </w:r>
            <w:r>
              <w:rPr>
                <w:noProof/>
                <w:webHidden/>
              </w:rPr>
            </w:r>
            <w:r>
              <w:rPr>
                <w:noProof/>
                <w:webHidden/>
              </w:rPr>
              <w:fldChar w:fldCharType="separate"/>
            </w:r>
            <w:r w:rsidR="0059060B">
              <w:rPr>
                <w:noProof/>
                <w:webHidden/>
              </w:rPr>
              <w:t>19</w:t>
            </w:r>
            <w:r>
              <w:rPr>
                <w:noProof/>
                <w:webHidden/>
              </w:rPr>
              <w:fldChar w:fldCharType="end"/>
            </w:r>
          </w:hyperlink>
        </w:p>
        <w:p w:rsidR="00785D8C" w:rsidRDefault="00785D8C" w14:paraId="49B27C06" w14:textId="56ECC62D">
          <w:pPr>
            <w:pStyle w:val="TOC2"/>
            <w:tabs>
              <w:tab w:val="right" w:leader="dot" w:pos="9350"/>
            </w:tabs>
            <w:rPr>
              <w:rFonts w:asciiTheme="minorHAnsi" w:hAnsiTheme="minorHAnsi" w:cstheme="minorBidi"/>
              <w:noProof/>
              <w:kern w:val="2"/>
              <w:sz w:val="24"/>
              <w:szCs w:val="24"/>
              <w14:ligatures w14:val="standardContextual"/>
            </w:rPr>
          </w:pPr>
          <w:hyperlink w:history="1" w:anchor="_Toc230872066">
            <w:r w:rsidRPr="006B4C3F">
              <w:rPr>
                <w:rStyle w:val="Hyperlink"/>
                <w:noProof/>
              </w:rPr>
              <w:t>7.4.</w:t>
            </w:r>
            <w:r>
              <w:rPr>
                <w:rFonts w:asciiTheme="minorHAnsi" w:hAnsiTheme="minorHAnsi" w:cstheme="minorBidi"/>
                <w:noProof/>
                <w:kern w:val="2"/>
                <w:sz w:val="24"/>
                <w:szCs w:val="24"/>
                <w14:ligatures w14:val="standardContextual"/>
              </w:rPr>
              <w:tab/>
            </w:r>
            <w:r w:rsidRPr="006B4C3F">
              <w:rPr>
                <w:rStyle w:val="Hyperlink"/>
                <w:noProof/>
              </w:rPr>
              <w:t>SoCalGas’ FERA Program</w:t>
            </w:r>
            <w:r>
              <w:rPr>
                <w:noProof/>
                <w:webHidden/>
              </w:rPr>
              <w:tab/>
            </w:r>
            <w:r>
              <w:rPr>
                <w:noProof/>
                <w:webHidden/>
              </w:rPr>
              <w:fldChar w:fldCharType="begin"/>
            </w:r>
            <w:r>
              <w:rPr>
                <w:noProof/>
                <w:webHidden/>
              </w:rPr>
              <w:instrText xml:space="preserve"> PAGEREF _Toc230872066 \h </w:instrText>
            </w:r>
            <w:r>
              <w:rPr>
                <w:noProof/>
                <w:webHidden/>
              </w:rPr>
            </w:r>
            <w:r>
              <w:rPr>
                <w:noProof/>
                <w:webHidden/>
              </w:rPr>
              <w:fldChar w:fldCharType="separate"/>
            </w:r>
            <w:r w:rsidR="0059060B">
              <w:rPr>
                <w:noProof/>
                <w:webHidden/>
              </w:rPr>
              <w:t>19</w:t>
            </w:r>
            <w:r>
              <w:rPr>
                <w:noProof/>
                <w:webHidden/>
              </w:rPr>
              <w:fldChar w:fldCharType="end"/>
            </w:r>
          </w:hyperlink>
        </w:p>
        <w:p w:rsidR="00785D8C" w:rsidRDefault="00785D8C" w14:paraId="5F4CC02E" w14:textId="715EDC28">
          <w:pPr>
            <w:pStyle w:val="TOC2"/>
            <w:tabs>
              <w:tab w:val="right" w:leader="dot" w:pos="9350"/>
            </w:tabs>
            <w:rPr>
              <w:rFonts w:asciiTheme="minorHAnsi" w:hAnsiTheme="minorHAnsi" w:cstheme="minorBidi"/>
              <w:noProof/>
              <w:kern w:val="2"/>
              <w:sz w:val="24"/>
              <w:szCs w:val="24"/>
              <w14:ligatures w14:val="standardContextual"/>
            </w:rPr>
          </w:pPr>
          <w:hyperlink w:history="1" w:anchor="_Toc230872067">
            <w:r w:rsidRPr="006B4C3F">
              <w:rPr>
                <w:rStyle w:val="Hyperlink"/>
                <w:noProof/>
              </w:rPr>
              <w:t>7.5.</w:t>
            </w:r>
            <w:r>
              <w:rPr>
                <w:rFonts w:asciiTheme="minorHAnsi" w:hAnsiTheme="minorHAnsi" w:cstheme="minorBidi"/>
                <w:noProof/>
                <w:kern w:val="2"/>
                <w:sz w:val="24"/>
                <w:szCs w:val="24"/>
                <w14:ligatures w14:val="standardContextual"/>
              </w:rPr>
              <w:tab/>
            </w:r>
            <w:r w:rsidRPr="006B4C3F">
              <w:rPr>
                <w:rStyle w:val="Hyperlink"/>
                <w:noProof/>
              </w:rPr>
              <w:t>Party Comments and Discussion</w:t>
            </w:r>
            <w:r>
              <w:rPr>
                <w:noProof/>
                <w:webHidden/>
              </w:rPr>
              <w:tab/>
            </w:r>
            <w:r>
              <w:rPr>
                <w:noProof/>
                <w:webHidden/>
              </w:rPr>
              <w:fldChar w:fldCharType="begin"/>
            </w:r>
            <w:r>
              <w:rPr>
                <w:noProof/>
                <w:webHidden/>
              </w:rPr>
              <w:instrText xml:space="preserve"> PAGEREF _Toc230872067 \h </w:instrText>
            </w:r>
            <w:r>
              <w:rPr>
                <w:noProof/>
                <w:webHidden/>
              </w:rPr>
            </w:r>
            <w:r>
              <w:rPr>
                <w:noProof/>
                <w:webHidden/>
              </w:rPr>
              <w:fldChar w:fldCharType="separate"/>
            </w:r>
            <w:r w:rsidR="0059060B">
              <w:rPr>
                <w:noProof/>
                <w:webHidden/>
              </w:rPr>
              <w:t>19</w:t>
            </w:r>
            <w:r>
              <w:rPr>
                <w:noProof/>
                <w:webHidden/>
              </w:rPr>
              <w:fldChar w:fldCharType="end"/>
            </w:r>
          </w:hyperlink>
        </w:p>
        <w:p w:rsidR="00785D8C" w:rsidRDefault="00785D8C" w14:paraId="1E7581ED" w14:textId="753ED0C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0872068">
            <w:r w:rsidRPr="006B4C3F">
              <w:rPr>
                <w:rStyle w:val="Hyperlink"/>
                <w:noProof/>
              </w:rPr>
              <w:t>7.5.1.</w:t>
            </w:r>
            <w:r>
              <w:rPr>
                <w:rFonts w:asciiTheme="minorHAnsi" w:hAnsiTheme="minorHAnsi" w:cstheme="minorBidi"/>
                <w:noProof/>
                <w:kern w:val="2"/>
                <w:sz w:val="24"/>
                <w:szCs w:val="24"/>
                <w14:ligatures w14:val="standardContextual"/>
              </w:rPr>
              <w:tab/>
            </w:r>
            <w:r w:rsidRPr="006B4C3F">
              <w:rPr>
                <w:rStyle w:val="Hyperlink"/>
                <w:noProof/>
              </w:rPr>
              <w:t>FERA Activities</w:t>
            </w:r>
            <w:r>
              <w:rPr>
                <w:noProof/>
                <w:webHidden/>
              </w:rPr>
              <w:tab/>
            </w:r>
            <w:r>
              <w:rPr>
                <w:noProof/>
                <w:webHidden/>
              </w:rPr>
              <w:fldChar w:fldCharType="begin"/>
            </w:r>
            <w:r>
              <w:rPr>
                <w:noProof/>
                <w:webHidden/>
              </w:rPr>
              <w:instrText xml:space="preserve"> PAGEREF _Toc230872068 \h </w:instrText>
            </w:r>
            <w:r>
              <w:rPr>
                <w:noProof/>
                <w:webHidden/>
              </w:rPr>
            </w:r>
            <w:r>
              <w:rPr>
                <w:noProof/>
                <w:webHidden/>
              </w:rPr>
              <w:fldChar w:fldCharType="separate"/>
            </w:r>
            <w:r w:rsidR="0059060B">
              <w:rPr>
                <w:noProof/>
                <w:webHidden/>
              </w:rPr>
              <w:t>19</w:t>
            </w:r>
            <w:r>
              <w:rPr>
                <w:noProof/>
                <w:webHidden/>
              </w:rPr>
              <w:fldChar w:fldCharType="end"/>
            </w:r>
          </w:hyperlink>
        </w:p>
        <w:p w:rsidR="00785D8C" w:rsidRDefault="00785D8C" w14:paraId="1D061314" w14:textId="6117958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0872069">
            <w:r w:rsidRPr="006B4C3F">
              <w:rPr>
                <w:rStyle w:val="Hyperlink"/>
                <w:noProof/>
              </w:rPr>
              <w:t>7.5.2.</w:t>
            </w:r>
            <w:r>
              <w:rPr>
                <w:rFonts w:asciiTheme="minorHAnsi" w:hAnsiTheme="minorHAnsi" w:cstheme="minorBidi"/>
                <w:noProof/>
                <w:kern w:val="2"/>
                <w:sz w:val="24"/>
                <w:szCs w:val="24"/>
                <w14:ligatures w14:val="standardContextual"/>
              </w:rPr>
              <w:tab/>
            </w:r>
            <w:r w:rsidRPr="006B4C3F">
              <w:rPr>
                <w:rStyle w:val="Hyperlink"/>
                <w:noProof/>
              </w:rPr>
              <w:t>FERA Budget</w:t>
            </w:r>
            <w:r>
              <w:rPr>
                <w:noProof/>
                <w:webHidden/>
              </w:rPr>
              <w:tab/>
            </w:r>
            <w:r>
              <w:rPr>
                <w:noProof/>
                <w:webHidden/>
              </w:rPr>
              <w:fldChar w:fldCharType="begin"/>
            </w:r>
            <w:r>
              <w:rPr>
                <w:noProof/>
                <w:webHidden/>
              </w:rPr>
              <w:instrText xml:space="preserve"> PAGEREF _Toc230872069 \h </w:instrText>
            </w:r>
            <w:r>
              <w:rPr>
                <w:noProof/>
                <w:webHidden/>
              </w:rPr>
            </w:r>
            <w:r>
              <w:rPr>
                <w:noProof/>
                <w:webHidden/>
              </w:rPr>
              <w:fldChar w:fldCharType="separate"/>
            </w:r>
            <w:r w:rsidR="0059060B">
              <w:rPr>
                <w:noProof/>
                <w:webHidden/>
              </w:rPr>
              <w:t>20</w:t>
            </w:r>
            <w:r>
              <w:rPr>
                <w:noProof/>
                <w:webHidden/>
              </w:rPr>
              <w:fldChar w:fldCharType="end"/>
            </w:r>
          </w:hyperlink>
        </w:p>
        <w:p w:rsidR="00785D8C" w:rsidRDefault="00785D8C" w14:paraId="0D169FAA" w14:textId="641A14EF">
          <w:pPr>
            <w:pStyle w:val="TOC2"/>
            <w:tabs>
              <w:tab w:val="right" w:leader="dot" w:pos="9350"/>
            </w:tabs>
            <w:rPr>
              <w:rFonts w:asciiTheme="minorHAnsi" w:hAnsiTheme="minorHAnsi" w:cstheme="minorBidi"/>
              <w:noProof/>
              <w:kern w:val="2"/>
              <w:sz w:val="24"/>
              <w:szCs w:val="24"/>
              <w14:ligatures w14:val="standardContextual"/>
            </w:rPr>
          </w:pPr>
          <w:hyperlink w:history="1" w:anchor="_Toc230872070">
            <w:r w:rsidRPr="006B4C3F">
              <w:rPr>
                <w:rStyle w:val="Hyperlink"/>
                <w:noProof/>
              </w:rPr>
              <w:t>7.6.</w:t>
            </w:r>
            <w:r>
              <w:rPr>
                <w:rFonts w:asciiTheme="minorHAnsi" w:hAnsiTheme="minorHAnsi" w:cstheme="minorBidi"/>
                <w:noProof/>
                <w:kern w:val="2"/>
                <w:sz w:val="24"/>
                <w:szCs w:val="24"/>
                <w14:ligatures w14:val="standardContextual"/>
              </w:rPr>
              <w:tab/>
            </w:r>
            <w:r w:rsidRPr="006B4C3F">
              <w:rPr>
                <w:rStyle w:val="Hyperlink"/>
                <w:noProof/>
              </w:rPr>
              <w:t>Staff Proposal Regarding Senate Bill 1130 Enrollment Efforts</w:t>
            </w:r>
            <w:r>
              <w:rPr>
                <w:noProof/>
                <w:webHidden/>
              </w:rPr>
              <w:tab/>
            </w:r>
            <w:r>
              <w:rPr>
                <w:noProof/>
                <w:webHidden/>
              </w:rPr>
              <w:fldChar w:fldCharType="begin"/>
            </w:r>
            <w:r>
              <w:rPr>
                <w:noProof/>
                <w:webHidden/>
              </w:rPr>
              <w:instrText xml:space="preserve"> PAGEREF _Toc230872070 \h </w:instrText>
            </w:r>
            <w:r>
              <w:rPr>
                <w:noProof/>
                <w:webHidden/>
              </w:rPr>
            </w:r>
            <w:r>
              <w:rPr>
                <w:noProof/>
                <w:webHidden/>
              </w:rPr>
              <w:fldChar w:fldCharType="separate"/>
            </w:r>
            <w:r w:rsidR="0059060B">
              <w:rPr>
                <w:noProof/>
                <w:webHidden/>
              </w:rPr>
              <w:t>21</w:t>
            </w:r>
            <w:r>
              <w:rPr>
                <w:noProof/>
                <w:webHidden/>
              </w:rPr>
              <w:fldChar w:fldCharType="end"/>
            </w:r>
          </w:hyperlink>
        </w:p>
        <w:p w:rsidR="00785D8C" w:rsidRDefault="00785D8C" w14:paraId="37F7F57B" w14:textId="264882D3">
          <w:pPr>
            <w:pStyle w:val="TOC1"/>
            <w:tabs>
              <w:tab w:val="right" w:leader="dot" w:pos="9350"/>
            </w:tabs>
            <w:rPr>
              <w:rFonts w:asciiTheme="minorHAnsi" w:hAnsiTheme="minorHAnsi" w:cstheme="minorBidi"/>
              <w:noProof/>
              <w:kern w:val="2"/>
              <w:sz w:val="24"/>
              <w:szCs w:val="24"/>
              <w14:ligatures w14:val="standardContextual"/>
            </w:rPr>
          </w:pPr>
          <w:hyperlink w:history="1" w:anchor="_Toc230872071">
            <w:r w:rsidRPr="006B4C3F">
              <w:rPr>
                <w:rStyle w:val="Hyperlink"/>
                <w:noProof/>
              </w:rPr>
              <w:t>8.</w:t>
            </w:r>
            <w:r>
              <w:rPr>
                <w:rFonts w:asciiTheme="minorHAnsi" w:hAnsiTheme="minorHAnsi" w:cstheme="minorBidi"/>
                <w:noProof/>
                <w:kern w:val="2"/>
                <w:sz w:val="24"/>
                <w:szCs w:val="24"/>
                <w14:ligatures w14:val="standardContextual"/>
              </w:rPr>
              <w:tab/>
            </w:r>
            <w:r w:rsidRPr="006B4C3F">
              <w:rPr>
                <w:rStyle w:val="Hyperlink"/>
                <w:noProof/>
              </w:rPr>
              <w:t>ESA</w:t>
            </w:r>
            <w:r>
              <w:rPr>
                <w:noProof/>
                <w:webHidden/>
              </w:rPr>
              <w:tab/>
            </w:r>
            <w:r>
              <w:rPr>
                <w:noProof/>
                <w:webHidden/>
              </w:rPr>
              <w:fldChar w:fldCharType="begin"/>
            </w:r>
            <w:r>
              <w:rPr>
                <w:noProof/>
                <w:webHidden/>
              </w:rPr>
              <w:instrText xml:space="preserve"> PAGEREF _Toc230872071 \h </w:instrText>
            </w:r>
            <w:r>
              <w:rPr>
                <w:noProof/>
                <w:webHidden/>
              </w:rPr>
            </w:r>
            <w:r>
              <w:rPr>
                <w:noProof/>
                <w:webHidden/>
              </w:rPr>
              <w:fldChar w:fldCharType="separate"/>
            </w:r>
            <w:r w:rsidR="0059060B">
              <w:rPr>
                <w:noProof/>
                <w:webHidden/>
              </w:rPr>
              <w:t>23</w:t>
            </w:r>
            <w:r>
              <w:rPr>
                <w:noProof/>
                <w:webHidden/>
              </w:rPr>
              <w:fldChar w:fldCharType="end"/>
            </w:r>
          </w:hyperlink>
        </w:p>
        <w:p w:rsidR="00785D8C" w:rsidRDefault="00785D8C" w14:paraId="3E91366B" w14:textId="5FA3078B">
          <w:pPr>
            <w:pStyle w:val="TOC2"/>
            <w:tabs>
              <w:tab w:val="right" w:leader="dot" w:pos="9350"/>
            </w:tabs>
            <w:rPr>
              <w:rFonts w:asciiTheme="minorHAnsi" w:hAnsiTheme="minorHAnsi" w:cstheme="minorBidi"/>
              <w:noProof/>
              <w:kern w:val="2"/>
              <w:sz w:val="24"/>
              <w:szCs w:val="24"/>
              <w14:ligatures w14:val="standardContextual"/>
            </w:rPr>
          </w:pPr>
          <w:hyperlink w:history="1" w:anchor="_Toc230872072">
            <w:r w:rsidRPr="006B4C3F">
              <w:rPr>
                <w:rStyle w:val="Hyperlink"/>
                <w:noProof/>
              </w:rPr>
              <w:t>8.1.</w:t>
            </w:r>
            <w:r>
              <w:rPr>
                <w:rFonts w:asciiTheme="minorHAnsi" w:hAnsiTheme="minorHAnsi" w:cstheme="minorBidi"/>
                <w:noProof/>
                <w:kern w:val="2"/>
                <w:sz w:val="24"/>
                <w:szCs w:val="24"/>
                <w14:ligatures w14:val="standardContextual"/>
              </w:rPr>
              <w:tab/>
            </w:r>
            <w:r w:rsidRPr="006B4C3F">
              <w:rPr>
                <w:rStyle w:val="Hyperlink"/>
                <w:noProof/>
              </w:rPr>
              <w:t>PG&amp;E’S ESA Program</w:t>
            </w:r>
            <w:r>
              <w:rPr>
                <w:noProof/>
                <w:webHidden/>
              </w:rPr>
              <w:tab/>
            </w:r>
            <w:r>
              <w:rPr>
                <w:noProof/>
                <w:webHidden/>
              </w:rPr>
              <w:fldChar w:fldCharType="begin"/>
            </w:r>
            <w:r>
              <w:rPr>
                <w:noProof/>
                <w:webHidden/>
              </w:rPr>
              <w:instrText xml:space="preserve"> PAGEREF _Toc230872072 \h </w:instrText>
            </w:r>
            <w:r>
              <w:rPr>
                <w:noProof/>
                <w:webHidden/>
              </w:rPr>
            </w:r>
            <w:r>
              <w:rPr>
                <w:noProof/>
                <w:webHidden/>
              </w:rPr>
              <w:fldChar w:fldCharType="separate"/>
            </w:r>
            <w:r w:rsidR="0059060B">
              <w:rPr>
                <w:noProof/>
                <w:webHidden/>
              </w:rPr>
              <w:t>24</w:t>
            </w:r>
            <w:r>
              <w:rPr>
                <w:noProof/>
                <w:webHidden/>
              </w:rPr>
              <w:fldChar w:fldCharType="end"/>
            </w:r>
          </w:hyperlink>
        </w:p>
        <w:p w:rsidR="00785D8C" w:rsidRDefault="00785D8C" w14:paraId="63E16C54" w14:textId="1CE92C5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0872073">
            <w:r w:rsidRPr="006B4C3F">
              <w:rPr>
                <w:rStyle w:val="Hyperlink"/>
                <w:noProof/>
              </w:rPr>
              <w:t>8.1.1.</w:t>
            </w:r>
            <w:r>
              <w:rPr>
                <w:rFonts w:asciiTheme="minorHAnsi" w:hAnsiTheme="minorHAnsi" w:cstheme="minorBidi"/>
                <w:noProof/>
                <w:kern w:val="2"/>
                <w:sz w:val="24"/>
                <w:szCs w:val="24"/>
                <w14:ligatures w14:val="standardContextual"/>
              </w:rPr>
              <w:tab/>
            </w:r>
            <w:r w:rsidRPr="006B4C3F">
              <w:rPr>
                <w:rStyle w:val="Hyperlink"/>
                <w:noProof/>
              </w:rPr>
              <w:t>ESA Main</w:t>
            </w:r>
            <w:r>
              <w:rPr>
                <w:noProof/>
                <w:webHidden/>
              </w:rPr>
              <w:tab/>
            </w:r>
            <w:r>
              <w:rPr>
                <w:noProof/>
                <w:webHidden/>
              </w:rPr>
              <w:fldChar w:fldCharType="begin"/>
            </w:r>
            <w:r>
              <w:rPr>
                <w:noProof/>
                <w:webHidden/>
              </w:rPr>
              <w:instrText xml:space="preserve"> PAGEREF _Toc230872073 \h </w:instrText>
            </w:r>
            <w:r>
              <w:rPr>
                <w:noProof/>
                <w:webHidden/>
              </w:rPr>
            </w:r>
            <w:r>
              <w:rPr>
                <w:noProof/>
                <w:webHidden/>
              </w:rPr>
              <w:fldChar w:fldCharType="separate"/>
            </w:r>
            <w:r w:rsidR="0059060B">
              <w:rPr>
                <w:noProof/>
                <w:webHidden/>
              </w:rPr>
              <w:t>25</w:t>
            </w:r>
            <w:r>
              <w:rPr>
                <w:noProof/>
                <w:webHidden/>
              </w:rPr>
              <w:fldChar w:fldCharType="end"/>
            </w:r>
          </w:hyperlink>
        </w:p>
        <w:p w:rsidR="00785D8C" w:rsidRDefault="00785D8C" w14:paraId="5A05BAF7" w14:textId="4E38E69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0872074">
            <w:r w:rsidRPr="006B4C3F">
              <w:rPr>
                <w:rStyle w:val="Hyperlink"/>
                <w:noProof/>
              </w:rPr>
              <w:t>8.1.2.</w:t>
            </w:r>
            <w:r>
              <w:rPr>
                <w:rFonts w:asciiTheme="minorHAnsi" w:hAnsiTheme="minorHAnsi" w:cstheme="minorBidi"/>
                <w:noProof/>
                <w:kern w:val="2"/>
                <w:sz w:val="24"/>
                <w:szCs w:val="24"/>
                <w14:ligatures w14:val="standardContextual"/>
              </w:rPr>
              <w:tab/>
            </w:r>
            <w:r w:rsidRPr="006B4C3F">
              <w:rPr>
                <w:rStyle w:val="Hyperlink"/>
                <w:noProof/>
              </w:rPr>
              <w:t>ESA MFWB</w:t>
            </w:r>
            <w:r>
              <w:rPr>
                <w:noProof/>
                <w:webHidden/>
              </w:rPr>
              <w:tab/>
            </w:r>
            <w:r>
              <w:rPr>
                <w:noProof/>
                <w:webHidden/>
              </w:rPr>
              <w:fldChar w:fldCharType="begin"/>
            </w:r>
            <w:r>
              <w:rPr>
                <w:noProof/>
                <w:webHidden/>
              </w:rPr>
              <w:instrText xml:space="preserve"> PAGEREF _Toc230872074 \h </w:instrText>
            </w:r>
            <w:r>
              <w:rPr>
                <w:noProof/>
                <w:webHidden/>
              </w:rPr>
            </w:r>
            <w:r>
              <w:rPr>
                <w:noProof/>
                <w:webHidden/>
              </w:rPr>
              <w:fldChar w:fldCharType="separate"/>
            </w:r>
            <w:r w:rsidR="0059060B">
              <w:rPr>
                <w:noProof/>
                <w:webHidden/>
              </w:rPr>
              <w:t>25</w:t>
            </w:r>
            <w:r>
              <w:rPr>
                <w:noProof/>
                <w:webHidden/>
              </w:rPr>
              <w:fldChar w:fldCharType="end"/>
            </w:r>
          </w:hyperlink>
        </w:p>
        <w:p w:rsidR="00785D8C" w:rsidRDefault="00785D8C" w14:paraId="28E27783" w14:textId="139F335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0872075">
            <w:r w:rsidRPr="006B4C3F">
              <w:rPr>
                <w:rStyle w:val="Hyperlink"/>
                <w:noProof/>
              </w:rPr>
              <w:t>8.1.3.</w:t>
            </w:r>
            <w:r>
              <w:rPr>
                <w:rFonts w:asciiTheme="minorHAnsi" w:hAnsiTheme="minorHAnsi" w:cstheme="minorBidi"/>
                <w:noProof/>
                <w:kern w:val="2"/>
                <w:sz w:val="24"/>
                <w:szCs w:val="24"/>
                <w14:ligatures w14:val="standardContextual"/>
              </w:rPr>
              <w:tab/>
            </w:r>
            <w:r w:rsidRPr="006B4C3F">
              <w:rPr>
                <w:rStyle w:val="Hyperlink"/>
                <w:noProof/>
              </w:rPr>
              <w:t>ESA Pilot Plus/Pilot Deep</w:t>
            </w:r>
            <w:r>
              <w:rPr>
                <w:noProof/>
                <w:webHidden/>
              </w:rPr>
              <w:tab/>
            </w:r>
            <w:r>
              <w:rPr>
                <w:noProof/>
                <w:webHidden/>
              </w:rPr>
              <w:fldChar w:fldCharType="begin"/>
            </w:r>
            <w:r>
              <w:rPr>
                <w:noProof/>
                <w:webHidden/>
              </w:rPr>
              <w:instrText xml:space="preserve"> PAGEREF _Toc230872075 \h </w:instrText>
            </w:r>
            <w:r>
              <w:rPr>
                <w:noProof/>
                <w:webHidden/>
              </w:rPr>
            </w:r>
            <w:r>
              <w:rPr>
                <w:noProof/>
                <w:webHidden/>
              </w:rPr>
              <w:fldChar w:fldCharType="separate"/>
            </w:r>
            <w:r w:rsidR="0059060B">
              <w:rPr>
                <w:noProof/>
                <w:webHidden/>
              </w:rPr>
              <w:t>26</w:t>
            </w:r>
            <w:r>
              <w:rPr>
                <w:noProof/>
                <w:webHidden/>
              </w:rPr>
              <w:fldChar w:fldCharType="end"/>
            </w:r>
          </w:hyperlink>
        </w:p>
        <w:p w:rsidR="00785D8C" w:rsidRDefault="00785D8C" w14:paraId="130FB801" w14:textId="3B4A8E3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0872076">
            <w:r w:rsidRPr="006B4C3F">
              <w:rPr>
                <w:rStyle w:val="Hyperlink"/>
                <w:noProof/>
              </w:rPr>
              <w:t>8.1.4.</w:t>
            </w:r>
            <w:r>
              <w:rPr>
                <w:rFonts w:asciiTheme="minorHAnsi" w:hAnsiTheme="minorHAnsi" w:cstheme="minorBidi"/>
                <w:noProof/>
                <w:kern w:val="2"/>
                <w:sz w:val="24"/>
                <w:szCs w:val="24"/>
                <w14:ligatures w14:val="standardContextual"/>
              </w:rPr>
              <w:tab/>
            </w:r>
            <w:r w:rsidRPr="006B4C3F">
              <w:rPr>
                <w:rStyle w:val="Hyperlink"/>
                <w:noProof/>
              </w:rPr>
              <w:t>ESA ME&amp;O</w:t>
            </w:r>
            <w:r>
              <w:rPr>
                <w:noProof/>
                <w:webHidden/>
              </w:rPr>
              <w:tab/>
            </w:r>
            <w:r>
              <w:rPr>
                <w:noProof/>
                <w:webHidden/>
              </w:rPr>
              <w:fldChar w:fldCharType="begin"/>
            </w:r>
            <w:r>
              <w:rPr>
                <w:noProof/>
                <w:webHidden/>
              </w:rPr>
              <w:instrText xml:space="preserve"> PAGEREF _Toc230872076 \h </w:instrText>
            </w:r>
            <w:r>
              <w:rPr>
                <w:noProof/>
                <w:webHidden/>
              </w:rPr>
            </w:r>
            <w:r>
              <w:rPr>
                <w:noProof/>
                <w:webHidden/>
              </w:rPr>
              <w:fldChar w:fldCharType="separate"/>
            </w:r>
            <w:r w:rsidR="0059060B">
              <w:rPr>
                <w:noProof/>
                <w:webHidden/>
              </w:rPr>
              <w:t>26</w:t>
            </w:r>
            <w:r>
              <w:rPr>
                <w:noProof/>
                <w:webHidden/>
              </w:rPr>
              <w:fldChar w:fldCharType="end"/>
            </w:r>
          </w:hyperlink>
        </w:p>
        <w:p w:rsidR="00785D8C" w:rsidRDefault="00785D8C" w14:paraId="5D12C8EA" w14:textId="6823757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0872077">
            <w:r w:rsidRPr="006B4C3F">
              <w:rPr>
                <w:rStyle w:val="Hyperlink"/>
                <w:noProof/>
              </w:rPr>
              <w:t>8.1.5.</w:t>
            </w:r>
            <w:r>
              <w:rPr>
                <w:rFonts w:asciiTheme="minorHAnsi" w:hAnsiTheme="minorHAnsi" w:cstheme="minorBidi"/>
                <w:noProof/>
                <w:kern w:val="2"/>
                <w:sz w:val="24"/>
                <w:szCs w:val="24"/>
                <w14:ligatures w14:val="standardContextual"/>
              </w:rPr>
              <w:tab/>
            </w:r>
            <w:r w:rsidRPr="006B4C3F">
              <w:rPr>
                <w:rStyle w:val="Hyperlink"/>
                <w:noProof/>
              </w:rPr>
              <w:t>Proposed Budget</w:t>
            </w:r>
            <w:r>
              <w:rPr>
                <w:noProof/>
                <w:webHidden/>
              </w:rPr>
              <w:tab/>
            </w:r>
            <w:r>
              <w:rPr>
                <w:noProof/>
                <w:webHidden/>
              </w:rPr>
              <w:fldChar w:fldCharType="begin"/>
            </w:r>
            <w:r>
              <w:rPr>
                <w:noProof/>
                <w:webHidden/>
              </w:rPr>
              <w:instrText xml:space="preserve"> PAGEREF _Toc230872077 \h </w:instrText>
            </w:r>
            <w:r>
              <w:rPr>
                <w:noProof/>
                <w:webHidden/>
              </w:rPr>
            </w:r>
            <w:r>
              <w:rPr>
                <w:noProof/>
                <w:webHidden/>
              </w:rPr>
              <w:fldChar w:fldCharType="separate"/>
            </w:r>
            <w:r w:rsidR="0059060B">
              <w:rPr>
                <w:noProof/>
                <w:webHidden/>
              </w:rPr>
              <w:t>26</w:t>
            </w:r>
            <w:r>
              <w:rPr>
                <w:noProof/>
                <w:webHidden/>
              </w:rPr>
              <w:fldChar w:fldCharType="end"/>
            </w:r>
          </w:hyperlink>
        </w:p>
        <w:p w:rsidR="00785D8C" w:rsidRDefault="00785D8C" w14:paraId="34B2AEF2" w14:textId="42C38B40">
          <w:pPr>
            <w:pStyle w:val="TOC2"/>
            <w:tabs>
              <w:tab w:val="right" w:leader="dot" w:pos="9350"/>
            </w:tabs>
            <w:rPr>
              <w:rFonts w:asciiTheme="minorHAnsi" w:hAnsiTheme="minorHAnsi" w:cstheme="minorBidi"/>
              <w:noProof/>
              <w:kern w:val="2"/>
              <w:sz w:val="24"/>
              <w:szCs w:val="24"/>
              <w14:ligatures w14:val="standardContextual"/>
            </w:rPr>
          </w:pPr>
          <w:hyperlink w:history="1" w:anchor="_Toc230872078">
            <w:r w:rsidRPr="006B4C3F">
              <w:rPr>
                <w:rStyle w:val="Hyperlink"/>
                <w:noProof/>
              </w:rPr>
              <w:t>8.2.</w:t>
            </w:r>
            <w:r>
              <w:rPr>
                <w:rFonts w:asciiTheme="minorHAnsi" w:hAnsiTheme="minorHAnsi" w:cstheme="minorBidi"/>
                <w:noProof/>
                <w:kern w:val="2"/>
                <w:sz w:val="24"/>
                <w:szCs w:val="24"/>
                <w14:ligatures w14:val="standardContextual"/>
              </w:rPr>
              <w:tab/>
            </w:r>
            <w:r w:rsidRPr="006B4C3F">
              <w:rPr>
                <w:rStyle w:val="Hyperlink"/>
                <w:noProof/>
              </w:rPr>
              <w:t>SDG&amp;E’S ESA Program</w:t>
            </w:r>
            <w:r>
              <w:rPr>
                <w:noProof/>
                <w:webHidden/>
              </w:rPr>
              <w:tab/>
            </w:r>
            <w:r>
              <w:rPr>
                <w:noProof/>
                <w:webHidden/>
              </w:rPr>
              <w:fldChar w:fldCharType="begin"/>
            </w:r>
            <w:r>
              <w:rPr>
                <w:noProof/>
                <w:webHidden/>
              </w:rPr>
              <w:instrText xml:space="preserve"> PAGEREF _Toc230872078 \h </w:instrText>
            </w:r>
            <w:r>
              <w:rPr>
                <w:noProof/>
                <w:webHidden/>
              </w:rPr>
            </w:r>
            <w:r>
              <w:rPr>
                <w:noProof/>
                <w:webHidden/>
              </w:rPr>
              <w:fldChar w:fldCharType="separate"/>
            </w:r>
            <w:r w:rsidR="0059060B">
              <w:rPr>
                <w:noProof/>
                <w:webHidden/>
              </w:rPr>
              <w:t>28</w:t>
            </w:r>
            <w:r>
              <w:rPr>
                <w:noProof/>
                <w:webHidden/>
              </w:rPr>
              <w:fldChar w:fldCharType="end"/>
            </w:r>
          </w:hyperlink>
        </w:p>
        <w:p w:rsidR="00785D8C" w:rsidRDefault="00785D8C" w14:paraId="45EE5002" w14:textId="60B975E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0872079">
            <w:r w:rsidRPr="006B4C3F">
              <w:rPr>
                <w:rStyle w:val="Hyperlink"/>
                <w:noProof/>
              </w:rPr>
              <w:t>8.2.1.</w:t>
            </w:r>
            <w:r>
              <w:rPr>
                <w:rFonts w:asciiTheme="minorHAnsi" w:hAnsiTheme="minorHAnsi" w:cstheme="minorBidi"/>
                <w:noProof/>
                <w:kern w:val="2"/>
                <w:sz w:val="24"/>
                <w:szCs w:val="24"/>
                <w14:ligatures w14:val="standardContextual"/>
              </w:rPr>
              <w:tab/>
            </w:r>
            <w:r w:rsidRPr="006B4C3F">
              <w:rPr>
                <w:rStyle w:val="Hyperlink"/>
                <w:noProof/>
              </w:rPr>
              <w:t>ESA MFWB and SPOC</w:t>
            </w:r>
            <w:r>
              <w:rPr>
                <w:noProof/>
                <w:webHidden/>
              </w:rPr>
              <w:tab/>
            </w:r>
            <w:r>
              <w:rPr>
                <w:noProof/>
                <w:webHidden/>
              </w:rPr>
              <w:fldChar w:fldCharType="begin"/>
            </w:r>
            <w:r>
              <w:rPr>
                <w:noProof/>
                <w:webHidden/>
              </w:rPr>
              <w:instrText xml:space="preserve"> PAGEREF _Toc230872079 \h </w:instrText>
            </w:r>
            <w:r>
              <w:rPr>
                <w:noProof/>
                <w:webHidden/>
              </w:rPr>
            </w:r>
            <w:r>
              <w:rPr>
                <w:noProof/>
                <w:webHidden/>
              </w:rPr>
              <w:fldChar w:fldCharType="separate"/>
            </w:r>
            <w:r w:rsidR="0059060B">
              <w:rPr>
                <w:noProof/>
                <w:webHidden/>
              </w:rPr>
              <w:t>28</w:t>
            </w:r>
            <w:r>
              <w:rPr>
                <w:noProof/>
                <w:webHidden/>
              </w:rPr>
              <w:fldChar w:fldCharType="end"/>
            </w:r>
          </w:hyperlink>
        </w:p>
        <w:p w:rsidR="00785D8C" w:rsidRDefault="00785D8C" w14:paraId="62802B40" w14:textId="54D3698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0872080">
            <w:r w:rsidRPr="006B4C3F">
              <w:rPr>
                <w:rStyle w:val="Hyperlink"/>
                <w:noProof/>
              </w:rPr>
              <w:t>8.2.2.</w:t>
            </w:r>
            <w:r>
              <w:rPr>
                <w:rFonts w:asciiTheme="minorHAnsi" w:hAnsiTheme="minorHAnsi" w:cstheme="minorBidi"/>
                <w:noProof/>
                <w:kern w:val="2"/>
                <w:sz w:val="24"/>
                <w:szCs w:val="24"/>
                <w14:ligatures w14:val="standardContextual"/>
              </w:rPr>
              <w:tab/>
            </w:r>
            <w:r w:rsidRPr="006B4C3F">
              <w:rPr>
                <w:rStyle w:val="Hyperlink"/>
                <w:noProof/>
              </w:rPr>
              <w:t>ESA Pilot Plus/Pilot Deep</w:t>
            </w:r>
            <w:r>
              <w:rPr>
                <w:noProof/>
                <w:webHidden/>
              </w:rPr>
              <w:tab/>
            </w:r>
            <w:r>
              <w:rPr>
                <w:noProof/>
                <w:webHidden/>
              </w:rPr>
              <w:fldChar w:fldCharType="begin"/>
            </w:r>
            <w:r>
              <w:rPr>
                <w:noProof/>
                <w:webHidden/>
              </w:rPr>
              <w:instrText xml:space="preserve"> PAGEREF _Toc230872080 \h </w:instrText>
            </w:r>
            <w:r>
              <w:rPr>
                <w:noProof/>
                <w:webHidden/>
              </w:rPr>
            </w:r>
            <w:r>
              <w:rPr>
                <w:noProof/>
                <w:webHidden/>
              </w:rPr>
              <w:fldChar w:fldCharType="separate"/>
            </w:r>
            <w:r w:rsidR="0059060B">
              <w:rPr>
                <w:noProof/>
                <w:webHidden/>
              </w:rPr>
              <w:t>29</w:t>
            </w:r>
            <w:r>
              <w:rPr>
                <w:noProof/>
                <w:webHidden/>
              </w:rPr>
              <w:fldChar w:fldCharType="end"/>
            </w:r>
          </w:hyperlink>
        </w:p>
        <w:p w:rsidR="00785D8C" w:rsidRDefault="00785D8C" w14:paraId="6A081DE0" w14:textId="117ABF9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0872081">
            <w:r w:rsidRPr="006B4C3F">
              <w:rPr>
                <w:rStyle w:val="Hyperlink"/>
                <w:noProof/>
              </w:rPr>
              <w:t>8.2.3.</w:t>
            </w:r>
            <w:r>
              <w:rPr>
                <w:rFonts w:asciiTheme="minorHAnsi" w:hAnsiTheme="minorHAnsi" w:cstheme="minorBidi"/>
                <w:noProof/>
                <w:kern w:val="2"/>
                <w:sz w:val="24"/>
                <w:szCs w:val="24"/>
                <w14:ligatures w14:val="standardContextual"/>
              </w:rPr>
              <w:tab/>
            </w:r>
            <w:r w:rsidRPr="006B4C3F">
              <w:rPr>
                <w:rStyle w:val="Hyperlink"/>
                <w:noProof/>
              </w:rPr>
              <w:t>Proposed Budget</w:t>
            </w:r>
            <w:r>
              <w:rPr>
                <w:noProof/>
                <w:webHidden/>
              </w:rPr>
              <w:tab/>
            </w:r>
            <w:r>
              <w:rPr>
                <w:noProof/>
                <w:webHidden/>
              </w:rPr>
              <w:fldChar w:fldCharType="begin"/>
            </w:r>
            <w:r>
              <w:rPr>
                <w:noProof/>
                <w:webHidden/>
              </w:rPr>
              <w:instrText xml:space="preserve"> PAGEREF _Toc230872081 \h </w:instrText>
            </w:r>
            <w:r>
              <w:rPr>
                <w:noProof/>
                <w:webHidden/>
              </w:rPr>
            </w:r>
            <w:r>
              <w:rPr>
                <w:noProof/>
                <w:webHidden/>
              </w:rPr>
              <w:fldChar w:fldCharType="separate"/>
            </w:r>
            <w:r w:rsidR="0059060B">
              <w:rPr>
                <w:noProof/>
                <w:webHidden/>
              </w:rPr>
              <w:t>29</w:t>
            </w:r>
            <w:r>
              <w:rPr>
                <w:noProof/>
                <w:webHidden/>
              </w:rPr>
              <w:fldChar w:fldCharType="end"/>
            </w:r>
          </w:hyperlink>
        </w:p>
        <w:p w:rsidR="00785D8C" w:rsidRDefault="00785D8C" w14:paraId="546EFC3B" w14:textId="78EE5C2B">
          <w:pPr>
            <w:pStyle w:val="TOC2"/>
            <w:tabs>
              <w:tab w:val="right" w:leader="dot" w:pos="9350"/>
            </w:tabs>
            <w:rPr>
              <w:rFonts w:asciiTheme="minorHAnsi" w:hAnsiTheme="minorHAnsi" w:cstheme="minorBidi"/>
              <w:noProof/>
              <w:kern w:val="2"/>
              <w:sz w:val="24"/>
              <w:szCs w:val="24"/>
              <w14:ligatures w14:val="standardContextual"/>
            </w:rPr>
          </w:pPr>
          <w:hyperlink w:history="1" w:anchor="_Toc230872082">
            <w:r w:rsidRPr="006B4C3F">
              <w:rPr>
                <w:rStyle w:val="Hyperlink"/>
                <w:noProof/>
              </w:rPr>
              <w:t>8.3.</w:t>
            </w:r>
            <w:r>
              <w:rPr>
                <w:rFonts w:asciiTheme="minorHAnsi" w:hAnsiTheme="minorHAnsi" w:cstheme="minorBidi"/>
                <w:noProof/>
                <w:kern w:val="2"/>
                <w:sz w:val="24"/>
                <w:szCs w:val="24"/>
                <w14:ligatures w14:val="standardContextual"/>
              </w:rPr>
              <w:tab/>
            </w:r>
            <w:r w:rsidRPr="006B4C3F">
              <w:rPr>
                <w:rStyle w:val="Hyperlink"/>
                <w:noProof/>
              </w:rPr>
              <w:t>SCE’S ESA Program</w:t>
            </w:r>
            <w:r>
              <w:rPr>
                <w:noProof/>
                <w:webHidden/>
              </w:rPr>
              <w:tab/>
            </w:r>
            <w:r>
              <w:rPr>
                <w:noProof/>
                <w:webHidden/>
              </w:rPr>
              <w:fldChar w:fldCharType="begin"/>
            </w:r>
            <w:r>
              <w:rPr>
                <w:noProof/>
                <w:webHidden/>
              </w:rPr>
              <w:instrText xml:space="preserve"> PAGEREF _Toc230872082 \h </w:instrText>
            </w:r>
            <w:r>
              <w:rPr>
                <w:noProof/>
                <w:webHidden/>
              </w:rPr>
            </w:r>
            <w:r>
              <w:rPr>
                <w:noProof/>
                <w:webHidden/>
              </w:rPr>
              <w:fldChar w:fldCharType="separate"/>
            </w:r>
            <w:r w:rsidR="0059060B">
              <w:rPr>
                <w:noProof/>
                <w:webHidden/>
              </w:rPr>
              <w:t>31</w:t>
            </w:r>
            <w:r>
              <w:rPr>
                <w:noProof/>
                <w:webHidden/>
              </w:rPr>
              <w:fldChar w:fldCharType="end"/>
            </w:r>
          </w:hyperlink>
        </w:p>
        <w:p w:rsidR="00785D8C" w:rsidRDefault="00785D8C" w14:paraId="40CF45D1" w14:textId="37D2F9B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0872083">
            <w:r w:rsidRPr="006B4C3F">
              <w:rPr>
                <w:rStyle w:val="Hyperlink"/>
                <w:noProof/>
              </w:rPr>
              <w:t>8.3.1.</w:t>
            </w:r>
            <w:r>
              <w:rPr>
                <w:rFonts w:asciiTheme="minorHAnsi" w:hAnsiTheme="minorHAnsi" w:cstheme="minorBidi"/>
                <w:noProof/>
                <w:kern w:val="2"/>
                <w:sz w:val="24"/>
                <w:szCs w:val="24"/>
                <w14:ligatures w14:val="standardContextual"/>
              </w:rPr>
              <w:tab/>
            </w:r>
            <w:r w:rsidRPr="006B4C3F">
              <w:rPr>
                <w:rStyle w:val="Hyperlink"/>
                <w:noProof/>
              </w:rPr>
              <w:t>ESA Main</w:t>
            </w:r>
            <w:r>
              <w:rPr>
                <w:noProof/>
                <w:webHidden/>
              </w:rPr>
              <w:tab/>
            </w:r>
            <w:r>
              <w:rPr>
                <w:noProof/>
                <w:webHidden/>
              </w:rPr>
              <w:fldChar w:fldCharType="begin"/>
            </w:r>
            <w:r>
              <w:rPr>
                <w:noProof/>
                <w:webHidden/>
              </w:rPr>
              <w:instrText xml:space="preserve"> PAGEREF _Toc230872083 \h </w:instrText>
            </w:r>
            <w:r>
              <w:rPr>
                <w:noProof/>
                <w:webHidden/>
              </w:rPr>
            </w:r>
            <w:r>
              <w:rPr>
                <w:noProof/>
                <w:webHidden/>
              </w:rPr>
              <w:fldChar w:fldCharType="separate"/>
            </w:r>
            <w:r w:rsidR="0059060B">
              <w:rPr>
                <w:noProof/>
                <w:webHidden/>
              </w:rPr>
              <w:t>32</w:t>
            </w:r>
            <w:r>
              <w:rPr>
                <w:noProof/>
                <w:webHidden/>
              </w:rPr>
              <w:fldChar w:fldCharType="end"/>
            </w:r>
          </w:hyperlink>
        </w:p>
        <w:p w:rsidR="00785D8C" w:rsidRDefault="00785D8C" w14:paraId="6AB6295B" w14:textId="19065D4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0872084">
            <w:r w:rsidRPr="006B4C3F">
              <w:rPr>
                <w:rStyle w:val="Hyperlink"/>
                <w:noProof/>
              </w:rPr>
              <w:t>8.3.2.</w:t>
            </w:r>
            <w:r>
              <w:rPr>
                <w:rFonts w:asciiTheme="minorHAnsi" w:hAnsiTheme="minorHAnsi" w:cstheme="minorBidi"/>
                <w:noProof/>
                <w:kern w:val="2"/>
                <w:sz w:val="24"/>
                <w:szCs w:val="24"/>
                <w14:ligatures w14:val="standardContextual"/>
              </w:rPr>
              <w:tab/>
            </w:r>
            <w:r w:rsidRPr="006B4C3F">
              <w:rPr>
                <w:rStyle w:val="Hyperlink"/>
                <w:noProof/>
              </w:rPr>
              <w:t>ESA Pilot Plus/Pilot Deep</w:t>
            </w:r>
            <w:r>
              <w:rPr>
                <w:noProof/>
                <w:webHidden/>
              </w:rPr>
              <w:tab/>
            </w:r>
            <w:r>
              <w:rPr>
                <w:noProof/>
                <w:webHidden/>
              </w:rPr>
              <w:fldChar w:fldCharType="begin"/>
            </w:r>
            <w:r>
              <w:rPr>
                <w:noProof/>
                <w:webHidden/>
              </w:rPr>
              <w:instrText xml:space="preserve"> PAGEREF _Toc230872084 \h </w:instrText>
            </w:r>
            <w:r>
              <w:rPr>
                <w:noProof/>
                <w:webHidden/>
              </w:rPr>
            </w:r>
            <w:r>
              <w:rPr>
                <w:noProof/>
                <w:webHidden/>
              </w:rPr>
              <w:fldChar w:fldCharType="separate"/>
            </w:r>
            <w:r w:rsidR="0059060B">
              <w:rPr>
                <w:noProof/>
                <w:webHidden/>
              </w:rPr>
              <w:t>32</w:t>
            </w:r>
            <w:r>
              <w:rPr>
                <w:noProof/>
                <w:webHidden/>
              </w:rPr>
              <w:fldChar w:fldCharType="end"/>
            </w:r>
          </w:hyperlink>
        </w:p>
        <w:p w:rsidR="00785D8C" w:rsidRDefault="00785D8C" w14:paraId="695D7E5E" w14:textId="027C907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0872085">
            <w:r w:rsidRPr="006B4C3F">
              <w:rPr>
                <w:rStyle w:val="Hyperlink"/>
                <w:noProof/>
              </w:rPr>
              <w:t>8.3.3.</w:t>
            </w:r>
            <w:r>
              <w:rPr>
                <w:rFonts w:asciiTheme="minorHAnsi" w:hAnsiTheme="minorHAnsi" w:cstheme="minorBidi"/>
                <w:noProof/>
                <w:kern w:val="2"/>
                <w:sz w:val="24"/>
                <w:szCs w:val="24"/>
                <w14:ligatures w14:val="standardContextual"/>
              </w:rPr>
              <w:tab/>
            </w:r>
            <w:r w:rsidRPr="006B4C3F">
              <w:rPr>
                <w:rStyle w:val="Hyperlink"/>
                <w:noProof/>
              </w:rPr>
              <w:t>ESA MFWB</w:t>
            </w:r>
            <w:r>
              <w:rPr>
                <w:noProof/>
                <w:webHidden/>
              </w:rPr>
              <w:tab/>
            </w:r>
            <w:r>
              <w:rPr>
                <w:noProof/>
                <w:webHidden/>
              </w:rPr>
              <w:fldChar w:fldCharType="begin"/>
            </w:r>
            <w:r>
              <w:rPr>
                <w:noProof/>
                <w:webHidden/>
              </w:rPr>
              <w:instrText xml:space="preserve"> PAGEREF _Toc230872085 \h </w:instrText>
            </w:r>
            <w:r>
              <w:rPr>
                <w:noProof/>
                <w:webHidden/>
              </w:rPr>
            </w:r>
            <w:r>
              <w:rPr>
                <w:noProof/>
                <w:webHidden/>
              </w:rPr>
              <w:fldChar w:fldCharType="separate"/>
            </w:r>
            <w:r w:rsidR="0059060B">
              <w:rPr>
                <w:noProof/>
                <w:webHidden/>
              </w:rPr>
              <w:t>33</w:t>
            </w:r>
            <w:r>
              <w:rPr>
                <w:noProof/>
                <w:webHidden/>
              </w:rPr>
              <w:fldChar w:fldCharType="end"/>
            </w:r>
          </w:hyperlink>
        </w:p>
        <w:p w:rsidR="00785D8C" w:rsidRDefault="00785D8C" w14:paraId="42C5D515" w14:textId="0335D09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0872086">
            <w:r w:rsidRPr="006B4C3F">
              <w:rPr>
                <w:rStyle w:val="Hyperlink"/>
                <w:noProof/>
              </w:rPr>
              <w:t>8.3.4.</w:t>
            </w:r>
            <w:r>
              <w:rPr>
                <w:rFonts w:asciiTheme="minorHAnsi" w:hAnsiTheme="minorHAnsi" w:cstheme="minorBidi"/>
                <w:noProof/>
                <w:kern w:val="2"/>
                <w:sz w:val="24"/>
                <w:szCs w:val="24"/>
                <w14:ligatures w14:val="standardContextual"/>
              </w:rPr>
              <w:tab/>
            </w:r>
            <w:r w:rsidRPr="006B4C3F">
              <w:rPr>
                <w:rStyle w:val="Hyperlink"/>
                <w:noProof/>
              </w:rPr>
              <w:t>Proposed Budget</w:t>
            </w:r>
            <w:r>
              <w:rPr>
                <w:noProof/>
                <w:webHidden/>
              </w:rPr>
              <w:tab/>
            </w:r>
            <w:r>
              <w:rPr>
                <w:noProof/>
                <w:webHidden/>
              </w:rPr>
              <w:fldChar w:fldCharType="begin"/>
            </w:r>
            <w:r>
              <w:rPr>
                <w:noProof/>
                <w:webHidden/>
              </w:rPr>
              <w:instrText xml:space="preserve"> PAGEREF _Toc230872086 \h </w:instrText>
            </w:r>
            <w:r>
              <w:rPr>
                <w:noProof/>
                <w:webHidden/>
              </w:rPr>
            </w:r>
            <w:r>
              <w:rPr>
                <w:noProof/>
                <w:webHidden/>
              </w:rPr>
              <w:fldChar w:fldCharType="separate"/>
            </w:r>
            <w:r w:rsidR="0059060B">
              <w:rPr>
                <w:noProof/>
                <w:webHidden/>
              </w:rPr>
              <w:t>33</w:t>
            </w:r>
            <w:r>
              <w:rPr>
                <w:noProof/>
                <w:webHidden/>
              </w:rPr>
              <w:fldChar w:fldCharType="end"/>
            </w:r>
          </w:hyperlink>
        </w:p>
        <w:p w:rsidR="00785D8C" w:rsidRDefault="00785D8C" w14:paraId="3A8C66EA" w14:textId="5E56B59D">
          <w:pPr>
            <w:pStyle w:val="TOC2"/>
            <w:tabs>
              <w:tab w:val="right" w:leader="dot" w:pos="9350"/>
            </w:tabs>
            <w:rPr>
              <w:rFonts w:asciiTheme="minorHAnsi" w:hAnsiTheme="minorHAnsi" w:cstheme="minorBidi"/>
              <w:noProof/>
              <w:kern w:val="2"/>
              <w:sz w:val="24"/>
              <w:szCs w:val="24"/>
              <w14:ligatures w14:val="standardContextual"/>
            </w:rPr>
          </w:pPr>
          <w:hyperlink w:history="1" w:anchor="_Toc230872087">
            <w:r w:rsidRPr="006B4C3F">
              <w:rPr>
                <w:rStyle w:val="Hyperlink"/>
                <w:noProof/>
              </w:rPr>
              <w:t>8.4.</w:t>
            </w:r>
            <w:r>
              <w:rPr>
                <w:rFonts w:asciiTheme="minorHAnsi" w:hAnsiTheme="minorHAnsi" w:cstheme="minorBidi"/>
                <w:noProof/>
                <w:kern w:val="2"/>
                <w:sz w:val="24"/>
                <w:szCs w:val="24"/>
                <w14:ligatures w14:val="standardContextual"/>
              </w:rPr>
              <w:tab/>
            </w:r>
            <w:r w:rsidRPr="006B4C3F">
              <w:rPr>
                <w:rStyle w:val="Hyperlink"/>
                <w:noProof/>
              </w:rPr>
              <w:t>SoCalGas’ ESA Program</w:t>
            </w:r>
            <w:r>
              <w:rPr>
                <w:noProof/>
                <w:webHidden/>
              </w:rPr>
              <w:tab/>
            </w:r>
            <w:r>
              <w:rPr>
                <w:noProof/>
                <w:webHidden/>
              </w:rPr>
              <w:fldChar w:fldCharType="begin"/>
            </w:r>
            <w:r>
              <w:rPr>
                <w:noProof/>
                <w:webHidden/>
              </w:rPr>
              <w:instrText xml:space="preserve"> PAGEREF _Toc230872087 \h </w:instrText>
            </w:r>
            <w:r>
              <w:rPr>
                <w:noProof/>
                <w:webHidden/>
              </w:rPr>
            </w:r>
            <w:r>
              <w:rPr>
                <w:noProof/>
                <w:webHidden/>
              </w:rPr>
              <w:fldChar w:fldCharType="separate"/>
            </w:r>
            <w:r w:rsidR="0059060B">
              <w:rPr>
                <w:noProof/>
                <w:webHidden/>
              </w:rPr>
              <w:t>34</w:t>
            </w:r>
            <w:r>
              <w:rPr>
                <w:noProof/>
                <w:webHidden/>
              </w:rPr>
              <w:fldChar w:fldCharType="end"/>
            </w:r>
          </w:hyperlink>
        </w:p>
        <w:p w:rsidR="00785D8C" w:rsidRDefault="00785D8C" w14:paraId="3754E225" w14:textId="30DC84A1">
          <w:pPr>
            <w:pStyle w:val="TOC2"/>
            <w:tabs>
              <w:tab w:val="right" w:leader="dot" w:pos="9350"/>
            </w:tabs>
            <w:rPr>
              <w:rFonts w:asciiTheme="minorHAnsi" w:hAnsiTheme="minorHAnsi" w:cstheme="minorBidi"/>
              <w:noProof/>
              <w:kern w:val="2"/>
              <w:sz w:val="24"/>
              <w:szCs w:val="24"/>
              <w14:ligatures w14:val="standardContextual"/>
            </w:rPr>
          </w:pPr>
          <w:hyperlink w:history="1" w:anchor="_Toc230872088">
            <w:r w:rsidRPr="006B4C3F">
              <w:rPr>
                <w:rStyle w:val="Hyperlink"/>
                <w:noProof/>
              </w:rPr>
              <w:t>8.5.</w:t>
            </w:r>
            <w:r>
              <w:rPr>
                <w:rFonts w:asciiTheme="minorHAnsi" w:hAnsiTheme="minorHAnsi" w:cstheme="minorBidi"/>
                <w:noProof/>
                <w:kern w:val="2"/>
                <w:sz w:val="24"/>
                <w:szCs w:val="24"/>
                <w14:ligatures w14:val="standardContextual"/>
              </w:rPr>
              <w:tab/>
            </w:r>
            <w:r w:rsidRPr="006B4C3F">
              <w:rPr>
                <w:rStyle w:val="Hyperlink"/>
                <w:noProof/>
              </w:rPr>
              <w:t>Party Comments and Discussion</w:t>
            </w:r>
            <w:r>
              <w:rPr>
                <w:noProof/>
                <w:webHidden/>
              </w:rPr>
              <w:tab/>
            </w:r>
            <w:r>
              <w:rPr>
                <w:noProof/>
                <w:webHidden/>
              </w:rPr>
              <w:fldChar w:fldCharType="begin"/>
            </w:r>
            <w:r>
              <w:rPr>
                <w:noProof/>
                <w:webHidden/>
              </w:rPr>
              <w:instrText xml:space="preserve"> PAGEREF _Toc230872088 \h </w:instrText>
            </w:r>
            <w:r>
              <w:rPr>
                <w:noProof/>
                <w:webHidden/>
              </w:rPr>
            </w:r>
            <w:r>
              <w:rPr>
                <w:noProof/>
                <w:webHidden/>
              </w:rPr>
              <w:fldChar w:fldCharType="separate"/>
            </w:r>
            <w:r w:rsidR="0059060B">
              <w:rPr>
                <w:noProof/>
                <w:webHidden/>
              </w:rPr>
              <w:t>36</w:t>
            </w:r>
            <w:r>
              <w:rPr>
                <w:noProof/>
                <w:webHidden/>
              </w:rPr>
              <w:fldChar w:fldCharType="end"/>
            </w:r>
          </w:hyperlink>
        </w:p>
        <w:p w:rsidR="00785D8C" w:rsidRDefault="00785D8C" w14:paraId="4E7475B0" w14:textId="29B6E8D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0872089">
            <w:r w:rsidRPr="006B4C3F">
              <w:rPr>
                <w:rStyle w:val="Hyperlink"/>
                <w:noProof/>
              </w:rPr>
              <w:t>8.5.1.</w:t>
            </w:r>
            <w:r>
              <w:rPr>
                <w:rFonts w:asciiTheme="minorHAnsi" w:hAnsiTheme="minorHAnsi" w:cstheme="minorBidi"/>
                <w:noProof/>
                <w:kern w:val="2"/>
                <w:sz w:val="24"/>
                <w:szCs w:val="24"/>
                <w14:ligatures w14:val="standardContextual"/>
              </w:rPr>
              <w:tab/>
            </w:r>
            <w:r w:rsidRPr="006B4C3F">
              <w:rPr>
                <w:rStyle w:val="Hyperlink"/>
                <w:noProof/>
              </w:rPr>
              <w:t>Pilot Programs</w:t>
            </w:r>
            <w:r>
              <w:rPr>
                <w:noProof/>
                <w:webHidden/>
              </w:rPr>
              <w:tab/>
            </w:r>
            <w:r>
              <w:rPr>
                <w:noProof/>
                <w:webHidden/>
              </w:rPr>
              <w:fldChar w:fldCharType="begin"/>
            </w:r>
            <w:r>
              <w:rPr>
                <w:noProof/>
                <w:webHidden/>
              </w:rPr>
              <w:instrText xml:space="preserve"> PAGEREF _Toc230872089 \h </w:instrText>
            </w:r>
            <w:r>
              <w:rPr>
                <w:noProof/>
                <w:webHidden/>
              </w:rPr>
            </w:r>
            <w:r>
              <w:rPr>
                <w:noProof/>
                <w:webHidden/>
              </w:rPr>
              <w:fldChar w:fldCharType="separate"/>
            </w:r>
            <w:r w:rsidR="0059060B">
              <w:rPr>
                <w:noProof/>
                <w:webHidden/>
              </w:rPr>
              <w:t>36</w:t>
            </w:r>
            <w:r>
              <w:rPr>
                <w:noProof/>
                <w:webHidden/>
              </w:rPr>
              <w:fldChar w:fldCharType="end"/>
            </w:r>
          </w:hyperlink>
        </w:p>
        <w:p w:rsidR="00785D8C" w:rsidRDefault="00785D8C" w14:paraId="64D3CF61" w14:textId="4460161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0872090">
            <w:r w:rsidRPr="006B4C3F">
              <w:rPr>
                <w:rStyle w:val="Hyperlink"/>
                <w:noProof/>
              </w:rPr>
              <w:t>8.5.2.</w:t>
            </w:r>
            <w:r>
              <w:rPr>
                <w:rFonts w:asciiTheme="minorHAnsi" w:hAnsiTheme="minorHAnsi" w:cstheme="minorBidi"/>
                <w:noProof/>
                <w:kern w:val="2"/>
                <w:sz w:val="24"/>
                <w:szCs w:val="24"/>
                <w14:ligatures w14:val="standardContextual"/>
              </w:rPr>
              <w:tab/>
            </w:r>
            <w:r w:rsidRPr="006B4C3F">
              <w:rPr>
                <w:rStyle w:val="Hyperlink"/>
                <w:noProof/>
              </w:rPr>
              <w:t>Goals</w:t>
            </w:r>
            <w:r>
              <w:rPr>
                <w:noProof/>
                <w:webHidden/>
              </w:rPr>
              <w:tab/>
            </w:r>
            <w:r>
              <w:rPr>
                <w:noProof/>
                <w:webHidden/>
              </w:rPr>
              <w:fldChar w:fldCharType="begin"/>
            </w:r>
            <w:r>
              <w:rPr>
                <w:noProof/>
                <w:webHidden/>
              </w:rPr>
              <w:instrText xml:space="preserve"> PAGEREF _Toc230872090 \h </w:instrText>
            </w:r>
            <w:r>
              <w:rPr>
                <w:noProof/>
                <w:webHidden/>
              </w:rPr>
            </w:r>
            <w:r>
              <w:rPr>
                <w:noProof/>
                <w:webHidden/>
              </w:rPr>
              <w:fldChar w:fldCharType="separate"/>
            </w:r>
            <w:r w:rsidR="0059060B">
              <w:rPr>
                <w:noProof/>
                <w:webHidden/>
              </w:rPr>
              <w:t>38</w:t>
            </w:r>
            <w:r>
              <w:rPr>
                <w:noProof/>
                <w:webHidden/>
              </w:rPr>
              <w:fldChar w:fldCharType="end"/>
            </w:r>
          </w:hyperlink>
        </w:p>
        <w:p w:rsidR="00785D8C" w:rsidRDefault="00785D8C" w14:paraId="2CC7B267" w14:textId="5E1CB08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0872091">
            <w:r w:rsidRPr="006B4C3F">
              <w:rPr>
                <w:rStyle w:val="Hyperlink"/>
                <w:noProof/>
              </w:rPr>
              <w:t>8.5.3.</w:t>
            </w:r>
            <w:r>
              <w:rPr>
                <w:rFonts w:asciiTheme="minorHAnsi" w:hAnsiTheme="minorHAnsi" w:cstheme="minorBidi"/>
                <w:noProof/>
                <w:kern w:val="2"/>
                <w:sz w:val="24"/>
                <w:szCs w:val="24"/>
                <w14:ligatures w14:val="standardContextual"/>
              </w:rPr>
              <w:tab/>
            </w:r>
            <w:r w:rsidRPr="006B4C3F">
              <w:rPr>
                <w:rStyle w:val="Hyperlink"/>
                <w:noProof/>
              </w:rPr>
              <w:t>Budgets</w:t>
            </w:r>
            <w:r>
              <w:rPr>
                <w:noProof/>
                <w:webHidden/>
              </w:rPr>
              <w:tab/>
            </w:r>
            <w:r>
              <w:rPr>
                <w:noProof/>
                <w:webHidden/>
              </w:rPr>
              <w:fldChar w:fldCharType="begin"/>
            </w:r>
            <w:r>
              <w:rPr>
                <w:noProof/>
                <w:webHidden/>
              </w:rPr>
              <w:instrText xml:space="preserve"> PAGEREF _Toc230872091 \h </w:instrText>
            </w:r>
            <w:r>
              <w:rPr>
                <w:noProof/>
                <w:webHidden/>
              </w:rPr>
            </w:r>
            <w:r>
              <w:rPr>
                <w:noProof/>
                <w:webHidden/>
              </w:rPr>
              <w:fldChar w:fldCharType="separate"/>
            </w:r>
            <w:r w:rsidR="0059060B">
              <w:rPr>
                <w:noProof/>
                <w:webHidden/>
              </w:rPr>
              <w:t>39</w:t>
            </w:r>
            <w:r>
              <w:rPr>
                <w:noProof/>
                <w:webHidden/>
              </w:rPr>
              <w:fldChar w:fldCharType="end"/>
            </w:r>
          </w:hyperlink>
        </w:p>
        <w:p w:rsidR="00785D8C" w:rsidRDefault="00785D8C" w14:paraId="0413DE0E" w14:textId="5DBB0AB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0872092">
            <w:r w:rsidRPr="006B4C3F">
              <w:rPr>
                <w:rStyle w:val="Hyperlink"/>
                <w:noProof/>
              </w:rPr>
              <w:t>8.5.4.</w:t>
            </w:r>
            <w:r>
              <w:rPr>
                <w:rFonts w:asciiTheme="minorHAnsi" w:hAnsiTheme="minorHAnsi" w:cstheme="minorBidi"/>
                <w:noProof/>
                <w:kern w:val="2"/>
                <w:sz w:val="24"/>
                <w:szCs w:val="24"/>
                <w14:ligatures w14:val="standardContextual"/>
              </w:rPr>
              <w:tab/>
            </w:r>
            <w:r w:rsidRPr="006B4C3F">
              <w:rPr>
                <w:rStyle w:val="Hyperlink"/>
                <w:noProof/>
              </w:rPr>
              <w:t>Unspent Funds, Fund Shifting and Mid-Cycle Changes</w:t>
            </w:r>
            <w:r>
              <w:rPr>
                <w:noProof/>
                <w:webHidden/>
              </w:rPr>
              <w:tab/>
            </w:r>
            <w:r>
              <w:rPr>
                <w:noProof/>
                <w:webHidden/>
              </w:rPr>
              <w:fldChar w:fldCharType="begin"/>
            </w:r>
            <w:r>
              <w:rPr>
                <w:noProof/>
                <w:webHidden/>
              </w:rPr>
              <w:instrText xml:space="preserve"> PAGEREF _Toc230872092 \h </w:instrText>
            </w:r>
            <w:r>
              <w:rPr>
                <w:noProof/>
                <w:webHidden/>
              </w:rPr>
            </w:r>
            <w:r>
              <w:rPr>
                <w:noProof/>
                <w:webHidden/>
              </w:rPr>
              <w:fldChar w:fldCharType="separate"/>
            </w:r>
            <w:r w:rsidR="0059060B">
              <w:rPr>
                <w:noProof/>
                <w:webHidden/>
              </w:rPr>
              <w:t>43</w:t>
            </w:r>
            <w:r>
              <w:rPr>
                <w:noProof/>
                <w:webHidden/>
              </w:rPr>
              <w:fldChar w:fldCharType="end"/>
            </w:r>
          </w:hyperlink>
        </w:p>
        <w:p w:rsidR="00785D8C" w:rsidRDefault="00785D8C" w14:paraId="093A8140" w14:textId="311E700A">
          <w:pPr>
            <w:pStyle w:val="TOC1"/>
            <w:tabs>
              <w:tab w:val="right" w:leader="dot" w:pos="9350"/>
            </w:tabs>
            <w:rPr>
              <w:rFonts w:asciiTheme="minorHAnsi" w:hAnsiTheme="minorHAnsi" w:cstheme="minorBidi"/>
              <w:noProof/>
              <w:kern w:val="2"/>
              <w:sz w:val="24"/>
              <w:szCs w:val="24"/>
              <w14:ligatures w14:val="standardContextual"/>
            </w:rPr>
          </w:pPr>
          <w:hyperlink w:history="1" w:anchor="_Toc230872093">
            <w:r w:rsidRPr="006B4C3F">
              <w:rPr>
                <w:rStyle w:val="Hyperlink"/>
                <w:noProof/>
              </w:rPr>
              <w:t>9.</w:t>
            </w:r>
            <w:r>
              <w:rPr>
                <w:rFonts w:asciiTheme="minorHAnsi" w:hAnsiTheme="minorHAnsi" w:cstheme="minorBidi"/>
                <w:noProof/>
                <w:kern w:val="2"/>
                <w:sz w:val="24"/>
                <w:szCs w:val="24"/>
                <w14:ligatures w14:val="standardContextual"/>
              </w:rPr>
              <w:tab/>
            </w:r>
            <w:r w:rsidRPr="006B4C3F">
              <w:rPr>
                <w:rStyle w:val="Hyperlink"/>
                <w:noProof/>
              </w:rPr>
              <w:t>Workforce Education and Training Activities</w:t>
            </w:r>
            <w:r>
              <w:rPr>
                <w:noProof/>
                <w:webHidden/>
              </w:rPr>
              <w:tab/>
            </w:r>
            <w:r>
              <w:rPr>
                <w:noProof/>
                <w:webHidden/>
              </w:rPr>
              <w:fldChar w:fldCharType="begin"/>
            </w:r>
            <w:r>
              <w:rPr>
                <w:noProof/>
                <w:webHidden/>
              </w:rPr>
              <w:instrText xml:space="preserve"> PAGEREF _Toc230872093 \h </w:instrText>
            </w:r>
            <w:r>
              <w:rPr>
                <w:noProof/>
                <w:webHidden/>
              </w:rPr>
            </w:r>
            <w:r>
              <w:rPr>
                <w:noProof/>
                <w:webHidden/>
              </w:rPr>
              <w:fldChar w:fldCharType="separate"/>
            </w:r>
            <w:r w:rsidR="0059060B">
              <w:rPr>
                <w:noProof/>
                <w:webHidden/>
              </w:rPr>
              <w:t>44</w:t>
            </w:r>
            <w:r>
              <w:rPr>
                <w:noProof/>
                <w:webHidden/>
              </w:rPr>
              <w:fldChar w:fldCharType="end"/>
            </w:r>
          </w:hyperlink>
        </w:p>
        <w:p w:rsidR="00785D8C" w:rsidRDefault="00785D8C" w14:paraId="247D36A3" w14:textId="5067528F">
          <w:pPr>
            <w:pStyle w:val="TOC1"/>
            <w:tabs>
              <w:tab w:val="right" w:leader="dot" w:pos="9350"/>
            </w:tabs>
            <w:rPr>
              <w:rFonts w:asciiTheme="minorHAnsi" w:hAnsiTheme="minorHAnsi" w:cstheme="minorBidi"/>
              <w:noProof/>
              <w:kern w:val="2"/>
              <w:sz w:val="24"/>
              <w:szCs w:val="24"/>
              <w14:ligatures w14:val="standardContextual"/>
            </w:rPr>
          </w:pPr>
          <w:hyperlink w:history="1" w:anchor="_Toc230872094">
            <w:r w:rsidRPr="006B4C3F">
              <w:rPr>
                <w:rStyle w:val="Hyperlink"/>
                <w:noProof/>
              </w:rPr>
              <w:t>10.</w:t>
            </w:r>
            <w:r>
              <w:rPr>
                <w:rFonts w:asciiTheme="minorHAnsi" w:hAnsiTheme="minorHAnsi" w:cstheme="minorBidi"/>
                <w:noProof/>
                <w:kern w:val="2"/>
                <w:sz w:val="24"/>
                <w:szCs w:val="24"/>
                <w14:ligatures w14:val="standardContextual"/>
              </w:rPr>
              <w:tab/>
            </w:r>
            <w:r w:rsidRPr="006B4C3F">
              <w:rPr>
                <w:rStyle w:val="Hyperlink"/>
                <w:noProof/>
              </w:rPr>
              <w:t>Studies, Evaluations, Working Groups, and Reporting</w:t>
            </w:r>
            <w:r>
              <w:rPr>
                <w:noProof/>
                <w:webHidden/>
              </w:rPr>
              <w:tab/>
            </w:r>
            <w:r>
              <w:rPr>
                <w:noProof/>
                <w:webHidden/>
              </w:rPr>
              <w:fldChar w:fldCharType="begin"/>
            </w:r>
            <w:r>
              <w:rPr>
                <w:noProof/>
                <w:webHidden/>
              </w:rPr>
              <w:instrText xml:space="preserve"> PAGEREF _Toc230872094 \h </w:instrText>
            </w:r>
            <w:r>
              <w:rPr>
                <w:noProof/>
                <w:webHidden/>
              </w:rPr>
            </w:r>
            <w:r>
              <w:rPr>
                <w:noProof/>
                <w:webHidden/>
              </w:rPr>
              <w:fldChar w:fldCharType="separate"/>
            </w:r>
            <w:r w:rsidR="0059060B">
              <w:rPr>
                <w:noProof/>
                <w:webHidden/>
              </w:rPr>
              <w:t>44</w:t>
            </w:r>
            <w:r>
              <w:rPr>
                <w:noProof/>
                <w:webHidden/>
              </w:rPr>
              <w:fldChar w:fldCharType="end"/>
            </w:r>
          </w:hyperlink>
        </w:p>
        <w:p w:rsidR="00785D8C" w:rsidRDefault="00785D8C" w14:paraId="72A5E281" w14:textId="105791E5">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30872095">
            <w:r w:rsidRPr="006B4C3F">
              <w:rPr>
                <w:rStyle w:val="Hyperlink"/>
                <w:noProof/>
              </w:rPr>
              <w:t>10.1.</w:t>
            </w:r>
            <w:r>
              <w:rPr>
                <w:rFonts w:asciiTheme="minorHAnsi" w:hAnsiTheme="minorHAnsi" w:cstheme="minorBidi"/>
                <w:noProof/>
                <w:kern w:val="2"/>
                <w:sz w:val="24"/>
                <w:szCs w:val="24"/>
                <w14:ligatures w14:val="standardContextual"/>
              </w:rPr>
              <w:tab/>
            </w:r>
            <w:r w:rsidRPr="006B4C3F">
              <w:rPr>
                <w:rStyle w:val="Hyperlink"/>
                <w:noProof/>
              </w:rPr>
              <w:t>Studies</w:t>
            </w:r>
            <w:r>
              <w:rPr>
                <w:noProof/>
                <w:webHidden/>
              </w:rPr>
              <w:tab/>
            </w:r>
            <w:r>
              <w:rPr>
                <w:noProof/>
                <w:webHidden/>
              </w:rPr>
              <w:fldChar w:fldCharType="begin"/>
            </w:r>
            <w:r>
              <w:rPr>
                <w:noProof/>
                <w:webHidden/>
              </w:rPr>
              <w:instrText xml:space="preserve"> PAGEREF _Toc230872095 \h </w:instrText>
            </w:r>
            <w:r>
              <w:rPr>
                <w:noProof/>
                <w:webHidden/>
              </w:rPr>
            </w:r>
            <w:r>
              <w:rPr>
                <w:noProof/>
                <w:webHidden/>
              </w:rPr>
              <w:fldChar w:fldCharType="separate"/>
            </w:r>
            <w:r w:rsidR="0059060B">
              <w:rPr>
                <w:noProof/>
                <w:webHidden/>
              </w:rPr>
              <w:t>44</w:t>
            </w:r>
            <w:r>
              <w:rPr>
                <w:noProof/>
                <w:webHidden/>
              </w:rPr>
              <w:fldChar w:fldCharType="end"/>
            </w:r>
          </w:hyperlink>
        </w:p>
        <w:p w:rsidR="00785D8C" w:rsidRDefault="00785D8C" w14:paraId="60EF6027" w14:textId="2D6FD40D">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30872096">
            <w:r w:rsidRPr="006B4C3F">
              <w:rPr>
                <w:rStyle w:val="Hyperlink"/>
                <w:noProof/>
              </w:rPr>
              <w:t>10.2.</w:t>
            </w:r>
            <w:r>
              <w:rPr>
                <w:rFonts w:asciiTheme="minorHAnsi" w:hAnsiTheme="minorHAnsi" w:cstheme="minorBidi"/>
                <w:noProof/>
                <w:kern w:val="2"/>
                <w:sz w:val="24"/>
                <w:szCs w:val="24"/>
                <w14:ligatures w14:val="standardContextual"/>
              </w:rPr>
              <w:tab/>
            </w:r>
            <w:r w:rsidRPr="006B4C3F">
              <w:rPr>
                <w:rStyle w:val="Hyperlink"/>
                <w:noProof/>
              </w:rPr>
              <w:t>Working Groups</w:t>
            </w:r>
            <w:r>
              <w:rPr>
                <w:noProof/>
                <w:webHidden/>
              </w:rPr>
              <w:tab/>
            </w:r>
            <w:r>
              <w:rPr>
                <w:noProof/>
                <w:webHidden/>
              </w:rPr>
              <w:fldChar w:fldCharType="begin"/>
            </w:r>
            <w:r>
              <w:rPr>
                <w:noProof/>
                <w:webHidden/>
              </w:rPr>
              <w:instrText xml:space="preserve"> PAGEREF _Toc230872096 \h </w:instrText>
            </w:r>
            <w:r>
              <w:rPr>
                <w:noProof/>
                <w:webHidden/>
              </w:rPr>
            </w:r>
            <w:r>
              <w:rPr>
                <w:noProof/>
                <w:webHidden/>
              </w:rPr>
              <w:fldChar w:fldCharType="separate"/>
            </w:r>
            <w:r w:rsidR="0059060B">
              <w:rPr>
                <w:noProof/>
                <w:webHidden/>
              </w:rPr>
              <w:t>46</w:t>
            </w:r>
            <w:r>
              <w:rPr>
                <w:noProof/>
                <w:webHidden/>
              </w:rPr>
              <w:fldChar w:fldCharType="end"/>
            </w:r>
          </w:hyperlink>
        </w:p>
        <w:p w:rsidR="00785D8C" w:rsidRDefault="00785D8C" w14:paraId="5A48AA95" w14:textId="1C998A5C">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30872097">
            <w:r w:rsidRPr="006B4C3F">
              <w:rPr>
                <w:rStyle w:val="Hyperlink"/>
                <w:noProof/>
              </w:rPr>
              <w:t>10.3.</w:t>
            </w:r>
            <w:r>
              <w:rPr>
                <w:rFonts w:asciiTheme="minorHAnsi" w:hAnsiTheme="minorHAnsi" w:cstheme="minorBidi"/>
                <w:noProof/>
                <w:kern w:val="2"/>
                <w:sz w:val="24"/>
                <w:szCs w:val="24"/>
                <w14:ligatures w14:val="standardContextual"/>
              </w:rPr>
              <w:tab/>
            </w:r>
            <w:r w:rsidRPr="006B4C3F">
              <w:rPr>
                <w:rStyle w:val="Hyperlink"/>
                <w:noProof/>
              </w:rPr>
              <w:t>Reporting</w:t>
            </w:r>
            <w:r>
              <w:rPr>
                <w:noProof/>
                <w:webHidden/>
              </w:rPr>
              <w:tab/>
            </w:r>
            <w:r>
              <w:rPr>
                <w:noProof/>
                <w:webHidden/>
              </w:rPr>
              <w:fldChar w:fldCharType="begin"/>
            </w:r>
            <w:r>
              <w:rPr>
                <w:noProof/>
                <w:webHidden/>
              </w:rPr>
              <w:instrText xml:space="preserve"> PAGEREF _Toc230872097 \h </w:instrText>
            </w:r>
            <w:r>
              <w:rPr>
                <w:noProof/>
                <w:webHidden/>
              </w:rPr>
            </w:r>
            <w:r>
              <w:rPr>
                <w:noProof/>
                <w:webHidden/>
              </w:rPr>
              <w:fldChar w:fldCharType="separate"/>
            </w:r>
            <w:r w:rsidR="0059060B">
              <w:rPr>
                <w:noProof/>
                <w:webHidden/>
              </w:rPr>
              <w:t>47</w:t>
            </w:r>
            <w:r>
              <w:rPr>
                <w:noProof/>
                <w:webHidden/>
              </w:rPr>
              <w:fldChar w:fldCharType="end"/>
            </w:r>
          </w:hyperlink>
        </w:p>
        <w:p w:rsidR="00785D8C" w:rsidRDefault="00785D8C" w14:paraId="30C4FDFB" w14:textId="404236C2">
          <w:pPr>
            <w:pStyle w:val="TOC1"/>
            <w:tabs>
              <w:tab w:val="right" w:leader="dot" w:pos="9350"/>
            </w:tabs>
            <w:rPr>
              <w:rFonts w:asciiTheme="minorHAnsi" w:hAnsiTheme="minorHAnsi" w:cstheme="minorBidi"/>
              <w:noProof/>
              <w:kern w:val="2"/>
              <w:sz w:val="24"/>
              <w:szCs w:val="24"/>
              <w14:ligatures w14:val="standardContextual"/>
            </w:rPr>
          </w:pPr>
          <w:hyperlink w:history="1" w:anchor="_Toc230872098">
            <w:r w:rsidRPr="006B4C3F">
              <w:rPr>
                <w:rStyle w:val="Hyperlink"/>
                <w:noProof/>
              </w:rPr>
              <w:t>11.</w:t>
            </w:r>
            <w:r>
              <w:rPr>
                <w:rFonts w:asciiTheme="minorHAnsi" w:hAnsiTheme="minorHAnsi" w:cstheme="minorBidi"/>
                <w:noProof/>
                <w:kern w:val="2"/>
                <w:sz w:val="24"/>
                <w:szCs w:val="24"/>
                <w14:ligatures w14:val="standardContextual"/>
              </w:rPr>
              <w:tab/>
            </w:r>
            <w:r w:rsidRPr="006B4C3F">
              <w:rPr>
                <w:rStyle w:val="Hyperlink"/>
                <w:noProof/>
              </w:rPr>
              <w:t>Miscellaneous Issues</w:t>
            </w:r>
            <w:r>
              <w:rPr>
                <w:noProof/>
                <w:webHidden/>
              </w:rPr>
              <w:tab/>
            </w:r>
            <w:r>
              <w:rPr>
                <w:noProof/>
                <w:webHidden/>
              </w:rPr>
              <w:fldChar w:fldCharType="begin"/>
            </w:r>
            <w:r>
              <w:rPr>
                <w:noProof/>
                <w:webHidden/>
              </w:rPr>
              <w:instrText xml:space="preserve"> PAGEREF _Toc230872098 \h </w:instrText>
            </w:r>
            <w:r>
              <w:rPr>
                <w:noProof/>
                <w:webHidden/>
              </w:rPr>
            </w:r>
            <w:r>
              <w:rPr>
                <w:noProof/>
                <w:webHidden/>
              </w:rPr>
              <w:fldChar w:fldCharType="separate"/>
            </w:r>
            <w:r w:rsidR="0059060B">
              <w:rPr>
                <w:noProof/>
                <w:webHidden/>
              </w:rPr>
              <w:t>49</w:t>
            </w:r>
            <w:r>
              <w:rPr>
                <w:noProof/>
                <w:webHidden/>
              </w:rPr>
              <w:fldChar w:fldCharType="end"/>
            </w:r>
          </w:hyperlink>
        </w:p>
        <w:p w:rsidR="00785D8C" w:rsidRDefault="00785D8C" w14:paraId="10505696" w14:textId="6A594DD1">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30872099">
            <w:r w:rsidRPr="006B4C3F">
              <w:rPr>
                <w:rStyle w:val="Hyperlink"/>
                <w:noProof/>
              </w:rPr>
              <w:t>11.1.</w:t>
            </w:r>
            <w:r>
              <w:rPr>
                <w:rFonts w:asciiTheme="minorHAnsi" w:hAnsiTheme="minorHAnsi" w:cstheme="minorBidi"/>
                <w:noProof/>
                <w:kern w:val="2"/>
                <w:sz w:val="24"/>
                <w:szCs w:val="24"/>
                <w14:ligatures w14:val="standardContextual"/>
              </w:rPr>
              <w:tab/>
            </w:r>
            <w:r w:rsidRPr="006B4C3F">
              <w:rPr>
                <w:rStyle w:val="Hyperlink"/>
                <w:noProof/>
              </w:rPr>
              <w:t>California Emerging Technology Fund</w:t>
            </w:r>
            <w:r>
              <w:rPr>
                <w:noProof/>
                <w:webHidden/>
              </w:rPr>
              <w:tab/>
            </w:r>
            <w:r>
              <w:rPr>
                <w:noProof/>
                <w:webHidden/>
              </w:rPr>
              <w:fldChar w:fldCharType="begin"/>
            </w:r>
            <w:r>
              <w:rPr>
                <w:noProof/>
                <w:webHidden/>
              </w:rPr>
              <w:instrText xml:space="preserve"> PAGEREF _Toc230872099 \h </w:instrText>
            </w:r>
            <w:r>
              <w:rPr>
                <w:noProof/>
                <w:webHidden/>
              </w:rPr>
            </w:r>
            <w:r>
              <w:rPr>
                <w:noProof/>
                <w:webHidden/>
              </w:rPr>
              <w:fldChar w:fldCharType="separate"/>
            </w:r>
            <w:r w:rsidR="0059060B">
              <w:rPr>
                <w:noProof/>
                <w:webHidden/>
              </w:rPr>
              <w:t>49</w:t>
            </w:r>
            <w:r>
              <w:rPr>
                <w:noProof/>
                <w:webHidden/>
              </w:rPr>
              <w:fldChar w:fldCharType="end"/>
            </w:r>
          </w:hyperlink>
        </w:p>
        <w:p w:rsidR="00785D8C" w:rsidRDefault="00785D8C" w14:paraId="75166825" w14:textId="6289788D">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30872100">
            <w:r w:rsidRPr="006B4C3F">
              <w:rPr>
                <w:rStyle w:val="Hyperlink"/>
                <w:noProof/>
              </w:rPr>
              <w:t>11.2.</w:t>
            </w:r>
            <w:r>
              <w:rPr>
                <w:rFonts w:asciiTheme="minorHAnsi" w:hAnsiTheme="minorHAnsi" w:cstheme="minorBidi"/>
                <w:noProof/>
                <w:kern w:val="2"/>
                <w:sz w:val="24"/>
                <w:szCs w:val="24"/>
                <w14:ligatures w14:val="standardContextual"/>
              </w:rPr>
              <w:tab/>
            </w:r>
            <w:r w:rsidRPr="006B4C3F">
              <w:rPr>
                <w:rStyle w:val="Hyperlink"/>
                <w:noProof/>
              </w:rPr>
              <w:t>CHANGES Program</w:t>
            </w:r>
            <w:r>
              <w:rPr>
                <w:noProof/>
                <w:webHidden/>
              </w:rPr>
              <w:tab/>
            </w:r>
            <w:r>
              <w:rPr>
                <w:noProof/>
                <w:webHidden/>
              </w:rPr>
              <w:fldChar w:fldCharType="begin"/>
            </w:r>
            <w:r>
              <w:rPr>
                <w:noProof/>
                <w:webHidden/>
              </w:rPr>
              <w:instrText xml:space="preserve"> PAGEREF _Toc230872100 \h </w:instrText>
            </w:r>
            <w:r>
              <w:rPr>
                <w:noProof/>
                <w:webHidden/>
              </w:rPr>
            </w:r>
            <w:r>
              <w:rPr>
                <w:noProof/>
                <w:webHidden/>
              </w:rPr>
              <w:fldChar w:fldCharType="separate"/>
            </w:r>
            <w:r w:rsidR="0059060B">
              <w:rPr>
                <w:noProof/>
                <w:webHidden/>
              </w:rPr>
              <w:t>50</w:t>
            </w:r>
            <w:r>
              <w:rPr>
                <w:noProof/>
                <w:webHidden/>
              </w:rPr>
              <w:fldChar w:fldCharType="end"/>
            </w:r>
          </w:hyperlink>
        </w:p>
        <w:p w:rsidR="00785D8C" w:rsidRDefault="00785D8C" w14:paraId="77A6415C" w14:textId="06E45485">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30872101">
            <w:r w:rsidRPr="006B4C3F">
              <w:rPr>
                <w:rStyle w:val="Hyperlink"/>
                <w:noProof/>
              </w:rPr>
              <w:t>11.3.</w:t>
            </w:r>
            <w:r>
              <w:rPr>
                <w:rFonts w:asciiTheme="minorHAnsi" w:hAnsiTheme="minorHAnsi" w:cstheme="minorBidi"/>
                <w:noProof/>
                <w:kern w:val="2"/>
                <w:sz w:val="24"/>
                <w:szCs w:val="24"/>
                <w14:ligatures w14:val="standardContextual"/>
              </w:rPr>
              <w:tab/>
            </w:r>
            <w:r w:rsidRPr="006B4C3F">
              <w:rPr>
                <w:rStyle w:val="Hyperlink"/>
                <w:noProof/>
              </w:rPr>
              <w:t>Escalation</w:t>
            </w:r>
            <w:r>
              <w:rPr>
                <w:noProof/>
                <w:webHidden/>
              </w:rPr>
              <w:tab/>
            </w:r>
            <w:r>
              <w:rPr>
                <w:noProof/>
                <w:webHidden/>
              </w:rPr>
              <w:fldChar w:fldCharType="begin"/>
            </w:r>
            <w:r>
              <w:rPr>
                <w:noProof/>
                <w:webHidden/>
              </w:rPr>
              <w:instrText xml:space="preserve"> PAGEREF _Toc230872101 \h </w:instrText>
            </w:r>
            <w:r>
              <w:rPr>
                <w:noProof/>
                <w:webHidden/>
              </w:rPr>
            </w:r>
            <w:r>
              <w:rPr>
                <w:noProof/>
                <w:webHidden/>
              </w:rPr>
              <w:fldChar w:fldCharType="separate"/>
            </w:r>
            <w:r w:rsidR="0059060B">
              <w:rPr>
                <w:noProof/>
                <w:webHidden/>
              </w:rPr>
              <w:t>51</w:t>
            </w:r>
            <w:r>
              <w:rPr>
                <w:noProof/>
                <w:webHidden/>
              </w:rPr>
              <w:fldChar w:fldCharType="end"/>
            </w:r>
          </w:hyperlink>
        </w:p>
        <w:p w:rsidR="00785D8C" w:rsidRDefault="00785D8C" w14:paraId="4026523E" w14:textId="486EBC9F">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30872102">
            <w:r w:rsidRPr="006B4C3F">
              <w:rPr>
                <w:rStyle w:val="Hyperlink"/>
                <w:noProof/>
              </w:rPr>
              <w:t>11.4.</w:t>
            </w:r>
            <w:r>
              <w:rPr>
                <w:rFonts w:asciiTheme="minorHAnsi" w:hAnsiTheme="minorHAnsi" w:cstheme="minorBidi"/>
                <w:noProof/>
                <w:kern w:val="2"/>
                <w:sz w:val="24"/>
                <w:szCs w:val="24"/>
                <w14:ligatures w14:val="standardContextual"/>
              </w:rPr>
              <w:tab/>
            </w:r>
            <w:r w:rsidRPr="006B4C3F">
              <w:rPr>
                <w:rStyle w:val="Hyperlink"/>
                <w:noProof/>
              </w:rPr>
              <w:t>Unspent Funds</w:t>
            </w:r>
            <w:r>
              <w:rPr>
                <w:noProof/>
                <w:webHidden/>
              </w:rPr>
              <w:tab/>
            </w:r>
            <w:r>
              <w:rPr>
                <w:noProof/>
                <w:webHidden/>
              </w:rPr>
              <w:fldChar w:fldCharType="begin"/>
            </w:r>
            <w:r>
              <w:rPr>
                <w:noProof/>
                <w:webHidden/>
              </w:rPr>
              <w:instrText xml:space="preserve"> PAGEREF _Toc230872102 \h </w:instrText>
            </w:r>
            <w:r>
              <w:rPr>
                <w:noProof/>
                <w:webHidden/>
              </w:rPr>
            </w:r>
            <w:r>
              <w:rPr>
                <w:noProof/>
                <w:webHidden/>
              </w:rPr>
              <w:fldChar w:fldCharType="separate"/>
            </w:r>
            <w:r w:rsidR="0059060B">
              <w:rPr>
                <w:noProof/>
                <w:webHidden/>
              </w:rPr>
              <w:t>52</w:t>
            </w:r>
            <w:r>
              <w:rPr>
                <w:noProof/>
                <w:webHidden/>
              </w:rPr>
              <w:fldChar w:fldCharType="end"/>
            </w:r>
          </w:hyperlink>
        </w:p>
        <w:p w:rsidR="00785D8C" w:rsidRDefault="00785D8C" w14:paraId="192DFD0D" w14:textId="2BB265F3">
          <w:pPr>
            <w:pStyle w:val="TOC1"/>
            <w:tabs>
              <w:tab w:val="right" w:leader="dot" w:pos="9350"/>
            </w:tabs>
            <w:rPr>
              <w:rFonts w:asciiTheme="minorHAnsi" w:hAnsiTheme="minorHAnsi" w:cstheme="minorBidi"/>
              <w:noProof/>
              <w:kern w:val="2"/>
              <w:sz w:val="24"/>
              <w:szCs w:val="24"/>
              <w14:ligatures w14:val="standardContextual"/>
            </w:rPr>
          </w:pPr>
          <w:hyperlink w:history="1" w:anchor="_Toc230872103">
            <w:r w:rsidRPr="006B4C3F">
              <w:rPr>
                <w:rStyle w:val="Hyperlink"/>
                <w:noProof/>
              </w:rPr>
              <w:t>12.</w:t>
            </w:r>
            <w:r>
              <w:rPr>
                <w:rFonts w:asciiTheme="minorHAnsi" w:hAnsiTheme="minorHAnsi" w:cstheme="minorBidi"/>
                <w:noProof/>
                <w:kern w:val="2"/>
                <w:sz w:val="24"/>
                <w:szCs w:val="24"/>
                <w14:ligatures w14:val="standardContextual"/>
              </w:rPr>
              <w:tab/>
            </w:r>
            <w:r w:rsidRPr="006B4C3F">
              <w:rPr>
                <w:rStyle w:val="Hyperlink"/>
                <w:noProof/>
              </w:rPr>
              <w:t>Revenue Requirements and Cost Recovery</w:t>
            </w:r>
            <w:r>
              <w:rPr>
                <w:noProof/>
                <w:webHidden/>
              </w:rPr>
              <w:tab/>
            </w:r>
            <w:r>
              <w:rPr>
                <w:noProof/>
                <w:webHidden/>
              </w:rPr>
              <w:fldChar w:fldCharType="begin"/>
            </w:r>
            <w:r>
              <w:rPr>
                <w:noProof/>
                <w:webHidden/>
              </w:rPr>
              <w:instrText xml:space="preserve"> PAGEREF _Toc230872103 \h </w:instrText>
            </w:r>
            <w:r>
              <w:rPr>
                <w:noProof/>
                <w:webHidden/>
              </w:rPr>
            </w:r>
            <w:r>
              <w:rPr>
                <w:noProof/>
                <w:webHidden/>
              </w:rPr>
              <w:fldChar w:fldCharType="separate"/>
            </w:r>
            <w:r w:rsidR="0059060B">
              <w:rPr>
                <w:noProof/>
                <w:webHidden/>
              </w:rPr>
              <w:t>55</w:t>
            </w:r>
            <w:r>
              <w:rPr>
                <w:noProof/>
                <w:webHidden/>
              </w:rPr>
              <w:fldChar w:fldCharType="end"/>
            </w:r>
          </w:hyperlink>
        </w:p>
        <w:p w:rsidR="00785D8C" w:rsidRDefault="00785D8C" w14:paraId="14519E1D" w14:textId="28EB7FFD">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30872104">
            <w:r w:rsidRPr="006B4C3F">
              <w:rPr>
                <w:rStyle w:val="Hyperlink"/>
                <w:noProof/>
              </w:rPr>
              <w:t>12.1.</w:t>
            </w:r>
            <w:r>
              <w:rPr>
                <w:rFonts w:asciiTheme="minorHAnsi" w:hAnsiTheme="minorHAnsi" w:cstheme="minorBidi"/>
                <w:noProof/>
                <w:kern w:val="2"/>
                <w:sz w:val="24"/>
                <w:szCs w:val="24"/>
                <w14:ligatures w14:val="standardContextual"/>
              </w:rPr>
              <w:tab/>
            </w:r>
            <w:r w:rsidRPr="006B4C3F">
              <w:rPr>
                <w:rStyle w:val="Hyperlink"/>
                <w:noProof/>
              </w:rPr>
              <w:t>PG&amp;E</w:t>
            </w:r>
            <w:r>
              <w:rPr>
                <w:noProof/>
                <w:webHidden/>
              </w:rPr>
              <w:tab/>
            </w:r>
            <w:r>
              <w:rPr>
                <w:noProof/>
                <w:webHidden/>
              </w:rPr>
              <w:fldChar w:fldCharType="begin"/>
            </w:r>
            <w:r>
              <w:rPr>
                <w:noProof/>
                <w:webHidden/>
              </w:rPr>
              <w:instrText xml:space="preserve"> PAGEREF _Toc230872104 \h </w:instrText>
            </w:r>
            <w:r>
              <w:rPr>
                <w:noProof/>
                <w:webHidden/>
              </w:rPr>
            </w:r>
            <w:r>
              <w:rPr>
                <w:noProof/>
                <w:webHidden/>
              </w:rPr>
              <w:fldChar w:fldCharType="separate"/>
            </w:r>
            <w:r w:rsidR="0059060B">
              <w:rPr>
                <w:noProof/>
                <w:webHidden/>
              </w:rPr>
              <w:t>55</w:t>
            </w:r>
            <w:r>
              <w:rPr>
                <w:noProof/>
                <w:webHidden/>
              </w:rPr>
              <w:fldChar w:fldCharType="end"/>
            </w:r>
          </w:hyperlink>
        </w:p>
        <w:p w:rsidR="00785D8C" w:rsidRDefault="00785D8C" w14:paraId="1A2B6F77" w14:textId="374DAA70">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30872105">
            <w:r w:rsidRPr="006B4C3F">
              <w:rPr>
                <w:rStyle w:val="Hyperlink"/>
                <w:noProof/>
              </w:rPr>
              <w:t>12.2.</w:t>
            </w:r>
            <w:r>
              <w:rPr>
                <w:rFonts w:asciiTheme="minorHAnsi" w:hAnsiTheme="minorHAnsi" w:cstheme="minorBidi"/>
                <w:noProof/>
                <w:kern w:val="2"/>
                <w:sz w:val="24"/>
                <w:szCs w:val="24"/>
                <w14:ligatures w14:val="standardContextual"/>
              </w:rPr>
              <w:tab/>
            </w:r>
            <w:r w:rsidRPr="006B4C3F">
              <w:rPr>
                <w:rStyle w:val="Hyperlink"/>
                <w:noProof/>
              </w:rPr>
              <w:t>SDG&amp;E</w:t>
            </w:r>
            <w:r>
              <w:rPr>
                <w:noProof/>
                <w:webHidden/>
              </w:rPr>
              <w:tab/>
            </w:r>
            <w:r>
              <w:rPr>
                <w:noProof/>
                <w:webHidden/>
              </w:rPr>
              <w:fldChar w:fldCharType="begin"/>
            </w:r>
            <w:r>
              <w:rPr>
                <w:noProof/>
                <w:webHidden/>
              </w:rPr>
              <w:instrText xml:space="preserve"> PAGEREF _Toc230872105 \h </w:instrText>
            </w:r>
            <w:r>
              <w:rPr>
                <w:noProof/>
                <w:webHidden/>
              </w:rPr>
            </w:r>
            <w:r>
              <w:rPr>
                <w:noProof/>
                <w:webHidden/>
              </w:rPr>
              <w:fldChar w:fldCharType="separate"/>
            </w:r>
            <w:r w:rsidR="0059060B">
              <w:rPr>
                <w:noProof/>
                <w:webHidden/>
              </w:rPr>
              <w:t>57</w:t>
            </w:r>
            <w:r>
              <w:rPr>
                <w:noProof/>
                <w:webHidden/>
              </w:rPr>
              <w:fldChar w:fldCharType="end"/>
            </w:r>
          </w:hyperlink>
        </w:p>
        <w:p w:rsidR="00785D8C" w:rsidRDefault="00785D8C" w14:paraId="0F5FF329" w14:textId="0CEFBC1F">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30872106">
            <w:r w:rsidRPr="006B4C3F">
              <w:rPr>
                <w:rStyle w:val="Hyperlink"/>
                <w:noProof/>
              </w:rPr>
              <w:t>12.3.</w:t>
            </w:r>
            <w:r>
              <w:rPr>
                <w:rFonts w:asciiTheme="minorHAnsi" w:hAnsiTheme="minorHAnsi" w:cstheme="minorBidi"/>
                <w:noProof/>
                <w:kern w:val="2"/>
                <w:sz w:val="24"/>
                <w:szCs w:val="24"/>
                <w14:ligatures w14:val="standardContextual"/>
              </w:rPr>
              <w:tab/>
            </w:r>
            <w:r w:rsidRPr="006B4C3F">
              <w:rPr>
                <w:rStyle w:val="Hyperlink"/>
                <w:noProof/>
              </w:rPr>
              <w:t>SCE</w:t>
            </w:r>
            <w:r>
              <w:rPr>
                <w:noProof/>
                <w:webHidden/>
              </w:rPr>
              <w:tab/>
            </w:r>
            <w:r>
              <w:rPr>
                <w:noProof/>
                <w:webHidden/>
              </w:rPr>
              <w:fldChar w:fldCharType="begin"/>
            </w:r>
            <w:r>
              <w:rPr>
                <w:noProof/>
                <w:webHidden/>
              </w:rPr>
              <w:instrText xml:space="preserve"> PAGEREF _Toc230872106 \h </w:instrText>
            </w:r>
            <w:r>
              <w:rPr>
                <w:noProof/>
                <w:webHidden/>
              </w:rPr>
            </w:r>
            <w:r>
              <w:rPr>
                <w:noProof/>
                <w:webHidden/>
              </w:rPr>
              <w:fldChar w:fldCharType="separate"/>
            </w:r>
            <w:r w:rsidR="0059060B">
              <w:rPr>
                <w:noProof/>
                <w:webHidden/>
              </w:rPr>
              <w:t>58</w:t>
            </w:r>
            <w:r>
              <w:rPr>
                <w:noProof/>
                <w:webHidden/>
              </w:rPr>
              <w:fldChar w:fldCharType="end"/>
            </w:r>
          </w:hyperlink>
        </w:p>
        <w:p w:rsidR="00785D8C" w:rsidRDefault="00785D8C" w14:paraId="6F0037F2" w14:textId="04A5A43C">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30872107">
            <w:r w:rsidRPr="006B4C3F">
              <w:rPr>
                <w:rStyle w:val="Hyperlink"/>
                <w:noProof/>
              </w:rPr>
              <w:t>12.4.</w:t>
            </w:r>
            <w:r>
              <w:rPr>
                <w:rFonts w:asciiTheme="minorHAnsi" w:hAnsiTheme="minorHAnsi" w:cstheme="minorBidi"/>
                <w:noProof/>
                <w:kern w:val="2"/>
                <w:sz w:val="24"/>
                <w:szCs w:val="24"/>
                <w14:ligatures w14:val="standardContextual"/>
              </w:rPr>
              <w:tab/>
            </w:r>
            <w:r w:rsidRPr="006B4C3F">
              <w:rPr>
                <w:rStyle w:val="Hyperlink"/>
                <w:noProof/>
              </w:rPr>
              <w:t>SoCalGas</w:t>
            </w:r>
            <w:r>
              <w:rPr>
                <w:noProof/>
                <w:webHidden/>
              </w:rPr>
              <w:tab/>
            </w:r>
            <w:r>
              <w:rPr>
                <w:noProof/>
                <w:webHidden/>
              </w:rPr>
              <w:fldChar w:fldCharType="begin"/>
            </w:r>
            <w:r>
              <w:rPr>
                <w:noProof/>
                <w:webHidden/>
              </w:rPr>
              <w:instrText xml:space="preserve"> PAGEREF _Toc230872107 \h </w:instrText>
            </w:r>
            <w:r>
              <w:rPr>
                <w:noProof/>
                <w:webHidden/>
              </w:rPr>
            </w:r>
            <w:r>
              <w:rPr>
                <w:noProof/>
                <w:webHidden/>
              </w:rPr>
              <w:fldChar w:fldCharType="separate"/>
            </w:r>
            <w:r w:rsidR="0059060B">
              <w:rPr>
                <w:noProof/>
                <w:webHidden/>
              </w:rPr>
              <w:t>58</w:t>
            </w:r>
            <w:r>
              <w:rPr>
                <w:noProof/>
                <w:webHidden/>
              </w:rPr>
              <w:fldChar w:fldCharType="end"/>
            </w:r>
          </w:hyperlink>
        </w:p>
        <w:p w:rsidR="00785D8C" w:rsidRDefault="00785D8C" w14:paraId="766F26C3" w14:textId="662C1973">
          <w:pPr>
            <w:pStyle w:val="TOC1"/>
            <w:tabs>
              <w:tab w:val="right" w:leader="dot" w:pos="9350"/>
            </w:tabs>
            <w:rPr>
              <w:rFonts w:asciiTheme="minorHAnsi" w:hAnsiTheme="minorHAnsi" w:cstheme="minorBidi"/>
              <w:noProof/>
              <w:kern w:val="2"/>
              <w:sz w:val="24"/>
              <w:szCs w:val="24"/>
              <w14:ligatures w14:val="standardContextual"/>
            </w:rPr>
          </w:pPr>
          <w:hyperlink w:history="1" w:anchor="_Toc230872108">
            <w:r w:rsidRPr="006B4C3F">
              <w:rPr>
                <w:rStyle w:val="Hyperlink"/>
                <w:noProof/>
              </w:rPr>
              <w:t>13.</w:t>
            </w:r>
            <w:r>
              <w:rPr>
                <w:rFonts w:asciiTheme="minorHAnsi" w:hAnsiTheme="minorHAnsi" w:cstheme="minorBidi"/>
                <w:noProof/>
                <w:kern w:val="2"/>
                <w:sz w:val="24"/>
                <w:szCs w:val="24"/>
                <w14:ligatures w14:val="standardContextual"/>
              </w:rPr>
              <w:tab/>
            </w:r>
            <w:r w:rsidRPr="006B4C3F">
              <w:rPr>
                <w:rStyle w:val="Hyperlink"/>
                <w:noProof/>
              </w:rPr>
              <w:t>Summary of Public Comment</w:t>
            </w:r>
            <w:r>
              <w:rPr>
                <w:noProof/>
                <w:webHidden/>
              </w:rPr>
              <w:tab/>
            </w:r>
            <w:r>
              <w:rPr>
                <w:noProof/>
                <w:webHidden/>
              </w:rPr>
              <w:fldChar w:fldCharType="begin"/>
            </w:r>
            <w:r>
              <w:rPr>
                <w:noProof/>
                <w:webHidden/>
              </w:rPr>
              <w:instrText xml:space="preserve"> PAGEREF _Toc230872108 \h </w:instrText>
            </w:r>
            <w:r>
              <w:rPr>
                <w:noProof/>
                <w:webHidden/>
              </w:rPr>
            </w:r>
            <w:r>
              <w:rPr>
                <w:noProof/>
                <w:webHidden/>
              </w:rPr>
              <w:fldChar w:fldCharType="separate"/>
            </w:r>
            <w:r w:rsidR="0059060B">
              <w:rPr>
                <w:noProof/>
                <w:webHidden/>
              </w:rPr>
              <w:t>59</w:t>
            </w:r>
            <w:r>
              <w:rPr>
                <w:noProof/>
                <w:webHidden/>
              </w:rPr>
              <w:fldChar w:fldCharType="end"/>
            </w:r>
          </w:hyperlink>
        </w:p>
        <w:p w:rsidR="00785D8C" w:rsidRDefault="00785D8C" w14:paraId="212EFDC1" w14:textId="1FAFABB2">
          <w:pPr>
            <w:pStyle w:val="TOC1"/>
            <w:tabs>
              <w:tab w:val="right" w:leader="dot" w:pos="9350"/>
            </w:tabs>
            <w:rPr>
              <w:rFonts w:asciiTheme="minorHAnsi" w:hAnsiTheme="minorHAnsi" w:cstheme="minorBidi"/>
              <w:noProof/>
              <w:kern w:val="2"/>
              <w:sz w:val="24"/>
              <w:szCs w:val="24"/>
              <w14:ligatures w14:val="standardContextual"/>
            </w:rPr>
          </w:pPr>
          <w:hyperlink w:history="1" w:anchor="_Toc230872109">
            <w:r w:rsidRPr="006B4C3F">
              <w:rPr>
                <w:rStyle w:val="Hyperlink"/>
                <w:noProof/>
              </w:rPr>
              <w:t>14.</w:t>
            </w:r>
            <w:r>
              <w:rPr>
                <w:rFonts w:asciiTheme="minorHAnsi" w:hAnsiTheme="minorHAnsi" w:cstheme="minorBidi"/>
                <w:noProof/>
                <w:kern w:val="2"/>
                <w:sz w:val="24"/>
                <w:szCs w:val="24"/>
                <w14:ligatures w14:val="standardContextual"/>
              </w:rPr>
              <w:tab/>
            </w:r>
            <w:r w:rsidRPr="006B4C3F">
              <w:rPr>
                <w:rStyle w:val="Hyperlink"/>
                <w:noProof/>
              </w:rPr>
              <w:t>Conclusion</w:t>
            </w:r>
            <w:r>
              <w:rPr>
                <w:noProof/>
                <w:webHidden/>
              </w:rPr>
              <w:tab/>
            </w:r>
            <w:r>
              <w:rPr>
                <w:noProof/>
                <w:webHidden/>
              </w:rPr>
              <w:fldChar w:fldCharType="begin"/>
            </w:r>
            <w:r>
              <w:rPr>
                <w:noProof/>
                <w:webHidden/>
              </w:rPr>
              <w:instrText xml:space="preserve"> PAGEREF _Toc230872109 \h </w:instrText>
            </w:r>
            <w:r>
              <w:rPr>
                <w:noProof/>
                <w:webHidden/>
              </w:rPr>
            </w:r>
            <w:r>
              <w:rPr>
                <w:noProof/>
                <w:webHidden/>
              </w:rPr>
              <w:fldChar w:fldCharType="separate"/>
            </w:r>
            <w:r w:rsidR="0059060B">
              <w:rPr>
                <w:noProof/>
                <w:webHidden/>
              </w:rPr>
              <w:t>59</w:t>
            </w:r>
            <w:r>
              <w:rPr>
                <w:noProof/>
                <w:webHidden/>
              </w:rPr>
              <w:fldChar w:fldCharType="end"/>
            </w:r>
          </w:hyperlink>
        </w:p>
        <w:p w:rsidR="00785D8C" w:rsidRDefault="00785D8C" w14:paraId="22C992C8" w14:textId="77054F44">
          <w:pPr>
            <w:pStyle w:val="TOC1"/>
            <w:tabs>
              <w:tab w:val="right" w:leader="dot" w:pos="9350"/>
            </w:tabs>
            <w:rPr>
              <w:rFonts w:asciiTheme="minorHAnsi" w:hAnsiTheme="minorHAnsi" w:cstheme="minorBidi"/>
              <w:noProof/>
              <w:kern w:val="2"/>
              <w:sz w:val="24"/>
              <w:szCs w:val="24"/>
              <w14:ligatures w14:val="standardContextual"/>
            </w:rPr>
          </w:pPr>
          <w:hyperlink w:history="1" w:anchor="_Toc230872110">
            <w:r w:rsidRPr="006B4C3F">
              <w:rPr>
                <w:rStyle w:val="Hyperlink"/>
                <w:noProof/>
              </w:rPr>
              <w:t>15.</w:t>
            </w:r>
            <w:r>
              <w:rPr>
                <w:rFonts w:asciiTheme="minorHAnsi" w:hAnsiTheme="minorHAnsi" w:cstheme="minorBidi"/>
                <w:noProof/>
                <w:kern w:val="2"/>
                <w:sz w:val="24"/>
                <w:szCs w:val="24"/>
                <w14:ligatures w14:val="standardContextual"/>
              </w:rPr>
              <w:tab/>
            </w:r>
            <w:r w:rsidRPr="006B4C3F">
              <w:rPr>
                <w:rStyle w:val="Hyperlink"/>
                <w:noProof/>
              </w:rPr>
              <w:t>Procedural Matters</w:t>
            </w:r>
            <w:r>
              <w:rPr>
                <w:noProof/>
                <w:webHidden/>
              </w:rPr>
              <w:tab/>
            </w:r>
            <w:r>
              <w:rPr>
                <w:noProof/>
                <w:webHidden/>
              </w:rPr>
              <w:fldChar w:fldCharType="begin"/>
            </w:r>
            <w:r>
              <w:rPr>
                <w:noProof/>
                <w:webHidden/>
              </w:rPr>
              <w:instrText xml:space="preserve"> PAGEREF _Toc230872110 \h </w:instrText>
            </w:r>
            <w:r>
              <w:rPr>
                <w:noProof/>
                <w:webHidden/>
              </w:rPr>
            </w:r>
            <w:r>
              <w:rPr>
                <w:noProof/>
                <w:webHidden/>
              </w:rPr>
              <w:fldChar w:fldCharType="separate"/>
            </w:r>
            <w:r w:rsidR="0059060B">
              <w:rPr>
                <w:noProof/>
                <w:webHidden/>
              </w:rPr>
              <w:t>59</w:t>
            </w:r>
            <w:r>
              <w:rPr>
                <w:noProof/>
                <w:webHidden/>
              </w:rPr>
              <w:fldChar w:fldCharType="end"/>
            </w:r>
          </w:hyperlink>
        </w:p>
        <w:p w:rsidR="00785D8C" w:rsidRDefault="00785D8C" w14:paraId="2A10C8F1" w14:textId="75C689CD">
          <w:pPr>
            <w:pStyle w:val="TOC1"/>
            <w:tabs>
              <w:tab w:val="right" w:leader="dot" w:pos="9350"/>
            </w:tabs>
            <w:rPr>
              <w:rFonts w:asciiTheme="minorHAnsi" w:hAnsiTheme="minorHAnsi" w:cstheme="minorBidi"/>
              <w:noProof/>
              <w:kern w:val="2"/>
              <w:sz w:val="24"/>
              <w:szCs w:val="24"/>
              <w14:ligatures w14:val="standardContextual"/>
            </w:rPr>
          </w:pPr>
          <w:hyperlink w:history="1" w:anchor="_Toc230872111">
            <w:r w:rsidRPr="006B4C3F">
              <w:rPr>
                <w:rStyle w:val="Hyperlink"/>
                <w:noProof/>
              </w:rPr>
              <w:t>16.</w:t>
            </w:r>
            <w:r>
              <w:rPr>
                <w:rFonts w:asciiTheme="minorHAnsi" w:hAnsiTheme="minorHAnsi" w:cstheme="minorBidi"/>
                <w:noProof/>
                <w:kern w:val="2"/>
                <w:sz w:val="24"/>
                <w:szCs w:val="24"/>
                <w14:ligatures w14:val="standardContextual"/>
              </w:rPr>
              <w:tab/>
            </w:r>
            <w:r w:rsidRPr="006B4C3F">
              <w:rPr>
                <w:rStyle w:val="Hyperlink"/>
                <w:noProof/>
              </w:rPr>
              <w:t>Comments on Proposed Decision</w:t>
            </w:r>
            <w:r>
              <w:rPr>
                <w:noProof/>
                <w:webHidden/>
              </w:rPr>
              <w:tab/>
            </w:r>
            <w:r>
              <w:rPr>
                <w:noProof/>
                <w:webHidden/>
              </w:rPr>
              <w:fldChar w:fldCharType="begin"/>
            </w:r>
            <w:r>
              <w:rPr>
                <w:noProof/>
                <w:webHidden/>
              </w:rPr>
              <w:instrText xml:space="preserve"> PAGEREF _Toc230872111 \h </w:instrText>
            </w:r>
            <w:r>
              <w:rPr>
                <w:noProof/>
                <w:webHidden/>
              </w:rPr>
            </w:r>
            <w:r>
              <w:rPr>
                <w:noProof/>
                <w:webHidden/>
              </w:rPr>
              <w:fldChar w:fldCharType="separate"/>
            </w:r>
            <w:r w:rsidR="0059060B">
              <w:rPr>
                <w:noProof/>
                <w:webHidden/>
              </w:rPr>
              <w:t>60</w:t>
            </w:r>
            <w:r>
              <w:rPr>
                <w:noProof/>
                <w:webHidden/>
              </w:rPr>
              <w:fldChar w:fldCharType="end"/>
            </w:r>
          </w:hyperlink>
        </w:p>
        <w:p w:rsidR="00785D8C" w:rsidRDefault="00785D8C" w14:paraId="60F98790" w14:textId="05D2D0AA">
          <w:pPr>
            <w:pStyle w:val="TOC1"/>
            <w:tabs>
              <w:tab w:val="right" w:leader="dot" w:pos="9350"/>
            </w:tabs>
            <w:rPr>
              <w:rFonts w:asciiTheme="minorHAnsi" w:hAnsiTheme="minorHAnsi" w:cstheme="minorBidi"/>
              <w:noProof/>
              <w:kern w:val="2"/>
              <w:sz w:val="24"/>
              <w:szCs w:val="24"/>
              <w14:ligatures w14:val="standardContextual"/>
            </w:rPr>
          </w:pPr>
          <w:hyperlink w:history="1" w:anchor="_Toc230872112">
            <w:r w:rsidRPr="006B4C3F">
              <w:rPr>
                <w:rStyle w:val="Hyperlink"/>
                <w:noProof/>
              </w:rPr>
              <w:t>17.</w:t>
            </w:r>
            <w:r>
              <w:rPr>
                <w:rFonts w:asciiTheme="minorHAnsi" w:hAnsiTheme="minorHAnsi" w:cstheme="minorBidi"/>
                <w:noProof/>
                <w:kern w:val="2"/>
                <w:sz w:val="24"/>
                <w:szCs w:val="24"/>
                <w14:ligatures w14:val="standardContextual"/>
              </w:rPr>
              <w:tab/>
            </w:r>
            <w:r w:rsidRPr="006B4C3F">
              <w:rPr>
                <w:rStyle w:val="Hyperlink"/>
                <w:noProof/>
              </w:rPr>
              <w:t>Assignment of Proceeding</w:t>
            </w:r>
            <w:r>
              <w:rPr>
                <w:noProof/>
                <w:webHidden/>
              </w:rPr>
              <w:tab/>
            </w:r>
            <w:r>
              <w:rPr>
                <w:noProof/>
                <w:webHidden/>
              </w:rPr>
              <w:fldChar w:fldCharType="begin"/>
            </w:r>
            <w:r>
              <w:rPr>
                <w:noProof/>
                <w:webHidden/>
              </w:rPr>
              <w:instrText xml:space="preserve"> PAGEREF _Toc230872112 \h </w:instrText>
            </w:r>
            <w:r>
              <w:rPr>
                <w:noProof/>
                <w:webHidden/>
              </w:rPr>
            </w:r>
            <w:r>
              <w:rPr>
                <w:noProof/>
                <w:webHidden/>
              </w:rPr>
              <w:fldChar w:fldCharType="separate"/>
            </w:r>
            <w:r w:rsidR="0059060B">
              <w:rPr>
                <w:noProof/>
                <w:webHidden/>
              </w:rPr>
              <w:t>62</w:t>
            </w:r>
            <w:r>
              <w:rPr>
                <w:noProof/>
                <w:webHidden/>
              </w:rPr>
              <w:fldChar w:fldCharType="end"/>
            </w:r>
          </w:hyperlink>
        </w:p>
        <w:p w:rsidR="00785D8C" w:rsidRDefault="00785D8C" w14:paraId="5FD27A20" w14:textId="1C6D3171">
          <w:pPr>
            <w:pStyle w:val="TOC1"/>
            <w:tabs>
              <w:tab w:val="right" w:leader="dot" w:pos="9350"/>
            </w:tabs>
            <w:rPr>
              <w:rFonts w:asciiTheme="minorHAnsi" w:hAnsiTheme="minorHAnsi" w:cstheme="minorBidi"/>
              <w:noProof/>
              <w:kern w:val="2"/>
              <w:sz w:val="24"/>
              <w:szCs w:val="24"/>
              <w14:ligatures w14:val="standardContextual"/>
            </w:rPr>
          </w:pPr>
          <w:hyperlink w:history="1" w:anchor="_Toc230872113">
            <w:r w:rsidRPr="006B4C3F">
              <w:rPr>
                <w:rStyle w:val="Hyperlink"/>
                <w:noProof/>
              </w:rPr>
              <w:t>Findings of Fact</w:t>
            </w:r>
            <w:r>
              <w:rPr>
                <w:noProof/>
                <w:webHidden/>
              </w:rPr>
              <w:tab/>
            </w:r>
            <w:r>
              <w:rPr>
                <w:noProof/>
                <w:webHidden/>
              </w:rPr>
              <w:fldChar w:fldCharType="begin"/>
            </w:r>
            <w:r>
              <w:rPr>
                <w:noProof/>
                <w:webHidden/>
              </w:rPr>
              <w:instrText xml:space="preserve"> PAGEREF _Toc230872113 \h </w:instrText>
            </w:r>
            <w:r>
              <w:rPr>
                <w:noProof/>
                <w:webHidden/>
              </w:rPr>
            </w:r>
            <w:r>
              <w:rPr>
                <w:noProof/>
                <w:webHidden/>
              </w:rPr>
              <w:fldChar w:fldCharType="separate"/>
            </w:r>
            <w:r w:rsidR="0059060B">
              <w:rPr>
                <w:noProof/>
                <w:webHidden/>
              </w:rPr>
              <w:t>62</w:t>
            </w:r>
            <w:r>
              <w:rPr>
                <w:noProof/>
                <w:webHidden/>
              </w:rPr>
              <w:fldChar w:fldCharType="end"/>
            </w:r>
          </w:hyperlink>
        </w:p>
        <w:p w:rsidR="00785D8C" w:rsidRDefault="00785D8C" w14:paraId="28A3FD29" w14:textId="600CBCDE">
          <w:pPr>
            <w:pStyle w:val="TOC1"/>
            <w:tabs>
              <w:tab w:val="right" w:leader="dot" w:pos="9350"/>
            </w:tabs>
            <w:rPr>
              <w:rFonts w:asciiTheme="minorHAnsi" w:hAnsiTheme="minorHAnsi" w:cstheme="minorBidi"/>
              <w:noProof/>
              <w:kern w:val="2"/>
              <w:sz w:val="24"/>
              <w:szCs w:val="24"/>
              <w14:ligatures w14:val="standardContextual"/>
            </w:rPr>
          </w:pPr>
          <w:hyperlink w:history="1" w:anchor="_Toc230872114">
            <w:r w:rsidRPr="006B4C3F">
              <w:rPr>
                <w:rStyle w:val="Hyperlink"/>
                <w:noProof/>
              </w:rPr>
              <w:t>Conclusions of Law</w:t>
            </w:r>
            <w:r>
              <w:rPr>
                <w:noProof/>
                <w:webHidden/>
              </w:rPr>
              <w:tab/>
            </w:r>
            <w:r>
              <w:rPr>
                <w:noProof/>
                <w:webHidden/>
              </w:rPr>
              <w:fldChar w:fldCharType="begin"/>
            </w:r>
            <w:r>
              <w:rPr>
                <w:noProof/>
                <w:webHidden/>
              </w:rPr>
              <w:instrText xml:space="preserve"> PAGEREF _Toc230872114 \h </w:instrText>
            </w:r>
            <w:r>
              <w:rPr>
                <w:noProof/>
                <w:webHidden/>
              </w:rPr>
            </w:r>
            <w:r>
              <w:rPr>
                <w:noProof/>
                <w:webHidden/>
              </w:rPr>
              <w:fldChar w:fldCharType="separate"/>
            </w:r>
            <w:r w:rsidR="0059060B">
              <w:rPr>
                <w:noProof/>
                <w:webHidden/>
              </w:rPr>
              <w:t>64</w:t>
            </w:r>
            <w:r>
              <w:rPr>
                <w:noProof/>
                <w:webHidden/>
              </w:rPr>
              <w:fldChar w:fldCharType="end"/>
            </w:r>
          </w:hyperlink>
        </w:p>
        <w:p w:rsidR="00785D8C" w:rsidRDefault="00785D8C" w14:paraId="3633D813" w14:textId="03E0F0CD">
          <w:pPr>
            <w:pStyle w:val="TOC1"/>
            <w:tabs>
              <w:tab w:val="right" w:leader="dot" w:pos="9350"/>
            </w:tabs>
            <w:rPr>
              <w:rFonts w:asciiTheme="minorHAnsi" w:hAnsiTheme="minorHAnsi" w:cstheme="minorBidi"/>
              <w:noProof/>
              <w:kern w:val="2"/>
              <w:sz w:val="24"/>
              <w:szCs w:val="24"/>
              <w14:ligatures w14:val="standardContextual"/>
            </w:rPr>
          </w:pPr>
          <w:hyperlink w:history="1" w:anchor="_Toc230872115">
            <w:r w:rsidRPr="006B4C3F">
              <w:rPr>
                <w:rStyle w:val="Hyperlink"/>
                <w:noProof/>
              </w:rPr>
              <w:t>ORDER</w:t>
            </w:r>
            <w:r>
              <w:rPr>
                <w:noProof/>
                <w:webHidden/>
              </w:rPr>
              <w:tab/>
            </w:r>
            <w:r>
              <w:rPr>
                <w:noProof/>
                <w:webHidden/>
              </w:rPr>
              <w:fldChar w:fldCharType="begin"/>
            </w:r>
            <w:r>
              <w:rPr>
                <w:noProof/>
                <w:webHidden/>
              </w:rPr>
              <w:instrText xml:space="preserve"> PAGEREF _Toc230872115 \h </w:instrText>
            </w:r>
            <w:r>
              <w:rPr>
                <w:noProof/>
                <w:webHidden/>
              </w:rPr>
            </w:r>
            <w:r>
              <w:rPr>
                <w:noProof/>
                <w:webHidden/>
              </w:rPr>
              <w:fldChar w:fldCharType="separate"/>
            </w:r>
            <w:r w:rsidR="0059060B">
              <w:rPr>
                <w:noProof/>
                <w:webHidden/>
              </w:rPr>
              <w:t>66</w:t>
            </w:r>
            <w:r>
              <w:rPr>
                <w:noProof/>
                <w:webHidden/>
              </w:rPr>
              <w:fldChar w:fldCharType="end"/>
            </w:r>
          </w:hyperlink>
        </w:p>
        <w:p w:rsidR="00D82A43" w:rsidP="008C7413" w:rsidRDefault="008C7413" w14:paraId="54E03636" w14:textId="7DF523FF">
          <w:pPr>
            <w:pStyle w:val="TOC1"/>
            <w:tabs>
              <w:tab w:val="right" w:leader="dot" w:pos="9350"/>
            </w:tabs>
          </w:pPr>
          <w:r>
            <w:rPr>
              <w:rFonts w:asciiTheme="minorHAnsi" w:hAnsiTheme="minorHAnsi"/>
              <w:sz w:val="22"/>
            </w:rPr>
            <w:fldChar w:fldCharType="end"/>
          </w:r>
        </w:p>
      </w:sdtContent>
    </w:sdt>
    <w:p w:rsidRPr="003A5397" w:rsidR="003A5397" w:rsidP="003A5397" w:rsidRDefault="0098655A" w14:paraId="3B48D625" w14:textId="7191ADD5">
      <w:pPr>
        <w:spacing w:line="240" w:lineRule="auto"/>
        <w:ind w:left="1890" w:hanging="1890"/>
        <w:rPr>
          <w:rFonts w:cs="Arial"/>
          <w:szCs w:val="26"/>
        </w:rPr>
      </w:pPr>
      <w:r w:rsidRPr="0098655A">
        <w:rPr>
          <w:rFonts w:cs="Arial"/>
          <w:b/>
          <w:szCs w:val="26"/>
        </w:rPr>
        <w:t>A</w:t>
      </w:r>
      <w:r w:rsidR="003A5397">
        <w:rPr>
          <w:rFonts w:cs="Arial"/>
          <w:b/>
          <w:szCs w:val="26"/>
        </w:rPr>
        <w:t>ttachment 1</w:t>
      </w:r>
      <w:r w:rsidRPr="0098655A">
        <w:rPr>
          <w:rFonts w:cs="Arial"/>
          <w:szCs w:val="26"/>
        </w:rPr>
        <w:t xml:space="preserve"> –</w:t>
      </w:r>
      <w:r w:rsidR="00E23CBB">
        <w:rPr>
          <w:rFonts w:cs="Arial"/>
          <w:szCs w:val="26"/>
        </w:rPr>
        <w:t xml:space="preserve"> </w:t>
      </w:r>
      <w:r w:rsidRPr="003A5397" w:rsidR="003A5397">
        <w:rPr>
          <w:rFonts w:cs="Arial"/>
          <w:szCs w:val="26"/>
        </w:rPr>
        <w:t>Energy Savings Assistance</w:t>
      </w:r>
      <w:r w:rsidR="00613E8C">
        <w:rPr>
          <w:rFonts w:cs="Arial"/>
          <w:szCs w:val="26"/>
        </w:rPr>
        <w:t xml:space="preserve">, </w:t>
      </w:r>
      <w:r w:rsidRPr="003A5397" w:rsidR="003A5397">
        <w:rPr>
          <w:rFonts w:cs="Arial"/>
          <w:szCs w:val="26"/>
        </w:rPr>
        <w:t xml:space="preserve">California Alternate Rates for </w:t>
      </w:r>
      <w:r w:rsidR="003A5397">
        <w:rPr>
          <w:rFonts w:cs="Arial"/>
          <w:szCs w:val="26"/>
        </w:rPr>
        <w:t>Energy</w:t>
      </w:r>
      <w:r w:rsidR="00613E8C">
        <w:rPr>
          <w:rFonts w:cs="Arial"/>
          <w:szCs w:val="26"/>
        </w:rPr>
        <w:t>, and Family Electric Rate Assistance</w:t>
      </w:r>
      <w:r w:rsidRPr="003A5397" w:rsidR="003A5397">
        <w:rPr>
          <w:rFonts w:cs="Arial"/>
          <w:szCs w:val="26"/>
        </w:rPr>
        <w:t xml:space="preserve"> Programs and</w:t>
      </w:r>
      <w:r w:rsidR="003A5397">
        <w:rPr>
          <w:rFonts w:cs="Arial"/>
          <w:szCs w:val="26"/>
        </w:rPr>
        <w:t xml:space="preserve"> </w:t>
      </w:r>
      <w:r w:rsidRPr="003A5397" w:rsidR="003A5397">
        <w:rPr>
          <w:rFonts w:cs="Arial"/>
          <w:szCs w:val="26"/>
        </w:rPr>
        <w:t xml:space="preserve">Budgets for </w:t>
      </w:r>
      <w:r w:rsidRPr="003A5397" w:rsidR="00613E8C">
        <w:rPr>
          <w:rFonts w:cs="Arial"/>
          <w:szCs w:val="26"/>
        </w:rPr>
        <w:t xml:space="preserve">Program Year </w:t>
      </w:r>
      <w:r w:rsidRPr="003A5397" w:rsidR="003A5397">
        <w:rPr>
          <w:rFonts w:cs="Arial"/>
          <w:szCs w:val="26"/>
        </w:rPr>
        <w:t xml:space="preserve">2027 </w:t>
      </w:r>
    </w:p>
    <w:p w:rsidR="00D44DB6" w:rsidP="00D44DB6" w:rsidRDefault="00D44DB6" w14:paraId="02B6B197" w14:textId="77777777">
      <w:pPr>
        <w:spacing w:line="240" w:lineRule="auto"/>
        <w:ind w:firstLine="0"/>
        <w:rPr>
          <w:rFonts w:cs="Arial"/>
          <w:i/>
          <w:szCs w:val="26"/>
        </w:rPr>
      </w:pPr>
    </w:p>
    <w:p w:rsidRPr="003A5397" w:rsidR="00975188" w:rsidP="00975188" w:rsidRDefault="00975188" w14:paraId="35C792CC" w14:textId="2BB74E01">
      <w:pPr>
        <w:spacing w:line="240" w:lineRule="auto"/>
        <w:ind w:left="1890" w:hanging="1890"/>
        <w:rPr>
          <w:rFonts w:cs="Arial"/>
          <w:szCs w:val="26"/>
        </w:rPr>
      </w:pPr>
      <w:r w:rsidRPr="0098655A">
        <w:rPr>
          <w:rFonts w:cs="Arial"/>
          <w:b/>
          <w:szCs w:val="26"/>
        </w:rPr>
        <w:t>A</w:t>
      </w:r>
      <w:r>
        <w:rPr>
          <w:rFonts w:cs="Arial"/>
          <w:b/>
          <w:szCs w:val="26"/>
        </w:rPr>
        <w:t>ttachment 2</w:t>
      </w:r>
      <w:r w:rsidRPr="0098655A">
        <w:rPr>
          <w:rFonts w:cs="Arial"/>
          <w:szCs w:val="26"/>
        </w:rPr>
        <w:t xml:space="preserve"> –</w:t>
      </w:r>
      <w:r>
        <w:rPr>
          <w:rFonts w:cs="Arial"/>
          <w:szCs w:val="26"/>
        </w:rPr>
        <w:t xml:space="preserve"> Amended Joint Stipulation Related </w:t>
      </w:r>
      <w:proofErr w:type="gramStart"/>
      <w:r>
        <w:rPr>
          <w:rFonts w:cs="Arial"/>
          <w:szCs w:val="26"/>
        </w:rPr>
        <w:t>To</w:t>
      </w:r>
      <w:proofErr w:type="gramEnd"/>
      <w:r>
        <w:rPr>
          <w:rFonts w:cs="Arial"/>
          <w:szCs w:val="26"/>
        </w:rPr>
        <w:t xml:space="preserve"> Broadband Outreach</w:t>
      </w:r>
    </w:p>
    <w:p w:rsidR="00975188" w:rsidP="00D44DB6" w:rsidRDefault="00975188" w14:paraId="7B66D8A0" w14:textId="77777777">
      <w:pPr>
        <w:spacing w:line="240" w:lineRule="auto"/>
        <w:ind w:firstLine="0"/>
        <w:rPr>
          <w:rFonts w:cs="Arial"/>
          <w:i/>
          <w:szCs w:val="26"/>
        </w:rPr>
      </w:pPr>
      <w:r>
        <w:rPr>
          <w:rFonts w:cs="Arial"/>
          <w:i/>
          <w:szCs w:val="26"/>
        </w:rPr>
        <w:t xml:space="preserve"> </w:t>
      </w:r>
    </w:p>
    <w:p w:rsidRPr="003A5397" w:rsidR="001450A2" w:rsidP="001450A2" w:rsidRDefault="001450A2" w14:paraId="33917B52" w14:textId="56F221C6">
      <w:pPr>
        <w:spacing w:line="240" w:lineRule="auto"/>
        <w:ind w:left="1890" w:hanging="1890"/>
        <w:rPr>
          <w:rFonts w:cs="Arial"/>
          <w:szCs w:val="26"/>
        </w:rPr>
      </w:pPr>
      <w:r w:rsidRPr="0098655A">
        <w:rPr>
          <w:rFonts w:cs="Arial"/>
          <w:b/>
          <w:szCs w:val="26"/>
        </w:rPr>
        <w:t>A</w:t>
      </w:r>
      <w:r>
        <w:rPr>
          <w:rFonts w:cs="Arial"/>
          <w:b/>
          <w:szCs w:val="26"/>
        </w:rPr>
        <w:t>ttachment 3</w:t>
      </w:r>
      <w:r w:rsidRPr="0098655A">
        <w:rPr>
          <w:rFonts w:cs="Arial"/>
          <w:szCs w:val="26"/>
        </w:rPr>
        <w:t xml:space="preserve"> –</w:t>
      </w:r>
      <w:r>
        <w:rPr>
          <w:rFonts w:cs="Arial"/>
          <w:szCs w:val="26"/>
        </w:rPr>
        <w:t xml:space="preserve"> Modified Staff Proposal Regarding Implementation of Senate Bill 1130 (2024)</w:t>
      </w:r>
    </w:p>
    <w:p w:rsidRPr="00D44DB6" w:rsidR="001450A2" w:rsidP="00D44DB6" w:rsidRDefault="001450A2" w14:paraId="497798A5" w14:textId="0F012CE0">
      <w:pPr>
        <w:spacing w:line="240" w:lineRule="auto"/>
        <w:ind w:firstLine="0"/>
        <w:rPr>
          <w:rFonts w:cs="Arial"/>
          <w:i/>
          <w:szCs w:val="26"/>
        </w:rPr>
        <w:sectPr w:rsidRPr="00D44DB6" w:rsidR="001450A2" w:rsidSect="00D44DB6">
          <w:headerReference w:type="default" r:id="rId12"/>
          <w:footerReference w:type="default" r:id="rId13"/>
          <w:pgSz w:w="12240" w:h="15840"/>
          <w:pgMar w:top="1728" w:right="1440" w:bottom="1440" w:left="1440" w:header="720" w:footer="720" w:gutter="0"/>
          <w:pgNumType w:fmt="lowerRoman" w:start="1"/>
          <w:cols w:space="720"/>
          <w:docGrid w:linePitch="360"/>
        </w:sectPr>
      </w:pPr>
    </w:p>
    <w:p w:rsidR="0057266D" w:rsidP="0057266D" w:rsidRDefault="00C603A1" w14:paraId="3D126CD4" w14:textId="77777777">
      <w:pPr>
        <w:pStyle w:val="Main"/>
      </w:pPr>
      <w:r w:rsidRPr="00C603A1">
        <w:lastRenderedPageBreak/>
        <w:t xml:space="preserve">DECISION AUTHORIZING 2027 BRIDGE FUNDING FOR </w:t>
      </w:r>
    </w:p>
    <w:p w:rsidR="0057266D" w:rsidP="0057266D" w:rsidRDefault="00C603A1" w14:paraId="38E4CDEF" w14:textId="21920873">
      <w:pPr>
        <w:pStyle w:val="Main"/>
      </w:pPr>
      <w:r w:rsidRPr="00C603A1">
        <w:t>INVESTOR-OWNED UTILITIES</w:t>
      </w:r>
      <w:r w:rsidR="00613E8C">
        <w:t>’</w:t>
      </w:r>
      <w:r w:rsidRPr="00C603A1">
        <w:t xml:space="preserve"> INCOME-QUALIFIED </w:t>
      </w:r>
    </w:p>
    <w:p w:rsidR="0098655A" w:rsidP="0057266D" w:rsidRDefault="00C603A1" w14:paraId="0C27D334" w14:textId="3DFF04A5">
      <w:pPr>
        <w:pStyle w:val="Main"/>
      </w:pPr>
      <w:r w:rsidRPr="00C603A1">
        <w:t>ASSISTANCE PROGRAMS</w:t>
      </w:r>
    </w:p>
    <w:p w:rsidRPr="0057266D" w:rsidR="0057266D" w:rsidP="0057266D" w:rsidRDefault="0057266D" w14:paraId="4760ECFA" w14:textId="77777777"/>
    <w:p w:rsidR="005A148C" w:rsidP="005A148C" w:rsidRDefault="005A148C" w14:paraId="6EDE1C86" w14:textId="77777777">
      <w:pPr>
        <w:pStyle w:val="Dummy"/>
      </w:pPr>
      <w:bookmarkStart w:name="_Toc8123714" w:id="3"/>
      <w:bookmarkStart w:name="_Toc230872042" w:id="4"/>
      <w:r>
        <w:t>Summary</w:t>
      </w:r>
      <w:bookmarkEnd w:id="3"/>
      <w:bookmarkEnd w:id="4"/>
    </w:p>
    <w:p w:rsidR="0073353F" w:rsidP="00736809" w:rsidRDefault="005B1F1B" w14:paraId="3D026E83" w14:textId="3E47ED95">
      <w:pPr>
        <w:pStyle w:val="Standard"/>
      </w:pPr>
      <w:r>
        <w:t>This decision approves activities and budgets for</w:t>
      </w:r>
      <w:r w:rsidR="00400DBE">
        <w:t xml:space="preserve"> the</w:t>
      </w:r>
      <w:r>
        <w:t xml:space="preserve"> 2027 Income-Qualified Programs</w:t>
      </w:r>
      <w:r w:rsidRPr="00F04EB9">
        <w:t xml:space="preserve"> </w:t>
      </w:r>
      <w:r>
        <w:t xml:space="preserve">for </w:t>
      </w:r>
      <w:r w:rsidRPr="00F04EB9">
        <w:t>San</w:t>
      </w:r>
      <w:r w:rsidRPr="00F04EB9">
        <w:rPr>
          <w:rFonts w:ascii="Times New Roman" w:hAnsi="Times New Roman" w:cs="Times New Roman"/>
        </w:rPr>
        <w:t> </w:t>
      </w:r>
      <w:r w:rsidRPr="00F04EB9">
        <w:t>Diego Gas</w:t>
      </w:r>
      <w:r w:rsidRPr="00F04EB9">
        <w:rPr>
          <w:rFonts w:ascii="Times New Roman" w:hAnsi="Times New Roman" w:cs="Times New Roman"/>
        </w:rPr>
        <w:t> </w:t>
      </w:r>
      <w:r w:rsidRPr="00F04EB9">
        <w:t>&amp; Electric Company</w:t>
      </w:r>
      <w:r>
        <w:t>,</w:t>
      </w:r>
      <w:r w:rsidRPr="00F04EB9">
        <w:t xml:space="preserve"> Southern California Gas Company</w:t>
      </w:r>
      <w:r>
        <w:t>,</w:t>
      </w:r>
      <w:r w:rsidRPr="00F04EB9">
        <w:t xml:space="preserve"> Southern California Edison Company</w:t>
      </w:r>
      <w:r>
        <w:t>,</w:t>
      </w:r>
      <w:r w:rsidRPr="00F04EB9">
        <w:t xml:space="preserve"> and Pacific Gas and Electric Company</w:t>
      </w:r>
      <w:r>
        <w:t>.</w:t>
      </w:r>
      <w:r w:rsidR="00C603A1">
        <w:t xml:space="preserve">  </w:t>
      </w:r>
      <w:r w:rsidRPr="00F04EB9" w:rsidR="00AD0B6E">
        <w:t>Pacific Gas and Electric Company</w:t>
      </w:r>
      <w:r w:rsidR="00AD0B6E">
        <w:t xml:space="preserve"> is authorized to collect $6</w:t>
      </w:r>
      <w:r w:rsidR="004F5A47">
        <w:t>6.3</w:t>
      </w:r>
      <w:r w:rsidR="00AD0B6E">
        <w:t xml:space="preserve"> million, </w:t>
      </w:r>
      <w:r w:rsidRPr="00F04EB9" w:rsidR="00AD0B6E">
        <w:t xml:space="preserve">Southern California </w:t>
      </w:r>
      <w:r w:rsidR="00BC00F1">
        <w:t>Edison</w:t>
      </w:r>
      <w:r w:rsidRPr="00F04EB9" w:rsidR="00AD0B6E">
        <w:t xml:space="preserve"> Company</w:t>
      </w:r>
      <w:r w:rsidR="00AD0B6E">
        <w:t xml:space="preserve"> is authorized to collect $</w:t>
      </w:r>
      <w:r w:rsidR="00225124">
        <w:t>38</w:t>
      </w:r>
      <w:r w:rsidR="00AD0B6E">
        <w:t>.</w:t>
      </w:r>
      <w:r w:rsidR="00225124">
        <w:t>3</w:t>
      </w:r>
      <w:r w:rsidR="00AD0B6E">
        <w:t xml:space="preserve"> million, </w:t>
      </w:r>
      <w:r w:rsidRPr="00F04EB9" w:rsidR="00AD0B6E">
        <w:t>San</w:t>
      </w:r>
      <w:r w:rsidRPr="00F04EB9" w:rsidR="00AD0B6E">
        <w:rPr>
          <w:rFonts w:ascii="Times New Roman" w:hAnsi="Times New Roman" w:cs="Times New Roman"/>
        </w:rPr>
        <w:t> </w:t>
      </w:r>
      <w:r w:rsidRPr="00F04EB9" w:rsidR="00AD0B6E">
        <w:t>Diego Gas</w:t>
      </w:r>
      <w:r w:rsidRPr="00F04EB9" w:rsidR="00AD0B6E">
        <w:rPr>
          <w:rFonts w:ascii="Times New Roman" w:hAnsi="Times New Roman" w:cs="Times New Roman"/>
        </w:rPr>
        <w:t> </w:t>
      </w:r>
      <w:r w:rsidRPr="00F04EB9" w:rsidR="00AD0B6E">
        <w:t>&amp; Electric Company</w:t>
      </w:r>
      <w:r w:rsidR="00AD0B6E">
        <w:t xml:space="preserve"> is authorized to collect $2</w:t>
      </w:r>
      <w:r w:rsidR="00225124">
        <w:t>1</w:t>
      </w:r>
      <w:r w:rsidR="00AD0B6E">
        <w:t xml:space="preserve"> million, and </w:t>
      </w:r>
      <w:r w:rsidRPr="00F04EB9" w:rsidR="00AD0B6E">
        <w:t>Southern California Gas Company</w:t>
      </w:r>
      <w:r w:rsidR="00AD0B6E">
        <w:t xml:space="preserve"> is authorized to collect $</w:t>
      </w:r>
      <w:r w:rsidR="00225124">
        <w:t>66.8</w:t>
      </w:r>
      <w:r w:rsidR="00AD0B6E">
        <w:t xml:space="preserve"> million</w:t>
      </w:r>
      <w:r w:rsidRPr="00DB1BBB" w:rsidR="00DB1BBB">
        <w:t xml:space="preserve"> </w:t>
      </w:r>
      <w:r w:rsidR="00DB1BBB">
        <w:t xml:space="preserve">for their respective 2027 </w:t>
      </w:r>
      <w:r w:rsidR="00613E8C">
        <w:t>Income-Qualified Programs</w:t>
      </w:r>
      <w:r w:rsidRPr="00F04EB9" w:rsidR="00613E8C">
        <w:t xml:space="preserve"> </w:t>
      </w:r>
      <w:r w:rsidR="00A51C47">
        <w:t>a</w:t>
      </w:r>
      <w:r w:rsidR="00DB1BBB">
        <w:t>ctivities (</w:t>
      </w:r>
      <w:r w:rsidR="00F54EE7">
        <w:t xml:space="preserve">including the use of unspent funds and </w:t>
      </w:r>
      <w:r w:rsidR="00404580">
        <w:t>excluding</w:t>
      </w:r>
      <w:r w:rsidR="00DB1BBB">
        <w:t xml:space="preserve"> subsidies)</w:t>
      </w:r>
      <w:r w:rsidR="00AD0B6E">
        <w:t>.</w:t>
      </w:r>
    </w:p>
    <w:p w:rsidRPr="00121089" w:rsidR="005A148C" w:rsidP="004936E2" w:rsidRDefault="002C7FE9" w14:paraId="21565CE7" w14:textId="77777777">
      <w:pPr>
        <w:pStyle w:val="Heading1"/>
      </w:pPr>
      <w:bookmarkStart w:name="_Toc8123715" w:id="5"/>
      <w:bookmarkStart w:name="_Toc230872043" w:id="6"/>
      <w:r w:rsidRPr="00121089">
        <w:t>Background</w:t>
      </w:r>
      <w:bookmarkEnd w:id="5"/>
      <w:bookmarkEnd w:id="6"/>
    </w:p>
    <w:p w:rsidR="00987420" w:rsidP="004936E2" w:rsidRDefault="00987420" w14:paraId="7C28DDFD" w14:textId="77777777">
      <w:pPr>
        <w:pStyle w:val="Heading2"/>
      </w:pPr>
      <w:bookmarkStart w:name="_Toc230872044" w:id="7"/>
      <w:bookmarkStart w:name="_Toc8123716" w:id="8"/>
      <w:r>
        <w:t>Program Background</w:t>
      </w:r>
      <w:bookmarkEnd w:id="7"/>
    </w:p>
    <w:p w:rsidR="00371F0C" w:rsidP="00371F0C" w:rsidRDefault="002500CF" w14:paraId="155842B4" w14:textId="3BCED463">
      <w:pPr>
        <w:pStyle w:val="Standard"/>
      </w:pPr>
      <w:r>
        <w:t xml:space="preserve">Decision (D.) 21-06-015 </w:t>
      </w:r>
      <w:r w:rsidRPr="00F92D6C" w:rsidR="00A42338">
        <w:t xml:space="preserve">authorized the budgets and activities for the </w:t>
      </w:r>
      <w:r>
        <w:t>2021</w:t>
      </w:r>
      <w:r w:rsidRPr="00F95B1D" w:rsidR="00F95B1D">
        <w:t>–</w:t>
      </w:r>
      <w:r>
        <w:t>2026</w:t>
      </w:r>
      <w:r w:rsidR="00A42338">
        <w:t xml:space="preserve"> </w:t>
      </w:r>
      <w:r w:rsidRPr="00F92D6C" w:rsidR="00F92D6C">
        <w:t xml:space="preserve">low-income assistance programs </w:t>
      </w:r>
      <w:r w:rsidR="00F92D6C">
        <w:t>for</w:t>
      </w:r>
      <w:r w:rsidRPr="00F92D6C" w:rsidR="00F92D6C">
        <w:t xml:space="preserve"> Pacific Gas and Electric Company (PG&amp;E), Southern California Edison Company (SCE), San Diego Gas &amp; Electric Company (SDG&amp;E), and Southern California Gas Company (SoCalGas)</w:t>
      </w:r>
      <w:r w:rsidR="00A42338">
        <w:t>,</w:t>
      </w:r>
      <w:r w:rsidRPr="00F92D6C" w:rsidR="00F92D6C">
        <w:t xml:space="preserve"> (collectively, the </w:t>
      </w:r>
      <w:r w:rsidR="00E30F66">
        <w:t>I</w:t>
      </w:r>
      <w:r w:rsidR="009A023B">
        <w:t>nvestor</w:t>
      </w:r>
      <w:r w:rsidR="00533EDA">
        <w:t>-</w:t>
      </w:r>
      <w:r w:rsidR="00E30F66">
        <w:t>O</w:t>
      </w:r>
      <w:r w:rsidR="009A023B">
        <w:t xml:space="preserve">wned </w:t>
      </w:r>
      <w:r w:rsidR="00E30F66">
        <w:t>U</w:t>
      </w:r>
      <w:r w:rsidR="009A023B">
        <w:t>tilitie</w:t>
      </w:r>
      <w:r w:rsidR="00E30F66">
        <w:t>s</w:t>
      </w:r>
      <w:r w:rsidR="009A023B">
        <w:t xml:space="preserve"> (IOUs)</w:t>
      </w:r>
      <w:r w:rsidR="00E30F66">
        <w:t xml:space="preserve"> or </w:t>
      </w:r>
      <w:r w:rsidRPr="00F92D6C" w:rsidR="00F92D6C">
        <w:t>Utilities). These programs</w:t>
      </w:r>
      <w:r w:rsidR="00264F2B">
        <w:t xml:space="preserve">, </w:t>
      </w:r>
      <w:r w:rsidRPr="00F92D6C" w:rsidR="00F92D6C">
        <w:t>collectively referred to as the Income-Qualified Programs (IQP)</w:t>
      </w:r>
      <w:r w:rsidR="00264F2B">
        <w:t xml:space="preserve">, </w:t>
      </w:r>
      <w:r w:rsidRPr="00F92D6C" w:rsidR="00F92D6C">
        <w:t xml:space="preserve">include </w:t>
      </w:r>
      <w:r w:rsidR="00264F2B">
        <w:t xml:space="preserve">the </w:t>
      </w:r>
      <w:r w:rsidRPr="00F92D6C" w:rsidR="00F92D6C">
        <w:t>Energy Savings Assistance (ESA), California Alternate Rates for Energy (CARE), and Family Electric Rate Assistance (FERA)</w:t>
      </w:r>
      <w:r w:rsidR="00264F2B">
        <w:t xml:space="preserve"> progr</w:t>
      </w:r>
      <w:r w:rsidR="00A42338">
        <w:t>ams</w:t>
      </w:r>
      <w:r w:rsidRPr="00F92D6C" w:rsidR="00F92D6C">
        <w:t>.</w:t>
      </w:r>
      <w:r w:rsidRPr="0042580B" w:rsidR="0042580B">
        <w:t xml:space="preserve"> </w:t>
      </w:r>
    </w:p>
    <w:p w:rsidR="00272BD9" w:rsidP="0042580B" w:rsidRDefault="0042580B" w14:paraId="0F0FCB7A" w14:textId="779ECBA7">
      <w:pPr>
        <w:pStyle w:val="Standard"/>
      </w:pPr>
      <w:r w:rsidRPr="0042580B">
        <w:t xml:space="preserve">The ESA program provides no-cost home weatherization services, energy efficiency measures, and energy education to help eligible income-qualified households conserve energy, reduce energy costs, and improve their health, </w:t>
      </w:r>
      <w:r w:rsidRPr="0042580B">
        <w:lastRenderedPageBreak/>
        <w:t xml:space="preserve">comfort, and safety.  The program also provides information on other available assistance programs as well as education to promote energy-efficient practices in income-qualified communities.  </w:t>
      </w:r>
      <w:r w:rsidR="00371F0C">
        <w:t>It is a</w:t>
      </w:r>
      <w:r w:rsidRPr="001F6587" w:rsidR="00371F0C">
        <w:t xml:space="preserve">vailable to households with incomes at or </w:t>
      </w:r>
      <w:r w:rsidRPr="0042580B">
        <w:t xml:space="preserve">below 250 percent of federal poverty guidelines.  </w:t>
      </w:r>
    </w:p>
    <w:p w:rsidR="00371F0C" w:rsidP="00371F0C" w:rsidRDefault="0042580B" w14:paraId="2AC6578E" w14:textId="0A6D5393">
      <w:pPr>
        <w:pStyle w:val="Standard"/>
      </w:pPr>
      <w:r w:rsidRPr="0042580B">
        <w:t xml:space="preserve">The CARE program </w:t>
      </w:r>
      <w:r w:rsidR="00371F0C">
        <w:t>offers</w:t>
      </w:r>
      <w:r w:rsidRPr="001F6587" w:rsidR="00371F0C">
        <w:t xml:space="preserve"> a monthly discount on energy bills</w:t>
      </w:r>
      <w:r w:rsidR="009B75C9">
        <w:t>,</w:t>
      </w:r>
      <w:r w:rsidRPr="001F6587" w:rsidR="00371F0C">
        <w:t xml:space="preserve"> typically around 30</w:t>
      </w:r>
      <w:r w:rsidR="007D760F">
        <w:t xml:space="preserve"> to </w:t>
      </w:r>
      <w:r w:rsidRPr="001F6587" w:rsidR="00371F0C">
        <w:t>35</w:t>
      </w:r>
      <w:r w:rsidRPr="0038402C" w:rsidR="0038402C">
        <w:t xml:space="preserve"> </w:t>
      </w:r>
      <w:r w:rsidRPr="0042580B" w:rsidR="0038402C">
        <w:t>percent</w:t>
      </w:r>
      <w:r w:rsidRPr="001F6587" w:rsidR="00371F0C">
        <w:t xml:space="preserve"> for electric and 20</w:t>
      </w:r>
      <w:r w:rsidRPr="0038402C" w:rsidR="0038402C">
        <w:t xml:space="preserve"> </w:t>
      </w:r>
      <w:r w:rsidRPr="0042580B" w:rsidR="0038402C">
        <w:t>percent</w:t>
      </w:r>
      <w:r w:rsidRPr="001F6587" w:rsidR="00371F0C">
        <w:t xml:space="preserve"> for natural gas</w:t>
      </w:r>
      <w:r w:rsidR="00371F0C">
        <w:t xml:space="preserve">. It is available to households </w:t>
      </w:r>
      <w:r w:rsidRPr="0042580B">
        <w:t xml:space="preserve">with incomes at or below 200 percent of the </w:t>
      </w:r>
      <w:r w:rsidRPr="0042580B" w:rsidR="00ED269E">
        <w:t>federal poverty guidelines</w:t>
      </w:r>
      <w:r w:rsidRPr="0042580B">
        <w:t xml:space="preserve">.  </w:t>
      </w:r>
    </w:p>
    <w:p w:rsidRPr="0042580B" w:rsidR="0042580B" w:rsidP="0038402C" w:rsidRDefault="00371F0C" w14:paraId="1B2C2F75" w14:textId="420C55FC">
      <w:pPr>
        <w:pStyle w:val="Standard"/>
      </w:pPr>
      <w:r w:rsidRPr="0042580B">
        <w:t xml:space="preserve">The </w:t>
      </w:r>
      <w:r>
        <w:t>FERA</w:t>
      </w:r>
      <w:r w:rsidRPr="0042580B">
        <w:t xml:space="preserve"> program </w:t>
      </w:r>
      <w:r>
        <w:t>offers</w:t>
      </w:r>
      <w:r w:rsidRPr="001F6587">
        <w:t xml:space="preserve"> a</w:t>
      </w:r>
      <w:r>
        <w:t>n 18</w:t>
      </w:r>
      <w:r w:rsidRPr="0038402C" w:rsidR="0038402C">
        <w:t xml:space="preserve"> </w:t>
      </w:r>
      <w:r w:rsidRPr="0042580B" w:rsidR="0038402C">
        <w:t>percent</w:t>
      </w:r>
      <w:r w:rsidRPr="001F6587">
        <w:t xml:space="preserve"> monthly discount </w:t>
      </w:r>
      <w:r w:rsidR="0038402C">
        <w:t xml:space="preserve">on </w:t>
      </w:r>
      <w:r w:rsidRPr="001F6587" w:rsidR="0038402C">
        <w:t>electricity bills for larger households that do not qualify for CARE</w:t>
      </w:r>
      <w:r w:rsidR="0038402C">
        <w:t xml:space="preserve">. </w:t>
      </w:r>
      <w:r>
        <w:t xml:space="preserve">It is available to households </w:t>
      </w:r>
      <w:r w:rsidRPr="0042580B">
        <w:t xml:space="preserve">with incomes </w:t>
      </w:r>
      <w:r w:rsidR="0038402C">
        <w:t>between</w:t>
      </w:r>
      <w:r w:rsidRPr="0042580B">
        <w:t xml:space="preserve"> 200</w:t>
      </w:r>
      <w:r w:rsidR="00E47B74">
        <w:t xml:space="preserve"> to </w:t>
      </w:r>
      <w:r w:rsidR="0038402C">
        <w:t>250</w:t>
      </w:r>
      <w:r w:rsidRPr="0042580B">
        <w:t xml:space="preserve"> percent of the federal poverty guidelines</w:t>
      </w:r>
      <w:r w:rsidRPr="0042580B" w:rsidR="0042580B">
        <w:t>.</w:t>
      </w:r>
    </w:p>
    <w:p w:rsidRPr="00121089" w:rsidR="00272BD9" w:rsidP="00272BD9" w:rsidRDefault="00272BD9" w14:paraId="4B57A8B1" w14:textId="77777777">
      <w:pPr>
        <w:pStyle w:val="Heading2"/>
      </w:pPr>
      <w:bookmarkStart w:name="_Toc230872045" w:id="9"/>
      <w:r>
        <w:t>Procedural Background</w:t>
      </w:r>
      <w:bookmarkEnd w:id="9"/>
    </w:p>
    <w:p w:rsidR="00804101" w:rsidP="007B2518" w:rsidRDefault="008C566D" w14:paraId="341D10F0" w14:textId="00AC0B80">
      <w:pPr>
        <w:pStyle w:val="Standard"/>
      </w:pPr>
      <w:r w:rsidRPr="00F04EB9">
        <w:t>On June</w:t>
      </w:r>
      <w:r w:rsidRPr="00F04EB9">
        <w:rPr>
          <w:rFonts w:ascii="Times New Roman" w:hAnsi="Times New Roman" w:cs="Times New Roman"/>
        </w:rPr>
        <w:t> </w:t>
      </w:r>
      <w:r w:rsidRPr="00F04EB9">
        <w:t>27, 2025, SDG&amp;E and SoCalGas filed their respective</w:t>
      </w:r>
      <w:r w:rsidR="00A86928">
        <w:t xml:space="preserve"> IQP</w:t>
      </w:r>
      <w:r w:rsidRPr="00F04EB9">
        <w:t xml:space="preserve"> applications for Bridge Year 2027.  </w:t>
      </w:r>
      <w:r w:rsidR="007B51E2">
        <w:t>O</w:t>
      </w:r>
      <w:r w:rsidRPr="00F04EB9" w:rsidR="007B51E2">
        <w:t>n June</w:t>
      </w:r>
      <w:r w:rsidRPr="00F04EB9" w:rsidR="007B51E2">
        <w:rPr>
          <w:rFonts w:ascii="Times New Roman" w:hAnsi="Times New Roman" w:cs="Times New Roman"/>
        </w:rPr>
        <w:t> </w:t>
      </w:r>
      <w:r w:rsidRPr="00F04EB9" w:rsidR="007B51E2">
        <w:t>30, 2025</w:t>
      </w:r>
      <w:r w:rsidR="007B51E2">
        <w:t>,</w:t>
      </w:r>
      <w:r w:rsidRPr="00F04EB9" w:rsidDel="004F36F0" w:rsidR="007B51E2">
        <w:t xml:space="preserve"> </w:t>
      </w:r>
      <w:r w:rsidRPr="00F04EB9">
        <w:t xml:space="preserve">SCE and PG&amp;E filed their respective </w:t>
      </w:r>
      <w:r w:rsidR="00A86928">
        <w:t xml:space="preserve">IQP </w:t>
      </w:r>
      <w:r w:rsidRPr="00F04EB9">
        <w:t xml:space="preserve">applications </w:t>
      </w:r>
      <w:r w:rsidR="00235841">
        <w:t xml:space="preserve">for </w:t>
      </w:r>
      <w:r w:rsidRPr="00F04EB9" w:rsidR="00235841">
        <w:t>Bridge Year 2027</w:t>
      </w:r>
      <w:r w:rsidRPr="00F04EB9">
        <w:t xml:space="preserve">.  </w:t>
      </w:r>
    </w:p>
    <w:p w:rsidRPr="00F04EB9" w:rsidR="00F63B52" w:rsidP="00F63B52" w:rsidRDefault="00F63B52" w14:paraId="6EE76CA6" w14:textId="78E571D3">
      <w:pPr>
        <w:pStyle w:val="Standard"/>
      </w:pPr>
      <w:r w:rsidRPr="00F04EB9">
        <w:t xml:space="preserve">An Administrative Law Judge (ALJ) </w:t>
      </w:r>
      <w:r w:rsidR="008A598B">
        <w:t>r</w:t>
      </w:r>
      <w:r w:rsidRPr="00F04EB9">
        <w:t xml:space="preserve">uling </w:t>
      </w:r>
      <w:r w:rsidR="003C7B00">
        <w:t xml:space="preserve">issued </w:t>
      </w:r>
      <w:r w:rsidRPr="00F04EB9">
        <w:t>on July</w:t>
      </w:r>
      <w:r w:rsidRPr="00F04EB9">
        <w:rPr>
          <w:rFonts w:ascii="Times New Roman" w:hAnsi="Times New Roman" w:cs="Times New Roman"/>
        </w:rPr>
        <w:t> </w:t>
      </w:r>
      <w:r w:rsidRPr="00F04EB9">
        <w:t>25, 2025</w:t>
      </w:r>
      <w:r>
        <w:t>,</w:t>
      </w:r>
      <w:r w:rsidRPr="00F04EB9">
        <w:t xml:space="preserve"> consolidated the proceedings and set a </w:t>
      </w:r>
      <w:r w:rsidR="004F36F0">
        <w:t>P</w:t>
      </w:r>
      <w:r w:rsidRPr="00F04EB9" w:rsidR="004F36F0">
        <w:t>r</w:t>
      </w:r>
      <w:r w:rsidR="004F36F0">
        <w:t>e</w:t>
      </w:r>
      <w:r w:rsidR="004F36F0">
        <w:noBreakHyphen/>
      </w:r>
      <w:r w:rsidRPr="00F04EB9" w:rsidR="004F36F0">
        <w:t xml:space="preserve">hearing </w:t>
      </w:r>
      <w:r w:rsidR="004F36F0">
        <w:t>C</w:t>
      </w:r>
      <w:r w:rsidRPr="00F04EB9" w:rsidR="004F36F0">
        <w:t>onference (PHC)</w:t>
      </w:r>
      <w:r w:rsidR="004F36F0">
        <w:t xml:space="preserve"> </w:t>
      </w:r>
      <w:r w:rsidRPr="00F04EB9">
        <w:t xml:space="preserve">date </w:t>
      </w:r>
      <w:r w:rsidR="004F36F0">
        <w:t xml:space="preserve">for </w:t>
      </w:r>
      <w:r w:rsidRPr="00F04EB9">
        <w:t>August</w:t>
      </w:r>
      <w:r>
        <w:rPr>
          <w:rFonts w:ascii="Times New Roman" w:hAnsi="Times New Roman" w:cs="Times New Roman"/>
        </w:rPr>
        <w:t> </w:t>
      </w:r>
      <w:r w:rsidRPr="00F04EB9">
        <w:t>18,</w:t>
      </w:r>
      <w:r>
        <w:t> </w:t>
      </w:r>
      <w:r w:rsidRPr="00F04EB9">
        <w:t>2025.</w:t>
      </w:r>
    </w:p>
    <w:p w:rsidRPr="00F04EB9" w:rsidR="00F63B52" w:rsidP="00F63B52" w:rsidRDefault="00F63B52" w14:paraId="3F3FFEB0" w14:textId="5A942B9C">
      <w:pPr>
        <w:pStyle w:val="Standard"/>
      </w:pPr>
      <w:r w:rsidRPr="00F04EB9">
        <w:t>Protests were filed on July 31, 2025</w:t>
      </w:r>
      <w:r>
        <w:t>,</w:t>
      </w:r>
      <w:r w:rsidRPr="00F04EB9">
        <w:t xml:space="preserve"> by the Commission’s Public Advocates Office</w:t>
      </w:r>
      <w:r w:rsidR="00875594">
        <w:t xml:space="preserve"> (Cal Advocates)</w:t>
      </w:r>
      <w:r w:rsidRPr="00F04EB9">
        <w:t xml:space="preserve"> and </w:t>
      </w:r>
      <w:r>
        <w:t>T</w:t>
      </w:r>
      <w:r w:rsidRPr="00F04EB9">
        <w:t>he Utility Reform Network</w:t>
      </w:r>
      <w:r w:rsidR="00875594">
        <w:t xml:space="preserve"> (TURN)</w:t>
      </w:r>
      <w:r w:rsidRPr="00F04EB9">
        <w:t>.  Responses were filed on the same date by the Energy Efficiency Council, Maravilla Foundation and The East Los</w:t>
      </w:r>
      <w:r>
        <w:t> </w:t>
      </w:r>
      <w:r w:rsidRPr="00F04EB9">
        <w:t>Angeles Community Union</w:t>
      </w:r>
      <w:r w:rsidR="00875594">
        <w:t xml:space="preserve"> (TELACU)</w:t>
      </w:r>
      <w:r w:rsidRPr="00F04EB9">
        <w:t>, and Center for Accessible Technology</w:t>
      </w:r>
      <w:r w:rsidR="00875594">
        <w:t xml:space="preserve"> (</w:t>
      </w:r>
      <w:proofErr w:type="spellStart"/>
      <w:r w:rsidR="00875594">
        <w:t>CforAT</w:t>
      </w:r>
      <w:proofErr w:type="spellEnd"/>
      <w:r w:rsidR="00875594">
        <w:t>)</w:t>
      </w:r>
      <w:r w:rsidRPr="00F04EB9">
        <w:t>.</w:t>
      </w:r>
    </w:p>
    <w:p w:rsidR="00F63B52" w:rsidP="00F63B52" w:rsidRDefault="00F63B52" w14:paraId="31BF2855" w14:textId="422B972F">
      <w:pPr>
        <w:pStyle w:val="Standard"/>
      </w:pPr>
      <w:r w:rsidRPr="00F04EB9">
        <w:lastRenderedPageBreak/>
        <w:t xml:space="preserve">An ALJ ruling was issued on August 14, 2025, presenting a draft scope and schedule for discussion at the PHC.  The PHC was held on August 18, 2025.  An ALJ ruling was issued on August 29, 2025, directing </w:t>
      </w:r>
      <w:r>
        <w:t>the</w:t>
      </w:r>
      <w:r w:rsidRPr="00F04EB9">
        <w:t xml:space="preserve"> Utilities</w:t>
      </w:r>
      <w:r w:rsidR="00BE2DCA">
        <w:t xml:space="preserve"> </w:t>
      </w:r>
      <w:r w:rsidR="008A598B">
        <w:t xml:space="preserve">to </w:t>
      </w:r>
      <w:r w:rsidRPr="00F04EB9">
        <w:t>submit additional supplemental information as testimony.</w:t>
      </w:r>
      <w:r w:rsidR="00FB6341">
        <w:t xml:space="preserve">  The Assigned Commissioner’s Scoping Memo and Ruling (Scoping </w:t>
      </w:r>
      <w:r w:rsidR="00FB1373">
        <w:t>Memo</w:t>
      </w:r>
      <w:r w:rsidR="00FB6341">
        <w:t xml:space="preserve">) was issued on September 17, 2025. </w:t>
      </w:r>
    </w:p>
    <w:p w:rsidR="00FB6341" w:rsidP="00F63B52" w:rsidRDefault="00FB6341" w14:paraId="49E4C4EB" w14:textId="56971E7F">
      <w:pPr>
        <w:pStyle w:val="Standard"/>
      </w:pPr>
      <w:r>
        <w:t>The California Emerging Technology Fund</w:t>
      </w:r>
      <w:r w:rsidR="00071502">
        <w:t xml:space="preserve"> (CETF)</w:t>
      </w:r>
      <w:r>
        <w:t xml:space="preserve"> was granted party stat</w:t>
      </w:r>
      <w:r w:rsidR="00BE2DCA">
        <w:t>u</w:t>
      </w:r>
      <w:r>
        <w:t>s via ruling on September 24, 2025.</w:t>
      </w:r>
    </w:p>
    <w:p w:rsidR="0041273E" w:rsidP="00F63B52" w:rsidRDefault="008D1FDE" w14:paraId="710E5122" w14:textId="2743ED91">
      <w:pPr>
        <w:pStyle w:val="Standard"/>
      </w:pPr>
      <w:r>
        <w:t xml:space="preserve">A Joint Motion to Admit Testimony was filed by CETF, SCE, TURN, PG&amp;E, SoCalGas, </w:t>
      </w:r>
      <w:proofErr w:type="spellStart"/>
      <w:r>
        <w:t>CforAT</w:t>
      </w:r>
      <w:proofErr w:type="spellEnd"/>
      <w:r>
        <w:t>, SDG&amp;E, and Cal</w:t>
      </w:r>
      <w:r w:rsidR="00C7128F">
        <w:t xml:space="preserve"> </w:t>
      </w:r>
      <w:r>
        <w:t>Advocates on January 14, 2026</w:t>
      </w:r>
      <w:r w:rsidR="008811FD">
        <w:t xml:space="preserve"> (Joint Motion)</w:t>
      </w:r>
      <w:r>
        <w:t>.</w:t>
      </w:r>
      <w:r w:rsidR="0078186F">
        <w:t xml:space="preserve">  In the </w:t>
      </w:r>
      <w:r w:rsidR="00DE6438">
        <w:t>Joint M</w:t>
      </w:r>
      <w:r w:rsidR="0078186F">
        <w:t xml:space="preserve">otion, parties stated that evidentiary hearings were not necessary.  PG&amp;E subsequently submitted a correction to the Joint Motion on January 16, 2026, </w:t>
      </w:r>
      <w:r w:rsidR="00AD2A01">
        <w:t>fixing a link</w:t>
      </w:r>
      <w:r w:rsidR="00BF31F9">
        <w:t>.</w:t>
      </w:r>
      <w:r w:rsidR="00EA52B1">
        <w:t xml:space="preserve">  </w:t>
      </w:r>
      <w:r w:rsidR="00F631A6">
        <w:t>On January 16, 2026, PG&amp;E also submitted a motion to file a confidential workpaper into evidence.</w:t>
      </w:r>
      <w:r w:rsidR="00BF31F9">
        <w:t xml:space="preserve"> An ALJ ruling </w:t>
      </w:r>
      <w:r w:rsidR="008A598B">
        <w:t xml:space="preserve">issued </w:t>
      </w:r>
      <w:r w:rsidR="00BF31F9">
        <w:t>on January 20, 2026</w:t>
      </w:r>
      <w:r w:rsidR="007B51E2">
        <w:t>,</w:t>
      </w:r>
      <w:r w:rsidR="00BF31F9">
        <w:t xml:space="preserve"> cancelled evidentiary hearings.  </w:t>
      </w:r>
      <w:r w:rsidR="00EA52B1">
        <w:t xml:space="preserve">On February 3, 2026, TURN submitted a motion to admit a corrected exhibit.  On </w:t>
      </w:r>
      <w:r w:rsidR="00F631A6">
        <w:t>February</w:t>
      </w:r>
      <w:r w:rsidR="00EA52B1">
        <w:t xml:space="preserve"> 17, 2026, an ALJ ruling was issued granting</w:t>
      </w:r>
      <w:r w:rsidR="00F631A6">
        <w:t xml:space="preserve"> both PG&amp;E’s and TURN’s outstanding evidentiary motions.</w:t>
      </w:r>
      <w:r w:rsidR="00B53A99">
        <w:t xml:space="preserve">  </w:t>
      </w:r>
    </w:p>
    <w:p w:rsidRPr="00F04EB9" w:rsidR="0059734B" w:rsidP="00F63B52" w:rsidRDefault="0059734B" w14:paraId="22DCDA34" w14:textId="593FD041">
      <w:pPr>
        <w:pStyle w:val="Standard"/>
      </w:pPr>
      <w:r>
        <w:t>Opening briefs were filed on February 20, 2026</w:t>
      </w:r>
      <w:r w:rsidR="007B51E2">
        <w:t>,</w:t>
      </w:r>
      <w:r>
        <w:t xml:space="preserve"> by PG&amp;E, SCE, SoCalGas, SDG&amp;E, TURN, </w:t>
      </w:r>
      <w:proofErr w:type="spellStart"/>
      <w:r>
        <w:t>CforAT</w:t>
      </w:r>
      <w:proofErr w:type="spellEnd"/>
      <w:r>
        <w:t xml:space="preserve">, TELACU, and Cal Advocates.  Reply briefs were filed on March 27, 2026, by </w:t>
      </w:r>
      <w:r w:rsidR="00B53A99">
        <w:t>the same</w:t>
      </w:r>
      <w:r>
        <w:t xml:space="preserve"> except TELACU.</w:t>
      </w:r>
      <w:r w:rsidR="00B53A99">
        <w:t xml:space="preserve">  </w:t>
      </w:r>
      <w:r w:rsidR="0021185E">
        <w:t xml:space="preserve">On March 26, 2026, </w:t>
      </w:r>
      <w:r w:rsidR="00F621F9">
        <w:t xml:space="preserve">a Joint Motion to </w:t>
      </w:r>
      <w:r w:rsidR="00DB269E">
        <w:t>Move</w:t>
      </w:r>
      <w:r w:rsidR="00F621F9">
        <w:t xml:space="preserve"> an Amended Joint Stipulation Relating to Broadband Outreach</w:t>
      </w:r>
      <w:r w:rsidR="00A12BD3">
        <w:t xml:space="preserve"> </w:t>
      </w:r>
      <w:r w:rsidR="00D24604">
        <w:t xml:space="preserve">into the evidentiary record </w:t>
      </w:r>
      <w:r w:rsidR="00DB269E">
        <w:t xml:space="preserve">(Broadband Motion) </w:t>
      </w:r>
      <w:r w:rsidR="00A12BD3">
        <w:t>was submitted by CETF</w:t>
      </w:r>
      <w:r w:rsidR="005711A8">
        <w:t xml:space="preserve"> and the Utilities</w:t>
      </w:r>
      <w:r w:rsidR="00A12BD3">
        <w:t>.</w:t>
      </w:r>
    </w:p>
    <w:p w:rsidR="00A1184E" w:rsidP="00FE2D37" w:rsidRDefault="00A1184E" w14:paraId="666240F1" w14:textId="55D5A576">
      <w:pPr>
        <w:pStyle w:val="Heading1"/>
      </w:pPr>
      <w:bookmarkStart w:name="_Toc230872046" w:id="10"/>
      <w:bookmarkEnd w:id="8"/>
      <w:r>
        <w:lastRenderedPageBreak/>
        <w:t>Outstanding Motions</w:t>
      </w:r>
      <w:bookmarkEnd w:id="10"/>
    </w:p>
    <w:p w:rsidR="00A1184E" w:rsidP="00A1184E" w:rsidRDefault="00DB269E" w14:paraId="2DDCCEE7" w14:textId="414EBEE9">
      <w:pPr>
        <w:pStyle w:val="Standard"/>
      </w:pPr>
      <w:r>
        <w:t xml:space="preserve">On March 26, 2026, </w:t>
      </w:r>
      <w:r w:rsidR="006C773F">
        <w:t>CETF and the IOUs jointly submitted the Broadband Motion, to move the Amended Joint Stipulation</w:t>
      </w:r>
      <w:r w:rsidR="00BA5C78">
        <w:t xml:space="preserve"> between the parties</w:t>
      </w:r>
      <w:r w:rsidR="006C773F">
        <w:t xml:space="preserve"> </w:t>
      </w:r>
      <w:r w:rsidR="00BA5C78">
        <w:t>into the record.</w:t>
      </w:r>
      <w:r w:rsidR="00340AF4">
        <w:t xml:space="preserve">  It contain</w:t>
      </w:r>
      <w:r w:rsidR="0065254E">
        <w:t>ed</w:t>
      </w:r>
      <w:r w:rsidR="00340AF4">
        <w:t xml:space="preserve"> two attachments, Attachment A, the </w:t>
      </w:r>
      <w:r w:rsidR="00C63C37">
        <w:t>Amended Joint Stipulation, and Attachment B, the prior Joint Stipulation.</w:t>
      </w:r>
      <w:r w:rsidR="00BA5C78">
        <w:t xml:space="preserve">  </w:t>
      </w:r>
      <w:r w:rsidRPr="00BA5C78" w:rsidR="00BA5C78">
        <w:t>Pursuant to the 2020 Joint Stipulation</w:t>
      </w:r>
      <w:r w:rsidR="00BA5C78">
        <w:t xml:space="preserve"> approved in D.21-06-015</w:t>
      </w:r>
      <w:r w:rsidRPr="00BA5C78" w:rsidR="00BA5C78">
        <w:t xml:space="preserve">, </w:t>
      </w:r>
      <w:r w:rsidR="00BA5C78">
        <w:t>the IOUs</w:t>
      </w:r>
      <w:r w:rsidRPr="00BA5C78" w:rsidR="00BA5C78">
        <w:t xml:space="preserve"> agreed to collaborate with CETF to </w:t>
      </w:r>
      <w:r w:rsidRPr="00FA2C11" w:rsidR="002B21AC">
        <w:t xml:space="preserve">facilitate </w:t>
      </w:r>
      <w:r w:rsidRPr="00BA5C78" w:rsidR="00BA5C78">
        <w:t xml:space="preserve">outreach </w:t>
      </w:r>
      <w:r w:rsidR="002B21AC">
        <w:t xml:space="preserve">and education </w:t>
      </w:r>
      <w:r w:rsidR="00EC6F24">
        <w:t xml:space="preserve">regarding </w:t>
      </w:r>
      <w:r w:rsidRPr="00BA5C78" w:rsidR="00BA5C78">
        <w:t xml:space="preserve">affordable broadband </w:t>
      </w:r>
      <w:r w:rsidR="00173E39">
        <w:t>i</w:t>
      </w:r>
      <w:r w:rsidRPr="00BA5C78" w:rsidR="00BA5C78">
        <w:t>nternet</w:t>
      </w:r>
      <w:r w:rsidR="00033186">
        <w:t xml:space="preserve"> </w:t>
      </w:r>
      <w:r w:rsidRPr="00BA5C78" w:rsidR="00BA5C78">
        <w:t>for Program Years 2021</w:t>
      </w:r>
      <w:r w:rsidR="00033186">
        <w:t>-</w:t>
      </w:r>
      <w:r w:rsidRPr="00BA5C78" w:rsidR="00BA5C78">
        <w:t>2026</w:t>
      </w:r>
      <w:r w:rsidR="001E2E76">
        <w:t xml:space="preserve"> with</w:t>
      </w:r>
      <w:r w:rsidRPr="00BA5C78" w:rsidR="00BA5C78">
        <w:t xml:space="preserve">in the IOUs’ </w:t>
      </w:r>
      <w:r w:rsidR="001E2E76">
        <w:t xml:space="preserve">IQP </w:t>
      </w:r>
      <w:r w:rsidRPr="00BA5C78" w:rsidR="00BA5C78">
        <w:t xml:space="preserve">and on </w:t>
      </w:r>
      <w:r w:rsidR="00036B9C">
        <w:t>CETF’s</w:t>
      </w:r>
      <w:r w:rsidRPr="00BA5C78" w:rsidR="00BA5C78">
        <w:t xml:space="preserve"> </w:t>
      </w:r>
      <w:r w:rsidR="00036B9C">
        <w:t>l</w:t>
      </w:r>
      <w:r w:rsidRPr="00BA5C78" w:rsidR="00BA5C78">
        <w:t>ow-</w:t>
      </w:r>
      <w:r w:rsidR="00036B9C">
        <w:t>i</w:t>
      </w:r>
      <w:r w:rsidRPr="00BA5C78" w:rsidR="00BA5C78">
        <w:t>ncome website pages</w:t>
      </w:r>
      <w:r w:rsidR="00340AF4">
        <w:t xml:space="preserve">.  </w:t>
      </w:r>
      <w:r w:rsidRPr="00340AF4" w:rsidR="00340AF4">
        <w:t xml:space="preserve">In the Amended Joint Stipulation, the IOUs and CETF agreed to continue </w:t>
      </w:r>
      <w:r w:rsidR="00CA3EFC">
        <w:t>this collaboration</w:t>
      </w:r>
      <w:r w:rsidRPr="00340AF4" w:rsidR="00340AF4">
        <w:t xml:space="preserve"> through 2027, with </w:t>
      </w:r>
      <w:r w:rsidR="001E2E76">
        <w:t>some</w:t>
      </w:r>
      <w:r w:rsidRPr="00340AF4" w:rsidR="001E2E76">
        <w:t xml:space="preserve"> </w:t>
      </w:r>
      <w:r w:rsidRPr="00340AF4" w:rsidR="00340AF4">
        <w:t>changes. The parties agree</w:t>
      </w:r>
      <w:r w:rsidR="00187A0D">
        <w:t>d</w:t>
      </w:r>
      <w:r w:rsidRPr="00340AF4" w:rsidR="00340AF4">
        <w:t xml:space="preserve"> that </w:t>
      </w:r>
      <w:r w:rsidR="00525ED4">
        <w:t>providing</w:t>
      </w:r>
      <w:r w:rsidRPr="00340AF4" w:rsidR="00340AF4">
        <w:t xml:space="preserve"> low</w:t>
      </w:r>
      <w:r w:rsidR="002877F1">
        <w:t>-</w:t>
      </w:r>
      <w:r w:rsidRPr="00340AF4" w:rsidR="00340AF4">
        <w:t xml:space="preserve">income households </w:t>
      </w:r>
      <w:r w:rsidR="00525ED4">
        <w:t xml:space="preserve">with </w:t>
      </w:r>
      <w:r w:rsidRPr="00340AF4" w:rsidR="00340AF4">
        <w:t xml:space="preserve">information </w:t>
      </w:r>
      <w:r w:rsidR="00525ED4">
        <w:t>on</w:t>
      </w:r>
      <w:r w:rsidRPr="00340AF4" w:rsidR="00525ED4">
        <w:t xml:space="preserve"> </w:t>
      </w:r>
      <w:r w:rsidRPr="00340AF4" w:rsidR="00340AF4">
        <w:t xml:space="preserve">affordable broadband and </w:t>
      </w:r>
      <w:proofErr w:type="spellStart"/>
      <w:r w:rsidRPr="00340AF4" w:rsidR="00340AF4">
        <w:t>LifeLine</w:t>
      </w:r>
      <w:proofErr w:type="spellEnd"/>
      <w:r w:rsidRPr="00340AF4" w:rsidR="00340AF4">
        <w:t xml:space="preserve"> telephone programs </w:t>
      </w:r>
      <w:r w:rsidR="00585A99">
        <w:t>advance</w:t>
      </w:r>
      <w:r w:rsidR="008A598B">
        <w:t>s</w:t>
      </w:r>
      <w:r w:rsidR="00585A99">
        <w:t xml:space="preserve"> </w:t>
      </w:r>
      <w:r w:rsidRPr="00340AF4" w:rsidR="00340AF4">
        <w:t>public safety, operational efficienc</w:t>
      </w:r>
      <w:r w:rsidR="00525ED4">
        <w:t>y</w:t>
      </w:r>
      <w:r w:rsidR="003A4D83">
        <w:t>,</w:t>
      </w:r>
      <w:r w:rsidRPr="00340AF4" w:rsidR="00340AF4">
        <w:t xml:space="preserve"> and </w:t>
      </w:r>
      <w:r w:rsidRPr="00D3119E" w:rsidR="00525ED4">
        <w:t xml:space="preserve">equitable access </w:t>
      </w:r>
      <w:r w:rsidRPr="00340AF4" w:rsidR="00340AF4">
        <w:t>to vital public information, such as severe weather information and public safety power shutoffs</w:t>
      </w:r>
      <w:r w:rsidR="002877F1">
        <w:t>.</w:t>
      </w:r>
    </w:p>
    <w:p w:rsidRPr="00A1184E" w:rsidR="00B80875" w:rsidP="00A1184E" w:rsidRDefault="00B80875" w14:paraId="5FA4C7BD" w14:textId="4EE97A4D">
      <w:pPr>
        <w:pStyle w:val="Standard"/>
      </w:pPr>
      <w:r>
        <w:t xml:space="preserve">No parties objected to the </w:t>
      </w:r>
      <w:r w:rsidR="00E0294C">
        <w:t xml:space="preserve">Broadband </w:t>
      </w:r>
      <w:r w:rsidR="002C2B28">
        <w:t xml:space="preserve">Motion.  </w:t>
      </w:r>
      <w:r w:rsidR="00C4732D">
        <w:t xml:space="preserve">Therefore, </w:t>
      </w:r>
      <w:r>
        <w:t xml:space="preserve">Attachment </w:t>
      </w:r>
      <w:r w:rsidR="00975188">
        <w:t>2</w:t>
      </w:r>
      <w:r w:rsidR="002C2B28">
        <w:t>, the Amended Joint Stipulation, is moved into the record as exhibit CETF-02.</w:t>
      </w:r>
      <w:r>
        <w:t xml:space="preserve"> </w:t>
      </w:r>
      <w:r w:rsidR="00FD6D7E">
        <w:t>A</w:t>
      </w:r>
      <w:r w:rsidR="00C4732D">
        <w:t>ll</w:t>
      </w:r>
      <w:r w:rsidR="00FD6D7E">
        <w:t xml:space="preserve"> other outstanding motions are denied.</w:t>
      </w:r>
    </w:p>
    <w:p w:rsidR="00683B2C" w:rsidP="00FE2D37" w:rsidRDefault="00683B2C" w14:paraId="035DD1AC" w14:textId="1D69294D">
      <w:pPr>
        <w:pStyle w:val="Heading1"/>
      </w:pPr>
      <w:bookmarkStart w:name="_Toc230872047" w:id="11"/>
      <w:r>
        <w:t>Submission Date</w:t>
      </w:r>
      <w:bookmarkEnd w:id="11"/>
    </w:p>
    <w:p w:rsidR="00683B2C" w:rsidP="00DC5EA7" w:rsidRDefault="00683B2C" w14:paraId="02ECF601" w14:textId="71070941">
      <w:pPr>
        <w:pStyle w:val="Standard"/>
      </w:pPr>
      <w:r w:rsidRPr="00FF0265">
        <w:t xml:space="preserve">This matter </w:t>
      </w:r>
      <w:r w:rsidR="006A5DDF">
        <w:t>is</w:t>
      </w:r>
      <w:r w:rsidRPr="00FF0265" w:rsidR="006A5DDF">
        <w:t xml:space="preserve"> </w:t>
      </w:r>
      <w:r w:rsidRPr="00FF0265">
        <w:t xml:space="preserve">submitted </w:t>
      </w:r>
      <w:r w:rsidR="00A4020D">
        <w:t>with this decision</w:t>
      </w:r>
      <w:r w:rsidR="003C702F">
        <w:t xml:space="preserve">, given the need to accept </w:t>
      </w:r>
      <w:r w:rsidR="0093263E">
        <w:t xml:space="preserve">Exhibit </w:t>
      </w:r>
      <w:r w:rsidR="003C702F">
        <w:t>CETF-02 into the record</w:t>
      </w:r>
      <w:r w:rsidR="0063546A">
        <w:t>.</w:t>
      </w:r>
    </w:p>
    <w:p w:rsidR="00FD3DA6" w:rsidP="00FE2D37" w:rsidRDefault="005939A5" w14:paraId="6094C275" w14:textId="6D6179A7">
      <w:pPr>
        <w:pStyle w:val="Heading1"/>
      </w:pPr>
      <w:bookmarkStart w:name="_Toc8123719" w:id="12"/>
      <w:bookmarkStart w:name="_Toc230872048" w:id="13"/>
      <w:r>
        <w:t xml:space="preserve">Issues Before the </w:t>
      </w:r>
      <w:bookmarkEnd w:id="12"/>
      <w:r w:rsidR="008A08BF">
        <w:t>Commission</w:t>
      </w:r>
      <w:bookmarkEnd w:id="13"/>
    </w:p>
    <w:p w:rsidR="005939A5" w:rsidP="00326780" w:rsidRDefault="00445E8F" w14:paraId="2E12F61A" w14:textId="714C7299">
      <w:pPr>
        <w:pStyle w:val="Standard"/>
      </w:pPr>
      <w:r>
        <w:t xml:space="preserve">These </w:t>
      </w:r>
      <w:r w:rsidR="00491742">
        <w:t>a</w:t>
      </w:r>
      <w:r>
        <w:t xml:space="preserve">pplications were </w:t>
      </w:r>
      <w:r w:rsidR="0057220C">
        <w:t xml:space="preserve">filed </w:t>
      </w:r>
      <w:r w:rsidR="004B3BB3">
        <w:t>to ensure the continued operation of the</w:t>
      </w:r>
      <w:r w:rsidR="009B1134">
        <w:t xml:space="preserve"> IQP</w:t>
      </w:r>
      <w:r w:rsidR="00B325F4">
        <w:t xml:space="preserve"> </w:t>
      </w:r>
      <w:r w:rsidR="004B3BB3">
        <w:t>through 202</w:t>
      </w:r>
      <w:r w:rsidR="00CB0E14">
        <w:t>7</w:t>
      </w:r>
      <w:r w:rsidR="004B3BB3">
        <w:t xml:space="preserve">, while </w:t>
      </w:r>
      <w:r w:rsidR="000A3E4C">
        <w:t xml:space="preserve">deferring </w:t>
      </w:r>
      <w:r w:rsidR="004B3BB3">
        <w:t>consideration of the 202</w:t>
      </w:r>
      <w:r w:rsidR="00CB0E14">
        <w:t xml:space="preserve">8 and </w:t>
      </w:r>
      <w:r w:rsidRPr="000A3E4C" w:rsidR="000A3E4C">
        <w:t xml:space="preserve">subsequent </w:t>
      </w:r>
      <w:r w:rsidR="004B3BB3">
        <w:t xml:space="preserve">program year budgets </w:t>
      </w:r>
      <w:r w:rsidR="000A3E4C">
        <w:t xml:space="preserve">to </w:t>
      </w:r>
      <w:r w:rsidR="00695B25">
        <w:t>Application (</w:t>
      </w:r>
      <w:r w:rsidR="00CB0E14">
        <w:t>A.</w:t>
      </w:r>
      <w:r w:rsidR="00695B25">
        <w:t xml:space="preserve">) </w:t>
      </w:r>
      <w:r w:rsidR="00CB0E14">
        <w:t>26-01-003</w:t>
      </w:r>
      <w:r w:rsidR="00B65D9C">
        <w:t>, et al.</w:t>
      </w:r>
      <w:r w:rsidR="00262DE4">
        <w:t>, t</w:t>
      </w:r>
      <w:r w:rsidR="00DE2236">
        <w:t>he consolidated a</w:t>
      </w:r>
      <w:r w:rsidRPr="00E62437" w:rsidR="00DE2236">
        <w:t>pplication</w:t>
      </w:r>
      <w:r w:rsidR="00DE2236">
        <w:t>s</w:t>
      </w:r>
      <w:r w:rsidRPr="00E62437" w:rsidR="00DE2236">
        <w:t xml:space="preserve"> for </w:t>
      </w:r>
      <w:r w:rsidR="00DE2236">
        <w:t>the Utilities’</w:t>
      </w:r>
      <w:r w:rsidRPr="00E62437" w:rsidR="00DE2236">
        <w:t xml:space="preserve"> 2028-2033 </w:t>
      </w:r>
      <w:r w:rsidR="00DE2236">
        <w:t>IQP.</w:t>
      </w:r>
      <w:r w:rsidR="00FD3DA6">
        <w:t xml:space="preserve"> </w:t>
      </w:r>
      <w:r w:rsidR="004108E4">
        <w:t>The</w:t>
      </w:r>
      <w:r w:rsidR="00BC25F6">
        <w:t xml:space="preserve">refore, </w:t>
      </w:r>
      <w:r w:rsidR="004108E4">
        <w:t>the issues to be addressed in this proceeding</w:t>
      </w:r>
      <w:r w:rsidR="00BC25F6">
        <w:t xml:space="preserve"> are</w:t>
      </w:r>
      <w:r w:rsidR="00BD019C">
        <w:t>:</w:t>
      </w:r>
    </w:p>
    <w:p w:rsidR="00391A12" w:rsidP="00391A12" w:rsidRDefault="00D23347" w14:paraId="2BE40AFE" w14:textId="5BCD3DDF">
      <w:pPr>
        <w:pStyle w:val="Standard"/>
        <w:numPr>
          <w:ilvl w:val="0"/>
          <w:numId w:val="20"/>
        </w:numPr>
        <w:spacing w:after="120" w:line="240" w:lineRule="auto"/>
        <w:ind w:right="1440"/>
      </w:pPr>
      <w:r w:rsidRPr="00AA331D">
        <w:lastRenderedPageBreak/>
        <w:t xml:space="preserve">Do the applications of SDG&amp;E, PG&amp;E, SCE, and SoCalGas requesting approval of </w:t>
      </w:r>
      <w:r w:rsidR="006C5AED">
        <w:t xml:space="preserve">the </w:t>
      </w:r>
      <w:r w:rsidR="00F045FA">
        <w:t>IQP</w:t>
      </w:r>
      <w:r w:rsidRPr="00AA331D">
        <w:t xml:space="preserve"> and budgets for </w:t>
      </w:r>
      <w:r>
        <w:t xml:space="preserve">Bridge </w:t>
      </w:r>
      <w:r w:rsidRPr="00AA331D">
        <w:t xml:space="preserve">Year 2027 advance the ongoing goals, principles, and guidance adopted </w:t>
      </w:r>
      <w:proofErr w:type="gramStart"/>
      <w:r w:rsidRPr="00AA331D">
        <w:t>in</w:t>
      </w:r>
      <w:proofErr w:type="gramEnd"/>
      <w:r w:rsidRPr="00AA331D">
        <w:t xml:space="preserve"> D.21-06-015, D.16-11-022, and other relevant directives listed in prior Commission decisions and rulings and applicable statutes?</w:t>
      </w:r>
    </w:p>
    <w:p w:rsidR="00391A12" w:rsidP="00391A12" w:rsidRDefault="00D23347" w14:paraId="627867C9" w14:textId="1A17971A">
      <w:pPr>
        <w:pStyle w:val="Standard"/>
        <w:numPr>
          <w:ilvl w:val="0"/>
          <w:numId w:val="20"/>
        </w:numPr>
        <w:spacing w:after="120" w:line="240" w:lineRule="auto"/>
        <w:ind w:right="1440"/>
      </w:pPr>
      <w:r w:rsidRPr="00AA331D">
        <w:t xml:space="preserve">Are the Utilities’ proposed 2027 </w:t>
      </w:r>
      <w:r w:rsidR="00F16E22">
        <w:t xml:space="preserve">IQP </w:t>
      </w:r>
      <w:r w:rsidRPr="00AA331D">
        <w:t xml:space="preserve">activities reasonable, and should they be adopted?  Similarly, are parties’ proposed changes to </w:t>
      </w:r>
      <w:r>
        <w:t xml:space="preserve">the </w:t>
      </w:r>
      <w:r w:rsidRPr="00AA331D">
        <w:t>Utilities’ programs reasonable?</w:t>
      </w:r>
    </w:p>
    <w:p w:rsidR="00391A12" w:rsidP="00FE2D37" w:rsidRDefault="00D23347" w14:paraId="2E6AD390" w14:textId="77777777">
      <w:pPr>
        <w:pStyle w:val="ListAlpha"/>
        <w:ind w:right="1440"/>
      </w:pPr>
      <w:r w:rsidRPr="00AA331D">
        <w:t xml:space="preserve">How </w:t>
      </w:r>
      <w:r w:rsidRPr="00FE6316">
        <w:t>should the Commission address the reporting compliance requirements under Senate Bill (SB)</w:t>
      </w:r>
      <w:r w:rsidRPr="00391A12">
        <w:rPr>
          <w:rFonts w:ascii="Times New Roman" w:hAnsi="Times New Roman" w:cs="Times New Roman"/>
        </w:rPr>
        <w:t> </w:t>
      </w:r>
      <w:r w:rsidRPr="00FE6316">
        <w:t>1130 (2024</w:t>
      </w:r>
      <w:r w:rsidRPr="00AA331D">
        <w:t>)?</w:t>
      </w:r>
    </w:p>
    <w:p w:rsidR="00391A12" w:rsidP="00391A12" w:rsidRDefault="00D23347" w14:paraId="20BC6CAC" w14:textId="77777777">
      <w:pPr>
        <w:pStyle w:val="Standard"/>
        <w:numPr>
          <w:ilvl w:val="0"/>
          <w:numId w:val="20"/>
        </w:numPr>
        <w:spacing w:after="120" w:line="240" w:lineRule="auto"/>
        <w:ind w:right="1440"/>
      </w:pPr>
      <w:r w:rsidRPr="00AA331D">
        <w:t xml:space="preserve">Are the </w:t>
      </w:r>
      <w:proofErr w:type="gramStart"/>
      <w:r w:rsidRPr="00AA331D">
        <w:t>Utilities’</w:t>
      </w:r>
      <w:proofErr w:type="gramEnd"/>
      <w:r w:rsidRPr="00AA331D">
        <w:t xml:space="preserve"> requested budgets to implement the proposed programs (including studies, evaluations, and reporting activities), and cost and rate recovery requests, reasonable</w:t>
      </w:r>
      <w:r>
        <w:t>?</w:t>
      </w:r>
    </w:p>
    <w:p w:rsidR="00391A12" w:rsidP="00FE2D37" w:rsidRDefault="00D23347" w14:paraId="34E2FA74" w14:textId="77777777">
      <w:pPr>
        <w:pStyle w:val="ListAlpha"/>
        <w:numPr>
          <w:ilvl w:val="7"/>
          <w:numId w:val="34"/>
        </w:numPr>
        <w:ind w:right="1440"/>
      </w:pPr>
      <w:r w:rsidRPr="00AA331D">
        <w:t>Should the Community Help and Awareness of Natural Gas and Electric Services program annual budget be increased for 2027?</w:t>
      </w:r>
    </w:p>
    <w:p w:rsidR="00D23347" w:rsidP="00FE2D37" w:rsidRDefault="00D23347" w14:paraId="3C7977C6" w14:textId="01A2CDA7">
      <w:pPr>
        <w:pStyle w:val="ListAlpha"/>
        <w:ind w:right="1440"/>
      </w:pPr>
      <w:r w:rsidRPr="00AA331D">
        <w:t>How should the 2028 CARE</w:t>
      </w:r>
      <w:r w:rsidRPr="00AA331D">
        <w:noBreakHyphen/>
        <w:t>FERA Eligibility Study be funded and implemented?</w:t>
      </w:r>
    </w:p>
    <w:p w:rsidR="005939A5" w:rsidP="00961DC9" w:rsidRDefault="000A166B" w14:paraId="287814E5" w14:textId="4E602A9A">
      <w:pPr>
        <w:pStyle w:val="Heading1"/>
      </w:pPr>
      <w:bookmarkStart w:name="_Toc230872049" w:id="14"/>
      <w:r>
        <w:t>Application Overview</w:t>
      </w:r>
      <w:bookmarkEnd w:id="14"/>
    </w:p>
    <w:p w:rsidRPr="003F77D8" w:rsidR="00A76D0B" w:rsidP="00A76D0B" w:rsidRDefault="00905B39" w14:paraId="64164E48" w14:textId="6208CE27">
      <w:pPr>
        <w:pStyle w:val="Standard"/>
      </w:pPr>
      <w:r>
        <w:t>Below is an overview of</w:t>
      </w:r>
      <w:r w:rsidR="005C1318">
        <w:t xml:space="preserve"> </w:t>
      </w:r>
      <w:r w:rsidR="00DC670A">
        <w:t>the IOUs’</w:t>
      </w:r>
      <w:r w:rsidR="005C1318">
        <w:t xml:space="preserve"> </w:t>
      </w:r>
      <w:r w:rsidR="00DC670A">
        <w:t>IQP application</w:t>
      </w:r>
      <w:r w:rsidR="00F045FA">
        <w:t>s</w:t>
      </w:r>
      <w:r w:rsidR="00DC670A">
        <w:t xml:space="preserve"> for Bridge Year 2027. </w:t>
      </w:r>
      <w:r>
        <w:t xml:space="preserve"> </w:t>
      </w:r>
    </w:p>
    <w:p w:rsidR="00EA36C6" w:rsidP="00FE2D37" w:rsidRDefault="00370BF9" w14:paraId="516B1C6F" w14:textId="4D60C04C">
      <w:pPr>
        <w:pStyle w:val="Heading2"/>
      </w:pPr>
      <w:bookmarkStart w:name="_Toc230872050" w:id="15"/>
      <w:r>
        <w:t>PG&amp;E Application</w:t>
      </w:r>
      <w:bookmarkEnd w:id="15"/>
    </w:p>
    <w:p w:rsidR="00EA36C6" w:rsidP="00AC68EE" w:rsidRDefault="001237A6" w14:paraId="152EBF52" w14:textId="1F0DEB1C">
      <w:r>
        <w:t xml:space="preserve">PG&amp;E requests </w:t>
      </w:r>
      <w:r w:rsidR="002578B9">
        <w:t xml:space="preserve">a total of </w:t>
      </w:r>
      <w:r w:rsidR="00303FDF">
        <w:t>$171</w:t>
      </w:r>
      <w:r w:rsidR="002578B9">
        <w:t xml:space="preserve">.7 million for 2027 IQP activities, which nets to </w:t>
      </w:r>
      <w:r w:rsidR="00BB5F5E">
        <w:t>$131.6 million in incremental funding</w:t>
      </w:r>
      <w:r w:rsidR="002578B9">
        <w:t xml:space="preserve"> </w:t>
      </w:r>
      <w:r w:rsidR="00BB5F5E">
        <w:t xml:space="preserve">after </w:t>
      </w:r>
      <w:r w:rsidR="00471ED3">
        <w:t>carrying forward</w:t>
      </w:r>
      <w:r w:rsidR="00BB5F5E">
        <w:t xml:space="preserve"> $40.2 million in unspent funds</w:t>
      </w:r>
      <w:r w:rsidR="00EA36C6">
        <w:t>.</w:t>
      </w:r>
      <w:r w:rsidR="00BB5F5E">
        <w:rPr>
          <w:rStyle w:val="FootnoteReference"/>
        </w:rPr>
        <w:footnoteReference w:id="2"/>
      </w:r>
      <w:r w:rsidR="009871AB">
        <w:t xml:space="preserve">  </w:t>
      </w:r>
      <w:r w:rsidR="00841971">
        <w:t xml:space="preserve">This is a decrease from the $188.8 million authorized for 2026. </w:t>
      </w:r>
      <w:r w:rsidR="009871AB">
        <w:t xml:space="preserve">PG&amp;E does not propose significant changes to its CARE, FERA, or ESA </w:t>
      </w:r>
      <w:r w:rsidR="009871AB">
        <w:lastRenderedPageBreak/>
        <w:t>programs</w:t>
      </w:r>
      <w:r w:rsidR="00236E87">
        <w:t>.</w:t>
      </w:r>
      <w:r w:rsidR="003A2119">
        <w:rPr>
          <w:rStyle w:val="FootnoteReference"/>
        </w:rPr>
        <w:footnoteReference w:id="3"/>
      </w:r>
      <w:r w:rsidR="00595EC3">
        <w:t xml:space="preserve">  </w:t>
      </w:r>
      <w:r w:rsidR="00A000D0">
        <w:t>Administrative b</w:t>
      </w:r>
      <w:r w:rsidR="00595EC3">
        <w:t>udgets are either kept the same</w:t>
      </w:r>
      <w:r w:rsidR="00947842">
        <w:t xml:space="preserve"> as 2026 authorized budgets</w:t>
      </w:r>
      <w:r w:rsidR="00595EC3">
        <w:t xml:space="preserve"> or </w:t>
      </w:r>
      <w:r w:rsidR="006B2553">
        <w:t xml:space="preserve">have </w:t>
      </w:r>
      <w:r w:rsidR="00595EC3">
        <w:t>decreased</w:t>
      </w:r>
      <w:r w:rsidR="00BC2307">
        <w:t xml:space="preserve"> (except for escalation)</w:t>
      </w:r>
      <w:r w:rsidR="00595EC3">
        <w:t xml:space="preserve">, and programmatic goals </w:t>
      </w:r>
      <w:r w:rsidR="006B2553">
        <w:t xml:space="preserve">remain </w:t>
      </w:r>
      <w:r w:rsidR="00595EC3">
        <w:t>the same.</w:t>
      </w:r>
      <w:r w:rsidR="00D95FC2">
        <w:t xml:space="preserve">  PG&amp;E states that a bridge year is necessary to obtain operational data from new programs and pilots</w:t>
      </w:r>
      <w:r w:rsidR="00A63E7B">
        <w:t>, such as the Multifamily Whole Building (MFWB</w:t>
      </w:r>
      <w:r w:rsidR="00D812C7">
        <w:t>)</w:t>
      </w:r>
      <w:r w:rsidR="00A63E7B">
        <w:t xml:space="preserve"> and ESA </w:t>
      </w:r>
      <w:r w:rsidR="00D812C7">
        <w:t>P</w:t>
      </w:r>
      <w:r w:rsidR="00A63E7B">
        <w:t>ilot Plus and Pilot Deep</w:t>
      </w:r>
      <w:r w:rsidR="00D812C7">
        <w:t xml:space="preserve"> programs</w:t>
      </w:r>
      <w:r w:rsidR="00D95FC2">
        <w:t>, and to analyze completed studies and evaluations</w:t>
      </w:r>
      <w:r w:rsidR="0093363C">
        <w:t>, such as the Low Income Needs Assessment (LINA)</w:t>
      </w:r>
      <w:r w:rsidR="00256E88">
        <w:t xml:space="preserve"> and </w:t>
      </w:r>
      <w:r w:rsidR="006B2553">
        <w:t xml:space="preserve">the </w:t>
      </w:r>
      <w:r w:rsidR="00256E88">
        <w:t>CHANGES Evaluation</w:t>
      </w:r>
      <w:r w:rsidR="005F338A">
        <w:t>.</w:t>
      </w:r>
      <w:r w:rsidR="00841971">
        <w:t xml:space="preserve"> </w:t>
      </w:r>
    </w:p>
    <w:p w:rsidRPr="00197861" w:rsidR="00492C72" w:rsidP="00492C72" w:rsidRDefault="00492C72" w14:paraId="22B5FB64" w14:textId="275C880F">
      <w:pPr>
        <w:jc w:val="center"/>
        <w:rPr>
          <w:b/>
          <w:bCs/>
        </w:rPr>
      </w:pPr>
      <w:r w:rsidRPr="00197861">
        <w:rPr>
          <w:b/>
          <w:bCs/>
        </w:rPr>
        <w:t>Table 1: PG&amp;E</w:t>
      </w:r>
      <w:r w:rsidR="006276B2">
        <w:rPr>
          <w:b/>
          <w:bCs/>
        </w:rPr>
        <w:t>’s</w:t>
      </w:r>
      <w:r w:rsidRPr="00197861">
        <w:rPr>
          <w:b/>
          <w:bCs/>
        </w:rPr>
        <w:t xml:space="preserve"> 2027 IQP Budget Request</w:t>
      </w:r>
    </w:p>
    <w:tbl>
      <w:tblPr>
        <w:tblStyle w:val="TableGrid"/>
        <w:tblW w:w="9535" w:type="dxa"/>
        <w:tblLook w:val="04A0" w:firstRow="1" w:lastRow="0" w:firstColumn="1" w:lastColumn="0" w:noHBand="0" w:noVBand="1"/>
      </w:tblPr>
      <w:tblGrid>
        <w:gridCol w:w="3595"/>
        <w:gridCol w:w="2970"/>
        <w:gridCol w:w="2970"/>
      </w:tblGrid>
      <w:tr w:rsidR="00587A3E" w:rsidTr="00492C72" w14:paraId="76D5B7FB" w14:textId="77777777">
        <w:tc>
          <w:tcPr>
            <w:tcW w:w="3595" w:type="dxa"/>
          </w:tcPr>
          <w:p w:rsidR="00587A3E" w:rsidP="00AC68EE" w:rsidRDefault="00587A3E" w14:paraId="66517E6B" w14:textId="547F2B4C">
            <w:pPr>
              <w:ind w:firstLine="0"/>
            </w:pPr>
            <w:r>
              <w:t>Category</w:t>
            </w:r>
          </w:p>
        </w:tc>
        <w:tc>
          <w:tcPr>
            <w:tcW w:w="2970" w:type="dxa"/>
          </w:tcPr>
          <w:p w:rsidR="00587A3E" w:rsidP="00AC68EE" w:rsidRDefault="00587A3E" w14:paraId="5F6BAEED" w14:textId="0A063DD2">
            <w:pPr>
              <w:ind w:firstLine="0"/>
            </w:pPr>
            <w:r>
              <w:t xml:space="preserve">2026 </w:t>
            </w:r>
            <w:r w:rsidR="00F5606D">
              <w:t xml:space="preserve">Approved </w:t>
            </w:r>
            <w:r>
              <w:t>Budget</w:t>
            </w:r>
          </w:p>
        </w:tc>
        <w:tc>
          <w:tcPr>
            <w:tcW w:w="2970" w:type="dxa"/>
          </w:tcPr>
          <w:p w:rsidR="00587A3E" w:rsidP="00AC68EE" w:rsidRDefault="00587A3E" w14:paraId="4122B50E" w14:textId="46642753">
            <w:pPr>
              <w:ind w:firstLine="0"/>
            </w:pPr>
            <w:r>
              <w:t>2027 Proposed Budget</w:t>
            </w:r>
          </w:p>
        </w:tc>
      </w:tr>
      <w:tr w:rsidR="00587A3E" w:rsidTr="00492C72" w14:paraId="6A7BFFF4" w14:textId="77777777">
        <w:tc>
          <w:tcPr>
            <w:tcW w:w="3595" w:type="dxa"/>
          </w:tcPr>
          <w:p w:rsidR="00587A3E" w:rsidP="00492C72" w:rsidRDefault="00587A3E" w14:paraId="000018FD" w14:textId="1D1151FD">
            <w:pPr>
              <w:ind w:firstLine="0"/>
            </w:pPr>
            <w:r w:rsidRPr="00411F92">
              <w:t>CARE Program Administrative</w:t>
            </w:r>
          </w:p>
        </w:tc>
        <w:tc>
          <w:tcPr>
            <w:tcW w:w="2970" w:type="dxa"/>
          </w:tcPr>
          <w:p w:rsidR="00587A3E" w:rsidP="00AE5A24" w:rsidRDefault="003832C3" w14:paraId="1ECB5EAE" w14:textId="3C5B2832">
            <w:pPr>
              <w:ind w:firstLine="0"/>
              <w:jc w:val="right"/>
            </w:pPr>
            <w:r w:rsidRPr="003832C3">
              <w:t>$14,787,700</w:t>
            </w:r>
          </w:p>
        </w:tc>
        <w:tc>
          <w:tcPr>
            <w:tcW w:w="2970" w:type="dxa"/>
          </w:tcPr>
          <w:p w:rsidR="00587A3E" w:rsidP="00AE5A24" w:rsidRDefault="003832C3" w14:paraId="7AFBF899" w14:textId="4E38FFD3">
            <w:pPr>
              <w:ind w:firstLine="0"/>
              <w:jc w:val="right"/>
            </w:pPr>
            <w:r w:rsidRPr="003832C3">
              <w:t>$10,295,100</w:t>
            </w:r>
          </w:p>
        </w:tc>
      </w:tr>
      <w:tr w:rsidR="00587A3E" w:rsidTr="00492C72" w14:paraId="14B1ADF2" w14:textId="77777777">
        <w:tc>
          <w:tcPr>
            <w:tcW w:w="3595" w:type="dxa"/>
          </w:tcPr>
          <w:p w:rsidR="00587A3E" w:rsidP="00492C72" w:rsidRDefault="00587A3E" w14:paraId="32172708" w14:textId="616F90C7">
            <w:pPr>
              <w:ind w:firstLine="0"/>
            </w:pPr>
            <w:r w:rsidRPr="00411F92">
              <w:t>FERA Program Administrative</w:t>
            </w:r>
          </w:p>
        </w:tc>
        <w:tc>
          <w:tcPr>
            <w:tcW w:w="2970" w:type="dxa"/>
          </w:tcPr>
          <w:p w:rsidR="00587A3E" w:rsidP="00AE5A24" w:rsidRDefault="006F1DC7" w14:paraId="3D412D41" w14:textId="67E57F68">
            <w:pPr>
              <w:ind w:firstLine="0"/>
              <w:jc w:val="right"/>
            </w:pPr>
            <w:r>
              <w:t>$</w:t>
            </w:r>
            <w:r w:rsidRPr="003832C3" w:rsidR="003832C3">
              <w:t>3,055,800</w:t>
            </w:r>
          </w:p>
        </w:tc>
        <w:tc>
          <w:tcPr>
            <w:tcW w:w="2970" w:type="dxa"/>
          </w:tcPr>
          <w:p w:rsidR="00587A3E" w:rsidP="00AE5A24" w:rsidRDefault="003832C3" w14:paraId="0871FE2B" w14:textId="20710950">
            <w:pPr>
              <w:ind w:firstLine="0"/>
              <w:jc w:val="right"/>
            </w:pPr>
            <w:r>
              <w:t>$</w:t>
            </w:r>
            <w:r w:rsidRPr="003832C3">
              <w:t>3,055,800</w:t>
            </w:r>
          </w:p>
        </w:tc>
      </w:tr>
      <w:tr w:rsidR="00587A3E" w:rsidTr="00492C72" w14:paraId="073E23C9" w14:textId="77777777">
        <w:tc>
          <w:tcPr>
            <w:tcW w:w="3595" w:type="dxa"/>
          </w:tcPr>
          <w:p w:rsidR="00587A3E" w:rsidP="00492C72" w:rsidRDefault="00587A3E" w14:paraId="7F6AE2F8" w14:textId="3EBD07E5">
            <w:pPr>
              <w:ind w:firstLine="0"/>
            </w:pPr>
            <w:r w:rsidRPr="00411F92">
              <w:t>ESA Program</w:t>
            </w:r>
            <w:r w:rsidR="00492C72">
              <w:t xml:space="preserve"> Total</w:t>
            </w:r>
          </w:p>
        </w:tc>
        <w:tc>
          <w:tcPr>
            <w:tcW w:w="2970" w:type="dxa"/>
          </w:tcPr>
          <w:p w:rsidR="00587A3E" w:rsidP="00AE5A24" w:rsidRDefault="00492C72" w14:paraId="42923DED" w14:textId="0AD345AF">
            <w:pPr>
              <w:ind w:firstLine="0"/>
              <w:jc w:val="right"/>
            </w:pPr>
            <w:r>
              <w:t>$</w:t>
            </w:r>
            <w:r w:rsidRPr="003832C3" w:rsidR="003832C3">
              <w:t>170,915,152</w:t>
            </w:r>
          </w:p>
        </w:tc>
        <w:tc>
          <w:tcPr>
            <w:tcW w:w="2970" w:type="dxa"/>
          </w:tcPr>
          <w:p w:rsidR="00587A3E" w:rsidP="00AE5A24" w:rsidRDefault="00492C72" w14:paraId="7F5E946C" w14:textId="0A2D66F4">
            <w:pPr>
              <w:ind w:firstLine="0"/>
              <w:jc w:val="right"/>
            </w:pPr>
            <w:r>
              <w:t>$</w:t>
            </w:r>
            <w:r w:rsidRPr="003832C3" w:rsidR="003832C3">
              <w:t>158,380,427</w:t>
            </w:r>
          </w:p>
        </w:tc>
      </w:tr>
      <w:tr w:rsidR="00587A3E" w:rsidTr="00492C72" w14:paraId="266DE06C" w14:textId="77777777">
        <w:tc>
          <w:tcPr>
            <w:tcW w:w="3595" w:type="dxa"/>
          </w:tcPr>
          <w:p w:rsidR="00587A3E" w:rsidP="00587A3E" w:rsidRDefault="00587A3E" w14:paraId="75EF8286" w14:textId="33486FC8">
            <w:pPr>
              <w:ind w:firstLine="0"/>
              <w:jc w:val="right"/>
            </w:pPr>
            <w:r w:rsidRPr="00C928B2">
              <w:rPr>
                <w:i/>
                <w:iCs/>
              </w:rPr>
              <w:t>ESA Main</w:t>
            </w:r>
          </w:p>
        </w:tc>
        <w:tc>
          <w:tcPr>
            <w:tcW w:w="2970" w:type="dxa"/>
          </w:tcPr>
          <w:p w:rsidR="00587A3E" w:rsidP="00492C72" w:rsidRDefault="00492C72" w14:paraId="006F4AD7" w14:textId="6624F009">
            <w:pPr>
              <w:ind w:firstLine="0"/>
              <w:jc w:val="right"/>
            </w:pPr>
            <w:r>
              <w:rPr>
                <w:i/>
                <w:iCs/>
              </w:rPr>
              <w:t>$</w:t>
            </w:r>
            <w:r w:rsidRPr="005D0025" w:rsidR="005D0025">
              <w:rPr>
                <w:i/>
                <w:iCs/>
              </w:rPr>
              <w:t>100,305,712</w:t>
            </w:r>
          </w:p>
        </w:tc>
        <w:tc>
          <w:tcPr>
            <w:tcW w:w="2970" w:type="dxa"/>
          </w:tcPr>
          <w:p w:rsidR="00587A3E" w:rsidP="00492C72" w:rsidRDefault="00492C72" w14:paraId="4896CCD5" w14:textId="7A316C79">
            <w:pPr>
              <w:ind w:firstLine="0"/>
              <w:jc w:val="right"/>
            </w:pPr>
            <w:r>
              <w:rPr>
                <w:i/>
                <w:iCs/>
              </w:rPr>
              <w:t>$</w:t>
            </w:r>
            <w:r w:rsidRPr="005D0025" w:rsidR="005D0025">
              <w:rPr>
                <w:i/>
                <w:iCs/>
              </w:rPr>
              <w:t>10</w:t>
            </w:r>
            <w:r w:rsidR="00052A91">
              <w:rPr>
                <w:i/>
                <w:iCs/>
              </w:rPr>
              <w:t>6,977,960</w:t>
            </w:r>
          </w:p>
        </w:tc>
      </w:tr>
      <w:tr w:rsidR="00587A3E" w:rsidTr="00492C72" w14:paraId="55C14115" w14:textId="77777777">
        <w:tc>
          <w:tcPr>
            <w:tcW w:w="3595" w:type="dxa"/>
          </w:tcPr>
          <w:p w:rsidR="00587A3E" w:rsidP="00587A3E" w:rsidRDefault="00587A3E" w14:paraId="604751B2" w14:textId="6B407B2F">
            <w:pPr>
              <w:ind w:firstLine="0"/>
              <w:jc w:val="right"/>
            </w:pPr>
            <w:r>
              <w:rPr>
                <w:i/>
                <w:iCs/>
              </w:rPr>
              <w:t xml:space="preserve">ESA </w:t>
            </w:r>
            <w:r w:rsidRPr="00C928B2">
              <w:rPr>
                <w:i/>
                <w:iCs/>
              </w:rPr>
              <w:t>MFWB</w:t>
            </w:r>
          </w:p>
        </w:tc>
        <w:tc>
          <w:tcPr>
            <w:tcW w:w="2970" w:type="dxa"/>
          </w:tcPr>
          <w:p w:rsidR="00587A3E" w:rsidP="00492C72" w:rsidRDefault="00492C72" w14:paraId="2B15F7ED" w14:textId="32198294">
            <w:pPr>
              <w:ind w:firstLine="0"/>
              <w:jc w:val="right"/>
            </w:pPr>
            <w:r>
              <w:rPr>
                <w:i/>
                <w:iCs/>
              </w:rPr>
              <w:t>$</w:t>
            </w:r>
            <w:r w:rsidRPr="005D0025" w:rsidR="005D0025">
              <w:rPr>
                <w:i/>
                <w:iCs/>
              </w:rPr>
              <w:t>47,222,869</w:t>
            </w:r>
          </w:p>
        </w:tc>
        <w:tc>
          <w:tcPr>
            <w:tcW w:w="2970" w:type="dxa"/>
          </w:tcPr>
          <w:p w:rsidR="00587A3E" w:rsidP="00492C72" w:rsidRDefault="00492C72" w14:paraId="04D505E9" w14:textId="3072DC6E">
            <w:pPr>
              <w:ind w:firstLine="0"/>
              <w:jc w:val="right"/>
            </w:pPr>
            <w:r>
              <w:rPr>
                <w:i/>
                <w:iCs/>
              </w:rPr>
              <w:t>$</w:t>
            </w:r>
            <w:r w:rsidRPr="005D0025" w:rsidR="005D0025">
              <w:rPr>
                <w:i/>
                <w:iCs/>
              </w:rPr>
              <w:t>3</w:t>
            </w:r>
            <w:r w:rsidR="00052A91">
              <w:rPr>
                <w:i/>
                <w:iCs/>
              </w:rPr>
              <w:t>5,787,565</w:t>
            </w:r>
          </w:p>
        </w:tc>
      </w:tr>
      <w:tr w:rsidR="00587A3E" w:rsidTr="00492C72" w14:paraId="2DC5381E" w14:textId="77777777">
        <w:tc>
          <w:tcPr>
            <w:tcW w:w="3595" w:type="dxa"/>
          </w:tcPr>
          <w:p w:rsidRPr="00C928B2" w:rsidR="00587A3E" w:rsidP="00587A3E" w:rsidRDefault="00587A3E" w14:paraId="0C11AC65" w14:textId="40B3F64C">
            <w:pPr>
              <w:ind w:firstLine="0"/>
              <w:jc w:val="right"/>
              <w:rPr>
                <w:i/>
                <w:iCs/>
              </w:rPr>
            </w:pPr>
            <w:r>
              <w:rPr>
                <w:i/>
                <w:iCs/>
              </w:rPr>
              <w:t xml:space="preserve">ESA </w:t>
            </w:r>
            <w:r w:rsidRPr="00C928B2">
              <w:rPr>
                <w:i/>
                <w:iCs/>
              </w:rPr>
              <w:t>Pilot Plus/Pilot Deep</w:t>
            </w:r>
          </w:p>
        </w:tc>
        <w:tc>
          <w:tcPr>
            <w:tcW w:w="2970" w:type="dxa"/>
          </w:tcPr>
          <w:p w:rsidR="00587A3E" w:rsidP="00492C72" w:rsidRDefault="00492C72" w14:paraId="1D0F4402" w14:textId="17B34488">
            <w:pPr>
              <w:ind w:firstLine="0"/>
              <w:jc w:val="right"/>
            </w:pPr>
            <w:r>
              <w:rPr>
                <w:i/>
                <w:iCs/>
              </w:rPr>
              <w:t>$</w:t>
            </w:r>
            <w:r w:rsidRPr="005D0025" w:rsidR="005D0025">
              <w:rPr>
                <w:i/>
                <w:iCs/>
              </w:rPr>
              <w:t>8,782,607</w:t>
            </w:r>
          </w:p>
        </w:tc>
        <w:tc>
          <w:tcPr>
            <w:tcW w:w="2970" w:type="dxa"/>
          </w:tcPr>
          <w:p w:rsidR="00587A3E" w:rsidP="00492C72" w:rsidRDefault="00492C72" w14:paraId="6DB0C5BC" w14:textId="1562ADBA">
            <w:pPr>
              <w:ind w:firstLine="0"/>
              <w:jc w:val="right"/>
            </w:pPr>
            <w:r>
              <w:rPr>
                <w:i/>
                <w:iCs/>
              </w:rPr>
              <w:t>$</w:t>
            </w:r>
            <w:r w:rsidRPr="005D0025" w:rsidR="005D0025">
              <w:rPr>
                <w:i/>
                <w:iCs/>
              </w:rPr>
              <w:t>2,893,520</w:t>
            </w:r>
          </w:p>
        </w:tc>
      </w:tr>
      <w:tr w:rsidR="00587A3E" w:rsidTr="00492C72" w14:paraId="2EB01A56" w14:textId="77777777">
        <w:tc>
          <w:tcPr>
            <w:tcW w:w="3595" w:type="dxa"/>
          </w:tcPr>
          <w:p w:rsidRPr="00C928B2" w:rsidR="00587A3E" w:rsidP="00587A3E" w:rsidRDefault="00587A3E" w14:paraId="7C3F3E39" w14:textId="4B1E4488">
            <w:pPr>
              <w:ind w:firstLine="0"/>
              <w:jc w:val="right"/>
              <w:rPr>
                <w:i/>
                <w:iCs/>
              </w:rPr>
            </w:pPr>
            <w:r>
              <w:rPr>
                <w:i/>
                <w:iCs/>
              </w:rPr>
              <w:t xml:space="preserve">ESA </w:t>
            </w:r>
            <w:r w:rsidRPr="00C928B2">
              <w:rPr>
                <w:i/>
                <w:iCs/>
              </w:rPr>
              <w:t>Program Administrative</w:t>
            </w:r>
          </w:p>
        </w:tc>
        <w:tc>
          <w:tcPr>
            <w:tcW w:w="2970" w:type="dxa"/>
          </w:tcPr>
          <w:p w:rsidR="00587A3E" w:rsidP="00492C72" w:rsidRDefault="00492C72" w14:paraId="21430E10" w14:textId="5358C3F0">
            <w:pPr>
              <w:ind w:firstLine="0"/>
              <w:jc w:val="right"/>
            </w:pPr>
            <w:r>
              <w:rPr>
                <w:i/>
                <w:iCs/>
              </w:rPr>
              <w:t>$</w:t>
            </w:r>
            <w:r w:rsidRPr="005D0025" w:rsidR="005D0025">
              <w:rPr>
                <w:i/>
                <w:iCs/>
              </w:rPr>
              <w:t>14,603,963</w:t>
            </w:r>
          </w:p>
        </w:tc>
        <w:tc>
          <w:tcPr>
            <w:tcW w:w="2970" w:type="dxa"/>
          </w:tcPr>
          <w:p w:rsidR="00587A3E" w:rsidP="00492C72" w:rsidRDefault="00492C72" w14:paraId="247F514F" w14:textId="76D94612">
            <w:pPr>
              <w:ind w:firstLine="0"/>
              <w:jc w:val="right"/>
            </w:pPr>
            <w:r>
              <w:rPr>
                <w:i/>
                <w:iCs/>
              </w:rPr>
              <w:t>$</w:t>
            </w:r>
            <w:r w:rsidR="00052A91">
              <w:rPr>
                <w:i/>
                <w:iCs/>
              </w:rPr>
              <w:t>12,721,382</w:t>
            </w:r>
          </w:p>
        </w:tc>
      </w:tr>
      <w:tr w:rsidR="00587A3E" w:rsidTr="00492C72" w14:paraId="098D5EE3" w14:textId="77777777">
        <w:tc>
          <w:tcPr>
            <w:tcW w:w="3595" w:type="dxa"/>
          </w:tcPr>
          <w:p w:rsidRPr="00587A3E" w:rsidR="00587A3E" w:rsidP="00492C72" w:rsidRDefault="00587A3E" w14:paraId="45ED0EA3" w14:textId="48F17B16">
            <w:pPr>
              <w:ind w:firstLine="0"/>
              <w:jc w:val="both"/>
            </w:pPr>
            <w:r w:rsidRPr="00587A3E">
              <w:t>ESA Unspent Funds Carry Forward</w:t>
            </w:r>
          </w:p>
        </w:tc>
        <w:tc>
          <w:tcPr>
            <w:tcW w:w="2970" w:type="dxa"/>
          </w:tcPr>
          <w:p w:rsidR="00587A3E" w:rsidP="00AC68EE" w:rsidRDefault="00587A3E" w14:paraId="325757E3" w14:textId="77777777">
            <w:pPr>
              <w:ind w:firstLine="0"/>
            </w:pPr>
          </w:p>
        </w:tc>
        <w:tc>
          <w:tcPr>
            <w:tcW w:w="2970" w:type="dxa"/>
          </w:tcPr>
          <w:p w:rsidR="00587A3E" w:rsidP="00AE5A24" w:rsidRDefault="00492C72" w14:paraId="5BD35CAE" w14:textId="6861C305">
            <w:pPr>
              <w:ind w:firstLine="0"/>
              <w:jc w:val="right"/>
            </w:pPr>
            <w:r>
              <w:t>($</w:t>
            </w:r>
            <w:r w:rsidRPr="00492C72">
              <w:t>40,152,212</w:t>
            </w:r>
            <w:r>
              <w:t>)</w:t>
            </w:r>
          </w:p>
        </w:tc>
      </w:tr>
      <w:tr w:rsidR="00587A3E" w:rsidTr="00492C72" w14:paraId="25756B42" w14:textId="77777777">
        <w:tc>
          <w:tcPr>
            <w:tcW w:w="3595" w:type="dxa"/>
          </w:tcPr>
          <w:p w:rsidRPr="00C928B2" w:rsidR="00587A3E" w:rsidP="00B90C35" w:rsidRDefault="00587A3E" w14:paraId="6ED189F9" w14:textId="294E006C">
            <w:pPr>
              <w:ind w:firstLine="0"/>
              <w:rPr>
                <w:i/>
                <w:iCs/>
              </w:rPr>
            </w:pPr>
            <w:r w:rsidRPr="00C928B2">
              <w:rPr>
                <w:b/>
                <w:bCs/>
                <w:i/>
                <w:iCs/>
              </w:rPr>
              <w:t>Total</w:t>
            </w:r>
            <w:r w:rsidR="00492C72">
              <w:rPr>
                <w:b/>
                <w:bCs/>
                <w:i/>
                <w:iCs/>
              </w:rPr>
              <w:t xml:space="preserve"> </w:t>
            </w:r>
            <w:proofErr w:type="gramStart"/>
            <w:r w:rsidR="00BF6B51">
              <w:rPr>
                <w:b/>
                <w:bCs/>
                <w:i/>
                <w:iCs/>
              </w:rPr>
              <w:t xml:space="preserve">Administrative </w:t>
            </w:r>
            <w:r w:rsidR="00492C72">
              <w:rPr>
                <w:b/>
                <w:bCs/>
                <w:i/>
                <w:iCs/>
              </w:rPr>
              <w:t xml:space="preserve"> Request</w:t>
            </w:r>
            <w:proofErr w:type="gramEnd"/>
          </w:p>
        </w:tc>
        <w:tc>
          <w:tcPr>
            <w:tcW w:w="2970" w:type="dxa"/>
          </w:tcPr>
          <w:p w:rsidR="00587A3E" w:rsidP="00AE5A24" w:rsidRDefault="00492C72" w14:paraId="77A70240" w14:textId="49694479">
            <w:pPr>
              <w:ind w:firstLine="0"/>
              <w:jc w:val="right"/>
            </w:pPr>
            <w:r w:rsidRPr="00492C72">
              <w:rPr>
                <w:b/>
                <w:bCs/>
              </w:rPr>
              <w:t>$188,758,652</w:t>
            </w:r>
          </w:p>
        </w:tc>
        <w:tc>
          <w:tcPr>
            <w:tcW w:w="2970" w:type="dxa"/>
          </w:tcPr>
          <w:p w:rsidR="00587A3E" w:rsidP="00AE5A24" w:rsidRDefault="00492C72" w14:paraId="5D0E478F" w14:textId="59738139">
            <w:pPr>
              <w:ind w:firstLine="0"/>
              <w:jc w:val="right"/>
            </w:pPr>
            <w:r w:rsidRPr="00492C72">
              <w:rPr>
                <w:b/>
                <w:bCs/>
              </w:rPr>
              <w:t>$131,579,115</w:t>
            </w:r>
          </w:p>
        </w:tc>
      </w:tr>
      <w:tr w:rsidR="00BF6B51" w:rsidTr="00492C72" w14:paraId="41E48F91" w14:textId="77777777">
        <w:tc>
          <w:tcPr>
            <w:tcW w:w="3595" w:type="dxa"/>
          </w:tcPr>
          <w:p w:rsidRPr="00C7008D" w:rsidR="00BF6B51" w:rsidP="00492C72" w:rsidRDefault="00BF6B51" w14:paraId="4CBE7648" w14:textId="5DCF1DB9">
            <w:pPr>
              <w:ind w:firstLine="0"/>
              <w:jc w:val="both"/>
              <w:rPr>
                <w:i/>
                <w:iCs/>
              </w:rPr>
            </w:pPr>
            <w:r w:rsidRPr="00C7008D">
              <w:rPr>
                <w:i/>
                <w:iCs/>
              </w:rPr>
              <w:t>CARE Discount</w:t>
            </w:r>
          </w:p>
        </w:tc>
        <w:tc>
          <w:tcPr>
            <w:tcW w:w="2970" w:type="dxa"/>
          </w:tcPr>
          <w:p w:rsidRPr="00C7008D" w:rsidR="00BF6B51" w:rsidP="00AE5A24" w:rsidRDefault="00BF6B51" w14:paraId="41CC963A" w14:textId="0464C429">
            <w:pPr>
              <w:ind w:firstLine="0"/>
              <w:jc w:val="right"/>
            </w:pPr>
            <w:r w:rsidRPr="00C7008D">
              <w:t>$705,667,000</w:t>
            </w:r>
          </w:p>
        </w:tc>
        <w:tc>
          <w:tcPr>
            <w:tcW w:w="2970" w:type="dxa"/>
          </w:tcPr>
          <w:p w:rsidRPr="00C7008D" w:rsidR="00BF6B51" w:rsidP="00AE5A24" w:rsidRDefault="00C7008D" w14:paraId="60AC0264" w14:textId="13D4A695">
            <w:pPr>
              <w:ind w:firstLine="0"/>
              <w:jc w:val="right"/>
            </w:pPr>
            <w:r w:rsidRPr="00C7008D">
              <w:t>$1,481,000,000</w:t>
            </w:r>
          </w:p>
        </w:tc>
      </w:tr>
      <w:tr w:rsidR="00BF6B51" w:rsidTr="00492C72" w14:paraId="70D0B5EA" w14:textId="77777777">
        <w:tc>
          <w:tcPr>
            <w:tcW w:w="3595" w:type="dxa"/>
          </w:tcPr>
          <w:p w:rsidRPr="00C7008D" w:rsidR="00BF6B51" w:rsidP="00492C72" w:rsidRDefault="00BF6B51" w14:paraId="4FCB73B9" w14:textId="4D164A20">
            <w:pPr>
              <w:ind w:firstLine="0"/>
              <w:jc w:val="both"/>
              <w:rPr>
                <w:i/>
                <w:iCs/>
              </w:rPr>
            </w:pPr>
            <w:r w:rsidRPr="00C7008D">
              <w:rPr>
                <w:i/>
                <w:iCs/>
              </w:rPr>
              <w:lastRenderedPageBreak/>
              <w:t>FERA Discount</w:t>
            </w:r>
          </w:p>
        </w:tc>
        <w:tc>
          <w:tcPr>
            <w:tcW w:w="2970" w:type="dxa"/>
          </w:tcPr>
          <w:p w:rsidRPr="00C7008D" w:rsidR="00BF6B51" w:rsidP="00AE5A24" w:rsidRDefault="00CF4EA7" w14:paraId="4B235374" w14:textId="6A358615">
            <w:pPr>
              <w:ind w:firstLine="0"/>
              <w:jc w:val="right"/>
            </w:pPr>
            <w:r>
              <w:t>$</w:t>
            </w:r>
            <w:r w:rsidRPr="00C7008D" w:rsidR="00C7008D">
              <w:t>23,364,000</w:t>
            </w:r>
          </w:p>
        </w:tc>
        <w:tc>
          <w:tcPr>
            <w:tcW w:w="2970" w:type="dxa"/>
          </w:tcPr>
          <w:p w:rsidRPr="00C7008D" w:rsidR="00BF6B51" w:rsidP="00AE5A24" w:rsidRDefault="00603FC4" w14:paraId="25455B6A" w14:textId="040FE17A">
            <w:pPr>
              <w:ind w:firstLine="0"/>
              <w:jc w:val="right"/>
            </w:pPr>
            <w:r>
              <w:t>$</w:t>
            </w:r>
            <w:r w:rsidRPr="00C7008D" w:rsidR="00C7008D">
              <w:t>31,706,650</w:t>
            </w:r>
          </w:p>
        </w:tc>
      </w:tr>
    </w:tbl>
    <w:p w:rsidR="006E4490" w:rsidP="00AC68EE" w:rsidRDefault="006E4490" w14:paraId="03AE5D5E" w14:textId="77777777"/>
    <w:p w:rsidR="00147E71" w:rsidP="00FE2D37" w:rsidRDefault="00147E71" w14:paraId="1CD046CA" w14:textId="01B50D3A">
      <w:pPr>
        <w:pStyle w:val="Heading2"/>
      </w:pPr>
      <w:bookmarkStart w:name="_Toc230872051" w:id="16"/>
      <w:r>
        <w:t>SDG&amp;E Application</w:t>
      </w:r>
      <w:bookmarkEnd w:id="16"/>
    </w:p>
    <w:p w:rsidR="0015468B" w:rsidP="00BC2307" w:rsidRDefault="00E56FFE" w14:paraId="06907E33" w14:textId="458EC1A7">
      <w:pPr>
        <w:pStyle w:val="Standard"/>
      </w:pPr>
      <w:r>
        <w:t>SDG&amp;E requests</w:t>
      </w:r>
      <w:r w:rsidRPr="00F12479">
        <w:t xml:space="preserve"> </w:t>
      </w:r>
      <w:r w:rsidR="003546D2">
        <w:t xml:space="preserve">a total of </w:t>
      </w:r>
      <w:r w:rsidR="00524DC3">
        <w:t xml:space="preserve">$44.1 million for 2027 IQP activities, which nets to </w:t>
      </w:r>
      <w:r w:rsidRPr="00F12479">
        <w:t>$25.1 million</w:t>
      </w:r>
      <w:r>
        <w:rPr>
          <w:b/>
          <w:bCs/>
        </w:rPr>
        <w:t xml:space="preserve"> </w:t>
      </w:r>
      <w:r>
        <w:t xml:space="preserve">in incremental funding, after </w:t>
      </w:r>
      <w:r w:rsidR="00524DC3">
        <w:t>carrying forward</w:t>
      </w:r>
      <w:r>
        <w:t xml:space="preserve"> $19 million in unspent funds. </w:t>
      </w:r>
      <w:r w:rsidR="003C1251">
        <w:t xml:space="preserve"> </w:t>
      </w:r>
      <w:r w:rsidR="00841971">
        <w:t xml:space="preserve">This is </w:t>
      </w:r>
      <w:r w:rsidR="00700F69">
        <w:t>an</w:t>
      </w:r>
      <w:r w:rsidR="00841971">
        <w:t xml:space="preserve"> increase from the $41.7 million authorized for 2026. </w:t>
      </w:r>
      <w:r w:rsidR="00147E71">
        <w:t xml:space="preserve">SDG&amp;E proposes minimal changes to </w:t>
      </w:r>
      <w:r w:rsidR="00C11ADB">
        <w:t>its IQP portfolio</w:t>
      </w:r>
      <w:r w:rsidR="003E5A3B">
        <w:t xml:space="preserve">, and </w:t>
      </w:r>
      <w:r w:rsidR="0005284C">
        <w:t xml:space="preserve">proposes </w:t>
      </w:r>
      <w:proofErr w:type="gramStart"/>
      <w:r w:rsidR="0005284C">
        <w:t>to maintain</w:t>
      </w:r>
      <w:proofErr w:type="gramEnd"/>
      <w:r w:rsidR="0005284C">
        <w:t xml:space="preserve"> </w:t>
      </w:r>
      <w:r w:rsidR="003E5A3B">
        <w:t xml:space="preserve">the </w:t>
      </w:r>
      <w:r w:rsidR="008E406B">
        <w:t xml:space="preserve">same </w:t>
      </w:r>
      <w:r w:rsidR="00A3061F">
        <w:t>enrollment goals</w:t>
      </w:r>
      <w:r w:rsidR="003E5A3B">
        <w:t xml:space="preserve">, </w:t>
      </w:r>
      <w:r w:rsidR="000B766D">
        <w:t>post enrollment verification (</w:t>
      </w:r>
      <w:r w:rsidR="00A3061F">
        <w:t>PEV</w:t>
      </w:r>
      <w:r w:rsidR="000B766D">
        <w:t>)</w:t>
      </w:r>
      <w:r w:rsidR="00A3061F">
        <w:t xml:space="preserve"> rates</w:t>
      </w:r>
      <w:r w:rsidR="008E406B">
        <w:t xml:space="preserve">, and </w:t>
      </w:r>
      <w:r w:rsidR="005F533D">
        <w:t xml:space="preserve">CARE administrative budget </w:t>
      </w:r>
      <w:r w:rsidR="00EF6CC4">
        <w:t>as</w:t>
      </w:r>
      <w:r w:rsidR="008E406B">
        <w:t xml:space="preserve"> 2026.</w:t>
      </w:r>
      <w:r w:rsidR="00EF6CC4">
        <w:t xml:space="preserve">  SDG&amp;E proposes </w:t>
      </w:r>
      <w:r w:rsidR="00FF10F4">
        <w:t>slight increases for its FERA administrative budget and ESA budget.</w:t>
      </w:r>
      <w:r w:rsidR="00AE5A24">
        <w:t xml:space="preserve"> </w:t>
      </w:r>
      <w:r w:rsidR="008E406B">
        <w:t xml:space="preserve"> </w:t>
      </w:r>
      <w:r w:rsidR="001D2667">
        <w:t xml:space="preserve">  </w:t>
      </w:r>
    </w:p>
    <w:p w:rsidRPr="00197861" w:rsidR="0015468B" w:rsidP="0015468B" w:rsidRDefault="0015468B" w14:paraId="3E4F36F9" w14:textId="3058C285">
      <w:pPr>
        <w:jc w:val="center"/>
        <w:rPr>
          <w:b/>
          <w:bCs/>
        </w:rPr>
      </w:pPr>
      <w:r w:rsidRPr="00197861">
        <w:rPr>
          <w:b/>
          <w:bCs/>
        </w:rPr>
        <w:t xml:space="preserve">Table </w:t>
      </w:r>
      <w:r>
        <w:rPr>
          <w:b/>
          <w:bCs/>
        </w:rPr>
        <w:t>2</w:t>
      </w:r>
      <w:r w:rsidRPr="00197861">
        <w:rPr>
          <w:b/>
          <w:bCs/>
        </w:rPr>
        <w:t xml:space="preserve">: </w:t>
      </w:r>
      <w:r>
        <w:rPr>
          <w:b/>
          <w:bCs/>
        </w:rPr>
        <w:t>SD</w:t>
      </w:r>
      <w:r w:rsidRPr="00197861">
        <w:rPr>
          <w:b/>
          <w:bCs/>
        </w:rPr>
        <w:t>G&amp;E</w:t>
      </w:r>
      <w:r w:rsidR="00E014D8">
        <w:rPr>
          <w:b/>
          <w:bCs/>
        </w:rPr>
        <w:t>’s</w:t>
      </w:r>
      <w:r w:rsidRPr="00197861">
        <w:rPr>
          <w:b/>
          <w:bCs/>
        </w:rPr>
        <w:t xml:space="preserve"> 2027 IQP Budget Request</w:t>
      </w:r>
    </w:p>
    <w:tbl>
      <w:tblPr>
        <w:tblStyle w:val="TableGrid"/>
        <w:tblW w:w="9535" w:type="dxa"/>
        <w:tblLook w:val="04A0" w:firstRow="1" w:lastRow="0" w:firstColumn="1" w:lastColumn="0" w:noHBand="0" w:noVBand="1"/>
      </w:tblPr>
      <w:tblGrid>
        <w:gridCol w:w="3595"/>
        <w:gridCol w:w="2970"/>
        <w:gridCol w:w="2970"/>
      </w:tblGrid>
      <w:tr w:rsidR="0015468B" w:rsidTr="00AE749C" w14:paraId="26F6C88D" w14:textId="77777777">
        <w:tc>
          <w:tcPr>
            <w:tcW w:w="3595" w:type="dxa"/>
          </w:tcPr>
          <w:p w:rsidR="0015468B" w:rsidP="00AE749C" w:rsidRDefault="0015468B" w14:paraId="7FFCB7E2" w14:textId="77777777">
            <w:pPr>
              <w:ind w:firstLine="0"/>
            </w:pPr>
            <w:r>
              <w:t>Category</w:t>
            </w:r>
          </w:p>
        </w:tc>
        <w:tc>
          <w:tcPr>
            <w:tcW w:w="2970" w:type="dxa"/>
          </w:tcPr>
          <w:p w:rsidR="0015468B" w:rsidP="00AE749C" w:rsidRDefault="0015468B" w14:paraId="1D27599B" w14:textId="5674608C">
            <w:pPr>
              <w:ind w:firstLine="0"/>
            </w:pPr>
            <w:r>
              <w:t xml:space="preserve">2026 </w:t>
            </w:r>
            <w:r w:rsidR="00BC2F3A">
              <w:t xml:space="preserve">Approved </w:t>
            </w:r>
            <w:r>
              <w:t>Budget</w:t>
            </w:r>
          </w:p>
        </w:tc>
        <w:tc>
          <w:tcPr>
            <w:tcW w:w="2970" w:type="dxa"/>
          </w:tcPr>
          <w:p w:rsidR="0015468B" w:rsidP="00AE749C" w:rsidRDefault="0015468B" w14:paraId="09A55692" w14:textId="77777777">
            <w:pPr>
              <w:ind w:firstLine="0"/>
            </w:pPr>
            <w:r>
              <w:t>2027 Proposed Budget</w:t>
            </w:r>
          </w:p>
        </w:tc>
      </w:tr>
      <w:tr w:rsidR="0015468B" w:rsidTr="00AE749C" w14:paraId="3F796463" w14:textId="77777777">
        <w:tc>
          <w:tcPr>
            <w:tcW w:w="3595" w:type="dxa"/>
          </w:tcPr>
          <w:p w:rsidR="0015468B" w:rsidP="00AE749C" w:rsidRDefault="0015468B" w14:paraId="647894D3" w14:textId="77777777">
            <w:pPr>
              <w:ind w:firstLine="0"/>
            </w:pPr>
            <w:r w:rsidRPr="00411F92">
              <w:t>CARE Program Administrative</w:t>
            </w:r>
          </w:p>
        </w:tc>
        <w:tc>
          <w:tcPr>
            <w:tcW w:w="2970" w:type="dxa"/>
          </w:tcPr>
          <w:p w:rsidR="0015468B" w:rsidP="00AE5A24" w:rsidRDefault="0015468B" w14:paraId="00F2470F" w14:textId="41BC1AC2">
            <w:pPr>
              <w:ind w:firstLine="0"/>
              <w:jc w:val="right"/>
            </w:pPr>
            <w:r w:rsidRPr="003832C3">
              <w:t>$</w:t>
            </w:r>
            <w:r w:rsidR="00006E2A">
              <w:t>7,401,649</w:t>
            </w:r>
          </w:p>
        </w:tc>
        <w:tc>
          <w:tcPr>
            <w:tcW w:w="2970" w:type="dxa"/>
          </w:tcPr>
          <w:p w:rsidR="0015468B" w:rsidP="00AE5A24" w:rsidRDefault="0015468B" w14:paraId="699CCD35" w14:textId="39D293B8">
            <w:pPr>
              <w:ind w:firstLine="0"/>
              <w:jc w:val="right"/>
            </w:pPr>
            <w:r w:rsidRPr="003832C3">
              <w:t>$</w:t>
            </w:r>
            <w:r w:rsidR="00200FBE">
              <w:t>7,398,686</w:t>
            </w:r>
            <w:r w:rsidR="00200FBE">
              <w:rPr>
                <w:rStyle w:val="FootnoteReference"/>
              </w:rPr>
              <w:footnoteReference w:id="4"/>
            </w:r>
          </w:p>
        </w:tc>
      </w:tr>
      <w:tr w:rsidR="0015468B" w:rsidTr="00AE749C" w14:paraId="2D21155A" w14:textId="77777777">
        <w:tc>
          <w:tcPr>
            <w:tcW w:w="3595" w:type="dxa"/>
          </w:tcPr>
          <w:p w:rsidR="0015468B" w:rsidP="00AE749C" w:rsidRDefault="0015468B" w14:paraId="2F0D121E" w14:textId="77777777">
            <w:pPr>
              <w:ind w:firstLine="0"/>
            </w:pPr>
            <w:r w:rsidRPr="00411F92">
              <w:t>FERA Program Administrative</w:t>
            </w:r>
          </w:p>
        </w:tc>
        <w:tc>
          <w:tcPr>
            <w:tcW w:w="2970" w:type="dxa"/>
          </w:tcPr>
          <w:p w:rsidR="0015468B" w:rsidP="00AE5A24" w:rsidRDefault="0015468B" w14:paraId="237CCECF" w14:textId="7575290E">
            <w:pPr>
              <w:ind w:firstLine="0"/>
              <w:jc w:val="right"/>
            </w:pPr>
            <w:r>
              <w:t>$</w:t>
            </w:r>
            <w:r w:rsidR="0056421D">
              <w:t>640,368</w:t>
            </w:r>
          </w:p>
        </w:tc>
        <w:tc>
          <w:tcPr>
            <w:tcW w:w="2970" w:type="dxa"/>
          </w:tcPr>
          <w:p w:rsidR="0015468B" w:rsidP="00AE5A24" w:rsidRDefault="0015468B" w14:paraId="0616A0BD" w14:textId="4C7B33FC">
            <w:pPr>
              <w:ind w:firstLine="0"/>
              <w:jc w:val="right"/>
            </w:pPr>
            <w:r>
              <w:t>$</w:t>
            </w:r>
            <w:r w:rsidR="0053606A">
              <w:t>979,185</w:t>
            </w:r>
            <w:r w:rsidR="0053606A">
              <w:rPr>
                <w:rStyle w:val="FootnoteReference"/>
              </w:rPr>
              <w:footnoteReference w:id="5"/>
            </w:r>
          </w:p>
        </w:tc>
      </w:tr>
      <w:tr w:rsidR="0015468B" w:rsidTr="00AE749C" w14:paraId="1FE0139F" w14:textId="77777777">
        <w:tc>
          <w:tcPr>
            <w:tcW w:w="3595" w:type="dxa"/>
          </w:tcPr>
          <w:p w:rsidR="0015468B" w:rsidP="00AE749C" w:rsidRDefault="0015468B" w14:paraId="693CFB5A" w14:textId="77777777">
            <w:pPr>
              <w:ind w:firstLine="0"/>
            </w:pPr>
            <w:r w:rsidRPr="00411F92">
              <w:t>ESA Program</w:t>
            </w:r>
            <w:r>
              <w:t xml:space="preserve"> Total</w:t>
            </w:r>
          </w:p>
        </w:tc>
        <w:tc>
          <w:tcPr>
            <w:tcW w:w="2970" w:type="dxa"/>
          </w:tcPr>
          <w:p w:rsidR="0015468B" w:rsidP="00AE5A24" w:rsidRDefault="0015468B" w14:paraId="6383ADD8" w14:textId="5966D795">
            <w:pPr>
              <w:ind w:firstLine="0"/>
              <w:jc w:val="right"/>
            </w:pPr>
            <w:r>
              <w:t>$</w:t>
            </w:r>
            <w:r w:rsidR="00006E2A">
              <w:t>33,660,</w:t>
            </w:r>
            <w:r w:rsidR="00A86D74">
              <w:t>548</w:t>
            </w:r>
          </w:p>
        </w:tc>
        <w:tc>
          <w:tcPr>
            <w:tcW w:w="2970" w:type="dxa"/>
          </w:tcPr>
          <w:p w:rsidR="0015468B" w:rsidP="00AE5A24" w:rsidRDefault="0015468B" w14:paraId="4DB124DD" w14:textId="36C61221">
            <w:pPr>
              <w:ind w:firstLine="0"/>
              <w:jc w:val="right"/>
            </w:pPr>
            <w:r>
              <w:t>$</w:t>
            </w:r>
            <w:r w:rsidR="00A86D74">
              <w:t>35,</w:t>
            </w:r>
            <w:r w:rsidR="00556CC6">
              <w:t>741,017</w:t>
            </w:r>
          </w:p>
        </w:tc>
      </w:tr>
      <w:tr w:rsidR="0015468B" w:rsidTr="00AE749C" w14:paraId="75F61597" w14:textId="77777777">
        <w:tc>
          <w:tcPr>
            <w:tcW w:w="3595" w:type="dxa"/>
          </w:tcPr>
          <w:p w:rsidR="0015468B" w:rsidP="00AE749C" w:rsidRDefault="0015468B" w14:paraId="725D6C5D" w14:textId="77777777">
            <w:pPr>
              <w:ind w:firstLine="0"/>
              <w:jc w:val="right"/>
            </w:pPr>
            <w:r w:rsidRPr="00C928B2">
              <w:rPr>
                <w:i/>
                <w:iCs/>
              </w:rPr>
              <w:t>ESA Main</w:t>
            </w:r>
          </w:p>
        </w:tc>
        <w:tc>
          <w:tcPr>
            <w:tcW w:w="2970" w:type="dxa"/>
          </w:tcPr>
          <w:p w:rsidR="0015468B" w:rsidP="00AE749C" w:rsidRDefault="0015468B" w14:paraId="05130F12" w14:textId="3134DE3D">
            <w:pPr>
              <w:ind w:firstLine="0"/>
              <w:jc w:val="right"/>
            </w:pPr>
            <w:r>
              <w:rPr>
                <w:i/>
                <w:iCs/>
              </w:rPr>
              <w:t>$</w:t>
            </w:r>
            <w:r w:rsidR="00BF1887">
              <w:rPr>
                <w:i/>
                <w:iCs/>
              </w:rPr>
              <w:t>22,011,</w:t>
            </w:r>
            <w:r w:rsidR="00BA3533">
              <w:rPr>
                <w:i/>
                <w:iCs/>
              </w:rPr>
              <w:t>376</w:t>
            </w:r>
          </w:p>
        </w:tc>
        <w:tc>
          <w:tcPr>
            <w:tcW w:w="2970" w:type="dxa"/>
          </w:tcPr>
          <w:p w:rsidR="0015468B" w:rsidP="00AE749C" w:rsidRDefault="0015468B" w14:paraId="4735CC94" w14:textId="380F33A6">
            <w:pPr>
              <w:ind w:firstLine="0"/>
              <w:jc w:val="right"/>
            </w:pPr>
            <w:r>
              <w:rPr>
                <w:i/>
                <w:iCs/>
              </w:rPr>
              <w:t>$</w:t>
            </w:r>
            <w:r w:rsidR="00BA3533">
              <w:rPr>
                <w:i/>
                <w:iCs/>
              </w:rPr>
              <w:t>22,011,</w:t>
            </w:r>
            <w:r w:rsidR="00CD0B1D">
              <w:rPr>
                <w:i/>
                <w:iCs/>
              </w:rPr>
              <w:t>189</w:t>
            </w:r>
          </w:p>
        </w:tc>
      </w:tr>
      <w:tr w:rsidR="0015468B" w:rsidTr="00AE749C" w14:paraId="5646B500" w14:textId="77777777">
        <w:tc>
          <w:tcPr>
            <w:tcW w:w="3595" w:type="dxa"/>
          </w:tcPr>
          <w:p w:rsidR="0015468B" w:rsidP="00AE749C" w:rsidRDefault="0015468B" w14:paraId="7CA73B29" w14:textId="77777777">
            <w:pPr>
              <w:ind w:firstLine="0"/>
              <w:jc w:val="right"/>
            </w:pPr>
            <w:r>
              <w:rPr>
                <w:i/>
                <w:iCs/>
              </w:rPr>
              <w:t xml:space="preserve">ESA </w:t>
            </w:r>
            <w:r w:rsidRPr="00C928B2">
              <w:rPr>
                <w:i/>
                <w:iCs/>
              </w:rPr>
              <w:t>MFWB</w:t>
            </w:r>
          </w:p>
        </w:tc>
        <w:tc>
          <w:tcPr>
            <w:tcW w:w="2970" w:type="dxa"/>
          </w:tcPr>
          <w:p w:rsidR="0015468B" w:rsidP="00AE749C" w:rsidRDefault="0015468B" w14:paraId="36959718" w14:textId="5F40FDAA">
            <w:pPr>
              <w:ind w:firstLine="0"/>
              <w:jc w:val="right"/>
            </w:pPr>
            <w:r>
              <w:rPr>
                <w:i/>
                <w:iCs/>
              </w:rPr>
              <w:t>$</w:t>
            </w:r>
            <w:r w:rsidRPr="00BA3533" w:rsidR="00BA3533">
              <w:rPr>
                <w:i/>
                <w:iCs/>
              </w:rPr>
              <w:t>9,470,876</w:t>
            </w:r>
          </w:p>
        </w:tc>
        <w:tc>
          <w:tcPr>
            <w:tcW w:w="2970" w:type="dxa"/>
          </w:tcPr>
          <w:p w:rsidR="0015468B" w:rsidP="00AE749C" w:rsidRDefault="0015468B" w14:paraId="23D24FA8" w14:textId="4977BAD8">
            <w:pPr>
              <w:ind w:firstLine="0"/>
              <w:jc w:val="right"/>
            </w:pPr>
            <w:r>
              <w:rPr>
                <w:i/>
                <w:iCs/>
              </w:rPr>
              <w:t>$</w:t>
            </w:r>
            <w:r w:rsidRPr="00BA3533" w:rsidR="00BA3533">
              <w:rPr>
                <w:i/>
                <w:iCs/>
              </w:rPr>
              <w:t>11,476,405</w:t>
            </w:r>
          </w:p>
        </w:tc>
      </w:tr>
      <w:tr w:rsidR="00C35EFE" w:rsidTr="00AE749C" w14:paraId="17FEDAAE" w14:textId="77777777">
        <w:tc>
          <w:tcPr>
            <w:tcW w:w="3595" w:type="dxa"/>
          </w:tcPr>
          <w:p w:rsidR="00C35EFE" w:rsidP="00AE749C" w:rsidRDefault="00C35EFE" w14:paraId="181CC2DD" w14:textId="19EB9D77">
            <w:pPr>
              <w:ind w:firstLine="0"/>
              <w:jc w:val="right"/>
              <w:rPr>
                <w:i/>
                <w:iCs/>
              </w:rPr>
            </w:pPr>
            <w:r>
              <w:rPr>
                <w:i/>
                <w:iCs/>
              </w:rPr>
              <w:t>ESA S</w:t>
            </w:r>
            <w:r w:rsidR="007847C6">
              <w:rPr>
                <w:i/>
                <w:iCs/>
              </w:rPr>
              <w:t xml:space="preserve">ingle </w:t>
            </w:r>
            <w:r>
              <w:rPr>
                <w:i/>
                <w:iCs/>
              </w:rPr>
              <w:t>P</w:t>
            </w:r>
            <w:r w:rsidR="007847C6">
              <w:rPr>
                <w:i/>
                <w:iCs/>
              </w:rPr>
              <w:t xml:space="preserve">oint </w:t>
            </w:r>
            <w:proofErr w:type="gramStart"/>
            <w:r>
              <w:rPr>
                <w:i/>
                <w:iCs/>
              </w:rPr>
              <w:t>O</w:t>
            </w:r>
            <w:r w:rsidR="007847C6">
              <w:rPr>
                <w:i/>
                <w:iCs/>
              </w:rPr>
              <w:t>f</w:t>
            </w:r>
            <w:proofErr w:type="gramEnd"/>
            <w:r w:rsidR="007847C6">
              <w:rPr>
                <w:i/>
                <w:iCs/>
              </w:rPr>
              <w:t xml:space="preserve"> </w:t>
            </w:r>
            <w:r>
              <w:rPr>
                <w:i/>
                <w:iCs/>
              </w:rPr>
              <w:t>C</w:t>
            </w:r>
            <w:r w:rsidR="007847C6">
              <w:rPr>
                <w:i/>
                <w:iCs/>
              </w:rPr>
              <w:t>ontact</w:t>
            </w:r>
          </w:p>
        </w:tc>
        <w:tc>
          <w:tcPr>
            <w:tcW w:w="2970" w:type="dxa"/>
          </w:tcPr>
          <w:p w:rsidR="00C35EFE" w:rsidP="00AE749C" w:rsidRDefault="00B156CC" w14:paraId="226C5FD8" w14:textId="57253F97">
            <w:pPr>
              <w:ind w:firstLine="0"/>
              <w:jc w:val="right"/>
              <w:rPr>
                <w:i/>
                <w:iCs/>
              </w:rPr>
            </w:pPr>
            <w:r>
              <w:rPr>
                <w:i/>
                <w:iCs/>
              </w:rPr>
              <w:t>$651,613</w:t>
            </w:r>
          </w:p>
        </w:tc>
        <w:tc>
          <w:tcPr>
            <w:tcW w:w="2970" w:type="dxa"/>
          </w:tcPr>
          <w:p w:rsidR="00C35EFE" w:rsidP="00AE749C" w:rsidRDefault="00C35EFE" w14:paraId="32A5A6DA" w14:textId="3F14FD61">
            <w:pPr>
              <w:ind w:firstLine="0"/>
              <w:jc w:val="right"/>
              <w:rPr>
                <w:i/>
                <w:iCs/>
              </w:rPr>
            </w:pPr>
            <w:r>
              <w:rPr>
                <w:i/>
                <w:iCs/>
              </w:rPr>
              <w:t>$</w:t>
            </w:r>
            <w:r w:rsidR="001553F2">
              <w:rPr>
                <w:i/>
                <w:iCs/>
              </w:rPr>
              <w:t>462,333</w:t>
            </w:r>
          </w:p>
        </w:tc>
      </w:tr>
      <w:tr w:rsidR="0015468B" w:rsidTr="00AE749C" w14:paraId="696417C5" w14:textId="77777777">
        <w:tc>
          <w:tcPr>
            <w:tcW w:w="3595" w:type="dxa"/>
          </w:tcPr>
          <w:p w:rsidRPr="00C928B2" w:rsidR="0015468B" w:rsidP="00AE749C" w:rsidRDefault="0015468B" w14:paraId="719A9A16" w14:textId="77777777">
            <w:pPr>
              <w:ind w:firstLine="0"/>
              <w:jc w:val="right"/>
              <w:rPr>
                <w:i/>
                <w:iCs/>
              </w:rPr>
            </w:pPr>
            <w:r>
              <w:rPr>
                <w:i/>
                <w:iCs/>
              </w:rPr>
              <w:t xml:space="preserve">ESA </w:t>
            </w:r>
            <w:r w:rsidRPr="00C928B2">
              <w:rPr>
                <w:i/>
                <w:iCs/>
              </w:rPr>
              <w:t>Pilot Plus/Pilot Deep</w:t>
            </w:r>
          </w:p>
        </w:tc>
        <w:tc>
          <w:tcPr>
            <w:tcW w:w="2970" w:type="dxa"/>
          </w:tcPr>
          <w:p w:rsidR="0015468B" w:rsidP="00AE749C" w:rsidRDefault="0015468B" w14:paraId="53163D12" w14:textId="27790173">
            <w:pPr>
              <w:ind w:firstLine="0"/>
              <w:jc w:val="right"/>
            </w:pPr>
            <w:r>
              <w:rPr>
                <w:i/>
                <w:iCs/>
              </w:rPr>
              <w:t>$</w:t>
            </w:r>
            <w:r w:rsidRPr="003E0759" w:rsidR="003E0759">
              <w:rPr>
                <w:i/>
                <w:iCs/>
              </w:rPr>
              <w:t>1,526,683</w:t>
            </w:r>
          </w:p>
        </w:tc>
        <w:tc>
          <w:tcPr>
            <w:tcW w:w="2970" w:type="dxa"/>
          </w:tcPr>
          <w:p w:rsidR="0015468B" w:rsidP="00AE749C" w:rsidRDefault="0015468B" w14:paraId="1731B7C7" w14:textId="431D87A9">
            <w:pPr>
              <w:ind w:firstLine="0"/>
              <w:jc w:val="right"/>
            </w:pPr>
            <w:r>
              <w:rPr>
                <w:i/>
                <w:iCs/>
              </w:rPr>
              <w:t>$</w:t>
            </w:r>
            <w:r w:rsidRPr="003E0759" w:rsidR="003E0759">
              <w:rPr>
                <w:i/>
                <w:iCs/>
              </w:rPr>
              <w:t>1,791,059</w:t>
            </w:r>
          </w:p>
        </w:tc>
      </w:tr>
      <w:tr w:rsidR="0015468B" w:rsidTr="00AE749C" w14:paraId="4D4A78D0" w14:textId="77777777">
        <w:tc>
          <w:tcPr>
            <w:tcW w:w="3595" w:type="dxa"/>
          </w:tcPr>
          <w:p w:rsidRPr="00C928B2" w:rsidR="0015468B" w:rsidP="00AE749C" w:rsidRDefault="0015468B" w14:paraId="3FF0CF89" w14:textId="77777777">
            <w:pPr>
              <w:ind w:firstLine="0"/>
              <w:jc w:val="right"/>
              <w:rPr>
                <w:i/>
                <w:iCs/>
              </w:rPr>
            </w:pPr>
            <w:r>
              <w:rPr>
                <w:i/>
                <w:iCs/>
              </w:rPr>
              <w:lastRenderedPageBreak/>
              <w:t xml:space="preserve">ESA </w:t>
            </w:r>
            <w:r w:rsidRPr="00C928B2">
              <w:rPr>
                <w:i/>
                <w:iCs/>
              </w:rPr>
              <w:t>Program Administrative</w:t>
            </w:r>
          </w:p>
        </w:tc>
        <w:tc>
          <w:tcPr>
            <w:tcW w:w="2970" w:type="dxa"/>
          </w:tcPr>
          <w:p w:rsidR="0015468B" w:rsidP="00AE749C" w:rsidRDefault="0015468B" w14:paraId="145694FC" w14:textId="07FF5528">
            <w:pPr>
              <w:ind w:firstLine="0"/>
              <w:jc w:val="right"/>
            </w:pPr>
            <w:r>
              <w:rPr>
                <w:i/>
                <w:iCs/>
              </w:rPr>
              <w:t>$</w:t>
            </w:r>
            <w:r w:rsidR="00A845CB">
              <w:rPr>
                <w:i/>
                <w:iCs/>
              </w:rPr>
              <w:t>5,710,815</w:t>
            </w:r>
          </w:p>
        </w:tc>
        <w:tc>
          <w:tcPr>
            <w:tcW w:w="2970" w:type="dxa"/>
          </w:tcPr>
          <w:p w:rsidR="0015468B" w:rsidP="00AE749C" w:rsidRDefault="0015468B" w14:paraId="589E55B2" w14:textId="23494124">
            <w:pPr>
              <w:ind w:firstLine="0"/>
              <w:jc w:val="right"/>
            </w:pPr>
            <w:r>
              <w:rPr>
                <w:i/>
                <w:iCs/>
              </w:rPr>
              <w:t>$</w:t>
            </w:r>
            <w:r w:rsidR="001553F2">
              <w:rPr>
                <w:i/>
                <w:iCs/>
              </w:rPr>
              <w:t>5,546,270</w:t>
            </w:r>
          </w:p>
        </w:tc>
      </w:tr>
      <w:tr w:rsidR="0015468B" w:rsidTr="00AE749C" w14:paraId="6D7A0C40" w14:textId="77777777">
        <w:tc>
          <w:tcPr>
            <w:tcW w:w="3595" w:type="dxa"/>
          </w:tcPr>
          <w:p w:rsidRPr="00587A3E" w:rsidR="0015468B" w:rsidP="00AE749C" w:rsidRDefault="0015468B" w14:paraId="3D0993A9" w14:textId="77777777">
            <w:pPr>
              <w:ind w:firstLine="0"/>
              <w:jc w:val="both"/>
            </w:pPr>
            <w:r w:rsidRPr="00587A3E">
              <w:t>ESA Unspent Funds Carry Forward</w:t>
            </w:r>
          </w:p>
        </w:tc>
        <w:tc>
          <w:tcPr>
            <w:tcW w:w="2970" w:type="dxa"/>
          </w:tcPr>
          <w:p w:rsidR="0015468B" w:rsidP="00AE5A24" w:rsidRDefault="0015468B" w14:paraId="33729AE7" w14:textId="77777777">
            <w:pPr>
              <w:ind w:firstLine="0"/>
              <w:jc w:val="right"/>
            </w:pPr>
          </w:p>
        </w:tc>
        <w:tc>
          <w:tcPr>
            <w:tcW w:w="2970" w:type="dxa"/>
          </w:tcPr>
          <w:p w:rsidR="0015468B" w:rsidP="00AE5A24" w:rsidRDefault="009603F4" w14:paraId="4EAD67F5" w14:textId="549FBB83">
            <w:pPr>
              <w:ind w:firstLine="0"/>
              <w:jc w:val="right"/>
            </w:pPr>
            <w:r>
              <w:t>(</w:t>
            </w:r>
            <w:r w:rsidR="000C2C0E">
              <w:t>$19,039</w:t>
            </w:r>
            <w:r w:rsidR="00694FA9">
              <w:t>,</w:t>
            </w:r>
            <w:r w:rsidR="000C2C0E">
              <w:t>137</w:t>
            </w:r>
            <w:r>
              <w:t>)</w:t>
            </w:r>
          </w:p>
        </w:tc>
      </w:tr>
      <w:tr w:rsidR="0015468B" w:rsidTr="00AE749C" w14:paraId="5620599D" w14:textId="77777777">
        <w:tc>
          <w:tcPr>
            <w:tcW w:w="3595" w:type="dxa"/>
          </w:tcPr>
          <w:p w:rsidRPr="00C928B2" w:rsidR="0015468B" w:rsidP="00B90C35" w:rsidRDefault="0015468B" w14:paraId="7E34E2D1" w14:textId="77D31EE0">
            <w:pPr>
              <w:ind w:firstLine="0"/>
              <w:rPr>
                <w:i/>
                <w:iCs/>
              </w:rPr>
            </w:pPr>
            <w:r w:rsidRPr="00C928B2">
              <w:rPr>
                <w:b/>
                <w:bCs/>
                <w:i/>
                <w:iCs/>
              </w:rPr>
              <w:t>Total</w:t>
            </w:r>
            <w:r>
              <w:rPr>
                <w:b/>
                <w:bCs/>
                <w:i/>
                <w:iCs/>
              </w:rPr>
              <w:t xml:space="preserve"> </w:t>
            </w:r>
            <w:proofErr w:type="gramStart"/>
            <w:r>
              <w:rPr>
                <w:b/>
                <w:bCs/>
                <w:i/>
                <w:iCs/>
              </w:rPr>
              <w:t>Administrative  Request</w:t>
            </w:r>
            <w:proofErr w:type="gramEnd"/>
          </w:p>
        </w:tc>
        <w:tc>
          <w:tcPr>
            <w:tcW w:w="2970" w:type="dxa"/>
          </w:tcPr>
          <w:p w:rsidR="0015468B" w:rsidP="00AE5A24" w:rsidRDefault="00E415FB" w14:paraId="4DEE5799" w14:textId="55C01460">
            <w:pPr>
              <w:ind w:firstLine="0"/>
              <w:jc w:val="right"/>
            </w:pPr>
            <w:r w:rsidRPr="00E415FB">
              <w:rPr>
                <w:b/>
                <w:bCs/>
              </w:rPr>
              <w:t>$41,702,565</w:t>
            </w:r>
          </w:p>
        </w:tc>
        <w:tc>
          <w:tcPr>
            <w:tcW w:w="2970" w:type="dxa"/>
          </w:tcPr>
          <w:p w:rsidR="0015468B" w:rsidP="00AE5A24" w:rsidRDefault="0015468B" w14:paraId="4BA3632C" w14:textId="4C54BFD2">
            <w:pPr>
              <w:ind w:firstLine="0"/>
              <w:jc w:val="right"/>
            </w:pPr>
            <w:r w:rsidRPr="00492C72">
              <w:rPr>
                <w:b/>
                <w:bCs/>
              </w:rPr>
              <w:t>$</w:t>
            </w:r>
            <w:r w:rsidR="00CC444A">
              <w:rPr>
                <w:b/>
                <w:bCs/>
              </w:rPr>
              <w:t>25,0</w:t>
            </w:r>
            <w:r w:rsidR="002E25B9">
              <w:rPr>
                <w:b/>
                <w:bCs/>
              </w:rPr>
              <w:t>79</w:t>
            </w:r>
            <w:r w:rsidR="000C56B4">
              <w:rPr>
                <w:b/>
                <w:bCs/>
              </w:rPr>
              <w:t>,</w:t>
            </w:r>
            <w:r w:rsidR="001553F2">
              <w:rPr>
                <w:b/>
                <w:bCs/>
              </w:rPr>
              <w:t>751</w:t>
            </w:r>
          </w:p>
        </w:tc>
      </w:tr>
      <w:tr w:rsidR="0015468B" w:rsidTr="00AE749C" w14:paraId="054C000F" w14:textId="77777777">
        <w:tc>
          <w:tcPr>
            <w:tcW w:w="3595" w:type="dxa"/>
          </w:tcPr>
          <w:p w:rsidRPr="00C7008D" w:rsidR="0015468B" w:rsidP="00AE749C" w:rsidRDefault="0015468B" w14:paraId="321AB294" w14:textId="77777777">
            <w:pPr>
              <w:ind w:firstLine="0"/>
              <w:jc w:val="both"/>
              <w:rPr>
                <w:i/>
                <w:iCs/>
              </w:rPr>
            </w:pPr>
            <w:r w:rsidRPr="00C7008D">
              <w:rPr>
                <w:i/>
                <w:iCs/>
              </w:rPr>
              <w:t>CARE Discount</w:t>
            </w:r>
          </w:p>
        </w:tc>
        <w:tc>
          <w:tcPr>
            <w:tcW w:w="2970" w:type="dxa"/>
          </w:tcPr>
          <w:p w:rsidRPr="00C7008D" w:rsidR="0015468B" w:rsidP="00AE5A24" w:rsidRDefault="0015468B" w14:paraId="4541A9BD" w14:textId="38EBA5FE">
            <w:pPr>
              <w:ind w:firstLine="0"/>
              <w:jc w:val="right"/>
            </w:pPr>
            <w:r w:rsidRPr="00C7008D">
              <w:t>$</w:t>
            </w:r>
            <w:r w:rsidR="00006E2A">
              <w:t>126,524,206</w:t>
            </w:r>
          </w:p>
        </w:tc>
        <w:tc>
          <w:tcPr>
            <w:tcW w:w="2970" w:type="dxa"/>
          </w:tcPr>
          <w:p w:rsidRPr="00C7008D" w:rsidR="0015468B" w:rsidP="00AE5A24" w:rsidRDefault="0015468B" w14:paraId="03198690" w14:textId="5A88B249">
            <w:pPr>
              <w:ind w:firstLine="0"/>
              <w:jc w:val="right"/>
            </w:pPr>
            <w:r w:rsidRPr="00C7008D">
              <w:t>$</w:t>
            </w:r>
            <w:r w:rsidR="00006E2A">
              <w:t>218,878,622</w:t>
            </w:r>
          </w:p>
        </w:tc>
      </w:tr>
      <w:tr w:rsidR="0015468B" w:rsidTr="00AE749C" w14:paraId="4E369B69" w14:textId="77777777">
        <w:tc>
          <w:tcPr>
            <w:tcW w:w="3595" w:type="dxa"/>
          </w:tcPr>
          <w:p w:rsidRPr="00C7008D" w:rsidR="0015468B" w:rsidP="00AE749C" w:rsidRDefault="0015468B" w14:paraId="4FAAE657" w14:textId="77777777">
            <w:pPr>
              <w:ind w:firstLine="0"/>
              <w:jc w:val="both"/>
              <w:rPr>
                <w:i/>
                <w:iCs/>
              </w:rPr>
            </w:pPr>
            <w:r w:rsidRPr="00C7008D">
              <w:rPr>
                <w:i/>
                <w:iCs/>
              </w:rPr>
              <w:t>FERA Discount</w:t>
            </w:r>
          </w:p>
        </w:tc>
        <w:tc>
          <w:tcPr>
            <w:tcW w:w="2970" w:type="dxa"/>
          </w:tcPr>
          <w:p w:rsidRPr="00C7008D" w:rsidR="0015468B" w:rsidP="00AE5A24" w:rsidRDefault="0056421D" w14:paraId="6A536C7D" w14:textId="17EEB575">
            <w:pPr>
              <w:ind w:firstLine="0"/>
              <w:jc w:val="right"/>
            </w:pPr>
            <w:r>
              <w:t>$5,388,762</w:t>
            </w:r>
          </w:p>
        </w:tc>
        <w:tc>
          <w:tcPr>
            <w:tcW w:w="2970" w:type="dxa"/>
          </w:tcPr>
          <w:p w:rsidRPr="00C7008D" w:rsidR="0015468B" w:rsidP="00AE5A24" w:rsidRDefault="0056421D" w14:paraId="1D75E09D" w14:textId="05AC1B17">
            <w:pPr>
              <w:ind w:firstLine="0"/>
              <w:jc w:val="right"/>
            </w:pPr>
            <w:r>
              <w:t>$5,449,903</w:t>
            </w:r>
          </w:p>
        </w:tc>
      </w:tr>
    </w:tbl>
    <w:p w:rsidRPr="00147E71" w:rsidR="0015468B" w:rsidP="00147E71" w:rsidRDefault="0015468B" w14:paraId="4DC5F4DA" w14:textId="77777777">
      <w:pPr>
        <w:pStyle w:val="Standard"/>
      </w:pPr>
    </w:p>
    <w:p w:rsidR="008340C6" w:rsidP="00FE2D37" w:rsidRDefault="008340C6" w14:paraId="645B809A" w14:textId="211AD0FD">
      <w:pPr>
        <w:pStyle w:val="Heading2"/>
      </w:pPr>
      <w:bookmarkStart w:name="_Toc230872052" w:id="17"/>
      <w:r>
        <w:t>SCE Application</w:t>
      </w:r>
      <w:bookmarkEnd w:id="17"/>
    </w:p>
    <w:p w:rsidR="005F338A" w:rsidP="005F338A" w:rsidRDefault="0062131C" w14:paraId="5AF6C600" w14:textId="44FD5CA1">
      <w:r>
        <w:t>SCE</w:t>
      </w:r>
      <w:r w:rsidR="005F338A">
        <w:t xml:space="preserve"> requests </w:t>
      </w:r>
      <w:r w:rsidR="00C10918">
        <w:t>a total of $</w:t>
      </w:r>
      <w:r w:rsidR="00156A6F">
        <w:t>111.5</w:t>
      </w:r>
      <w:r w:rsidR="00C10918">
        <w:t xml:space="preserve"> million for 2027 IQP activities, which nets to </w:t>
      </w:r>
      <w:r w:rsidR="005F338A">
        <w:t>$</w:t>
      </w:r>
      <w:r w:rsidR="004E12E0">
        <w:t>71.4</w:t>
      </w:r>
      <w:r w:rsidR="005F338A">
        <w:t xml:space="preserve"> million in incremental funding, after </w:t>
      </w:r>
      <w:r w:rsidR="003A3E8A">
        <w:t>carrying forward</w:t>
      </w:r>
      <w:r w:rsidR="005F338A">
        <w:t xml:space="preserve"> $40.</w:t>
      </w:r>
      <w:r w:rsidR="004E12E0">
        <w:t>1</w:t>
      </w:r>
      <w:r w:rsidR="005F338A">
        <w:t xml:space="preserve"> million in unspent funds.</w:t>
      </w:r>
      <w:r w:rsidR="005F338A">
        <w:rPr>
          <w:rStyle w:val="FootnoteReference"/>
        </w:rPr>
        <w:footnoteReference w:id="6"/>
      </w:r>
      <w:r w:rsidR="005F338A">
        <w:t xml:space="preserve">  </w:t>
      </w:r>
      <w:r w:rsidR="00841971">
        <w:t xml:space="preserve">This is a significant increase from the $85.6 million authorized for 2026. </w:t>
      </w:r>
      <w:r>
        <w:t>SCE</w:t>
      </w:r>
      <w:r w:rsidR="005F338A">
        <w:t xml:space="preserve"> does not propose significant changes to its CARE, FERA, or ESA programs.</w:t>
      </w:r>
      <w:r w:rsidR="005F338A">
        <w:rPr>
          <w:rStyle w:val="FootnoteReference"/>
        </w:rPr>
        <w:footnoteReference w:id="7"/>
      </w:r>
      <w:r w:rsidR="005F338A">
        <w:t xml:space="preserve">  </w:t>
      </w:r>
      <w:r w:rsidR="00211894">
        <w:t>CARE and FERA a</w:t>
      </w:r>
      <w:r w:rsidR="005F338A">
        <w:t xml:space="preserve">dministrative budgets are either kept the same or </w:t>
      </w:r>
      <w:r w:rsidR="000B766D">
        <w:t xml:space="preserve">have </w:t>
      </w:r>
      <w:r w:rsidR="005F338A">
        <w:t>decreased</w:t>
      </w:r>
      <w:r w:rsidR="00BC2307">
        <w:t xml:space="preserve"> (except for escalation)</w:t>
      </w:r>
      <w:r w:rsidR="005F338A">
        <w:t xml:space="preserve">, and programmatic goals are the same.  </w:t>
      </w:r>
      <w:r w:rsidR="00106B39">
        <w:t>SCE requests budget increases for ESA activities as well as labor and non-labor cost escalations</w:t>
      </w:r>
      <w:r w:rsidR="00E71081">
        <w:t>.</w:t>
      </w:r>
    </w:p>
    <w:p w:rsidRPr="00197861" w:rsidR="00E477DC" w:rsidP="00E477DC" w:rsidRDefault="00E477DC" w14:paraId="23FD786E" w14:textId="57329D81">
      <w:pPr>
        <w:jc w:val="center"/>
        <w:rPr>
          <w:b/>
          <w:bCs/>
        </w:rPr>
      </w:pPr>
      <w:r w:rsidRPr="00197861">
        <w:rPr>
          <w:b/>
          <w:bCs/>
        </w:rPr>
        <w:t xml:space="preserve">Table </w:t>
      </w:r>
      <w:r w:rsidR="00CF4EA7">
        <w:rPr>
          <w:b/>
          <w:bCs/>
        </w:rPr>
        <w:t>3</w:t>
      </w:r>
      <w:r w:rsidRPr="00197861">
        <w:rPr>
          <w:b/>
          <w:bCs/>
        </w:rPr>
        <w:t xml:space="preserve">: </w:t>
      </w:r>
      <w:r w:rsidR="00B508E4">
        <w:rPr>
          <w:b/>
          <w:bCs/>
        </w:rPr>
        <w:t>SCE</w:t>
      </w:r>
      <w:r w:rsidR="00F442A9">
        <w:rPr>
          <w:b/>
          <w:bCs/>
        </w:rPr>
        <w:t>’s</w:t>
      </w:r>
      <w:r w:rsidRPr="00197861">
        <w:rPr>
          <w:b/>
          <w:bCs/>
        </w:rPr>
        <w:t xml:space="preserve"> 2027 IQP Budget Request</w:t>
      </w:r>
      <w:r w:rsidR="0007593D">
        <w:rPr>
          <w:rStyle w:val="FootnoteReference"/>
          <w:b/>
          <w:bCs/>
        </w:rPr>
        <w:footnoteReference w:id="8"/>
      </w:r>
    </w:p>
    <w:tbl>
      <w:tblPr>
        <w:tblStyle w:val="TableGrid"/>
        <w:tblW w:w="9535" w:type="dxa"/>
        <w:tblLook w:val="04A0" w:firstRow="1" w:lastRow="0" w:firstColumn="1" w:lastColumn="0" w:noHBand="0" w:noVBand="1"/>
      </w:tblPr>
      <w:tblGrid>
        <w:gridCol w:w="3595"/>
        <w:gridCol w:w="2970"/>
        <w:gridCol w:w="2970"/>
      </w:tblGrid>
      <w:tr w:rsidR="00E477DC" w:rsidTr="00AE749C" w14:paraId="623F9F46" w14:textId="77777777">
        <w:tc>
          <w:tcPr>
            <w:tcW w:w="3595" w:type="dxa"/>
          </w:tcPr>
          <w:p w:rsidR="00E477DC" w:rsidP="00AE749C" w:rsidRDefault="00E477DC" w14:paraId="4E01EA5A" w14:textId="77777777">
            <w:pPr>
              <w:ind w:firstLine="0"/>
            </w:pPr>
            <w:r>
              <w:t>Category</w:t>
            </w:r>
          </w:p>
        </w:tc>
        <w:tc>
          <w:tcPr>
            <w:tcW w:w="2970" w:type="dxa"/>
          </w:tcPr>
          <w:p w:rsidR="00E477DC" w:rsidP="00AE749C" w:rsidRDefault="00E477DC" w14:paraId="3A886918" w14:textId="63CDDD74">
            <w:pPr>
              <w:ind w:firstLine="0"/>
            </w:pPr>
            <w:r>
              <w:t xml:space="preserve">2026 </w:t>
            </w:r>
            <w:r w:rsidR="00337BB1">
              <w:t xml:space="preserve">Authorized </w:t>
            </w:r>
            <w:r>
              <w:t>Budget</w:t>
            </w:r>
          </w:p>
        </w:tc>
        <w:tc>
          <w:tcPr>
            <w:tcW w:w="2970" w:type="dxa"/>
          </w:tcPr>
          <w:p w:rsidR="00E477DC" w:rsidP="00AE749C" w:rsidRDefault="00E477DC" w14:paraId="1E3494DD" w14:textId="77777777">
            <w:pPr>
              <w:ind w:firstLine="0"/>
            </w:pPr>
            <w:r>
              <w:t>2027 Proposed Budget</w:t>
            </w:r>
          </w:p>
        </w:tc>
      </w:tr>
      <w:tr w:rsidR="00E477DC" w:rsidTr="00AE749C" w14:paraId="1729DFC3" w14:textId="77777777">
        <w:tc>
          <w:tcPr>
            <w:tcW w:w="3595" w:type="dxa"/>
          </w:tcPr>
          <w:p w:rsidR="00E477DC" w:rsidP="00AE749C" w:rsidRDefault="00E477DC" w14:paraId="3DCE3B16" w14:textId="77777777">
            <w:pPr>
              <w:ind w:firstLine="0"/>
            </w:pPr>
            <w:r w:rsidRPr="00411F92">
              <w:t>CARE Program Administrative</w:t>
            </w:r>
          </w:p>
        </w:tc>
        <w:tc>
          <w:tcPr>
            <w:tcW w:w="2970" w:type="dxa"/>
          </w:tcPr>
          <w:p w:rsidR="00E477DC" w:rsidP="00AE749C" w:rsidRDefault="00FB5687" w14:paraId="2BBDA218" w14:textId="039B6B80">
            <w:pPr>
              <w:ind w:firstLine="0"/>
            </w:pPr>
            <w:r>
              <w:t>$9,</w:t>
            </w:r>
            <w:r w:rsidR="00DA3E6B">
              <w:t>275</w:t>
            </w:r>
            <w:r>
              <w:t>,</w:t>
            </w:r>
            <w:r w:rsidR="00DA3E6B">
              <w:t>620</w:t>
            </w:r>
          </w:p>
        </w:tc>
        <w:tc>
          <w:tcPr>
            <w:tcW w:w="2970" w:type="dxa"/>
          </w:tcPr>
          <w:p w:rsidR="00E477DC" w:rsidP="00AE749C" w:rsidRDefault="00E477DC" w14:paraId="25004A29" w14:textId="7573E361">
            <w:pPr>
              <w:ind w:firstLine="0"/>
            </w:pPr>
            <w:r w:rsidRPr="003832C3">
              <w:t>$</w:t>
            </w:r>
            <w:r w:rsidR="00FB5687">
              <w:t>9,500,</w:t>
            </w:r>
            <w:r w:rsidR="00DA3E6B">
              <w:t>438</w:t>
            </w:r>
          </w:p>
        </w:tc>
      </w:tr>
      <w:tr w:rsidR="00E477DC" w:rsidTr="00AE749C" w14:paraId="22457C63" w14:textId="77777777">
        <w:tc>
          <w:tcPr>
            <w:tcW w:w="3595" w:type="dxa"/>
          </w:tcPr>
          <w:p w:rsidR="00E477DC" w:rsidP="00AE749C" w:rsidRDefault="00E477DC" w14:paraId="3C79FFA7" w14:textId="77777777">
            <w:pPr>
              <w:ind w:firstLine="0"/>
            </w:pPr>
            <w:r w:rsidRPr="00411F92">
              <w:lastRenderedPageBreak/>
              <w:t>FERA Program Administrative</w:t>
            </w:r>
          </w:p>
        </w:tc>
        <w:tc>
          <w:tcPr>
            <w:tcW w:w="2970" w:type="dxa"/>
          </w:tcPr>
          <w:p w:rsidR="00E477DC" w:rsidP="00AE749C" w:rsidRDefault="006F1DC7" w14:paraId="2F516BE8" w14:textId="3F60904F">
            <w:pPr>
              <w:ind w:firstLine="0"/>
            </w:pPr>
            <w:r>
              <w:t>$</w:t>
            </w:r>
            <w:r w:rsidR="00C51979">
              <w:t>1,</w:t>
            </w:r>
            <w:r w:rsidR="00F03EFD">
              <w:t>677,538</w:t>
            </w:r>
          </w:p>
        </w:tc>
        <w:tc>
          <w:tcPr>
            <w:tcW w:w="2970" w:type="dxa"/>
          </w:tcPr>
          <w:p w:rsidR="00E477DC" w:rsidP="00AE749C" w:rsidRDefault="006F1DC7" w14:paraId="61A56CA2" w14:textId="4FDEB213">
            <w:pPr>
              <w:ind w:firstLine="0"/>
            </w:pPr>
            <w:r>
              <w:t>$1,</w:t>
            </w:r>
            <w:r w:rsidR="00F03EFD">
              <w:t>717,244</w:t>
            </w:r>
          </w:p>
        </w:tc>
      </w:tr>
      <w:tr w:rsidR="00E477DC" w:rsidTr="00AE749C" w14:paraId="7DA40F49" w14:textId="77777777">
        <w:tc>
          <w:tcPr>
            <w:tcW w:w="3595" w:type="dxa"/>
          </w:tcPr>
          <w:p w:rsidR="00E477DC" w:rsidP="00AE749C" w:rsidRDefault="00E477DC" w14:paraId="5EC1AD44" w14:textId="77777777">
            <w:pPr>
              <w:ind w:firstLine="0"/>
            </w:pPr>
            <w:r w:rsidRPr="00411F92">
              <w:t>ESA Program</w:t>
            </w:r>
            <w:r>
              <w:t xml:space="preserve"> Total</w:t>
            </w:r>
          </w:p>
        </w:tc>
        <w:tc>
          <w:tcPr>
            <w:tcW w:w="2970" w:type="dxa"/>
          </w:tcPr>
          <w:p w:rsidR="00E477DC" w:rsidP="00AE749C" w:rsidRDefault="00E477DC" w14:paraId="4720F899" w14:textId="4AC167EB">
            <w:pPr>
              <w:ind w:firstLine="0"/>
            </w:pPr>
            <w:r>
              <w:t>$</w:t>
            </w:r>
            <w:r w:rsidR="007670AD">
              <w:t>75,</w:t>
            </w:r>
            <w:r w:rsidR="00342D6C">
              <w:t>044,107</w:t>
            </w:r>
          </w:p>
        </w:tc>
        <w:tc>
          <w:tcPr>
            <w:tcW w:w="2970" w:type="dxa"/>
          </w:tcPr>
          <w:p w:rsidR="00E477DC" w:rsidP="00AE749C" w:rsidRDefault="00E477DC" w14:paraId="56EDD8D4" w14:textId="4F4A95D2">
            <w:pPr>
              <w:ind w:firstLine="0"/>
            </w:pPr>
            <w:r>
              <w:t>$</w:t>
            </w:r>
            <w:r w:rsidR="0007593D">
              <w:t>100,268,152</w:t>
            </w:r>
          </w:p>
        </w:tc>
      </w:tr>
      <w:tr w:rsidR="00E477DC" w:rsidTr="00AE749C" w14:paraId="5A2E861D" w14:textId="77777777">
        <w:tc>
          <w:tcPr>
            <w:tcW w:w="3595" w:type="dxa"/>
          </w:tcPr>
          <w:p w:rsidR="00E477DC" w:rsidP="00AE749C" w:rsidRDefault="00E477DC" w14:paraId="19EB4E4C" w14:textId="77777777">
            <w:pPr>
              <w:ind w:firstLine="0"/>
              <w:jc w:val="right"/>
            </w:pPr>
            <w:r w:rsidRPr="00C928B2">
              <w:rPr>
                <w:i/>
                <w:iCs/>
              </w:rPr>
              <w:t>ESA Main</w:t>
            </w:r>
          </w:p>
        </w:tc>
        <w:tc>
          <w:tcPr>
            <w:tcW w:w="2970" w:type="dxa"/>
          </w:tcPr>
          <w:p w:rsidR="00E477DC" w:rsidP="00AE749C" w:rsidRDefault="00E477DC" w14:paraId="732766F0" w14:textId="1E96F34B">
            <w:pPr>
              <w:ind w:firstLine="0"/>
              <w:jc w:val="right"/>
            </w:pPr>
            <w:r>
              <w:rPr>
                <w:i/>
                <w:iCs/>
              </w:rPr>
              <w:t>$</w:t>
            </w:r>
            <w:r w:rsidR="0007593D">
              <w:rPr>
                <w:i/>
                <w:iCs/>
              </w:rPr>
              <w:t>41,546,</w:t>
            </w:r>
            <w:r w:rsidR="00EA1A66">
              <w:rPr>
                <w:i/>
                <w:iCs/>
              </w:rPr>
              <w:t>892</w:t>
            </w:r>
          </w:p>
        </w:tc>
        <w:tc>
          <w:tcPr>
            <w:tcW w:w="2970" w:type="dxa"/>
          </w:tcPr>
          <w:p w:rsidR="00E477DC" w:rsidP="00AE749C" w:rsidRDefault="00E477DC" w14:paraId="49A50145" w14:textId="6E393B40">
            <w:pPr>
              <w:ind w:firstLine="0"/>
              <w:jc w:val="right"/>
            </w:pPr>
            <w:r>
              <w:rPr>
                <w:i/>
                <w:iCs/>
              </w:rPr>
              <w:t>$</w:t>
            </w:r>
            <w:r w:rsidR="00EA1A66">
              <w:rPr>
                <w:i/>
                <w:iCs/>
              </w:rPr>
              <w:t>55,977,327</w:t>
            </w:r>
          </w:p>
        </w:tc>
      </w:tr>
      <w:tr w:rsidR="00E477DC" w:rsidTr="00AE749C" w14:paraId="3B1702BB" w14:textId="77777777">
        <w:tc>
          <w:tcPr>
            <w:tcW w:w="3595" w:type="dxa"/>
          </w:tcPr>
          <w:p w:rsidR="00E477DC" w:rsidP="00AE749C" w:rsidRDefault="00E477DC" w14:paraId="45DBDC67" w14:textId="00DC10F2">
            <w:pPr>
              <w:ind w:firstLine="0"/>
              <w:jc w:val="right"/>
            </w:pPr>
            <w:r>
              <w:rPr>
                <w:i/>
                <w:iCs/>
              </w:rPr>
              <w:t xml:space="preserve">ESA </w:t>
            </w:r>
            <w:r w:rsidRPr="00C928B2">
              <w:rPr>
                <w:i/>
                <w:iCs/>
              </w:rPr>
              <w:t>MFWB</w:t>
            </w:r>
            <w:r w:rsidR="00A535EE">
              <w:rPr>
                <w:i/>
                <w:iCs/>
              </w:rPr>
              <w:t xml:space="preserve"> and </w:t>
            </w:r>
            <w:r w:rsidR="00967CE7">
              <w:rPr>
                <w:i/>
                <w:iCs/>
              </w:rPr>
              <w:t>SPOC</w:t>
            </w:r>
          </w:p>
        </w:tc>
        <w:tc>
          <w:tcPr>
            <w:tcW w:w="2970" w:type="dxa"/>
          </w:tcPr>
          <w:p w:rsidR="00E477DC" w:rsidP="00AE749C" w:rsidRDefault="00E477DC" w14:paraId="1EA33B67" w14:textId="6EB968F1">
            <w:pPr>
              <w:ind w:firstLine="0"/>
              <w:jc w:val="right"/>
            </w:pPr>
            <w:r>
              <w:rPr>
                <w:i/>
                <w:iCs/>
              </w:rPr>
              <w:t>$</w:t>
            </w:r>
            <w:r w:rsidR="000C2557">
              <w:rPr>
                <w:i/>
                <w:iCs/>
              </w:rPr>
              <w:t>12,</w:t>
            </w:r>
            <w:r w:rsidR="00E56E74">
              <w:rPr>
                <w:i/>
                <w:iCs/>
              </w:rPr>
              <w:t>750</w:t>
            </w:r>
            <w:r w:rsidR="000C2557">
              <w:rPr>
                <w:i/>
                <w:iCs/>
              </w:rPr>
              <w:t>,</w:t>
            </w:r>
            <w:r w:rsidR="00E56E74">
              <w:rPr>
                <w:i/>
                <w:iCs/>
              </w:rPr>
              <w:t>957</w:t>
            </w:r>
          </w:p>
        </w:tc>
        <w:tc>
          <w:tcPr>
            <w:tcW w:w="2970" w:type="dxa"/>
          </w:tcPr>
          <w:p w:rsidR="00E477DC" w:rsidP="00AE749C" w:rsidRDefault="00E477DC" w14:paraId="772AAC0A" w14:textId="51B44554">
            <w:pPr>
              <w:ind w:firstLine="0"/>
              <w:jc w:val="right"/>
            </w:pPr>
            <w:r>
              <w:rPr>
                <w:i/>
                <w:iCs/>
              </w:rPr>
              <w:t>$</w:t>
            </w:r>
            <w:r w:rsidR="00235C89">
              <w:rPr>
                <w:i/>
                <w:iCs/>
              </w:rPr>
              <w:t>1</w:t>
            </w:r>
            <w:r w:rsidR="00B76E71">
              <w:rPr>
                <w:i/>
                <w:iCs/>
              </w:rPr>
              <w:t>7,927,606</w:t>
            </w:r>
          </w:p>
        </w:tc>
      </w:tr>
      <w:tr w:rsidR="00E477DC" w:rsidTr="00AE749C" w14:paraId="7EE6E809" w14:textId="77777777">
        <w:tc>
          <w:tcPr>
            <w:tcW w:w="3595" w:type="dxa"/>
          </w:tcPr>
          <w:p w:rsidRPr="00C928B2" w:rsidR="00E477DC" w:rsidP="00AE749C" w:rsidRDefault="00E477DC" w14:paraId="5BF5F8AA" w14:textId="2F834F4E">
            <w:pPr>
              <w:ind w:firstLine="0"/>
              <w:jc w:val="right"/>
              <w:rPr>
                <w:i/>
                <w:iCs/>
              </w:rPr>
            </w:pPr>
            <w:r>
              <w:rPr>
                <w:i/>
                <w:iCs/>
              </w:rPr>
              <w:t xml:space="preserve">ESA </w:t>
            </w:r>
            <w:r w:rsidR="00B469F3">
              <w:rPr>
                <w:i/>
                <w:iCs/>
              </w:rPr>
              <w:t>Building Electrification Pilot</w:t>
            </w:r>
          </w:p>
        </w:tc>
        <w:tc>
          <w:tcPr>
            <w:tcW w:w="2970" w:type="dxa"/>
          </w:tcPr>
          <w:p w:rsidR="00E477DC" w:rsidP="00AE749C" w:rsidRDefault="00E477DC" w14:paraId="065171BF" w14:textId="01519D60">
            <w:pPr>
              <w:ind w:firstLine="0"/>
              <w:jc w:val="right"/>
            </w:pPr>
            <w:r>
              <w:rPr>
                <w:i/>
                <w:iCs/>
              </w:rPr>
              <w:t>$</w:t>
            </w:r>
            <w:r w:rsidR="00235C89">
              <w:rPr>
                <w:i/>
                <w:iCs/>
              </w:rPr>
              <w:t>6,350,843</w:t>
            </w:r>
          </w:p>
        </w:tc>
        <w:tc>
          <w:tcPr>
            <w:tcW w:w="2970" w:type="dxa"/>
          </w:tcPr>
          <w:p w:rsidR="00E477DC" w:rsidP="00AE749C" w:rsidRDefault="00E477DC" w14:paraId="7D8553A5" w14:textId="007B193E">
            <w:pPr>
              <w:ind w:firstLine="0"/>
              <w:jc w:val="right"/>
            </w:pPr>
            <w:r>
              <w:rPr>
                <w:i/>
                <w:iCs/>
              </w:rPr>
              <w:t>$</w:t>
            </w:r>
            <w:r w:rsidR="00235C89">
              <w:rPr>
                <w:i/>
                <w:iCs/>
              </w:rPr>
              <w:t>17</w:t>
            </w:r>
            <w:r w:rsidR="002A65CA">
              <w:rPr>
                <w:i/>
                <w:iCs/>
              </w:rPr>
              <w:t>,222,849</w:t>
            </w:r>
          </w:p>
        </w:tc>
      </w:tr>
      <w:tr w:rsidR="00B469F3" w:rsidTr="00AE749C" w14:paraId="5EE5C3C0" w14:textId="77777777">
        <w:tc>
          <w:tcPr>
            <w:tcW w:w="3595" w:type="dxa"/>
          </w:tcPr>
          <w:p w:rsidR="00B469F3" w:rsidP="00AE749C" w:rsidRDefault="00B469F3" w14:paraId="38B24947" w14:textId="6B75F96C">
            <w:pPr>
              <w:ind w:firstLine="0"/>
              <w:jc w:val="right"/>
              <w:rPr>
                <w:i/>
                <w:iCs/>
              </w:rPr>
            </w:pPr>
            <w:r>
              <w:rPr>
                <w:i/>
                <w:iCs/>
              </w:rPr>
              <w:t>Clean Energy Home</w:t>
            </w:r>
          </w:p>
        </w:tc>
        <w:tc>
          <w:tcPr>
            <w:tcW w:w="2970" w:type="dxa"/>
          </w:tcPr>
          <w:p w:rsidR="00B469F3" w:rsidP="00AE749C" w:rsidRDefault="00B469F3" w14:paraId="2AB1F526" w14:textId="73C9DBBA">
            <w:pPr>
              <w:ind w:firstLine="0"/>
              <w:jc w:val="right"/>
              <w:rPr>
                <w:i/>
                <w:iCs/>
              </w:rPr>
            </w:pPr>
            <w:r>
              <w:rPr>
                <w:i/>
                <w:iCs/>
              </w:rPr>
              <w:t>$1,771,800</w:t>
            </w:r>
          </w:p>
        </w:tc>
        <w:tc>
          <w:tcPr>
            <w:tcW w:w="2970" w:type="dxa"/>
          </w:tcPr>
          <w:p w:rsidR="00B469F3" w:rsidP="00AE749C" w:rsidRDefault="00A535EE" w14:paraId="081669CE" w14:textId="2275E3C9">
            <w:pPr>
              <w:ind w:firstLine="0"/>
              <w:jc w:val="right"/>
              <w:rPr>
                <w:i/>
                <w:iCs/>
              </w:rPr>
            </w:pPr>
            <w:r>
              <w:rPr>
                <w:i/>
                <w:iCs/>
              </w:rPr>
              <w:t>$0</w:t>
            </w:r>
          </w:p>
        </w:tc>
      </w:tr>
      <w:tr w:rsidR="00EA3DA7" w:rsidTr="00AE749C" w14:paraId="79D28FDB" w14:textId="77777777">
        <w:tc>
          <w:tcPr>
            <w:tcW w:w="3595" w:type="dxa"/>
          </w:tcPr>
          <w:p w:rsidR="00EA3DA7" w:rsidP="00AE749C" w:rsidRDefault="00EA3DA7" w14:paraId="74E5722C" w14:textId="480D50FE">
            <w:pPr>
              <w:ind w:firstLine="0"/>
              <w:jc w:val="right"/>
              <w:rPr>
                <w:i/>
                <w:iCs/>
              </w:rPr>
            </w:pPr>
            <w:r>
              <w:rPr>
                <w:i/>
                <w:iCs/>
              </w:rPr>
              <w:t>ESA Administrative</w:t>
            </w:r>
          </w:p>
        </w:tc>
        <w:tc>
          <w:tcPr>
            <w:tcW w:w="2970" w:type="dxa"/>
          </w:tcPr>
          <w:p w:rsidR="00EA3DA7" w:rsidP="00AE749C" w:rsidRDefault="00A62C82" w14:paraId="2159E9EA" w14:textId="2B48D150">
            <w:pPr>
              <w:ind w:firstLine="0"/>
              <w:jc w:val="right"/>
              <w:rPr>
                <w:i/>
                <w:iCs/>
              </w:rPr>
            </w:pPr>
            <w:r>
              <w:rPr>
                <w:i/>
                <w:iCs/>
              </w:rPr>
              <w:t>$8,910,680</w:t>
            </w:r>
          </w:p>
        </w:tc>
        <w:tc>
          <w:tcPr>
            <w:tcW w:w="2970" w:type="dxa"/>
          </w:tcPr>
          <w:p w:rsidR="00EA3DA7" w:rsidP="00AE749C" w:rsidRDefault="00A62C82" w14:paraId="116F6717" w14:textId="0AC887E0">
            <w:pPr>
              <w:ind w:firstLine="0"/>
              <w:jc w:val="right"/>
              <w:rPr>
                <w:i/>
                <w:iCs/>
              </w:rPr>
            </w:pPr>
            <w:r>
              <w:rPr>
                <w:i/>
                <w:iCs/>
              </w:rPr>
              <w:t>$9,140,370</w:t>
            </w:r>
          </w:p>
        </w:tc>
      </w:tr>
      <w:tr w:rsidR="00E477DC" w:rsidTr="00AE749C" w14:paraId="21EB00D2" w14:textId="77777777">
        <w:tc>
          <w:tcPr>
            <w:tcW w:w="3595" w:type="dxa"/>
          </w:tcPr>
          <w:p w:rsidRPr="00587A3E" w:rsidR="00E477DC" w:rsidP="00AE749C" w:rsidRDefault="00E477DC" w14:paraId="7B608E49" w14:textId="77777777">
            <w:pPr>
              <w:ind w:firstLine="0"/>
              <w:jc w:val="both"/>
            </w:pPr>
            <w:r w:rsidRPr="00587A3E">
              <w:t>ESA Unspent Funds Carry Forward</w:t>
            </w:r>
          </w:p>
        </w:tc>
        <w:tc>
          <w:tcPr>
            <w:tcW w:w="2970" w:type="dxa"/>
          </w:tcPr>
          <w:p w:rsidR="00E477DC" w:rsidP="00AE5A24" w:rsidRDefault="00E477DC" w14:paraId="423F91D0" w14:textId="77777777">
            <w:pPr>
              <w:ind w:firstLine="0"/>
              <w:jc w:val="right"/>
            </w:pPr>
          </w:p>
        </w:tc>
        <w:tc>
          <w:tcPr>
            <w:tcW w:w="2970" w:type="dxa"/>
          </w:tcPr>
          <w:p w:rsidR="00E477DC" w:rsidP="00AE5A24" w:rsidRDefault="00E477DC" w14:paraId="1BC9A5D1" w14:textId="3DC18699">
            <w:pPr>
              <w:ind w:firstLine="0"/>
              <w:jc w:val="right"/>
            </w:pPr>
            <w:r>
              <w:t>($</w:t>
            </w:r>
            <w:r w:rsidRPr="00492C72">
              <w:t>40,</w:t>
            </w:r>
            <w:r w:rsidR="006F1DC7">
              <w:t>10</w:t>
            </w:r>
            <w:r w:rsidR="0007593D">
              <w:t>6</w:t>
            </w:r>
            <w:r w:rsidR="006F1DC7">
              <w:t>,</w:t>
            </w:r>
            <w:r w:rsidR="0007593D">
              <w:t>552</w:t>
            </w:r>
            <w:r>
              <w:t>)</w:t>
            </w:r>
          </w:p>
        </w:tc>
      </w:tr>
      <w:tr w:rsidR="00E477DC" w:rsidTr="00AE749C" w14:paraId="1BFFDA15" w14:textId="77777777">
        <w:tc>
          <w:tcPr>
            <w:tcW w:w="3595" w:type="dxa"/>
          </w:tcPr>
          <w:p w:rsidRPr="00C928B2" w:rsidR="00E477DC" w:rsidP="00B90C35" w:rsidRDefault="00E477DC" w14:paraId="4F8B2D1D" w14:textId="13F2C031">
            <w:pPr>
              <w:ind w:firstLine="0"/>
              <w:rPr>
                <w:i/>
                <w:iCs/>
              </w:rPr>
            </w:pPr>
            <w:r w:rsidRPr="00C928B2">
              <w:rPr>
                <w:b/>
                <w:bCs/>
                <w:i/>
                <w:iCs/>
              </w:rPr>
              <w:t>Total</w:t>
            </w:r>
            <w:r>
              <w:rPr>
                <w:b/>
                <w:bCs/>
                <w:i/>
                <w:iCs/>
              </w:rPr>
              <w:t xml:space="preserve"> </w:t>
            </w:r>
            <w:proofErr w:type="gramStart"/>
            <w:r w:rsidR="00445338">
              <w:rPr>
                <w:b/>
                <w:bCs/>
                <w:i/>
                <w:iCs/>
              </w:rPr>
              <w:t xml:space="preserve">Administrative  </w:t>
            </w:r>
            <w:r>
              <w:rPr>
                <w:b/>
                <w:bCs/>
                <w:i/>
                <w:iCs/>
              </w:rPr>
              <w:t>Request</w:t>
            </w:r>
            <w:proofErr w:type="gramEnd"/>
          </w:p>
        </w:tc>
        <w:tc>
          <w:tcPr>
            <w:tcW w:w="2970" w:type="dxa"/>
          </w:tcPr>
          <w:p w:rsidR="00E477DC" w:rsidP="00AE5A24" w:rsidRDefault="00E477DC" w14:paraId="294E8D8C" w14:textId="519F800A">
            <w:pPr>
              <w:ind w:firstLine="0"/>
              <w:jc w:val="right"/>
            </w:pPr>
            <w:r w:rsidRPr="00492C72">
              <w:rPr>
                <w:b/>
                <w:bCs/>
              </w:rPr>
              <w:t>$</w:t>
            </w:r>
            <w:r w:rsidR="00507FB5">
              <w:rPr>
                <w:b/>
                <w:bCs/>
              </w:rPr>
              <w:t>8</w:t>
            </w:r>
            <w:r w:rsidR="0006622F">
              <w:rPr>
                <w:b/>
                <w:bCs/>
              </w:rPr>
              <w:t>5</w:t>
            </w:r>
            <w:r w:rsidR="00507FB5">
              <w:rPr>
                <w:b/>
                <w:bCs/>
              </w:rPr>
              <w:t>,</w:t>
            </w:r>
            <w:r w:rsidR="003C511C">
              <w:rPr>
                <w:b/>
                <w:bCs/>
              </w:rPr>
              <w:t>997</w:t>
            </w:r>
            <w:r w:rsidR="00507FB5">
              <w:rPr>
                <w:b/>
                <w:bCs/>
              </w:rPr>
              <w:t>,</w:t>
            </w:r>
            <w:r w:rsidR="003C511C">
              <w:rPr>
                <w:b/>
                <w:bCs/>
              </w:rPr>
              <w:t>265</w:t>
            </w:r>
          </w:p>
        </w:tc>
        <w:tc>
          <w:tcPr>
            <w:tcW w:w="2970" w:type="dxa"/>
          </w:tcPr>
          <w:p w:rsidR="00E477DC" w:rsidP="00AE5A24" w:rsidRDefault="00E477DC" w14:paraId="45990FCC" w14:textId="615301C9">
            <w:pPr>
              <w:ind w:firstLine="0"/>
              <w:jc w:val="right"/>
            </w:pPr>
            <w:r w:rsidRPr="00492C72">
              <w:rPr>
                <w:b/>
                <w:bCs/>
              </w:rPr>
              <w:t>$</w:t>
            </w:r>
            <w:r w:rsidR="00CB063E">
              <w:rPr>
                <w:b/>
                <w:bCs/>
              </w:rPr>
              <w:t>71,3</w:t>
            </w:r>
            <w:r w:rsidR="009A33A7">
              <w:rPr>
                <w:b/>
                <w:bCs/>
              </w:rPr>
              <w:t>79</w:t>
            </w:r>
            <w:r w:rsidR="00CB063E">
              <w:rPr>
                <w:b/>
                <w:bCs/>
              </w:rPr>
              <w:t>,</w:t>
            </w:r>
            <w:r w:rsidR="009A33A7">
              <w:rPr>
                <w:b/>
                <w:bCs/>
              </w:rPr>
              <w:t>282</w:t>
            </w:r>
          </w:p>
        </w:tc>
      </w:tr>
      <w:tr w:rsidR="00E477DC" w:rsidTr="00AE749C" w14:paraId="5FF66919" w14:textId="77777777">
        <w:tc>
          <w:tcPr>
            <w:tcW w:w="3595" w:type="dxa"/>
          </w:tcPr>
          <w:p w:rsidRPr="00C7008D" w:rsidR="00E477DC" w:rsidP="00AE749C" w:rsidRDefault="00E477DC" w14:paraId="415E0A5B" w14:textId="77777777">
            <w:pPr>
              <w:ind w:firstLine="0"/>
              <w:jc w:val="both"/>
              <w:rPr>
                <w:i/>
                <w:iCs/>
              </w:rPr>
            </w:pPr>
            <w:r w:rsidRPr="00C7008D">
              <w:rPr>
                <w:i/>
                <w:iCs/>
              </w:rPr>
              <w:t>CARE Discount</w:t>
            </w:r>
          </w:p>
        </w:tc>
        <w:tc>
          <w:tcPr>
            <w:tcW w:w="2970" w:type="dxa"/>
          </w:tcPr>
          <w:p w:rsidRPr="00C7008D" w:rsidR="00E477DC" w:rsidP="00AE5A24" w:rsidRDefault="00E477DC" w14:paraId="4FC01DC6" w14:textId="4972DBE2">
            <w:pPr>
              <w:ind w:firstLine="0"/>
              <w:jc w:val="right"/>
            </w:pPr>
            <w:r w:rsidRPr="00C7008D">
              <w:t>$</w:t>
            </w:r>
            <w:r w:rsidR="00DA3E6B">
              <w:t>427,678,676</w:t>
            </w:r>
          </w:p>
        </w:tc>
        <w:tc>
          <w:tcPr>
            <w:tcW w:w="2970" w:type="dxa"/>
          </w:tcPr>
          <w:p w:rsidRPr="00C7008D" w:rsidR="00E477DC" w:rsidP="00AE5A24" w:rsidRDefault="00E477DC" w14:paraId="1843112B" w14:textId="34FD8ECA">
            <w:pPr>
              <w:ind w:firstLine="0"/>
              <w:jc w:val="right"/>
            </w:pPr>
            <w:r w:rsidRPr="00C7008D">
              <w:t>$</w:t>
            </w:r>
            <w:r w:rsidR="00DA3E6B">
              <w:t>1,018,548,247</w:t>
            </w:r>
          </w:p>
        </w:tc>
      </w:tr>
      <w:tr w:rsidR="00E477DC" w:rsidTr="00AE749C" w14:paraId="2DF7AA64" w14:textId="77777777">
        <w:tc>
          <w:tcPr>
            <w:tcW w:w="3595" w:type="dxa"/>
          </w:tcPr>
          <w:p w:rsidRPr="00C7008D" w:rsidR="00E477DC" w:rsidP="00AE749C" w:rsidRDefault="00E477DC" w14:paraId="0B2AD30E" w14:textId="77777777">
            <w:pPr>
              <w:ind w:firstLine="0"/>
              <w:jc w:val="both"/>
              <w:rPr>
                <w:i/>
                <w:iCs/>
              </w:rPr>
            </w:pPr>
            <w:r w:rsidRPr="00C7008D">
              <w:rPr>
                <w:i/>
                <w:iCs/>
              </w:rPr>
              <w:t>FERA Discount</w:t>
            </w:r>
          </w:p>
        </w:tc>
        <w:tc>
          <w:tcPr>
            <w:tcW w:w="2970" w:type="dxa"/>
          </w:tcPr>
          <w:p w:rsidRPr="00C7008D" w:rsidR="00E477DC" w:rsidP="00AE5A24" w:rsidRDefault="00C16B24" w14:paraId="04EF73F1" w14:textId="6C083A48">
            <w:pPr>
              <w:ind w:firstLine="0"/>
              <w:jc w:val="right"/>
            </w:pPr>
            <w:r>
              <w:t>$</w:t>
            </w:r>
            <w:r w:rsidR="001B1EF4">
              <w:t>57,127,419</w:t>
            </w:r>
          </w:p>
        </w:tc>
        <w:tc>
          <w:tcPr>
            <w:tcW w:w="2970" w:type="dxa"/>
          </w:tcPr>
          <w:p w:rsidRPr="00C7008D" w:rsidR="00E477DC" w:rsidP="00AE5A24" w:rsidRDefault="001B1EF4" w14:paraId="713F8C56" w14:textId="0F44C346">
            <w:pPr>
              <w:ind w:firstLine="0"/>
              <w:jc w:val="right"/>
            </w:pPr>
            <w:r>
              <w:t>$60,519,477</w:t>
            </w:r>
          </w:p>
        </w:tc>
      </w:tr>
    </w:tbl>
    <w:p w:rsidR="008340C6" w:rsidP="00FE2D37" w:rsidRDefault="00147E71" w14:paraId="7602724B" w14:textId="511819D4">
      <w:pPr>
        <w:pStyle w:val="Heading2"/>
      </w:pPr>
      <w:bookmarkStart w:name="_Toc230872053" w:id="18"/>
      <w:r>
        <w:t xml:space="preserve">SoCalGas </w:t>
      </w:r>
      <w:r w:rsidR="008340C6">
        <w:t>Application</w:t>
      </w:r>
      <w:bookmarkEnd w:id="18"/>
    </w:p>
    <w:p w:rsidR="00F052CC" w:rsidP="00305AAD" w:rsidRDefault="008E3A1F" w14:paraId="4B897902" w14:textId="1ABB609F">
      <w:pPr>
        <w:pStyle w:val="Standard"/>
      </w:pPr>
      <w:r>
        <w:t xml:space="preserve">SoCalGas requests a total of $134.8 million for 2027 IQP activities. </w:t>
      </w:r>
      <w:r w:rsidR="009C7243">
        <w:t xml:space="preserve">This is </w:t>
      </w:r>
      <w:r w:rsidR="00700F69">
        <w:t>in line</w:t>
      </w:r>
      <w:r w:rsidR="003545B7">
        <w:t xml:space="preserve"> with</w:t>
      </w:r>
      <w:r w:rsidR="009C7243">
        <w:t xml:space="preserve"> the $133.6 million authorized for 2026.</w:t>
      </w:r>
      <w:r w:rsidR="009A4A29">
        <w:t xml:space="preserve"> </w:t>
      </w:r>
      <w:r w:rsidR="003545B7">
        <w:t xml:space="preserve"> </w:t>
      </w:r>
      <w:r w:rsidR="00876055">
        <w:t xml:space="preserve">SoCalGas </w:t>
      </w:r>
      <w:r w:rsidR="004B6CE3">
        <w:t xml:space="preserve">does not propose substantial changes to program delivery for 2027.  </w:t>
      </w:r>
      <w:proofErr w:type="gramStart"/>
      <w:r w:rsidR="00C15243">
        <w:t>Of note</w:t>
      </w:r>
      <w:proofErr w:type="gramEnd"/>
      <w:r w:rsidR="00C15243">
        <w:t>, SoCalGas does not have a FERA program.</w:t>
      </w:r>
    </w:p>
    <w:p w:rsidRPr="00197861" w:rsidR="00F052CC" w:rsidP="00F052CC" w:rsidRDefault="00F052CC" w14:paraId="24BEA667" w14:textId="5A385D5E">
      <w:pPr>
        <w:jc w:val="center"/>
        <w:rPr>
          <w:b/>
          <w:bCs/>
        </w:rPr>
      </w:pPr>
      <w:r w:rsidRPr="00197861">
        <w:rPr>
          <w:b/>
          <w:bCs/>
        </w:rPr>
        <w:t xml:space="preserve">Table </w:t>
      </w:r>
      <w:r w:rsidR="00CF4EA7">
        <w:rPr>
          <w:b/>
          <w:bCs/>
        </w:rPr>
        <w:t>4</w:t>
      </w:r>
      <w:r w:rsidRPr="00197861">
        <w:rPr>
          <w:b/>
          <w:bCs/>
        </w:rPr>
        <w:t xml:space="preserve">: </w:t>
      </w:r>
      <w:r>
        <w:rPr>
          <w:b/>
          <w:bCs/>
        </w:rPr>
        <w:t>SoCalGas</w:t>
      </w:r>
      <w:r w:rsidR="008E3A1F">
        <w:rPr>
          <w:b/>
          <w:bCs/>
        </w:rPr>
        <w:t>’</w:t>
      </w:r>
      <w:r w:rsidRPr="00197861">
        <w:rPr>
          <w:b/>
          <w:bCs/>
        </w:rPr>
        <w:t xml:space="preserve"> 2027 IQP Budget Request</w:t>
      </w:r>
      <w:r>
        <w:rPr>
          <w:rStyle w:val="FootnoteReference"/>
          <w:b/>
          <w:bCs/>
        </w:rPr>
        <w:footnoteReference w:id="9"/>
      </w:r>
    </w:p>
    <w:tbl>
      <w:tblPr>
        <w:tblStyle w:val="TableGrid"/>
        <w:tblW w:w="9535" w:type="dxa"/>
        <w:tblLook w:val="04A0" w:firstRow="1" w:lastRow="0" w:firstColumn="1" w:lastColumn="0" w:noHBand="0" w:noVBand="1"/>
      </w:tblPr>
      <w:tblGrid>
        <w:gridCol w:w="3595"/>
        <w:gridCol w:w="2970"/>
        <w:gridCol w:w="2970"/>
      </w:tblGrid>
      <w:tr w:rsidR="00F052CC" w:rsidTr="00AE749C" w14:paraId="5544D81C" w14:textId="77777777">
        <w:tc>
          <w:tcPr>
            <w:tcW w:w="3595" w:type="dxa"/>
          </w:tcPr>
          <w:p w:rsidR="00F052CC" w:rsidP="00AE749C" w:rsidRDefault="00F052CC" w14:paraId="41027CBC" w14:textId="77777777">
            <w:pPr>
              <w:ind w:firstLine="0"/>
            </w:pPr>
            <w:r>
              <w:t>Category</w:t>
            </w:r>
          </w:p>
        </w:tc>
        <w:tc>
          <w:tcPr>
            <w:tcW w:w="2970" w:type="dxa"/>
          </w:tcPr>
          <w:p w:rsidR="00F052CC" w:rsidP="00AE749C" w:rsidRDefault="00F052CC" w14:paraId="1777FE6F" w14:textId="5668B86C">
            <w:pPr>
              <w:ind w:firstLine="0"/>
            </w:pPr>
            <w:r>
              <w:t xml:space="preserve">2026 </w:t>
            </w:r>
            <w:r w:rsidR="008E3A1F">
              <w:t xml:space="preserve">Authorized </w:t>
            </w:r>
            <w:r>
              <w:t>Budget</w:t>
            </w:r>
          </w:p>
        </w:tc>
        <w:tc>
          <w:tcPr>
            <w:tcW w:w="2970" w:type="dxa"/>
          </w:tcPr>
          <w:p w:rsidR="00F052CC" w:rsidP="00AE749C" w:rsidRDefault="00F052CC" w14:paraId="71689C66" w14:textId="77777777">
            <w:pPr>
              <w:ind w:firstLine="0"/>
            </w:pPr>
            <w:r>
              <w:t>2027 Proposed Budget</w:t>
            </w:r>
          </w:p>
        </w:tc>
      </w:tr>
      <w:tr w:rsidR="00F052CC" w:rsidTr="00AE749C" w14:paraId="69BF7572" w14:textId="77777777">
        <w:tc>
          <w:tcPr>
            <w:tcW w:w="3595" w:type="dxa"/>
          </w:tcPr>
          <w:p w:rsidR="00F052CC" w:rsidP="00AE749C" w:rsidRDefault="00F052CC" w14:paraId="4D23891B" w14:textId="77777777">
            <w:pPr>
              <w:ind w:firstLine="0"/>
            </w:pPr>
            <w:r w:rsidRPr="00411F92">
              <w:lastRenderedPageBreak/>
              <w:t>CARE Program Administrative</w:t>
            </w:r>
          </w:p>
        </w:tc>
        <w:tc>
          <w:tcPr>
            <w:tcW w:w="2970" w:type="dxa"/>
          </w:tcPr>
          <w:p w:rsidR="00F052CC" w:rsidP="00AE5A24" w:rsidRDefault="00F052CC" w14:paraId="674FAFF7" w14:textId="41126573">
            <w:pPr>
              <w:ind w:firstLine="0"/>
              <w:jc w:val="right"/>
            </w:pPr>
            <w:r>
              <w:t>$</w:t>
            </w:r>
            <w:r w:rsidRPr="004B6CE3" w:rsidR="004B6CE3">
              <w:t>10,915,864</w:t>
            </w:r>
          </w:p>
        </w:tc>
        <w:tc>
          <w:tcPr>
            <w:tcW w:w="2970" w:type="dxa"/>
          </w:tcPr>
          <w:p w:rsidR="00F052CC" w:rsidP="00AE5A24" w:rsidRDefault="00F052CC" w14:paraId="771E8ACB" w14:textId="03DC8D9D">
            <w:pPr>
              <w:ind w:firstLine="0"/>
              <w:jc w:val="right"/>
            </w:pPr>
            <w:r w:rsidRPr="003832C3">
              <w:t>$</w:t>
            </w:r>
            <w:r w:rsidRPr="004B6CE3" w:rsidR="004B6CE3">
              <w:t>11,2</w:t>
            </w:r>
            <w:r w:rsidR="00BB457A">
              <w:t>61</w:t>
            </w:r>
            <w:r w:rsidRPr="004B6CE3" w:rsidR="004B6CE3">
              <w:t>,</w:t>
            </w:r>
            <w:r w:rsidR="00BB457A">
              <w:t>464</w:t>
            </w:r>
            <w:r w:rsidR="00BB457A">
              <w:rPr>
                <w:rStyle w:val="FootnoteReference"/>
              </w:rPr>
              <w:footnoteReference w:id="10"/>
            </w:r>
          </w:p>
        </w:tc>
      </w:tr>
      <w:tr w:rsidR="00F052CC" w:rsidTr="00AE749C" w14:paraId="47E61DCF" w14:textId="77777777">
        <w:tc>
          <w:tcPr>
            <w:tcW w:w="3595" w:type="dxa"/>
          </w:tcPr>
          <w:p w:rsidR="00F052CC" w:rsidP="00AE749C" w:rsidRDefault="00F052CC" w14:paraId="00083059" w14:textId="77777777">
            <w:pPr>
              <w:ind w:firstLine="0"/>
            </w:pPr>
            <w:r w:rsidRPr="00411F92">
              <w:t>ESA Program</w:t>
            </w:r>
            <w:r>
              <w:t xml:space="preserve"> Total</w:t>
            </w:r>
          </w:p>
        </w:tc>
        <w:tc>
          <w:tcPr>
            <w:tcW w:w="2970" w:type="dxa"/>
          </w:tcPr>
          <w:p w:rsidR="00F052CC" w:rsidP="00AE5A24" w:rsidRDefault="00F052CC" w14:paraId="553382E0" w14:textId="6868E154">
            <w:pPr>
              <w:ind w:firstLine="0"/>
              <w:jc w:val="right"/>
            </w:pPr>
            <w:r>
              <w:t>$</w:t>
            </w:r>
            <w:r w:rsidR="00C15E30">
              <w:t>122,666,069</w:t>
            </w:r>
          </w:p>
        </w:tc>
        <w:tc>
          <w:tcPr>
            <w:tcW w:w="2970" w:type="dxa"/>
          </w:tcPr>
          <w:p w:rsidR="00F052CC" w:rsidP="00AE5A24" w:rsidRDefault="00F052CC" w14:paraId="34309C3A" w14:textId="4D077B3F">
            <w:pPr>
              <w:ind w:firstLine="0"/>
              <w:jc w:val="right"/>
            </w:pPr>
            <w:r>
              <w:t>$</w:t>
            </w:r>
            <w:r w:rsidR="00C15E30">
              <w:t>123,538,208</w:t>
            </w:r>
          </w:p>
        </w:tc>
      </w:tr>
      <w:tr w:rsidR="00F052CC" w:rsidTr="00AE749C" w14:paraId="70850D61" w14:textId="77777777">
        <w:tc>
          <w:tcPr>
            <w:tcW w:w="3595" w:type="dxa"/>
          </w:tcPr>
          <w:p w:rsidR="00F052CC" w:rsidP="00AE749C" w:rsidRDefault="00F052CC" w14:paraId="621265A4" w14:textId="77777777">
            <w:pPr>
              <w:ind w:firstLine="0"/>
              <w:jc w:val="right"/>
            </w:pPr>
            <w:r w:rsidRPr="00C928B2">
              <w:rPr>
                <w:i/>
                <w:iCs/>
              </w:rPr>
              <w:t>ESA Main</w:t>
            </w:r>
          </w:p>
        </w:tc>
        <w:tc>
          <w:tcPr>
            <w:tcW w:w="2970" w:type="dxa"/>
          </w:tcPr>
          <w:p w:rsidR="00F052CC" w:rsidP="00AE749C" w:rsidRDefault="00F052CC" w14:paraId="76D21D71" w14:textId="3AAE51C8">
            <w:pPr>
              <w:ind w:firstLine="0"/>
              <w:jc w:val="right"/>
            </w:pPr>
            <w:r>
              <w:rPr>
                <w:i/>
                <w:iCs/>
              </w:rPr>
              <w:t>$</w:t>
            </w:r>
            <w:r w:rsidRPr="009F3905" w:rsidR="009F3905">
              <w:rPr>
                <w:i/>
                <w:iCs/>
              </w:rPr>
              <w:t>82,844,757</w:t>
            </w:r>
          </w:p>
        </w:tc>
        <w:tc>
          <w:tcPr>
            <w:tcW w:w="2970" w:type="dxa"/>
          </w:tcPr>
          <w:p w:rsidR="00F052CC" w:rsidP="00AE749C" w:rsidRDefault="00F052CC" w14:paraId="75C06239" w14:textId="5DC88A10">
            <w:pPr>
              <w:ind w:firstLine="0"/>
              <w:jc w:val="right"/>
            </w:pPr>
            <w:r>
              <w:rPr>
                <w:i/>
                <w:iCs/>
              </w:rPr>
              <w:t>$</w:t>
            </w:r>
            <w:r w:rsidRPr="009F3905" w:rsidR="009F3905">
              <w:rPr>
                <w:i/>
                <w:iCs/>
              </w:rPr>
              <w:t>82,844,757</w:t>
            </w:r>
          </w:p>
        </w:tc>
      </w:tr>
      <w:tr w:rsidR="00F052CC" w:rsidTr="00AE749C" w14:paraId="48CBC026" w14:textId="77777777">
        <w:tc>
          <w:tcPr>
            <w:tcW w:w="3595" w:type="dxa"/>
          </w:tcPr>
          <w:p w:rsidR="00F052CC" w:rsidP="00AE749C" w:rsidRDefault="00F052CC" w14:paraId="3B5F3900" w14:textId="1B0B29E1">
            <w:pPr>
              <w:ind w:firstLine="0"/>
              <w:jc w:val="right"/>
            </w:pPr>
            <w:r>
              <w:rPr>
                <w:i/>
                <w:iCs/>
              </w:rPr>
              <w:t xml:space="preserve">ESA </w:t>
            </w:r>
            <w:r w:rsidRPr="00C928B2">
              <w:rPr>
                <w:i/>
                <w:iCs/>
              </w:rPr>
              <w:t>MFWB</w:t>
            </w:r>
            <w:r>
              <w:rPr>
                <w:i/>
                <w:iCs/>
              </w:rPr>
              <w:t xml:space="preserve"> </w:t>
            </w:r>
          </w:p>
        </w:tc>
        <w:tc>
          <w:tcPr>
            <w:tcW w:w="2970" w:type="dxa"/>
          </w:tcPr>
          <w:p w:rsidR="00F052CC" w:rsidP="00AE749C" w:rsidRDefault="005B677C" w14:paraId="4F1A8B18" w14:textId="3A2322DA">
            <w:pPr>
              <w:ind w:firstLine="0"/>
              <w:jc w:val="right"/>
            </w:pPr>
            <w:r w:rsidRPr="005B677C">
              <w:rPr>
                <w:i/>
                <w:iCs/>
              </w:rPr>
              <w:t>$20,563,740</w:t>
            </w:r>
          </w:p>
        </w:tc>
        <w:tc>
          <w:tcPr>
            <w:tcW w:w="2970" w:type="dxa"/>
          </w:tcPr>
          <w:p w:rsidR="00F052CC" w:rsidP="00AE749C" w:rsidRDefault="00F052CC" w14:paraId="4856E63E" w14:textId="15F08A01">
            <w:pPr>
              <w:ind w:firstLine="0"/>
              <w:jc w:val="right"/>
            </w:pPr>
            <w:r>
              <w:rPr>
                <w:i/>
                <w:iCs/>
              </w:rPr>
              <w:t>$</w:t>
            </w:r>
            <w:r w:rsidRPr="00601FFE" w:rsidR="00601FFE">
              <w:rPr>
                <w:i/>
                <w:iCs/>
              </w:rPr>
              <w:t>27,380,263</w:t>
            </w:r>
          </w:p>
        </w:tc>
      </w:tr>
      <w:tr w:rsidR="00601FFE" w:rsidTr="00AE749C" w14:paraId="5F7100BE" w14:textId="77777777">
        <w:tc>
          <w:tcPr>
            <w:tcW w:w="3595" w:type="dxa"/>
          </w:tcPr>
          <w:p w:rsidR="00601FFE" w:rsidP="00AE749C" w:rsidRDefault="00601FFE" w14:paraId="097477CB" w14:textId="47967B81">
            <w:pPr>
              <w:ind w:firstLine="0"/>
              <w:jc w:val="right"/>
              <w:rPr>
                <w:i/>
                <w:iCs/>
              </w:rPr>
            </w:pPr>
            <w:r>
              <w:rPr>
                <w:i/>
                <w:iCs/>
              </w:rPr>
              <w:t>SPOC</w:t>
            </w:r>
          </w:p>
        </w:tc>
        <w:tc>
          <w:tcPr>
            <w:tcW w:w="2970" w:type="dxa"/>
          </w:tcPr>
          <w:p w:rsidRPr="005B677C" w:rsidR="00601FFE" w:rsidP="00AE749C" w:rsidRDefault="00601FFE" w14:paraId="542463BD" w14:textId="7ECFA765">
            <w:pPr>
              <w:ind w:firstLine="0"/>
              <w:jc w:val="right"/>
              <w:rPr>
                <w:i/>
                <w:iCs/>
              </w:rPr>
            </w:pPr>
            <w:r>
              <w:rPr>
                <w:i/>
                <w:iCs/>
              </w:rPr>
              <w:t>$</w:t>
            </w:r>
            <w:r w:rsidRPr="00601FFE">
              <w:rPr>
                <w:i/>
                <w:iCs/>
              </w:rPr>
              <w:t>308,278</w:t>
            </w:r>
          </w:p>
        </w:tc>
        <w:tc>
          <w:tcPr>
            <w:tcW w:w="2970" w:type="dxa"/>
          </w:tcPr>
          <w:p w:rsidR="00601FFE" w:rsidP="00AE749C" w:rsidRDefault="00601FFE" w14:paraId="13131DF5" w14:textId="72ADF7D0">
            <w:pPr>
              <w:ind w:firstLine="0"/>
              <w:jc w:val="right"/>
              <w:rPr>
                <w:i/>
                <w:iCs/>
              </w:rPr>
            </w:pPr>
            <w:r w:rsidRPr="00601FFE">
              <w:rPr>
                <w:i/>
                <w:iCs/>
              </w:rPr>
              <w:t>$317,526</w:t>
            </w:r>
          </w:p>
        </w:tc>
      </w:tr>
      <w:tr w:rsidR="00F052CC" w:rsidTr="00AE749C" w14:paraId="4FBAEE74" w14:textId="77777777">
        <w:tc>
          <w:tcPr>
            <w:tcW w:w="3595" w:type="dxa"/>
          </w:tcPr>
          <w:p w:rsidR="00F052CC" w:rsidP="00AE749C" w:rsidRDefault="00F052CC" w14:paraId="1CCE3BF8" w14:textId="76F0DA14">
            <w:pPr>
              <w:ind w:firstLine="0"/>
              <w:jc w:val="right"/>
              <w:rPr>
                <w:i/>
                <w:iCs/>
              </w:rPr>
            </w:pPr>
            <w:r>
              <w:rPr>
                <w:i/>
                <w:iCs/>
              </w:rPr>
              <w:t>ESA Administrative</w:t>
            </w:r>
          </w:p>
        </w:tc>
        <w:tc>
          <w:tcPr>
            <w:tcW w:w="2970" w:type="dxa"/>
          </w:tcPr>
          <w:p w:rsidR="00F052CC" w:rsidP="00AE749C" w:rsidRDefault="00F052CC" w14:paraId="2EDF61DA" w14:textId="13FC81AA">
            <w:pPr>
              <w:ind w:firstLine="0"/>
              <w:jc w:val="right"/>
              <w:rPr>
                <w:i/>
                <w:iCs/>
              </w:rPr>
            </w:pPr>
            <w:r>
              <w:rPr>
                <w:i/>
                <w:iCs/>
              </w:rPr>
              <w:t>$</w:t>
            </w:r>
            <w:r w:rsidRPr="0067292E" w:rsidR="0067292E">
              <w:rPr>
                <w:i/>
                <w:iCs/>
              </w:rPr>
              <w:t>12,747,027</w:t>
            </w:r>
          </w:p>
        </w:tc>
        <w:tc>
          <w:tcPr>
            <w:tcW w:w="2970" w:type="dxa"/>
          </w:tcPr>
          <w:p w:rsidR="00F052CC" w:rsidP="00AE749C" w:rsidRDefault="00F052CC" w14:paraId="4AB9A9FB" w14:textId="17C913B1">
            <w:pPr>
              <w:ind w:firstLine="0"/>
              <w:jc w:val="right"/>
              <w:rPr>
                <w:i/>
                <w:iCs/>
              </w:rPr>
            </w:pPr>
            <w:r>
              <w:rPr>
                <w:i/>
                <w:iCs/>
              </w:rPr>
              <w:t>$</w:t>
            </w:r>
            <w:r w:rsidRPr="0067292E" w:rsidR="0067292E">
              <w:rPr>
                <w:i/>
                <w:iCs/>
              </w:rPr>
              <w:t>13,313,188</w:t>
            </w:r>
          </w:p>
        </w:tc>
      </w:tr>
      <w:tr w:rsidR="0067292E" w:rsidTr="00AE749C" w14:paraId="05DE7FBF" w14:textId="77777777">
        <w:tc>
          <w:tcPr>
            <w:tcW w:w="3595" w:type="dxa"/>
          </w:tcPr>
          <w:p w:rsidR="0067292E" w:rsidP="00AE749C" w:rsidRDefault="0067292E" w14:paraId="0F9832AA" w14:textId="772FF520">
            <w:pPr>
              <w:ind w:firstLine="0"/>
              <w:jc w:val="right"/>
              <w:rPr>
                <w:i/>
                <w:iCs/>
              </w:rPr>
            </w:pPr>
            <w:r>
              <w:rPr>
                <w:i/>
                <w:iCs/>
              </w:rPr>
              <w:t>Staff Proposal Pilot</w:t>
            </w:r>
          </w:p>
        </w:tc>
        <w:tc>
          <w:tcPr>
            <w:tcW w:w="2970" w:type="dxa"/>
          </w:tcPr>
          <w:p w:rsidR="0067292E" w:rsidP="00AE749C" w:rsidRDefault="0067292E" w14:paraId="5CDC4D1E" w14:textId="157EB18E">
            <w:pPr>
              <w:ind w:firstLine="0"/>
              <w:jc w:val="right"/>
              <w:rPr>
                <w:i/>
                <w:iCs/>
              </w:rPr>
            </w:pPr>
            <w:r w:rsidRPr="0067292E">
              <w:rPr>
                <w:i/>
                <w:iCs/>
              </w:rPr>
              <w:t>$6,510,524</w:t>
            </w:r>
          </w:p>
        </w:tc>
        <w:tc>
          <w:tcPr>
            <w:tcW w:w="2970" w:type="dxa"/>
          </w:tcPr>
          <w:p w:rsidR="0067292E" w:rsidP="00AE749C" w:rsidRDefault="0067292E" w14:paraId="0A875BEE" w14:textId="77777777">
            <w:pPr>
              <w:ind w:firstLine="0"/>
              <w:jc w:val="right"/>
              <w:rPr>
                <w:i/>
                <w:iCs/>
              </w:rPr>
            </w:pPr>
          </w:p>
        </w:tc>
      </w:tr>
      <w:tr w:rsidR="00F052CC" w:rsidTr="00AE749C" w14:paraId="58B74E5E" w14:textId="77777777">
        <w:tc>
          <w:tcPr>
            <w:tcW w:w="3595" w:type="dxa"/>
          </w:tcPr>
          <w:p w:rsidRPr="00587A3E" w:rsidR="00F052CC" w:rsidP="00B90C35" w:rsidRDefault="00F052CC" w14:paraId="515AC409" w14:textId="77777777">
            <w:pPr>
              <w:ind w:firstLine="0"/>
            </w:pPr>
            <w:r w:rsidRPr="00587A3E">
              <w:t>ESA Unspent Funds Carry Forward</w:t>
            </w:r>
          </w:p>
        </w:tc>
        <w:tc>
          <w:tcPr>
            <w:tcW w:w="2970" w:type="dxa"/>
          </w:tcPr>
          <w:p w:rsidR="00F052CC" w:rsidP="00AE749C" w:rsidRDefault="00F052CC" w14:paraId="221F7CB1" w14:textId="77777777">
            <w:pPr>
              <w:ind w:firstLine="0"/>
            </w:pPr>
          </w:p>
        </w:tc>
        <w:tc>
          <w:tcPr>
            <w:tcW w:w="2970" w:type="dxa"/>
          </w:tcPr>
          <w:p w:rsidR="00F052CC" w:rsidP="00AE749C" w:rsidRDefault="00F052CC" w14:paraId="2CFF4999" w14:textId="5D4751D9">
            <w:pPr>
              <w:ind w:firstLine="0"/>
            </w:pPr>
          </w:p>
        </w:tc>
      </w:tr>
      <w:tr w:rsidR="00F052CC" w:rsidTr="00AE749C" w14:paraId="5D8F0676" w14:textId="77777777">
        <w:tc>
          <w:tcPr>
            <w:tcW w:w="3595" w:type="dxa"/>
          </w:tcPr>
          <w:p w:rsidRPr="00C928B2" w:rsidR="00F052CC" w:rsidP="00B90C35" w:rsidRDefault="00F052CC" w14:paraId="0B46598C" w14:textId="00E40636">
            <w:pPr>
              <w:ind w:firstLine="0"/>
              <w:rPr>
                <w:i/>
                <w:iCs/>
              </w:rPr>
            </w:pPr>
            <w:r w:rsidRPr="00C928B2">
              <w:rPr>
                <w:b/>
                <w:bCs/>
                <w:i/>
                <w:iCs/>
              </w:rPr>
              <w:t>Total</w:t>
            </w:r>
            <w:r>
              <w:rPr>
                <w:b/>
                <w:bCs/>
                <w:i/>
                <w:iCs/>
              </w:rPr>
              <w:t xml:space="preserve"> </w:t>
            </w:r>
            <w:proofErr w:type="gramStart"/>
            <w:r w:rsidR="0088199D">
              <w:rPr>
                <w:b/>
                <w:bCs/>
                <w:i/>
                <w:iCs/>
              </w:rPr>
              <w:t xml:space="preserve">Administrative  </w:t>
            </w:r>
            <w:r>
              <w:rPr>
                <w:b/>
                <w:bCs/>
                <w:i/>
                <w:iCs/>
              </w:rPr>
              <w:t>Request</w:t>
            </w:r>
            <w:proofErr w:type="gramEnd"/>
          </w:p>
        </w:tc>
        <w:tc>
          <w:tcPr>
            <w:tcW w:w="2970" w:type="dxa"/>
          </w:tcPr>
          <w:p w:rsidR="00F052CC" w:rsidP="00AE5A24" w:rsidRDefault="00FD4907" w14:paraId="24E60AD4" w14:textId="4A50958D">
            <w:pPr>
              <w:ind w:firstLine="0"/>
              <w:jc w:val="right"/>
            </w:pPr>
            <w:r>
              <w:rPr>
                <w:b/>
                <w:bCs/>
              </w:rPr>
              <w:t>$133,581,933</w:t>
            </w:r>
          </w:p>
        </w:tc>
        <w:tc>
          <w:tcPr>
            <w:tcW w:w="2970" w:type="dxa"/>
          </w:tcPr>
          <w:p w:rsidR="00F052CC" w:rsidP="00AE5A24" w:rsidRDefault="00F052CC" w14:paraId="283A3EFC" w14:textId="435CEAF8">
            <w:pPr>
              <w:ind w:firstLine="0"/>
              <w:jc w:val="right"/>
            </w:pPr>
            <w:r w:rsidRPr="00492C72">
              <w:rPr>
                <w:b/>
                <w:bCs/>
              </w:rPr>
              <w:t>$</w:t>
            </w:r>
            <w:r w:rsidR="005A0EAE">
              <w:rPr>
                <w:b/>
                <w:bCs/>
              </w:rPr>
              <w:t>134,7</w:t>
            </w:r>
            <w:r w:rsidR="005B2E92">
              <w:rPr>
                <w:b/>
                <w:bCs/>
              </w:rPr>
              <w:t>99,672</w:t>
            </w:r>
          </w:p>
        </w:tc>
      </w:tr>
      <w:tr w:rsidR="00F052CC" w:rsidTr="00AE749C" w14:paraId="00C84B18" w14:textId="77777777">
        <w:tc>
          <w:tcPr>
            <w:tcW w:w="3595" w:type="dxa"/>
          </w:tcPr>
          <w:p w:rsidRPr="00C7008D" w:rsidR="00F052CC" w:rsidP="00AE749C" w:rsidRDefault="00F052CC" w14:paraId="52F7D08E" w14:textId="77777777">
            <w:pPr>
              <w:ind w:firstLine="0"/>
              <w:jc w:val="both"/>
              <w:rPr>
                <w:i/>
                <w:iCs/>
              </w:rPr>
            </w:pPr>
            <w:r w:rsidRPr="00C7008D">
              <w:rPr>
                <w:i/>
                <w:iCs/>
              </w:rPr>
              <w:t>CARE Discount</w:t>
            </w:r>
          </w:p>
        </w:tc>
        <w:tc>
          <w:tcPr>
            <w:tcW w:w="2970" w:type="dxa"/>
          </w:tcPr>
          <w:p w:rsidRPr="00C7008D" w:rsidR="00F052CC" w:rsidP="00AE5A24" w:rsidRDefault="00F052CC" w14:paraId="0808C2D0" w14:textId="420339ED">
            <w:pPr>
              <w:ind w:firstLine="0"/>
              <w:jc w:val="right"/>
            </w:pPr>
            <w:r w:rsidRPr="00C7008D">
              <w:t>$</w:t>
            </w:r>
            <w:r w:rsidRPr="00D03305" w:rsidR="00D03305">
              <w:t>144,495,405</w:t>
            </w:r>
          </w:p>
        </w:tc>
        <w:tc>
          <w:tcPr>
            <w:tcW w:w="2970" w:type="dxa"/>
          </w:tcPr>
          <w:p w:rsidRPr="00C7008D" w:rsidR="00F052CC" w:rsidP="00AE5A24" w:rsidRDefault="00F052CC" w14:paraId="53265644" w14:textId="2A1FFA2B">
            <w:pPr>
              <w:ind w:firstLine="0"/>
              <w:jc w:val="right"/>
            </w:pPr>
            <w:r w:rsidRPr="00C7008D">
              <w:t>$</w:t>
            </w:r>
            <w:r w:rsidR="00D03305">
              <w:t xml:space="preserve"> </w:t>
            </w:r>
            <w:r w:rsidRPr="00D03305" w:rsidR="00D03305">
              <w:t>221,138,371</w:t>
            </w:r>
          </w:p>
        </w:tc>
      </w:tr>
    </w:tbl>
    <w:p w:rsidRPr="006A4576" w:rsidR="00F052CC" w:rsidP="006A4576" w:rsidRDefault="00F052CC" w14:paraId="7503902B" w14:textId="77777777">
      <w:pPr>
        <w:pStyle w:val="Standard"/>
      </w:pPr>
    </w:p>
    <w:p w:rsidR="00F931EA" w:rsidP="00FE2D37" w:rsidRDefault="00F931EA" w14:paraId="16677632" w14:textId="3A327A03">
      <w:pPr>
        <w:pStyle w:val="Heading1"/>
      </w:pPr>
      <w:bookmarkStart w:name="_Toc230872054" w:id="19"/>
      <w:r>
        <w:t>CARE</w:t>
      </w:r>
      <w:bookmarkEnd w:id="19"/>
    </w:p>
    <w:p w:rsidR="004F7073" w:rsidP="004F7073" w:rsidRDefault="004F7073" w14:paraId="5DFEC9AC" w14:textId="0C5D584D">
      <w:pPr>
        <w:pStyle w:val="Standard"/>
      </w:pPr>
      <w:r w:rsidRPr="004F7073">
        <w:t>The CARE program is a</w:t>
      </w:r>
      <w:r w:rsidR="00A110B9">
        <w:t xml:space="preserve">n </w:t>
      </w:r>
      <w:r w:rsidRPr="004F7073">
        <w:t>energy rate assistance program established in 1989 to provide a discount on energy rates to households with incomes at or below 200 percent of the federal poverty guideline (FPG).</w:t>
      </w:r>
      <w:r w:rsidR="00965BE1">
        <w:rPr>
          <w:rStyle w:val="FootnoteReference"/>
        </w:rPr>
        <w:footnoteReference w:id="11"/>
      </w:r>
      <w:r w:rsidRPr="004F7073">
        <w:t xml:space="preserve"> The program is authorized by Pub. Util. Code Section 739.1, which provides that:</w:t>
      </w:r>
    </w:p>
    <w:p w:rsidR="00F34C4D" w:rsidP="00FE2D37" w:rsidRDefault="00F34C4D" w14:paraId="06023423" w14:textId="6A4FA88A">
      <w:pPr>
        <w:pStyle w:val="BlockQuote"/>
      </w:pPr>
      <w:r w:rsidRPr="00F34C4D">
        <w:t>[T]he commission shall ensure that the level of discount for low-income electric and gas customers correctly reflects the level of need…</w:t>
      </w:r>
      <w:r w:rsidR="00104AAD">
        <w:t xml:space="preserve"> </w:t>
      </w:r>
      <w:r w:rsidRPr="00F34C4D">
        <w:t xml:space="preserve">subject to both of the following: (1) </w:t>
      </w:r>
      <w:r w:rsidR="00E76D40">
        <w:t>T</w:t>
      </w:r>
      <w:r w:rsidRPr="00F34C4D">
        <w:t>hat the commission ensure that low-income ratepayers are not jeopardized or overburdened by monthly energy expenditures, pursuant to subdivision (b) of Section 382</w:t>
      </w:r>
      <w:r w:rsidR="005C4D56">
        <w:t>.</w:t>
      </w:r>
      <w:r w:rsidRPr="00F34C4D">
        <w:t xml:space="preserve"> (2) That the level of the discount for </w:t>
      </w:r>
      <w:r w:rsidRPr="00F34C4D">
        <w:lastRenderedPageBreak/>
        <w:t>low-income electricity and gas ratepayers correctly reflects the level of need as determined by the needs assessment conducted pursuant to subdivision (d) of Section 382</w:t>
      </w:r>
      <w:r w:rsidR="005C4D56">
        <w:t>. …</w:t>
      </w:r>
      <w:r w:rsidRPr="00F34C4D">
        <w:t xml:space="preserve"> The entire </w:t>
      </w:r>
      <w:r w:rsidR="005C4D56">
        <w:t xml:space="preserve">CARE program </w:t>
      </w:r>
      <w:r w:rsidRPr="00F34C4D">
        <w:t xml:space="preserve">discount shall be provided in the form of a reduction in the overall bill for the eligible CARE </w:t>
      </w:r>
      <w:r w:rsidR="00104AAD">
        <w:t xml:space="preserve">program </w:t>
      </w:r>
      <w:r w:rsidRPr="00F34C4D">
        <w:t>customer.</w:t>
      </w:r>
      <w:r>
        <w:rPr>
          <w:rStyle w:val="FootnoteReference"/>
        </w:rPr>
        <w:footnoteReference w:id="12"/>
      </w:r>
    </w:p>
    <w:p w:rsidRPr="004F7073" w:rsidR="000D040A" w:rsidP="000D040A" w:rsidRDefault="000D040A" w14:paraId="36400625" w14:textId="118CA328">
      <w:pPr>
        <w:pStyle w:val="Standard"/>
      </w:pPr>
      <w:r w:rsidRPr="000D040A">
        <w:t xml:space="preserve">The CARE program provides a 20 percent discount on natural gas charges and a 30 to 35 percent discount on electric rates to households with an annual income no greater than 200 percent of FPG. </w:t>
      </w:r>
      <w:r w:rsidR="007459AE">
        <w:t>Participants may self-certify eligibility on the application by either attesting to an eligible categorical program with similar income limits, such as CalFresh (food stamps) or Medi-Cal for Families, or by attesting to household income eligibility</w:t>
      </w:r>
      <w:r w:rsidRPr="000D040A">
        <w:t>.</w:t>
      </w:r>
      <w:r>
        <w:rPr>
          <w:rStyle w:val="FootnoteReference"/>
        </w:rPr>
        <w:footnoteReference w:id="13"/>
      </w:r>
      <w:r w:rsidRPr="000D040A">
        <w:t xml:space="preserve"> To protect the integrity of the self-certification option, the IOUs use post</w:t>
      </w:r>
      <w:r w:rsidR="007459AE">
        <w:t>-</w:t>
      </w:r>
      <w:r w:rsidRPr="000D040A">
        <w:t xml:space="preserve">enrollment verification or PEV, </w:t>
      </w:r>
      <w:r w:rsidR="00E00605">
        <w:t>which</w:t>
      </w:r>
      <w:r w:rsidRPr="000D040A" w:rsidR="00E00605">
        <w:t xml:space="preserve"> </w:t>
      </w:r>
      <w:r w:rsidRPr="000D040A">
        <w:t>balances the desire for the maximum number of eligible customers to participate with the need to verify participant eligibility. Eligible customers consist of those living in residential single-family households, tenants of sub</w:t>
      </w:r>
      <w:r>
        <w:t>-</w:t>
      </w:r>
      <w:r w:rsidRPr="000D040A">
        <w:t xml:space="preserve"> metered residential facilities, non-profit group living facilities, agricultural employee housing facilities, and migrant farm worker housing centers.</w:t>
      </w:r>
      <w:r>
        <w:rPr>
          <w:rStyle w:val="FootnoteReference"/>
        </w:rPr>
        <w:footnoteReference w:id="14"/>
      </w:r>
      <w:r w:rsidRPr="000D040A">
        <w:t xml:space="preserve"> The CARE program is funded by non-participating ratepayers as part of a statutory public purpose program</w:t>
      </w:r>
      <w:r w:rsidR="0013106E">
        <w:t xml:space="preserve"> (PPP)</w:t>
      </w:r>
      <w:r w:rsidRPr="000D040A">
        <w:t xml:space="preserve"> surcharge that appears on their monthly utility bills.</w:t>
      </w:r>
      <w:r>
        <w:rPr>
          <w:rStyle w:val="FootnoteReference"/>
        </w:rPr>
        <w:footnoteReference w:id="15"/>
      </w:r>
    </w:p>
    <w:p w:rsidR="007156B9" w:rsidP="00FE2D37" w:rsidRDefault="00D217C0" w14:paraId="3D6E5CF8" w14:textId="67A4BFE6">
      <w:pPr>
        <w:pStyle w:val="Heading2"/>
      </w:pPr>
      <w:bookmarkStart w:name="_Toc230872055" w:id="20"/>
      <w:r>
        <w:lastRenderedPageBreak/>
        <w:t>PG&amp;E</w:t>
      </w:r>
      <w:r w:rsidR="00494B7C">
        <w:t>’S</w:t>
      </w:r>
      <w:r>
        <w:t xml:space="preserve"> CARE </w:t>
      </w:r>
      <w:r w:rsidR="00311853">
        <w:t>Program</w:t>
      </w:r>
      <w:bookmarkEnd w:id="20"/>
    </w:p>
    <w:p w:rsidR="008817D4" w:rsidP="000E270A" w:rsidRDefault="008817D4" w14:paraId="01C7EB67" w14:textId="791DE88C">
      <w:pPr>
        <w:pStyle w:val="Standard"/>
      </w:pPr>
      <w:r>
        <w:t xml:space="preserve">PG&amp;E proposes to maintain </w:t>
      </w:r>
      <w:r w:rsidR="00494B7C">
        <w:t xml:space="preserve">the </w:t>
      </w:r>
      <w:r w:rsidR="00D62D6D">
        <w:t xml:space="preserve">93 percent CARE enrollment goal for </w:t>
      </w:r>
      <w:proofErr w:type="gramStart"/>
      <w:r w:rsidR="00D62D6D">
        <w:t>2027,</w:t>
      </w:r>
      <w:proofErr w:type="gramEnd"/>
      <w:r w:rsidR="00D62D6D">
        <w:t xml:space="preserve"> the same rate approved </w:t>
      </w:r>
      <w:r w:rsidR="00E706E7">
        <w:t>in D.21-06-015.</w:t>
      </w:r>
      <w:r w:rsidR="00E706E7">
        <w:rPr>
          <w:rStyle w:val="FootnoteReference"/>
        </w:rPr>
        <w:footnoteReference w:id="16"/>
      </w:r>
      <w:r w:rsidR="00634DE2">
        <w:t xml:space="preserve">  </w:t>
      </w:r>
      <w:r w:rsidR="00E706E7">
        <w:t xml:space="preserve">PG&amp;E has exceeded the 93 percent level </w:t>
      </w:r>
      <w:r w:rsidR="00865A1A">
        <w:t>every year</w:t>
      </w:r>
      <w:r w:rsidR="00160F56">
        <w:t xml:space="preserve"> from 2021</w:t>
      </w:r>
      <w:r w:rsidR="009A4F1D">
        <w:t>–202</w:t>
      </w:r>
      <w:r w:rsidR="00160F56">
        <w:t>4</w:t>
      </w:r>
      <w:r w:rsidR="00865A1A">
        <w:t xml:space="preserve">.  PG&amp;E does not propose any </w:t>
      </w:r>
      <w:proofErr w:type="gramStart"/>
      <w:r w:rsidR="00851EFA">
        <w:t>program operation</w:t>
      </w:r>
      <w:proofErr w:type="gramEnd"/>
      <w:r w:rsidR="007E097E">
        <w:t xml:space="preserve"> or delivery</w:t>
      </w:r>
      <w:r w:rsidR="00702BF0">
        <w:t xml:space="preserve"> changes in its application.</w:t>
      </w:r>
      <w:r w:rsidR="00851EFA">
        <w:rPr>
          <w:rStyle w:val="FootnoteReference"/>
        </w:rPr>
        <w:footnoteReference w:id="17"/>
      </w:r>
    </w:p>
    <w:p w:rsidRPr="007E097E" w:rsidR="00935C81" w:rsidP="00A82693" w:rsidRDefault="007E097E" w14:paraId="7D0549CA" w14:textId="58CCCF33">
      <w:pPr>
        <w:pStyle w:val="Standard"/>
      </w:pPr>
      <w:bookmarkStart w:name="_Toc8123721" w:id="21"/>
      <w:r>
        <w:t xml:space="preserve">PG&amp;E’s CARE activities include </w:t>
      </w:r>
      <w:r w:rsidR="00C715EA">
        <w:t xml:space="preserve">customer enrollment, verification, </w:t>
      </w:r>
      <w:r w:rsidR="0013106E">
        <w:t>and PEV activities</w:t>
      </w:r>
      <w:r w:rsidR="008B6667">
        <w:t>.</w:t>
      </w:r>
      <w:r w:rsidR="00575453">
        <w:t xml:space="preserve">  </w:t>
      </w:r>
      <w:r w:rsidR="00495FAB">
        <w:t xml:space="preserve">PG&amp;E plans to continue its </w:t>
      </w:r>
      <w:r w:rsidR="0022750C">
        <w:t xml:space="preserve">PEV activities, with a focus on text reminders, system improvements, and calls to people who </w:t>
      </w:r>
      <w:r w:rsidR="00AE5FE3">
        <w:t>submitted incomplete PEV documents.</w:t>
      </w:r>
      <w:r w:rsidR="00A82693">
        <w:t xml:space="preserve">  </w:t>
      </w:r>
      <w:r w:rsidR="00350E78">
        <w:t xml:space="preserve">PG&amp;E’s </w:t>
      </w:r>
      <w:r w:rsidR="00752C61">
        <w:t>marketing</w:t>
      </w:r>
      <w:r w:rsidR="00350E78">
        <w:t xml:space="preserve">, </w:t>
      </w:r>
      <w:r w:rsidR="00752C61">
        <w:t>education</w:t>
      </w:r>
      <w:r w:rsidR="00350E78">
        <w:t xml:space="preserve">, and outreach (ME&amp;O) </w:t>
      </w:r>
      <w:r w:rsidR="001C7422">
        <w:t xml:space="preserve">activities </w:t>
      </w:r>
      <w:r w:rsidR="00752C61">
        <w:t>include customer enrollment and retention ac</w:t>
      </w:r>
      <w:r w:rsidR="00B03681">
        <w:t>tivities</w:t>
      </w:r>
      <w:r w:rsidR="000F1E2F">
        <w:t>, community engagement, online marketing, and social media.</w:t>
      </w:r>
      <w:r w:rsidR="00F2140F">
        <w:t xml:space="preserve">  PG&amp;E’s activities have and will continue to focus on hard-to-reach customers, by using targeted customer lists.</w:t>
      </w:r>
      <w:r w:rsidR="00E156B7">
        <w:rPr>
          <w:rStyle w:val="FootnoteReference"/>
        </w:rPr>
        <w:footnoteReference w:id="18"/>
      </w:r>
      <w:r w:rsidR="00E156B7">
        <w:t xml:space="preserve">  PG&amp;E also plans to </w:t>
      </w:r>
      <w:r w:rsidR="00B323A5">
        <w:t>utilize</w:t>
      </w:r>
      <w:r w:rsidR="00E156B7">
        <w:t xml:space="preserve"> multi-channel direct marketing and paid advertising.</w:t>
      </w:r>
      <w:r w:rsidR="00F7226E">
        <w:t xml:space="preserve">  PG&amp;E does not seek recovery of any </w:t>
      </w:r>
      <w:r w:rsidR="0013106E">
        <w:t xml:space="preserve">budget for implementation of the </w:t>
      </w:r>
      <w:r w:rsidR="00F7226E">
        <w:t>CARE Base Services Charge</w:t>
      </w:r>
      <w:r w:rsidR="0013106E">
        <w:t xml:space="preserve"> in this application</w:t>
      </w:r>
      <w:r w:rsidR="00F7226E">
        <w:t>.</w:t>
      </w:r>
    </w:p>
    <w:p w:rsidR="00190358" w:rsidP="00190358" w:rsidRDefault="00266D2E" w14:paraId="1635D21B" w14:textId="7B5F5600">
      <w:pPr>
        <w:pStyle w:val="Standard"/>
      </w:pPr>
      <w:r>
        <w:t>PG&amp;E proposes a budget of $10,295,100 for 2027 CARE administrative activities, a decrease from the $14,787,</w:t>
      </w:r>
      <w:r w:rsidR="00995914">
        <w:t>7</w:t>
      </w:r>
      <w:r>
        <w:t>00 budget in 2026.  The decrease</w:t>
      </w:r>
      <w:r w:rsidR="00714D30">
        <w:t>d</w:t>
      </w:r>
      <w:r w:rsidR="00E13442">
        <w:t xml:space="preserve"> </w:t>
      </w:r>
      <w:r w:rsidR="00714D30">
        <w:t>budget is attributable to reductions in outreach</w:t>
      </w:r>
      <w:r w:rsidR="0009620F">
        <w:t xml:space="preserve"> ($4.4 million)</w:t>
      </w:r>
      <w:r w:rsidR="00714D30">
        <w:t>, study and pilots</w:t>
      </w:r>
      <w:r w:rsidR="0009620F">
        <w:t xml:space="preserve"> (</w:t>
      </w:r>
      <w:r w:rsidR="003E4302">
        <w:t>$37,500)</w:t>
      </w:r>
      <w:r w:rsidR="00714D30">
        <w:t xml:space="preserve">, </w:t>
      </w:r>
      <w:r w:rsidR="003356EA">
        <w:t>and general administrative</w:t>
      </w:r>
      <w:r w:rsidR="003E4302">
        <w:t xml:space="preserve"> ($500,000)</w:t>
      </w:r>
      <w:r w:rsidR="003356EA">
        <w:t xml:space="preserve"> budgets, with a slight counteracting increase due to </w:t>
      </w:r>
      <w:r w:rsidR="003F3B86">
        <w:t xml:space="preserve">application of a </w:t>
      </w:r>
      <w:r w:rsidR="002E0E19">
        <w:t>three</w:t>
      </w:r>
      <w:r w:rsidR="003F3B86">
        <w:t xml:space="preserve"> percent </w:t>
      </w:r>
      <w:r w:rsidR="003356EA">
        <w:t>escalation</w:t>
      </w:r>
      <w:r w:rsidR="003F3B86">
        <w:t xml:space="preserve"> for labor and non-labor costs</w:t>
      </w:r>
      <w:r w:rsidR="003E4302">
        <w:t xml:space="preserve"> ($420,000)</w:t>
      </w:r>
      <w:r w:rsidR="003356EA">
        <w:t>.</w:t>
      </w:r>
      <w:r w:rsidR="003356EA">
        <w:rPr>
          <w:rStyle w:val="FootnoteReference"/>
        </w:rPr>
        <w:footnoteReference w:id="19"/>
      </w:r>
      <w:r w:rsidR="003356EA">
        <w:t xml:space="preserve">  </w:t>
      </w:r>
      <w:r w:rsidR="003E4302">
        <w:t xml:space="preserve">PG&amp;E proposes the large decrease in </w:t>
      </w:r>
      <w:r w:rsidR="002D4F37">
        <w:t xml:space="preserve">the </w:t>
      </w:r>
      <w:r w:rsidR="003E4302">
        <w:t xml:space="preserve">outreach budget as it </w:t>
      </w:r>
      <w:r w:rsidR="003E4302">
        <w:lastRenderedPageBreak/>
        <w:t xml:space="preserve">has consistently met its </w:t>
      </w:r>
      <w:r w:rsidR="006D6FD5">
        <w:t>enrollment targets without fully utilizing its outreach budget.</w:t>
      </w:r>
      <w:r w:rsidR="006D6FD5">
        <w:rPr>
          <w:rStyle w:val="FootnoteReference"/>
        </w:rPr>
        <w:footnoteReference w:id="20"/>
      </w:r>
    </w:p>
    <w:p w:rsidRPr="00865A1A" w:rsidR="00B05A71" w:rsidP="00190358" w:rsidRDefault="002D4F37" w14:paraId="58F0C17E" w14:textId="561EDE7E">
      <w:pPr>
        <w:pStyle w:val="Standard"/>
      </w:pPr>
      <w:r>
        <w:t xml:space="preserve">PG&amp;E projects $1.5 billion in </w:t>
      </w:r>
      <w:r w:rsidR="00B05A71">
        <w:t xml:space="preserve">CARE </w:t>
      </w:r>
      <w:r w:rsidR="005E1385">
        <w:t xml:space="preserve">subsidy </w:t>
      </w:r>
      <w:r w:rsidR="00B90C35">
        <w:t xml:space="preserve">spending </w:t>
      </w:r>
      <w:r w:rsidR="005E1385">
        <w:t>for 2027.  PG&amp;E currently forecasts $1</w:t>
      </w:r>
      <w:r w:rsidR="004D5BAA">
        <w:t>.</w:t>
      </w:r>
      <w:r w:rsidR="005E1385">
        <w:t xml:space="preserve">447 billion </w:t>
      </w:r>
      <w:r w:rsidR="00E937A9">
        <w:t xml:space="preserve">in </w:t>
      </w:r>
      <w:r w:rsidR="004D5BAA">
        <w:t>CARE subsidy spending for 2026</w:t>
      </w:r>
      <w:r w:rsidR="00482246">
        <w:t>.</w:t>
      </w:r>
    </w:p>
    <w:p w:rsidR="008D22B4" w:rsidP="00FE2D37" w:rsidRDefault="008D22B4" w14:paraId="34A73BA5" w14:textId="7064C5EF">
      <w:pPr>
        <w:pStyle w:val="Heading2"/>
      </w:pPr>
      <w:bookmarkStart w:name="_Toc230872056" w:id="22"/>
      <w:r>
        <w:t>SDG&amp;E</w:t>
      </w:r>
      <w:r w:rsidR="00DF11D9">
        <w:t>’S</w:t>
      </w:r>
      <w:r>
        <w:t xml:space="preserve"> CARE Program</w:t>
      </w:r>
      <w:bookmarkEnd w:id="22"/>
    </w:p>
    <w:p w:rsidRPr="005338AA" w:rsidR="005338AA" w:rsidP="005338AA" w:rsidRDefault="005338AA" w14:paraId="3FA361E1" w14:textId="6B42BA41">
      <w:pPr>
        <w:pStyle w:val="Standard"/>
      </w:pPr>
      <w:r>
        <w:t xml:space="preserve">SDG&amp;E proposes </w:t>
      </w:r>
      <w:proofErr w:type="gramStart"/>
      <w:r>
        <w:t>to maintain</w:t>
      </w:r>
      <w:proofErr w:type="gramEnd"/>
      <w:r w:rsidR="003C4602">
        <w:t xml:space="preserve"> its</w:t>
      </w:r>
      <w:r w:rsidR="00D74174">
        <w:t xml:space="preserve"> </w:t>
      </w:r>
      <w:r w:rsidR="00806440">
        <w:t xml:space="preserve">90 percent enrollment </w:t>
      </w:r>
      <w:r w:rsidR="00995914">
        <w:t>goal</w:t>
      </w:r>
      <w:r w:rsidR="003C4602">
        <w:t xml:space="preserve"> </w:t>
      </w:r>
      <w:r w:rsidR="00806440">
        <w:t>and</w:t>
      </w:r>
      <w:r w:rsidR="003C4602">
        <w:t xml:space="preserve"> a</w:t>
      </w:r>
      <w:r w:rsidR="00806440">
        <w:t xml:space="preserve"> post enrollment verification rate</w:t>
      </w:r>
      <w:r w:rsidR="00FC28C7">
        <w:t xml:space="preserve"> of</w:t>
      </w:r>
      <w:r w:rsidR="00576930">
        <w:t xml:space="preserve"> up to</w:t>
      </w:r>
      <w:r w:rsidR="00FC28C7">
        <w:t xml:space="preserve"> </w:t>
      </w:r>
      <w:r w:rsidR="002E0E19">
        <w:t>six</w:t>
      </w:r>
      <w:r w:rsidR="00FC28C7">
        <w:t xml:space="preserve"> percent </w:t>
      </w:r>
      <w:r w:rsidR="00143A0F">
        <w:t xml:space="preserve">in </w:t>
      </w:r>
      <w:r w:rsidR="00FC28C7">
        <w:t>2027.</w:t>
      </w:r>
      <w:r w:rsidR="00DB0DCA">
        <w:rPr>
          <w:rStyle w:val="FootnoteReference"/>
        </w:rPr>
        <w:footnoteReference w:id="21"/>
      </w:r>
      <w:r w:rsidR="00FC28C7">
        <w:t xml:space="preserve">  SDG&amp;E proposes the same CARE administration budget of $7.4 million</w:t>
      </w:r>
      <w:r w:rsidR="00B934ED">
        <w:t>, with</w:t>
      </w:r>
      <w:r w:rsidR="003F0074">
        <w:t xml:space="preserve"> no changes to </w:t>
      </w:r>
      <w:proofErr w:type="gramStart"/>
      <w:r w:rsidR="003F0074">
        <w:t>program delivery</w:t>
      </w:r>
      <w:proofErr w:type="gramEnd"/>
      <w:r w:rsidR="003F0074">
        <w:t>.</w:t>
      </w:r>
      <w:r w:rsidR="00091F83">
        <w:t xml:space="preserve">  </w:t>
      </w:r>
      <w:r w:rsidRPr="00091F83" w:rsidR="00091F83">
        <w:t>SDG&amp;E projects a CARE subsidy budget of $218,878,622.</w:t>
      </w:r>
    </w:p>
    <w:p w:rsidR="00190358" w:rsidP="00FE2D37" w:rsidRDefault="00556944" w14:paraId="7D268EE9" w14:textId="65F04FBB">
      <w:pPr>
        <w:pStyle w:val="Heading2"/>
      </w:pPr>
      <w:bookmarkStart w:name="_Toc230872057" w:id="23"/>
      <w:r>
        <w:t>SCE</w:t>
      </w:r>
      <w:r w:rsidR="00BA116C">
        <w:t>’S</w:t>
      </w:r>
      <w:r>
        <w:t xml:space="preserve"> CARE Program</w:t>
      </w:r>
      <w:bookmarkEnd w:id="23"/>
    </w:p>
    <w:p w:rsidRPr="00F66C18" w:rsidR="00F66C18" w:rsidP="00FF46BA" w:rsidRDefault="00CA6506" w14:paraId="37D9C684" w14:textId="181C4FF0">
      <w:pPr>
        <w:pStyle w:val="Standard"/>
      </w:pPr>
      <w:r>
        <w:t xml:space="preserve">SCE proposes a budget of </w:t>
      </w:r>
      <w:r w:rsidR="00B05C05">
        <w:t>$9.5 million for 2027 CARE administrative costs, a $200,000 increase over 2026 to account for labor and non-labor expenses.</w:t>
      </w:r>
      <w:r w:rsidR="00B05C05">
        <w:rPr>
          <w:rStyle w:val="FootnoteReference"/>
        </w:rPr>
        <w:footnoteReference w:id="22"/>
      </w:r>
      <w:r w:rsidR="00B05C05">
        <w:t xml:space="preserve">  </w:t>
      </w:r>
      <w:r w:rsidR="00F66C18">
        <w:t>SCE proposes to continue its 92 percent CARE enrollment goal, which it met for 2025 and expects to meet for 2026.</w:t>
      </w:r>
      <w:r w:rsidR="00F66C18">
        <w:rPr>
          <w:rStyle w:val="FootnoteReference"/>
        </w:rPr>
        <w:footnoteReference w:id="23"/>
      </w:r>
      <w:r w:rsidR="00DA3E6B">
        <w:t xml:space="preserve">  SCE does not propose budget increases to </w:t>
      </w:r>
      <w:r w:rsidR="004A16DB">
        <w:t>support</w:t>
      </w:r>
      <w:r w:rsidR="00DA3E6B">
        <w:t xml:space="preserve"> the </w:t>
      </w:r>
      <w:r w:rsidR="004A16DB">
        <w:t>Base Services</w:t>
      </w:r>
      <w:r w:rsidR="00DA3E6B">
        <w:t xml:space="preserve"> </w:t>
      </w:r>
      <w:r w:rsidR="004A16DB">
        <w:t>C</w:t>
      </w:r>
      <w:r w:rsidR="00DA3E6B">
        <w:t xml:space="preserve">harge or </w:t>
      </w:r>
      <w:proofErr w:type="spellStart"/>
      <w:r w:rsidR="00DA3E6B">
        <w:t>Homekey</w:t>
      </w:r>
      <w:proofErr w:type="spellEnd"/>
      <w:r w:rsidR="00DA3E6B">
        <w:t xml:space="preserve"> program in 2027.</w:t>
      </w:r>
      <w:r w:rsidR="00AA4651">
        <w:t xml:space="preserve">  SCE projects a CARE subsidy budget of </w:t>
      </w:r>
      <w:r w:rsidRPr="00AA4651" w:rsidR="00AA4651">
        <w:t>$1,018,548,247</w:t>
      </w:r>
      <w:r w:rsidR="00AA4651">
        <w:t>.</w:t>
      </w:r>
    </w:p>
    <w:p w:rsidR="00FD4907" w:rsidP="00961DC9" w:rsidRDefault="00FD4907" w14:paraId="028AF386" w14:textId="0172B94A">
      <w:pPr>
        <w:pStyle w:val="Heading2"/>
      </w:pPr>
      <w:bookmarkStart w:name="_Toc230872058" w:id="24"/>
      <w:r>
        <w:t>SoCalGas</w:t>
      </w:r>
      <w:r w:rsidR="00BA116C">
        <w:t>’</w:t>
      </w:r>
      <w:r>
        <w:t xml:space="preserve"> CARE Program</w:t>
      </w:r>
      <w:bookmarkEnd w:id="24"/>
    </w:p>
    <w:p w:rsidR="00FD4907" w:rsidP="00FD4907" w:rsidRDefault="00FF46BA" w14:paraId="3D8DF06A" w14:textId="50CEAB04">
      <w:pPr>
        <w:pStyle w:val="Standard"/>
      </w:pPr>
      <w:r>
        <w:t>SoCalGas does not propose any changes to the CARE eligibility guidelines, goals, budg</w:t>
      </w:r>
      <w:r w:rsidR="00040203">
        <w:t>et, and strategies approved through 2026.  SoCalGas currently exceeds its 9</w:t>
      </w:r>
      <w:r w:rsidR="003D61B9">
        <w:t>5</w:t>
      </w:r>
      <w:r w:rsidR="00040203">
        <w:t xml:space="preserve"> percent CARE enrollment goal</w:t>
      </w:r>
      <w:r w:rsidR="00C61C28">
        <w:t xml:space="preserve">.  SoCalGas proposes the same </w:t>
      </w:r>
      <w:r w:rsidR="00F629FE">
        <w:t xml:space="preserve">administrative </w:t>
      </w:r>
      <w:r w:rsidR="00C61C28">
        <w:t>budget escalated for labor</w:t>
      </w:r>
      <w:r w:rsidR="00375C30">
        <w:t xml:space="preserve"> by 3 percent, to $11,2</w:t>
      </w:r>
      <w:r w:rsidR="00373650">
        <w:t>61</w:t>
      </w:r>
      <w:r w:rsidR="00375C30">
        <w:t>,</w:t>
      </w:r>
      <w:r w:rsidR="00373650">
        <w:t>464</w:t>
      </w:r>
      <w:r w:rsidR="00375C30">
        <w:t>.</w:t>
      </w:r>
      <w:r w:rsidR="00D27DDC">
        <w:t xml:space="preserve">  SoCalGas </w:t>
      </w:r>
      <w:r w:rsidR="00D27DDC">
        <w:lastRenderedPageBreak/>
        <w:t>proposes a subsidy budget of $221.1 million.</w:t>
      </w:r>
      <w:r w:rsidR="00D27DDC">
        <w:rPr>
          <w:rStyle w:val="FootnoteReference"/>
        </w:rPr>
        <w:footnoteReference w:id="24"/>
      </w:r>
      <w:r w:rsidR="009908D6">
        <w:t xml:space="preserve">  SoCalGas expects enrollment to drop due to PEV activities.</w:t>
      </w:r>
    </w:p>
    <w:p w:rsidRPr="00FD4907" w:rsidR="001D51ED" w:rsidP="001D51ED" w:rsidRDefault="00C66043" w14:paraId="3CDD4F58" w14:textId="3D466CBB">
      <w:pPr>
        <w:pStyle w:val="Standard"/>
      </w:pPr>
      <w:r>
        <w:t xml:space="preserve">SoCalGas plans to continue its </w:t>
      </w:r>
      <w:r w:rsidR="00C2109A">
        <w:t xml:space="preserve">CARE </w:t>
      </w:r>
      <w:r w:rsidR="009778DB">
        <w:t>enrollment and certification activities</w:t>
      </w:r>
      <w:r w:rsidR="00082CC6">
        <w:t>, including post-enrollment verification through mail, fax, and third-party organizations.</w:t>
      </w:r>
      <w:r w:rsidR="00EE109B">
        <w:t xml:space="preserve">  SoCalGas will continue to provide live CARE representatives for customers to contact.</w:t>
      </w:r>
      <w:r w:rsidR="001D46F6">
        <w:t xml:space="preserve">  SoCalGas will also continue its ME&amp;O efforts, including targeted efforts in disadvantaged communities and rural and tribal areas.</w:t>
      </w:r>
    </w:p>
    <w:p w:rsidR="001D51ED" w:rsidP="001D51ED" w:rsidRDefault="001D51ED" w14:paraId="6DC8517B" w14:textId="362D17A8">
      <w:pPr>
        <w:pStyle w:val="Heading2"/>
      </w:pPr>
      <w:bookmarkStart w:name="_Toc230872059" w:id="25"/>
      <w:r>
        <w:t>Party Comments</w:t>
      </w:r>
      <w:r w:rsidR="00B5340F">
        <w:t xml:space="preserve"> and Discussion</w:t>
      </w:r>
      <w:bookmarkEnd w:id="25"/>
    </w:p>
    <w:p w:rsidR="00F04C06" w:rsidP="00B90C35" w:rsidRDefault="00F04C06" w14:paraId="00E30F69" w14:textId="1ED3F354">
      <w:pPr>
        <w:pStyle w:val="Heading3"/>
      </w:pPr>
      <w:bookmarkStart w:name="_Toc230872060" w:id="26"/>
      <w:r>
        <w:t>CARE Activities</w:t>
      </w:r>
      <w:bookmarkEnd w:id="26"/>
    </w:p>
    <w:p w:rsidR="00F10CD3" w:rsidP="00310462" w:rsidRDefault="00F04C06" w14:paraId="6D85565B" w14:textId="5886379F">
      <w:pPr>
        <w:pStyle w:val="Standard"/>
      </w:pPr>
      <w:r>
        <w:t xml:space="preserve">No parties commented on the IOUs’ proposed CARE activities. We find </w:t>
      </w:r>
      <w:r w:rsidR="00F10CD3">
        <w:t>PG&amp;E</w:t>
      </w:r>
      <w:r w:rsidR="00BE531D">
        <w:t>’s</w:t>
      </w:r>
      <w:r w:rsidR="00F10CD3">
        <w:t>, SDG&amp;E</w:t>
      </w:r>
      <w:r w:rsidR="00BE531D">
        <w:t>’s</w:t>
      </w:r>
      <w:r w:rsidR="00F10CD3">
        <w:t>, SoCalGas</w:t>
      </w:r>
      <w:r w:rsidR="00BE531D">
        <w:t xml:space="preserve">’, </w:t>
      </w:r>
      <w:r w:rsidR="00F10CD3">
        <w:t>and SCE’s proposed CARE activities reasonable and approve</w:t>
      </w:r>
      <w:r>
        <w:t xml:space="preserve"> them here </w:t>
      </w:r>
      <w:r w:rsidR="00F10CD3">
        <w:t xml:space="preserve">as they mainly continue goals and activities authorized </w:t>
      </w:r>
      <w:proofErr w:type="gramStart"/>
      <w:r w:rsidR="00F10CD3">
        <w:t>in</w:t>
      </w:r>
      <w:proofErr w:type="gramEnd"/>
      <w:r w:rsidR="00F10CD3">
        <w:t xml:space="preserve"> D.21-06-015.</w:t>
      </w:r>
      <w:r w:rsidR="007144C9">
        <w:t xml:space="preserve">  </w:t>
      </w:r>
      <w:r w:rsidR="00826646">
        <w:t>Approval of the proposed CARE</w:t>
      </w:r>
      <w:r w:rsidR="007144C9">
        <w:t xml:space="preserve"> program goals and activities ensures program continuity during this 2027 </w:t>
      </w:r>
      <w:r w:rsidR="00826646">
        <w:t>B</w:t>
      </w:r>
      <w:r w:rsidR="007144C9">
        <w:t xml:space="preserve">ridge </w:t>
      </w:r>
      <w:r w:rsidR="00826646">
        <w:t>Y</w:t>
      </w:r>
      <w:r w:rsidR="007144C9">
        <w:t>ear.</w:t>
      </w:r>
      <w:r w:rsidR="00BE531D">
        <w:t xml:space="preserve">  </w:t>
      </w:r>
      <w:r w:rsidR="00F10CD3">
        <w:t xml:space="preserve">  </w:t>
      </w:r>
    </w:p>
    <w:p w:rsidR="00F04C06" w:rsidP="00A121F2" w:rsidRDefault="00F04C06" w14:paraId="6959398E" w14:textId="55CEAF71">
      <w:pPr>
        <w:pStyle w:val="Heading3"/>
      </w:pPr>
      <w:bookmarkStart w:name="_Toc230872061" w:id="27"/>
      <w:r>
        <w:t>CARE Budget</w:t>
      </w:r>
      <w:bookmarkEnd w:id="27"/>
    </w:p>
    <w:p w:rsidR="001D51ED" w:rsidP="00310462" w:rsidRDefault="001D51ED" w14:paraId="72D874FA" w14:textId="09AA4B74">
      <w:pPr>
        <w:pStyle w:val="Standard"/>
      </w:pPr>
      <w:r>
        <w:t xml:space="preserve">Cal Advocates states that </w:t>
      </w:r>
      <w:r w:rsidR="00CE718F">
        <w:t>the IOUs</w:t>
      </w:r>
      <w:r w:rsidR="00943F0C">
        <w:t>’</w:t>
      </w:r>
      <w:r>
        <w:t xml:space="preserve"> CARE admin</w:t>
      </w:r>
      <w:r w:rsidR="00207709">
        <w:t>istrative</w:t>
      </w:r>
      <w:r>
        <w:t xml:space="preserve"> budgets should only be approved </w:t>
      </w:r>
      <w:r w:rsidR="00460469">
        <w:t>based o</w:t>
      </w:r>
      <w:r w:rsidR="00182BEE">
        <w:t>n</w:t>
      </w:r>
      <w:r w:rsidR="00460469">
        <w:t xml:space="preserve"> </w:t>
      </w:r>
      <w:r>
        <w:t xml:space="preserve">program year 2024 </w:t>
      </w:r>
      <w:r w:rsidR="00CE718F">
        <w:t xml:space="preserve">actual spend </w:t>
      </w:r>
      <w:r>
        <w:t xml:space="preserve">amounts, due to </w:t>
      </w:r>
      <w:r w:rsidR="00383B80">
        <w:t xml:space="preserve">the IOUs’ </w:t>
      </w:r>
      <w:r>
        <w:t xml:space="preserve">inability </w:t>
      </w:r>
      <w:r w:rsidR="00383B80">
        <w:t xml:space="preserve">to </w:t>
      </w:r>
      <w:r w:rsidRPr="00BF3DC4" w:rsidR="00BF3DC4">
        <w:t>fully utilize authorized program budgets</w:t>
      </w:r>
      <w:r w:rsidR="00BF3DC4">
        <w:t xml:space="preserve"> </w:t>
      </w:r>
      <w:r>
        <w:t>from 2022</w:t>
      </w:r>
      <w:r w:rsidR="009A4F1D">
        <w:t>–202</w:t>
      </w:r>
      <w:r>
        <w:t>4.</w:t>
      </w:r>
      <w:r>
        <w:rPr>
          <w:rStyle w:val="FootnoteReference"/>
        </w:rPr>
        <w:footnoteReference w:id="25"/>
      </w:r>
      <w:r w:rsidR="00ED7A03">
        <w:t xml:space="preserve"> </w:t>
      </w:r>
      <w:r w:rsidR="000C5D09">
        <w:t xml:space="preserve">PG&amp;E, </w:t>
      </w:r>
      <w:r w:rsidR="00ED7A03">
        <w:t xml:space="preserve">SDG&amp;E, SoCalGas, and SCE </w:t>
      </w:r>
      <w:r w:rsidR="00366E61">
        <w:t xml:space="preserve">all failed to </w:t>
      </w:r>
      <w:r w:rsidR="000467E6">
        <w:t>spend their total authorized</w:t>
      </w:r>
      <w:r w:rsidR="00366E61">
        <w:t xml:space="preserve"> CARE </w:t>
      </w:r>
      <w:r w:rsidR="000467E6">
        <w:t>Administrative budget from 2022</w:t>
      </w:r>
      <w:r w:rsidR="009A4F1D">
        <w:t>–202</w:t>
      </w:r>
      <w:r w:rsidR="000467E6">
        <w:t>4</w:t>
      </w:r>
      <w:r w:rsidR="00D92D32">
        <w:t>, by more than ten percent each year</w:t>
      </w:r>
      <w:r w:rsidR="00AB1EEF">
        <w:t>.</w:t>
      </w:r>
      <w:r w:rsidR="00AB1EEF">
        <w:rPr>
          <w:rStyle w:val="FootnoteReference"/>
        </w:rPr>
        <w:footnoteReference w:id="26"/>
      </w:r>
      <w:r w:rsidR="005901FA">
        <w:t xml:space="preserve"> </w:t>
      </w:r>
      <w:r w:rsidR="00310462">
        <w:t xml:space="preserve"> The IOUs state that using only 2024 </w:t>
      </w:r>
      <w:r w:rsidR="00F74852">
        <w:t xml:space="preserve">spend totals would not account for </w:t>
      </w:r>
      <w:r w:rsidR="00F74852">
        <w:lastRenderedPageBreak/>
        <w:t xml:space="preserve">new funding needed to address new Information Technology (IT) costs, new applications and recertifications, program updates, and </w:t>
      </w:r>
      <w:r w:rsidR="00480760">
        <w:t>year-to</w:t>
      </w:r>
      <w:r w:rsidR="00C60681">
        <w:t>-</w:t>
      </w:r>
      <w:r w:rsidR="00480760">
        <w:t>year spend fluctuations.</w:t>
      </w:r>
      <w:r w:rsidR="00480760">
        <w:rPr>
          <w:rStyle w:val="FootnoteReference"/>
        </w:rPr>
        <w:footnoteReference w:id="27"/>
      </w:r>
    </w:p>
    <w:p w:rsidR="00F45732" w:rsidP="00310462" w:rsidRDefault="00B87B30" w14:paraId="6EF93C19" w14:textId="060ADD59">
      <w:pPr>
        <w:pStyle w:val="Standard"/>
      </w:pPr>
      <w:r>
        <w:t>Given that the IOUs consistently met or exceeded CARE program goals from 2022-2024 while underspending their authorized budgets, it is reasonable to utilize 2024 actual spend</w:t>
      </w:r>
      <w:r w:rsidR="00831647">
        <w:t xml:space="preserve">, plus application of </w:t>
      </w:r>
      <w:r w:rsidR="00CF5696">
        <w:t xml:space="preserve">three years of </w:t>
      </w:r>
      <w:r w:rsidR="00BA0A4D">
        <w:t>three</w:t>
      </w:r>
      <w:r w:rsidR="00CF5696">
        <w:t xml:space="preserve"> percent </w:t>
      </w:r>
      <w:r w:rsidR="00831647">
        <w:t>escalation</w:t>
      </w:r>
      <w:r w:rsidR="00B36AD8">
        <w:t xml:space="preserve"> (</w:t>
      </w:r>
      <w:r w:rsidR="007B4BDE">
        <w:t>an increase of 9.27</w:t>
      </w:r>
      <w:r w:rsidR="0002751C">
        <w:t xml:space="preserve"> percent</w:t>
      </w:r>
      <w:r w:rsidR="007B4BDE">
        <w:t>)</w:t>
      </w:r>
      <w:r w:rsidR="00831647">
        <w:t>,</w:t>
      </w:r>
      <w:r w:rsidR="00DA1AEA">
        <w:t xml:space="preserve"> to determine the 2027 budget</w:t>
      </w:r>
      <w:r w:rsidR="00F20095">
        <w:t>.</w:t>
      </w:r>
      <w:r w:rsidR="00C431E1">
        <w:t xml:space="preserve"> </w:t>
      </w:r>
      <w:r w:rsidR="00FD1DCE">
        <w:t xml:space="preserve"> </w:t>
      </w:r>
      <w:r w:rsidR="00C431E1">
        <w:t xml:space="preserve">These </w:t>
      </w:r>
      <w:r w:rsidR="00DA1AEA">
        <w:t>budgets</w:t>
      </w:r>
      <w:r w:rsidR="00C431E1">
        <w:t xml:space="preserve"> should provide a reasonable buffer</w:t>
      </w:r>
      <w:r w:rsidR="0005331A">
        <w:t xml:space="preserve"> by which the IOUs can absorb additional CARE admin</w:t>
      </w:r>
      <w:r w:rsidR="00DA1AEA">
        <w:t>istrative</w:t>
      </w:r>
      <w:r w:rsidR="0005331A">
        <w:t xml:space="preserve"> costs </w:t>
      </w:r>
      <w:proofErr w:type="gramStart"/>
      <w:r w:rsidR="0005331A">
        <w:t>since</w:t>
      </w:r>
      <w:proofErr w:type="gramEnd"/>
      <w:r w:rsidR="0005331A">
        <w:t xml:space="preserve"> 2024.</w:t>
      </w:r>
      <w:r w:rsidR="009B3C08">
        <w:t xml:space="preserve">  These </w:t>
      </w:r>
      <w:r w:rsidR="002D0D1F">
        <w:t xml:space="preserve">approved </w:t>
      </w:r>
      <w:r w:rsidR="009B3C08">
        <w:t>totals are</w:t>
      </w:r>
      <w:r w:rsidRPr="00F7779D" w:rsidR="00F7779D">
        <w:t xml:space="preserve"> </w:t>
      </w:r>
      <w:r w:rsidR="00F45732">
        <w:t>below:</w:t>
      </w:r>
    </w:p>
    <w:p w:rsidR="00107B87" w:rsidP="00107B87" w:rsidRDefault="00107B87" w14:paraId="205080D2" w14:textId="51B0EC94">
      <w:pPr>
        <w:pStyle w:val="Standard"/>
        <w:jc w:val="center"/>
      </w:pPr>
      <w:r w:rsidRPr="00C647B8">
        <w:rPr>
          <w:b/>
          <w:bCs/>
        </w:rPr>
        <w:t xml:space="preserve">Table </w:t>
      </w:r>
      <w:r w:rsidRPr="00C647B8" w:rsidR="00CF4EA7">
        <w:rPr>
          <w:b/>
          <w:bCs/>
        </w:rPr>
        <w:t>5</w:t>
      </w:r>
      <w:r w:rsidRPr="00C647B8">
        <w:rPr>
          <w:b/>
          <w:bCs/>
        </w:rPr>
        <w:t>: Authorized 2027 CARE Administrative Budgets</w:t>
      </w:r>
      <w:r w:rsidR="005A7460">
        <w:rPr>
          <w:rStyle w:val="FootnoteReference"/>
        </w:rPr>
        <w:footnoteReference w:id="28"/>
      </w:r>
    </w:p>
    <w:tbl>
      <w:tblPr>
        <w:tblStyle w:val="TableGrid"/>
        <w:tblW w:w="0" w:type="auto"/>
        <w:tblLook w:val="04A0" w:firstRow="1" w:lastRow="0" w:firstColumn="1" w:lastColumn="0" w:noHBand="0" w:noVBand="1"/>
      </w:tblPr>
      <w:tblGrid>
        <w:gridCol w:w="4675"/>
        <w:gridCol w:w="4675"/>
      </w:tblGrid>
      <w:tr w:rsidR="0034720E" w:rsidTr="0034720E" w14:paraId="396FC59B" w14:textId="77777777">
        <w:tc>
          <w:tcPr>
            <w:tcW w:w="4675" w:type="dxa"/>
          </w:tcPr>
          <w:p w:rsidR="0034720E" w:rsidP="0034720E" w:rsidRDefault="0034720E" w14:paraId="1D6089C2" w14:textId="3ABCA5DF">
            <w:pPr>
              <w:pStyle w:val="Standard"/>
              <w:ind w:firstLine="0"/>
              <w:jc w:val="center"/>
            </w:pPr>
            <w:r>
              <w:t>Utility</w:t>
            </w:r>
          </w:p>
        </w:tc>
        <w:tc>
          <w:tcPr>
            <w:tcW w:w="4675" w:type="dxa"/>
          </w:tcPr>
          <w:p w:rsidR="0034720E" w:rsidP="0034720E" w:rsidRDefault="0034720E" w14:paraId="1B918A35" w14:textId="5279AC0C">
            <w:pPr>
              <w:pStyle w:val="Standard"/>
              <w:ind w:firstLine="0"/>
              <w:jc w:val="center"/>
            </w:pPr>
            <w:r>
              <w:t>Authorized 2027 CARE Administrative Budget</w:t>
            </w:r>
          </w:p>
        </w:tc>
      </w:tr>
      <w:tr w:rsidR="00EF154C" w:rsidTr="0034720E" w14:paraId="27468236" w14:textId="77777777">
        <w:tc>
          <w:tcPr>
            <w:tcW w:w="4675" w:type="dxa"/>
          </w:tcPr>
          <w:p w:rsidR="00EF154C" w:rsidP="00EF154C" w:rsidRDefault="00EF154C" w14:paraId="0FFCA78C" w14:textId="11AC5F14">
            <w:pPr>
              <w:pStyle w:val="Standard"/>
              <w:ind w:firstLine="0"/>
              <w:jc w:val="center"/>
            </w:pPr>
            <w:r>
              <w:t>PG&amp;E</w:t>
            </w:r>
          </w:p>
        </w:tc>
        <w:tc>
          <w:tcPr>
            <w:tcW w:w="4675" w:type="dxa"/>
          </w:tcPr>
          <w:p w:rsidR="00EF154C" w:rsidP="00EF154C" w:rsidRDefault="00EF154C" w14:paraId="6AB47056" w14:textId="637C7561">
            <w:pPr>
              <w:pStyle w:val="Standard"/>
              <w:ind w:firstLine="0"/>
              <w:jc w:val="center"/>
            </w:pPr>
            <w:r>
              <w:rPr>
                <w:rStyle w:val="normaltextrun"/>
                <w:rFonts w:cs="Segoe UI"/>
                <w:szCs w:val="26"/>
              </w:rPr>
              <w:t>$8,848,173</w:t>
            </w:r>
            <w:r>
              <w:rPr>
                <w:rStyle w:val="eop"/>
                <w:rFonts w:cs="Segoe UI"/>
                <w:szCs w:val="26"/>
              </w:rPr>
              <w:t> </w:t>
            </w:r>
          </w:p>
        </w:tc>
      </w:tr>
      <w:tr w:rsidR="00EF154C" w:rsidTr="0034720E" w14:paraId="26251E31" w14:textId="77777777">
        <w:tc>
          <w:tcPr>
            <w:tcW w:w="4675" w:type="dxa"/>
          </w:tcPr>
          <w:p w:rsidR="00EF154C" w:rsidP="00EF154C" w:rsidRDefault="00EF154C" w14:paraId="56FE2BD4" w14:textId="679F8057">
            <w:pPr>
              <w:pStyle w:val="Standard"/>
              <w:ind w:firstLine="0"/>
              <w:jc w:val="center"/>
            </w:pPr>
            <w:r>
              <w:t>SCE</w:t>
            </w:r>
          </w:p>
        </w:tc>
        <w:tc>
          <w:tcPr>
            <w:tcW w:w="4675" w:type="dxa"/>
          </w:tcPr>
          <w:p w:rsidR="00EF154C" w:rsidP="00EF154C" w:rsidRDefault="00EF154C" w14:paraId="6FE45887" w14:textId="52291E45">
            <w:pPr>
              <w:pStyle w:val="Standard"/>
              <w:ind w:firstLine="0"/>
              <w:jc w:val="center"/>
            </w:pPr>
            <w:r>
              <w:rPr>
                <w:rStyle w:val="normaltextrun"/>
                <w:rFonts w:cs="Segoe UI"/>
                <w:szCs w:val="26"/>
              </w:rPr>
              <w:t>$8,499,853</w:t>
            </w:r>
            <w:r>
              <w:rPr>
                <w:rStyle w:val="eop"/>
                <w:rFonts w:cs="Segoe UI"/>
                <w:szCs w:val="26"/>
              </w:rPr>
              <w:t> </w:t>
            </w:r>
          </w:p>
        </w:tc>
      </w:tr>
      <w:tr w:rsidR="00EF154C" w:rsidTr="0034720E" w14:paraId="13A63ECA" w14:textId="77777777">
        <w:tc>
          <w:tcPr>
            <w:tcW w:w="4675" w:type="dxa"/>
          </w:tcPr>
          <w:p w:rsidR="00EF154C" w:rsidP="00EF154C" w:rsidRDefault="00EF154C" w14:paraId="79040E0C" w14:textId="7E122A5F">
            <w:pPr>
              <w:pStyle w:val="Standard"/>
              <w:ind w:firstLine="0"/>
              <w:jc w:val="center"/>
            </w:pPr>
            <w:r>
              <w:t>SDG&amp;E</w:t>
            </w:r>
          </w:p>
        </w:tc>
        <w:tc>
          <w:tcPr>
            <w:tcW w:w="4675" w:type="dxa"/>
          </w:tcPr>
          <w:p w:rsidR="00EF154C" w:rsidP="00EF154C" w:rsidRDefault="00EF154C" w14:paraId="2B9BD0CE" w14:textId="2269FC9F">
            <w:pPr>
              <w:pStyle w:val="Standard"/>
              <w:ind w:firstLine="0"/>
              <w:jc w:val="center"/>
            </w:pPr>
            <w:r>
              <w:rPr>
                <w:rStyle w:val="normaltextrun"/>
                <w:rFonts w:cs="Segoe UI"/>
                <w:szCs w:val="26"/>
              </w:rPr>
              <w:t>$6,351,151</w:t>
            </w:r>
            <w:r>
              <w:rPr>
                <w:rStyle w:val="eop"/>
                <w:rFonts w:cs="Segoe UI"/>
                <w:szCs w:val="26"/>
              </w:rPr>
              <w:t> </w:t>
            </w:r>
          </w:p>
        </w:tc>
      </w:tr>
      <w:tr w:rsidR="00EF154C" w:rsidTr="0034720E" w14:paraId="70717449" w14:textId="77777777">
        <w:tc>
          <w:tcPr>
            <w:tcW w:w="4675" w:type="dxa"/>
          </w:tcPr>
          <w:p w:rsidR="00EF154C" w:rsidP="00EF154C" w:rsidRDefault="00EF154C" w14:paraId="6BC37797" w14:textId="3AF1291C">
            <w:pPr>
              <w:pStyle w:val="Standard"/>
              <w:ind w:firstLine="0"/>
              <w:jc w:val="center"/>
            </w:pPr>
            <w:r>
              <w:t>SoCalGas</w:t>
            </w:r>
          </w:p>
        </w:tc>
        <w:tc>
          <w:tcPr>
            <w:tcW w:w="4675" w:type="dxa"/>
          </w:tcPr>
          <w:p w:rsidR="00EF154C" w:rsidP="00EF154C" w:rsidRDefault="00EF154C" w14:paraId="44CFBC23" w14:textId="2CB8F08C">
            <w:pPr>
              <w:pStyle w:val="Standard"/>
              <w:ind w:firstLine="0"/>
              <w:jc w:val="center"/>
            </w:pPr>
            <w:r>
              <w:rPr>
                <w:rStyle w:val="normaltextrun"/>
                <w:rFonts w:cs="Segoe UI"/>
                <w:szCs w:val="26"/>
              </w:rPr>
              <w:t>$9,904,747 </w:t>
            </w:r>
            <w:r>
              <w:rPr>
                <w:rStyle w:val="eop"/>
                <w:rFonts w:cs="Segoe UI"/>
                <w:szCs w:val="26"/>
              </w:rPr>
              <w:t> </w:t>
            </w:r>
          </w:p>
        </w:tc>
      </w:tr>
      <w:tr w:rsidR="00581817" w:rsidTr="0034720E" w14:paraId="1AA75D12" w14:textId="77777777">
        <w:tc>
          <w:tcPr>
            <w:tcW w:w="4675" w:type="dxa"/>
          </w:tcPr>
          <w:p w:rsidR="00581817" w:rsidP="00EF154C" w:rsidRDefault="00581817" w14:paraId="19FBA759" w14:textId="58023EE2">
            <w:pPr>
              <w:pStyle w:val="Standard"/>
              <w:ind w:firstLine="0"/>
              <w:jc w:val="center"/>
            </w:pPr>
            <w:r>
              <w:t>Total</w:t>
            </w:r>
          </w:p>
        </w:tc>
        <w:tc>
          <w:tcPr>
            <w:tcW w:w="4675" w:type="dxa"/>
          </w:tcPr>
          <w:p w:rsidR="00581817" w:rsidP="00EF154C" w:rsidRDefault="00581817" w14:paraId="664FB388" w14:textId="124CCDB2">
            <w:pPr>
              <w:pStyle w:val="Standard"/>
              <w:ind w:firstLine="0"/>
              <w:jc w:val="center"/>
              <w:rPr>
                <w:rStyle w:val="normaltextrun"/>
                <w:rFonts w:cs="Segoe UI"/>
                <w:szCs w:val="26"/>
              </w:rPr>
            </w:pPr>
            <w:r w:rsidRPr="00581817">
              <w:rPr>
                <w:rFonts w:cs="Segoe UI"/>
                <w:szCs w:val="26"/>
              </w:rPr>
              <w:t>$33,603,924 </w:t>
            </w:r>
          </w:p>
        </w:tc>
      </w:tr>
    </w:tbl>
    <w:p w:rsidR="00D624B9" w:rsidP="00310462" w:rsidRDefault="00D624B9" w14:paraId="7AE5088A" w14:textId="77777777">
      <w:pPr>
        <w:pStyle w:val="Standard"/>
      </w:pPr>
    </w:p>
    <w:p w:rsidR="00AE7D35" w:rsidP="00FE2D37" w:rsidRDefault="00AE7D35" w14:paraId="1BB2EEB8" w14:textId="1139B458">
      <w:pPr>
        <w:pStyle w:val="Heading1"/>
      </w:pPr>
      <w:bookmarkStart w:name="_Toc230872062" w:id="28"/>
      <w:r>
        <w:t>FERA</w:t>
      </w:r>
      <w:bookmarkEnd w:id="28"/>
    </w:p>
    <w:p w:rsidR="009F7D6E" w:rsidP="009F7D6E" w:rsidRDefault="009F7D6E" w14:paraId="157CCD33" w14:textId="5C397438">
      <w:pPr>
        <w:pStyle w:val="Standard"/>
      </w:pPr>
      <w:r w:rsidRPr="009F7D6E">
        <w:t xml:space="preserve">The FERA program is </w:t>
      </w:r>
      <w:r w:rsidR="00E46A93">
        <w:t>a</w:t>
      </w:r>
      <w:r w:rsidR="00FE57D6">
        <w:t>n</w:t>
      </w:r>
      <w:r w:rsidR="00E46A93">
        <w:t xml:space="preserve"> income-qualified </w:t>
      </w:r>
      <w:r w:rsidRPr="009F7D6E">
        <w:t>energy rate assistance program</w:t>
      </w:r>
      <w:r w:rsidR="00D47CB0">
        <w:t xml:space="preserve"> </w:t>
      </w:r>
      <w:r w:rsidR="00FE57D6">
        <w:t>offered</w:t>
      </w:r>
      <w:r w:rsidRPr="009F7D6E">
        <w:t xml:space="preserve"> to households with incomes between 200 percent and 250 percent of FPG. FERA was designed to assist households that are ineligible for the CARE </w:t>
      </w:r>
      <w:r w:rsidRPr="009F7D6E">
        <w:lastRenderedPageBreak/>
        <w:t>program because their income level falls slightly above the CARE income eligibility limits.</w:t>
      </w:r>
      <w:r>
        <w:rPr>
          <w:rStyle w:val="FootnoteReference"/>
        </w:rPr>
        <w:footnoteReference w:id="29"/>
      </w:r>
      <w:r w:rsidRPr="009F7D6E">
        <w:t xml:space="preserve"> </w:t>
      </w:r>
      <w:r w:rsidR="00DA006F">
        <w:t>I</w:t>
      </w:r>
      <w:r w:rsidRPr="00DA006F" w:rsidR="00DA006F">
        <w:t xml:space="preserve">ncome thresholds increase </w:t>
      </w:r>
      <w:r w:rsidRPr="009F7D6E">
        <w:t>with each additional individual living in the household.</w:t>
      </w:r>
      <w:r>
        <w:rPr>
          <w:rStyle w:val="FootnoteReference"/>
        </w:rPr>
        <w:footnoteReference w:id="30"/>
      </w:r>
      <w:r w:rsidRPr="009F7D6E">
        <w:t xml:space="preserve"> The program is authorized by Pub. Util. Code Section 739.12 which provides that:</w:t>
      </w:r>
    </w:p>
    <w:p w:rsidR="004643F8" w:rsidP="00FE2D37" w:rsidRDefault="004643F8" w14:paraId="3C0A7780" w14:textId="30730C5E">
      <w:pPr>
        <w:pStyle w:val="ListAlpha"/>
        <w:ind w:right="1440"/>
      </w:pPr>
      <w:r w:rsidRPr="004643F8">
        <w:t>The commission shall continue a program of assistance to residential customers of the state’s three largest electrical corporations consisting of households with total household annual gross income levels between 200 percent and 250 percent of the federal poverty guideline level. The program shall continue to be referred to as the Family Electric Rate Assistance or FERA program.</w:t>
      </w:r>
    </w:p>
    <w:p w:rsidR="004643F8" w:rsidP="00FE2D37" w:rsidRDefault="004643F8" w14:paraId="48EA3F8E" w14:textId="5B5BEB2E">
      <w:pPr>
        <w:pStyle w:val="ListAlpha"/>
        <w:ind w:right="1440"/>
      </w:pPr>
      <w:r w:rsidRPr="004643F8">
        <w:t>The FERA program discount shall be an 18 percent line</w:t>
      </w:r>
      <w:r w:rsidR="00B01E75">
        <w:t>-</w:t>
      </w:r>
      <w:r w:rsidRPr="004643F8">
        <w:t xml:space="preserve">item discount applied to an eligible customer’s bill calculated at the applicable rate for the billing period. </w:t>
      </w:r>
    </w:p>
    <w:p w:rsidR="004643F8" w:rsidP="00FE2D37" w:rsidRDefault="004643F8" w14:paraId="33B6D03C" w14:textId="18C54E6C">
      <w:pPr>
        <w:pStyle w:val="ListAlpha"/>
        <w:ind w:right="1440"/>
      </w:pPr>
      <w:r w:rsidRPr="004643F8">
        <w:t>The commission shall authorize the state’s three largest electrical corporations to increase or expand marketing and outreach efforts beyond those in effect as of December 31, 2018, to increase eligible customer participation in the FERA program.</w:t>
      </w:r>
    </w:p>
    <w:p w:rsidR="00B90E3A" w:rsidP="00B90E3A" w:rsidRDefault="00B90E3A" w14:paraId="7C795A27" w14:textId="17D07A49">
      <w:pPr>
        <w:pStyle w:val="Standard"/>
      </w:pPr>
      <w:r w:rsidRPr="00B90E3A">
        <w:t xml:space="preserve">The FERA program is funded by both participating and non-participating ratepayers through either customer distribution rates or statutory </w:t>
      </w:r>
      <w:r w:rsidR="00741D91">
        <w:t>PPP</w:t>
      </w:r>
      <w:r w:rsidRPr="00B90E3A">
        <w:t xml:space="preserve"> surcharges.</w:t>
      </w:r>
    </w:p>
    <w:p w:rsidRPr="009F7D6E" w:rsidR="0004031C" w:rsidP="00197634" w:rsidRDefault="00217A16" w14:paraId="3F7830AC" w14:textId="6153480D">
      <w:pPr>
        <w:pStyle w:val="Standard"/>
      </w:pPr>
      <w:r>
        <w:t>SB 1130 (</w:t>
      </w:r>
      <w:r w:rsidRPr="000906C5" w:rsidR="008030D1">
        <w:t>Stats. 2024, Ch. 457</w:t>
      </w:r>
      <w:r w:rsidR="008030D1">
        <w:t>)</w:t>
      </w:r>
      <w:r>
        <w:t xml:space="preserve"> </w:t>
      </w:r>
      <w:r w:rsidR="0004031C">
        <w:t>implemented certain changes to the FERA program, including</w:t>
      </w:r>
      <w:r w:rsidR="00197634">
        <w:t xml:space="preserve"> e</w:t>
      </w:r>
      <w:r w:rsidRPr="0004031C" w:rsidR="0004031C">
        <w:t>liminat</w:t>
      </w:r>
      <w:r w:rsidR="0004031C">
        <w:t>ion of</w:t>
      </w:r>
      <w:r w:rsidRPr="0004031C" w:rsidR="0004031C">
        <w:t xml:space="preserve"> the requirement that a household consists of</w:t>
      </w:r>
      <w:r w:rsidR="0004031C">
        <w:t xml:space="preserve"> 3</w:t>
      </w:r>
      <w:r w:rsidRPr="0004031C" w:rsidR="0004031C">
        <w:t xml:space="preserve"> or more persons, thus allowing households of one and two persons to qualify, provided </w:t>
      </w:r>
      <w:r w:rsidR="0004031C">
        <w:t>t</w:t>
      </w:r>
      <w:r w:rsidRPr="0004031C" w:rsidR="0004031C">
        <w:t>hey meet the income criteria of 200% (plus $1) up to 250% FPG</w:t>
      </w:r>
      <w:r w:rsidR="00EE7867">
        <w:t xml:space="preserve"> and</w:t>
      </w:r>
      <w:r w:rsidR="00197634">
        <w:t xml:space="preserve"> i</w:t>
      </w:r>
      <w:r w:rsidR="00EE7867">
        <w:t>ncreased reporting of enrollment efforts.</w:t>
      </w:r>
    </w:p>
    <w:p w:rsidR="00014285" w:rsidP="00681963" w:rsidRDefault="00014285" w14:paraId="1CEF55B3" w14:textId="1A902B8E">
      <w:pPr>
        <w:pStyle w:val="Heading2"/>
        <w:numPr>
          <w:ilvl w:val="1"/>
          <w:numId w:val="35"/>
        </w:numPr>
      </w:pPr>
      <w:bookmarkStart w:name="_Toc230872063" w:id="29"/>
      <w:r>
        <w:lastRenderedPageBreak/>
        <w:t>PG&amp;E</w:t>
      </w:r>
      <w:r w:rsidR="00797260">
        <w:t>’S</w:t>
      </w:r>
      <w:r>
        <w:t xml:space="preserve"> FERA </w:t>
      </w:r>
      <w:r w:rsidR="008F1ED6">
        <w:t>Program</w:t>
      </w:r>
      <w:bookmarkEnd w:id="29"/>
    </w:p>
    <w:p w:rsidR="005F2541" w:rsidP="00C5672F" w:rsidRDefault="00BA230E" w14:paraId="4B1830A8" w14:textId="73CC55E1">
      <w:pPr>
        <w:pStyle w:val="Standard"/>
      </w:pPr>
      <w:r>
        <w:t xml:space="preserve">PG&amp;E projects a 20 percent enrollment rate for 2027, </w:t>
      </w:r>
      <w:r w:rsidR="00F72176">
        <w:t xml:space="preserve">below the 70 percent goal set </w:t>
      </w:r>
      <w:proofErr w:type="gramStart"/>
      <w:r w:rsidR="00F72176">
        <w:t>in</w:t>
      </w:r>
      <w:proofErr w:type="gramEnd"/>
      <w:r w:rsidR="00F72176">
        <w:t xml:space="preserve"> D.21-06-015.</w:t>
      </w:r>
      <w:r w:rsidR="00F72176">
        <w:rPr>
          <w:rStyle w:val="FootnoteReference"/>
        </w:rPr>
        <w:footnoteReference w:id="31"/>
      </w:r>
      <w:r w:rsidR="00B323A5">
        <w:t xml:space="preserve">  </w:t>
      </w:r>
      <w:r w:rsidR="001F03D0">
        <w:t>Annual attrition has matched annual new enrollments from 2022 to 2024.</w:t>
      </w:r>
      <w:r w:rsidR="001F03D0">
        <w:rPr>
          <w:rStyle w:val="FootnoteReference"/>
        </w:rPr>
        <w:footnoteReference w:id="32"/>
      </w:r>
      <w:r w:rsidR="003527E4">
        <w:t xml:space="preserve">  PG&amp;E does not expect </w:t>
      </w:r>
      <w:r w:rsidR="00916A66">
        <w:t>significant</w:t>
      </w:r>
      <w:r w:rsidR="003527E4">
        <w:t xml:space="preserve"> </w:t>
      </w:r>
      <w:r w:rsidR="00CF0F4E">
        <w:t>increases</w:t>
      </w:r>
      <w:r w:rsidR="003527E4">
        <w:t xml:space="preserve"> in enrollment</w:t>
      </w:r>
      <w:r w:rsidR="00D92FE7">
        <w:t xml:space="preserve"> due to expanded eligibility from S</w:t>
      </w:r>
      <w:r w:rsidR="008030D1">
        <w:t>B</w:t>
      </w:r>
      <w:r w:rsidR="00D92FE7">
        <w:t xml:space="preserve"> 1130.</w:t>
      </w:r>
    </w:p>
    <w:p w:rsidRPr="00C5672F" w:rsidR="00C5672F" w:rsidP="00C5672F" w:rsidRDefault="006E7585" w14:paraId="7A67AD39" w14:textId="11205F66">
      <w:pPr>
        <w:pStyle w:val="Standard"/>
      </w:pPr>
      <w:r w:rsidRPr="006E7585">
        <w:t>PG&amp;E does not propose any major programmatic changes to its FERA program.  PG&amp;E’s FERA ME&amp;O activities will continue to include outreach via online enrollment and auto-enrollments, similar to CARE.  PG&amp;E will continue to conduct eligibility and enrollment processes mainly via self-certification of eligibility via the FERA enrollment form</w:t>
      </w:r>
      <w:r w:rsidR="00CE2B71">
        <w:t xml:space="preserve">.  PG&amp;E will continue its current </w:t>
      </w:r>
      <w:r w:rsidR="009731F2">
        <w:t>process of selecting 4.5 percent of FERA customers for PEV activities.</w:t>
      </w:r>
      <w:r w:rsidR="00A768C5">
        <w:rPr>
          <w:rStyle w:val="FootnoteReference"/>
        </w:rPr>
        <w:footnoteReference w:id="33"/>
      </w:r>
    </w:p>
    <w:p w:rsidRPr="008F1ED6" w:rsidR="008F1ED6" w:rsidP="007A13A3" w:rsidRDefault="008F1ED6" w14:paraId="7460B351" w14:textId="7D61AD58">
      <w:pPr>
        <w:pStyle w:val="Standard"/>
      </w:pPr>
      <w:r>
        <w:t xml:space="preserve">PG&amp;E </w:t>
      </w:r>
      <w:r w:rsidR="00BD02A2">
        <w:t xml:space="preserve">requests </w:t>
      </w:r>
      <w:r>
        <w:t>$</w:t>
      </w:r>
      <w:r w:rsidR="0047587C">
        <w:t>3</w:t>
      </w:r>
      <w:r w:rsidR="00BD02A2">
        <w:t>.</w:t>
      </w:r>
      <w:r w:rsidR="0047587C">
        <w:t>05</w:t>
      </w:r>
      <w:r w:rsidR="001E7491">
        <w:t xml:space="preserve"> million</w:t>
      </w:r>
      <w:r>
        <w:t xml:space="preserve"> for 2027 FERA administrative activities, </w:t>
      </w:r>
      <w:r w:rsidR="0047587C">
        <w:t>the same as the</w:t>
      </w:r>
      <w:r>
        <w:t xml:space="preserve"> budget </w:t>
      </w:r>
      <w:r w:rsidR="0047587C">
        <w:t>approved for</w:t>
      </w:r>
      <w:r>
        <w:t xml:space="preserve"> 2026.</w:t>
      </w:r>
      <w:r>
        <w:rPr>
          <w:rStyle w:val="FootnoteReference"/>
        </w:rPr>
        <w:footnoteReference w:id="34"/>
      </w:r>
      <w:r w:rsidR="004419C5">
        <w:t xml:space="preserve">  PG&amp;E projects spending</w:t>
      </w:r>
      <w:r w:rsidR="006A0BF8">
        <w:t xml:space="preserve"> </w:t>
      </w:r>
      <w:r w:rsidR="004419C5">
        <w:t xml:space="preserve">$31.7 million </w:t>
      </w:r>
      <w:r w:rsidR="006A0BF8">
        <w:t xml:space="preserve">to fund </w:t>
      </w:r>
      <w:r w:rsidR="008B6852">
        <w:t>the FERA subsidy</w:t>
      </w:r>
      <w:r w:rsidR="004419C5">
        <w:t xml:space="preserve">, an increase of $8.3 million over 2026, mainly due to </w:t>
      </w:r>
      <w:r w:rsidR="000906C5">
        <w:t>SB</w:t>
      </w:r>
      <w:r w:rsidR="004419C5">
        <w:t xml:space="preserve"> 1130</w:t>
      </w:r>
      <w:r w:rsidR="000906C5">
        <w:t xml:space="preserve"> </w:t>
      </w:r>
      <w:r w:rsidR="004419C5">
        <w:t>and higher electric rates.</w:t>
      </w:r>
      <w:r w:rsidR="004419C5">
        <w:rPr>
          <w:rStyle w:val="FootnoteReference"/>
        </w:rPr>
        <w:footnoteReference w:id="35"/>
      </w:r>
    </w:p>
    <w:p w:rsidR="0086093F" w:rsidP="00FE2D37" w:rsidRDefault="0086093F" w14:paraId="3E611E18" w14:textId="0B6A0F9C">
      <w:pPr>
        <w:pStyle w:val="Heading2"/>
      </w:pPr>
      <w:bookmarkStart w:name="_Toc230872064" w:id="30"/>
      <w:r>
        <w:t>SDG&amp;E</w:t>
      </w:r>
      <w:r w:rsidR="001E7491">
        <w:t>’S</w:t>
      </w:r>
      <w:r>
        <w:t xml:space="preserve"> FERA Program</w:t>
      </w:r>
      <w:bookmarkEnd w:id="30"/>
    </w:p>
    <w:p w:rsidRPr="0086093F" w:rsidR="0086093F" w:rsidP="0086093F" w:rsidRDefault="0086093F" w14:paraId="2425A84A" w14:textId="575131FE">
      <w:pPr>
        <w:pStyle w:val="Standard"/>
      </w:pPr>
      <w:r>
        <w:t xml:space="preserve">SDG&amp;E notes that its FERA program </w:t>
      </w:r>
      <w:r w:rsidR="007E18AE">
        <w:t>has been modified to account for SB 1130 changes, including expanded eligibility and enhanced oversight.  SDG&amp;E will maintain the FERA enrollment goal of 70</w:t>
      </w:r>
      <w:r w:rsidR="001E7491">
        <w:t xml:space="preserve"> percent</w:t>
      </w:r>
      <w:r w:rsidR="007E18AE">
        <w:t xml:space="preserve"> and the </w:t>
      </w:r>
      <w:r w:rsidR="002E0E19">
        <w:t>three</w:t>
      </w:r>
      <w:r w:rsidR="007E18AE">
        <w:t xml:space="preserve"> percent PEV rate.  SDG&amp;E requests </w:t>
      </w:r>
      <w:r w:rsidR="001E7491">
        <w:t>$980,000</w:t>
      </w:r>
      <w:r w:rsidRPr="001E7491" w:rsidR="001E7491">
        <w:t xml:space="preserve"> </w:t>
      </w:r>
      <w:r w:rsidR="001E7491">
        <w:t xml:space="preserve">for 2027 FERA administrative activities, </w:t>
      </w:r>
      <w:r w:rsidR="007E18AE">
        <w:t xml:space="preserve">the same </w:t>
      </w:r>
      <w:r w:rsidR="007E18AE">
        <w:lastRenderedPageBreak/>
        <w:t>administration budget</w:t>
      </w:r>
      <w:r w:rsidR="00497452">
        <w:t xml:space="preserve"> </w:t>
      </w:r>
      <w:r w:rsidR="001E7491">
        <w:t xml:space="preserve">approved for </w:t>
      </w:r>
      <w:r w:rsidR="00497452">
        <w:t>2026, except for incremental funds requested in AL 4646-E, which is inclusive of the CARE-FERA eligibility study.</w:t>
      </w:r>
      <w:r w:rsidR="00497452">
        <w:rPr>
          <w:rStyle w:val="FootnoteReference"/>
        </w:rPr>
        <w:footnoteReference w:id="36"/>
      </w:r>
      <w:r w:rsidR="002149A0">
        <w:t xml:space="preserve">  SDG&amp;E </w:t>
      </w:r>
      <w:r w:rsidR="008B6852">
        <w:t xml:space="preserve">projects spending </w:t>
      </w:r>
      <w:r w:rsidR="002149A0">
        <w:t xml:space="preserve">$5.45 million </w:t>
      </w:r>
      <w:r w:rsidR="008B6852">
        <w:t>to fund the FERA subsidy</w:t>
      </w:r>
      <w:r w:rsidR="002149A0">
        <w:t>.</w:t>
      </w:r>
    </w:p>
    <w:p w:rsidR="00AA4651" w:rsidP="00FE2D37" w:rsidRDefault="00AA4651" w14:paraId="1E008514" w14:textId="0DF9ACA6">
      <w:pPr>
        <w:pStyle w:val="Heading2"/>
      </w:pPr>
      <w:bookmarkStart w:name="_Toc230872065" w:id="31"/>
      <w:r>
        <w:t>SCE FERA Program</w:t>
      </w:r>
      <w:bookmarkEnd w:id="31"/>
    </w:p>
    <w:p w:rsidRPr="00AA4651" w:rsidR="00AA4651" w:rsidP="00AA4651" w:rsidRDefault="00AA4651" w14:paraId="10A3E23A" w14:textId="4F7A8CF5">
      <w:pPr>
        <w:pStyle w:val="Standard"/>
      </w:pPr>
      <w:r>
        <w:t xml:space="preserve">SCE proposes </w:t>
      </w:r>
      <w:r w:rsidR="00EC4D29">
        <w:t xml:space="preserve">to retain all 2026 levels </w:t>
      </w:r>
      <w:r w:rsidR="00E073A5">
        <w:t xml:space="preserve">pertaining </w:t>
      </w:r>
      <w:r w:rsidR="00EC4D29">
        <w:t>to goals, strategy, delivery, marketing, outreach, or education approaches for 2027.  This includes a 70 percent participation/enrollment goal</w:t>
      </w:r>
      <w:r w:rsidR="000E7A25">
        <w:t xml:space="preserve">, which </w:t>
      </w:r>
      <w:r w:rsidR="00783950">
        <w:t>SCE has had difficulty meeting</w:t>
      </w:r>
      <w:r w:rsidR="000E7A25">
        <w:t>.</w:t>
      </w:r>
      <w:r w:rsidR="000E7A25">
        <w:rPr>
          <w:rStyle w:val="FootnoteReference"/>
        </w:rPr>
        <w:footnoteReference w:id="37"/>
      </w:r>
      <w:r w:rsidR="00C8565D">
        <w:t xml:space="preserve">  SCE </w:t>
      </w:r>
      <w:r w:rsidR="009C4013">
        <w:t>presents an enrollment target of 166,494 for 2027, which amounts to a 46 percent penetration rate.</w:t>
      </w:r>
      <w:r w:rsidR="009C4013">
        <w:rPr>
          <w:rStyle w:val="FootnoteReference"/>
        </w:rPr>
        <w:footnoteReference w:id="38"/>
      </w:r>
      <w:r w:rsidR="000E7A25">
        <w:t xml:space="preserve">  SCE requests $1.7 million for FERA administration for 2027, </w:t>
      </w:r>
      <w:r w:rsidR="0006622F">
        <w:t xml:space="preserve">a $40,000 increase over 2026 to account for cost </w:t>
      </w:r>
      <w:r w:rsidR="00017D6D">
        <w:t>escalation</w:t>
      </w:r>
      <w:r w:rsidR="0006622F">
        <w:t>.</w:t>
      </w:r>
      <w:r w:rsidR="00017D6D">
        <w:t xml:space="preserve">  SCE </w:t>
      </w:r>
      <w:r w:rsidR="00174F51">
        <w:t>projects spending $60.5 million</w:t>
      </w:r>
      <w:r w:rsidRPr="00044A7D" w:rsidR="00044A7D">
        <w:t xml:space="preserve"> </w:t>
      </w:r>
      <w:r w:rsidR="00044A7D">
        <w:t>to fund the FERA subsidy</w:t>
      </w:r>
      <w:r w:rsidR="00CE1784">
        <w:t>.</w:t>
      </w:r>
    </w:p>
    <w:p w:rsidR="00AE59D2" w:rsidP="00AE59D2" w:rsidRDefault="00AE59D2" w14:paraId="7E2AF3C3" w14:textId="789FBF10">
      <w:pPr>
        <w:pStyle w:val="Heading2"/>
      </w:pPr>
      <w:bookmarkStart w:name="_Toc230872066" w:id="32"/>
      <w:r>
        <w:t>SoCalGas’ FERA Program</w:t>
      </w:r>
      <w:bookmarkEnd w:id="32"/>
    </w:p>
    <w:p w:rsidRPr="00AE59D2" w:rsidR="00AE59D2" w:rsidP="00163282" w:rsidRDefault="00AE59D2" w14:paraId="48B859E9" w14:textId="0689AB62">
      <w:pPr>
        <w:pStyle w:val="Standard"/>
      </w:pPr>
      <w:r>
        <w:t xml:space="preserve">SoCalGas does not offer a FERA program as </w:t>
      </w:r>
      <w:r w:rsidR="00E40165">
        <w:t xml:space="preserve">the discount </w:t>
      </w:r>
      <w:r w:rsidR="00163282">
        <w:t xml:space="preserve">only </w:t>
      </w:r>
      <w:r w:rsidRPr="00E40165" w:rsidR="00E40165">
        <w:t xml:space="preserve">applies to </w:t>
      </w:r>
      <w:proofErr w:type="gramStart"/>
      <w:r w:rsidRPr="00E40165" w:rsidR="00E40165">
        <w:t>electric</w:t>
      </w:r>
      <w:proofErr w:type="gramEnd"/>
      <w:r w:rsidRPr="00E40165" w:rsidR="00E40165">
        <w:t xml:space="preserve"> bills and </w:t>
      </w:r>
      <w:proofErr w:type="gramStart"/>
      <w:r w:rsidRPr="00E40165" w:rsidR="00E40165">
        <w:t>not natural</w:t>
      </w:r>
      <w:proofErr w:type="gramEnd"/>
      <w:r w:rsidRPr="00E40165" w:rsidR="00E40165">
        <w:t xml:space="preserve"> gas bills</w:t>
      </w:r>
      <w:r w:rsidR="00E40165">
        <w:t>.</w:t>
      </w:r>
    </w:p>
    <w:p w:rsidR="00B84B45" w:rsidP="00FE2D37" w:rsidRDefault="005E2A09" w14:paraId="109473DC" w14:textId="77777777">
      <w:pPr>
        <w:pStyle w:val="Heading2"/>
      </w:pPr>
      <w:bookmarkStart w:name="_Toc230872067" w:id="33"/>
      <w:r>
        <w:t>Party Comments</w:t>
      </w:r>
      <w:r w:rsidR="00A61753">
        <w:t xml:space="preserve"> and Discussion</w:t>
      </w:r>
      <w:bookmarkEnd w:id="33"/>
      <w:r w:rsidR="00773478">
        <w:t xml:space="preserve"> </w:t>
      </w:r>
    </w:p>
    <w:p w:rsidR="005E2A09" w:rsidP="00B84B45" w:rsidRDefault="00773478" w14:paraId="67AFA82E" w14:textId="653DD800">
      <w:pPr>
        <w:pStyle w:val="Heading3"/>
      </w:pPr>
      <w:bookmarkStart w:name="_Toc230872068" w:id="34"/>
      <w:r>
        <w:t>FERA Activit</w:t>
      </w:r>
      <w:r w:rsidR="00B84B45">
        <w:t>i</w:t>
      </w:r>
      <w:r>
        <w:t>es</w:t>
      </w:r>
      <w:bookmarkEnd w:id="34"/>
      <w:r>
        <w:t xml:space="preserve"> </w:t>
      </w:r>
    </w:p>
    <w:p w:rsidR="00B84B45" w:rsidP="00B84B45" w:rsidRDefault="00B84B45" w14:paraId="140F9B7D" w14:textId="561E9392">
      <w:pPr>
        <w:pStyle w:val="Standard"/>
      </w:pPr>
      <w:r w:rsidRPr="00B84B45">
        <w:t xml:space="preserve">No parties commented on the IOUs’ proposed </w:t>
      </w:r>
      <w:r>
        <w:t>FERA</w:t>
      </w:r>
      <w:r w:rsidRPr="00B84B45">
        <w:t xml:space="preserve"> activities. We find PG&amp;E’s, SDG&amp;E’s, SoCalGas’, and SCE’s proposed </w:t>
      </w:r>
      <w:r>
        <w:t>FERA</w:t>
      </w:r>
      <w:r w:rsidRPr="00B84B45">
        <w:t xml:space="preserve"> activities reasonable and approve them here as they mainly continue goals and activities authorized in D.21-06-015.  </w:t>
      </w:r>
      <w:r w:rsidR="006C1105">
        <w:t>Wh</w:t>
      </w:r>
      <w:r w:rsidRPr="006C1105" w:rsidR="006C1105">
        <w:t>ile we acknowledge that the 70</w:t>
      </w:r>
      <w:r w:rsidR="006C1105">
        <w:t xml:space="preserve"> percent</w:t>
      </w:r>
      <w:r w:rsidRPr="006C1105" w:rsidR="006C1105">
        <w:t xml:space="preserve"> participation and enrollment goal is challenging, we retain this target for the program. The previously approved administrative budgets were specifically established under </w:t>
      </w:r>
      <w:r w:rsidRPr="006C1105" w:rsidR="006C1105">
        <w:lastRenderedPageBreak/>
        <w:t>the expectation that this level of funding is what is required to achieve that goa</w:t>
      </w:r>
      <w:r w:rsidR="006C1105">
        <w:t>l</w:t>
      </w:r>
      <w:r w:rsidR="00971B3C">
        <w:t xml:space="preserve">.  </w:t>
      </w:r>
      <w:r w:rsidRPr="00B84B45">
        <w:t xml:space="preserve">Continuing program goals and activities ensures program continuity during this 2027 </w:t>
      </w:r>
      <w:r w:rsidR="00812657">
        <w:t>B</w:t>
      </w:r>
      <w:r w:rsidRPr="00B84B45">
        <w:t xml:space="preserve">ridge </w:t>
      </w:r>
      <w:r w:rsidR="00812657">
        <w:t>Y</w:t>
      </w:r>
      <w:r w:rsidRPr="00B84B45">
        <w:t xml:space="preserve">ear.  </w:t>
      </w:r>
    </w:p>
    <w:p w:rsidRPr="00B84B45" w:rsidR="00B84B45" w:rsidP="006C1105" w:rsidRDefault="00B84B45" w14:paraId="65FDCE7E" w14:textId="0DC95755">
      <w:pPr>
        <w:pStyle w:val="Heading3"/>
      </w:pPr>
      <w:bookmarkStart w:name="_Toc230872069" w:id="35"/>
      <w:r>
        <w:t>FERA Budget</w:t>
      </w:r>
      <w:bookmarkEnd w:id="35"/>
      <w:r>
        <w:t xml:space="preserve"> </w:t>
      </w:r>
    </w:p>
    <w:p w:rsidR="00A57D49" w:rsidP="00A57D49" w:rsidRDefault="009E4251" w14:paraId="44899D20" w14:textId="089133C2">
      <w:pPr>
        <w:pStyle w:val="Standard"/>
      </w:pPr>
      <w:r>
        <w:t>Cal Advocates states that any propose</w:t>
      </w:r>
      <w:r w:rsidR="00C173F3">
        <w:t>d</w:t>
      </w:r>
      <w:r>
        <w:t xml:space="preserve"> increases for FERA subsidies should be denied, due to a history of underutilization</w:t>
      </w:r>
      <w:r w:rsidR="003F1066">
        <w:t>, and that actual program year 2024 spending should be utilized</w:t>
      </w:r>
      <w:r>
        <w:t>.</w:t>
      </w:r>
      <w:r w:rsidR="003F1066">
        <w:rPr>
          <w:rStyle w:val="FootnoteReference"/>
        </w:rPr>
        <w:footnoteReference w:id="39"/>
      </w:r>
      <w:r w:rsidR="004D54FF">
        <w:t xml:space="preserve">  </w:t>
      </w:r>
      <w:r w:rsidR="005E2A09">
        <w:t>Cal Advocates states that SCE has not provided sufficient basis to conclude that enrollment could increase by</w:t>
      </w:r>
      <w:r w:rsidR="001C189A">
        <w:t xml:space="preserve"> up to</w:t>
      </w:r>
      <w:r w:rsidR="005E2A09">
        <w:t xml:space="preserve"> 45 percent</w:t>
      </w:r>
      <w:r w:rsidR="008F6EC6">
        <w:t>,</w:t>
      </w:r>
      <w:r w:rsidR="007B60C1">
        <w:rPr>
          <w:rStyle w:val="FootnoteReference"/>
        </w:rPr>
        <w:footnoteReference w:id="40"/>
      </w:r>
      <w:r w:rsidR="00B44F58">
        <w:t xml:space="preserve"> that growth in FERA eligibility due to SB 1130 has so far been modest</w:t>
      </w:r>
      <w:r w:rsidR="00E93B15">
        <w:t>,</w:t>
      </w:r>
      <w:r w:rsidR="00B44F58">
        <w:t xml:space="preserve"> and </w:t>
      </w:r>
      <w:r w:rsidR="008F6EC6">
        <w:t xml:space="preserve">that </w:t>
      </w:r>
      <w:r w:rsidR="00B44F58">
        <w:t>the increase proposed by SCE is based on unrealistic expectations.</w:t>
      </w:r>
      <w:r w:rsidR="00B44F58">
        <w:rPr>
          <w:rStyle w:val="FootnoteReference"/>
        </w:rPr>
        <w:footnoteReference w:id="41"/>
      </w:r>
      <w:r w:rsidR="005E2A09">
        <w:t xml:space="preserve">  </w:t>
      </w:r>
      <w:proofErr w:type="spellStart"/>
      <w:r w:rsidR="005618BF">
        <w:t>CforAT</w:t>
      </w:r>
      <w:proofErr w:type="spellEnd"/>
      <w:r w:rsidR="005618BF">
        <w:t xml:space="preserve"> supports Cal Advocates’ position.</w:t>
      </w:r>
      <w:r w:rsidR="005618BF">
        <w:rPr>
          <w:rStyle w:val="FootnoteReference"/>
        </w:rPr>
        <w:footnoteReference w:id="42"/>
      </w:r>
      <w:r w:rsidR="00FA0493">
        <w:t xml:space="preserve">  SCE </w:t>
      </w:r>
      <w:r w:rsidR="008F6EC6">
        <w:t xml:space="preserve">clarifies </w:t>
      </w:r>
      <w:r w:rsidR="00FF39D4">
        <w:t>that its forecasted FERA subsidy is not a budget request, and that actual subsidy costs are reviewed and reconciled in a separate Commission proceeding which ensures any over or under collections are corrected.</w:t>
      </w:r>
      <w:r w:rsidR="006053FB">
        <w:rPr>
          <w:rStyle w:val="FootnoteReference"/>
        </w:rPr>
        <w:footnoteReference w:id="43"/>
      </w:r>
    </w:p>
    <w:p w:rsidR="00A57D49" w:rsidP="003456ED" w:rsidRDefault="00B748A3" w14:paraId="43FEFA3B" w14:textId="6E0ADE77">
      <w:pPr>
        <w:pStyle w:val="Standard"/>
      </w:pPr>
      <w:r>
        <w:t xml:space="preserve">We confirm that the </w:t>
      </w:r>
      <w:r w:rsidR="00EA3C6B">
        <w:t xml:space="preserve">FERA subsidy projections are not a budget request, </w:t>
      </w:r>
      <w:r w:rsidR="008A7E79">
        <w:t xml:space="preserve">as these are based on actual </w:t>
      </w:r>
      <w:r w:rsidR="003456ED">
        <w:t xml:space="preserve">customer </w:t>
      </w:r>
      <w:r w:rsidR="008A7E79">
        <w:t xml:space="preserve">enrollments and the </w:t>
      </w:r>
      <w:r w:rsidR="003456ED">
        <w:t>customer</w:t>
      </w:r>
      <w:r w:rsidR="008A7E79">
        <w:t xml:space="preserve"> bills.</w:t>
      </w:r>
      <w:r w:rsidR="003456ED">
        <w:t xml:space="preserve">  </w:t>
      </w:r>
      <w:r w:rsidR="00D375E3">
        <w:t>SCE’s FERA subsidies are tracked to the FERA Balancing Account and resolved through the Energy Resource Recovery Account</w:t>
      </w:r>
      <w:r w:rsidR="00133BDB">
        <w:t xml:space="preserve"> </w:t>
      </w:r>
      <w:r w:rsidR="00D375E3">
        <w:t>process</w:t>
      </w:r>
      <w:r w:rsidR="00E84AC5">
        <w:t xml:space="preserve">. </w:t>
      </w:r>
      <w:r w:rsidR="005918E4">
        <w:t xml:space="preserve">SCE’s projection has no effect on how much is </w:t>
      </w:r>
      <w:proofErr w:type="gramStart"/>
      <w:r w:rsidR="005918E4">
        <w:t>actually collected</w:t>
      </w:r>
      <w:proofErr w:type="gramEnd"/>
      <w:r w:rsidR="005918E4">
        <w:t xml:space="preserve"> from ratepayers to pay for the FERA subsidy.  </w:t>
      </w:r>
      <w:r w:rsidR="009512E6">
        <w:t xml:space="preserve">No changes are adopted </w:t>
      </w:r>
      <w:r w:rsidR="00D34B80">
        <w:t>here on this issue</w:t>
      </w:r>
      <w:r w:rsidR="00400C1E">
        <w:t xml:space="preserve">.  </w:t>
      </w:r>
    </w:p>
    <w:p w:rsidR="006D18D8" w:rsidP="00C211CB" w:rsidRDefault="00FB4E21" w14:paraId="42B7AEBC" w14:textId="7073CF97">
      <w:pPr>
        <w:pStyle w:val="Standard"/>
      </w:pPr>
      <w:r>
        <w:lastRenderedPageBreak/>
        <w:t>Cal Advocates also recommends den</w:t>
      </w:r>
      <w:r w:rsidR="00023836">
        <w:t>y</w:t>
      </w:r>
      <w:r>
        <w:t>i</w:t>
      </w:r>
      <w:r w:rsidR="00C0458B">
        <w:t>ng</w:t>
      </w:r>
      <w:r>
        <w:t xml:space="preserve"> </w:t>
      </w:r>
      <w:r w:rsidR="00080996">
        <w:t xml:space="preserve">SDG&amp;E’s, </w:t>
      </w:r>
      <w:r w:rsidR="006D18D8">
        <w:t>PG&amp;E</w:t>
      </w:r>
      <w:r w:rsidR="00080996">
        <w:t>’</w:t>
      </w:r>
      <w:r w:rsidR="006D18D8">
        <w:t>s</w:t>
      </w:r>
      <w:r w:rsidR="00080996">
        <w:t xml:space="preserve">, </w:t>
      </w:r>
      <w:r w:rsidR="00836FD3">
        <w:t xml:space="preserve">and </w:t>
      </w:r>
      <w:r>
        <w:t>SCE’s FERA administrative budget increase</w:t>
      </w:r>
      <w:r w:rsidR="005638AD">
        <w:t>s.</w:t>
      </w:r>
      <w:r w:rsidR="002D3656">
        <w:rPr>
          <w:rStyle w:val="FootnoteReference"/>
        </w:rPr>
        <w:footnoteReference w:id="44"/>
      </w:r>
      <w:r>
        <w:t xml:space="preserve"> </w:t>
      </w:r>
      <w:r w:rsidR="00A4305D">
        <w:t xml:space="preserve">SCE states that its 2024 budget is not representative of 2027 costs due to various factors, including expansion of eligibility due to SB 1130, implementation of the </w:t>
      </w:r>
      <w:r w:rsidR="000A164C">
        <w:t>B</w:t>
      </w:r>
      <w:r w:rsidR="00A4305D">
        <w:t xml:space="preserve">ase </w:t>
      </w:r>
      <w:r w:rsidR="000A164C">
        <w:t>S</w:t>
      </w:r>
      <w:r w:rsidR="00A4305D">
        <w:t xml:space="preserve">ervices </w:t>
      </w:r>
      <w:r w:rsidR="000A164C">
        <w:t>C</w:t>
      </w:r>
      <w:r w:rsidR="00A4305D">
        <w:t>harge, and reduced PEV activities in 2024.</w:t>
      </w:r>
      <w:r w:rsidR="00A4305D">
        <w:rPr>
          <w:rStyle w:val="FootnoteReference"/>
        </w:rPr>
        <w:footnoteReference w:id="45"/>
      </w:r>
      <w:r w:rsidR="00A4305D">
        <w:t xml:space="preserve">  </w:t>
      </w:r>
    </w:p>
    <w:p w:rsidR="00282BAC" w:rsidP="00282BAC" w:rsidRDefault="006D18D8" w14:paraId="3EDC431A" w14:textId="41053B4D">
      <w:pPr>
        <w:pStyle w:val="Standard"/>
      </w:pPr>
      <w:r>
        <w:t>Given the expansion due to SB 1130, it is reasonable to grant the requested 2027 FERA</w:t>
      </w:r>
      <w:r w:rsidR="005B75EE">
        <w:t xml:space="preserve"> administrative</w:t>
      </w:r>
      <w:r>
        <w:t xml:space="preserve"> budgets for SDG&amp;E, PG&amp;E, and SCE.</w:t>
      </w:r>
      <w:r w:rsidR="00F24E26">
        <w:t xml:space="preserve">  </w:t>
      </w:r>
      <w:r w:rsidR="000B7BF1">
        <w:t xml:space="preserve">The program runs the risk of being under-resourced if </w:t>
      </w:r>
      <w:r w:rsidR="00E66FAF">
        <w:t>budgets based on 2024 expenditures</w:t>
      </w:r>
      <w:r w:rsidR="000B7BF1">
        <w:t xml:space="preserve"> are granted.</w:t>
      </w:r>
      <w:r w:rsidR="00953E8B">
        <w:t xml:space="preserve">  To the extent that </w:t>
      </w:r>
      <w:r w:rsidR="0065694A">
        <w:t>the budget is over-projected, this may be addressed in the full-cycle proceeding.</w:t>
      </w:r>
      <w:r w:rsidR="00282BAC">
        <w:t xml:space="preserve">  The authorized budgets are below.  </w:t>
      </w:r>
    </w:p>
    <w:p w:rsidRPr="00C647B8" w:rsidR="005A2670" w:rsidP="005A2670" w:rsidRDefault="005A2670" w14:paraId="3D3EFBCE" w14:textId="06484125">
      <w:pPr>
        <w:pStyle w:val="Standard"/>
        <w:jc w:val="center"/>
        <w:rPr>
          <w:b/>
          <w:bCs/>
        </w:rPr>
      </w:pPr>
      <w:r w:rsidRPr="00C647B8">
        <w:rPr>
          <w:b/>
          <w:bCs/>
        </w:rPr>
        <w:t xml:space="preserve">Table </w:t>
      </w:r>
      <w:r w:rsidRPr="00C647B8" w:rsidR="00C647B8">
        <w:rPr>
          <w:b/>
          <w:bCs/>
        </w:rPr>
        <w:t>6</w:t>
      </w:r>
      <w:r w:rsidRPr="00C647B8">
        <w:rPr>
          <w:b/>
          <w:bCs/>
        </w:rPr>
        <w:t xml:space="preserve">: Authorized 2027 FERA Administrative Budgets </w:t>
      </w:r>
    </w:p>
    <w:tbl>
      <w:tblPr>
        <w:tblStyle w:val="TableGrid"/>
        <w:tblW w:w="0" w:type="auto"/>
        <w:tblLook w:val="04A0" w:firstRow="1" w:lastRow="0" w:firstColumn="1" w:lastColumn="0" w:noHBand="0" w:noVBand="1"/>
      </w:tblPr>
      <w:tblGrid>
        <w:gridCol w:w="4675"/>
        <w:gridCol w:w="4675"/>
      </w:tblGrid>
      <w:tr w:rsidR="005A2670" w:rsidTr="00AE749C" w14:paraId="52A90B06" w14:textId="77777777">
        <w:tc>
          <w:tcPr>
            <w:tcW w:w="4675" w:type="dxa"/>
          </w:tcPr>
          <w:p w:rsidR="005A2670" w:rsidP="00AE749C" w:rsidRDefault="005A2670" w14:paraId="344ED445" w14:textId="77777777">
            <w:pPr>
              <w:pStyle w:val="Standard"/>
              <w:ind w:firstLine="0"/>
              <w:jc w:val="center"/>
            </w:pPr>
            <w:r>
              <w:t>Utility</w:t>
            </w:r>
          </w:p>
        </w:tc>
        <w:tc>
          <w:tcPr>
            <w:tcW w:w="4675" w:type="dxa"/>
          </w:tcPr>
          <w:p w:rsidR="005A2670" w:rsidP="00AE749C" w:rsidRDefault="005A2670" w14:paraId="4F322B04" w14:textId="4D44697A">
            <w:pPr>
              <w:pStyle w:val="Standard"/>
              <w:ind w:firstLine="0"/>
              <w:jc w:val="center"/>
            </w:pPr>
            <w:r>
              <w:t xml:space="preserve">Authorized 2027 </w:t>
            </w:r>
            <w:r w:rsidR="00067486">
              <w:t>FERA</w:t>
            </w:r>
            <w:r>
              <w:t xml:space="preserve"> Administrative Budget</w:t>
            </w:r>
          </w:p>
        </w:tc>
      </w:tr>
      <w:tr w:rsidR="005A2670" w:rsidTr="00AE749C" w14:paraId="61ABCB65" w14:textId="77777777">
        <w:tc>
          <w:tcPr>
            <w:tcW w:w="4675" w:type="dxa"/>
          </w:tcPr>
          <w:p w:rsidR="005A2670" w:rsidP="00AE749C" w:rsidRDefault="005A2670" w14:paraId="3A18C577" w14:textId="77777777">
            <w:pPr>
              <w:pStyle w:val="Standard"/>
              <w:ind w:firstLine="0"/>
              <w:jc w:val="center"/>
            </w:pPr>
            <w:r>
              <w:t>PG&amp;E</w:t>
            </w:r>
          </w:p>
        </w:tc>
        <w:tc>
          <w:tcPr>
            <w:tcW w:w="4675" w:type="dxa"/>
          </w:tcPr>
          <w:p w:rsidRPr="00AC1B0D" w:rsidR="005A2670" w:rsidP="00AC1B0D" w:rsidRDefault="00AC1B0D" w14:paraId="635C295D" w14:textId="14C5E7B2">
            <w:pPr>
              <w:spacing w:line="240" w:lineRule="auto"/>
              <w:ind w:firstLine="0"/>
              <w:jc w:val="center"/>
              <w:rPr>
                <w:rFonts w:cs="Calibri"/>
                <w:color w:val="000000"/>
                <w:szCs w:val="26"/>
              </w:rPr>
            </w:pPr>
            <w:r>
              <w:rPr>
                <w:rFonts w:cs="Calibri"/>
                <w:color w:val="000000"/>
                <w:szCs w:val="26"/>
              </w:rPr>
              <w:t>$3,055,800</w:t>
            </w:r>
          </w:p>
        </w:tc>
      </w:tr>
      <w:tr w:rsidR="005A2670" w:rsidTr="00AE749C" w14:paraId="3F4CF296" w14:textId="77777777">
        <w:tc>
          <w:tcPr>
            <w:tcW w:w="4675" w:type="dxa"/>
          </w:tcPr>
          <w:p w:rsidR="005A2670" w:rsidP="00AE749C" w:rsidRDefault="005A2670" w14:paraId="16A6D023" w14:textId="77777777">
            <w:pPr>
              <w:pStyle w:val="Standard"/>
              <w:ind w:firstLine="0"/>
              <w:jc w:val="center"/>
            </w:pPr>
            <w:r>
              <w:t>SCE</w:t>
            </w:r>
          </w:p>
        </w:tc>
        <w:tc>
          <w:tcPr>
            <w:tcW w:w="4675" w:type="dxa"/>
          </w:tcPr>
          <w:p w:rsidRPr="00953E8B" w:rsidR="005A2670" w:rsidP="00953E8B" w:rsidRDefault="00953E8B" w14:paraId="188B9E84" w14:textId="368F67A3">
            <w:pPr>
              <w:spacing w:line="240" w:lineRule="auto"/>
              <w:ind w:firstLine="0"/>
              <w:jc w:val="center"/>
              <w:rPr>
                <w:rFonts w:cs="Calibri"/>
                <w:color w:val="000000"/>
                <w:szCs w:val="26"/>
              </w:rPr>
            </w:pPr>
            <w:r>
              <w:rPr>
                <w:rFonts w:cs="Calibri"/>
                <w:color w:val="000000"/>
                <w:szCs w:val="26"/>
              </w:rPr>
              <w:t>$1,717,244</w:t>
            </w:r>
          </w:p>
        </w:tc>
      </w:tr>
      <w:tr w:rsidR="005A2670" w:rsidTr="00AE749C" w14:paraId="0BB95130" w14:textId="77777777">
        <w:tc>
          <w:tcPr>
            <w:tcW w:w="4675" w:type="dxa"/>
          </w:tcPr>
          <w:p w:rsidR="005A2670" w:rsidP="00AE749C" w:rsidRDefault="005A2670" w14:paraId="06034D05" w14:textId="77777777">
            <w:pPr>
              <w:pStyle w:val="Standard"/>
              <w:ind w:firstLine="0"/>
              <w:jc w:val="center"/>
            </w:pPr>
            <w:r>
              <w:t>SDG&amp;E</w:t>
            </w:r>
          </w:p>
        </w:tc>
        <w:tc>
          <w:tcPr>
            <w:tcW w:w="4675" w:type="dxa"/>
          </w:tcPr>
          <w:p w:rsidRPr="00AC1B0D" w:rsidR="005A2670" w:rsidP="00AC1B0D" w:rsidRDefault="00AC1B0D" w14:paraId="47AE7B34" w14:textId="7CE7E6DE">
            <w:pPr>
              <w:spacing w:line="240" w:lineRule="auto"/>
              <w:ind w:firstLine="0"/>
              <w:jc w:val="center"/>
              <w:rPr>
                <w:rFonts w:cs="Calibri"/>
                <w:color w:val="000000"/>
                <w:szCs w:val="26"/>
              </w:rPr>
            </w:pPr>
            <w:r>
              <w:rPr>
                <w:rFonts w:cs="Calibri"/>
                <w:color w:val="000000"/>
                <w:szCs w:val="26"/>
              </w:rPr>
              <w:t>$979,185</w:t>
            </w:r>
          </w:p>
        </w:tc>
      </w:tr>
      <w:tr w:rsidR="00015DA8" w:rsidTr="00AE749C" w14:paraId="1D73B6D4" w14:textId="77777777">
        <w:tc>
          <w:tcPr>
            <w:tcW w:w="4675" w:type="dxa"/>
          </w:tcPr>
          <w:p w:rsidR="00015DA8" w:rsidP="00AE749C" w:rsidRDefault="00015DA8" w14:paraId="32CCD443" w14:textId="26E5EEDD">
            <w:pPr>
              <w:pStyle w:val="Standard"/>
              <w:ind w:firstLine="0"/>
              <w:jc w:val="center"/>
            </w:pPr>
            <w:r>
              <w:t>Total</w:t>
            </w:r>
          </w:p>
        </w:tc>
        <w:tc>
          <w:tcPr>
            <w:tcW w:w="4675" w:type="dxa"/>
          </w:tcPr>
          <w:p w:rsidR="00015DA8" w:rsidP="00AC1B0D" w:rsidRDefault="00015DA8" w14:paraId="76F7DA04" w14:textId="6F480E8B">
            <w:pPr>
              <w:spacing w:line="240" w:lineRule="auto"/>
              <w:ind w:firstLine="0"/>
              <w:jc w:val="center"/>
              <w:rPr>
                <w:rFonts w:cs="Calibri"/>
                <w:color w:val="000000"/>
                <w:szCs w:val="26"/>
              </w:rPr>
            </w:pPr>
            <w:r>
              <w:rPr>
                <w:rFonts w:cs="Calibri"/>
                <w:color w:val="000000"/>
                <w:szCs w:val="26"/>
              </w:rPr>
              <w:t>$5,752,229</w:t>
            </w:r>
          </w:p>
        </w:tc>
      </w:tr>
    </w:tbl>
    <w:p w:rsidR="00675224" w:rsidP="00DC769A" w:rsidRDefault="00675224" w14:paraId="7EC7A330" w14:textId="639513A8">
      <w:pPr>
        <w:pStyle w:val="Standard"/>
        <w:ind w:firstLine="0"/>
      </w:pPr>
    </w:p>
    <w:p w:rsidR="00BD627A" w:rsidP="00FE2D37" w:rsidRDefault="00BD627A" w14:paraId="719F0F41" w14:textId="4DFABA09">
      <w:pPr>
        <w:pStyle w:val="Heading2"/>
      </w:pPr>
      <w:bookmarkStart w:name="_Toc230872070" w:id="36"/>
      <w:r>
        <w:t xml:space="preserve">Staff Proposal Regarding </w:t>
      </w:r>
      <w:r w:rsidR="00136D14">
        <w:t>Senate Bill 1130 Enrollment Efforts</w:t>
      </w:r>
      <w:bookmarkEnd w:id="36"/>
    </w:p>
    <w:p w:rsidR="00136D14" w:rsidP="006C23C8" w:rsidRDefault="00136D14" w14:paraId="51DDA85C" w14:textId="53301318">
      <w:r>
        <w:t xml:space="preserve">The Scoping Memo </w:t>
      </w:r>
      <w:r w:rsidRPr="00136D14">
        <w:t>included a</w:t>
      </w:r>
      <w:r>
        <w:t>n Energy Division</w:t>
      </w:r>
      <w:r w:rsidRPr="00136D14">
        <w:t xml:space="preserve"> Staff</w:t>
      </w:r>
      <w:r>
        <w:t xml:space="preserve"> </w:t>
      </w:r>
      <w:r w:rsidRPr="00136D14">
        <w:t>Proposal on the Commission’s Assessment of Electrical Corporations’ Efforts to Enroll FERA-Eligible</w:t>
      </w:r>
      <w:r>
        <w:t xml:space="preserve"> </w:t>
      </w:r>
      <w:r w:rsidRPr="00136D14">
        <w:t>Customers</w:t>
      </w:r>
      <w:r w:rsidR="003F4B52">
        <w:t xml:space="preserve"> (SB 1130 Proposal)</w:t>
      </w:r>
      <w:r>
        <w:t xml:space="preserve">, </w:t>
      </w:r>
      <w:r w:rsidR="00B00381">
        <w:t>as required by</w:t>
      </w:r>
      <w:r>
        <w:t xml:space="preserve"> SB 1130.  </w:t>
      </w:r>
      <w:r w:rsidR="005C71D3">
        <w:t xml:space="preserve">The </w:t>
      </w:r>
      <w:r w:rsidR="00D274E1">
        <w:t xml:space="preserve">SB 1130 </w:t>
      </w:r>
      <w:r w:rsidRPr="009B19EF" w:rsidR="009B19EF">
        <w:lastRenderedPageBreak/>
        <w:t>Proposal recommends that for Bridge Year 2027, the large</w:t>
      </w:r>
      <w:r w:rsidR="009B19EF">
        <w:t xml:space="preserve"> </w:t>
      </w:r>
      <w:r w:rsidRPr="009B19EF" w:rsidR="009B19EF">
        <w:t>electric IOUs file their FERA Annual Reports by March 1 through a Tier 3 Advice Letter (AL) for</w:t>
      </w:r>
      <w:r w:rsidR="009B19EF">
        <w:t xml:space="preserve"> </w:t>
      </w:r>
      <w:r w:rsidRPr="009B19EF" w:rsidR="009B19EF">
        <w:t>Program Year 2026, as the AL process allows stakeholders and parties to protest the reports, and the</w:t>
      </w:r>
      <w:r w:rsidR="009B19EF">
        <w:t xml:space="preserve"> </w:t>
      </w:r>
      <w:r w:rsidRPr="009B19EF" w:rsidR="009B19EF">
        <w:t>Commission, in turn, can consider these protests in its review.</w:t>
      </w:r>
      <w:r w:rsidR="00434625">
        <w:rPr>
          <w:rStyle w:val="FootnoteReference"/>
        </w:rPr>
        <w:footnoteReference w:id="46"/>
      </w:r>
      <w:r w:rsidRPr="009B19EF" w:rsidR="009B19EF">
        <w:t xml:space="preserve"> If the Commission determines the IOUs</w:t>
      </w:r>
      <w:r w:rsidR="009B19EF">
        <w:t xml:space="preserve"> </w:t>
      </w:r>
      <w:r w:rsidRPr="009B19EF" w:rsidR="009B19EF">
        <w:t xml:space="preserve">made reasonable efforts, the Commission will then approve the AL through a </w:t>
      </w:r>
      <w:r w:rsidR="002705F6">
        <w:t>r</w:t>
      </w:r>
      <w:r w:rsidRPr="009B19EF" w:rsidR="009B19EF">
        <w:t>esolution. If the</w:t>
      </w:r>
      <w:r w:rsidR="009B19EF">
        <w:t xml:space="preserve"> </w:t>
      </w:r>
      <w:r w:rsidRPr="009B19EF" w:rsidR="009B19EF">
        <w:t xml:space="preserve">Commission determines </w:t>
      </w:r>
      <w:r w:rsidR="009B748C">
        <w:t xml:space="preserve">that </w:t>
      </w:r>
      <w:r w:rsidRPr="009B19EF" w:rsidR="009B19EF">
        <w:t xml:space="preserve">reasonable efforts </w:t>
      </w:r>
      <w:r w:rsidR="002705F6">
        <w:t>were</w:t>
      </w:r>
      <w:r w:rsidRPr="009B19EF" w:rsidR="009B19EF">
        <w:t xml:space="preserve"> not made, the </w:t>
      </w:r>
      <w:r w:rsidR="002705F6">
        <w:t>r</w:t>
      </w:r>
      <w:r w:rsidRPr="009B19EF" w:rsidR="009B19EF">
        <w:t xml:space="preserve">esolution </w:t>
      </w:r>
      <w:proofErr w:type="gramStart"/>
      <w:r w:rsidRPr="009B19EF" w:rsidR="009B19EF">
        <w:t>would</w:t>
      </w:r>
      <w:proofErr w:type="gramEnd"/>
      <w:r w:rsidRPr="009B19EF" w:rsidR="009B19EF">
        <w:t xml:space="preserve"> require the IOU</w:t>
      </w:r>
      <w:r w:rsidR="009B748C">
        <w:t>s</w:t>
      </w:r>
      <w:r w:rsidRPr="009B19EF" w:rsidR="009B19EF">
        <w:t xml:space="preserve"> to</w:t>
      </w:r>
      <w:r w:rsidR="009B19EF">
        <w:t xml:space="preserve"> </w:t>
      </w:r>
      <w:r w:rsidRPr="009B19EF" w:rsidR="009B19EF">
        <w:t xml:space="preserve">develop a strategy and plan to improve enrollment within three years of the adopted </w:t>
      </w:r>
      <w:r w:rsidR="002705F6">
        <w:t>r</w:t>
      </w:r>
      <w:r w:rsidRPr="009B19EF" w:rsidR="009B19EF">
        <w:t>esolution.</w:t>
      </w:r>
      <w:r w:rsidR="003F4B52">
        <w:t xml:space="preserve">  The SB 1130 Proposal also included an</w:t>
      </w:r>
      <w:r w:rsidR="001E5038">
        <w:t xml:space="preserve"> </w:t>
      </w:r>
      <w:r w:rsidR="003F4B52">
        <w:t xml:space="preserve">Appendix </w:t>
      </w:r>
      <w:r w:rsidR="00EA4730">
        <w:t>list</w:t>
      </w:r>
      <w:r w:rsidR="009B748C">
        <w:t>ing</w:t>
      </w:r>
      <w:r w:rsidR="003F4B52">
        <w:t xml:space="preserve"> </w:t>
      </w:r>
      <w:r w:rsidR="009B748C">
        <w:t xml:space="preserve">the </w:t>
      </w:r>
      <w:r w:rsidR="00283AD3">
        <w:t>factors Energy Division staff would consider in determining whether reasonable efforts were made, which include</w:t>
      </w:r>
      <w:r w:rsidR="001E5038">
        <w:t>d</w:t>
      </w:r>
      <w:r w:rsidR="00283AD3">
        <w:t xml:space="preserve"> enrollment rates, marketing and outreach efforts, enrollment processes, and enrollment strategies.</w:t>
      </w:r>
      <w:r w:rsidR="00AB598B">
        <w:rPr>
          <w:rStyle w:val="FootnoteReference"/>
        </w:rPr>
        <w:footnoteReference w:id="47"/>
      </w:r>
    </w:p>
    <w:p w:rsidR="009B19EF" w:rsidP="009B19EF" w:rsidRDefault="009B19EF" w14:paraId="1CDCE243" w14:textId="2E40AA91">
      <w:pPr>
        <w:pStyle w:val="Standard"/>
      </w:pPr>
      <w:r>
        <w:t>Parties stated that the typical amount of ti</w:t>
      </w:r>
      <w:r w:rsidR="0041722F">
        <w:t>me a Tier 3 AL takes to process is more than the SB 1130 compliance deadline would allow for.  SCE noted that a Tier 3 AL would lead to protests for what SCE believes is a compliance and monitoring exercise.</w:t>
      </w:r>
      <w:r w:rsidR="0041722F">
        <w:rPr>
          <w:rStyle w:val="FootnoteReference"/>
        </w:rPr>
        <w:footnoteReference w:id="48"/>
      </w:r>
      <w:r w:rsidR="00A318E7">
        <w:t xml:space="preserve">  PG&amp;E proposes that </w:t>
      </w:r>
      <w:r w:rsidR="006B633C">
        <w:t xml:space="preserve">the issue be resolved in the </w:t>
      </w:r>
      <w:r w:rsidR="008464F4">
        <w:t>2028-2033 IQP</w:t>
      </w:r>
      <w:r w:rsidR="006B633C">
        <w:t xml:space="preserve"> application</w:t>
      </w:r>
      <w:r w:rsidR="008464F4">
        <w:t>s</w:t>
      </w:r>
      <w:r w:rsidR="006B633C">
        <w:t>.</w:t>
      </w:r>
      <w:r w:rsidR="006B633C">
        <w:rPr>
          <w:rStyle w:val="FootnoteReference"/>
        </w:rPr>
        <w:footnoteReference w:id="49"/>
      </w:r>
    </w:p>
    <w:p w:rsidRPr="00136D14" w:rsidR="00DC7B4D" w:rsidP="009B19EF" w:rsidRDefault="00A21700" w14:paraId="057C49E8" w14:textId="1BC71EE7">
      <w:pPr>
        <w:pStyle w:val="Standard"/>
      </w:pPr>
      <w:r>
        <w:t xml:space="preserve">This decision is the Commission’s first opportunity to implement an SB 1130 compliance process via a formal decision.  </w:t>
      </w:r>
      <w:r w:rsidR="003F0AD9">
        <w:t xml:space="preserve">The </w:t>
      </w:r>
      <w:r w:rsidR="008824CC">
        <w:t>SB 1130</w:t>
      </w:r>
      <w:r w:rsidR="003F0AD9">
        <w:t xml:space="preserve"> Proposal </w:t>
      </w:r>
      <w:r w:rsidR="00773CC1">
        <w:t>proposes</w:t>
      </w:r>
      <w:r w:rsidR="003F0AD9">
        <w:t xml:space="preserve"> specific criteria for the Energy Division to analyze in determining whether an </w:t>
      </w:r>
      <w:r w:rsidR="003F0AD9">
        <w:lastRenderedPageBreak/>
        <w:t xml:space="preserve">IOU </w:t>
      </w:r>
      <w:r w:rsidR="00D35729">
        <w:t>has made reasonable efforts to enroll eligible households in FERA, as directed by SB 1130.</w:t>
      </w:r>
      <w:r w:rsidR="008F03AE">
        <w:t xml:space="preserve">  </w:t>
      </w:r>
      <w:r w:rsidR="004D0773">
        <w:t>I</w:t>
      </w:r>
      <w:r w:rsidR="00947C05">
        <w:t xml:space="preserve">mplementing </w:t>
      </w:r>
      <w:r w:rsidR="00A34F80">
        <w:t>this process may provide</w:t>
      </w:r>
      <w:r w:rsidR="00920A59">
        <w:t xml:space="preserve"> insights </w:t>
      </w:r>
      <w:r w:rsidR="00FB1373">
        <w:t>into</w:t>
      </w:r>
      <w:r w:rsidR="00920A59">
        <w:t xml:space="preserve"> future improvements to the process</w:t>
      </w:r>
      <w:r w:rsidR="004C7C9F">
        <w:t>, su</w:t>
      </w:r>
      <w:r w:rsidR="009152A8">
        <w:t>ch as potential streamlining or additional criteria</w:t>
      </w:r>
      <w:r w:rsidR="00920A59">
        <w:t>.</w:t>
      </w:r>
      <w:r w:rsidR="00C92750">
        <w:t xml:space="preserve">  </w:t>
      </w:r>
      <w:r w:rsidR="009F2204">
        <w:t>However, the IOUs point out potential implementation difficulties with the SB 1130 Proposal, mainly related to filing a Tier 3 AL</w:t>
      </w:r>
      <w:r w:rsidR="007C59A6">
        <w:t xml:space="preserve">.  </w:t>
      </w:r>
      <w:r w:rsidR="00E11237">
        <w:t xml:space="preserve">Given that the issue will be more fully addressed in the </w:t>
      </w:r>
      <w:r w:rsidR="00B20E42">
        <w:t>2028-2033 IQP applications</w:t>
      </w:r>
      <w:r w:rsidR="00E11237">
        <w:t>,</w:t>
      </w:r>
      <w:r w:rsidR="00E11237">
        <w:rPr>
          <w:rStyle w:val="FootnoteReference"/>
        </w:rPr>
        <w:footnoteReference w:id="50"/>
      </w:r>
      <w:r w:rsidR="004F20F8">
        <w:t xml:space="preserve"> and these reports will only cover </w:t>
      </w:r>
      <w:proofErr w:type="gramStart"/>
      <w:r w:rsidR="004F20F8">
        <w:t xml:space="preserve">the </w:t>
      </w:r>
      <w:r w:rsidR="003D1ABF">
        <w:t>one</w:t>
      </w:r>
      <w:proofErr w:type="gramEnd"/>
      <w:r w:rsidR="003D1ABF">
        <w:t xml:space="preserve"> year</w:t>
      </w:r>
      <w:r w:rsidR="004F20F8">
        <w:t xml:space="preserve"> before new program goals and requirements are adopted</w:t>
      </w:r>
      <w:r w:rsidR="00902CEA">
        <w:t>,</w:t>
      </w:r>
      <w:r w:rsidR="009B0CBA">
        <w:t xml:space="preserve"> it is reasonable for the IOUs to submit their 2026</w:t>
      </w:r>
      <w:r w:rsidR="004F20F8">
        <w:t xml:space="preserve"> </w:t>
      </w:r>
      <w:r w:rsidR="009B0CBA">
        <w:t>FERA Annual Report as</w:t>
      </w:r>
      <w:r w:rsidR="004408AA">
        <w:t xml:space="preserve"> a</w:t>
      </w:r>
      <w:r w:rsidR="009B0CBA">
        <w:t xml:space="preserve"> Tier 2 AL</w:t>
      </w:r>
      <w:r w:rsidR="000A2E71">
        <w:t xml:space="preserve">. </w:t>
      </w:r>
      <w:r w:rsidR="009F2204">
        <w:t xml:space="preserve"> </w:t>
      </w:r>
      <w:r w:rsidR="00C92750">
        <w:t xml:space="preserve">The </w:t>
      </w:r>
      <w:r w:rsidR="00702296">
        <w:t xml:space="preserve">process set out in the </w:t>
      </w:r>
      <w:r w:rsidR="00C92750">
        <w:t>SB 1130 Proposal is therefore adopted</w:t>
      </w:r>
      <w:r w:rsidR="009F2204">
        <w:t>, as modified</w:t>
      </w:r>
      <w:r w:rsidR="00050810">
        <w:t xml:space="preserve"> (Attachment 3)</w:t>
      </w:r>
      <w:r w:rsidR="009F2204">
        <w:t>.</w:t>
      </w:r>
    </w:p>
    <w:p w:rsidR="00AE7D35" w:rsidP="00FE2D37" w:rsidRDefault="00AE7D35" w14:paraId="6CD98CEA" w14:textId="4DF2AB36">
      <w:pPr>
        <w:pStyle w:val="Heading1"/>
      </w:pPr>
      <w:bookmarkStart w:name="_Toc230872071" w:id="37"/>
      <w:r>
        <w:t>ESA</w:t>
      </w:r>
      <w:bookmarkEnd w:id="37"/>
    </w:p>
    <w:p w:rsidR="00A312B0" w:rsidP="00AE7D35" w:rsidRDefault="009C02A2" w14:paraId="2690180C" w14:textId="2EBF1373">
      <w:pPr>
        <w:pStyle w:val="Standard"/>
      </w:pPr>
      <w:r>
        <w:t>T</w:t>
      </w:r>
      <w:r w:rsidRPr="00F369EC">
        <w:t>he ESA program is a</w:t>
      </w:r>
      <w:r>
        <w:t xml:space="preserve">n </w:t>
      </w:r>
      <w:r w:rsidRPr="00F369EC">
        <w:t xml:space="preserve">energy efficiency program that provides </w:t>
      </w:r>
      <w:r>
        <w:t xml:space="preserve">no-cost </w:t>
      </w:r>
      <w:r w:rsidRPr="00F369EC">
        <w:t>home weatherization services and energy efficiency measures to help low</w:t>
      </w:r>
      <w:r>
        <w:t>-</w:t>
      </w:r>
      <w:r w:rsidRPr="00F369EC">
        <w:t>income households conserve energy, reduce their energy costs</w:t>
      </w:r>
      <w:r>
        <w:t xml:space="preserve"> or </w:t>
      </w:r>
      <w:r w:rsidRPr="00F369EC">
        <w:t>utility bills</w:t>
      </w:r>
      <w:r w:rsidRPr="00F369EC" w:rsidR="00F369EC">
        <w:t>, and improve the health, comfort, and safety of the home. The program also provides information and education to promote energy efficient practices in low</w:t>
      </w:r>
      <w:r w:rsidR="005E33F8">
        <w:t>-</w:t>
      </w:r>
      <w:r w:rsidRPr="00F369EC" w:rsidR="00F369EC">
        <w:t>income communities. Initially offered as an assistance program directly from a few IOUs in the 1980s, the ESA program was later adopted and codified into statute in 1990. Pub. Util. Code Section 2790(a) provides</w:t>
      </w:r>
      <w:r w:rsidR="00F369EC">
        <w:t xml:space="preserve"> </w:t>
      </w:r>
      <w:r w:rsidR="00666131">
        <w:t>that</w:t>
      </w:r>
      <w:r w:rsidR="00F369EC">
        <w:t>:</w:t>
      </w:r>
    </w:p>
    <w:p w:rsidR="00A312B0" w:rsidP="00FE2D37" w:rsidRDefault="00A312B0" w14:paraId="552EFC60" w14:textId="6869C041">
      <w:pPr>
        <w:pStyle w:val="BlockQuote"/>
      </w:pPr>
      <w:r w:rsidRPr="00A312B0">
        <w:t xml:space="preserve">The commission shall require an electrical or gas corporation to perform home weatherization services for low-income customers if the commission determines that a significant need for those services exists in the corporation's service territory, taking into consideration </w:t>
      </w:r>
      <w:r w:rsidRPr="00A312B0">
        <w:lastRenderedPageBreak/>
        <w:t>both the cost-effectiveness of the services and the policy of reducing the hardships facing low-income households.</w:t>
      </w:r>
    </w:p>
    <w:p w:rsidRPr="00AE7D35" w:rsidR="00A312B0" w:rsidP="00A312B0" w:rsidRDefault="00A312B0" w14:paraId="0190AA40" w14:textId="705A1FA5">
      <w:pPr>
        <w:pStyle w:val="Standard"/>
      </w:pPr>
      <w:r w:rsidRPr="00A312B0">
        <w:t xml:space="preserve">Income limits for program participation </w:t>
      </w:r>
      <w:r w:rsidR="00BC5A83">
        <w:t>are</w:t>
      </w:r>
      <w:r w:rsidRPr="00A312B0">
        <w:t xml:space="preserve"> set at</w:t>
      </w:r>
      <w:r w:rsidR="00FD4B14">
        <w:t xml:space="preserve"> or below</w:t>
      </w:r>
      <w:r w:rsidRPr="00A312B0">
        <w:t xml:space="preserve"> 2</w:t>
      </w:r>
      <w:r w:rsidR="00496A38">
        <w:t>5</w:t>
      </w:r>
      <w:r w:rsidRPr="00A312B0">
        <w:t xml:space="preserve">0 percent </w:t>
      </w:r>
      <w:r w:rsidR="00FD4B14">
        <w:t>of</w:t>
      </w:r>
      <w:r w:rsidRPr="00A312B0">
        <w:t xml:space="preserve"> FPG</w:t>
      </w:r>
      <w:r w:rsidR="002F5EC1">
        <w:t>.</w:t>
      </w:r>
      <w:r w:rsidRPr="00A312B0">
        <w:t xml:space="preserve"> </w:t>
      </w:r>
      <w:r w:rsidR="002F5EC1">
        <w:t xml:space="preserve">ESA consists of </w:t>
      </w:r>
      <w:proofErr w:type="gramStart"/>
      <w:r w:rsidR="002F5EC1">
        <w:t>a number of</w:t>
      </w:r>
      <w:proofErr w:type="gramEnd"/>
      <w:r w:rsidR="002F5EC1">
        <w:t xml:space="preserve"> sub-category programs that are available to different subsets of customers, </w:t>
      </w:r>
      <w:r w:rsidRPr="00A312B0">
        <w:t>includ</w:t>
      </w:r>
      <w:r w:rsidR="002F5EC1">
        <w:t>ing</w:t>
      </w:r>
      <w:r w:rsidRPr="00A312B0">
        <w:t xml:space="preserve"> residential single-family households, multifamily households, mobile homes, renters, and owners. The ESA program is funded by both participating and non-participating ratepayers as part of a statutory public purpose program surcharge that appears on their monthly utility bills.</w:t>
      </w:r>
      <w:r w:rsidR="00B90E3A">
        <w:t xml:space="preserve">  </w:t>
      </w:r>
      <w:r w:rsidRPr="009D6FE5" w:rsidR="009D6FE5">
        <w:t xml:space="preserve">D.21-06-015 approved the IOUs to shift the ESA </w:t>
      </w:r>
      <w:r w:rsidR="00FB2966">
        <w:t>p</w:t>
      </w:r>
      <w:r w:rsidRPr="009D6FE5" w:rsidR="009D6FE5">
        <w:t>rogram away from treating all eligible and willing households towards a customer-centered prioritization model based on household needs and customer profile</w:t>
      </w:r>
      <w:r w:rsidR="009F48A7">
        <w:t>,</w:t>
      </w:r>
      <w:r w:rsidR="009D6FE5">
        <w:rPr>
          <w:rStyle w:val="FootnoteReference"/>
        </w:rPr>
        <w:footnoteReference w:id="51"/>
      </w:r>
      <w:r w:rsidR="009F48A7">
        <w:t xml:space="preserve"> </w:t>
      </w:r>
      <w:proofErr w:type="gramStart"/>
      <w:r w:rsidR="009F48A7">
        <w:t>and also</w:t>
      </w:r>
      <w:proofErr w:type="gramEnd"/>
      <w:r w:rsidR="009F48A7">
        <w:t xml:space="preserve"> established the MFWB</w:t>
      </w:r>
      <w:r w:rsidR="00D73C6A">
        <w:t xml:space="preserve"> program, a</w:t>
      </w:r>
      <w:r w:rsidR="00404504">
        <w:t>nd authorized the</w:t>
      </w:r>
      <w:r w:rsidR="00C90902">
        <w:t xml:space="preserve"> P</w:t>
      </w:r>
      <w:r w:rsidR="00BC5A83">
        <w:t xml:space="preserve">ilot </w:t>
      </w:r>
      <w:r w:rsidR="00C90902">
        <w:t>P</w:t>
      </w:r>
      <w:r w:rsidR="00BC5A83">
        <w:t>lus</w:t>
      </w:r>
      <w:r w:rsidR="00C90902">
        <w:t>/P</w:t>
      </w:r>
      <w:r w:rsidR="00BC5A83">
        <w:t xml:space="preserve">ilot </w:t>
      </w:r>
      <w:r w:rsidR="00C90902">
        <w:t>D</w:t>
      </w:r>
      <w:r w:rsidR="00BC5A83">
        <w:t>eep (PP/PD)</w:t>
      </w:r>
      <w:r w:rsidR="00C90902">
        <w:t xml:space="preserve"> </w:t>
      </w:r>
      <w:r w:rsidR="00404504">
        <w:t>Pilots through 2026</w:t>
      </w:r>
      <w:r w:rsidR="009F48A7">
        <w:t>.</w:t>
      </w:r>
    </w:p>
    <w:p w:rsidR="00014285" w:rsidP="00FE2D37" w:rsidRDefault="00014285" w14:paraId="001777F2" w14:textId="304FB527">
      <w:pPr>
        <w:pStyle w:val="Heading2"/>
      </w:pPr>
      <w:bookmarkStart w:name="_Toc230872072" w:id="38"/>
      <w:r>
        <w:t>PG&amp;E</w:t>
      </w:r>
      <w:r w:rsidR="00A471E9">
        <w:t>’S</w:t>
      </w:r>
      <w:r>
        <w:t xml:space="preserve"> ESA </w:t>
      </w:r>
      <w:r w:rsidR="006B649D">
        <w:t>Program</w:t>
      </w:r>
      <w:bookmarkEnd w:id="38"/>
    </w:p>
    <w:p w:rsidR="00014285" w:rsidP="007A13A3" w:rsidRDefault="007A13A3" w14:paraId="19C0C01D" w14:textId="27C5F878">
      <w:pPr>
        <w:pStyle w:val="Standard"/>
      </w:pPr>
      <w:r>
        <w:t>PG&amp;E’s</w:t>
      </w:r>
      <w:r w:rsidR="005410C7">
        <w:t xml:space="preserve"> ESA portfolio includes </w:t>
      </w:r>
      <w:r w:rsidR="00D47DE3">
        <w:t>the following</w:t>
      </w:r>
      <w:r w:rsidR="005410C7">
        <w:t xml:space="preserve"> programs available </w:t>
      </w:r>
      <w:r w:rsidR="00D47DE3">
        <w:t>to those meeting the income limits</w:t>
      </w:r>
      <w:r w:rsidR="006D0184">
        <w:t>:</w:t>
      </w:r>
    </w:p>
    <w:p w:rsidR="006D0184" w:rsidP="00FE2D37" w:rsidRDefault="006D0184" w14:paraId="20490E7E" w14:textId="7E744774">
      <w:pPr>
        <w:pStyle w:val="ListBullet"/>
        <w:ind w:right="1440"/>
      </w:pPr>
      <w:r>
        <w:t>ESA Main</w:t>
      </w:r>
      <w:r w:rsidR="00B1092A">
        <w:t xml:space="preserve"> – available for </w:t>
      </w:r>
      <w:r w:rsidR="0062535E">
        <w:t>most customers;</w:t>
      </w:r>
    </w:p>
    <w:p w:rsidR="006D0184" w:rsidP="00FE2D37" w:rsidRDefault="006D0184" w14:paraId="56F99D8A" w14:textId="53599D81">
      <w:pPr>
        <w:pStyle w:val="ListBullet"/>
        <w:ind w:right="1440"/>
      </w:pPr>
      <w:r>
        <w:t>ESA MFWB</w:t>
      </w:r>
      <w:r w:rsidR="0093101A">
        <w:t xml:space="preserve"> </w:t>
      </w:r>
      <w:r w:rsidR="00835CBD">
        <w:t xml:space="preserve">- </w:t>
      </w:r>
      <w:r w:rsidR="0062535E">
        <w:t>available for multifamily properties</w:t>
      </w:r>
      <w:r w:rsidR="0036290F">
        <w:t xml:space="preserve"> and residents</w:t>
      </w:r>
      <w:r w:rsidR="00D606F5">
        <w:t>;</w:t>
      </w:r>
      <w:r w:rsidR="002122EE">
        <w:t xml:space="preserve"> and</w:t>
      </w:r>
    </w:p>
    <w:p w:rsidR="004847E7" w:rsidP="00FE2D37" w:rsidRDefault="006D0184" w14:paraId="0E4B9C92" w14:textId="1DA52C0B">
      <w:pPr>
        <w:pStyle w:val="ListBullet"/>
        <w:ind w:right="1440"/>
      </w:pPr>
      <w:r>
        <w:t>ESA Pilot Plus/Pilot Deep</w:t>
      </w:r>
      <w:r w:rsidR="0093101A">
        <w:t xml:space="preserve"> </w:t>
      </w:r>
      <w:r w:rsidR="00C5646B">
        <w:t>–</w:t>
      </w:r>
      <w:r w:rsidR="0093101A">
        <w:t xml:space="preserve"> </w:t>
      </w:r>
      <w:r w:rsidR="00C5646B">
        <w:t>target</w:t>
      </w:r>
      <w:r w:rsidR="00BF0A85">
        <w:t>s</w:t>
      </w:r>
      <w:r w:rsidR="00C5646B">
        <w:t xml:space="preserve"> customers with greatest need </w:t>
      </w:r>
      <w:r w:rsidR="00537C66">
        <w:t xml:space="preserve">and highest likelihood of achieving </w:t>
      </w:r>
      <w:r w:rsidR="00474C46">
        <w:t>large</w:t>
      </w:r>
      <w:r w:rsidR="00537C66">
        <w:t xml:space="preserve"> energy savings (5 to 15 percent for Pilot Plus, and 15 to 50 percent for Pilot Deep)</w:t>
      </w:r>
      <w:r w:rsidR="002122EE">
        <w:t>.</w:t>
      </w:r>
    </w:p>
    <w:p w:rsidR="004847E7" w:rsidP="00FE2D37" w:rsidRDefault="004847E7" w14:paraId="5CAD7B6A" w14:textId="33E0E87A">
      <w:pPr>
        <w:pStyle w:val="Heading3"/>
      </w:pPr>
      <w:bookmarkStart w:name="_Toc230872073" w:id="39"/>
      <w:r>
        <w:lastRenderedPageBreak/>
        <w:t>ESA Main</w:t>
      </w:r>
      <w:bookmarkEnd w:id="39"/>
    </w:p>
    <w:p w:rsidR="004847E7" w:rsidP="006566FE" w:rsidRDefault="004847E7" w14:paraId="3C924D84" w14:textId="20122024">
      <w:pPr>
        <w:pStyle w:val="Standard"/>
      </w:pPr>
      <w:r>
        <w:t>PG&amp;E</w:t>
      </w:r>
      <w:r w:rsidR="002F40D9">
        <w:t xml:space="preserve"> </w:t>
      </w:r>
      <w:r>
        <w:t xml:space="preserve">proposes to maintain </w:t>
      </w:r>
      <w:r w:rsidR="00FB2966">
        <w:t xml:space="preserve">the same </w:t>
      </w:r>
      <w:r>
        <w:t>ESA</w:t>
      </w:r>
      <w:r w:rsidR="009F46E8">
        <w:t xml:space="preserve"> Main</w:t>
      </w:r>
      <w:r>
        <w:t xml:space="preserve"> program savings goals and treatment targets approved in D.21-06-015.</w:t>
      </w:r>
      <w:r>
        <w:rPr>
          <w:rStyle w:val="FootnoteReference"/>
        </w:rPr>
        <w:footnoteReference w:id="52"/>
      </w:r>
      <w:r>
        <w:t xml:space="preserve">  PG&amp;E states that it exceeded or nearly achieved all savings goals from 2022</w:t>
      </w:r>
      <w:r w:rsidR="009A4F1D">
        <w:t>–</w:t>
      </w:r>
      <w:proofErr w:type="gramStart"/>
      <w:r w:rsidR="009A4F1D">
        <w:t>202</w:t>
      </w:r>
      <w:r>
        <w:t>4</w:t>
      </w:r>
      <w:r w:rsidR="00D14CDE">
        <w:t>, and</w:t>
      </w:r>
      <w:proofErr w:type="gramEnd"/>
      <w:r w:rsidR="00D14CDE">
        <w:t xml:space="preserve"> expects to continue doing so for 2027</w:t>
      </w:r>
      <w:r>
        <w:t xml:space="preserve">.  </w:t>
      </w:r>
      <w:r w:rsidR="00D14CDE">
        <w:t>PG&amp;E notes that potential difficulties</w:t>
      </w:r>
      <w:r>
        <w:t xml:space="preserve"> </w:t>
      </w:r>
      <w:r w:rsidR="009C3006">
        <w:t xml:space="preserve">in </w:t>
      </w:r>
      <w:r>
        <w:t>meeting ESA Main goals</w:t>
      </w:r>
      <w:r w:rsidR="009C3006">
        <w:t xml:space="preserve"> could arise</w:t>
      </w:r>
      <w:r>
        <w:t xml:space="preserve"> due to increased labor and materials cost.</w:t>
      </w:r>
      <w:r w:rsidR="009C3006">
        <w:rPr>
          <w:rStyle w:val="FootnoteReference"/>
        </w:rPr>
        <w:footnoteReference w:id="53"/>
      </w:r>
      <w:r w:rsidR="006566FE">
        <w:t xml:space="preserve">  </w:t>
      </w:r>
      <w:r>
        <w:t>PG&amp;E proposes to maintain the ESA Cost-Effectiveness Test (ESACET)</w:t>
      </w:r>
      <w:r w:rsidR="00695713">
        <w:t xml:space="preserve"> target</w:t>
      </w:r>
      <w:r>
        <w:t xml:space="preserve"> score of 0.7, which was approved for 2021</w:t>
      </w:r>
      <w:r w:rsidR="009A4F1D">
        <w:t>–202</w:t>
      </w:r>
      <w:r>
        <w:t xml:space="preserve">6.  PG&amp;E proposes to continue the ESA </w:t>
      </w:r>
      <w:r w:rsidR="00F226E4">
        <w:t>PP/PD</w:t>
      </w:r>
      <w:r>
        <w:t xml:space="preserve"> pilot through 2027 to </w:t>
      </w:r>
      <w:r w:rsidR="00DC58E8">
        <w:t xml:space="preserve">provide post-installation support to customers and </w:t>
      </w:r>
      <w:r>
        <w:t>continue gathering data.</w:t>
      </w:r>
    </w:p>
    <w:p w:rsidRPr="0023686A" w:rsidR="004847E7" w:rsidP="0023686A" w:rsidRDefault="004847E7" w14:paraId="7B19DDBD" w14:textId="26E708ED">
      <w:pPr>
        <w:pStyle w:val="Standard"/>
      </w:pPr>
      <w:r>
        <w:t xml:space="preserve">Program delivery and </w:t>
      </w:r>
      <w:r w:rsidR="0014296C">
        <w:t>m</w:t>
      </w:r>
      <w:r>
        <w:t xml:space="preserve">easures offered will remain unchanged </w:t>
      </w:r>
      <w:r w:rsidR="00902BB4">
        <w:t>from</w:t>
      </w:r>
      <w:r>
        <w:t xml:space="preserve"> 2026, with a focus on customer-centered delivery and measures that maximize reduction of energy burden and improve health, comfort, and safety.</w:t>
      </w:r>
      <w:r>
        <w:rPr>
          <w:rStyle w:val="FootnoteReference"/>
        </w:rPr>
        <w:footnoteReference w:id="54"/>
      </w:r>
      <w:r>
        <w:t xml:space="preserve">  PG&amp;E proposes to continue to segment ESA Main customers into Basic, Plus, and special customer segments. </w:t>
      </w:r>
    </w:p>
    <w:p w:rsidR="0023686A" w:rsidP="00FE2D37" w:rsidRDefault="0023686A" w14:paraId="4C2F0C3B" w14:textId="676E247F">
      <w:pPr>
        <w:pStyle w:val="Heading3"/>
      </w:pPr>
      <w:bookmarkStart w:name="_Toc230872074" w:id="40"/>
      <w:r>
        <w:t>ESA MFWB</w:t>
      </w:r>
      <w:bookmarkEnd w:id="40"/>
    </w:p>
    <w:p w:rsidRPr="0040412D" w:rsidR="0040412D" w:rsidP="00926216" w:rsidRDefault="009F46E8" w14:paraId="7A4459F8" w14:textId="6364C3EC">
      <w:pPr>
        <w:pStyle w:val="Standard"/>
      </w:pPr>
      <w:r>
        <w:t xml:space="preserve">PG&amp;E generally proposes the same MFWB </w:t>
      </w:r>
      <w:r w:rsidR="00226B4D">
        <w:t xml:space="preserve">program for 2027, </w:t>
      </w:r>
      <w:r w:rsidR="00F250BE">
        <w:t>with the same enrollment</w:t>
      </w:r>
      <w:r w:rsidR="00802E35">
        <w:t xml:space="preserve">, </w:t>
      </w:r>
      <w:r w:rsidR="00F250BE">
        <w:t>eligibility requirements</w:t>
      </w:r>
      <w:r w:rsidR="00EE4049">
        <w:t xml:space="preserve"> and measures offered</w:t>
      </w:r>
      <w:r w:rsidR="00422CA3">
        <w:t xml:space="preserve"> in 2026</w:t>
      </w:r>
      <w:r w:rsidR="00F250BE">
        <w:t xml:space="preserve">.  </w:t>
      </w:r>
      <w:r w:rsidR="006566FE">
        <w:t xml:space="preserve">PG&amp;E proposes to carry over the MFWB goals and targets </w:t>
      </w:r>
      <w:r w:rsidR="00990DAF">
        <w:t>from</w:t>
      </w:r>
      <w:r w:rsidR="00802E35">
        <w:t xml:space="preserve"> </w:t>
      </w:r>
      <w:r w:rsidR="006566FE">
        <w:t>2023</w:t>
      </w:r>
      <w:r w:rsidR="00802E35">
        <w:t>-</w:t>
      </w:r>
      <w:r w:rsidR="006566FE">
        <w:t>2026</w:t>
      </w:r>
      <w:r w:rsidR="00990DAF">
        <w:t xml:space="preserve"> into 2027,</w:t>
      </w:r>
      <w:r w:rsidR="006566FE">
        <w:t xml:space="preserve"> as opposed to increasing the goal amount, as PG&amp;E did not meet MFWB targets and does not expect to do so given competing programs and lack of potential </w:t>
      </w:r>
      <w:r w:rsidR="006566FE">
        <w:lastRenderedPageBreak/>
        <w:t>targets.</w:t>
      </w:r>
      <w:r w:rsidR="006566FE">
        <w:rPr>
          <w:rStyle w:val="FootnoteReference"/>
        </w:rPr>
        <w:footnoteReference w:id="55"/>
      </w:r>
      <w:r w:rsidR="00F226E4">
        <w:t xml:space="preserve">  </w:t>
      </w:r>
      <w:r w:rsidR="00C02177">
        <w:t xml:space="preserve">PG&amp;E asks for authority to submit a Tier 2 AL to </w:t>
      </w:r>
      <w:r w:rsidRPr="00926216" w:rsidR="00926216">
        <w:t>modify program goals, targets</w:t>
      </w:r>
      <w:r w:rsidR="005F3AC0">
        <w:t>,</w:t>
      </w:r>
      <w:r w:rsidRPr="00926216" w:rsidR="00926216">
        <w:t xml:space="preserve"> or</w:t>
      </w:r>
      <w:r w:rsidR="00926216">
        <w:t xml:space="preserve"> </w:t>
      </w:r>
      <w:r w:rsidRPr="00926216" w:rsidR="00926216">
        <w:t>budgets or pause the program prior to the end of 2027</w:t>
      </w:r>
      <w:r w:rsidR="00926216">
        <w:t>.</w:t>
      </w:r>
      <w:r w:rsidR="00926216">
        <w:rPr>
          <w:rStyle w:val="FootnoteReference"/>
        </w:rPr>
        <w:footnoteReference w:id="56"/>
      </w:r>
      <w:r w:rsidR="00226B4D">
        <w:t xml:space="preserve"> </w:t>
      </w:r>
    </w:p>
    <w:p w:rsidR="0031436C" w:rsidP="00FE2D37" w:rsidRDefault="0031436C" w14:paraId="2E78EF64" w14:textId="5DF903E1">
      <w:pPr>
        <w:pStyle w:val="Heading3"/>
      </w:pPr>
      <w:bookmarkStart w:name="_Toc230872075" w:id="41"/>
      <w:r>
        <w:t>ESA Pilot Plus/Pilot Deep</w:t>
      </w:r>
      <w:bookmarkEnd w:id="41"/>
      <w:r>
        <w:t xml:space="preserve"> </w:t>
      </w:r>
    </w:p>
    <w:p w:rsidRPr="0031436C" w:rsidR="0031436C" w:rsidP="007265E5" w:rsidRDefault="0031436C" w14:paraId="4857F6DF" w14:textId="4BC10A31">
      <w:pPr>
        <w:pStyle w:val="Standard"/>
      </w:pPr>
      <w:r>
        <w:t xml:space="preserve">PG&amp;E proposes </w:t>
      </w:r>
      <w:r w:rsidR="007265E5">
        <w:t xml:space="preserve">to </w:t>
      </w:r>
      <w:r w:rsidR="00102F15">
        <w:t xml:space="preserve">roll over unspent PP/PD funds to </w:t>
      </w:r>
      <w:r w:rsidR="007265E5">
        <w:t>continue</w:t>
      </w:r>
      <w:r w:rsidR="005F3AC0">
        <w:t xml:space="preserve"> only</w:t>
      </w:r>
      <w:r w:rsidR="007265E5">
        <w:t xml:space="preserve"> </w:t>
      </w:r>
      <w:r w:rsidRPr="007265E5" w:rsidR="007265E5">
        <w:t>EM&amp;V, post-installation customer support, and administrative</w:t>
      </w:r>
      <w:r w:rsidR="007265E5">
        <w:t xml:space="preserve"> activities for the PP/PD program, as </w:t>
      </w:r>
      <w:r w:rsidR="003810DF">
        <w:t xml:space="preserve">sign-ups and installations will complete by the end of 2026.  </w:t>
      </w:r>
    </w:p>
    <w:p w:rsidR="005D5F02" w:rsidP="00FE2D37" w:rsidRDefault="000960ED" w14:paraId="4B798AD0" w14:textId="321FE28D">
      <w:pPr>
        <w:pStyle w:val="Heading3"/>
      </w:pPr>
      <w:bookmarkStart w:name="_Toc230872076" w:id="42"/>
      <w:r>
        <w:t xml:space="preserve">ESA </w:t>
      </w:r>
      <w:r w:rsidR="005D5F02">
        <w:t>ME&amp;O</w:t>
      </w:r>
      <w:bookmarkEnd w:id="42"/>
    </w:p>
    <w:p w:rsidRPr="00C369FD" w:rsidR="00C369FD" w:rsidP="00C369FD" w:rsidRDefault="00C369FD" w14:paraId="612F4FC4" w14:textId="7DF65062">
      <w:pPr>
        <w:pStyle w:val="Standard"/>
      </w:pPr>
      <w:r>
        <w:t>PG&amp;E proposes to continue</w:t>
      </w:r>
      <w:r w:rsidR="00CD6450">
        <w:t xml:space="preserve"> multi-channel marketing and targeting techniques</w:t>
      </w:r>
      <w:r w:rsidR="00CB4BE7">
        <w:t xml:space="preserve">, including </w:t>
      </w:r>
      <w:r w:rsidR="00947E99">
        <w:t xml:space="preserve">email, direct mail, </w:t>
      </w:r>
      <w:r w:rsidR="00B35BEF">
        <w:t>and paid media, focusing on customers with high likelihoods of being ESA-eligible and prioritization of disadvantaged communities.</w:t>
      </w:r>
      <w:r w:rsidR="00B35BEF">
        <w:rPr>
          <w:rStyle w:val="FootnoteReference"/>
        </w:rPr>
        <w:footnoteReference w:id="57"/>
      </w:r>
      <w:r w:rsidR="0009447A">
        <w:t xml:space="preserve">  These include </w:t>
      </w:r>
      <w:r w:rsidR="005944CE">
        <w:t xml:space="preserve">media in multiple languages.  PG&amp;E proposes to </w:t>
      </w:r>
      <w:r w:rsidR="005C609E">
        <w:t>also continue tribal outreach efforts</w:t>
      </w:r>
      <w:r w:rsidR="00E6058E">
        <w:t>.</w:t>
      </w:r>
    </w:p>
    <w:p w:rsidR="007A13A3" w:rsidP="00FE2D37" w:rsidRDefault="00ED52A4" w14:paraId="460F0928" w14:textId="0A771A1C">
      <w:pPr>
        <w:pStyle w:val="Heading3"/>
      </w:pPr>
      <w:bookmarkStart w:name="_Toc230872077" w:id="43"/>
      <w:r>
        <w:t xml:space="preserve">Proposed </w:t>
      </w:r>
      <w:r w:rsidR="007A13A3">
        <w:t>Budget</w:t>
      </w:r>
      <w:bookmarkEnd w:id="43"/>
      <w:r w:rsidR="0096166D">
        <w:t xml:space="preserve"> </w:t>
      </w:r>
    </w:p>
    <w:p w:rsidR="007A13A3" w:rsidP="007A13A3" w:rsidRDefault="007A13A3" w14:paraId="1F177178" w14:textId="1FF1EE4B">
      <w:pPr>
        <w:pStyle w:val="Standard"/>
      </w:pPr>
      <w:r>
        <w:t xml:space="preserve">PG&amp;E </w:t>
      </w:r>
      <w:r w:rsidR="00B4473A">
        <w:t>requests</w:t>
      </w:r>
      <w:r>
        <w:t xml:space="preserve"> $158,380,427 for 2027 ESA activities, a decrease from $170,915,152 </w:t>
      </w:r>
      <w:r w:rsidR="003E0825">
        <w:t xml:space="preserve">approved for </w:t>
      </w:r>
      <w:r>
        <w:t>2026.</w:t>
      </w:r>
      <w:r>
        <w:rPr>
          <w:rStyle w:val="FootnoteReference"/>
        </w:rPr>
        <w:footnoteReference w:id="58"/>
      </w:r>
      <w:r>
        <w:t xml:space="preserve"> </w:t>
      </w:r>
    </w:p>
    <w:p w:rsidRPr="00197861" w:rsidR="00ED6185" w:rsidP="00ED6185" w:rsidRDefault="00ED6185" w14:paraId="6C77792A" w14:textId="424470A6">
      <w:pPr>
        <w:jc w:val="center"/>
        <w:rPr>
          <w:b/>
          <w:bCs/>
        </w:rPr>
      </w:pPr>
      <w:r w:rsidRPr="00197861">
        <w:rPr>
          <w:b/>
          <w:bCs/>
        </w:rPr>
        <w:t xml:space="preserve">Table </w:t>
      </w:r>
      <w:r w:rsidR="00C647B8">
        <w:rPr>
          <w:b/>
          <w:bCs/>
        </w:rPr>
        <w:t>7</w:t>
      </w:r>
      <w:r w:rsidRPr="00197861">
        <w:rPr>
          <w:b/>
          <w:bCs/>
        </w:rPr>
        <w:t>: PG&amp;E</w:t>
      </w:r>
      <w:r w:rsidR="00B4473A">
        <w:rPr>
          <w:b/>
          <w:bCs/>
        </w:rPr>
        <w:t>’s</w:t>
      </w:r>
      <w:r w:rsidRPr="00197861">
        <w:rPr>
          <w:b/>
          <w:bCs/>
        </w:rPr>
        <w:t xml:space="preserve"> 2027 </w:t>
      </w:r>
      <w:r w:rsidR="008D53E3">
        <w:rPr>
          <w:b/>
          <w:bCs/>
        </w:rPr>
        <w:t>ESA</w:t>
      </w:r>
      <w:r w:rsidRPr="00197861">
        <w:rPr>
          <w:b/>
          <w:bCs/>
        </w:rPr>
        <w:t xml:space="preserve"> </w:t>
      </w:r>
      <w:r w:rsidR="00D3145F">
        <w:rPr>
          <w:b/>
          <w:bCs/>
        </w:rPr>
        <w:t xml:space="preserve">Proposed </w:t>
      </w:r>
      <w:r w:rsidRPr="00197861">
        <w:rPr>
          <w:b/>
          <w:bCs/>
        </w:rPr>
        <w:t xml:space="preserve">Budget </w:t>
      </w:r>
    </w:p>
    <w:tbl>
      <w:tblPr>
        <w:tblStyle w:val="TableGrid"/>
        <w:tblW w:w="9535" w:type="dxa"/>
        <w:tblLook w:val="04A0" w:firstRow="1" w:lastRow="0" w:firstColumn="1" w:lastColumn="0" w:noHBand="0" w:noVBand="1"/>
      </w:tblPr>
      <w:tblGrid>
        <w:gridCol w:w="4225"/>
        <w:gridCol w:w="2790"/>
        <w:gridCol w:w="2520"/>
      </w:tblGrid>
      <w:tr w:rsidR="00ED6185" w:rsidTr="00647F49" w14:paraId="4B0D6C6A" w14:textId="77777777">
        <w:tc>
          <w:tcPr>
            <w:tcW w:w="4225" w:type="dxa"/>
          </w:tcPr>
          <w:p w:rsidR="00ED6185" w:rsidP="009D5186" w:rsidRDefault="00ED6185" w14:paraId="3E7039F1" w14:textId="77777777">
            <w:pPr>
              <w:ind w:firstLine="0"/>
            </w:pPr>
            <w:r>
              <w:t>Category</w:t>
            </w:r>
          </w:p>
        </w:tc>
        <w:tc>
          <w:tcPr>
            <w:tcW w:w="2790" w:type="dxa"/>
          </w:tcPr>
          <w:p w:rsidR="00ED6185" w:rsidP="009D5186" w:rsidRDefault="00ED6185" w14:paraId="726BABCA" w14:textId="7B4F49D1">
            <w:pPr>
              <w:ind w:firstLine="0"/>
            </w:pPr>
            <w:r>
              <w:t xml:space="preserve">2026 </w:t>
            </w:r>
            <w:r w:rsidR="00277000">
              <w:t xml:space="preserve">Authorized </w:t>
            </w:r>
            <w:r>
              <w:t>Budget</w:t>
            </w:r>
          </w:p>
        </w:tc>
        <w:tc>
          <w:tcPr>
            <w:tcW w:w="2520" w:type="dxa"/>
          </w:tcPr>
          <w:p w:rsidR="00ED6185" w:rsidP="009D5186" w:rsidRDefault="00ED6185" w14:paraId="27AA4B09" w14:textId="77777777">
            <w:pPr>
              <w:ind w:firstLine="0"/>
            </w:pPr>
            <w:r>
              <w:t>2027 Proposed Budget</w:t>
            </w:r>
          </w:p>
        </w:tc>
      </w:tr>
      <w:tr w:rsidR="00ED6185" w:rsidTr="00647F49" w14:paraId="48F7CB83" w14:textId="77777777">
        <w:tc>
          <w:tcPr>
            <w:tcW w:w="4225" w:type="dxa"/>
          </w:tcPr>
          <w:p w:rsidRPr="00647F49" w:rsidR="00ED6185" w:rsidP="00647F49" w:rsidRDefault="00E9327A" w14:paraId="5D04F7AC" w14:textId="52BF3876">
            <w:pPr>
              <w:pStyle w:val="Standard"/>
              <w:jc w:val="right"/>
            </w:pPr>
            <w:r w:rsidRPr="00647F49">
              <w:t>EE (ESA Main)</w:t>
            </w:r>
          </w:p>
        </w:tc>
        <w:tc>
          <w:tcPr>
            <w:tcW w:w="2790" w:type="dxa"/>
          </w:tcPr>
          <w:p w:rsidR="00ED6185" w:rsidP="00ED3FEF" w:rsidRDefault="00A301DA" w14:paraId="229E612C" w14:textId="0359A5D2">
            <w:pPr>
              <w:ind w:firstLine="0"/>
              <w:jc w:val="right"/>
            </w:pPr>
            <w:r w:rsidRPr="00A301DA">
              <w:t>$100,305,712</w:t>
            </w:r>
          </w:p>
        </w:tc>
        <w:tc>
          <w:tcPr>
            <w:tcW w:w="2520" w:type="dxa"/>
          </w:tcPr>
          <w:p w:rsidR="00ED6185" w:rsidP="00ED3FEF" w:rsidRDefault="00A301DA" w14:paraId="310286BD" w14:textId="6DC7D94B">
            <w:pPr>
              <w:ind w:firstLine="0"/>
              <w:jc w:val="right"/>
            </w:pPr>
            <w:r w:rsidRPr="00A301DA">
              <w:t>$102,460,793</w:t>
            </w:r>
          </w:p>
        </w:tc>
      </w:tr>
      <w:tr w:rsidR="00ED6185" w:rsidTr="00647F49" w14:paraId="4DEEEF66" w14:textId="77777777">
        <w:tc>
          <w:tcPr>
            <w:tcW w:w="4225" w:type="dxa"/>
          </w:tcPr>
          <w:p w:rsidRPr="00647F49" w:rsidR="00ED6185" w:rsidP="00647F49" w:rsidRDefault="00E9327A" w14:paraId="65474C09" w14:textId="0375BF37">
            <w:pPr>
              <w:pStyle w:val="Standard"/>
              <w:jc w:val="right"/>
            </w:pPr>
            <w:r w:rsidRPr="00647F49">
              <w:t>EE-MF (ESA MFWB)</w:t>
            </w:r>
          </w:p>
        </w:tc>
        <w:tc>
          <w:tcPr>
            <w:tcW w:w="2790" w:type="dxa"/>
          </w:tcPr>
          <w:p w:rsidR="00ED6185" w:rsidP="00ED3FEF" w:rsidRDefault="008D53E3" w14:paraId="7B3CE13D" w14:textId="2A9E8D6E">
            <w:pPr>
              <w:ind w:firstLine="0"/>
              <w:jc w:val="right"/>
            </w:pPr>
            <w:r>
              <w:t>$</w:t>
            </w:r>
            <w:r w:rsidRPr="00071CD2" w:rsidR="00071CD2">
              <w:t>47,222,869</w:t>
            </w:r>
          </w:p>
        </w:tc>
        <w:tc>
          <w:tcPr>
            <w:tcW w:w="2520" w:type="dxa"/>
          </w:tcPr>
          <w:p w:rsidR="00ED6185" w:rsidP="00ED3FEF" w:rsidRDefault="008D53E3" w14:paraId="6999D78B" w14:textId="1FA48FED">
            <w:pPr>
              <w:ind w:firstLine="0"/>
              <w:jc w:val="right"/>
            </w:pPr>
            <w:r>
              <w:t>$</w:t>
            </w:r>
            <w:r w:rsidRPr="00071CD2" w:rsidR="00071CD2">
              <w:t>35,787,565</w:t>
            </w:r>
          </w:p>
        </w:tc>
      </w:tr>
      <w:tr w:rsidR="00ED6185" w:rsidTr="00647F49" w14:paraId="6033A75B" w14:textId="77777777">
        <w:tc>
          <w:tcPr>
            <w:tcW w:w="4225" w:type="dxa"/>
          </w:tcPr>
          <w:p w:rsidRPr="00647F49" w:rsidR="00ED6185" w:rsidP="00647F49" w:rsidRDefault="00E9327A" w14:paraId="6262F837" w14:textId="203CBD43">
            <w:pPr>
              <w:pStyle w:val="Standard"/>
              <w:jc w:val="right"/>
            </w:pPr>
            <w:r w:rsidRPr="00647F49">
              <w:lastRenderedPageBreak/>
              <w:t>SPOC</w:t>
            </w:r>
            <w:r w:rsidR="009459B7">
              <w:t xml:space="preserve"> (included in line item above)</w:t>
            </w:r>
          </w:p>
        </w:tc>
        <w:tc>
          <w:tcPr>
            <w:tcW w:w="2790" w:type="dxa"/>
          </w:tcPr>
          <w:p w:rsidR="00ED6185" w:rsidP="00ED3FEF" w:rsidRDefault="008D53E3" w14:paraId="09D93FDC" w14:textId="2D893931">
            <w:pPr>
              <w:ind w:firstLine="0"/>
              <w:jc w:val="right"/>
            </w:pPr>
            <w:r>
              <w:t>$</w:t>
            </w:r>
            <w:r w:rsidRPr="00071CD2" w:rsidR="00071CD2">
              <w:t>375,829</w:t>
            </w:r>
          </w:p>
        </w:tc>
        <w:tc>
          <w:tcPr>
            <w:tcW w:w="2520" w:type="dxa"/>
          </w:tcPr>
          <w:p w:rsidR="00ED6185" w:rsidP="00ED3FEF" w:rsidRDefault="008D53E3" w14:paraId="6E738148" w14:textId="07323E35">
            <w:pPr>
              <w:ind w:firstLine="0"/>
              <w:jc w:val="right"/>
            </w:pPr>
            <w:r>
              <w:t>$</w:t>
            </w:r>
            <w:r w:rsidRPr="00071CD2" w:rsidR="00071CD2">
              <w:t>375,829</w:t>
            </w:r>
          </w:p>
        </w:tc>
      </w:tr>
      <w:tr w:rsidR="00ED6185" w:rsidTr="00647F49" w14:paraId="2FA24503" w14:textId="77777777">
        <w:tc>
          <w:tcPr>
            <w:tcW w:w="4225" w:type="dxa"/>
          </w:tcPr>
          <w:p w:rsidRPr="00ED3FEF" w:rsidR="00ED6185" w:rsidP="00ED3FEF" w:rsidRDefault="00E9327A" w14:paraId="38A8462B" w14:textId="26967EB5">
            <w:pPr>
              <w:pStyle w:val="Standard"/>
              <w:rPr>
                <w:b/>
                <w:bCs/>
              </w:rPr>
            </w:pPr>
            <w:r w:rsidRPr="00ED3FEF">
              <w:rPr>
                <w:b/>
                <w:bCs/>
              </w:rPr>
              <w:t>EE Subtotal</w:t>
            </w:r>
          </w:p>
        </w:tc>
        <w:tc>
          <w:tcPr>
            <w:tcW w:w="2790" w:type="dxa"/>
          </w:tcPr>
          <w:p w:rsidRPr="00ED3FEF" w:rsidR="00ED6185" w:rsidP="00ED3FEF" w:rsidRDefault="00071CD2" w14:paraId="2A98BFFB" w14:textId="1F35BB39">
            <w:pPr>
              <w:ind w:firstLine="0"/>
              <w:rPr>
                <w:b/>
                <w:bCs/>
              </w:rPr>
            </w:pPr>
            <w:r w:rsidRPr="00ED3FEF">
              <w:rPr>
                <w:b/>
                <w:bCs/>
              </w:rPr>
              <w:t>$147,528,581</w:t>
            </w:r>
          </w:p>
        </w:tc>
        <w:tc>
          <w:tcPr>
            <w:tcW w:w="2520" w:type="dxa"/>
          </w:tcPr>
          <w:p w:rsidRPr="00ED3FEF" w:rsidR="00ED6185" w:rsidP="00ED3FEF" w:rsidRDefault="00071CD2" w14:paraId="4109CA4A" w14:textId="7D12EC3E">
            <w:pPr>
              <w:ind w:firstLine="0"/>
              <w:rPr>
                <w:b/>
                <w:bCs/>
              </w:rPr>
            </w:pPr>
            <w:r w:rsidRPr="00ED3FEF">
              <w:rPr>
                <w:b/>
                <w:bCs/>
              </w:rPr>
              <w:t>$138,248,358</w:t>
            </w:r>
          </w:p>
        </w:tc>
      </w:tr>
      <w:tr w:rsidR="00ED6185" w:rsidTr="00647F49" w14:paraId="21CE11F3" w14:textId="77777777">
        <w:tc>
          <w:tcPr>
            <w:tcW w:w="4225" w:type="dxa"/>
          </w:tcPr>
          <w:p w:rsidRPr="00647F49" w:rsidR="00ED6185" w:rsidP="00647F49" w:rsidRDefault="00E9327A" w14:paraId="7F3E4C8B" w14:textId="0E8F5ED6">
            <w:pPr>
              <w:pStyle w:val="Standard"/>
              <w:jc w:val="right"/>
            </w:pPr>
            <w:r w:rsidRPr="00647F49">
              <w:t>Training Center</w:t>
            </w:r>
          </w:p>
        </w:tc>
        <w:tc>
          <w:tcPr>
            <w:tcW w:w="2790" w:type="dxa"/>
          </w:tcPr>
          <w:p w:rsidRPr="00ED3FEF" w:rsidR="00ED6185" w:rsidP="009D5186" w:rsidRDefault="00E75B16" w14:paraId="140B6324" w14:textId="180527C6">
            <w:pPr>
              <w:ind w:firstLine="0"/>
              <w:jc w:val="right"/>
            </w:pPr>
            <w:r w:rsidRPr="00ED3FEF">
              <w:t>$426,698</w:t>
            </w:r>
          </w:p>
        </w:tc>
        <w:tc>
          <w:tcPr>
            <w:tcW w:w="2520" w:type="dxa"/>
          </w:tcPr>
          <w:p w:rsidRPr="00ED3FEF" w:rsidR="00ED6185" w:rsidP="009D5186" w:rsidRDefault="00E75B16" w14:paraId="13E70C43" w14:textId="29833D84">
            <w:pPr>
              <w:ind w:firstLine="0"/>
              <w:jc w:val="right"/>
            </w:pPr>
            <w:r w:rsidRPr="00ED3FEF">
              <w:t>$426,698</w:t>
            </w:r>
          </w:p>
        </w:tc>
      </w:tr>
      <w:tr w:rsidR="00ED6185" w:rsidTr="00647F49" w14:paraId="28A22395" w14:textId="77777777">
        <w:tc>
          <w:tcPr>
            <w:tcW w:w="4225" w:type="dxa"/>
          </w:tcPr>
          <w:p w:rsidRPr="00647F49" w:rsidR="00ED6185" w:rsidP="00647F49" w:rsidRDefault="00E9327A" w14:paraId="7993662C" w14:textId="296EEB03">
            <w:pPr>
              <w:pStyle w:val="Standard"/>
              <w:jc w:val="right"/>
            </w:pPr>
            <w:r w:rsidRPr="00647F49">
              <w:t>Workforce Education and Training</w:t>
            </w:r>
          </w:p>
        </w:tc>
        <w:tc>
          <w:tcPr>
            <w:tcW w:w="2790" w:type="dxa"/>
          </w:tcPr>
          <w:p w:rsidRPr="00ED3FEF" w:rsidR="00ED6185" w:rsidP="009D5186" w:rsidRDefault="00ED6185" w14:paraId="26C3B074" w14:textId="11B72D2D">
            <w:pPr>
              <w:ind w:firstLine="0"/>
              <w:jc w:val="right"/>
            </w:pPr>
            <w:r w:rsidRPr="00ED3FEF">
              <w:t>$</w:t>
            </w:r>
            <w:r w:rsidR="0067102F">
              <w:t>0</w:t>
            </w:r>
          </w:p>
        </w:tc>
        <w:tc>
          <w:tcPr>
            <w:tcW w:w="2520" w:type="dxa"/>
          </w:tcPr>
          <w:p w:rsidRPr="00ED3FEF" w:rsidR="00ED6185" w:rsidP="009D5186" w:rsidRDefault="00ED6185" w14:paraId="3C551F64" w14:textId="0F95D9A8">
            <w:pPr>
              <w:ind w:firstLine="0"/>
              <w:jc w:val="right"/>
            </w:pPr>
            <w:r w:rsidRPr="00ED3FEF">
              <w:t>$</w:t>
            </w:r>
            <w:r w:rsidR="0067102F">
              <w:t>0</w:t>
            </w:r>
          </w:p>
        </w:tc>
      </w:tr>
      <w:tr w:rsidR="00ED6185" w:rsidTr="00647F49" w14:paraId="61001818" w14:textId="77777777">
        <w:tc>
          <w:tcPr>
            <w:tcW w:w="4225" w:type="dxa"/>
          </w:tcPr>
          <w:p w:rsidRPr="00647F49" w:rsidR="00ED6185" w:rsidP="00647F49" w:rsidRDefault="00E9327A" w14:paraId="6F3BE650" w14:textId="173984F6">
            <w:pPr>
              <w:pStyle w:val="Standard"/>
              <w:jc w:val="right"/>
            </w:pPr>
            <w:r w:rsidRPr="00647F49">
              <w:t>Inspections</w:t>
            </w:r>
          </w:p>
        </w:tc>
        <w:tc>
          <w:tcPr>
            <w:tcW w:w="2790" w:type="dxa"/>
          </w:tcPr>
          <w:p w:rsidRPr="00ED3FEF" w:rsidR="00ED6185" w:rsidP="009D5186" w:rsidRDefault="008D53E3" w14:paraId="67FF8D70" w14:textId="57336CB8">
            <w:pPr>
              <w:ind w:firstLine="0"/>
              <w:jc w:val="right"/>
            </w:pPr>
            <w:r>
              <w:t>$</w:t>
            </w:r>
            <w:r w:rsidRPr="00ED3FEF" w:rsidR="00E75B16">
              <w:t>3,870,097</w:t>
            </w:r>
          </w:p>
        </w:tc>
        <w:tc>
          <w:tcPr>
            <w:tcW w:w="2520" w:type="dxa"/>
          </w:tcPr>
          <w:p w:rsidRPr="00ED3FEF" w:rsidR="00ED6185" w:rsidP="009D5186" w:rsidRDefault="008D53E3" w14:paraId="51E1DDA0" w14:textId="0463E0A6">
            <w:pPr>
              <w:ind w:firstLine="0"/>
              <w:jc w:val="right"/>
            </w:pPr>
            <w:r>
              <w:t>$</w:t>
            </w:r>
            <w:r w:rsidRPr="00ED3FEF" w:rsidR="00E75B16">
              <w:t>3,870,097</w:t>
            </w:r>
          </w:p>
        </w:tc>
      </w:tr>
      <w:tr w:rsidR="00ED6185" w:rsidTr="00647F49" w14:paraId="47B51534" w14:textId="77777777">
        <w:tc>
          <w:tcPr>
            <w:tcW w:w="4225" w:type="dxa"/>
          </w:tcPr>
          <w:p w:rsidRPr="00647F49" w:rsidR="00ED6185" w:rsidP="00647F49" w:rsidRDefault="0010154F" w14:paraId="44A72CE7" w14:textId="00CCFAD3">
            <w:pPr>
              <w:pStyle w:val="Standard"/>
              <w:jc w:val="right"/>
            </w:pPr>
            <w:r w:rsidRPr="00647F49">
              <w:t>Marketing and Outreach</w:t>
            </w:r>
          </w:p>
        </w:tc>
        <w:tc>
          <w:tcPr>
            <w:tcW w:w="2790" w:type="dxa"/>
          </w:tcPr>
          <w:p w:rsidRPr="00ED3FEF" w:rsidR="00ED6185" w:rsidP="00ED3FEF" w:rsidRDefault="008D53E3" w14:paraId="5C728224" w14:textId="697561BD">
            <w:pPr>
              <w:ind w:firstLine="0"/>
              <w:jc w:val="right"/>
            </w:pPr>
            <w:r>
              <w:t>$</w:t>
            </w:r>
            <w:r w:rsidRPr="00ED3FEF" w:rsidR="00291ED2">
              <w:t>1,791,562</w:t>
            </w:r>
          </w:p>
        </w:tc>
        <w:tc>
          <w:tcPr>
            <w:tcW w:w="2520" w:type="dxa"/>
          </w:tcPr>
          <w:p w:rsidRPr="00ED3FEF" w:rsidR="00ED6185" w:rsidP="00ED3FEF" w:rsidRDefault="008D53E3" w14:paraId="2FF79252" w14:textId="06ADFD9A">
            <w:pPr>
              <w:ind w:firstLine="0"/>
              <w:jc w:val="right"/>
            </w:pPr>
            <w:r>
              <w:t>$</w:t>
            </w:r>
            <w:r w:rsidRPr="00ED3FEF" w:rsidR="00E75B16">
              <w:t>1,791,562</w:t>
            </w:r>
          </w:p>
        </w:tc>
      </w:tr>
      <w:tr w:rsidR="00ED6185" w:rsidTr="00647F49" w14:paraId="3C6813D9" w14:textId="77777777">
        <w:tc>
          <w:tcPr>
            <w:tcW w:w="4225" w:type="dxa"/>
          </w:tcPr>
          <w:p w:rsidRPr="00647F49" w:rsidR="00ED6185" w:rsidP="00647F49" w:rsidRDefault="0010154F" w14:paraId="08FB3553" w14:textId="3D6C658F">
            <w:pPr>
              <w:pStyle w:val="Standard"/>
              <w:jc w:val="right"/>
            </w:pPr>
            <w:r w:rsidRPr="00647F49">
              <w:t>Studies</w:t>
            </w:r>
          </w:p>
        </w:tc>
        <w:tc>
          <w:tcPr>
            <w:tcW w:w="2790" w:type="dxa"/>
          </w:tcPr>
          <w:p w:rsidRPr="00ED3FEF" w:rsidR="00ED6185" w:rsidP="00ED3FEF" w:rsidRDefault="008D53E3" w14:paraId="283964EE" w14:textId="2B68AB03">
            <w:pPr>
              <w:ind w:firstLine="0"/>
              <w:jc w:val="right"/>
            </w:pPr>
            <w:r>
              <w:t>$</w:t>
            </w:r>
            <w:r w:rsidRPr="00ED3FEF" w:rsidR="00291ED2">
              <w:t>125,000</w:t>
            </w:r>
          </w:p>
        </w:tc>
        <w:tc>
          <w:tcPr>
            <w:tcW w:w="2520" w:type="dxa"/>
          </w:tcPr>
          <w:p w:rsidRPr="00ED3FEF" w:rsidR="00ED6185" w:rsidP="00ED3FEF" w:rsidRDefault="008D53E3" w14:paraId="3CE1C5A5" w14:textId="5BE6A063">
            <w:pPr>
              <w:ind w:firstLine="0"/>
              <w:jc w:val="right"/>
            </w:pPr>
            <w:r>
              <w:t>$</w:t>
            </w:r>
            <w:r w:rsidRPr="00ED3FEF" w:rsidR="00291ED2">
              <w:t>397,500</w:t>
            </w:r>
          </w:p>
        </w:tc>
      </w:tr>
      <w:tr w:rsidR="00ED6185" w:rsidTr="00647F49" w14:paraId="3B2B8C75" w14:textId="77777777">
        <w:tc>
          <w:tcPr>
            <w:tcW w:w="4225" w:type="dxa"/>
          </w:tcPr>
          <w:p w:rsidRPr="00647F49" w:rsidR="00ED6185" w:rsidP="00647F49" w:rsidRDefault="0010154F" w14:paraId="7FCE3B8D" w14:textId="0E47729C">
            <w:pPr>
              <w:pStyle w:val="Standard"/>
              <w:jc w:val="right"/>
            </w:pPr>
            <w:r w:rsidRPr="00647F49">
              <w:t>Regulatory Compliance</w:t>
            </w:r>
          </w:p>
        </w:tc>
        <w:tc>
          <w:tcPr>
            <w:tcW w:w="2790" w:type="dxa"/>
          </w:tcPr>
          <w:p w:rsidRPr="00ED3FEF" w:rsidR="00ED6185" w:rsidP="00ED3FEF" w:rsidRDefault="008D53E3" w14:paraId="25CF9A9E" w14:textId="51B1C1E7">
            <w:pPr>
              <w:ind w:firstLine="0"/>
              <w:jc w:val="right"/>
            </w:pPr>
            <w:r>
              <w:t>$</w:t>
            </w:r>
            <w:r w:rsidRPr="00ED3FEF" w:rsidR="009152CE">
              <w:t>836,697</w:t>
            </w:r>
          </w:p>
        </w:tc>
        <w:tc>
          <w:tcPr>
            <w:tcW w:w="2520" w:type="dxa"/>
          </w:tcPr>
          <w:p w:rsidRPr="00ED3FEF" w:rsidR="00ED6185" w:rsidP="00ED3FEF" w:rsidRDefault="008D53E3" w14:paraId="286B65C2" w14:textId="39A3CC95">
            <w:pPr>
              <w:ind w:firstLine="0"/>
              <w:jc w:val="right"/>
            </w:pPr>
            <w:r>
              <w:t>$</w:t>
            </w:r>
            <w:r w:rsidRPr="00ED3FEF" w:rsidR="009152CE">
              <w:t>836,697</w:t>
            </w:r>
          </w:p>
        </w:tc>
      </w:tr>
      <w:tr w:rsidR="0010154F" w:rsidTr="00647F49" w14:paraId="7184274D" w14:textId="77777777">
        <w:tc>
          <w:tcPr>
            <w:tcW w:w="4225" w:type="dxa"/>
          </w:tcPr>
          <w:p w:rsidRPr="0010154F" w:rsidR="0010154F" w:rsidP="00647F49" w:rsidRDefault="00F62735" w14:paraId="471B88DC" w14:textId="15371F00">
            <w:pPr>
              <w:pStyle w:val="Standard"/>
              <w:jc w:val="right"/>
            </w:pPr>
            <w:r w:rsidRPr="00F62735">
              <w:t>General Administration</w:t>
            </w:r>
          </w:p>
        </w:tc>
        <w:tc>
          <w:tcPr>
            <w:tcW w:w="2790" w:type="dxa"/>
          </w:tcPr>
          <w:p w:rsidRPr="00ED3FEF" w:rsidR="0010154F" w:rsidP="00ED3FEF" w:rsidRDefault="008D53E3" w14:paraId="065E34BF" w14:textId="12BC0252">
            <w:pPr>
              <w:ind w:firstLine="0"/>
              <w:jc w:val="right"/>
            </w:pPr>
            <w:r>
              <w:t>$</w:t>
            </w:r>
            <w:r w:rsidRPr="00ED3FEF" w:rsidR="009152CE">
              <w:t>7,484,262</w:t>
            </w:r>
          </w:p>
        </w:tc>
        <w:tc>
          <w:tcPr>
            <w:tcW w:w="2520" w:type="dxa"/>
          </w:tcPr>
          <w:p w:rsidRPr="00ED3FEF" w:rsidR="0010154F" w:rsidP="00ED3FEF" w:rsidRDefault="008D53E3" w14:paraId="671A282D" w14:textId="5BEC4911">
            <w:pPr>
              <w:ind w:firstLine="0"/>
              <w:jc w:val="right"/>
            </w:pPr>
            <w:r>
              <w:t>$</w:t>
            </w:r>
            <w:r w:rsidRPr="00ED3FEF" w:rsidR="009152CE">
              <w:t>5,329,181</w:t>
            </w:r>
          </w:p>
        </w:tc>
      </w:tr>
      <w:tr w:rsidR="0010154F" w:rsidTr="00647F49" w14:paraId="6190C72F" w14:textId="77777777">
        <w:tc>
          <w:tcPr>
            <w:tcW w:w="4225" w:type="dxa"/>
          </w:tcPr>
          <w:p w:rsidRPr="0010154F" w:rsidR="0010154F" w:rsidP="00647F49" w:rsidRDefault="00F62735" w14:paraId="781F1BB3" w14:textId="624E7A61">
            <w:pPr>
              <w:pStyle w:val="Standard"/>
              <w:jc w:val="right"/>
            </w:pPr>
            <w:r w:rsidRPr="00F62735">
              <w:t>CPUC Energy Division</w:t>
            </w:r>
          </w:p>
        </w:tc>
        <w:tc>
          <w:tcPr>
            <w:tcW w:w="2790" w:type="dxa"/>
          </w:tcPr>
          <w:p w:rsidRPr="00C7008D" w:rsidR="0010154F" w:rsidP="00ED3FEF" w:rsidRDefault="008D53E3" w14:paraId="5C768FA5" w14:textId="6ADEBF9C">
            <w:pPr>
              <w:ind w:firstLine="0"/>
              <w:jc w:val="right"/>
            </w:pPr>
            <w:r>
              <w:t>$</w:t>
            </w:r>
            <w:r w:rsidRPr="009152CE" w:rsidR="009152CE">
              <w:t>69,647</w:t>
            </w:r>
          </w:p>
        </w:tc>
        <w:tc>
          <w:tcPr>
            <w:tcW w:w="2520" w:type="dxa"/>
          </w:tcPr>
          <w:p w:rsidRPr="00C7008D" w:rsidR="0010154F" w:rsidP="00ED3FEF" w:rsidRDefault="008D53E3" w14:paraId="4B71A341" w14:textId="7E69ABAB">
            <w:pPr>
              <w:ind w:firstLine="0"/>
              <w:jc w:val="right"/>
            </w:pPr>
            <w:r>
              <w:t>$</w:t>
            </w:r>
            <w:r w:rsidRPr="009152CE" w:rsidR="009152CE">
              <w:t>69,647</w:t>
            </w:r>
          </w:p>
        </w:tc>
      </w:tr>
      <w:tr w:rsidR="0010154F" w:rsidTr="00647F49" w14:paraId="67994340" w14:textId="77777777">
        <w:tc>
          <w:tcPr>
            <w:tcW w:w="4225" w:type="dxa"/>
          </w:tcPr>
          <w:p w:rsidRPr="00ED3FEF" w:rsidR="0010154F" w:rsidP="00647F49" w:rsidRDefault="00F62735" w14:paraId="702BEC9B" w14:textId="791B820D">
            <w:pPr>
              <w:pStyle w:val="Standard"/>
              <w:ind w:firstLine="0"/>
              <w:jc w:val="both"/>
              <w:rPr>
                <w:b/>
                <w:bCs/>
              </w:rPr>
            </w:pPr>
            <w:r w:rsidRPr="00ED3FEF">
              <w:rPr>
                <w:b/>
                <w:bCs/>
              </w:rPr>
              <w:t>Admin Subtotal</w:t>
            </w:r>
          </w:p>
        </w:tc>
        <w:tc>
          <w:tcPr>
            <w:tcW w:w="2790" w:type="dxa"/>
          </w:tcPr>
          <w:p w:rsidRPr="00ED3FEF" w:rsidR="0010154F" w:rsidP="00ED3FEF" w:rsidRDefault="00330FF6" w14:paraId="6020EC78" w14:textId="7E6CF2C1">
            <w:pPr>
              <w:ind w:firstLine="0"/>
              <w:rPr>
                <w:b/>
                <w:bCs/>
              </w:rPr>
            </w:pPr>
            <w:r w:rsidRPr="00ED3FEF">
              <w:rPr>
                <w:b/>
                <w:bCs/>
              </w:rPr>
              <w:t>$14,603,963</w:t>
            </w:r>
          </w:p>
        </w:tc>
        <w:tc>
          <w:tcPr>
            <w:tcW w:w="2520" w:type="dxa"/>
          </w:tcPr>
          <w:p w:rsidRPr="00ED3FEF" w:rsidR="0010154F" w:rsidP="00ED3FEF" w:rsidRDefault="00330FF6" w14:paraId="6A1CA2AA" w14:textId="07FD296B">
            <w:pPr>
              <w:ind w:firstLine="0"/>
              <w:rPr>
                <w:b/>
                <w:bCs/>
              </w:rPr>
            </w:pPr>
            <w:r w:rsidRPr="00ED3FEF">
              <w:rPr>
                <w:b/>
                <w:bCs/>
              </w:rPr>
              <w:t>$12,721,382</w:t>
            </w:r>
          </w:p>
        </w:tc>
      </w:tr>
      <w:tr w:rsidR="0010154F" w:rsidTr="00647F49" w14:paraId="39797FC5" w14:textId="77777777">
        <w:tc>
          <w:tcPr>
            <w:tcW w:w="4225" w:type="dxa"/>
          </w:tcPr>
          <w:p w:rsidRPr="0010154F" w:rsidR="0010154F" w:rsidP="00647F49" w:rsidRDefault="00F62735" w14:paraId="28F3F8FE" w14:textId="51463487">
            <w:pPr>
              <w:pStyle w:val="Standard"/>
              <w:jc w:val="right"/>
            </w:pPr>
            <w:r w:rsidRPr="00F62735">
              <w:t>Escalation</w:t>
            </w:r>
          </w:p>
        </w:tc>
        <w:tc>
          <w:tcPr>
            <w:tcW w:w="2790" w:type="dxa"/>
          </w:tcPr>
          <w:p w:rsidRPr="00C7008D" w:rsidR="0010154F" w:rsidP="009D5186" w:rsidRDefault="0010154F" w14:paraId="32A3E365" w14:textId="77777777">
            <w:pPr>
              <w:ind w:firstLine="0"/>
              <w:jc w:val="both"/>
            </w:pPr>
          </w:p>
        </w:tc>
        <w:tc>
          <w:tcPr>
            <w:tcW w:w="2520" w:type="dxa"/>
          </w:tcPr>
          <w:p w:rsidRPr="00C7008D" w:rsidR="0010154F" w:rsidP="00ED3FEF" w:rsidRDefault="00330FF6" w14:paraId="5457703C" w14:textId="272FAEE3">
            <w:pPr>
              <w:ind w:firstLine="0"/>
              <w:jc w:val="right"/>
            </w:pPr>
            <w:r w:rsidRPr="00330FF6">
              <w:t>$4,517,167</w:t>
            </w:r>
          </w:p>
        </w:tc>
      </w:tr>
      <w:tr w:rsidR="0010154F" w:rsidTr="00647F49" w14:paraId="116281A3" w14:textId="77777777">
        <w:tc>
          <w:tcPr>
            <w:tcW w:w="4225" w:type="dxa"/>
          </w:tcPr>
          <w:p w:rsidRPr="00ED3FEF" w:rsidR="0010154F" w:rsidP="00647F49" w:rsidRDefault="00F62735" w14:paraId="48064A07" w14:textId="0F5D73E7">
            <w:pPr>
              <w:pStyle w:val="Standard"/>
              <w:ind w:firstLine="0"/>
              <w:rPr>
                <w:b/>
                <w:bCs/>
              </w:rPr>
            </w:pPr>
            <w:r w:rsidRPr="00ED3FEF">
              <w:rPr>
                <w:b/>
                <w:bCs/>
              </w:rPr>
              <w:t>Program Total</w:t>
            </w:r>
          </w:p>
        </w:tc>
        <w:tc>
          <w:tcPr>
            <w:tcW w:w="2790" w:type="dxa"/>
          </w:tcPr>
          <w:p w:rsidRPr="00ED3FEF" w:rsidR="0010154F" w:rsidP="009D5186" w:rsidRDefault="00330FF6" w14:paraId="3452C9E2" w14:textId="797605FE">
            <w:pPr>
              <w:ind w:firstLine="0"/>
              <w:jc w:val="both"/>
              <w:rPr>
                <w:b/>
                <w:bCs/>
              </w:rPr>
            </w:pPr>
            <w:r w:rsidRPr="00ED3FEF">
              <w:rPr>
                <w:b/>
                <w:bCs/>
              </w:rPr>
              <w:t>$162,132,544</w:t>
            </w:r>
          </w:p>
        </w:tc>
        <w:tc>
          <w:tcPr>
            <w:tcW w:w="2520" w:type="dxa"/>
          </w:tcPr>
          <w:p w:rsidRPr="00ED3FEF" w:rsidR="0010154F" w:rsidP="009D5186" w:rsidRDefault="00330FF6" w14:paraId="6717A6AF" w14:textId="23740E69">
            <w:pPr>
              <w:ind w:firstLine="0"/>
              <w:jc w:val="both"/>
              <w:rPr>
                <w:b/>
                <w:bCs/>
              </w:rPr>
            </w:pPr>
            <w:r w:rsidRPr="00ED3FEF">
              <w:rPr>
                <w:b/>
                <w:bCs/>
              </w:rPr>
              <w:t>$155,486,907</w:t>
            </w:r>
          </w:p>
        </w:tc>
      </w:tr>
      <w:tr w:rsidR="0010154F" w:rsidTr="00647F49" w14:paraId="6666561C" w14:textId="77777777">
        <w:tc>
          <w:tcPr>
            <w:tcW w:w="4225" w:type="dxa"/>
          </w:tcPr>
          <w:p w:rsidRPr="0010154F" w:rsidR="0010154F" w:rsidP="00647F49" w:rsidRDefault="00F62735" w14:paraId="5B413CE7" w14:textId="6C665CB5">
            <w:pPr>
              <w:pStyle w:val="Standard"/>
              <w:ind w:firstLine="0"/>
              <w:jc w:val="right"/>
            </w:pPr>
            <w:r w:rsidRPr="00F62735">
              <w:t>Staff Proposal Pilot (PP/PD)</w:t>
            </w:r>
          </w:p>
        </w:tc>
        <w:tc>
          <w:tcPr>
            <w:tcW w:w="2790" w:type="dxa"/>
          </w:tcPr>
          <w:p w:rsidRPr="00C7008D" w:rsidR="0010154F" w:rsidP="00ED3FEF" w:rsidRDefault="008A5357" w14:paraId="70CA5DE8" w14:textId="04851398">
            <w:pPr>
              <w:ind w:firstLine="0"/>
              <w:jc w:val="right"/>
            </w:pPr>
            <w:r>
              <w:t>$</w:t>
            </w:r>
            <w:r w:rsidRPr="00330FF6" w:rsidR="00330FF6">
              <w:t>8,782,607</w:t>
            </w:r>
          </w:p>
        </w:tc>
        <w:tc>
          <w:tcPr>
            <w:tcW w:w="2520" w:type="dxa"/>
          </w:tcPr>
          <w:p w:rsidRPr="00C7008D" w:rsidR="0010154F" w:rsidP="00ED3FEF" w:rsidRDefault="008A5357" w14:paraId="1E816E04" w14:textId="004D6AC4">
            <w:pPr>
              <w:ind w:firstLine="0"/>
              <w:jc w:val="right"/>
            </w:pPr>
            <w:r>
              <w:t>$</w:t>
            </w:r>
            <w:r w:rsidRPr="00330FF6" w:rsidR="00330FF6">
              <w:t>2,893,520</w:t>
            </w:r>
          </w:p>
        </w:tc>
      </w:tr>
      <w:tr w:rsidR="0010154F" w:rsidTr="00647F49" w14:paraId="7A48E09C" w14:textId="77777777">
        <w:tc>
          <w:tcPr>
            <w:tcW w:w="4225" w:type="dxa"/>
          </w:tcPr>
          <w:p w:rsidRPr="00ED3FEF" w:rsidR="0010154F" w:rsidP="00647F49" w:rsidRDefault="00F62735" w14:paraId="2458F357" w14:textId="7FE3C78F">
            <w:pPr>
              <w:pStyle w:val="Standard"/>
              <w:ind w:firstLine="0"/>
              <w:rPr>
                <w:b/>
                <w:bCs/>
              </w:rPr>
            </w:pPr>
            <w:r w:rsidRPr="00ED3FEF">
              <w:rPr>
                <w:b/>
                <w:bCs/>
              </w:rPr>
              <w:t>Portfolio Total</w:t>
            </w:r>
          </w:p>
        </w:tc>
        <w:tc>
          <w:tcPr>
            <w:tcW w:w="2790" w:type="dxa"/>
          </w:tcPr>
          <w:p w:rsidRPr="00ED3FEF" w:rsidR="0010154F" w:rsidP="009D5186" w:rsidRDefault="00ED3FEF" w14:paraId="037C0549" w14:textId="21152183">
            <w:pPr>
              <w:ind w:firstLine="0"/>
              <w:jc w:val="both"/>
              <w:rPr>
                <w:b/>
                <w:bCs/>
              </w:rPr>
            </w:pPr>
            <w:r w:rsidRPr="00ED3FEF">
              <w:rPr>
                <w:b/>
                <w:bCs/>
              </w:rPr>
              <w:t>$170,915,151</w:t>
            </w:r>
          </w:p>
        </w:tc>
        <w:tc>
          <w:tcPr>
            <w:tcW w:w="2520" w:type="dxa"/>
          </w:tcPr>
          <w:p w:rsidRPr="00ED3FEF" w:rsidR="0010154F" w:rsidP="009D5186" w:rsidRDefault="00330FF6" w14:paraId="47E3693B" w14:textId="7058EDF2">
            <w:pPr>
              <w:ind w:firstLine="0"/>
              <w:jc w:val="both"/>
              <w:rPr>
                <w:b/>
                <w:bCs/>
              </w:rPr>
            </w:pPr>
            <w:r w:rsidRPr="00ED3FEF">
              <w:rPr>
                <w:b/>
                <w:bCs/>
              </w:rPr>
              <w:t>$158,380,427</w:t>
            </w:r>
          </w:p>
        </w:tc>
      </w:tr>
      <w:tr w:rsidR="00F62735" w:rsidTr="00647F49" w14:paraId="3B16E725" w14:textId="77777777">
        <w:tc>
          <w:tcPr>
            <w:tcW w:w="4225" w:type="dxa"/>
          </w:tcPr>
          <w:p w:rsidRPr="00F62735" w:rsidR="00F62735" w:rsidP="00647F49" w:rsidRDefault="00647F49" w14:paraId="5F6B472A" w14:textId="18823681">
            <w:pPr>
              <w:pStyle w:val="Standard"/>
              <w:jc w:val="right"/>
            </w:pPr>
            <w:r w:rsidRPr="00647F49">
              <w:t>Unspent Funds Carry Forward</w:t>
            </w:r>
          </w:p>
        </w:tc>
        <w:tc>
          <w:tcPr>
            <w:tcW w:w="2790" w:type="dxa"/>
          </w:tcPr>
          <w:p w:rsidRPr="00C7008D" w:rsidR="00F62735" w:rsidP="009D5186" w:rsidRDefault="00F62735" w14:paraId="31960FDE" w14:textId="77777777">
            <w:pPr>
              <w:ind w:firstLine="0"/>
              <w:jc w:val="both"/>
            </w:pPr>
          </w:p>
        </w:tc>
        <w:tc>
          <w:tcPr>
            <w:tcW w:w="2520" w:type="dxa"/>
          </w:tcPr>
          <w:p w:rsidRPr="00C7008D" w:rsidR="00F62735" w:rsidP="00ED3FEF" w:rsidRDefault="00ED3FEF" w14:paraId="64EB89EB" w14:textId="2DC784B1">
            <w:pPr>
              <w:ind w:firstLine="0"/>
              <w:jc w:val="right"/>
            </w:pPr>
            <w:r w:rsidRPr="00ED3FEF">
              <w:t>(</w:t>
            </w:r>
            <w:r w:rsidR="00B00FCC">
              <w:t>$</w:t>
            </w:r>
            <w:r w:rsidRPr="00ED3FEF">
              <w:t>40,152,212)</w:t>
            </w:r>
          </w:p>
        </w:tc>
      </w:tr>
      <w:tr w:rsidR="00647F49" w:rsidTr="00647F49" w14:paraId="5B76AEFE" w14:textId="77777777">
        <w:tc>
          <w:tcPr>
            <w:tcW w:w="4225" w:type="dxa"/>
          </w:tcPr>
          <w:p w:rsidRPr="00647F49" w:rsidR="00647F49" w:rsidP="00647F49" w:rsidRDefault="00647F49" w14:paraId="6230CBB9" w14:textId="2BFEB1EC">
            <w:pPr>
              <w:ind w:firstLine="0"/>
            </w:pPr>
            <w:r w:rsidRPr="00647F49">
              <w:rPr>
                <w:b/>
                <w:bCs/>
              </w:rPr>
              <w:t>ESA Portfolio Funding Total</w:t>
            </w:r>
          </w:p>
        </w:tc>
        <w:tc>
          <w:tcPr>
            <w:tcW w:w="2790" w:type="dxa"/>
          </w:tcPr>
          <w:p w:rsidRPr="00C7008D" w:rsidR="00647F49" w:rsidP="009D5186" w:rsidRDefault="00647F49" w14:paraId="05046621" w14:textId="77777777">
            <w:pPr>
              <w:ind w:firstLine="0"/>
              <w:jc w:val="both"/>
            </w:pPr>
          </w:p>
        </w:tc>
        <w:tc>
          <w:tcPr>
            <w:tcW w:w="2520" w:type="dxa"/>
          </w:tcPr>
          <w:p w:rsidRPr="00C7008D" w:rsidR="00647F49" w:rsidP="009D5186" w:rsidRDefault="00ED3FEF" w14:paraId="14CEC560" w14:textId="4374FB4E">
            <w:pPr>
              <w:ind w:firstLine="0"/>
              <w:jc w:val="both"/>
            </w:pPr>
            <w:r w:rsidRPr="00ED3FEF">
              <w:rPr>
                <w:b/>
                <w:bCs/>
              </w:rPr>
              <w:t>$118,228,216</w:t>
            </w:r>
          </w:p>
        </w:tc>
      </w:tr>
    </w:tbl>
    <w:p w:rsidR="007A13A3" w:rsidP="007A13A3" w:rsidRDefault="007A13A3" w14:paraId="15A13488" w14:textId="77777777">
      <w:pPr>
        <w:pStyle w:val="Standard"/>
      </w:pPr>
    </w:p>
    <w:p w:rsidR="0000614A" w:rsidP="007A13A3" w:rsidRDefault="00626901" w14:paraId="28E7A5BF" w14:textId="4157F693">
      <w:pPr>
        <w:pStyle w:val="Standard"/>
      </w:pPr>
      <w:r>
        <w:t>Compared to the authorized 2026 budget, these c</w:t>
      </w:r>
      <w:r w:rsidR="00C848E2">
        <w:t>hanges</w:t>
      </w:r>
      <w:r w:rsidR="00B777E3">
        <w:t xml:space="preserve"> </w:t>
      </w:r>
      <w:r w:rsidR="00C848E2">
        <w:t>are due to the following</w:t>
      </w:r>
      <w:r w:rsidR="00C82C2F">
        <w:t>:</w:t>
      </w:r>
      <w:r w:rsidR="007A35CE">
        <w:rPr>
          <w:rStyle w:val="FootnoteReference"/>
        </w:rPr>
        <w:footnoteReference w:id="59"/>
      </w:r>
    </w:p>
    <w:p w:rsidR="00C82C2F" w:rsidP="00FE2D37" w:rsidRDefault="00C82C2F" w14:paraId="55B225BD" w14:textId="2057ECD6">
      <w:pPr>
        <w:pStyle w:val="ListBullet"/>
        <w:ind w:right="1440"/>
      </w:pPr>
      <w:r>
        <w:lastRenderedPageBreak/>
        <w:t xml:space="preserve">Increased ESA </w:t>
      </w:r>
      <w:r w:rsidR="00290019">
        <w:t>M</w:t>
      </w:r>
      <w:r>
        <w:t xml:space="preserve">ain costs to comply with Bay Area Air Quality Management District rules related to </w:t>
      </w:r>
      <w:r w:rsidR="00EB151E">
        <w:t>heat pump water heaters;</w:t>
      </w:r>
    </w:p>
    <w:p w:rsidR="00EB151E" w:rsidP="00FE2D37" w:rsidRDefault="00C848E2" w14:paraId="003FDB8B" w14:textId="6EC595EC">
      <w:pPr>
        <w:pStyle w:val="ListBullet"/>
        <w:ind w:right="1440"/>
      </w:pPr>
      <w:r>
        <w:t xml:space="preserve">Decrease </w:t>
      </w:r>
      <w:r w:rsidR="00EB151E">
        <w:t xml:space="preserve">MFWB program </w:t>
      </w:r>
      <w:r>
        <w:t>budget to reflect less installations than were projected for 2026</w:t>
      </w:r>
      <w:r w:rsidR="007A35CE">
        <w:t>;</w:t>
      </w:r>
    </w:p>
    <w:p w:rsidR="007A35CE" w:rsidP="00FE2D37" w:rsidRDefault="00847AA8" w14:paraId="2A43CB13" w14:textId="2C47A90B">
      <w:pPr>
        <w:pStyle w:val="ListBullet"/>
        <w:ind w:right="1440"/>
      </w:pPr>
      <w:r>
        <w:t>Decreasing ESA Pilot Plus/Pilot Deep activities;</w:t>
      </w:r>
    </w:p>
    <w:p w:rsidR="00847AA8" w:rsidP="00FE2D37" w:rsidRDefault="00503C6F" w14:paraId="57DE083A" w14:textId="4BD21290">
      <w:pPr>
        <w:pStyle w:val="ListBullet"/>
        <w:ind w:right="1440"/>
      </w:pPr>
      <w:r>
        <w:t>Fund</w:t>
      </w:r>
      <w:r w:rsidR="00F226E4">
        <w:t>-</w:t>
      </w:r>
      <w:r>
        <w:t>shifting to cover ESA impact and process evaluations; and</w:t>
      </w:r>
    </w:p>
    <w:p w:rsidR="00503C6F" w:rsidP="00FE2D37" w:rsidRDefault="00503C6F" w14:paraId="62B2C445" w14:textId="0DE6E9C2">
      <w:pPr>
        <w:pStyle w:val="ListBullet"/>
        <w:ind w:right="1440"/>
      </w:pPr>
      <w:r>
        <w:t xml:space="preserve">Increased costs to cover </w:t>
      </w:r>
      <w:r w:rsidR="00AC001A">
        <w:t>labor and non-labor costs.</w:t>
      </w:r>
    </w:p>
    <w:p w:rsidRPr="007A13A3" w:rsidR="00711554" w:rsidP="002149A0" w:rsidRDefault="00AC001A" w14:paraId="7C3CB40B" w14:textId="58BC2C5C">
      <w:pPr>
        <w:pStyle w:val="Standard"/>
      </w:pPr>
      <w:r>
        <w:t xml:space="preserve">PG&amp;E proposes </w:t>
      </w:r>
      <w:proofErr w:type="gramStart"/>
      <w:r>
        <w:t xml:space="preserve">to </w:t>
      </w:r>
      <w:r w:rsidR="00F226E4">
        <w:t>utilize</w:t>
      </w:r>
      <w:proofErr w:type="gramEnd"/>
      <w:r>
        <w:t xml:space="preserve"> $40.2 million in unspent funds</w:t>
      </w:r>
      <w:r w:rsidR="00EE107E">
        <w:t xml:space="preserve"> </w:t>
      </w:r>
      <w:r w:rsidR="00FD38F3">
        <w:t xml:space="preserve">to offset the total request for </w:t>
      </w:r>
      <w:r w:rsidR="00EE107E">
        <w:t>2027, decreasing the amount of new funding needed.  PG&amp;E proposes to carry forward any remaining 2027 funds to 2028</w:t>
      </w:r>
      <w:r w:rsidR="00681C9A">
        <w:t xml:space="preserve">, consistent with fund shifting rules adopted </w:t>
      </w:r>
      <w:proofErr w:type="gramStart"/>
      <w:r w:rsidR="00681C9A">
        <w:t>in</w:t>
      </w:r>
      <w:proofErr w:type="gramEnd"/>
      <w:r w:rsidR="00681C9A">
        <w:t xml:space="preserve"> D.21-06-015.</w:t>
      </w:r>
      <w:r w:rsidR="00904285">
        <w:t xml:space="preserve">  PG&amp;E’s </w:t>
      </w:r>
      <w:r w:rsidR="00711554">
        <w:t>funding request for 2027 Bridge Year funding is therefore $118,228,216.</w:t>
      </w:r>
    </w:p>
    <w:p w:rsidR="002149A0" w:rsidP="00FE2D37" w:rsidRDefault="002149A0" w14:paraId="2497471B" w14:textId="3C760A71">
      <w:pPr>
        <w:pStyle w:val="Heading2"/>
      </w:pPr>
      <w:bookmarkStart w:name="_Toc230872078" w:id="44"/>
      <w:r>
        <w:t>SDG&amp;E</w:t>
      </w:r>
      <w:r w:rsidR="004B7A59">
        <w:t>’S</w:t>
      </w:r>
      <w:r>
        <w:t xml:space="preserve"> ESA </w:t>
      </w:r>
      <w:r w:rsidR="006B649D">
        <w:t>Program</w:t>
      </w:r>
      <w:bookmarkEnd w:id="44"/>
    </w:p>
    <w:p w:rsidR="001876BA" w:rsidP="001876BA" w:rsidRDefault="002F536E" w14:paraId="055F4DA0" w14:textId="7267D865">
      <w:pPr>
        <w:pStyle w:val="Standard"/>
      </w:pPr>
      <w:r>
        <w:t xml:space="preserve">SDG&amp;E is not proposing </w:t>
      </w:r>
      <w:r w:rsidR="00D46A0C">
        <w:t xml:space="preserve">any major changes to program design or delivery in 2027.  SDG&amp;E proposes to continue </w:t>
      </w:r>
      <w:r w:rsidR="003657DA">
        <w:t>utilizing</w:t>
      </w:r>
      <w:r w:rsidR="00D46A0C">
        <w:t xml:space="preserve"> the measure modification processes approved by the ESA W</w:t>
      </w:r>
      <w:r w:rsidR="003657DA">
        <w:t xml:space="preserve">orking </w:t>
      </w:r>
      <w:r w:rsidR="00D46A0C">
        <w:t>G</w:t>
      </w:r>
      <w:r w:rsidR="003657DA">
        <w:t>roup</w:t>
      </w:r>
      <w:r w:rsidR="00D46A0C">
        <w:t xml:space="preserve"> and the same ESACET</w:t>
      </w:r>
      <w:r w:rsidR="00AE511B">
        <w:t xml:space="preserve"> </w:t>
      </w:r>
      <w:r w:rsidR="001E7345">
        <w:t>target</w:t>
      </w:r>
      <w:r w:rsidR="00362204">
        <w:t xml:space="preserve"> </w:t>
      </w:r>
      <w:r w:rsidR="00AE511B">
        <w:t>approved for 2026.  SDG&amp;E’s budget request includes escalation for labor.</w:t>
      </w:r>
      <w:r w:rsidR="00DD283A">
        <w:t xml:space="preserve">  SDG&amp;E does not propose any budget changes for ESA </w:t>
      </w:r>
      <w:r w:rsidR="00290019">
        <w:t>M</w:t>
      </w:r>
      <w:r w:rsidR="00DD283A">
        <w:t xml:space="preserve">ain and will maintain the 2026 authorized </w:t>
      </w:r>
      <w:r w:rsidR="001876BA">
        <w:t>budget</w:t>
      </w:r>
      <w:r w:rsidR="00DD283A">
        <w:t>.</w:t>
      </w:r>
    </w:p>
    <w:p w:rsidR="001876BA" w:rsidP="00FE2D37" w:rsidRDefault="005F07BD" w14:paraId="019F059D" w14:textId="16344794">
      <w:pPr>
        <w:pStyle w:val="Heading3"/>
      </w:pPr>
      <w:bookmarkStart w:name="_Toc230872079" w:id="45"/>
      <w:r>
        <w:t>ESA</w:t>
      </w:r>
      <w:r w:rsidR="00841C7F">
        <w:t xml:space="preserve"> MFWB</w:t>
      </w:r>
      <w:r w:rsidR="006920D8">
        <w:t xml:space="preserve"> and SPOC</w:t>
      </w:r>
      <w:bookmarkEnd w:id="45"/>
    </w:p>
    <w:p w:rsidRPr="002149A0" w:rsidR="006920D8" w:rsidP="00466113" w:rsidRDefault="001876BA" w14:paraId="0C044D5F" w14:textId="3DFCBE31">
      <w:pPr>
        <w:pStyle w:val="Standard"/>
      </w:pPr>
      <w:r>
        <w:t>SDG&amp;E administers the Southern MFWB program</w:t>
      </w:r>
      <w:r w:rsidR="00841C7F">
        <w:t xml:space="preserve"> on behalf of the three Southern IOUs (SDG&amp;E, SCE, </w:t>
      </w:r>
      <w:r w:rsidR="00384B2E">
        <w:t xml:space="preserve">and </w:t>
      </w:r>
      <w:r w:rsidR="00841C7F">
        <w:t xml:space="preserve">SoCalGas).  </w:t>
      </w:r>
      <w:proofErr w:type="gramStart"/>
      <w:r w:rsidR="00C85613">
        <w:t>Similar to</w:t>
      </w:r>
      <w:proofErr w:type="gramEnd"/>
      <w:r w:rsidR="00C85613">
        <w:t xml:space="preserve"> PG&amp;E’s program, the Southern MFWB program offers ESA </w:t>
      </w:r>
      <w:r w:rsidRPr="00C85613" w:rsidR="00C85613">
        <w:t xml:space="preserve">services for in-unit, common area measures and whole building measures to deed restricted and non-deed restricted multifamily customers. </w:t>
      </w:r>
      <w:r w:rsidR="00DD283A">
        <w:t xml:space="preserve"> </w:t>
      </w:r>
      <w:r w:rsidR="00C85613">
        <w:t>The program i</w:t>
      </w:r>
      <w:r w:rsidR="00D738EF">
        <w:t xml:space="preserve">s administered by Richard Heath and </w:t>
      </w:r>
      <w:r w:rsidR="00D738EF">
        <w:lastRenderedPageBreak/>
        <w:t xml:space="preserve">Associates.  </w:t>
      </w:r>
      <w:r w:rsidR="00736D42">
        <w:t xml:space="preserve">For 2027, the Southern MFWB Program forecasts completion of 160 whole building projects and 38,000 units, with an ESACET of </w:t>
      </w:r>
      <w:r w:rsidR="00B00FCC">
        <w:t>0</w:t>
      </w:r>
      <w:r w:rsidR="00736D42">
        <w:t xml:space="preserve">.655.  </w:t>
      </w:r>
      <w:r w:rsidR="005020E5">
        <w:t xml:space="preserve">A $10.1 million budget increase is proposed to </w:t>
      </w:r>
      <w:r w:rsidR="00B1249E">
        <w:t>cover the more expensive projects that remain in the approval pipeline.</w:t>
      </w:r>
      <w:r w:rsidR="00B1249E">
        <w:rPr>
          <w:rStyle w:val="FootnoteReference"/>
        </w:rPr>
        <w:footnoteReference w:id="60"/>
      </w:r>
      <w:r w:rsidR="004C2350">
        <w:t xml:space="preserve">  SDG&amp;E states that the whole program budget is covered by rolled-over funds.</w:t>
      </w:r>
      <w:r w:rsidR="00466113">
        <w:t xml:space="preserve">  </w:t>
      </w:r>
      <w:r w:rsidR="006920D8">
        <w:t xml:space="preserve">SDG&amp;E requests </w:t>
      </w:r>
      <w:r w:rsidR="00466113">
        <w:t xml:space="preserve">$460,000 for the </w:t>
      </w:r>
      <w:r w:rsidR="00361382">
        <w:t>Single Point of Contact (</w:t>
      </w:r>
      <w:r w:rsidR="00466113">
        <w:t>SPOC</w:t>
      </w:r>
      <w:r w:rsidR="00361382">
        <w:t>)</w:t>
      </w:r>
      <w:r w:rsidR="00466113">
        <w:t xml:space="preserve"> program, a decrease of $190,000.  The SPOC program </w:t>
      </w:r>
      <w:r w:rsidR="00860AA7">
        <w:t>serves to leverage leads and coordination efforts between multiple energy efficiency and income-assistance</w:t>
      </w:r>
      <w:r w:rsidR="00777F9F">
        <w:t xml:space="preserve"> </w:t>
      </w:r>
      <w:r w:rsidR="00860AA7">
        <w:t>programs.</w:t>
      </w:r>
    </w:p>
    <w:p w:rsidR="00777F9F" w:rsidP="00FE2D37" w:rsidRDefault="000E73BF" w14:paraId="6A8A884E" w14:textId="7ABBF0CB">
      <w:pPr>
        <w:pStyle w:val="Heading3"/>
      </w:pPr>
      <w:bookmarkStart w:name="_Toc230872080" w:id="46"/>
      <w:r>
        <w:t xml:space="preserve">ESA </w:t>
      </w:r>
      <w:r w:rsidR="00D535F6">
        <w:t>Pilot Plus/Pilot Deep</w:t>
      </w:r>
      <w:bookmarkEnd w:id="46"/>
    </w:p>
    <w:p w:rsidRPr="00D535F6" w:rsidR="00D535F6" w:rsidP="00D535F6" w:rsidRDefault="002231C0" w14:paraId="4A94555A" w14:textId="56CECB46">
      <w:pPr>
        <w:pStyle w:val="Standard"/>
      </w:pPr>
      <w:r>
        <w:t xml:space="preserve">SDG&amp;E was delayed in starting its PP/PD program, due to </w:t>
      </w:r>
      <w:r w:rsidR="00B64409">
        <w:t xml:space="preserve">its </w:t>
      </w:r>
      <w:r>
        <w:t xml:space="preserve">inability to secure a bid for a </w:t>
      </w:r>
      <w:r w:rsidR="000962D0">
        <w:t>program implementer.  The program thus only began in early 2024.  For 202</w:t>
      </w:r>
      <w:r w:rsidR="001A708C">
        <w:t>7</w:t>
      </w:r>
      <w:r w:rsidR="000962D0">
        <w:t>, SDG&amp;E proposes to complete all remaining projects initiated in 202</w:t>
      </w:r>
      <w:r w:rsidR="001A708C">
        <w:t>6</w:t>
      </w:r>
      <w:r w:rsidR="000962D0">
        <w:t xml:space="preserve">, with 2027 operations only including </w:t>
      </w:r>
      <w:r w:rsidRPr="00043175" w:rsidR="00043175">
        <w:t>final measure installations, contract administration, and continuation of</w:t>
      </w:r>
      <w:r w:rsidRPr="00043175" w:rsidR="00043175">
        <w:rPr>
          <w:rFonts w:ascii="Times New Roman" w:hAnsi="Times New Roman" w:cs="Times New Roman"/>
          <w:color w:val="000000"/>
          <w:sz w:val="23"/>
          <w:szCs w:val="23"/>
        </w:rPr>
        <w:t xml:space="preserve"> </w:t>
      </w:r>
      <w:r w:rsidRPr="00043175" w:rsidR="00043175">
        <w:t>EM&amp;V activities. EM&amp;V activities are expected to conclude in 2028, as the evaluation</w:t>
      </w:r>
      <w:r w:rsidR="00043175">
        <w:t xml:space="preserve"> </w:t>
      </w:r>
      <w:r w:rsidRPr="00043175" w:rsidR="00043175">
        <w:t>methodology requires 12-</w:t>
      </w:r>
      <w:proofErr w:type="gramStart"/>
      <w:r w:rsidRPr="00043175" w:rsidR="00043175">
        <w:t>months</w:t>
      </w:r>
      <w:proofErr w:type="gramEnd"/>
      <w:r w:rsidRPr="00043175" w:rsidR="00043175">
        <w:t xml:space="preserve"> post-installation consumption data. SDG&amp;E forecasts that approximately 250 homes will be completed by the conclusion of the pilot. The PP</w:t>
      </w:r>
      <w:r w:rsidR="00817B4E">
        <w:t>/</w:t>
      </w:r>
      <w:r w:rsidRPr="00043175" w:rsidR="00043175">
        <w:t>PD’s</w:t>
      </w:r>
      <w:r w:rsidR="00043175">
        <w:t xml:space="preserve"> </w:t>
      </w:r>
      <w:r w:rsidRPr="00043175" w:rsidR="00043175">
        <w:t xml:space="preserve">proposed 2027 budget of approximately $1.79 million </w:t>
      </w:r>
      <w:r w:rsidR="00043175">
        <w:t>is</w:t>
      </w:r>
      <w:r w:rsidRPr="00043175" w:rsidR="00043175">
        <w:t xml:space="preserve"> higher than the annual budget of $1.53 million but </w:t>
      </w:r>
      <w:r w:rsidR="00FF52A1">
        <w:t>the total spent on the program totals less than what was authorized</w:t>
      </w:r>
      <w:r w:rsidRPr="00043175" w:rsidR="00043175">
        <w:t xml:space="preserve"> for 2022–2026.</w:t>
      </w:r>
      <w:r w:rsidR="007C3ECD">
        <w:t xml:space="preserve">  The budget is inclusive of </w:t>
      </w:r>
      <w:r w:rsidR="00442014">
        <w:t>money to conduct an evaluation of the program.</w:t>
      </w:r>
    </w:p>
    <w:p w:rsidR="008D3301" w:rsidP="00FE2D37" w:rsidRDefault="00A66BD1" w14:paraId="0ED2B07D" w14:textId="548DAAE3">
      <w:pPr>
        <w:pStyle w:val="Heading3"/>
      </w:pPr>
      <w:bookmarkStart w:name="_Toc230872081" w:id="47"/>
      <w:r>
        <w:t>Proposed</w:t>
      </w:r>
      <w:r w:rsidR="008D3301">
        <w:t xml:space="preserve"> </w:t>
      </w:r>
      <w:r w:rsidR="00703C10">
        <w:t>Budget</w:t>
      </w:r>
      <w:bookmarkEnd w:id="47"/>
    </w:p>
    <w:p w:rsidR="001C4806" w:rsidP="001C4806" w:rsidRDefault="001C4806" w14:paraId="1A1E23E3" w14:textId="4C7CF846">
      <w:pPr>
        <w:pStyle w:val="Standard"/>
        <w:rPr>
          <w:b/>
          <w:bCs/>
        </w:rPr>
      </w:pPr>
      <w:r>
        <w:t>SDG&amp;E requests $</w:t>
      </w:r>
      <w:r w:rsidRPr="003E0825" w:rsidR="003E0825">
        <w:t>35,</w:t>
      </w:r>
      <w:r w:rsidR="007F5B1F">
        <w:t>741,017</w:t>
      </w:r>
      <w:r>
        <w:t xml:space="preserve"> for 2027 ESA activities, a</w:t>
      </w:r>
      <w:r w:rsidR="003E0825">
        <w:t xml:space="preserve">n increase </w:t>
      </w:r>
      <w:r>
        <w:t>from $</w:t>
      </w:r>
      <w:r w:rsidRPr="003E0825" w:rsidR="003E0825">
        <w:t>33,660,548</w:t>
      </w:r>
      <w:r w:rsidR="003E0825">
        <w:t xml:space="preserve"> approved for</w:t>
      </w:r>
      <w:r>
        <w:t xml:space="preserve"> 2026</w:t>
      </w:r>
      <w:r w:rsidR="003E0825">
        <w:t>.</w:t>
      </w:r>
    </w:p>
    <w:p w:rsidR="00E5715F" w:rsidP="00DE2150" w:rsidRDefault="00E05BE9" w14:paraId="423B4B40" w14:textId="0D8206F4">
      <w:pPr>
        <w:pStyle w:val="Standard"/>
        <w:jc w:val="center"/>
      </w:pPr>
      <w:r w:rsidRPr="00C647B8">
        <w:rPr>
          <w:b/>
          <w:bCs/>
        </w:rPr>
        <w:lastRenderedPageBreak/>
        <w:t xml:space="preserve">Table </w:t>
      </w:r>
      <w:r w:rsidR="00C647B8">
        <w:rPr>
          <w:b/>
          <w:bCs/>
        </w:rPr>
        <w:t>8</w:t>
      </w:r>
      <w:r w:rsidRPr="00C647B8" w:rsidR="00973ED0">
        <w:rPr>
          <w:b/>
          <w:bCs/>
        </w:rPr>
        <w:t>:</w:t>
      </w:r>
      <w:r w:rsidRPr="00C647B8">
        <w:rPr>
          <w:b/>
          <w:bCs/>
        </w:rPr>
        <w:t xml:space="preserve"> SDG&amp;E</w:t>
      </w:r>
      <w:r w:rsidR="00ED52A4">
        <w:rPr>
          <w:b/>
          <w:bCs/>
        </w:rPr>
        <w:t>’S</w:t>
      </w:r>
      <w:r w:rsidRPr="00C647B8">
        <w:rPr>
          <w:b/>
          <w:bCs/>
        </w:rPr>
        <w:t xml:space="preserve"> ESA </w:t>
      </w:r>
      <w:r w:rsidRPr="00C647B8" w:rsidR="00D3145F">
        <w:rPr>
          <w:b/>
          <w:bCs/>
        </w:rPr>
        <w:t xml:space="preserve">Proposed </w:t>
      </w:r>
      <w:r w:rsidRPr="00C647B8">
        <w:rPr>
          <w:b/>
          <w:bCs/>
        </w:rPr>
        <w:t>Budget</w:t>
      </w:r>
      <w:r>
        <w:rPr>
          <w:rStyle w:val="FootnoteReference"/>
        </w:rPr>
        <w:footnoteReference w:id="61"/>
      </w:r>
    </w:p>
    <w:tbl>
      <w:tblPr>
        <w:tblStyle w:val="TableGrid"/>
        <w:tblW w:w="9535" w:type="dxa"/>
        <w:tblLook w:val="04A0" w:firstRow="1" w:lastRow="0" w:firstColumn="1" w:lastColumn="0" w:noHBand="0" w:noVBand="1"/>
      </w:tblPr>
      <w:tblGrid>
        <w:gridCol w:w="4225"/>
        <w:gridCol w:w="2790"/>
        <w:gridCol w:w="2520"/>
      </w:tblGrid>
      <w:tr w:rsidR="00E5715F" w:rsidTr="00E5715F" w14:paraId="4D0FDBFF" w14:textId="77777777">
        <w:tc>
          <w:tcPr>
            <w:tcW w:w="4225" w:type="dxa"/>
          </w:tcPr>
          <w:p w:rsidR="00E5715F" w:rsidP="00AE749C" w:rsidRDefault="00E5715F" w14:paraId="238400C4" w14:textId="77777777">
            <w:pPr>
              <w:ind w:firstLine="0"/>
            </w:pPr>
            <w:r>
              <w:t>Category</w:t>
            </w:r>
          </w:p>
        </w:tc>
        <w:tc>
          <w:tcPr>
            <w:tcW w:w="2790" w:type="dxa"/>
          </w:tcPr>
          <w:p w:rsidR="00E5715F" w:rsidP="00AE749C" w:rsidRDefault="00E5715F" w14:paraId="1A1E1EAC" w14:textId="516D68AB">
            <w:pPr>
              <w:ind w:firstLine="0"/>
            </w:pPr>
            <w:r>
              <w:t xml:space="preserve">2026 </w:t>
            </w:r>
            <w:r w:rsidR="00832B92">
              <w:t xml:space="preserve">Authorized </w:t>
            </w:r>
            <w:r>
              <w:t>Budget</w:t>
            </w:r>
          </w:p>
        </w:tc>
        <w:tc>
          <w:tcPr>
            <w:tcW w:w="2520" w:type="dxa"/>
          </w:tcPr>
          <w:p w:rsidR="00E5715F" w:rsidP="00AE749C" w:rsidRDefault="00E5715F" w14:paraId="108B5A32" w14:textId="77777777">
            <w:pPr>
              <w:ind w:firstLine="0"/>
            </w:pPr>
            <w:r>
              <w:t>2027 Proposed Budget</w:t>
            </w:r>
          </w:p>
        </w:tc>
      </w:tr>
      <w:tr w:rsidR="00E5715F" w:rsidTr="00E5715F" w14:paraId="715133D2" w14:textId="77777777">
        <w:tc>
          <w:tcPr>
            <w:tcW w:w="4225" w:type="dxa"/>
          </w:tcPr>
          <w:p w:rsidRPr="00647F49" w:rsidR="00E5715F" w:rsidP="00AE749C" w:rsidRDefault="00E5715F" w14:paraId="7477A970" w14:textId="77777777">
            <w:pPr>
              <w:pStyle w:val="Standard"/>
              <w:jc w:val="right"/>
            </w:pPr>
            <w:r w:rsidRPr="00647F49">
              <w:t>EE (ESA Main)</w:t>
            </w:r>
          </w:p>
        </w:tc>
        <w:tc>
          <w:tcPr>
            <w:tcW w:w="2790" w:type="dxa"/>
          </w:tcPr>
          <w:p w:rsidR="00E5715F" w:rsidP="00AE749C" w:rsidRDefault="00E5715F" w14:paraId="2DAC2BCB" w14:textId="2B4C5BC7">
            <w:pPr>
              <w:ind w:firstLine="0"/>
              <w:jc w:val="right"/>
            </w:pPr>
            <w:r w:rsidRPr="00E67E27">
              <w:t>$</w:t>
            </w:r>
            <w:r w:rsidRPr="00EC28AB" w:rsidR="00EC28AB">
              <w:t>17,214,498</w:t>
            </w:r>
          </w:p>
        </w:tc>
        <w:tc>
          <w:tcPr>
            <w:tcW w:w="2520" w:type="dxa"/>
          </w:tcPr>
          <w:p w:rsidR="00E5715F" w:rsidP="00AE749C" w:rsidRDefault="00E5715F" w14:paraId="4118D932" w14:textId="42109EDC">
            <w:pPr>
              <w:ind w:firstLine="0"/>
              <w:jc w:val="right"/>
            </w:pPr>
            <w:r w:rsidRPr="00E67E27">
              <w:t>$</w:t>
            </w:r>
            <w:r w:rsidR="00EC28AB">
              <w:t>1</w:t>
            </w:r>
            <w:r w:rsidRPr="00EC28AB" w:rsidR="00EC28AB">
              <w:t>7,214,377</w:t>
            </w:r>
          </w:p>
        </w:tc>
      </w:tr>
      <w:tr w:rsidR="00E5715F" w:rsidTr="00E5715F" w14:paraId="4EC86BFC" w14:textId="77777777">
        <w:tc>
          <w:tcPr>
            <w:tcW w:w="4225" w:type="dxa"/>
          </w:tcPr>
          <w:p w:rsidRPr="00647F49" w:rsidR="00E5715F" w:rsidP="00AE749C" w:rsidRDefault="00E5715F" w14:paraId="533DE544" w14:textId="77777777">
            <w:pPr>
              <w:pStyle w:val="Standard"/>
              <w:jc w:val="right"/>
            </w:pPr>
            <w:r w:rsidRPr="00647F49">
              <w:t>EE-MF (ESA MFWB</w:t>
            </w:r>
            <w:r>
              <w:t>, including admin</w:t>
            </w:r>
            <w:r w:rsidRPr="00647F49">
              <w:t>)</w:t>
            </w:r>
            <w:r>
              <w:t xml:space="preserve"> </w:t>
            </w:r>
          </w:p>
        </w:tc>
        <w:tc>
          <w:tcPr>
            <w:tcW w:w="2790" w:type="dxa"/>
          </w:tcPr>
          <w:p w:rsidR="00E5715F" w:rsidP="00AE749C" w:rsidRDefault="00E5715F" w14:paraId="089143CA" w14:textId="364C4040">
            <w:pPr>
              <w:ind w:firstLine="0"/>
              <w:jc w:val="right"/>
            </w:pPr>
            <w:r>
              <w:t>$</w:t>
            </w:r>
            <w:r w:rsidRPr="007C1642" w:rsidR="007C1642">
              <w:t>8,556,939</w:t>
            </w:r>
          </w:p>
        </w:tc>
        <w:tc>
          <w:tcPr>
            <w:tcW w:w="2520" w:type="dxa"/>
          </w:tcPr>
          <w:p w:rsidR="00E5715F" w:rsidP="00AE749C" w:rsidRDefault="00E5715F" w14:paraId="47E246F1" w14:textId="54E8EE4C">
            <w:pPr>
              <w:ind w:firstLine="0"/>
              <w:jc w:val="right"/>
            </w:pPr>
            <w:r>
              <w:t>$</w:t>
            </w:r>
            <w:r w:rsidRPr="007C1642" w:rsidR="007C1642">
              <w:t>10,726,978</w:t>
            </w:r>
          </w:p>
        </w:tc>
      </w:tr>
      <w:tr w:rsidR="00E5715F" w:rsidTr="00E5715F" w14:paraId="188739AF" w14:textId="77777777">
        <w:tc>
          <w:tcPr>
            <w:tcW w:w="4225" w:type="dxa"/>
          </w:tcPr>
          <w:p w:rsidRPr="00647F49" w:rsidR="00E5715F" w:rsidP="00AE749C" w:rsidRDefault="00E5715F" w14:paraId="79E3739E" w14:textId="77777777">
            <w:pPr>
              <w:pStyle w:val="Standard"/>
              <w:jc w:val="right"/>
            </w:pPr>
            <w:r w:rsidRPr="00647F49">
              <w:t>SPOC</w:t>
            </w:r>
          </w:p>
        </w:tc>
        <w:tc>
          <w:tcPr>
            <w:tcW w:w="2790" w:type="dxa"/>
          </w:tcPr>
          <w:p w:rsidR="00E5715F" w:rsidP="00AE749C" w:rsidRDefault="00E5715F" w14:paraId="25D762C5" w14:textId="6B8DED68">
            <w:pPr>
              <w:ind w:firstLine="0"/>
              <w:jc w:val="right"/>
            </w:pPr>
            <w:r>
              <w:t>$</w:t>
            </w:r>
            <w:r w:rsidRPr="007C1642" w:rsidR="007C1642">
              <w:t>651,613</w:t>
            </w:r>
          </w:p>
        </w:tc>
        <w:tc>
          <w:tcPr>
            <w:tcW w:w="2520" w:type="dxa"/>
          </w:tcPr>
          <w:p w:rsidR="00E5715F" w:rsidP="00AE749C" w:rsidRDefault="00E5715F" w14:paraId="52F4E879" w14:textId="714D6EAB">
            <w:pPr>
              <w:ind w:firstLine="0"/>
              <w:jc w:val="right"/>
            </w:pPr>
            <w:r>
              <w:t>$</w:t>
            </w:r>
            <w:r w:rsidRPr="007C1642" w:rsidR="007C1642">
              <w:t>462,</w:t>
            </w:r>
            <w:r w:rsidR="00F14B8D">
              <w:t>333</w:t>
            </w:r>
          </w:p>
        </w:tc>
      </w:tr>
      <w:tr w:rsidR="00E5715F" w:rsidTr="00E5715F" w14:paraId="13B8296F" w14:textId="77777777">
        <w:tc>
          <w:tcPr>
            <w:tcW w:w="4225" w:type="dxa"/>
          </w:tcPr>
          <w:p w:rsidRPr="00ED3FEF" w:rsidR="00E5715F" w:rsidP="00AE749C" w:rsidRDefault="00E5715F" w14:paraId="16BCAC3E" w14:textId="77777777">
            <w:pPr>
              <w:pStyle w:val="Standard"/>
              <w:rPr>
                <w:b/>
                <w:bCs/>
              </w:rPr>
            </w:pPr>
            <w:r w:rsidRPr="00ED3FEF">
              <w:rPr>
                <w:b/>
                <w:bCs/>
              </w:rPr>
              <w:t>EE Subtotal</w:t>
            </w:r>
          </w:p>
        </w:tc>
        <w:tc>
          <w:tcPr>
            <w:tcW w:w="2790" w:type="dxa"/>
          </w:tcPr>
          <w:p w:rsidRPr="00ED3FEF" w:rsidR="00E5715F" w:rsidP="00AE749C" w:rsidRDefault="00E5715F" w14:paraId="5F288CCE" w14:textId="7FABE2EA">
            <w:pPr>
              <w:ind w:firstLine="0"/>
              <w:rPr>
                <w:b/>
                <w:bCs/>
              </w:rPr>
            </w:pPr>
            <w:r w:rsidRPr="00ED3FEF">
              <w:rPr>
                <w:b/>
                <w:bCs/>
              </w:rPr>
              <w:t>$</w:t>
            </w:r>
            <w:r w:rsidRPr="007A01A4" w:rsidR="007A01A4">
              <w:rPr>
                <w:b/>
                <w:bCs/>
              </w:rPr>
              <w:t>26,423,050</w:t>
            </w:r>
          </w:p>
        </w:tc>
        <w:tc>
          <w:tcPr>
            <w:tcW w:w="2520" w:type="dxa"/>
          </w:tcPr>
          <w:p w:rsidRPr="00ED3FEF" w:rsidR="00E5715F" w:rsidP="00AE749C" w:rsidRDefault="00E5715F" w14:paraId="31AEA336" w14:textId="429B7CC6">
            <w:pPr>
              <w:ind w:firstLine="0"/>
              <w:rPr>
                <w:b/>
                <w:bCs/>
              </w:rPr>
            </w:pPr>
            <w:r w:rsidRPr="00ED3FEF">
              <w:rPr>
                <w:b/>
                <w:bCs/>
              </w:rPr>
              <w:t>$</w:t>
            </w:r>
            <w:r w:rsidR="007A01A4">
              <w:rPr>
                <w:b/>
                <w:bCs/>
              </w:rPr>
              <w:t>2</w:t>
            </w:r>
            <w:r w:rsidRPr="007A01A4" w:rsidR="007A01A4">
              <w:rPr>
                <w:b/>
                <w:bCs/>
              </w:rPr>
              <w:t>8,403,</w:t>
            </w:r>
            <w:r w:rsidR="0087230F">
              <w:rPr>
                <w:b/>
                <w:bCs/>
              </w:rPr>
              <w:t>688</w:t>
            </w:r>
          </w:p>
        </w:tc>
      </w:tr>
      <w:tr w:rsidR="00E5715F" w:rsidTr="00E5715F" w14:paraId="693F5903" w14:textId="77777777">
        <w:tc>
          <w:tcPr>
            <w:tcW w:w="4225" w:type="dxa"/>
          </w:tcPr>
          <w:p w:rsidRPr="00647F49" w:rsidR="00E5715F" w:rsidP="00AE749C" w:rsidRDefault="00E5715F" w14:paraId="1B1A407F" w14:textId="77777777">
            <w:pPr>
              <w:pStyle w:val="Standard"/>
              <w:jc w:val="right"/>
            </w:pPr>
            <w:r w:rsidRPr="00647F49">
              <w:t>Training Center</w:t>
            </w:r>
          </w:p>
        </w:tc>
        <w:tc>
          <w:tcPr>
            <w:tcW w:w="2790" w:type="dxa"/>
          </w:tcPr>
          <w:p w:rsidRPr="00ED3FEF" w:rsidR="00E5715F" w:rsidP="00AE749C" w:rsidRDefault="00E5715F" w14:paraId="59291251" w14:textId="35FA97A7">
            <w:pPr>
              <w:ind w:firstLine="0"/>
              <w:jc w:val="right"/>
            </w:pPr>
            <w:r w:rsidRPr="001F2B81">
              <w:t>$</w:t>
            </w:r>
            <w:r w:rsidRPr="007A01A4" w:rsidR="007A01A4">
              <w:t>160,614</w:t>
            </w:r>
          </w:p>
        </w:tc>
        <w:tc>
          <w:tcPr>
            <w:tcW w:w="2520" w:type="dxa"/>
          </w:tcPr>
          <w:p w:rsidRPr="00ED3FEF" w:rsidR="00E5715F" w:rsidP="00AE749C" w:rsidRDefault="00E5715F" w14:paraId="17B08086" w14:textId="26E2A858">
            <w:pPr>
              <w:ind w:firstLine="0"/>
              <w:jc w:val="right"/>
            </w:pPr>
            <w:r w:rsidRPr="001F2B81">
              <w:t>$</w:t>
            </w:r>
            <w:r w:rsidRPr="007A01A4" w:rsidR="007A01A4">
              <w:t>160,614</w:t>
            </w:r>
          </w:p>
        </w:tc>
      </w:tr>
      <w:tr w:rsidR="00E5715F" w:rsidTr="00E5715F" w14:paraId="2F639961" w14:textId="77777777">
        <w:tc>
          <w:tcPr>
            <w:tcW w:w="4225" w:type="dxa"/>
          </w:tcPr>
          <w:p w:rsidRPr="00647F49" w:rsidR="00E5715F" w:rsidP="00AE749C" w:rsidRDefault="00E5715F" w14:paraId="3E46BB1B" w14:textId="77777777">
            <w:pPr>
              <w:pStyle w:val="Standard"/>
              <w:jc w:val="right"/>
            </w:pPr>
            <w:r w:rsidRPr="00647F49">
              <w:t>Workforce Education and Training</w:t>
            </w:r>
          </w:p>
        </w:tc>
        <w:tc>
          <w:tcPr>
            <w:tcW w:w="2790" w:type="dxa"/>
          </w:tcPr>
          <w:p w:rsidRPr="00ED3FEF" w:rsidR="00E5715F" w:rsidP="00AE749C" w:rsidRDefault="00FA3249" w14:paraId="3A84CDAE" w14:textId="79DD6225">
            <w:pPr>
              <w:ind w:firstLine="0"/>
              <w:jc w:val="right"/>
            </w:pPr>
            <w:r>
              <w:t>$0</w:t>
            </w:r>
          </w:p>
        </w:tc>
        <w:tc>
          <w:tcPr>
            <w:tcW w:w="2520" w:type="dxa"/>
          </w:tcPr>
          <w:p w:rsidRPr="00ED3FEF" w:rsidR="00E5715F" w:rsidP="00AE749C" w:rsidRDefault="00FA3249" w14:paraId="13D36202" w14:textId="6BEFE7E1">
            <w:pPr>
              <w:ind w:firstLine="0"/>
              <w:jc w:val="right"/>
            </w:pPr>
            <w:r>
              <w:t>$0</w:t>
            </w:r>
          </w:p>
        </w:tc>
      </w:tr>
      <w:tr w:rsidR="00E5715F" w:rsidTr="00E5715F" w14:paraId="5B46DE17" w14:textId="77777777">
        <w:tc>
          <w:tcPr>
            <w:tcW w:w="4225" w:type="dxa"/>
          </w:tcPr>
          <w:p w:rsidRPr="00647F49" w:rsidR="00E5715F" w:rsidP="00AE749C" w:rsidRDefault="00E5715F" w14:paraId="1AFFEFFD" w14:textId="77777777">
            <w:pPr>
              <w:pStyle w:val="Standard"/>
              <w:jc w:val="right"/>
            </w:pPr>
            <w:r w:rsidRPr="00647F49">
              <w:t>Inspections</w:t>
            </w:r>
          </w:p>
        </w:tc>
        <w:tc>
          <w:tcPr>
            <w:tcW w:w="2790" w:type="dxa"/>
          </w:tcPr>
          <w:p w:rsidRPr="00ED3FEF" w:rsidR="00E5715F" w:rsidP="00AE749C" w:rsidRDefault="00E5715F" w14:paraId="67A676E7" w14:textId="33D26673">
            <w:pPr>
              <w:ind w:firstLine="0"/>
              <w:jc w:val="right"/>
            </w:pPr>
            <w:r w:rsidRPr="009A7C2C">
              <w:t>$</w:t>
            </w:r>
            <w:r w:rsidRPr="0088255F" w:rsidR="0088255F">
              <w:t>110,062</w:t>
            </w:r>
          </w:p>
        </w:tc>
        <w:tc>
          <w:tcPr>
            <w:tcW w:w="2520" w:type="dxa"/>
          </w:tcPr>
          <w:p w:rsidRPr="00ED3FEF" w:rsidR="00E5715F" w:rsidP="00AE749C" w:rsidRDefault="00E5715F" w14:paraId="782C6C62" w14:textId="620E8C13">
            <w:pPr>
              <w:ind w:firstLine="0"/>
              <w:jc w:val="right"/>
            </w:pPr>
            <w:r w:rsidRPr="009A7C2C">
              <w:t>$</w:t>
            </w:r>
            <w:r>
              <w:t xml:space="preserve"> </w:t>
            </w:r>
            <w:r w:rsidRPr="0088255F" w:rsidR="0088255F">
              <w:t>226,</w:t>
            </w:r>
            <w:r w:rsidR="0087230F">
              <w:t>923</w:t>
            </w:r>
          </w:p>
        </w:tc>
      </w:tr>
      <w:tr w:rsidR="00E5715F" w:rsidTr="00E5715F" w14:paraId="21E0BF6E" w14:textId="77777777">
        <w:tc>
          <w:tcPr>
            <w:tcW w:w="4225" w:type="dxa"/>
          </w:tcPr>
          <w:p w:rsidRPr="00647F49" w:rsidR="00E5715F" w:rsidP="00AE749C" w:rsidRDefault="00E5715F" w14:paraId="48C3072D" w14:textId="77777777">
            <w:pPr>
              <w:pStyle w:val="Standard"/>
              <w:jc w:val="right"/>
            </w:pPr>
            <w:r w:rsidRPr="00647F49">
              <w:t>Marketing and Outreach</w:t>
            </w:r>
          </w:p>
        </w:tc>
        <w:tc>
          <w:tcPr>
            <w:tcW w:w="2790" w:type="dxa"/>
          </w:tcPr>
          <w:p w:rsidRPr="00ED3FEF" w:rsidR="00E5715F" w:rsidP="00AE749C" w:rsidRDefault="00E5715F" w14:paraId="7CF7159F" w14:textId="3CF91505">
            <w:pPr>
              <w:ind w:firstLine="0"/>
              <w:jc w:val="right"/>
            </w:pPr>
            <w:r w:rsidRPr="00430C4A">
              <w:t>$</w:t>
            </w:r>
            <w:r w:rsidRPr="0088255F" w:rsidR="0088255F">
              <w:t>1,674,124</w:t>
            </w:r>
          </w:p>
        </w:tc>
        <w:tc>
          <w:tcPr>
            <w:tcW w:w="2520" w:type="dxa"/>
          </w:tcPr>
          <w:p w:rsidRPr="00ED3FEF" w:rsidR="00E5715F" w:rsidP="00AE749C" w:rsidRDefault="0088255F" w14:paraId="2E057185" w14:textId="18341FF3">
            <w:pPr>
              <w:ind w:firstLine="0"/>
              <w:jc w:val="right"/>
            </w:pPr>
            <w:r>
              <w:t>$</w:t>
            </w:r>
            <w:r w:rsidRPr="0088255F">
              <w:t>1,630,135</w:t>
            </w:r>
          </w:p>
        </w:tc>
      </w:tr>
      <w:tr w:rsidR="00E5715F" w:rsidTr="00E5715F" w14:paraId="35717359" w14:textId="77777777">
        <w:tc>
          <w:tcPr>
            <w:tcW w:w="4225" w:type="dxa"/>
          </w:tcPr>
          <w:p w:rsidRPr="00647F49" w:rsidR="00E5715F" w:rsidP="00AE749C" w:rsidRDefault="00E5715F" w14:paraId="461C96B5" w14:textId="77777777">
            <w:pPr>
              <w:pStyle w:val="Standard"/>
              <w:jc w:val="right"/>
            </w:pPr>
            <w:r w:rsidRPr="00647F49">
              <w:t>Studies</w:t>
            </w:r>
          </w:p>
        </w:tc>
        <w:tc>
          <w:tcPr>
            <w:tcW w:w="2790" w:type="dxa"/>
          </w:tcPr>
          <w:p w:rsidRPr="00ED3FEF" w:rsidR="00E5715F" w:rsidP="00AE749C" w:rsidRDefault="00E5715F" w14:paraId="51CE7CFD" w14:textId="5D0A2E25">
            <w:pPr>
              <w:ind w:firstLine="0"/>
              <w:jc w:val="right"/>
            </w:pPr>
            <w:r w:rsidRPr="00081539">
              <w:t>$</w:t>
            </w:r>
            <w:r w:rsidRPr="00DD5555" w:rsidR="00DD5555">
              <w:t>50,000</w:t>
            </w:r>
          </w:p>
        </w:tc>
        <w:tc>
          <w:tcPr>
            <w:tcW w:w="2520" w:type="dxa"/>
          </w:tcPr>
          <w:p w:rsidRPr="00ED3FEF" w:rsidR="00E5715F" w:rsidP="00AE749C" w:rsidRDefault="00E5715F" w14:paraId="799DCA93" w14:textId="0C8C75D3">
            <w:pPr>
              <w:ind w:firstLine="0"/>
              <w:jc w:val="right"/>
            </w:pPr>
            <w:r w:rsidRPr="00081539">
              <w:t>$</w:t>
            </w:r>
            <w:r w:rsidRPr="00DD5555" w:rsidR="00DD5555">
              <w:t>50,000</w:t>
            </w:r>
          </w:p>
        </w:tc>
      </w:tr>
      <w:tr w:rsidR="00E5715F" w:rsidTr="00E5715F" w14:paraId="4D42916A" w14:textId="77777777">
        <w:tc>
          <w:tcPr>
            <w:tcW w:w="4225" w:type="dxa"/>
          </w:tcPr>
          <w:p w:rsidRPr="00647F49" w:rsidR="00E5715F" w:rsidP="00AE749C" w:rsidRDefault="00E5715F" w14:paraId="5C62E03E" w14:textId="77777777">
            <w:pPr>
              <w:pStyle w:val="Standard"/>
              <w:jc w:val="right"/>
            </w:pPr>
            <w:r w:rsidRPr="00647F49">
              <w:t>Regulatory Compliance</w:t>
            </w:r>
          </w:p>
        </w:tc>
        <w:tc>
          <w:tcPr>
            <w:tcW w:w="2790" w:type="dxa"/>
          </w:tcPr>
          <w:p w:rsidRPr="00ED3FEF" w:rsidR="00E5715F" w:rsidP="00AE749C" w:rsidRDefault="00E5715F" w14:paraId="58418C3B" w14:textId="412451CC">
            <w:pPr>
              <w:ind w:firstLine="0"/>
              <w:jc w:val="right"/>
            </w:pPr>
            <w:r w:rsidRPr="00C51078">
              <w:t>$</w:t>
            </w:r>
            <w:r w:rsidR="00DD5555">
              <w:t>308,400</w:t>
            </w:r>
          </w:p>
        </w:tc>
        <w:tc>
          <w:tcPr>
            <w:tcW w:w="2520" w:type="dxa"/>
          </w:tcPr>
          <w:p w:rsidRPr="00ED3FEF" w:rsidR="00E5715F" w:rsidP="00AE749C" w:rsidRDefault="00E5715F" w14:paraId="65AD87E0" w14:textId="3EDBB2EA">
            <w:pPr>
              <w:ind w:firstLine="0"/>
              <w:jc w:val="right"/>
            </w:pPr>
            <w:r w:rsidRPr="00C51078">
              <w:t>$</w:t>
            </w:r>
            <w:r w:rsidR="00DD5555">
              <w:t>213,045</w:t>
            </w:r>
          </w:p>
        </w:tc>
      </w:tr>
      <w:tr w:rsidR="00E5715F" w:rsidTr="00E5715F" w14:paraId="6198558B" w14:textId="77777777">
        <w:tc>
          <w:tcPr>
            <w:tcW w:w="4225" w:type="dxa"/>
          </w:tcPr>
          <w:p w:rsidRPr="0010154F" w:rsidR="00E5715F" w:rsidP="00AE749C" w:rsidRDefault="00E5715F" w14:paraId="0DD15EB6" w14:textId="77777777">
            <w:pPr>
              <w:pStyle w:val="Standard"/>
              <w:jc w:val="right"/>
            </w:pPr>
            <w:r w:rsidRPr="00F62735">
              <w:t>General Administration</w:t>
            </w:r>
          </w:p>
        </w:tc>
        <w:tc>
          <w:tcPr>
            <w:tcW w:w="2790" w:type="dxa"/>
          </w:tcPr>
          <w:p w:rsidRPr="00ED3FEF" w:rsidR="00E5715F" w:rsidP="00AE749C" w:rsidRDefault="00E5715F" w14:paraId="342B1F5F" w14:textId="7EB84CE7">
            <w:pPr>
              <w:ind w:firstLine="0"/>
              <w:jc w:val="right"/>
            </w:pPr>
            <w:r w:rsidRPr="003B3551">
              <w:t>$</w:t>
            </w:r>
            <w:r w:rsidRPr="00DD5555" w:rsidR="00DD5555">
              <w:t>2,433,898</w:t>
            </w:r>
          </w:p>
        </w:tc>
        <w:tc>
          <w:tcPr>
            <w:tcW w:w="2520" w:type="dxa"/>
          </w:tcPr>
          <w:p w:rsidRPr="00ED3FEF" w:rsidR="00E5715F" w:rsidP="00AE749C" w:rsidRDefault="00E5715F" w14:paraId="755F3C47" w14:textId="070FEED0">
            <w:pPr>
              <w:ind w:firstLine="0"/>
              <w:jc w:val="right"/>
            </w:pPr>
            <w:r w:rsidRPr="003B3551">
              <w:t>$</w:t>
            </w:r>
            <w:r w:rsidRPr="00146650" w:rsidR="00146650">
              <w:t>2,456,346</w:t>
            </w:r>
          </w:p>
        </w:tc>
      </w:tr>
      <w:tr w:rsidR="00146650" w:rsidTr="00E5715F" w14:paraId="78631FE2" w14:textId="77777777">
        <w:tc>
          <w:tcPr>
            <w:tcW w:w="4225" w:type="dxa"/>
          </w:tcPr>
          <w:p w:rsidRPr="00F62735" w:rsidR="00146650" w:rsidP="00AE749C" w:rsidRDefault="00FA3249" w14:paraId="4CBD5316" w14:textId="146282DB">
            <w:pPr>
              <w:pStyle w:val="Standard"/>
              <w:jc w:val="right"/>
            </w:pPr>
            <w:r w:rsidRPr="00FA3249">
              <w:t>MFWB Administration</w:t>
            </w:r>
          </w:p>
        </w:tc>
        <w:tc>
          <w:tcPr>
            <w:tcW w:w="2790" w:type="dxa"/>
          </w:tcPr>
          <w:p w:rsidRPr="00A14608" w:rsidR="00146650" w:rsidP="00AE749C" w:rsidRDefault="00CD7461" w14:paraId="16295F7E" w14:textId="52A0F7CE">
            <w:pPr>
              <w:ind w:firstLine="0"/>
              <w:jc w:val="right"/>
            </w:pPr>
            <w:r>
              <w:t>$</w:t>
            </w:r>
            <w:r w:rsidRPr="00CD7461">
              <w:t>913,937</w:t>
            </w:r>
          </w:p>
        </w:tc>
        <w:tc>
          <w:tcPr>
            <w:tcW w:w="2520" w:type="dxa"/>
          </w:tcPr>
          <w:p w:rsidRPr="00A14608" w:rsidR="00146650" w:rsidP="00AE749C" w:rsidRDefault="00CD7461" w14:paraId="4C4118D9" w14:textId="7B52108B">
            <w:pPr>
              <w:ind w:firstLine="0"/>
              <w:jc w:val="right"/>
            </w:pPr>
            <w:r>
              <w:t>$</w:t>
            </w:r>
            <w:r w:rsidRPr="00CD7461">
              <w:t>749,427</w:t>
            </w:r>
          </w:p>
        </w:tc>
      </w:tr>
      <w:tr w:rsidR="00E5715F" w:rsidTr="00E5715F" w14:paraId="6D06FE1B" w14:textId="77777777">
        <w:tc>
          <w:tcPr>
            <w:tcW w:w="4225" w:type="dxa"/>
          </w:tcPr>
          <w:p w:rsidRPr="0010154F" w:rsidR="00E5715F" w:rsidP="00AE749C" w:rsidRDefault="00E5715F" w14:paraId="2C16A91D" w14:textId="77777777">
            <w:pPr>
              <w:pStyle w:val="Standard"/>
              <w:jc w:val="right"/>
            </w:pPr>
            <w:r w:rsidRPr="00F62735">
              <w:t>CPUC Energy Division</w:t>
            </w:r>
          </w:p>
        </w:tc>
        <w:tc>
          <w:tcPr>
            <w:tcW w:w="2790" w:type="dxa"/>
          </w:tcPr>
          <w:p w:rsidRPr="00C7008D" w:rsidR="00E5715F" w:rsidP="00AE749C" w:rsidRDefault="00E5715F" w14:paraId="7C627B6C" w14:textId="72CCC9A0">
            <w:pPr>
              <w:ind w:firstLine="0"/>
              <w:jc w:val="right"/>
            </w:pPr>
            <w:r w:rsidRPr="00A14608">
              <w:t>$</w:t>
            </w:r>
            <w:r w:rsidRPr="00146650" w:rsidR="00146650">
              <w:t>59,780</w:t>
            </w:r>
          </w:p>
        </w:tc>
        <w:tc>
          <w:tcPr>
            <w:tcW w:w="2520" w:type="dxa"/>
          </w:tcPr>
          <w:p w:rsidRPr="00C7008D" w:rsidR="00E5715F" w:rsidP="00AE749C" w:rsidRDefault="00E5715F" w14:paraId="6925DFC9" w14:textId="1C81F9C6">
            <w:pPr>
              <w:ind w:firstLine="0"/>
              <w:jc w:val="right"/>
            </w:pPr>
            <w:r w:rsidRPr="00A14608">
              <w:t>$</w:t>
            </w:r>
            <w:r w:rsidRPr="00146650" w:rsidR="00146650">
              <w:t>59,780</w:t>
            </w:r>
          </w:p>
        </w:tc>
      </w:tr>
      <w:tr w:rsidR="00E5715F" w:rsidTr="00E5715F" w14:paraId="42B6AE61" w14:textId="77777777">
        <w:tc>
          <w:tcPr>
            <w:tcW w:w="4225" w:type="dxa"/>
          </w:tcPr>
          <w:p w:rsidRPr="00ED3FEF" w:rsidR="00E5715F" w:rsidP="00AE749C" w:rsidRDefault="00E5715F" w14:paraId="404F34B7" w14:textId="77777777">
            <w:pPr>
              <w:pStyle w:val="Standard"/>
              <w:ind w:firstLine="0"/>
              <w:jc w:val="both"/>
              <w:rPr>
                <w:b/>
                <w:bCs/>
              </w:rPr>
            </w:pPr>
            <w:r w:rsidRPr="00ED3FEF">
              <w:rPr>
                <w:b/>
                <w:bCs/>
              </w:rPr>
              <w:t>Admin Subtotal</w:t>
            </w:r>
          </w:p>
        </w:tc>
        <w:tc>
          <w:tcPr>
            <w:tcW w:w="2790" w:type="dxa"/>
          </w:tcPr>
          <w:p w:rsidRPr="005E2E1B" w:rsidR="00E5715F" w:rsidP="00AE749C" w:rsidRDefault="00E5715F" w14:paraId="39A62154" w14:textId="72243366">
            <w:pPr>
              <w:ind w:firstLine="0"/>
              <w:rPr>
                <w:b/>
                <w:bCs/>
              </w:rPr>
            </w:pPr>
            <w:r w:rsidRPr="005E2E1B">
              <w:rPr>
                <w:b/>
                <w:bCs/>
              </w:rPr>
              <w:t>$</w:t>
            </w:r>
            <w:r w:rsidRPr="002C59C9" w:rsidR="002C59C9">
              <w:rPr>
                <w:b/>
                <w:bCs/>
              </w:rPr>
              <w:t>5,710,815</w:t>
            </w:r>
          </w:p>
        </w:tc>
        <w:tc>
          <w:tcPr>
            <w:tcW w:w="2520" w:type="dxa"/>
          </w:tcPr>
          <w:p w:rsidRPr="005E2E1B" w:rsidR="00E5715F" w:rsidP="00AE749C" w:rsidRDefault="00E5715F" w14:paraId="35596CFB" w14:textId="63208E11">
            <w:pPr>
              <w:ind w:firstLine="0"/>
              <w:rPr>
                <w:b/>
                <w:bCs/>
              </w:rPr>
            </w:pPr>
            <w:r w:rsidRPr="005E2E1B">
              <w:rPr>
                <w:b/>
                <w:bCs/>
              </w:rPr>
              <w:t>$</w:t>
            </w:r>
            <w:r w:rsidRPr="00CD7461" w:rsidR="00CD7461">
              <w:rPr>
                <w:b/>
                <w:bCs/>
              </w:rPr>
              <w:t>5,546,</w:t>
            </w:r>
            <w:r w:rsidR="0087230F">
              <w:rPr>
                <w:b/>
                <w:bCs/>
              </w:rPr>
              <w:t>270</w:t>
            </w:r>
          </w:p>
        </w:tc>
      </w:tr>
      <w:tr w:rsidR="00E5715F" w:rsidTr="00E5715F" w14:paraId="72529796" w14:textId="77777777">
        <w:tc>
          <w:tcPr>
            <w:tcW w:w="4225" w:type="dxa"/>
          </w:tcPr>
          <w:p w:rsidRPr="00ED3FEF" w:rsidR="00E5715F" w:rsidP="00AE749C" w:rsidRDefault="00E5715F" w14:paraId="754C86DE" w14:textId="77777777">
            <w:pPr>
              <w:pStyle w:val="Standard"/>
              <w:ind w:firstLine="0"/>
              <w:rPr>
                <w:b/>
                <w:bCs/>
              </w:rPr>
            </w:pPr>
            <w:r w:rsidRPr="00ED3FEF">
              <w:rPr>
                <w:b/>
                <w:bCs/>
              </w:rPr>
              <w:t>Program Total</w:t>
            </w:r>
          </w:p>
        </w:tc>
        <w:tc>
          <w:tcPr>
            <w:tcW w:w="2790" w:type="dxa"/>
          </w:tcPr>
          <w:p w:rsidRPr="00B06264" w:rsidR="00E5715F" w:rsidP="00AE749C" w:rsidRDefault="00E5715F" w14:paraId="13DEE55E" w14:textId="61000BC1">
            <w:pPr>
              <w:ind w:firstLine="0"/>
              <w:jc w:val="both"/>
              <w:rPr>
                <w:b/>
                <w:bCs/>
              </w:rPr>
            </w:pPr>
            <w:r w:rsidRPr="00B06264">
              <w:rPr>
                <w:b/>
                <w:bCs/>
              </w:rPr>
              <w:t>$</w:t>
            </w:r>
            <w:r w:rsidRPr="002C59C9" w:rsidR="002C59C9">
              <w:rPr>
                <w:b/>
                <w:bCs/>
              </w:rPr>
              <w:t>32,133,865</w:t>
            </w:r>
          </w:p>
        </w:tc>
        <w:tc>
          <w:tcPr>
            <w:tcW w:w="2520" w:type="dxa"/>
          </w:tcPr>
          <w:p w:rsidRPr="00B06264" w:rsidR="00E5715F" w:rsidP="00AE749C" w:rsidRDefault="00E5715F" w14:paraId="6911FE38" w14:textId="72F701DB">
            <w:pPr>
              <w:ind w:firstLine="0"/>
              <w:jc w:val="both"/>
              <w:rPr>
                <w:b/>
                <w:bCs/>
              </w:rPr>
            </w:pPr>
            <w:r w:rsidRPr="00B06264">
              <w:rPr>
                <w:b/>
                <w:bCs/>
              </w:rPr>
              <w:t>$</w:t>
            </w:r>
            <w:r w:rsidRPr="002C59C9" w:rsidR="002C59C9">
              <w:rPr>
                <w:b/>
                <w:bCs/>
              </w:rPr>
              <w:t>33,949,</w:t>
            </w:r>
            <w:r w:rsidR="0087230F">
              <w:rPr>
                <w:b/>
                <w:bCs/>
              </w:rPr>
              <w:t>958</w:t>
            </w:r>
          </w:p>
        </w:tc>
      </w:tr>
      <w:tr w:rsidR="00E5715F" w:rsidTr="00E5715F" w14:paraId="51417087" w14:textId="77777777">
        <w:tc>
          <w:tcPr>
            <w:tcW w:w="4225" w:type="dxa"/>
          </w:tcPr>
          <w:p w:rsidRPr="0010154F" w:rsidR="00E5715F" w:rsidP="00AE749C" w:rsidRDefault="00E5715F" w14:paraId="658E4F40" w14:textId="77777777">
            <w:pPr>
              <w:pStyle w:val="Standard"/>
              <w:ind w:firstLine="0"/>
              <w:jc w:val="right"/>
            </w:pPr>
            <w:r w:rsidRPr="00F62735">
              <w:t>Staff Proposal Pilot (PP/PD)</w:t>
            </w:r>
          </w:p>
        </w:tc>
        <w:tc>
          <w:tcPr>
            <w:tcW w:w="2790" w:type="dxa"/>
          </w:tcPr>
          <w:p w:rsidRPr="00C7008D" w:rsidR="00E5715F" w:rsidP="00AE749C" w:rsidRDefault="00E5715F" w14:paraId="1F832A89" w14:textId="24EFAB07">
            <w:pPr>
              <w:ind w:firstLine="0"/>
              <w:jc w:val="right"/>
            </w:pPr>
            <w:r>
              <w:t>$</w:t>
            </w:r>
            <w:r w:rsidRPr="00E05BE9" w:rsidR="00E05BE9">
              <w:t>1,526,683</w:t>
            </w:r>
          </w:p>
        </w:tc>
        <w:tc>
          <w:tcPr>
            <w:tcW w:w="2520" w:type="dxa"/>
          </w:tcPr>
          <w:p w:rsidRPr="00C7008D" w:rsidR="00E5715F" w:rsidP="00AE749C" w:rsidRDefault="00E05BE9" w14:paraId="06038CE9" w14:textId="4BC0938B">
            <w:pPr>
              <w:ind w:firstLine="0"/>
              <w:jc w:val="right"/>
            </w:pPr>
            <w:r>
              <w:t>$</w:t>
            </w:r>
            <w:r w:rsidRPr="00E05BE9">
              <w:t>1,791,059</w:t>
            </w:r>
          </w:p>
        </w:tc>
      </w:tr>
      <w:tr w:rsidR="00E5715F" w:rsidTr="00E5715F" w14:paraId="39DFCBC7" w14:textId="77777777">
        <w:tc>
          <w:tcPr>
            <w:tcW w:w="4225" w:type="dxa"/>
          </w:tcPr>
          <w:p w:rsidRPr="00ED3FEF" w:rsidR="00E5715F" w:rsidP="00AE749C" w:rsidRDefault="00E5715F" w14:paraId="5686D97C" w14:textId="77777777">
            <w:pPr>
              <w:pStyle w:val="Standard"/>
              <w:ind w:firstLine="0"/>
              <w:rPr>
                <w:b/>
                <w:bCs/>
              </w:rPr>
            </w:pPr>
            <w:r w:rsidRPr="00ED3FEF">
              <w:rPr>
                <w:b/>
                <w:bCs/>
              </w:rPr>
              <w:t>Portfolio Total</w:t>
            </w:r>
          </w:p>
        </w:tc>
        <w:tc>
          <w:tcPr>
            <w:tcW w:w="2790" w:type="dxa"/>
          </w:tcPr>
          <w:p w:rsidRPr="00E05BE9" w:rsidR="00E5715F" w:rsidP="00AE749C" w:rsidRDefault="00E5715F" w14:paraId="0E526036" w14:textId="3B7FE133">
            <w:pPr>
              <w:ind w:firstLine="0"/>
              <w:jc w:val="both"/>
              <w:rPr>
                <w:b/>
                <w:bCs/>
              </w:rPr>
            </w:pPr>
            <w:r w:rsidRPr="00E05BE9">
              <w:rPr>
                <w:b/>
                <w:bCs/>
              </w:rPr>
              <w:t>$</w:t>
            </w:r>
            <w:r w:rsidRPr="00E05BE9" w:rsidR="00E05BE9">
              <w:rPr>
                <w:b/>
                <w:bCs/>
              </w:rPr>
              <w:t>33,660,548</w:t>
            </w:r>
          </w:p>
        </w:tc>
        <w:tc>
          <w:tcPr>
            <w:tcW w:w="2520" w:type="dxa"/>
          </w:tcPr>
          <w:p w:rsidRPr="00E05BE9" w:rsidR="00E5715F" w:rsidP="00AE749C" w:rsidRDefault="00E5715F" w14:paraId="0941BC41" w14:textId="090F2D0B">
            <w:pPr>
              <w:ind w:firstLine="0"/>
              <w:jc w:val="both"/>
              <w:rPr>
                <w:b/>
                <w:bCs/>
              </w:rPr>
            </w:pPr>
            <w:r w:rsidRPr="00E05BE9">
              <w:rPr>
                <w:b/>
                <w:bCs/>
              </w:rPr>
              <w:t>$</w:t>
            </w:r>
            <w:r w:rsidRPr="00E05BE9" w:rsidR="00E05BE9">
              <w:rPr>
                <w:b/>
                <w:bCs/>
              </w:rPr>
              <w:t>35,74</w:t>
            </w:r>
            <w:r w:rsidR="0087230F">
              <w:rPr>
                <w:b/>
                <w:bCs/>
              </w:rPr>
              <w:t>1,017</w:t>
            </w:r>
          </w:p>
        </w:tc>
      </w:tr>
      <w:tr w:rsidR="00154524" w:rsidTr="00AE749C" w14:paraId="3202A022" w14:textId="77777777">
        <w:tc>
          <w:tcPr>
            <w:tcW w:w="4225" w:type="dxa"/>
          </w:tcPr>
          <w:p w:rsidRPr="00ED3FEF" w:rsidR="00154524" w:rsidP="00AE749C" w:rsidRDefault="00154524" w14:paraId="28BDED09" w14:textId="16E85341">
            <w:pPr>
              <w:pStyle w:val="Standard"/>
              <w:ind w:firstLine="0"/>
              <w:rPr>
                <w:b/>
                <w:bCs/>
              </w:rPr>
            </w:pPr>
            <w:r>
              <w:rPr>
                <w:b/>
                <w:bCs/>
              </w:rPr>
              <w:t>Unspent Funds</w:t>
            </w:r>
          </w:p>
        </w:tc>
        <w:tc>
          <w:tcPr>
            <w:tcW w:w="2790" w:type="dxa"/>
          </w:tcPr>
          <w:p w:rsidRPr="00B06264" w:rsidR="00154524" w:rsidP="00AE749C" w:rsidRDefault="00154524" w14:paraId="193B4046" w14:textId="77777777">
            <w:pPr>
              <w:ind w:firstLine="0"/>
              <w:jc w:val="both"/>
              <w:rPr>
                <w:b/>
                <w:bCs/>
              </w:rPr>
            </w:pPr>
          </w:p>
        </w:tc>
        <w:tc>
          <w:tcPr>
            <w:tcW w:w="2520" w:type="dxa"/>
          </w:tcPr>
          <w:p w:rsidRPr="00B06264" w:rsidR="00154524" w:rsidP="00AE749C" w:rsidRDefault="00841073" w14:paraId="111D7448" w14:textId="3ACBA6AA">
            <w:pPr>
              <w:ind w:firstLine="0"/>
              <w:jc w:val="both"/>
              <w:rPr>
                <w:b/>
                <w:bCs/>
              </w:rPr>
            </w:pPr>
            <w:r>
              <w:rPr>
                <w:b/>
                <w:bCs/>
              </w:rPr>
              <w:t>(</w:t>
            </w:r>
            <w:r w:rsidR="00154524">
              <w:rPr>
                <w:b/>
                <w:bCs/>
              </w:rPr>
              <w:t>$19</w:t>
            </w:r>
            <w:r>
              <w:rPr>
                <w:b/>
                <w:bCs/>
              </w:rPr>
              <w:t>,039,137)</w:t>
            </w:r>
          </w:p>
        </w:tc>
      </w:tr>
      <w:tr w:rsidR="00FA3249" w:rsidTr="00AE749C" w14:paraId="2914D2E0" w14:textId="77777777">
        <w:tc>
          <w:tcPr>
            <w:tcW w:w="4225" w:type="dxa"/>
          </w:tcPr>
          <w:p w:rsidR="00FA3249" w:rsidP="00AE749C" w:rsidRDefault="00FA3249" w14:paraId="4A2B0CBF" w14:textId="46AD57BA">
            <w:pPr>
              <w:pStyle w:val="Standard"/>
              <w:ind w:firstLine="0"/>
              <w:rPr>
                <w:b/>
                <w:bCs/>
              </w:rPr>
            </w:pPr>
            <w:r>
              <w:rPr>
                <w:b/>
                <w:bCs/>
              </w:rPr>
              <w:lastRenderedPageBreak/>
              <w:t>ESA Portfolio Funding Total</w:t>
            </w:r>
          </w:p>
        </w:tc>
        <w:tc>
          <w:tcPr>
            <w:tcW w:w="2790" w:type="dxa"/>
          </w:tcPr>
          <w:p w:rsidRPr="00B06264" w:rsidR="00FA3249" w:rsidP="00AE749C" w:rsidRDefault="00FA3249" w14:paraId="7094D453" w14:textId="77777777">
            <w:pPr>
              <w:ind w:firstLine="0"/>
              <w:jc w:val="both"/>
              <w:rPr>
                <w:b/>
                <w:bCs/>
              </w:rPr>
            </w:pPr>
          </w:p>
        </w:tc>
        <w:tc>
          <w:tcPr>
            <w:tcW w:w="2520" w:type="dxa"/>
          </w:tcPr>
          <w:p w:rsidR="00FA3249" w:rsidP="00AE749C" w:rsidRDefault="00FA3249" w14:paraId="18A2654C" w14:textId="263FA37D">
            <w:pPr>
              <w:ind w:firstLine="0"/>
              <w:jc w:val="both"/>
              <w:rPr>
                <w:b/>
                <w:bCs/>
              </w:rPr>
            </w:pPr>
            <w:r>
              <w:rPr>
                <w:b/>
                <w:bCs/>
              </w:rPr>
              <w:t>$16,701,</w:t>
            </w:r>
            <w:r w:rsidR="002F5137">
              <w:rPr>
                <w:b/>
                <w:bCs/>
              </w:rPr>
              <w:t>880</w:t>
            </w:r>
          </w:p>
        </w:tc>
      </w:tr>
    </w:tbl>
    <w:p w:rsidRPr="00703C10" w:rsidR="00703C10" w:rsidP="00703C10" w:rsidRDefault="00703C10" w14:paraId="44B45BCA" w14:textId="77777777">
      <w:pPr>
        <w:pStyle w:val="Standard"/>
      </w:pPr>
    </w:p>
    <w:p w:rsidR="008E3E90" w:rsidP="00961DC9" w:rsidRDefault="008E3E90" w14:paraId="3537257E" w14:textId="23DEEDF0">
      <w:pPr>
        <w:pStyle w:val="Heading2"/>
      </w:pPr>
      <w:bookmarkStart w:name="_Toc230872082" w:id="48"/>
      <w:r>
        <w:t>SCE</w:t>
      </w:r>
      <w:r w:rsidR="004B7A59">
        <w:t>’S</w:t>
      </w:r>
      <w:r>
        <w:t xml:space="preserve"> ESA </w:t>
      </w:r>
      <w:r w:rsidR="006B649D">
        <w:t>Program</w:t>
      </w:r>
      <w:bookmarkEnd w:id="48"/>
    </w:p>
    <w:p w:rsidR="00013430" w:rsidP="008E3E90" w:rsidRDefault="00013430" w14:paraId="55F317D6" w14:textId="77777777">
      <w:pPr>
        <w:pStyle w:val="Standard"/>
      </w:pPr>
      <w:r>
        <w:t>SCE’s ESA portfolio includes the following:</w:t>
      </w:r>
    </w:p>
    <w:p w:rsidR="00013430" w:rsidP="00FE2D37" w:rsidRDefault="00013430" w14:paraId="54AE1561" w14:textId="222B3878">
      <w:pPr>
        <w:pStyle w:val="ListBullet"/>
        <w:ind w:right="1440"/>
      </w:pPr>
      <w:r>
        <w:t>ESA Main</w:t>
      </w:r>
      <w:r w:rsidR="00555B82">
        <w:t>;</w:t>
      </w:r>
    </w:p>
    <w:p w:rsidR="00013430" w:rsidP="00FE2D37" w:rsidRDefault="00013430" w14:paraId="177379E0" w14:textId="002AC5AD">
      <w:pPr>
        <w:pStyle w:val="ListBullet"/>
        <w:ind w:right="1440"/>
      </w:pPr>
      <w:r>
        <w:t>ESA Building Electrification (BE) Pilot</w:t>
      </w:r>
      <w:r w:rsidR="00555B82">
        <w:t xml:space="preserve"> </w:t>
      </w:r>
      <w:r w:rsidR="00053692">
        <w:t>- an SCE</w:t>
      </w:r>
      <w:r w:rsidR="00786A31">
        <w:t>-</w:t>
      </w:r>
      <w:r w:rsidR="00053692">
        <w:t>only pilot</w:t>
      </w:r>
      <w:r w:rsidR="007E213E">
        <w:t xml:space="preserve"> </w:t>
      </w:r>
      <w:r w:rsidRPr="007E213E" w:rsidR="007E213E">
        <w:t>that offers income-qualified customers living in single family homes an</w:t>
      </w:r>
      <w:r w:rsidR="00555B82">
        <w:t xml:space="preserve"> </w:t>
      </w:r>
      <w:r w:rsidRPr="007E213E" w:rsidR="007E213E">
        <w:t>opportunity to reduce overall energy costs and greenhouse gas emissions by replacing natural gas equipment and appliances with heat pump technologies, as well as energy-efficient electric appliances. The BE Pilot also provides electrical panel upgrades and other electrical and plumbing work as needed</w:t>
      </w:r>
      <w:r w:rsidR="00555B82">
        <w:t>;</w:t>
      </w:r>
    </w:p>
    <w:p w:rsidR="00013430" w:rsidP="00FE2D37" w:rsidRDefault="00013430" w14:paraId="665ADE5B" w14:textId="65319FF4">
      <w:pPr>
        <w:pStyle w:val="ListBullet"/>
        <w:ind w:right="1440"/>
      </w:pPr>
      <w:r>
        <w:t>ESA Clean Energy Home Pilot (CEH)</w:t>
      </w:r>
      <w:r w:rsidR="00555B82">
        <w:t xml:space="preserve"> – an SCE only pilot that offers incentives for </w:t>
      </w:r>
      <w:r w:rsidRPr="00555B82" w:rsidR="00555B82">
        <w:t>low-income housing developers to incorporate innovative low-carbon technologies and building practices into residential new construction designs that provide housing with low utility cost to residents</w:t>
      </w:r>
      <w:r w:rsidR="00555B82">
        <w:t>;</w:t>
      </w:r>
    </w:p>
    <w:p w:rsidR="00013430" w:rsidP="00FE2D37" w:rsidRDefault="004A7E2A" w14:paraId="398E41EA" w14:textId="7D9E426A">
      <w:pPr>
        <w:pStyle w:val="ListBullet"/>
        <w:ind w:right="1440"/>
      </w:pPr>
      <w:r>
        <w:t>ES</w:t>
      </w:r>
      <w:r w:rsidR="00013430">
        <w:t>A Pilot (Pilot Plus/Pilot Deep)</w:t>
      </w:r>
      <w:r w:rsidR="00555B82">
        <w:t xml:space="preserve"> </w:t>
      </w:r>
      <w:r w:rsidR="00650D5C">
        <w:t>–</w:t>
      </w:r>
      <w:r w:rsidR="00555B82">
        <w:t xml:space="preserve"> </w:t>
      </w:r>
      <w:r w:rsidR="00650D5C">
        <w:t xml:space="preserve">SCE’s PP/PD program is a collaboration with SoCalGas </w:t>
      </w:r>
      <w:r w:rsidR="00D73AB2">
        <w:t>to target high-usage CARE customers to yield deep energy savings.</w:t>
      </w:r>
    </w:p>
    <w:p w:rsidR="00013430" w:rsidP="00FE2D37" w:rsidRDefault="00013430" w14:paraId="60F7C85B" w14:textId="546F2687">
      <w:pPr>
        <w:pStyle w:val="ListBullet"/>
        <w:ind w:right="1440"/>
      </w:pPr>
      <w:r>
        <w:t>Southern ESA MFWB program.</w:t>
      </w:r>
    </w:p>
    <w:p w:rsidR="00DF311D" w:rsidDel="00EA4EB2" w:rsidP="00DF311D" w:rsidRDefault="00417AB3" w14:paraId="30CD677B" w14:textId="6FE99118">
      <w:pPr>
        <w:pStyle w:val="Standard"/>
      </w:pPr>
      <w:r w:rsidDel="00EA4EB2">
        <w:t xml:space="preserve">As noted, SCE does not propose any programmatic changes to its ESA </w:t>
      </w:r>
      <w:r w:rsidDel="00EA4EB2" w:rsidR="00D21FD8">
        <w:t xml:space="preserve">Main </w:t>
      </w:r>
      <w:r w:rsidDel="00EA4EB2">
        <w:t xml:space="preserve">portfolio.  </w:t>
      </w:r>
      <w:r w:rsidDel="00EA4EB2" w:rsidR="00524F05">
        <w:t xml:space="preserve">Energy Savings and </w:t>
      </w:r>
      <w:r w:rsidR="00FC7CE9">
        <w:t>t</w:t>
      </w:r>
      <w:r w:rsidDel="00EA4EB2" w:rsidR="00524F05">
        <w:t xml:space="preserve">reatment </w:t>
      </w:r>
      <w:r w:rsidR="00FC7CE9">
        <w:t>t</w:t>
      </w:r>
      <w:r w:rsidDel="00EA4EB2" w:rsidR="00524F05">
        <w:t>arget</w:t>
      </w:r>
      <w:r w:rsidR="00FC7CE9">
        <w:t>s</w:t>
      </w:r>
      <w:r w:rsidDel="00EA4EB2" w:rsidR="00524F05">
        <w:t xml:space="preserve"> remain the same.</w:t>
      </w:r>
      <w:r w:rsidDel="00EA4EB2" w:rsidR="00524F05">
        <w:rPr>
          <w:rStyle w:val="FootnoteReference"/>
        </w:rPr>
        <w:footnoteReference w:id="62"/>
      </w:r>
      <w:r w:rsidDel="00EA4EB2" w:rsidR="003B7F2E">
        <w:t xml:space="preserve">  Although much of the budget is offset by unspent funds carryover, the budget has increased by 33% to </w:t>
      </w:r>
      <w:r w:rsidDel="00EA4EB2" w:rsidR="006C4CFE">
        <w:t xml:space="preserve">$100,268,152, driven mainly by increased budgets for ESA Main as well as </w:t>
      </w:r>
      <w:r w:rsidDel="00EA4EB2" w:rsidR="004A7E2A">
        <w:t>MFWB and the BE pilot.</w:t>
      </w:r>
    </w:p>
    <w:p w:rsidR="00540C22" w:rsidP="00FE2D37" w:rsidRDefault="00540C22" w14:paraId="2044CDCE" w14:textId="6A3DAA26">
      <w:pPr>
        <w:pStyle w:val="Heading3"/>
      </w:pPr>
      <w:bookmarkStart w:name="_Toc230872083" w:id="49"/>
      <w:r>
        <w:lastRenderedPageBreak/>
        <w:t>ESA Main</w:t>
      </w:r>
      <w:bookmarkEnd w:id="49"/>
    </w:p>
    <w:p w:rsidRPr="00540C22" w:rsidR="004E1600" w:rsidP="007F4262" w:rsidRDefault="00BF6882" w14:paraId="356D78ED" w14:textId="5F40B2EA">
      <w:pPr>
        <w:pStyle w:val="Standard"/>
      </w:pPr>
      <w:r>
        <w:t>After D.21-06-015, SCE sought to implement a deeper energy savings model for ESA Main</w:t>
      </w:r>
      <w:r w:rsidR="004D78B4">
        <w:t>, which prioritize</w:t>
      </w:r>
      <w:r w:rsidR="008E5765">
        <w:t>s</w:t>
      </w:r>
      <w:r w:rsidR="004D78B4">
        <w:t xml:space="preserve"> high-energy </w:t>
      </w:r>
      <w:proofErr w:type="gramStart"/>
      <w:r w:rsidR="004D78B4">
        <w:t>usage</w:t>
      </w:r>
      <w:proofErr w:type="gramEnd"/>
      <w:r w:rsidR="004D78B4">
        <w:t xml:space="preserve"> customers and </w:t>
      </w:r>
      <w:proofErr w:type="gramStart"/>
      <w:r w:rsidR="004D78B4">
        <w:t>hard</w:t>
      </w:r>
      <w:proofErr w:type="gramEnd"/>
      <w:r w:rsidR="004D78B4">
        <w:t xml:space="preserve"> to reach customer segments.  </w:t>
      </w:r>
      <w:r w:rsidR="003E6098">
        <w:t xml:space="preserve">SCE </w:t>
      </w:r>
      <w:r w:rsidR="00120296">
        <w:t xml:space="preserve">only </w:t>
      </w:r>
      <w:r w:rsidR="00AA2B4D">
        <w:t>achieved</w:t>
      </w:r>
      <w:r w:rsidR="00120296">
        <w:t xml:space="preserve"> 35</w:t>
      </w:r>
      <w:r w:rsidR="008E5765">
        <w:t xml:space="preserve"> percent</w:t>
      </w:r>
      <w:r w:rsidR="00120296">
        <w:t xml:space="preserve"> of the home treatment target for 2023</w:t>
      </w:r>
      <w:r w:rsidR="002838F5">
        <w:t xml:space="preserve"> after these changes</w:t>
      </w:r>
      <w:r w:rsidR="00120296">
        <w:t xml:space="preserve">.  </w:t>
      </w:r>
      <w:r w:rsidR="002838F5">
        <w:t xml:space="preserve">In response, SCE </w:t>
      </w:r>
      <w:r w:rsidR="00DB1B5C">
        <w:t>made modifications</w:t>
      </w:r>
      <w:r w:rsidR="002838F5">
        <w:t>, which</w:t>
      </w:r>
      <w:r w:rsidR="00120296">
        <w:t xml:space="preserve"> included </w:t>
      </w:r>
      <w:r w:rsidR="00871EBC">
        <w:t xml:space="preserve">reinstating joint utility enrollments with SoCalGas, allowing contractor outreach, </w:t>
      </w:r>
      <w:r w:rsidR="008746DD">
        <w:t xml:space="preserve">increasing measure eligibility, and changing baseline usage for measure offerings.  This led to </w:t>
      </w:r>
      <w:r>
        <w:t xml:space="preserve">an increase in </w:t>
      </w:r>
      <w:r w:rsidR="004E34B6">
        <w:t xml:space="preserve">the </w:t>
      </w:r>
      <w:r>
        <w:t>number of homes treated in 2024 to 64</w:t>
      </w:r>
      <w:r w:rsidR="00094A29">
        <w:t xml:space="preserve"> percent</w:t>
      </w:r>
      <w:r>
        <w:t xml:space="preserve"> of target.</w:t>
      </w:r>
      <w:r w:rsidR="0043153D">
        <w:rPr>
          <w:rStyle w:val="FootnoteReference"/>
        </w:rPr>
        <w:footnoteReference w:id="63"/>
      </w:r>
      <w:r w:rsidR="0043153D">
        <w:t xml:space="preserve">  To </w:t>
      </w:r>
      <w:r w:rsidR="00682BD0">
        <w:t>continue upward growth, SCE proposes to increase the ESA Main budget for 2027 by $13.3 million.</w:t>
      </w:r>
      <w:r w:rsidR="00CA23A7">
        <w:t xml:space="preserve">  SCE states that the increase</w:t>
      </w:r>
      <w:r w:rsidR="00D24787">
        <w:t>d</w:t>
      </w:r>
      <w:r w:rsidR="00CA23A7">
        <w:t xml:space="preserve"> budget is needed for budget continuity and contractor stabilization.</w:t>
      </w:r>
    </w:p>
    <w:p w:rsidR="00D21FD8" w:rsidP="00FE2D37" w:rsidRDefault="009078DE" w14:paraId="4511CB45" w14:textId="5A61A370">
      <w:pPr>
        <w:pStyle w:val="Heading3"/>
      </w:pPr>
      <w:bookmarkStart w:name="_Toc230872084" w:id="50"/>
      <w:r>
        <w:t>E</w:t>
      </w:r>
      <w:r w:rsidR="000E73BF">
        <w:t>SA</w:t>
      </w:r>
      <w:r>
        <w:t xml:space="preserve"> Pilot</w:t>
      </w:r>
      <w:r w:rsidR="00DF5AE0">
        <w:t xml:space="preserve"> Plus/Pilot Deep</w:t>
      </w:r>
      <w:bookmarkEnd w:id="50"/>
    </w:p>
    <w:p w:rsidR="004D7802" w:rsidP="00DF311D" w:rsidRDefault="004D7802" w14:paraId="6DC33970" w14:textId="6132168F">
      <w:pPr>
        <w:pStyle w:val="Standard"/>
      </w:pPr>
      <w:r>
        <w:t>SCE propose</w:t>
      </w:r>
      <w:r w:rsidR="008B3013">
        <w:t>s</w:t>
      </w:r>
      <w:r>
        <w:t xml:space="preserve"> to close </w:t>
      </w:r>
      <w:r w:rsidR="00ED06E6">
        <w:t>both the</w:t>
      </w:r>
      <w:r>
        <w:t xml:space="preserve"> PP/PD program</w:t>
      </w:r>
      <w:r w:rsidR="00ED06E6">
        <w:t xml:space="preserve"> and the CEH Pilot</w:t>
      </w:r>
      <w:r>
        <w:t xml:space="preserve"> due to low participation.  </w:t>
      </w:r>
      <w:r w:rsidR="00ED06E6">
        <w:t>For the PP/PD program,</w:t>
      </w:r>
      <w:r>
        <w:t xml:space="preserve"> 28 homes have been treated through 2024</w:t>
      </w:r>
      <w:r w:rsidR="0084262E">
        <w:t>, far below the 1,400 homes forecasted.</w:t>
      </w:r>
      <w:r w:rsidR="00ED06E6">
        <w:t xml:space="preserve">  For the CEH pilot, only </w:t>
      </w:r>
      <w:r w:rsidR="00362204">
        <w:t>eight</w:t>
      </w:r>
      <w:r w:rsidR="007F6855">
        <w:t xml:space="preserve"> project applications have been received as compared to the forecasted 80 over </w:t>
      </w:r>
      <w:r w:rsidR="00362204">
        <w:t>four</w:t>
      </w:r>
      <w:r w:rsidR="007F6855">
        <w:t xml:space="preserve"> years.  This is despite attempts by SCE to address low participation for both programs.</w:t>
      </w:r>
      <w:r w:rsidR="007F6855">
        <w:rPr>
          <w:rStyle w:val="FootnoteReference"/>
        </w:rPr>
        <w:footnoteReference w:id="64"/>
      </w:r>
    </w:p>
    <w:p w:rsidRPr="008E3E90" w:rsidR="00D21FD8" w:rsidP="00DF311D" w:rsidRDefault="00D21FD8" w14:paraId="17A6F0B1" w14:textId="5CB435D5">
      <w:pPr>
        <w:pStyle w:val="Standard"/>
      </w:pPr>
      <w:r>
        <w:t>SCE</w:t>
      </w:r>
      <w:r w:rsidR="009078DE">
        <w:t xml:space="preserve"> proposes to maintain its BE Pilot to continue refinement and expansion of the program</w:t>
      </w:r>
      <w:r w:rsidR="00D91467">
        <w:t xml:space="preserve">, with plans to retrofit over 1,000 homes by the end of 2026.  SCE notes that the pilot has been successful in </w:t>
      </w:r>
      <w:r w:rsidR="008149F4">
        <w:t xml:space="preserve">partnering with </w:t>
      </w:r>
      <w:r w:rsidR="002D5564">
        <w:t>initiatives</w:t>
      </w:r>
      <w:r w:rsidR="008149F4">
        <w:t xml:space="preserve"> like the Technology and Equipment for Clean Heating Initiative’s Customer Targeting Pilot for heat pump adoption</w:t>
      </w:r>
      <w:r w:rsidR="00C54C2E">
        <w:t xml:space="preserve">.  SCE states that an additional year of </w:t>
      </w:r>
      <w:r w:rsidR="00C54C2E">
        <w:lastRenderedPageBreak/>
        <w:t>pilot operations at a cost of $17.2 million to retrofit 500 low-income homes would provide the opportunity to cleanly fold the pilot</w:t>
      </w:r>
      <w:r w:rsidR="00B210B3">
        <w:t xml:space="preserve"> and its associated activities, such as adoption of electric heat pumps and reduction in reliance on gas</w:t>
      </w:r>
      <w:r w:rsidR="00632394">
        <w:t>,</w:t>
      </w:r>
      <w:r w:rsidR="00C54C2E">
        <w:t xml:space="preserve"> into ESA Main in the </w:t>
      </w:r>
      <w:r w:rsidR="0000670F">
        <w:t>2028-2033 IQP</w:t>
      </w:r>
      <w:r w:rsidR="00C54C2E">
        <w:t xml:space="preserve"> application.</w:t>
      </w:r>
      <w:r w:rsidR="00540C22">
        <w:rPr>
          <w:rStyle w:val="FootnoteReference"/>
        </w:rPr>
        <w:footnoteReference w:id="65"/>
      </w:r>
      <w:r w:rsidR="00DB78CE">
        <w:t xml:space="preserve">  SCE states that it expects a 200</w:t>
      </w:r>
      <w:r w:rsidR="006D1972">
        <w:t xml:space="preserve"> percent</w:t>
      </w:r>
      <w:r w:rsidR="00DB78CE">
        <w:t xml:space="preserve"> increase in 2025 </w:t>
      </w:r>
      <w:r w:rsidR="00783422">
        <w:t xml:space="preserve">in participation </w:t>
      </w:r>
      <w:r w:rsidR="00DB78CE">
        <w:t>and to sustain 25 percent growth in the near ter</w:t>
      </w:r>
      <w:r w:rsidR="00E14341">
        <w:t>m, with a total of over 1,000 home</w:t>
      </w:r>
      <w:r w:rsidR="00632394">
        <w:t>s</w:t>
      </w:r>
      <w:r w:rsidR="00E14341">
        <w:t xml:space="preserve"> retrofitted by end of 2026.</w:t>
      </w:r>
    </w:p>
    <w:p w:rsidR="0019290F" w:rsidP="00FE2D37" w:rsidRDefault="00DF5AE0" w14:paraId="04FC2138" w14:textId="419F002D">
      <w:pPr>
        <w:pStyle w:val="Heading3"/>
      </w:pPr>
      <w:bookmarkStart w:name="_Toc230872085" w:id="51"/>
      <w:r>
        <w:t xml:space="preserve">ESA </w:t>
      </w:r>
      <w:r w:rsidR="0019290F">
        <w:t>MFWB</w:t>
      </w:r>
      <w:bookmarkEnd w:id="51"/>
    </w:p>
    <w:p w:rsidRPr="0019290F" w:rsidR="0019290F" w:rsidP="0019290F" w:rsidRDefault="00601B26" w14:paraId="60DFB504" w14:textId="5CDE45A1">
      <w:pPr>
        <w:pStyle w:val="Standard"/>
      </w:pPr>
      <w:r>
        <w:t xml:space="preserve">The Southern MFWB program </w:t>
      </w:r>
      <w:r w:rsidR="00234A6D">
        <w:t xml:space="preserve">in general </w:t>
      </w:r>
      <w:r>
        <w:t xml:space="preserve">is discussed in SDG&amp;E’s ESA </w:t>
      </w:r>
      <w:r w:rsidR="006D1972">
        <w:t>s</w:t>
      </w:r>
      <w:r>
        <w:t>ection.</w:t>
      </w:r>
      <w:r w:rsidR="00234A6D">
        <w:t xml:space="preserve">  </w:t>
      </w:r>
      <w:r w:rsidR="00756E9F">
        <w:t xml:space="preserve">SCE proposes </w:t>
      </w:r>
      <w:r w:rsidR="00BA747C">
        <w:t>reducing</w:t>
      </w:r>
      <w:r w:rsidR="00756E9F">
        <w:t xml:space="preserve"> i</w:t>
      </w:r>
      <w:r w:rsidR="00156493">
        <w:t xml:space="preserve">ts goals for the MFWB </w:t>
      </w:r>
      <w:r w:rsidR="00BA747C">
        <w:t xml:space="preserve">program </w:t>
      </w:r>
      <w:r w:rsidR="00156493">
        <w:t>for 2027.</w:t>
      </w:r>
      <w:r w:rsidR="009C4AE6">
        <w:t xml:space="preserve">  </w:t>
      </w:r>
      <w:r w:rsidR="003C3EE7">
        <w:t xml:space="preserve">SCE seeks a </w:t>
      </w:r>
      <w:r w:rsidR="008C42F1">
        <w:t>budget increase</w:t>
      </w:r>
      <w:r w:rsidR="003C3EE7">
        <w:t xml:space="preserve"> of $1.</w:t>
      </w:r>
      <w:r w:rsidR="00B05741">
        <w:t>4 million to complete all enrolled</w:t>
      </w:r>
      <w:r w:rsidR="00AA3CCE">
        <w:t xml:space="preserve"> projects.</w:t>
      </w:r>
      <w:r w:rsidR="008C42F1">
        <w:t xml:space="preserve"> </w:t>
      </w:r>
    </w:p>
    <w:p w:rsidR="007F4262" w:rsidP="00FE2D37" w:rsidRDefault="00832B92" w14:paraId="63D2D89B" w14:textId="78AD16ED">
      <w:pPr>
        <w:pStyle w:val="Heading3"/>
      </w:pPr>
      <w:bookmarkStart w:name="_Toc230872086" w:id="52"/>
      <w:r>
        <w:t>Proposed</w:t>
      </w:r>
      <w:r w:rsidR="007F4262">
        <w:t xml:space="preserve"> Budget</w:t>
      </w:r>
      <w:bookmarkEnd w:id="52"/>
    </w:p>
    <w:p w:rsidRPr="00EA4EB2" w:rsidR="00EA4EB2" w:rsidP="00A67A74" w:rsidRDefault="00832B92" w14:paraId="5A4DD67C" w14:textId="1C9720B6">
      <w:pPr>
        <w:pStyle w:val="Standard"/>
      </w:pPr>
      <w:r>
        <w:t>SCE requests $</w:t>
      </w:r>
      <w:r w:rsidRPr="00832B92">
        <w:t>100,270,152</w:t>
      </w:r>
      <w:r>
        <w:rPr>
          <w:b/>
          <w:bCs/>
        </w:rPr>
        <w:t xml:space="preserve"> </w:t>
      </w:r>
      <w:r>
        <w:t>for 2027 ESA activities, a sign</w:t>
      </w:r>
      <w:r w:rsidR="006D1972">
        <w:t>i</w:t>
      </w:r>
      <w:r>
        <w:t>ficant increase from $</w:t>
      </w:r>
      <w:r w:rsidRPr="00832B92">
        <w:t>62,465,080</w:t>
      </w:r>
      <w:r>
        <w:rPr>
          <w:b/>
          <w:bCs/>
        </w:rPr>
        <w:t xml:space="preserve"> </w:t>
      </w:r>
      <w:r>
        <w:t xml:space="preserve">approved for 2026.  </w:t>
      </w:r>
      <w:r w:rsidR="004E55F8">
        <w:t xml:space="preserve">Although </w:t>
      </w:r>
      <w:r>
        <w:t>some</w:t>
      </w:r>
      <w:r w:rsidR="004E55F8">
        <w:t xml:space="preserve"> of the budget is offset by </w:t>
      </w:r>
      <w:r>
        <w:t>$</w:t>
      </w:r>
      <w:r w:rsidRPr="00832B92">
        <w:t>40,152,212</w:t>
      </w:r>
      <w:r>
        <w:t xml:space="preserve"> in </w:t>
      </w:r>
      <w:r w:rsidR="004E55F8">
        <w:t xml:space="preserve">unspent funds, the </w:t>
      </w:r>
      <w:r>
        <w:t xml:space="preserve">total requested </w:t>
      </w:r>
      <w:r w:rsidR="004E55F8">
        <w:t>budget has increased by 33</w:t>
      </w:r>
      <w:r>
        <w:t xml:space="preserve"> percent</w:t>
      </w:r>
      <w:r w:rsidR="004E55F8">
        <w:t>, driven mainly by increased budgets for ESA Main as well as MFWB and the BE pilot.</w:t>
      </w:r>
    </w:p>
    <w:p w:rsidRPr="00C647B8" w:rsidR="00A047A4" w:rsidP="00A047A4" w:rsidRDefault="00A047A4" w14:paraId="091ECACC" w14:textId="0A64F293">
      <w:pPr>
        <w:pStyle w:val="Standard"/>
        <w:jc w:val="center"/>
        <w:rPr>
          <w:b/>
          <w:bCs/>
        </w:rPr>
      </w:pPr>
      <w:r w:rsidRPr="00C647B8">
        <w:rPr>
          <w:b/>
          <w:bCs/>
        </w:rPr>
        <w:t xml:space="preserve">Table </w:t>
      </w:r>
      <w:r w:rsidRPr="00C647B8" w:rsidR="00C647B8">
        <w:rPr>
          <w:b/>
          <w:bCs/>
        </w:rPr>
        <w:t>9</w:t>
      </w:r>
      <w:r w:rsidRPr="00C647B8">
        <w:rPr>
          <w:b/>
          <w:bCs/>
        </w:rPr>
        <w:t xml:space="preserve">: SCE ESA </w:t>
      </w:r>
      <w:r w:rsidRPr="00C647B8" w:rsidR="00D3145F">
        <w:rPr>
          <w:b/>
          <w:bCs/>
        </w:rPr>
        <w:t xml:space="preserve">Proposed </w:t>
      </w:r>
      <w:r w:rsidRPr="00C647B8">
        <w:rPr>
          <w:b/>
          <w:bCs/>
        </w:rPr>
        <w:t>Budget</w:t>
      </w:r>
    </w:p>
    <w:tbl>
      <w:tblPr>
        <w:tblStyle w:val="TableGrid"/>
        <w:tblW w:w="9535" w:type="dxa"/>
        <w:tblLook w:val="04A0" w:firstRow="1" w:lastRow="0" w:firstColumn="1" w:lastColumn="0" w:noHBand="0" w:noVBand="1"/>
      </w:tblPr>
      <w:tblGrid>
        <w:gridCol w:w="4225"/>
        <w:gridCol w:w="2790"/>
        <w:gridCol w:w="2520"/>
      </w:tblGrid>
      <w:tr w:rsidR="007F4262" w:rsidTr="00AE749C" w14:paraId="5E376D49" w14:textId="77777777">
        <w:tc>
          <w:tcPr>
            <w:tcW w:w="4225" w:type="dxa"/>
          </w:tcPr>
          <w:p w:rsidR="007F4262" w:rsidP="00AE749C" w:rsidRDefault="007F4262" w14:paraId="70C725B5" w14:textId="77777777">
            <w:pPr>
              <w:ind w:firstLine="0"/>
            </w:pPr>
            <w:r>
              <w:t>Category</w:t>
            </w:r>
          </w:p>
        </w:tc>
        <w:tc>
          <w:tcPr>
            <w:tcW w:w="2790" w:type="dxa"/>
          </w:tcPr>
          <w:p w:rsidR="007F4262" w:rsidP="00AE749C" w:rsidRDefault="007F4262" w14:paraId="22FE8113" w14:textId="258FD6FB">
            <w:pPr>
              <w:ind w:firstLine="0"/>
            </w:pPr>
            <w:r>
              <w:t xml:space="preserve">2026 </w:t>
            </w:r>
            <w:r w:rsidR="00832B92">
              <w:t xml:space="preserve">Authorized </w:t>
            </w:r>
            <w:r>
              <w:t>Budget</w:t>
            </w:r>
          </w:p>
        </w:tc>
        <w:tc>
          <w:tcPr>
            <w:tcW w:w="2520" w:type="dxa"/>
          </w:tcPr>
          <w:p w:rsidR="007F4262" w:rsidP="00AE749C" w:rsidRDefault="007F4262" w14:paraId="18AA742C" w14:textId="77777777">
            <w:pPr>
              <w:ind w:firstLine="0"/>
            </w:pPr>
            <w:r>
              <w:t>2027 Proposed Budget</w:t>
            </w:r>
          </w:p>
        </w:tc>
      </w:tr>
      <w:tr w:rsidR="007F4262" w:rsidTr="00AE749C" w14:paraId="52F66255" w14:textId="77777777">
        <w:tc>
          <w:tcPr>
            <w:tcW w:w="4225" w:type="dxa"/>
          </w:tcPr>
          <w:p w:rsidRPr="00647F49" w:rsidR="007F4262" w:rsidP="00AE749C" w:rsidRDefault="007F4262" w14:paraId="0F68774B" w14:textId="77777777">
            <w:pPr>
              <w:pStyle w:val="Standard"/>
              <w:jc w:val="right"/>
            </w:pPr>
            <w:r w:rsidRPr="00647F49">
              <w:t>EE (ESA Main)</w:t>
            </w:r>
          </w:p>
        </w:tc>
        <w:tc>
          <w:tcPr>
            <w:tcW w:w="2790" w:type="dxa"/>
          </w:tcPr>
          <w:p w:rsidR="007F4262" w:rsidP="00AE749C" w:rsidRDefault="007F4262" w14:paraId="35B52FB2" w14:textId="66340D90">
            <w:pPr>
              <w:ind w:firstLine="0"/>
              <w:jc w:val="right"/>
            </w:pPr>
            <w:r w:rsidRPr="00A301DA">
              <w:t>$</w:t>
            </w:r>
            <w:r>
              <w:t>4</w:t>
            </w:r>
            <w:r w:rsidR="005E30DE">
              <w:t>1</w:t>
            </w:r>
            <w:r>
              <w:t>,</w:t>
            </w:r>
            <w:r w:rsidR="005E30DE">
              <w:t>546</w:t>
            </w:r>
            <w:r>
              <w:t>,</w:t>
            </w:r>
            <w:r w:rsidR="005E30DE">
              <w:t>892</w:t>
            </w:r>
          </w:p>
        </w:tc>
        <w:tc>
          <w:tcPr>
            <w:tcW w:w="2520" w:type="dxa"/>
          </w:tcPr>
          <w:p w:rsidR="007F4262" w:rsidP="00AE749C" w:rsidRDefault="007F4262" w14:paraId="02F38307" w14:textId="3948484A">
            <w:pPr>
              <w:ind w:firstLine="0"/>
              <w:jc w:val="right"/>
            </w:pPr>
            <w:r w:rsidRPr="00A301DA">
              <w:t>$</w:t>
            </w:r>
            <w:r w:rsidR="008659D4">
              <w:t>5</w:t>
            </w:r>
            <w:r w:rsidR="00CF2E6A">
              <w:t>5</w:t>
            </w:r>
            <w:r w:rsidR="000979ED">
              <w:t>,</w:t>
            </w:r>
            <w:r w:rsidR="00CF2E6A">
              <w:t>977</w:t>
            </w:r>
            <w:r w:rsidR="000979ED">
              <w:t>,</w:t>
            </w:r>
            <w:r w:rsidR="00CF2E6A">
              <w:t>327</w:t>
            </w:r>
          </w:p>
        </w:tc>
      </w:tr>
      <w:tr w:rsidR="00475B2B" w:rsidTr="00AE749C" w14:paraId="432A71C2" w14:textId="77777777">
        <w:tc>
          <w:tcPr>
            <w:tcW w:w="4225" w:type="dxa"/>
          </w:tcPr>
          <w:p w:rsidRPr="00647F49" w:rsidR="00475B2B" w:rsidP="00AE749C" w:rsidRDefault="00475B2B" w14:paraId="4F7E140D" w14:textId="3F6B83CB">
            <w:pPr>
              <w:pStyle w:val="Standard"/>
              <w:jc w:val="right"/>
            </w:pPr>
            <w:r>
              <w:t>BE Pilot</w:t>
            </w:r>
          </w:p>
        </w:tc>
        <w:tc>
          <w:tcPr>
            <w:tcW w:w="2790" w:type="dxa"/>
          </w:tcPr>
          <w:p w:rsidRPr="00A301DA" w:rsidR="00475B2B" w:rsidP="00AE749C" w:rsidRDefault="00C22FA6" w14:paraId="32D40459" w14:textId="70847CD2">
            <w:pPr>
              <w:ind w:firstLine="0"/>
              <w:jc w:val="right"/>
            </w:pPr>
            <w:r>
              <w:t>$</w:t>
            </w:r>
            <w:r w:rsidR="00E467E8">
              <w:t>6</w:t>
            </w:r>
            <w:r>
              <w:t>,</w:t>
            </w:r>
            <w:r w:rsidR="00E467E8">
              <w:t>350</w:t>
            </w:r>
            <w:r>
              <w:t>,</w:t>
            </w:r>
            <w:r w:rsidR="00E467E8">
              <w:t>843</w:t>
            </w:r>
          </w:p>
        </w:tc>
        <w:tc>
          <w:tcPr>
            <w:tcW w:w="2520" w:type="dxa"/>
          </w:tcPr>
          <w:p w:rsidRPr="00A301DA" w:rsidR="00475B2B" w:rsidP="00AE749C" w:rsidRDefault="00C22FA6" w14:paraId="0AB7AB11" w14:textId="28F554B3">
            <w:pPr>
              <w:ind w:firstLine="0"/>
              <w:jc w:val="right"/>
            </w:pPr>
            <w:r>
              <w:t>$</w:t>
            </w:r>
            <w:r w:rsidR="005C3337">
              <w:t>17</w:t>
            </w:r>
            <w:r>
              <w:t>,</w:t>
            </w:r>
            <w:r w:rsidR="005C3337">
              <w:t>222</w:t>
            </w:r>
            <w:r>
              <w:t>,</w:t>
            </w:r>
            <w:r w:rsidR="005C3337">
              <w:t>849</w:t>
            </w:r>
          </w:p>
        </w:tc>
      </w:tr>
      <w:tr w:rsidR="00475B2B" w:rsidTr="00AE749C" w14:paraId="2833C9CF" w14:textId="77777777">
        <w:tc>
          <w:tcPr>
            <w:tcW w:w="4225" w:type="dxa"/>
          </w:tcPr>
          <w:p w:rsidR="00475B2B" w:rsidP="00AE749C" w:rsidRDefault="00475B2B" w14:paraId="0A346499" w14:textId="5E5B873C">
            <w:pPr>
              <w:pStyle w:val="Standard"/>
              <w:jc w:val="right"/>
            </w:pPr>
            <w:r>
              <w:t>Clean Energy Home</w:t>
            </w:r>
          </w:p>
        </w:tc>
        <w:tc>
          <w:tcPr>
            <w:tcW w:w="2790" w:type="dxa"/>
          </w:tcPr>
          <w:p w:rsidRPr="00A301DA" w:rsidR="00475B2B" w:rsidP="00AE749C" w:rsidRDefault="00B45D9C" w14:paraId="1703F702" w14:textId="67DFD9DD">
            <w:pPr>
              <w:ind w:firstLine="0"/>
              <w:jc w:val="right"/>
            </w:pPr>
            <w:r>
              <w:t>$</w:t>
            </w:r>
            <w:r w:rsidR="00E467E8">
              <w:t>1,771,800</w:t>
            </w:r>
          </w:p>
        </w:tc>
        <w:tc>
          <w:tcPr>
            <w:tcW w:w="2520" w:type="dxa"/>
          </w:tcPr>
          <w:p w:rsidRPr="00A301DA" w:rsidR="00475B2B" w:rsidP="00AE749C" w:rsidRDefault="0047504C" w14:paraId="0E27CEC3" w14:textId="2F855E2D">
            <w:pPr>
              <w:ind w:firstLine="0"/>
              <w:jc w:val="right"/>
            </w:pPr>
            <w:r>
              <w:t>$0</w:t>
            </w:r>
          </w:p>
        </w:tc>
      </w:tr>
      <w:tr w:rsidR="007F4262" w:rsidTr="00AE749C" w14:paraId="7AE461EE" w14:textId="77777777">
        <w:tc>
          <w:tcPr>
            <w:tcW w:w="4225" w:type="dxa"/>
          </w:tcPr>
          <w:p w:rsidRPr="00647F49" w:rsidR="007F4262" w:rsidP="00AE749C" w:rsidRDefault="007F4262" w14:paraId="512738F6" w14:textId="4D4BC5ED">
            <w:pPr>
              <w:pStyle w:val="Standard"/>
              <w:jc w:val="right"/>
            </w:pPr>
            <w:r w:rsidRPr="00647F49">
              <w:lastRenderedPageBreak/>
              <w:t>EE-MF (ESA MFWB</w:t>
            </w:r>
            <w:r w:rsidR="00F530F7">
              <w:t>, including admin</w:t>
            </w:r>
            <w:r w:rsidRPr="00647F49">
              <w:t>)</w:t>
            </w:r>
            <w:r w:rsidR="0027794C">
              <w:t xml:space="preserve"> </w:t>
            </w:r>
          </w:p>
        </w:tc>
        <w:tc>
          <w:tcPr>
            <w:tcW w:w="2790" w:type="dxa"/>
          </w:tcPr>
          <w:p w:rsidR="007F4262" w:rsidP="00AE749C" w:rsidRDefault="007F4262" w14:paraId="68C11D4A" w14:textId="00043F02">
            <w:pPr>
              <w:ind w:firstLine="0"/>
              <w:jc w:val="right"/>
            </w:pPr>
            <w:r>
              <w:t>$</w:t>
            </w:r>
            <w:r w:rsidRPr="00F530F7" w:rsidR="00F530F7">
              <w:t>1</w:t>
            </w:r>
            <w:r w:rsidR="00475B2B">
              <w:t>2,579,028</w:t>
            </w:r>
          </w:p>
        </w:tc>
        <w:tc>
          <w:tcPr>
            <w:tcW w:w="2520" w:type="dxa"/>
          </w:tcPr>
          <w:p w:rsidR="007F4262" w:rsidP="00AE749C" w:rsidRDefault="007F4262" w14:paraId="538D9D9D" w14:textId="79BEC796">
            <w:pPr>
              <w:ind w:firstLine="0"/>
              <w:jc w:val="right"/>
            </w:pPr>
            <w:r>
              <w:t>$</w:t>
            </w:r>
            <w:r w:rsidRPr="00F530F7" w:rsidR="00F530F7">
              <w:t>17</w:t>
            </w:r>
            <w:r w:rsidR="00BF2043">
              <w:t>,</w:t>
            </w:r>
            <w:r w:rsidR="00ED574B">
              <w:t>757,677</w:t>
            </w:r>
          </w:p>
        </w:tc>
      </w:tr>
      <w:tr w:rsidR="007F4262" w:rsidTr="00AE749C" w14:paraId="48CEB176" w14:textId="77777777">
        <w:tc>
          <w:tcPr>
            <w:tcW w:w="4225" w:type="dxa"/>
          </w:tcPr>
          <w:p w:rsidRPr="00647F49" w:rsidR="007F4262" w:rsidP="00AE749C" w:rsidRDefault="007F4262" w14:paraId="268DD5C2" w14:textId="6FBAE677">
            <w:pPr>
              <w:pStyle w:val="Standard"/>
              <w:jc w:val="right"/>
            </w:pPr>
            <w:r w:rsidRPr="00647F49">
              <w:t>SPOC</w:t>
            </w:r>
            <w:r w:rsidR="00BA6BB2">
              <w:t xml:space="preserve"> (included in line item above)</w:t>
            </w:r>
          </w:p>
        </w:tc>
        <w:tc>
          <w:tcPr>
            <w:tcW w:w="2790" w:type="dxa"/>
          </w:tcPr>
          <w:p w:rsidR="007F4262" w:rsidP="00AE749C" w:rsidRDefault="007F4262" w14:paraId="2A4E3557" w14:textId="608919FC">
            <w:pPr>
              <w:ind w:firstLine="0"/>
              <w:jc w:val="right"/>
            </w:pPr>
            <w:r>
              <w:t>$</w:t>
            </w:r>
            <w:r w:rsidR="008B71FC">
              <w:t>171,929</w:t>
            </w:r>
          </w:p>
        </w:tc>
        <w:tc>
          <w:tcPr>
            <w:tcW w:w="2520" w:type="dxa"/>
          </w:tcPr>
          <w:p w:rsidR="007F4262" w:rsidP="00AE749C" w:rsidRDefault="007F4262" w14:paraId="1561177C" w14:textId="03B4D6BC">
            <w:pPr>
              <w:ind w:firstLine="0"/>
              <w:jc w:val="right"/>
            </w:pPr>
            <w:r>
              <w:t>$</w:t>
            </w:r>
            <w:r w:rsidR="008B71FC">
              <w:t>171,929</w:t>
            </w:r>
          </w:p>
        </w:tc>
      </w:tr>
      <w:tr w:rsidR="007F4262" w:rsidTr="00AE749C" w14:paraId="496F33BB" w14:textId="77777777">
        <w:tc>
          <w:tcPr>
            <w:tcW w:w="4225" w:type="dxa"/>
          </w:tcPr>
          <w:p w:rsidRPr="00ED3FEF" w:rsidR="007F4262" w:rsidP="00AE749C" w:rsidRDefault="007F4262" w14:paraId="3C7AC54C" w14:textId="77777777">
            <w:pPr>
              <w:pStyle w:val="Standard"/>
              <w:rPr>
                <w:b/>
                <w:bCs/>
              </w:rPr>
            </w:pPr>
            <w:r w:rsidRPr="00ED3FEF">
              <w:rPr>
                <w:b/>
                <w:bCs/>
              </w:rPr>
              <w:t>EE Subtotal</w:t>
            </w:r>
          </w:p>
        </w:tc>
        <w:tc>
          <w:tcPr>
            <w:tcW w:w="2790" w:type="dxa"/>
          </w:tcPr>
          <w:p w:rsidRPr="00ED3FEF" w:rsidR="007F4262" w:rsidP="00AE749C" w:rsidRDefault="007F4262" w14:paraId="4CEFCEBF" w14:textId="7C7D73E7">
            <w:pPr>
              <w:ind w:firstLine="0"/>
              <w:rPr>
                <w:b/>
                <w:bCs/>
              </w:rPr>
            </w:pPr>
            <w:r w:rsidRPr="00ED3FEF">
              <w:rPr>
                <w:b/>
                <w:bCs/>
              </w:rPr>
              <w:t>$</w:t>
            </w:r>
            <w:r w:rsidR="00244646">
              <w:rPr>
                <w:b/>
                <w:bCs/>
              </w:rPr>
              <w:t>49,669,535</w:t>
            </w:r>
          </w:p>
        </w:tc>
        <w:tc>
          <w:tcPr>
            <w:tcW w:w="2520" w:type="dxa"/>
          </w:tcPr>
          <w:p w:rsidRPr="00ED3FEF" w:rsidR="007F4262" w:rsidP="00AE749C" w:rsidRDefault="007F4262" w14:paraId="26DB62EF" w14:textId="0C18C170">
            <w:pPr>
              <w:ind w:firstLine="0"/>
              <w:rPr>
                <w:b/>
                <w:bCs/>
              </w:rPr>
            </w:pPr>
            <w:r w:rsidRPr="00ED3FEF">
              <w:rPr>
                <w:b/>
                <w:bCs/>
              </w:rPr>
              <w:t>$</w:t>
            </w:r>
            <w:r w:rsidR="005C3337">
              <w:rPr>
                <w:b/>
                <w:bCs/>
              </w:rPr>
              <w:t>91</w:t>
            </w:r>
            <w:r w:rsidR="009E3FB3">
              <w:rPr>
                <w:b/>
                <w:bCs/>
              </w:rPr>
              <w:t>,</w:t>
            </w:r>
            <w:r w:rsidR="005C3337">
              <w:rPr>
                <w:b/>
                <w:bCs/>
              </w:rPr>
              <w:t>12</w:t>
            </w:r>
            <w:r w:rsidR="00C468C3">
              <w:rPr>
                <w:b/>
                <w:bCs/>
              </w:rPr>
              <w:t>9</w:t>
            </w:r>
            <w:r w:rsidR="009E3FB3">
              <w:rPr>
                <w:b/>
                <w:bCs/>
              </w:rPr>
              <w:t>,782</w:t>
            </w:r>
          </w:p>
        </w:tc>
      </w:tr>
      <w:tr w:rsidR="007F4262" w:rsidTr="00AE749C" w14:paraId="590DA218" w14:textId="77777777">
        <w:tc>
          <w:tcPr>
            <w:tcW w:w="4225" w:type="dxa"/>
          </w:tcPr>
          <w:p w:rsidRPr="00647F49" w:rsidR="007F4262" w:rsidP="00AE749C" w:rsidRDefault="007F4262" w14:paraId="4A205CA8" w14:textId="77777777">
            <w:pPr>
              <w:pStyle w:val="Standard"/>
              <w:jc w:val="right"/>
            </w:pPr>
            <w:r w:rsidRPr="00647F49">
              <w:t>Training Center</w:t>
            </w:r>
          </w:p>
        </w:tc>
        <w:tc>
          <w:tcPr>
            <w:tcW w:w="2790" w:type="dxa"/>
          </w:tcPr>
          <w:p w:rsidRPr="00ED3FEF" w:rsidR="007F4262" w:rsidP="00AE749C" w:rsidRDefault="007F4262" w14:paraId="568F7D0F" w14:textId="05F0344B">
            <w:pPr>
              <w:ind w:firstLine="0"/>
              <w:jc w:val="right"/>
            </w:pPr>
            <w:r w:rsidRPr="00ED3FEF">
              <w:t>$</w:t>
            </w:r>
            <w:r w:rsidR="002F52A6">
              <w:t>450,488</w:t>
            </w:r>
          </w:p>
        </w:tc>
        <w:tc>
          <w:tcPr>
            <w:tcW w:w="2520" w:type="dxa"/>
          </w:tcPr>
          <w:p w:rsidRPr="00ED3FEF" w:rsidR="007F4262" w:rsidP="00AE749C" w:rsidRDefault="007F4262" w14:paraId="59BD9518" w14:textId="2784F7B7">
            <w:pPr>
              <w:ind w:firstLine="0"/>
              <w:jc w:val="right"/>
            </w:pPr>
            <w:r w:rsidRPr="00ED3FEF">
              <w:t>$</w:t>
            </w:r>
            <w:r w:rsidR="002F52A6">
              <w:t>459,498</w:t>
            </w:r>
          </w:p>
        </w:tc>
      </w:tr>
      <w:tr w:rsidR="007F4262" w:rsidTr="00AE749C" w14:paraId="720E64E6" w14:textId="77777777">
        <w:tc>
          <w:tcPr>
            <w:tcW w:w="4225" w:type="dxa"/>
          </w:tcPr>
          <w:p w:rsidRPr="00647F49" w:rsidR="007F4262" w:rsidP="00AE749C" w:rsidRDefault="007F4262" w14:paraId="7B104D87" w14:textId="77777777">
            <w:pPr>
              <w:pStyle w:val="Standard"/>
              <w:jc w:val="right"/>
            </w:pPr>
            <w:r w:rsidRPr="00647F49">
              <w:t>Workforce Education and Training</w:t>
            </w:r>
          </w:p>
        </w:tc>
        <w:tc>
          <w:tcPr>
            <w:tcW w:w="2790" w:type="dxa"/>
          </w:tcPr>
          <w:p w:rsidRPr="00ED3FEF" w:rsidR="007F4262" w:rsidP="00AE749C" w:rsidRDefault="0047504C" w14:paraId="3B7B39F1" w14:textId="4046DB79">
            <w:pPr>
              <w:ind w:firstLine="0"/>
              <w:jc w:val="right"/>
            </w:pPr>
            <w:r>
              <w:t>$0</w:t>
            </w:r>
          </w:p>
        </w:tc>
        <w:tc>
          <w:tcPr>
            <w:tcW w:w="2520" w:type="dxa"/>
          </w:tcPr>
          <w:p w:rsidRPr="00ED3FEF" w:rsidR="007F4262" w:rsidP="00AE749C" w:rsidRDefault="0047504C" w14:paraId="016A9CCF" w14:textId="61D76DA3">
            <w:pPr>
              <w:ind w:firstLine="0"/>
              <w:jc w:val="right"/>
            </w:pPr>
            <w:r>
              <w:t>$0</w:t>
            </w:r>
          </w:p>
        </w:tc>
      </w:tr>
      <w:tr w:rsidR="007F4262" w:rsidTr="00AE749C" w14:paraId="053ABE1A" w14:textId="77777777">
        <w:tc>
          <w:tcPr>
            <w:tcW w:w="4225" w:type="dxa"/>
          </w:tcPr>
          <w:p w:rsidRPr="00647F49" w:rsidR="007F4262" w:rsidP="00AE749C" w:rsidRDefault="007F4262" w14:paraId="2D41B222" w14:textId="77777777">
            <w:pPr>
              <w:pStyle w:val="Standard"/>
              <w:jc w:val="right"/>
            </w:pPr>
            <w:r w:rsidRPr="00647F49">
              <w:t>Inspections</w:t>
            </w:r>
          </w:p>
        </w:tc>
        <w:tc>
          <w:tcPr>
            <w:tcW w:w="2790" w:type="dxa"/>
          </w:tcPr>
          <w:p w:rsidRPr="00ED3FEF" w:rsidR="007F4262" w:rsidP="00AE749C" w:rsidRDefault="007F4262" w14:paraId="4C5B9AFE" w14:textId="20085B5D">
            <w:pPr>
              <w:ind w:firstLine="0"/>
              <w:jc w:val="right"/>
            </w:pPr>
            <w:r>
              <w:t>$</w:t>
            </w:r>
            <w:r w:rsidR="00086C1E">
              <w:t>949,618</w:t>
            </w:r>
          </w:p>
        </w:tc>
        <w:tc>
          <w:tcPr>
            <w:tcW w:w="2520" w:type="dxa"/>
          </w:tcPr>
          <w:p w:rsidRPr="00ED3FEF" w:rsidR="007F4262" w:rsidP="00AE749C" w:rsidRDefault="007F4262" w14:paraId="7155D78A" w14:textId="0DC6B43B">
            <w:pPr>
              <w:ind w:firstLine="0"/>
              <w:jc w:val="right"/>
            </w:pPr>
            <w:r>
              <w:t>$</w:t>
            </w:r>
            <w:r w:rsidR="00086C1E">
              <w:t>968,610</w:t>
            </w:r>
          </w:p>
        </w:tc>
      </w:tr>
      <w:tr w:rsidR="007F4262" w:rsidTr="00AE749C" w14:paraId="132266C4" w14:textId="77777777">
        <w:tc>
          <w:tcPr>
            <w:tcW w:w="4225" w:type="dxa"/>
          </w:tcPr>
          <w:p w:rsidRPr="00647F49" w:rsidR="007F4262" w:rsidP="00AE749C" w:rsidRDefault="007F4262" w14:paraId="399B8D63" w14:textId="77777777">
            <w:pPr>
              <w:pStyle w:val="Standard"/>
              <w:jc w:val="right"/>
            </w:pPr>
            <w:r w:rsidRPr="00647F49">
              <w:t>Marketing and Outreach</w:t>
            </w:r>
          </w:p>
        </w:tc>
        <w:tc>
          <w:tcPr>
            <w:tcW w:w="2790" w:type="dxa"/>
          </w:tcPr>
          <w:p w:rsidRPr="00ED3FEF" w:rsidR="007F4262" w:rsidP="00AE749C" w:rsidRDefault="007F4262" w14:paraId="1F8BF3AC" w14:textId="0FE58933">
            <w:pPr>
              <w:ind w:firstLine="0"/>
              <w:jc w:val="right"/>
            </w:pPr>
            <w:r>
              <w:t>$</w:t>
            </w:r>
            <w:r w:rsidR="00086C1E">
              <w:t>2,186,506</w:t>
            </w:r>
          </w:p>
        </w:tc>
        <w:tc>
          <w:tcPr>
            <w:tcW w:w="2520" w:type="dxa"/>
          </w:tcPr>
          <w:p w:rsidRPr="00ED3FEF" w:rsidR="007F4262" w:rsidP="00AE749C" w:rsidRDefault="007F4262" w14:paraId="570FC5C1" w14:textId="018E062E">
            <w:pPr>
              <w:ind w:firstLine="0"/>
              <w:jc w:val="right"/>
            </w:pPr>
            <w:r>
              <w:t>$</w:t>
            </w:r>
            <w:r w:rsidR="00086C1E">
              <w:t>2,230,233</w:t>
            </w:r>
          </w:p>
        </w:tc>
      </w:tr>
      <w:tr w:rsidR="007F4262" w:rsidTr="00AE749C" w14:paraId="3F6AFAC2" w14:textId="77777777">
        <w:tc>
          <w:tcPr>
            <w:tcW w:w="4225" w:type="dxa"/>
          </w:tcPr>
          <w:p w:rsidRPr="00647F49" w:rsidR="007F4262" w:rsidP="00AE749C" w:rsidRDefault="007F4262" w14:paraId="29CD2507" w14:textId="77777777">
            <w:pPr>
              <w:pStyle w:val="Standard"/>
              <w:jc w:val="right"/>
            </w:pPr>
            <w:r w:rsidRPr="00647F49">
              <w:t>Studies</w:t>
            </w:r>
          </w:p>
        </w:tc>
        <w:tc>
          <w:tcPr>
            <w:tcW w:w="2790" w:type="dxa"/>
          </w:tcPr>
          <w:p w:rsidRPr="00ED3FEF" w:rsidR="007F4262" w:rsidP="00AE749C" w:rsidRDefault="007F4262" w14:paraId="3E123D62" w14:textId="77777777">
            <w:pPr>
              <w:ind w:firstLine="0"/>
              <w:jc w:val="right"/>
            </w:pPr>
            <w:r>
              <w:t>$</w:t>
            </w:r>
            <w:r w:rsidRPr="00ED3FEF">
              <w:t>125,000</w:t>
            </w:r>
          </w:p>
        </w:tc>
        <w:tc>
          <w:tcPr>
            <w:tcW w:w="2520" w:type="dxa"/>
          </w:tcPr>
          <w:p w:rsidRPr="00ED3FEF" w:rsidR="007F4262" w:rsidP="00AE749C" w:rsidRDefault="007F4262" w14:paraId="5CC9A926" w14:textId="70DD2861">
            <w:pPr>
              <w:ind w:firstLine="0"/>
              <w:jc w:val="right"/>
            </w:pPr>
            <w:r>
              <w:t>$</w:t>
            </w:r>
            <w:r w:rsidR="00F5614D">
              <w:t>127,500</w:t>
            </w:r>
          </w:p>
        </w:tc>
      </w:tr>
      <w:tr w:rsidR="007F4262" w:rsidTr="00AE749C" w14:paraId="4B66BB4B" w14:textId="77777777">
        <w:tc>
          <w:tcPr>
            <w:tcW w:w="4225" w:type="dxa"/>
          </w:tcPr>
          <w:p w:rsidRPr="00647F49" w:rsidR="007F4262" w:rsidP="00AE749C" w:rsidRDefault="007F4262" w14:paraId="0622CA28" w14:textId="77777777">
            <w:pPr>
              <w:pStyle w:val="Standard"/>
              <w:jc w:val="right"/>
            </w:pPr>
            <w:r w:rsidRPr="00647F49">
              <w:t>Regulatory Compliance</w:t>
            </w:r>
          </w:p>
        </w:tc>
        <w:tc>
          <w:tcPr>
            <w:tcW w:w="2790" w:type="dxa"/>
          </w:tcPr>
          <w:p w:rsidRPr="00ED3FEF" w:rsidR="007F4262" w:rsidP="00AE749C" w:rsidRDefault="007F4262" w14:paraId="7FB226A9" w14:textId="04C67E92">
            <w:pPr>
              <w:ind w:firstLine="0"/>
              <w:jc w:val="right"/>
            </w:pPr>
            <w:r>
              <w:t>$</w:t>
            </w:r>
            <w:r w:rsidR="00F5614D">
              <w:t>751,251</w:t>
            </w:r>
          </w:p>
        </w:tc>
        <w:tc>
          <w:tcPr>
            <w:tcW w:w="2520" w:type="dxa"/>
          </w:tcPr>
          <w:p w:rsidRPr="00ED3FEF" w:rsidR="007F4262" w:rsidP="00AE749C" w:rsidRDefault="007F4262" w14:paraId="70822232" w14:textId="1BB0DC8A">
            <w:pPr>
              <w:ind w:firstLine="0"/>
              <w:jc w:val="right"/>
            </w:pPr>
            <w:r>
              <w:t>$</w:t>
            </w:r>
            <w:r w:rsidR="00F5614D">
              <w:t>773,789</w:t>
            </w:r>
          </w:p>
        </w:tc>
      </w:tr>
      <w:tr w:rsidR="007F4262" w:rsidTr="00AE749C" w14:paraId="129EAA7A" w14:textId="77777777">
        <w:tc>
          <w:tcPr>
            <w:tcW w:w="4225" w:type="dxa"/>
          </w:tcPr>
          <w:p w:rsidRPr="0010154F" w:rsidR="007F4262" w:rsidP="00AE749C" w:rsidRDefault="007F4262" w14:paraId="3F2C1213" w14:textId="77777777">
            <w:pPr>
              <w:pStyle w:val="Standard"/>
              <w:jc w:val="right"/>
            </w:pPr>
            <w:r w:rsidRPr="00F62735">
              <w:t>General Administration</w:t>
            </w:r>
          </w:p>
        </w:tc>
        <w:tc>
          <w:tcPr>
            <w:tcW w:w="2790" w:type="dxa"/>
          </w:tcPr>
          <w:p w:rsidRPr="00ED3FEF" w:rsidR="007F4262" w:rsidP="00AE749C" w:rsidRDefault="007F4262" w14:paraId="18BE36FA" w14:textId="562A51E5">
            <w:pPr>
              <w:ind w:firstLine="0"/>
              <w:jc w:val="right"/>
            </w:pPr>
            <w:r>
              <w:t>$</w:t>
            </w:r>
            <w:r w:rsidR="00F5614D">
              <w:t>4,396,242</w:t>
            </w:r>
          </w:p>
        </w:tc>
        <w:tc>
          <w:tcPr>
            <w:tcW w:w="2520" w:type="dxa"/>
          </w:tcPr>
          <w:p w:rsidRPr="00ED3FEF" w:rsidR="007F4262" w:rsidP="00AE749C" w:rsidRDefault="007F4262" w14:paraId="544FC0A7" w14:textId="56B03546">
            <w:pPr>
              <w:ind w:firstLine="0"/>
              <w:jc w:val="right"/>
            </w:pPr>
            <w:r>
              <w:t>$</w:t>
            </w:r>
            <w:r w:rsidR="00E83607">
              <w:t>4,528,129</w:t>
            </w:r>
          </w:p>
        </w:tc>
      </w:tr>
      <w:tr w:rsidR="007F4262" w:rsidTr="00AE749C" w14:paraId="193F4AA7" w14:textId="77777777">
        <w:tc>
          <w:tcPr>
            <w:tcW w:w="4225" w:type="dxa"/>
          </w:tcPr>
          <w:p w:rsidRPr="0010154F" w:rsidR="007F4262" w:rsidP="00AE749C" w:rsidRDefault="007F4262" w14:paraId="6BFEBBB2" w14:textId="77777777">
            <w:pPr>
              <w:pStyle w:val="Standard"/>
              <w:jc w:val="right"/>
            </w:pPr>
            <w:r w:rsidRPr="00F62735">
              <w:t>CPUC Energy Division</w:t>
            </w:r>
          </w:p>
        </w:tc>
        <w:tc>
          <w:tcPr>
            <w:tcW w:w="2790" w:type="dxa"/>
          </w:tcPr>
          <w:p w:rsidRPr="00C7008D" w:rsidR="007F4262" w:rsidP="00AE749C" w:rsidRDefault="007F4262" w14:paraId="26739067" w14:textId="2D41F469">
            <w:pPr>
              <w:ind w:firstLine="0"/>
              <w:jc w:val="right"/>
            </w:pPr>
            <w:r>
              <w:t>$</w:t>
            </w:r>
            <w:r w:rsidR="00E83607">
              <w:t>51,579</w:t>
            </w:r>
          </w:p>
        </w:tc>
        <w:tc>
          <w:tcPr>
            <w:tcW w:w="2520" w:type="dxa"/>
          </w:tcPr>
          <w:p w:rsidRPr="00C7008D" w:rsidR="007F4262" w:rsidP="00AE749C" w:rsidRDefault="007F4262" w14:paraId="3A779942" w14:textId="23F48675">
            <w:pPr>
              <w:ind w:firstLine="0"/>
              <w:jc w:val="right"/>
            </w:pPr>
            <w:r>
              <w:t>$</w:t>
            </w:r>
            <w:r w:rsidR="00E83607">
              <w:t>52,611</w:t>
            </w:r>
          </w:p>
        </w:tc>
      </w:tr>
      <w:tr w:rsidR="007F4262" w:rsidTr="00AE749C" w14:paraId="3F7D4F1B" w14:textId="77777777">
        <w:tc>
          <w:tcPr>
            <w:tcW w:w="4225" w:type="dxa"/>
          </w:tcPr>
          <w:p w:rsidRPr="00ED3FEF" w:rsidR="007F4262" w:rsidP="00AE749C" w:rsidRDefault="007F4262" w14:paraId="2C1F9BB2" w14:textId="77777777">
            <w:pPr>
              <w:pStyle w:val="Standard"/>
              <w:ind w:firstLine="0"/>
              <w:jc w:val="both"/>
              <w:rPr>
                <w:b/>
                <w:bCs/>
              </w:rPr>
            </w:pPr>
            <w:r w:rsidRPr="00ED3FEF">
              <w:rPr>
                <w:b/>
                <w:bCs/>
              </w:rPr>
              <w:t>Admin Subtotal</w:t>
            </w:r>
          </w:p>
        </w:tc>
        <w:tc>
          <w:tcPr>
            <w:tcW w:w="2790" w:type="dxa"/>
          </w:tcPr>
          <w:p w:rsidRPr="00ED3FEF" w:rsidR="007F4262" w:rsidP="00AE749C" w:rsidRDefault="007F4262" w14:paraId="53A4C9E3" w14:textId="5AB16C70">
            <w:pPr>
              <w:ind w:firstLine="0"/>
              <w:rPr>
                <w:b/>
                <w:bCs/>
              </w:rPr>
            </w:pPr>
            <w:r w:rsidRPr="00ED3FEF">
              <w:rPr>
                <w:b/>
                <w:bCs/>
              </w:rPr>
              <w:t>$</w:t>
            </w:r>
            <w:r w:rsidR="00E83607">
              <w:rPr>
                <w:b/>
                <w:bCs/>
              </w:rPr>
              <w:t>8,910,681</w:t>
            </w:r>
          </w:p>
        </w:tc>
        <w:tc>
          <w:tcPr>
            <w:tcW w:w="2520" w:type="dxa"/>
          </w:tcPr>
          <w:p w:rsidRPr="00ED3FEF" w:rsidR="007F4262" w:rsidP="00AE749C" w:rsidRDefault="007F4262" w14:paraId="73E1FB94" w14:textId="4984A2EB">
            <w:pPr>
              <w:ind w:firstLine="0"/>
              <w:rPr>
                <w:b/>
                <w:bCs/>
              </w:rPr>
            </w:pPr>
            <w:r w:rsidRPr="00ED3FEF">
              <w:rPr>
                <w:b/>
                <w:bCs/>
              </w:rPr>
              <w:t>$</w:t>
            </w:r>
            <w:r w:rsidR="00E83607">
              <w:rPr>
                <w:b/>
                <w:bCs/>
              </w:rPr>
              <w:t>9,140,370</w:t>
            </w:r>
          </w:p>
        </w:tc>
      </w:tr>
      <w:tr w:rsidR="00244646" w:rsidTr="00AE749C" w14:paraId="6EB8B7BB" w14:textId="77777777">
        <w:tc>
          <w:tcPr>
            <w:tcW w:w="4225" w:type="dxa"/>
          </w:tcPr>
          <w:p w:rsidRPr="00ED3FEF" w:rsidR="00244646" w:rsidP="00244646" w:rsidRDefault="00244646" w14:paraId="56B1FE6C" w14:textId="25EBB34A">
            <w:pPr>
              <w:pStyle w:val="Standard"/>
              <w:ind w:firstLine="0"/>
              <w:jc w:val="both"/>
              <w:rPr>
                <w:b/>
                <w:bCs/>
              </w:rPr>
            </w:pPr>
            <w:r w:rsidRPr="00F62735">
              <w:t>Staff Proposal Pilot (PP/PD)</w:t>
            </w:r>
          </w:p>
        </w:tc>
        <w:tc>
          <w:tcPr>
            <w:tcW w:w="2790" w:type="dxa"/>
          </w:tcPr>
          <w:p w:rsidRPr="00ED3FEF" w:rsidR="00244646" w:rsidP="00244646" w:rsidRDefault="00244646" w14:paraId="057A55F8" w14:textId="5E49D45B">
            <w:pPr>
              <w:ind w:firstLine="0"/>
              <w:rPr>
                <w:b/>
                <w:bCs/>
              </w:rPr>
            </w:pPr>
            <w:r>
              <w:t>$3,3884,864</w:t>
            </w:r>
          </w:p>
        </w:tc>
        <w:tc>
          <w:tcPr>
            <w:tcW w:w="2520" w:type="dxa"/>
          </w:tcPr>
          <w:p w:rsidRPr="00ED3FEF" w:rsidR="00244646" w:rsidP="0047504C" w:rsidRDefault="0047504C" w14:paraId="4140D1AD" w14:textId="3F661866">
            <w:pPr>
              <w:ind w:firstLine="0"/>
              <w:rPr>
                <w:b/>
                <w:bCs/>
              </w:rPr>
            </w:pPr>
            <w:r>
              <w:rPr>
                <w:b/>
                <w:bCs/>
              </w:rPr>
              <w:t>$0</w:t>
            </w:r>
          </w:p>
        </w:tc>
      </w:tr>
      <w:tr w:rsidR="007F4262" w:rsidTr="00AE749C" w14:paraId="65CF2F88" w14:textId="77777777">
        <w:tc>
          <w:tcPr>
            <w:tcW w:w="4225" w:type="dxa"/>
          </w:tcPr>
          <w:p w:rsidRPr="00ED3FEF" w:rsidR="007F4262" w:rsidP="00AE749C" w:rsidRDefault="007F4262" w14:paraId="189C7BA6" w14:textId="77777777">
            <w:pPr>
              <w:pStyle w:val="Standard"/>
              <w:ind w:firstLine="0"/>
              <w:rPr>
                <w:b/>
                <w:bCs/>
              </w:rPr>
            </w:pPr>
            <w:r w:rsidRPr="00ED3FEF">
              <w:rPr>
                <w:b/>
                <w:bCs/>
              </w:rPr>
              <w:t>Program Total</w:t>
            </w:r>
          </w:p>
        </w:tc>
        <w:tc>
          <w:tcPr>
            <w:tcW w:w="2790" w:type="dxa"/>
          </w:tcPr>
          <w:p w:rsidRPr="00ED3FEF" w:rsidR="007F4262" w:rsidP="00AE749C" w:rsidRDefault="007F4262" w14:paraId="464045C7" w14:textId="2B705D28">
            <w:pPr>
              <w:ind w:firstLine="0"/>
              <w:jc w:val="both"/>
              <w:rPr>
                <w:b/>
                <w:bCs/>
              </w:rPr>
            </w:pPr>
            <w:r w:rsidRPr="00ED3FEF">
              <w:rPr>
                <w:b/>
                <w:bCs/>
              </w:rPr>
              <w:t>$</w:t>
            </w:r>
            <w:r w:rsidR="00244646">
              <w:rPr>
                <w:b/>
                <w:bCs/>
              </w:rPr>
              <w:t>62,465,080</w:t>
            </w:r>
          </w:p>
        </w:tc>
        <w:tc>
          <w:tcPr>
            <w:tcW w:w="2520" w:type="dxa"/>
          </w:tcPr>
          <w:p w:rsidRPr="00ED3FEF" w:rsidR="007F4262" w:rsidP="00AE749C" w:rsidRDefault="007F4262" w14:paraId="2AC1BF28" w14:textId="17264DBC">
            <w:pPr>
              <w:ind w:firstLine="0"/>
              <w:jc w:val="both"/>
              <w:rPr>
                <w:b/>
                <w:bCs/>
              </w:rPr>
            </w:pPr>
            <w:r w:rsidRPr="00ED3FEF">
              <w:rPr>
                <w:b/>
                <w:bCs/>
              </w:rPr>
              <w:t>$</w:t>
            </w:r>
            <w:r w:rsidR="00CA7B83">
              <w:rPr>
                <w:b/>
                <w:bCs/>
              </w:rPr>
              <w:t>100,270,152</w:t>
            </w:r>
          </w:p>
        </w:tc>
      </w:tr>
      <w:tr w:rsidR="007F4262" w:rsidTr="00AE749C" w14:paraId="37EC6ABC" w14:textId="77777777">
        <w:tc>
          <w:tcPr>
            <w:tcW w:w="4225" w:type="dxa"/>
          </w:tcPr>
          <w:p w:rsidRPr="00F62735" w:rsidR="007F4262" w:rsidP="00AE749C" w:rsidRDefault="007F4262" w14:paraId="093B86F4" w14:textId="77777777">
            <w:pPr>
              <w:pStyle w:val="Standard"/>
              <w:jc w:val="right"/>
            </w:pPr>
            <w:r w:rsidRPr="00647F49">
              <w:t>Unspent Funds Carry Forward</w:t>
            </w:r>
          </w:p>
        </w:tc>
        <w:tc>
          <w:tcPr>
            <w:tcW w:w="2790" w:type="dxa"/>
          </w:tcPr>
          <w:p w:rsidRPr="00C7008D" w:rsidR="007F4262" w:rsidP="00AE749C" w:rsidRDefault="007F4262" w14:paraId="4BB4E2D5" w14:textId="77777777">
            <w:pPr>
              <w:ind w:firstLine="0"/>
              <w:jc w:val="both"/>
            </w:pPr>
          </w:p>
        </w:tc>
        <w:tc>
          <w:tcPr>
            <w:tcW w:w="2520" w:type="dxa"/>
          </w:tcPr>
          <w:p w:rsidR="007F4262" w:rsidP="00AE749C" w:rsidRDefault="007F4262" w14:paraId="0D079E0A" w14:textId="754662DE">
            <w:pPr>
              <w:ind w:firstLine="0"/>
              <w:jc w:val="right"/>
            </w:pPr>
            <w:r w:rsidRPr="00ED3FEF">
              <w:t>(</w:t>
            </w:r>
            <w:r w:rsidR="002E49C1">
              <w:t>$</w:t>
            </w:r>
            <w:r w:rsidRPr="00ED3FEF">
              <w:t>40,152,212)</w:t>
            </w:r>
          </w:p>
          <w:p w:rsidRPr="00C7008D" w:rsidR="000979ED" w:rsidP="00AE749C" w:rsidRDefault="000979ED" w14:paraId="756ED4F3" w14:textId="015D59B0">
            <w:pPr>
              <w:ind w:firstLine="0"/>
              <w:jc w:val="right"/>
            </w:pPr>
          </w:p>
        </w:tc>
      </w:tr>
      <w:tr w:rsidR="007F4262" w:rsidTr="00AE749C" w14:paraId="35903DDF" w14:textId="77777777">
        <w:tc>
          <w:tcPr>
            <w:tcW w:w="4225" w:type="dxa"/>
          </w:tcPr>
          <w:p w:rsidRPr="00647F49" w:rsidR="007F4262" w:rsidP="00AE749C" w:rsidRDefault="007F4262" w14:paraId="03C77CE7" w14:textId="77777777">
            <w:pPr>
              <w:ind w:firstLine="0"/>
            </w:pPr>
            <w:r w:rsidRPr="00647F49">
              <w:rPr>
                <w:b/>
                <w:bCs/>
              </w:rPr>
              <w:t>ESA Portfolio Funding Total</w:t>
            </w:r>
          </w:p>
        </w:tc>
        <w:tc>
          <w:tcPr>
            <w:tcW w:w="2790" w:type="dxa"/>
          </w:tcPr>
          <w:p w:rsidRPr="00C7008D" w:rsidR="007F4262" w:rsidP="00AE749C" w:rsidRDefault="00D656EC" w14:paraId="170F4BCA" w14:textId="30E55330">
            <w:pPr>
              <w:ind w:firstLine="0"/>
              <w:jc w:val="both"/>
            </w:pPr>
            <w:r>
              <w:rPr>
                <w:b/>
                <w:bCs/>
              </w:rPr>
              <w:t>$62,465,080</w:t>
            </w:r>
          </w:p>
        </w:tc>
        <w:tc>
          <w:tcPr>
            <w:tcW w:w="2520" w:type="dxa"/>
          </w:tcPr>
          <w:p w:rsidRPr="00C7008D" w:rsidR="007F4262" w:rsidP="00AE749C" w:rsidRDefault="007F4262" w14:paraId="40DB3BC1" w14:textId="740A196B">
            <w:pPr>
              <w:ind w:firstLine="0"/>
              <w:jc w:val="both"/>
            </w:pPr>
            <w:r w:rsidRPr="00ED3FEF">
              <w:rPr>
                <w:b/>
                <w:bCs/>
              </w:rPr>
              <w:t>$</w:t>
            </w:r>
            <w:r w:rsidR="00CA7B83">
              <w:rPr>
                <w:b/>
                <w:bCs/>
              </w:rPr>
              <w:t>60,117,940</w:t>
            </w:r>
          </w:p>
        </w:tc>
      </w:tr>
    </w:tbl>
    <w:p w:rsidRPr="007F4262" w:rsidR="007F4262" w:rsidP="007F4262" w:rsidRDefault="007F4262" w14:paraId="34E92F44" w14:textId="77777777">
      <w:pPr>
        <w:pStyle w:val="Standard"/>
      </w:pPr>
    </w:p>
    <w:p w:rsidR="004F2CF2" w:rsidP="00FE2D37" w:rsidRDefault="004F2CF2" w14:paraId="5D96D293" w14:textId="4532A04B">
      <w:pPr>
        <w:pStyle w:val="Heading2"/>
      </w:pPr>
      <w:bookmarkStart w:name="_Toc230872087" w:id="53"/>
      <w:r>
        <w:t>SoCalGas</w:t>
      </w:r>
      <w:r w:rsidR="00FB0096">
        <w:t>’ ESA Program</w:t>
      </w:r>
      <w:bookmarkEnd w:id="53"/>
    </w:p>
    <w:p w:rsidR="00114EE2" w:rsidP="00512BD7" w:rsidRDefault="00CB5DA7" w14:paraId="3AC9B74E" w14:textId="42DF48BF">
      <w:pPr>
        <w:pStyle w:val="Standard"/>
      </w:pPr>
      <w:r w:rsidRPr="00CB5DA7">
        <w:t>SoCalGas proposes no changes to</w:t>
      </w:r>
      <w:r w:rsidR="00E80C00">
        <w:t xml:space="preserve"> its</w:t>
      </w:r>
      <w:r w:rsidRPr="00CB5DA7">
        <w:t xml:space="preserve"> 202</w:t>
      </w:r>
      <w:r w:rsidR="00D3145F">
        <w:t>7</w:t>
      </w:r>
      <w:r w:rsidRPr="00CB5DA7">
        <w:t xml:space="preserve"> ESA</w:t>
      </w:r>
      <w:r w:rsidR="00114EE2">
        <w:t xml:space="preserve"> Main</w:t>
      </w:r>
      <w:r w:rsidRPr="00CB5DA7">
        <w:t xml:space="preserve"> </w:t>
      </w:r>
      <w:r w:rsidR="00362204">
        <w:t>p</w:t>
      </w:r>
      <w:r w:rsidRPr="00CB5DA7">
        <w:t xml:space="preserve">rogram budget, annual energy savings goals, and ESA Program household treatment goals and </w:t>
      </w:r>
      <w:r w:rsidRPr="00CB5DA7">
        <w:lastRenderedPageBreak/>
        <w:t>targets</w:t>
      </w:r>
      <w:r>
        <w:t>.</w:t>
      </w:r>
      <w:r>
        <w:rPr>
          <w:rStyle w:val="FootnoteReference"/>
        </w:rPr>
        <w:footnoteReference w:id="66"/>
      </w:r>
      <w:r w:rsidR="008C554F">
        <w:t xml:space="preserve">  It </w:t>
      </w:r>
      <w:r w:rsidR="00B336B3">
        <w:t>requests $12</w:t>
      </w:r>
      <w:r w:rsidRPr="002017CE" w:rsidR="00B336B3">
        <w:t>3,538,208</w:t>
      </w:r>
      <w:r w:rsidR="00B336B3">
        <w:t xml:space="preserve"> for 2027 </w:t>
      </w:r>
      <w:r w:rsidR="00964B47">
        <w:t>(</w:t>
      </w:r>
      <w:r w:rsidR="008C554F">
        <w:t>$</w:t>
      </w:r>
      <w:r w:rsidR="0093244C">
        <w:t>82.8</w:t>
      </w:r>
      <w:r w:rsidR="008C554F">
        <w:t xml:space="preserve"> million</w:t>
      </w:r>
      <w:r w:rsidR="00D34505">
        <w:t xml:space="preserve"> for ESA Main</w:t>
      </w:r>
      <w:r w:rsidR="0093244C">
        <w:t xml:space="preserve">, $27.4 million for MFWB, </w:t>
      </w:r>
      <w:r w:rsidR="00F51E34">
        <w:t xml:space="preserve">including </w:t>
      </w:r>
      <w:r w:rsidR="00D31C72">
        <w:t>$317,526 for SPOC</w:t>
      </w:r>
      <w:r w:rsidR="00964B47">
        <w:t>)</w:t>
      </w:r>
      <w:r w:rsidR="00D31C72">
        <w:t xml:space="preserve">.  </w:t>
      </w:r>
      <w:r w:rsidR="00F40ECE">
        <w:t xml:space="preserve">Although SoCalGas proposes using unspent funds to cover the MFWB program, it proposes to </w:t>
      </w:r>
      <w:r w:rsidR="0079526C">
        <w:t xml:space="preserve">retain $29 million in unspent funds for the PP/PD program to cover cost increases </w:t>
      </w:r>
      <w:r w:rsidR="00873175">
        <w:t xml:space="preserve">for </w:t>
      </w:r>
      <w:r w:rsidR="002C7F18">
        <w:t xml:space="preserve">ESA activities </w:t>
      </w:r>
      <w:r w:rsidR="0079526C">
        <w:t>due to tariffs.</w:t>
      </w:r>
      <w:r w:rsidR="0079526C">
        <w:rPr>
          <w:rStyle w:val="FootnoteReference"/>
        </w:rPr>
        <w:footnoteReference w:id="67"/>
      </w:r>
      <w:r w:rsidR="00512BD7">
        <w:t xml:space="preserve">  </w:t>
      </w:r>
      <w:r w:rsidR="00114EE2">
        <w:t xml:space="preserve">SoCalGas proposes </w:t>
      </w:r>
      <w:proofErr w:type="gramStart"/>
      <w:r w:rsidR="00114EE2">
        <w:t>slight target/goal</w:t>
      </w:r>
      <w:proofErr w:type="gramEnd"/>
      <w:r w:rsidR="00114EE2">
        <w:t xml:space="preserve"> decreases for the MFWB program</w:t>
      </w:r>
      <w:r w:rsidR="003A30ED">
        <w:t>.</w:t>
      </w:r>
    </w:p>
    <w:p w:rsidRPr="00C647B8" w:rsidR="0093244C" w:rsidP="003E389B" w:rsidRDefault="003E389B" w14:paraId="03FE607F" w14:textId="52E71FE3">
      <w:pPr>
        <w:pStyle w:val="Standard"/>
        <w:jc w:val="center"/>
        <w:rPr>
          <w:b/>
          <w:bCs/>
        </w:rPr>
      </w:pPr>
      <w:r w:rsidRPr="00C647B8">
        <w:rPr>
          <w:b/>
          <w:bCs/>
        </w:rPr>
        <w:t xml:space="preserve">Table </w:t>
      </w:r>
      <w:r w:rsidRPr="00C647B8" w:rsidR="00C647B8">
        <w:rPr>
          <w:b/>
          <w:bCs/>
        </w:rPr>
        <w:t>10</w:t>
      </w:r>
      <w:r w:rsidRPr="00C647B8">
        <w:rPr>
          <w:b/>
          <w:bCs/>
        </w:rPr>
        <w:t xml:space="preserve">: SoCalGas ESA </w:t>
      </w:r>
      <w:r w:rsidRPr="00C647B8" w:rsidR="00D3145F">
        <w:rPr>
          <w:b/>
          <w:bCs/>
        </w:rPr>
        <w:t xml:space="preserve">Proposed </w:t>
      </w:r>
      <w:r w:rsidRPr="00C647B8">
        <w:rPr>
          <w:b/>
          <w:bCs/>
        </w:rPr>
        <w:t>Budget</w:t>
      </w:r>
    </w:p>
    <w:tbl>
      <w:tblPr>
        <w:tblStyle w:val="TableGrid"/>
        <w:tblW w:w="9535" w:type="dxa"/>
        <w:tblLook w:val="04A0" w:firstRow="1" w:lastRow="0" w:firstColumn="1" w:lastColumn="0" w:noHBand="0" w:noVBand="1"/>
      </w:tblPr>
      <w:tblGrid>
        <w:gridCol w:w="4225"/>
        <w:gridCol w:w="2790"/>
        <w:gridCol w:w="2520"/>
      </w:tblGrid>
      <w:tr w:rsidR="0093244C" w:rsidTr="00AE749C" w14:paraId="57DF3A1A" w14:textId="77777777">
        <w:tc>
          <w:tcPr>
            <w:tcW w:w="4225" w:type="dxa"/>
          </w:tcPr>
          <w:p w:rsidR="0093244C" w:rsidP="00AE749C" w:rsidRDefault="0093244C" w14:paraId="17295505" w14:textId="77777777">
            <w:pPr>
              <w:ind w:firstLine="0"/>
            </w:pPr>
            <w:r>
              <w:t>Category</w:t>
            </w:r>
          </w:p>
        </w:tc>
        <w:tc>
          <w:tcPr>
            <w:tcW w:w="2790" w:type="dxa"/>
          </w:tcPr>
          <w:p w:rsidR="0093244C" w:rsidP="00AE749C" w:rsidRDefault="0093244C" w14:paraId="27AF6C0C" w14:textId="292A0669">
            <w:pPr>
              <w:ind w:firstLine="0"/>
            </w:pPr>
            <w:r>
              <w:t xml:space="preserve">2026 </w:t>
            </w:r>
            <w:r w:rsidR="00D3145F">
              <w:t xml:space="preserve">Authorized </w:t>
            </w:r>
            <w:r>
              <w:t>Budget</w:t>
            </w:r>
          </w:p>
        </w:tc>
        <w:tc>
          <w:tcPr>
            <w:tcW w:w="2520" w:type="dxa"/>
          </w:tcPr>
          <w:p w:rsidR="0093244C" w:rsidP="00AE749C" w:rsidRDefault="0093244C" w14:paraId="0FD0C9ED" w14:textId="77777777">
            <w:pPr>
              <w:ind w:firstLine="0"/>
            </w:pPr>
            <w:r>
              <w:t>2027 Proposed Budget</w:t>
            </w:r>
          </w:p>
        </w:tc>
      </w:tr>
      <w:tr w:rsidR="0093244C" w:rsidTr="00AE749C" w14:paraId="7818249B" w14:textId="77777777">
        <w:tc>
          <w:tcPr>
            <w:tcW w:w="4225" w:type="dxa"/>
          </w:tcPr>
          <w:p w:rsidRPr="00647F49" w:rsidR="0093244C" w:rsidP="00AE749C" w:rsidRDefault="0093244C" w14:paraId="29C4C958" w14:textId="77777777">
            <w:pPr>
              <w:pStyle w:val="Standard"/>
              <w:jc w:val="right"/>
            </w:pPr>
            <w:r w:rsidRPr="00647F49">
              <w:t>EE (ESA Main)</w:t>
            </w:r>
          </w:p>
        </w:tc>
        <w:tc>
          <w:tcPr>
            <w:tcW w:w="2790" w:type="dxa"/>
          </w:tcPr>
          <w:p w:rsidR="0093244C" w:rsidP="00AE749C" w:rsidRDefault="00E67E27" w14:paraId="7D6CFCE6" w14:textId="0A6A47ED">
            <w:pPr>
              <w:ind w:firstLine="0"/>
              <w:jc w:val="right"/>
            </w:pPr>
            <w:r w:rsidRPr="00E67E27">
              <w:t>$82,844,757</w:t>
            </w:r>
          </w:p>
        </w:tc>
        <w:tc>
          <w:tcPr>
            <w:tcW w:w="2520" w:type="dxa"/>
          </w:tcPr>
          <w:p w:rsidR="0093244C" w:rsidP="00AE749C" w:rsidRDefault="00E67E27" w14:paraId="592EEBC7" w14:textId="401F99C6">
            <w:pPr>
              <w:ind w:firstLine="0"/>
              <w:jc w:val="right"/>
            </w:pPr>
            <w:r w:rsidRPr="00E67E27">
              <w:t>$82,844,757</w:t>
            </w:r>
          </w:p>
        </w:tc>
      </w:tr>
      <w:tr w:rsidR="0093244C" w:rsidTr="00AE749C" w14:paraId="27DAF0B3" w14:textId="77777777">
        <w:tc>
          <w:tcPr>
            <w:tcW w:w="4225" w:type="dxa"/>
          </w:tcPr>
          <w:p w:rsidRPr="00647F49" w:rsidR="0093244C" w:rsidP="00AE749C" w:rsidRDefault="0093244C" w14:paraId="51413D0D" w14:textId="77777777">
            <w:pPr>
              <w:pStyle w:val="Standard"/>
              <w:jc w:val="right"/>
            </w:pPr>
            <w:r w:rsidRPr="00647F49">
              <w:t>EE-MF (ESA MFWB</w:t>
            </w:r>
            <w:r>
              <w:t>, including admin</w:t>
            </w:r>
            <w:r w:rsidRPr="00647F49">
              <w:t>)</w:t>
            </w:r>
            <w:r>
              <w:t xml:space="preserve"> </w:t>
            </w:r>
          </w:p>
        </w:tc>
        <w:tc>
          <w:tcPr>
            <w:tcW w:w="2790" w:type="dxa"/>
          </w:tcPr>
          <w:p w:rsidR="0093244C" w:rsidP="00AE749C" w:rsidRDefault="0093244C" w14:paraId="4ED0078B" w14:textId="57EA8EB5">
            <w:pPr>
              <w:ind w:firstLine="0"/>
              <w:jc w:val="right"/>
            </w:pPr>
            <w:r>
              <w:t>$</w:t>
            </w:r>
            <w:r w:rsidRPr="00E67E27" w:rsidR="00E67E27">
              <w:t>20,563,740</w:t>
            </w:r>
          </w:p>
        </w:tc>
        <w:tc>
          <w:tcPr>
            <w:tcW w:w="2520" w:type="dxa"/>
          </w:tcPr>
          <w:p w:rsidR="0093244C" w:rsidP="00AE749C" w:rsidRDefault="0093244C" w14:paraId="1DBE47F3" w14:textId="143AD967">
            <w:pPr>
              <w:ind w:firstLine="0"/>
              <w:jc w:val="right"/>
            </w:pPr>
            <w:r>
              <w:t>$</w:t>
            </w:r>
            <w:r w:rsidRPr="00E67E27" w:rsidR="00E67E27">
              <w:t>27,380,263</w:t>
            </w:r>
          </w:p>
        </w:tc>
      </w:tr>
      <w:tr w:rsidR="0093244C" w:rsidTr="00AE749C" w14:paraId="0CEB2862" w14:textId="77777777">
        <w:tc>
          <w:tcPr>
            <w:tcW w:w="4225" w:type="dxa"/>
          </w:tcPr>
          <w:p w:rsidRPr="00647F49" w:rsidR="0093244C" w:rsidP="00AE749C" w:rsidRDefault="0093244C" w14:paraId="1550B814" w14:textId="6687C3F0">
            <w:pPr>
              <w:pStyle w:val="Standard"/>
              <w:jc w:val="right"/>
            </w:pPr>
            <w:r w:rsidRPr="00647F49">
              <w:t>SPOC</w:t>
            </w:r>
            <w:r w:rsidR="00F94B29">
              <w:t xml:space="preserve"> (included in line item above)</w:t>
            </w:r>
          </w:p>
        </w:tc>
        <w:tc>
          <w:tcPr>
            <w:tcW w:w="2790" w:type="dxa"/>
          </w:tcPr>
          <w:p w:rsidR="0093244C" w:rsidP="00AE749C" w:rsidRDefault="0093244C" w14:paraId="54B2A1D1" w14:textId="7AA9E385">
            <w:pPr>
              <w:ind w:firstLine="0"/>
              <w:jc w:val="right"/>
            </w:pPr>
            <w:r>
              <w:t>$</w:t>
            </w:r>
            <w:r w:rsidRPr="00A77316" w:rsidR="00A77316">
              <w:t>308,278</w:t>
            </w:r>
          </w:p>
        </w:tc>
        <w:tc>
          <w:tcPr>
            <w:tcW w:w="2520" w:type="dxa"/>
          </w:tcPr>
          <w:p w:rsidR="0093244C" w:rsidP="00AE749C" w:rsidRDefault="0093244C" w14:paraId="63F6C4DC" w14:textId="54EF8150">
            <w:pPr>
              <w:ind w:firstLine="0"/>
              <w:jc w:val="right"/>
            </w:pPr>
            <w:r>
              <w:t>$</w:t>
            </w:r>
            <w:r w:rsidRPr="00A77316" w:rsidR="00A77316">
              <w:t>317,526</w:t>
            </w:r>
          </w:p>
        </w:tc>
      </w:tr>
      <w:tr w:rsidR="0093244C" w:rsidTr="00AE749C" w14:paraId="13AA2460" w14:textId="77777777">
        <w:tc>
          <w:tcPr>
            <w:tcW w:w="4225" w:type="dxa"/>
          </w:tcPr>
          <w:p w:rsidRPr="00ED3FEF" w:rsidR="0093244C" w:rsidP="00AE749C" w:rsidRDefault="0093244C" w14:paraId="3478DFC4" w14:textId="77777777">
            <w:pPr>
              <w:pStyle w:val="Standard"/>
              <w:rPr>
                <w:b/>
                <w:bCs/>
              </w:rPr>
            </w:pPr>
            <w:r w:rsidRPr="00ED3FEF">
              <w:rPr>
                <w:b/>
                <w:bCs/>
              </w:rPr>
              <w:t>EE Subtotal</w:t>
            </w:r>
          </w:p>
        </w:tc>
        <w:tc>
          <w:tcPr>
            <w:tcW w:w="2790" w:type="dxa"/>
          </w:tcPr>
          <w:p w:rsidRPr="00ED3FEF" w:rsidR="0093244C" w:rsidP="00AE749C" w:rsidRDefault="0093244C" w14:paraId="1C2D2378" w14:textId="0267E257">
            <w:pPr>
              <w:ind w:firstLine="0"/>
              <w:rPr>
                <w:b/>
                <w:bCs/>
              </w:rPr>
            </w:pPr>
            <w:r w:rsidRPr="00ED3FEF">
              <w:rPr>
                <w:b/>
                <w:bCs/>
              </w:rPr>
              <w:t>$</w:t>
            </w:r>
            <w:r w:rsidRPr="00A77316" w:rsidR="00A77316">
              <w:rPr>
                <w:b/>
                <w:bCs/>
              </w:rPr>
              <w:t>103,408,497</w:t>
            </w:r>
          </w:p>
        </w:tc>
        <w:tc>
          <w:tcPr>
            <w:tcW w:w="2520" w:type="dxa"/>
          </w:tcPr>
          <w:p w:rsidRPr="00ED3FEF" w:rsidR="0093244C" w:rsidP="00AE749C" w:rsidRDefault="0093244C" w14:paraId="0AB66E17" w14:textId="553313E0">
            <w:pPr>
              <w:ind w:firstLine="0"/>
              <w:rPr>
                <w:b/>
                <w:bCs/>
              </w:rPr>
            </w:pPr>
            <w:r w:rsidRPr="00ED3FEF">
              <w:rPr>
                <w:b/>
                <w:bCs/>
              </w:rPr>
              <w:t>$</w:t>
            </w:r>
            <w:r w:rsidRPr="00A77316" w:rsidR="00A77316">
              <w:rPr>
                <w:b/>
                <w:bCs/>
              </w:rPr>
              <w:t>110,225,020</w:t>
            </w:r>
          </w:p>
        </w:tc>
      </w:tr>
      <w:tr w:rsidR="00625CD6" w:rsidTr="00AE749C" w14:paraId="7027AE1F" w14:textId="77777777">
        <w:tc>
          <w:tcPr>
            <w:tcW w:w="4225" w:type="dxa"/>
          </w:tcPr>
          <w:p w:rsidRPr="00647F49" w:rsidR="00625CD6" w:rsidP="00625CD6" w:rsidRDefault="00625CD6" w14:paraId="01423D50" w14:textId="77777777">
            <w:pPr>
              <w:pStyle w:val="Standard"/>
              <w:jc w:val="right"/>
            </w:pPr>
            <w:r w:rsidRPr="00647F49">
              <w:t>Training Center</w:t>
            </w:r>
          </w:p>
        </w:tc>
        <w:tc>
          <w:tcPr>
            <w:tcW w:w="2790" w:type="dxa"/>
          </w:tcPr>
          <w:p w:rsidRPr="00ED3FEF" w:rsidR="00625CD6" w:rsidP="00625CD6" w:rsidRDefault="00625CD6" w14:paraId="6536CFA5" w14:textId="67D3AF23">
            <w:pPr>
              <w:ind w:firstLine="0"/>
              <w:jc w:val="right"/>
            </w:pPr>
            <w:r w:rsidRPr="001F2B81">
              <w:t>$827,048</w:t>
            </w:r>
          </w:p>
        </w:tc>
        <w:tc>
          <w:tcPr>
            <w:tcW w:w="2520" w:type="dxa"/>
          </w:tcPr>
          <w:p w:rsidRPr="00ED3FEF" w:rsidR="00625CD6" w:rsidP="00625CD6" w:rsidRDefault="00625CD6" w14:paraId="02C8E5E2" w14:textId="5C2601A0">
            <w:pPr>
              <w:ind w:firstLine="0"/>
              <w:jc w:val="right"/>
            </w:pPr>
            <w:r w:rsidRPr="001F2B81">
              <w:t>$</w:t>
            </w:r>
            <w:r w:rsidR="00175CC2">
              <w:t xml:space="preserve"> </w:t>
            </w:r>
            <w:r w:rsidRPr="00175CC2" w:rsidR="00175CC2">
              <w:t>851,859</w:t>
            </w:r>
          </w:p>
        </w:tc>
      </w:tr>
      <w:tr w:rsidR="0093244C" w:rsidTr="00AE749C" w14:paraId="597F0639" w14:textId="77777777">
        <w:tc>
          <w:tcPr>
            <w:tcW w:w="4225" w:type="dxa"/>
          </w:tcPr>
          <w:p w:rsidRPr="00647F49" w:rsidR="0093244C" w:rsidP="00AE749C" w:rsidRDefault="0093244C" w14:paraId="3D4FBCBF" w14:textId="77777777">
            <w:pPr>
              <w:pStyle w:val="Standard"/>
              <w:jc w:val="right"/>
            </w:pPr>
            <w:r w:rsidRPr="00647F49">
              <w:t>Workforce Education and Training</w:t>
            </w:r>
          </w:p>
        </w:tc>
        <w:tc>
          <w:tcPr>
            <w:tcW w:w="2790" w:type="dxa"/>
          </w:tcPr>
          <w:p w:rsidRPr="00ED3FEF" w:rsidR="0093244C" w:rsidP="00AE749C" w:rsidRDefault="0093244C" w14:paraId="3708C1EE" w14:textId="77777777">
            <w:pPr>
              <w:ind w:firstLine="0"/>
              <w:jc w:val="right"/>
            </w:pPr>
          </w:p>
        </w:tc>
        <w:tc>
          <w:tcPr>
            <w:tcW w:w="2520" w:type="dxa"/>
          </w:tcPr>
          <w:p w:rsidRPr="00ED3FEF" w:rsidR="0093244C" w:rsidP="00AE749C" w:rsidRDefault="0093244C" w14:paraId="6604996E" w14:textId="77777777">
            <w:pPr>
              <w:ind w:firstLine="0"/>
              <w:jc w:val="right"/>
            </w:pPr>
          </w:p>
        </w:tc>
      </w:tr>
      <w:tr w:rsidR="00625CD6" w:rsidTr="00AE749C" w14:paraId="338143FC" w14:textId="77777777">
        <w:tc>
          <w:tcPr>
            <w:tcW w:w="4225" w:type="dxa"/>
          </w:tcPr>
          <w:p w:rsidRPr="00647F49" w:rsidR="00625CD6" w:rsidP="00625CD6" w:rsidRDefault="00625CD6" w14:paraId="791E9CCF" w14:textId="77777777">
            <w:pPr>
              <w:pStyle w:val="Standard"/>
              <w:jc w:val="right"/>
            </w:pPr>
            <w:r w:rsidRPr="00647F49">
              <w:t>Inspections</w:t>
            </w:r>
          </w:p>
        </w:tc>
        <w:tc>
          <w:tcPr>
            <w:tcW w:w="2790" w:type="dxa"/>
          </w:tcPr>
          <w:p w:rsidRPr="00ED3FEF" w:rsidR="00625CD6" w:rsidP="00625CD6" w:rsidRDefault="00625CD6" w14:paraId="2672A4D1" w14:textId="5A1353D2">
            <w:pPr>
              <w:ind w:firstLine="0"/>
              <w:jc w:val="right"/>
            </w:pPr>
            <w:r w:rsidRPr="009A7C2C">
              <w:t>$1,586,833</w:t>
            </w:r>
          </w:p>
        </w:tc>
        <w:tc>
          <w:tcPr>
            <w:tcW w:w="2520" w:type="dxa"/>
          </w:tcPr>
          <w:p w:rsidRPr="00ED3FEF" w:rsidR="00625CD6" w:rsidP="00625CD6" w:rsidRDefault="00625CD6" w14:paraId="1729A3E5" w14:textId="6312979F">
            <w:pPr>
              <w:ind w:firstLine="0"/>
              <w:jc w:val="right"/>
            </w:pPr>
            <w:r w:rsidRPr="009A7C2C">
              <w:t>$</w:t>
            </w:r>
            <w:r w:rsidR="00175CC2">
              <w:t xml:space="preserve"> </w:t>
            </w:r>
            <w:r w:rsidRPr="00175CC2" w:rsidR="00175CC2">
              <w:t>1,634,438</w:t>
            </w:r>
          </w:p>
        </w:tc>
      </w:tr>
      <w:tr w:rsidR="00625CD6" w:rsidTr="00AE749C" w14:paraId="5E753FB9" w14:textId="77777777">
        <w:tc>
          <w:tcPr>
            <w:tcW w:w="4225" w:type="dxa"/>
          </w:tcPr>
          <w:p w:rsidRPr="00647F49" w:rsidR="00625CD6" w:rsidP="00625CD6" w:rsidRDefault="00625CD6" w14:paraId="0119F271" w14:textId="77777777">
            <w:pPr>
              <w:pStyle w:val="Standard"/>
              <w:jc w:val="right"/>
            </w:pPr>
            <w:r w:rsidRPr="00647F49">
              <w:t>Marketing and Outreach</w:t>
            </w:r>
          </w:p>
        </w:tc>
        <w:tc>
          <w:tcPr>
            <w:tcW w:w="2790" w:type="dxa"/>
          </w:tcPr>
          <w:p w:rsidRPr="00ED3FEF" w:rsidR="00625CD6" w:rsidP="00625CD6" w:rsidRDefault="00625CD6" w14:paraId="5B768EFF" w14:textId="741A623A">
            <w:pPr>
              <w:ind w:firstLine="0"/>
              <w:jc w:val="right"/>
            </w:pPr>
            <w:r w:rsidRPr="00430C4A">
              <w:t>$1,462,019</w:t>
            </w:r>
          </w:p>
        </w:tc>
        <w:tc>
          <w:tcPr>
            <w:tcW w:w="2520" w:type="dxa"/>
          </w:tcPr>
          <w:p w:rsidRPr="00ED3FEF" w:rsidR="00625CD6" w:rsidP="00625CD6" w:rsidRDefault="00625CD6" w14:paraId="6E58C472" w14:textId="6D45646C">
            <w:pPr>
              <w:ind w:firstLine="0"/>
              <w:jc w:val="right"/>
            </w:pPr>
            <w:r w:rsidRPr="00430C4A">
              <w:t>$</w:t>
            </w:r>
            <w:r w:rsidR="0008294A">
              <w:t xml:space="preserve"> </w:t>
            </w:r>
            <w:r w:rsidRPr="0008294A" w:rsidR="0008294A">
              <w:t>1,505,880</w:t>
            </w:r>
          </w:p>
        </w:tc>
      </w:tr>
      <w:tr w:rsidR="00625CD6" w:rsidTr="00AE749C" w14:paraId="59D13E2F" w14:textId="77777777">
        <w:tc>
          <w:tcPr>
            <w:tcW w:w="4225" w:type="dxa"/>
          </w:tcPr>
          <w:p w:rsidRPr="00647F49" w:rsidR="00625CD6" w:rsidP="00625CD6" w:rsidRDefault="00625CD6" w14:paraId="531A9537" w14:textId="77777777">
            <w:pPr>
              <w:pStyle w:val="Standard"/>
              <w:jc w:val="right"/>
            </w:pPr>
            <w:r w:rsidRPr="00647F49">
              <w:t>Studies</w:t>
            </w:r>
          </w:p>
        </w:tc>
        <w:tc>
          <w:tcPr>
            <w:tcW w:w="2790" w:type="dxa"/>
          </w:tcPr>
          <w:p w:rsidRPr="00ED3FEF" w:rsidR="00625CD6" w:rsidP="00625CD6" w:rsidRDefault="00625CD6" w14:paraId="3DDB463B" w14:textId="58CD27D8">
            <w:pPr>
              <w:ind w:firstLine="0"/>
              <w:jc w:val="right"/>
            </w:pPr>
            <w:r w:rsidRPr="00081539">
              <w:t>$200,000</w:t>
            </w:r>
          </w:p>
        </w:tc>
        <w:tc>
          <w:tcPr>
            <w:tcW w:w="2520" w:type="dxa"/>
          </w:tcPr>
          <w:p w:rsidRPr="00ED3FEF" w:rsidR="00625CD6" w:rsidP="00625CD6" w:rsidRDefault="00625CD6" w14:paraId="20222AD0" w14:textId="0AF6977D">
            <w:pPr>
              <w:ind w:firstLine="0"/>
              <w:jc w:val="right"/>
            </w:pPr>
            <w:r w:rsidRPr="00081539">
              <w:t>$</w:t>
            </w:r>
            <w:r w:rsidR="0036189E">
              <w:t>358,500</w:t>
            </w:r>
          </w:p>
        </w:tc>
      </w:tr>
      <w:tr w:rsidR="005E2E1B" w:rsidTr="00AE749C" w14:paraId="41029067" w14:textId="77777777">
        <w:tc>
          <w:tcPr>
            <w:tcW w:w="4225" w:type="dxa"/>
          </w:tcPr>
          <w:p w:rsidRPr="00647F49" w:rsidR="005E2E1B" w:rsidP="005E2E1B" w:rsidRDefault="005E2E1B" w14:paraId="4B4B7BFF" w14:textId="77777777">
            <w:pPr>
              <w:pStyle w:val="Standard"/>
              <w:jc w:val="right"/>
            </w:pPr>
            <w:r w:rsidRPr="00647F49">
              <w:t>Regulatory Compliance</w:t>
            </w:r>
          </w:p>
        </w:tc>
        <w:tc>
          <w:tcPr>
            <w:tcW w:w="2790" w:type="dxa"/>
          </w:tcPr>
          <w:p w:rsidRPr="00ED3FEF" w:rsidR="005E2E1B" w:rsidP="005E2E1B" w:rsidRDefault="005E2E1B" w14:paraId="29E0C732" w14:textId="293E3548">
            <w:pPr>
              <w:ind w:firstLine="0"/>
              <w:jc w:val="right"/>
            </w:pPr>
            <w:r w:rsidRPr="00C51078">
              <w:t>$513,413</w:t>
            </w:r>
          </w:p>
        </w:tc>
        <w:tc>
          <w:tcPr>
            <w:tcW w:w="2520" w:type="dxa"/>
          </w:tcPr>
          <w:p w:rsidRPr="00ED3FEF" w:rsidR="005E2E1B" w:rsidP="005E2E1B" w:rsidRDefault="005E2E1B" w14:paraId="2F468FAC" w14:textId="66888424">
            <w:pPr>
              <w:ind w:firstLine="0"/>
              <w:jc w:val="right"/>
            </w:pPr>
            <w:r w:rsidRPr="00C51078">
              <w:t>$</w:t>
            </w:r>
            <w:r w:rsidR="0008294A">
              <w:t xml:space="preserve"> </w:t>
            </w:r>
            <w:r w:rsidRPr="0008294A" w:rsidR="0008294A">
              <w:t>528,815</w:t>
            </w:r>
          </w:p>
        </w:tc>
      </w:tr>
      <w:tr w:rsidR="005E2E1B" w:rsidTr="00AE749C" w14:paraId="16142B12" w14:textId="77777777">
        <w:tc>
          <w:tcPr>
            <w:tcW w:w="4225" w:type="dxa"/>
          </w:tcPr>
          <w:p w:rsidRPr="0010154F" w:rsidR="005E2E1B" w:rsidP="005E2E1B" w:rsidRDefault="005E2E1B" w14:paraId="1A6A8DDF" w14:textId="77777777">
            <w:pPr>
              <w:pStyle w:val="Standard"/>
              <w:jc w:val="right"/>
            </w:pPr>
            <w:r w:rsidRPr="00F62735">
              <w:lastRenderedPageBreak/>
              <w:t>General Administration</w:t>
            </w:r>
          </w:p>
        </w:tc>
        <w:tc>
          <w:tcPr>
            <w:tcW w:w="2790" w:type="dxa"/>
          </w:tcPr>
          <w:p w:rsidRPr="00ED3FEF" w:rsidR="005E2E1B" w:rsidP="005E2E1B" w:rsidRDefault="005E2E1B" w14:paraId="04D15E4F" w14:textId="6D4C6766">
            <w:pPr>
              <w:ind w:firstLine="0"/>
              <w:jc w:val="right"/>
            </w:pPr>
            <w:r w:rsidRPr="003B3551">
              <w:t>$8,050,562</w:t>
            </w:r>
          </w:p>
        </w:tc>
        <w:tc>
          <w:tcPr>
            <w:tcW w:w="2520" w:type="dxa"/>
          </w:tcPr>
          <w:p w:rsidRPr="00ED3FEF" w:rsidR="005E2E1B" w:rsidP="005E2E1B" w:rsidRDefault="005E2E1B" w14:paraId="6F1BBC50" w14:textId="6627ED36">
            <w:pPr>
              <w:ind w:firstLine="0"/>
              <w:jc w:val="right"/>
            </w:pPr>
            <w:r w:rsidRPr="003B3551">
              <w:t>$</w:t>
            </w:r>
            <w:r w:rsidR="0008294A">
              <w:t xml:space="preserve"> </w:t>
            </w:r>
            <w:r w:rsidRPr="0008294A" w:rsidR="0008294A">
              <w:t>8,292,079</w:t>
            </w:r>
          </w:p>
        </w:tc>
      </w:tr>
      <w:tr w:rsidR="005E2E1B" w:rsidTr="00AE749C" w14:paraId="0BAB7183" w14:textId="77777777">
        <w:tc>
          <w:tcPr>
            <w:tcW w:w="4225" w:type="dxa"/>
          </w:tcPr>
          <w:p w:rsidRPr="0010154F" w:rsidR="005E2E1B" w:rsidP="005E2E1B" w:rsidRDefault="005E2E1B" w14:paraId="1EC51B7F" w14:textId="77777777">
            <w:pPr>
              <w:pStyle w:val="Standard"/>
              <w:jc w:val="right"/>
            </w:pPr>
            <w:r w:rsidRPr="00F62735">
              <w:t>CPUC Energy Division</w:t>
            </w:r>
          </w:p>
        </w:tc>
        <w:tc>
          <w:tcPr>
            <w:tcW w:w="2790" w:type="dxa"/>
          </w:tcPr>
          <w:p w:rsidRPr="00C7008D" w:rsidR="005E2E1B" w:rsidP="005E2E1B" w:rsidRDefault="005E2E1B" w14:paraId="0ABC9555" w14:textId="1C0D8C21">
            <w:pPr>
              <w:ind w:firstLine="0"/>
              <w:jc w:val="right"/>
            </w:pPr>
            <w:r w:rsidRPr="00A14608">
              <w:t>$107,152</w:t>
            </w:r>
          </w:p>
        </w:tc>
        <w:tc>
          <w:tcPr>
            <w:tcW w:w="2520" w:type="dxa"/>
          </w:tcPr>
          <w:p w:rsidRPr="00C7008D" w:rsidR="005E2E1B" w:rsidP="005E2E1B" w:rsidRDefault="005E2E1B" w14:paraId="7FB98836" w14:textId="73029198">
            <w:pPr>
              <w:ind w:firstLine="0"/>
              <w:jc w:val="right"/>
            </w:pPr>
            <w:r w:rsidRPr="00A14608">
              <w:t>$</w:t>
            </w:r>
            <w:r w:rsidR="0008294A">
              <w:t xml:space="preserve"> </w:t>
            </w:r>
            <w:r w:rsidRPr="0008294A" w:rsidR="0008294A">
              <w:t>110,367</w:t>
            </w:r>
          </w:p>
        </w:tc>
      </w:tr>
      <w:tr w:rsidR="005E2E1B" w:rsidTr="00AE749C" w14:paraId="490477AA" w14:textId="77777777">
        <w:tc>
          <w:tcPr>
            <w:tcW w:w="4225" w:type="dxa"/>
          </w:tcPr>
          <w:p w:rsidRPr="00ED3FEF" w:rsidR="005E2E1B" w:rsidP="005E2E1B" w:rsidRDefault="005E2E1B" w14:paraId="4B2E65A9" w14:textId="77777777">
            <w:pPr>
              <w:pStyle w:val="Standard"/>
              <w:ind w:firstLine="0"/>
              <w:jc w:val="both"/>
              <w:rPr>
                <w:b/>
                <w:bCs/>
              </w:rPr>
            </w:pPr>
            <w:r w:rsidRPr="00ED3FEF">
              <w:rPr>
                <w:b/>
                <w:bCs/>
              </w:rPr>
              <w:t>Admin Subtotal</w:t>
            </w:r>
          </w:p>
        </w:tc>
        <w:tc>
          <w:tcPr>
            <w:tcW w:w="2790" w:type="dxa"/>
          </w:tcPr>
          <w:p w:rsidRPr="005E2E1B" w:rsidR="005E2E1B" w:rsidP="005E2E1B" w:rsidRDefault="005E2E1B" w14:paraId="4DFEF1A4" w14:textId="3940C916">
            <w:pPr>
              <w:ind w:firstLine="0"/>
              <w:rPr>
                <w:b/>
                <w:bCs/>
              </w:rPr>
            </w:pPr>
            <w:r w:rsidRPr="005E2E1B">
              <w:rPr>
                <w:b/>
                <w:bCs/>
              </w:rPr>
              <w:t>$12,747,027</w:t>
            </w:r>
          </w:p>
        </w:tc>
        <w:tc>
          <w:tcPr>
            <w:tcW w:w="2520" w:type="dxa"/>
          </w:tcPr>
          <w:p w:rsidRPr="005E2E1B" w:rsidR="005E2E1B" w:rsidP="005E2E1B" w:rsidRDefault="005E2E1B" w14:paraId="4888F3F9" w14:textId="311E508E">
            <w:pPr>
              <w:ind w:firstLine="0"/>
              <w:rPr>
                <w:b/>
                <w:bCs/>
              </w:rPr>
            </w:pPr>
            <w:r w:rsidRPr="005E2E1B">
              <w:rPr>
                <w:b/>
                <w:bCs/>
              </w:rPr>
              <w:t>$</w:t>
            </w:r>
            <w:r w:rsidR="0008294A">
              <w:t xml:space="preserve"> </w:t>
            </w:r>
            <w:r w:rsidRPr="0008294A" w:rsidR="0008294A">
              <w:rPr>
                <w:b/>
                <w:bCs/>
              </w:rPr>
              <w:t>13,</w:t>
            </w:r>
            <w:r w:rsidR="00603022">
              <w:rPr>
                <w:b/>
                <w:bCs/>
              </w:rPr>
              <w:t>281,938</w:t>
            </w:r>
          </w:p>
        </w:tc>
      </w:tr>
      <w:tr w:rsidR="00B06264" w:rsidTr="00AE749C" w14:paraId="2971E41C" w14:textId="77777777">
        <w:tc>
          <w:tcPr>
            <w:tcW w:w="4225" w:type="dxa"/>
          </w:tcPr>
          <w:p w:rsidRPr="00ED3FEF" w:rsidR="00B06264" w:rsidP="00B06264" w:rsidRDefault="00B06264" w14:paraId="4B6F974A" w14:textId="77777777">
            <w:pPr>
              <w:pStyle w:val="Standard"/>
              <w:ind w:firstLine="0"/>
              <w:rPr>
                <w:b/>
                <w:bCs/>
              </w:rPr>
            </w:pPr>
            <w:r w:rsidRPr="00ED3FEF">
              <w:rPr>
                <w:b/>
                <w:bCs/>
              </w:rPr>
              <w:t>Program Total</w:t>
            </w:r>
          </w:p>
        </w:tc>
        <w:tc>
          <w:tcPr>
            <w:tcW w:w="2790" w:type="dxa"/>
          </w:tcPr>
          <w:p w:rsidRPr="00B06264" w:rsidR="00B06264" w:rsidP="00B06264" w:rsidRDefault="00B06264" w14:paraId="130BC641" w14:textId="3427151A">
            <w:pPr>
              <w:ind w:firstLine="0"/>
              <w:jc w:val="both"/>
              <w:rPr>
                <w:b/>
                <w:bCs/>
              </w:rPr>
            </w:pPr>
            <w:r w:rsidRPr="00B06264">
              <w:rPr>
                <w:b/>
                <w:bCs/>
              </w:rPr>
              <w:t>$116,155,524</w:t>
            </w:r>
          </w:p>
        </w:tc>
        <w:tc>
          <w:tcPr>
            <w:tcW w:w="2520" w:type="dxa"/>
          </w:tcPr>
          <w:p w:rsidRPr="00B06264" w:rsidR="00B06264" w:rsidP="00B06264" w:rsidRDefault="00B06264" w14:paraId="45C17352" w14:textId="73052FA0">
            <w:pPr>
              <w:ind w:firstLine="0"/>
              <w:jc w:val="both"/>
              <w:rPr>
                <w:b/>
                <w:bCs/>
              </w:rPr>
            </w:pPr>
            <w:r w:rsidRPr="00B06264">
              <w:rPr>
                <w:b/>
                <w:bCs/>
              </w:rPr>
              <w:t>$</w:t>
            </w:r>
            <w:r w:rsidR="009E7FDA">
              <w:t xml:space="preserve"> </w:t>
            </w:r>
            <w:r w:rsidRPr="009E7FDA" w:rsidR="009E7FDA">
              <w:rPr>
                <w:b/>
                <w:bCs/>
              </w:rPr>
              <w:t>123,</w:t>
            </w:r>
            <w:r w:rsidR="00603022">
              <w:rPr>
                <w:b/>
                <w:bCs/>
              </w:rPr>
              <w:t>506,958</w:t>
            </w:r>
          </w:p>
        </w:tc>
      </w:tr>
      <w:tr w:rsidR="0093244C" w:rsidTr="00AE749C" w14:paraId="47B27209" w14:textId="77777777">
        <w:tc>
          <w:tcPr>
            <w:tcW w:w="4225" w:type="dxa"/>
          </w:tcPr>
          <w:p w:rsidRPr="0010154F" w:rsidR="0093244C" w:rsidP="00AE749C" w:rsidRDefault="0093244C" w14:paraId="1148DF6A" w14:textId="77777777">
            <w:pPr>
              <w:pStyle w:val="Standard"/>
              <w:ind w:firstLine="0"/>
              <w:jc w:val="right"/>
            </w:pPr>
            <w:r w:rsidRPr="00F62735">
              <w:t>Staff Proposal Pilot (PP/PD)</w:t>
            </w:r>
          </w:p>
        </w:tc>
        <w:tc>
          <w:tcPr>
            <w:tcW w:w="2790" w:type="dxa"/>
          </w:tcPr>
          <w:p w:rsidRPr="00C7008D" w:rsidR="0093244C" w:rsidP="00AE749C" w:rsidRDefault="0093244C" w14:paraId="33AFA5CC" w14:textId="2900F760">
            <w:pPr>
              <w:ind w:firstLine="0"/>
              <w:jc w:val="right"/>
            </w:pPr>
            <w:r>
              <w:t>$</w:t>
            </w:r>
            <w:r w:rsidRPr="00B06264" w:rsidR="00B06264">
              <w:t>6,510,5</w:t>
            </w:r>
            <w:r w:rsidR="00B32C0B">
              <w:t>45</w:t>
            </w:r>
          </w:p>
        </w:tc>
        <w:tc>
          <w:tcPr>
            <w:tcW w:w="2520" w:type="dxa"/>
          </w:tcPr>
          <w:p w:rsidRPr="00C7008D" w:rsidR="0093244C" w:rsidP="002017CE" w:rsidRDefault="002017CE" w14:paraId="7478571A" w14:textId="6DD72072">
            <w:pPr>
              <w:ind w:firstLine="0"/>
              <w:jc w:val="right"/>
            </w:pPr>
            <w:r>
              <w:t>$0</w:t>
            </w:r>
          </w:p>
        </w:tc>
      </w:tr>
      <w:tr w:rsidR="00B06264" w:rsidTr="00AE749C" w14:paraId="660E1344" w14:textId="77777777">
        <w:tc>
          <w:tcPr>
            <w:tcW w:w="4225" w:type="dxa"/>
          </w:tcPr>
          <w:p w:rsidRPr="00ED3FEF" w:rsidR="00B06264" w:rsidP="00B06264" w:rsidRDefault="00B06264" w14:paraId="23CDAB32" w14:textId="77777777">
            <w:pPr>
              <w:pStyle w:val="Standard"/>
              <w:ind w:firstLine="0"/>
              <w:rPr>
                <w:b/>
                <w:bCs/>
              </w:rPr>
            </w:pPr>
            <w:r w:rsidRPr="00ED3FEF">
              <w:rPr>
                <w:b/>
                <w:bCs/>
              </w:rPr>
              <w:t>Portfolio Total</w:t>
            </w:r>
          </w:p>
        </w:tc>
        <w:tc>
          <w:tcPr>
            <w:tcW w:w="2790" w:type="dxa"/>
          </w:tcPr>
          <w:p w:rsidRPr="00ED3FEF" w:rsidR="00B06264" w:rsidP="00B06264" w:rsidRDefault="00B06264" w14:paraId="242D7488" w14:textId="784D8970">
            <w:pPr>
              <w:ind w:firstLine="0"/>
              <w:jc w:val="both"/>
              <w:rPr>
                <w:b/>
                <w:bCs/>
              </w:rPr>
            </w:pPr>
            <w:r w:rsidRPr="00ED43CB">
              <w:t>$122,666,069</w:t>
            </w:r>
          </w:p>
        </w:tc>
        <w:tc>
          <w:tcPr>
            <w:tcW w:w="2520" w:type="dxa"/>
          </w:tcPr>
          <w:p w:rsidRPr="00ED3FEF" w:rsidR="00B06264" w:rsidP="00B06264" w:rsidRDefault="00B06264" w14:paraId="7EDC574D" w14:textId="251EE73B">
            <w:pPr>
              <w:ind w:firstLine="0"/>
              <w:jc w:val="both"/>
              <w:rPr>
                <w:b/>
                <w:bCs/>
              </w:rPr>
            </w:pPr>
            <w:r w:rsidRPr="00ED43CB">
              <w:t>$</w:t>
            </w:r>
            <w:r w:rsidR="002017CE">
              <w:t>12</w:t>
            </w:r>
            <w:r w:rsidRPr="002017CE" w:rsidR="002017CE">
              <w:t>3,5</w:t>
            </w:r>
            <w:r w:rsidR="008F15F4">
              <w:t>06,958</w:t>
            </w:r>
          </w:p>
        </w:tc>
      </w:tr>
    </w:tbl>
    <w:p w:rsidRPr="004F2CF2" w:rsidR="0093244C" w:rsidP="004F2CF2" w:rsidRDefault="0093244C" w14:paraId="3AEFA8BE" w14:textId="77777777">
      <w:pPr>
        <w:pStyle w:val="Standard"/>
      </w:pPr>
    </w:p>
    <w:p w:rsidR="0056138E" w:rsidP="00FE2D37" w:rsidRDefault="00E1248B" w14:paraId="725802CB" w14:textId="756323F6">
      <w:pPr>
        <w:pStyle w:val="Heading2"/>
      </w:pPr>
      <w:bookmarkStart w:name="_Toc230872088" w:id="54"/>
      <w:r>
        <w:t>Party Comments</w:t>
      </w:r>
      <w:r w:rsidR="0056138E">
        <w:t xml:space="preserve"> and Discussion</w:t>
      </w:r>
      <w:bookmarkEnd w:id="54"/>
    </w:p>
    <w:p w:rsidR="0056138E" w:rsidP="00FE2D37" w:rsidRDefault="0056138E" w14:paraId="2BA4E419" w14:textId="0B1AE468">
      <w:pPr>
        <w:pStyle w:val="Heading3"/>
      </w:pPr>
      <w:bookmarkStart w:name="_Toc230872089" w:id="55"/>
      <w:r>
        <w:t>Pilot Programs</w:t>
      </w:r>
      <w:bookmarkEnd w:id="55"/>
    </w:p>
    <w:p w:rsidR="0056138E" w:rsidP="0056138E" w:rsidRDefault="0056138E" w14:paraId="03421B82" w14:textId="620E71F4">
      <w:pPr>
        <w:pStyle w:val="Standard"/>
      </w:pPr>
      <w:r>
        <w:t xml:space="preserve">Cal Advocates proposes that all pilot programs be </w:t>
      </w:r>
      <w:proofErr w:type="spellStart"/>
      <w:r>
        <w:t>sunsetted</w:t>
      </w:r>
      <w:proofErr w:type="spellEnd"/>
      <w:r>
        <w:t xml:space="preserve">, and that none be approved for continuation </w:t>
      </w:r>
      <w:r w:rsidR="001B1016">
        <w:t xml:space="preserve">in </w:t>
      </w:r>
      <w:r>
        <w:t>2027.  This includes PG&amp;E</w:t>
      </w:r>
      <w:r w:rsidR="001603A1">
        <w:t>’s</w:t>
      </w:r>
      <w:r>
        <w:t xml:space="preserve"> and SDG&amp;E’s PP/PD pilots, as well as SCE’s BE pilot, </w:t>
      </w:r>
      <w:r w:rsidR="00690395">
        <w:t xml:space="preserve">for </w:t>
      </w:r>
      <w:r>
        <w:t xml:space="preserve">which the IOUs have proposed </w:t>
      </w:r>
      <w:r w:rsidR="001B1016">
        <w:t xml:space="preserve">to </w:t>
      </w:r>
      <w:r>
        <w:t>continue funding</w:t>
      </w:r>
      <w:r w:rsidR="001B1016">
        <w:t xml:space="preserve"> into 2027</w:t>
      </w:r>
      <w:r>
        <w:t>.</w:t>
      </w:r>
      <w:r>
        <w:rPr>
          <w:rStyle w:val="FootnoteReference"/>
        </w:rPr>
        <w:footnoteReference w:id="68"/>
      </w:r>
      <w:r>
        <w:t xml:space="preserve">  Cal Advocates states extension would delay program evaluation results, limiting the ability to use results to inform the </w:t>
      </w:r>
      <w:r w:rsidR="00550B60">
        <w:t xml:space="preserve">2028-2033 </w:t>
      </w:r>
      <w:r>
        <w:t xml:space="preserve">application cycle.  Cal Advocates also states that pilots are not subject to cost-effectiveness tests, and that continuing them in this manner erodes ratepayer protections. </w:t>
      </w:r>
    </w:p>
    <w:p w:rsidR="0056138E" w:rsidP="0056138E" w:rsidRDefault="0056138E" w14:paraId="1A25FBE8" w14:textId="146FA59E">
      <w:pPr>
        <w:pStyle w:val="Standard"/>
      </w:pPr>
      <w:r>
        <w:t>PG&amp;E and SDG&amp;E note that 2027 PP/PD activities are for evaluation, EM&amp;V, final closeout of ongoing installations, and other administrative activities, not for continued program signups.</w:t>
      </w:r>
      <w:r>
        <w:rPr>
          <w:rStyle w:val="FootnoteReference"/>
        </w:rPr>
        <w:footnoteReference w:id="69"/>
      </w:r>
      <w:r>
        <w:t xml:space="preserve">  </w:t>
      </w:r>
      <w:r w:rsidR="00511A00">
        <w:t xml:space="preserve">PG&amp;E and SDG&amp;E assert that failure to extend and fund these activities </w:t>
      </w:r>
      <w:r>
        <w:t xml:space="preserve">would create inaccurate or insufficient evaluation data, as EM&amp;V studies would be conducted with incomplete data.  SCE states that its BE Pilot does not expand program scope or introduce new </w:t>
      </w:r>
      <w:r>
        <w:lastRenderedPageBreak/>
        <w:t>design elements, and that extension ensures program continuity for future program cycles.</w:t>
      </w:r>
      <w:r>
        <w:rPr>
          <w:rStyle w:val="FootnoteReference"/>
        </w:rPr>
        <w:footnoteReference w:id="70"/>
      </w:r>
      <w:r>
        <w:t xml:space="preserve">  SCE also notes the increasing program activity seen in its BE pilot over 2025.</w:t>
      </w:r>
      <w:r>
        <w:rPr>
          <w:rStyle w:val="FootnoteReference"/>
        </w:rPr>
        <w:footnoteReference w:id="71"/>
      </w:r>
    </w:p>
    <w:p w:rsidR="00D72F9E" w:rsidP="0056138E" w:rsidRDefault="00ED63EC" w14:paraId="7711C590" w14:textId="12E381BB">
      <w:pPr>
        <w:pStyle w:val="Standard"/>
      </w:pPr>
      <w:r>
        <w:t>We find it</w:t>
      </w:r>
      <w:r w:rsidR="0056138E">
        <w:t xml:space="preserve"> reasonable to continue funding</w:t>
      </w:r>
      <w:r w:rsidR="00F91721">
        <w:t>,</w:t>
      </w:r>
      <w:r w:rsidR="0056138E">
        <w:t xml:space="preserve"> </w:t>
      </w:r>
      <w:r w:rsidR="00CA06EA">
        <w:t>into 2027</w:t>
      </w:r>
      <w:r w:rsidR="00F91721">
        <w:t>, for</w:t>
      </w:r>
      <w:r w:rsidR="00CA06EA">
        <w:t xml:space="preserve"> </w:t>
      </w:r>
      <w:r w:rsidR="0056138E">
        <w:t>PG&amp;E</w:t>
      </w:r>
      <w:r w:rsidR="00CA06EA">
        <w:t>’s</w:t>
      </w:r>
      <w:r w:rsidR="0056138E">
        <w:t xml:space="preserve"> and SDG&amp;E</w:t>
      </w:r>
      <w:r w:rsidR="00CA06EA">
        <w:t>’s</w:t>
      </w:r>
      <w:r w:rsidR="0056138E">
        <w:t xml:space="preserve"> PP/PD pilots, to ensure continuity for</w:t>
      </w:r>
      <w:r w:rsidR="00FE7D8D">
        <w:t xml:space="preserve"> pilot participants who may require support as well as for</w:t>
      </w:r>
      <w:r w:rsidR="0056138E">
        <w:t xml:space="preserve"> EM&amp;V activities.  PG&amp;E and SDG&amp;E both state that no new installations will be conducted in 2027 and point to late starts to the program as justification for not ramping down until 2027.  </w:t>
      </w:r>
      <w:r w:rsidR="001E482E">
        <w:t>As noted in testimony, SCE and SoCalGas plan to end their PP/PD Pilots at the end of 2026.</w:t>
      </w:r>
      <w:r w:rsidR="001E482E">
        <w:rPr>
          <w:rStyle w:val="FootnoteReference"/>
        </w:rPr>
        <w:footnoteReference w:id="72"/>
      </w:r>
    </w:p>
    <w:p w:rsidR="007052DC" w:rsidP="0056138E" w:rsidRDefault="003A1ACF" w14:paraId="606EF940" w14:textId="6CD8256D">
      <w:pPr>
        <w:pStyle w:val="Standard"/>
      </w:pPr>
      <w:r>
        <w:t>However</w:t>
      </w:r>
      <w:r w:rsidRPr="00F552F5" w:rsidR="00F552F5">
        <w:t>, Cal Advocates’ argument </w:t>
      </w:r>
      <w:r w:rsidR="003A1761">
        <w:t>against</w:t>
      </w:r>
      <w:r w:rsidRPr="00F552F5" w:rsidR="003A1761">
        <w:t> </w:t>
      </w:r>
      <w:r w:rsidRPr="00F552F5" w:rsidR="00F552F5">
        <w:t>continu</w:t>
      </w:r>
      <w:r w:rsidR="003A1761">
        <w:t>ing the</w:t>
      </w:r>
      <w:r w:rsidRPr="00F552F5" w:rsidR="00F552F5">
        <w:t xml:space="preserve"> pilots is pers</w:t>
      </w:r>
      <w:r w:rsidR="008A532A">
        <w:t>u</w:t>
      </w:r>
      <w:r w:rsidRPr="00F552F5" w:rsidR="00F552F5">
        <w:t>asive</w:t>
      </w:r>
      <w:r>
        <w:t xml:space="preserve"> whe</w:t>
      </w:r>
      <w:r w:rsidR="00BD4FCE">
        <w:t>n applied to SCE’s BE pilot</w:t>
      </w:r>
      <w:r w:rsidRPr="00F552F5" w:rsidR="00F552F5">
        <w:t>.  </w:t>
      </w:r>
      <w:r w:rsidR="00F83159">
        <w:t xml:space="preserve">Increased activity is </w:t>
      </w:r>
      <w:r w:rsidR="00FF6D31">
        <w:t xml:space="preserve">not </w:t>
      </w:r>
      <w:r w:rsidR="00F83159">
        <w:t xml:space="preserve">in and of itself a reason for extending the pilot.  </w:t>
      </w:r>
      <w:r w:rsidRPr="00F552F5" w:rsidR="00F552F5">
        <w:t>SCE has already stated plans to roll some BE pilot activities into ESA Main in 2028, </w:t>
      </w:r>
      <w:r w:rsidR="00714DA0">
        <w:t>and that it is already embedding lessons from the pilots into core ESA offerings,</w:t>
      </w:r>
      <w:r w:rsidR="00714DA0">
        <w:rPr>
          <w:rStyle w:val="FootnoteReference"/>
        </w:rPr>
        <w:footnoteReference w:id="73"/>
      </w:r>
      <w:r w:rsidR="00714DA0">
        <w:t xml:space="preserve"> </w:t>
      </w:r>
      <w:r w:rsidRPr="00F552F5" w:rsidR="00F552F5">
        <w:t>which suggests that the pilot has served its purpose in informing SCE regarding the viability of the pilot’s activities.  </w:t>
      </w:r>
      <w:r w:rsidR="00EA7C16">
        <w:t>We</w:t>
      </w:r>
      <w:r w:rsidRPr="00F552F5" w:rsidR="00F552F5">
        <w:t xml:space="preserve"> therefore</w:t>
      </w:r>
      <w:r w:rsidR="00EA7C16">
        <w:t xml:space="preserve"> find it</w:t>
      </w:r>
      <w:r w:rsidRPr="00F552F5" w:rsidR="00F552F5">
        <w:t xml:space="preserve"> reasonable to allow the </w:t>
      </w:r>
      <w:r w:rsidR="008254F0">
        <w:t xml:space="preserve">BE </w:t>
      </w:r>
      <w:r w:rsidRPr="00F552F5" w:rsidR="00F552F5">
        <w:t>pilot to sunset in 2026.   To the extent that SCE requires additional administrative funding to close the pilot, it is reasonable to grant SCE additional budget up to $</w:t>
      </w:r>
      <w:r w:rsidR="00E31427">
        <w:t>1.79</w:t>
      </w:r>
      <w:r w:rsidRPr="00F552F5" w:rsidR="00F552F5">
        <w:t xml:space="preserve"> million, or the amount that was authorized </w:t>
      </w:r>
      <w:r w:rsidR="00E31427">
        <w:t>above for SDG&amp;E to close out its PP/PD pilot</w:t>
      </w:r>
      <w:r w:rsidR="0056138E">
        <w:t>.</w:t>
      </w:r>
      <w:r w:rsidR="00F552F5">
        <w:t xml:space="preserve">  SCE shall submit a Tier </w:t>
      </w:r>
      <w:r w:rsidR="00FC79D4">
        <w:t>1</w:t>
      </w:r>
      <w:r w:rsidR="00F552F5">
        <w:t xml:space="preserve"> AL </w:t>
      </w:r>
      <w:r w:rsidR="00E31427">
        <w:t>setting the actual budget amount</w:t>
      </w:r>
      <w:r w:rsidR="00C615FD">
        <w:t xml:space="preserve">, up to the maximum allowable, </w:t>
      </w:r>
      <w:r w:rsidR="00E31427">
        <w:t>needed to close the pilot.</w:t>
      </w:r>
      <w:r w:rsidR="0056138E">
        <w:t xml:space="preserve">  SCE and SoCalGas’ Whole Home </w:t>
      </w:r>
      <w:r w:rsidR="0056138E">
        <w:lastRenderedPageBreak/>
        <w:t>Pilot, as well as SCE’s Clean Energy Home Pilot, are closed, as proposed in their applications.</w:t>
      </w:r>
    </w:p>
    <w:p w:rsidR="00353A01" w:rsidP="00FE2D37" w:rsidRDefault="00353A01" w14:paraId="1894E503" w14:textId="4B585BFF">
      <w:pPr>
        <w:pStyle w:val="Heading3"/>
      </w:pPr>
      <w:bookmarkStart w:name="_Toc230872090" w:id="56"/>
      <w:r>
        <w:t>Goals</w:t>
      </w:r>
      <w:bookmarkEnd w:id="56"/>
    </w:p>
    <w:p w:rsidR="00353A01" w:rsidP="00353A01" w:rsidRDefault="006949B5" w14:paraId="3FF0EE2B" w14:textId="2144B599">
      <w:pPr>
        <w:pStyle w:val="Standard"/>
      </w:pPr>
      <w:r>
        <w:t xml:space="preserve">Cal Advocates opposes the IOUs’ proposals to continue energy savings goals and treatment targets for the MFWB programs and SDG&amp;E’s ESA Main program.  </w:t>
      </w:r>
      <w:r w:rsidDel="006949B5">
        <w:t xml:space="preserve">Cal Advocates states that either the MFWB programs should be </w:t>
      </w:r>
      <w:proofErr w:type="spellStart"/>
      <w:r w:rsidDel="006949B5">
        <w:t>sunset</w:t>
      </w:r>
      <w:r>
        <w:t>ted</w:t>
      </w:r>
      <w:proofErr w:type="spellEnd"/>
      <w:r>
        <w:t xml:space="preserve"> or new goals should be set for the bridge year</w:t>
      </w:r>
      <w:r w:rsidRPr="00CA2E86" w:rsidR="00353A01">
        <w:t>, as opposed to continuing 2022</w:t>
      </w:r>
      <w:r w:rsidR="00353A01">
        <w:rPr>
          <w:rStyle w:val="FootnoteReference"/>
        </w:rPr>
        <w:footnoteReference w:id="74"/>
      </w:r>
      <w:r w:rsidDel="00353A01" w:rsidR="00353A01">
        <w:t xml:space="preserve"> </w:t>
      </w:r>
      <w:r w:rsidR="00353A01">
        <w:t xml:space="preserve"> </w:t>
      </w:r>
      <w:r w:rsidDel="00400E54" w:rsidR="00400E54">
        <w:t xml:space="preserve">Cal Advocates </w:t>
      </w:r>
      <w:r w:rsidR="005D2842">
        <w:t>further states that allowing additional funds in 2027</w:t>
      </w:r>
      <w:r w:rsidR="00204607">
        <w:t xml:space="preserve"> without</w:t>
      </w:r>
      <w:r w:rsidR="005D2842">
        <w:t xml:space="preserve"> proportionally requiring expanded energy savings would equate to a radical increase in the authorized budgets for achieving the same goals</w:t>
      </w:r>
      <w:r w:rsidR="00435C1D">
        <w:t>.</w:t>
      </w:r>
      <w:r w:rsidR="00400E54">
        <w:rPr>
          <w:rStyle w:val="FootnoteReference"/>
        </w:rPr>
        <w:footnoteReference w:id="75"/>
      </w:r>
      <w:r w:rsidR="00400E54">
        <w:t xml:space="preserve">  Cal Advocates notes that the IOUs have been unable to meet target energy saving goals, including SCE’s ESA Main and MFWB programs.  </w:t>
      </w:r>
      <w:r w:rsidR="00441CB5">
        <w:t xml:space="preserve">Cal Advocates proposes that if the goals are allowed to be carried over, then </w:t>
      </w:r>
      <w:proofErr w:type="gramStart"/>
      <w:r w:rsidR="00441CB5">
        <w:t>all of</w:t>
      </w:r>
      <w:proofErr w:type="gramEnd"/>
      <w:r w:rsidR="00441CB5">
        <w:t xml:space="preserve"> the IOUs, particularly SDG&amp;E, should be directed to spend the large outstanding unspent funds amounts for program year 2027 as opposed to requesting new budget.</w:t>
      </w:r>
    </w:p>
    <w:p w:rsidR="00353A01" w:rsidP="00353A01" w:rsidRDefault="00353A01" w14:paraId="18EDB540" w14:textId="403C1D39">
      <w:pPr>
        <w:pStyle w:val="Standard"/>
      </w:pPr>
      <w:r>
        <w:t xml:space="preserve">PG&amp;E states that as no changes are being made to its MFWB program operations or delivery, and </w:t>
      </w:r>
      <w:r w:rsidR="00081C8B">
        <w:t xml:space="preserve">that because </w:t>
      </w:r>
      <w:r>
        <w:t>PG&amp;E is proposing to rollover unspent funds to cover 2027 operations, it makes sense to continue the relevant goals.</w:t>
      </w:r>
      <w:r>
        <w:rPr>
          <w:rStyle w:val="FootnoteReference"/>
        </w:rPr>
        <w:footnoteReference w:id="76"/>
      </w:r>
      <w:r>
        <w:t xml:space="preserve">  PG&amp;E also states that it projected 2025 spend of $27 million, and 2027 spend of $36.9 million.</w:t>
      </w:r>
      <w:r>
        <w:rPr>
          <w:rStyle w:val="FootnoteReference"/>
        </w:rPr>
        <w:footnoteReference w:id="77"/>
      </w:r>
    </w:p>
    <w:p w:rsidRPr="00353A01" w:rsidR="00353A01" w:rsidP="00353A01" w:rsidRDefault="00AD4689" w14:paraId="62CF25FB" w14:textId="03A8EF46">
      <w:pPr>
        <w:pStyle w:val="Standard"/>
      </w:pPr>
      <w:r>
        <w:lastRenderedPageBreak/>
        <w:t>Whil</w:t>
      </w:r>
      <w:r w:rsidR="009168A1">
        <w:t xml:space="preserve">e Cal Advocates’ concerns regarding </w:t>
      </w:r>
      <w:r w:rsidR="00C55B3C">
        <w:t xml:space="preserve">budget levels relationship to goals are valid, they should be considered in the full cycle application proceeding.  </w:t>
      </w:r>
      <w:r w:rsidR="00353A01">
        <w:t>It is reasonable to continue current</w:t>
      </w:r>
      <w:r w:rsidR="00A200B2">
        <w:t xml:space="preserve"> ESA and MFWB program goals</w:t>
      </w:r>
      <w:r w:rsidR="007D010C">
        <w:t xml:space="preserve"> into 2027</w:t>
      </w:r>
      <w:r w:rsidR="00A200B2">
        <w:t xml:space="preserve">, given that this </w:t>
      </w:r>
      <w:r w:rsidR="00652E16">
        <w:t xml:space="preserve">is a bridge year and no new </w:t>
      </w:r>
      <w:r w:rsidR="00843F18">
        <w:t xml:space="preserve">record has been received on setting new goals.  </w:t>
      </w:r>
      <w:r w:rsidR="00C01C8C">
        <w:t>The proposed goals</w:t>
      </w:r>
      <w:r w:rsidR="0042286F">
        <w:t xml:space="preserve"> are all representative of the fact that this is a bridge year application and as such it is not reasonable to set new goals. </w:t>
      </w:r>
      <w:r w:rsidR="004C0310">
        <w:t>Additionally, a</w:t>
      </w:r>
      <w:r w:rsidR="00961264">
        <w:t>s discussed later, the IOUs are also directed to expend their unspent funds</w:t>
      </w:r>
      <w:r w:rsidR="004C0310">
        <w:t xml:space="preserve">, </w:t>
      </w:r>
      <w:r w:rsidR="00082845">
        <w:t xml:space="preserve">which will largely offset </w:t>
      </w:r>
      <w:r w:rsidR="00C71CCE">
        <w:t xml:space="preserve">new collections </w:t>
      </w:r>
      <w:r w:rsidR="00160E8F">
        <w:t>in the spirit of</w:t>
      </w:r>
      <w:r w:rsidR="00DB28E0">
        <w:t xml:space="preserve"> Cal Advocates’ request</w:t>
      </w:r>
      <w:r w:rsidR="004C0310">
        <w:t>.</w:t>
      </w:r>
    </w:p>
    <w:p w:rsidR="004D465D" w:rsidP="00CF3B21" w:rsidRDefault="0056138E" w14:paraId="3E6D8C09" w14:textId="6F72C011">
      <w:pPr>
        <w:pStyle w:val="Heading3"/>
      </w:pPr>
      <w:bookmarkStart w:name="_Toc230872091" w:id="57"/>
      <w:r>
        <w:t>Budgets</w:t>
      </w:r>
      <w:bookmarkEnd w:id="57"/>
    </w:p>
    <w:p w:rsidR="0056138E" w:rsidP="0056138E" w:rsidRDefault="0056138E" w14:paraId="146318FA" w14:textId="72C0C21C">
      <w:pPr>
        <w:pStyle w:val="Standard"/>
      </w:pPr>
      <w:r>
        <w:t>Cal Advocates proposes that the Commission adopt ESA budgets based on 2024 actual historical spending, or</w:t>
      </w:r>
      <w:r w:rsidR="00213932">
        <w:t xml:space="preserve"> </w:t>
      </w:r>
      <w:r w:rsidRPr="00720307" w:rsidR="00213932">
        <w:t xml:space="preserve">direct the Applicants to use previously authorized </w:t>
      </w:r>
      <w:r w:rsidR="00213932">
        <w:t>funds</w:t>
      </w:r>
      <w:r w:rsidRPr="00720307" w:rsidR="00213932">
        <w:t xml:space="preserve"> </w:t>
      </w:r>
      <w:r w:rsidR="00213932">
        <w:t>in lieu of granting additional funds</w:t>
      </w:r>
      <w:r>
        <w:t>.</w:t>
      </w:r>
      <w:r w:rsidR="004462E3">
        <w:rPr>
          <w:rStyle w:val="FootnoteReference"/>
        </w:rPr>
        <w:footnoteReference w:id="78"/>
      </w:r>
      <w:r>
        <w:t xml:space="preserve">  In particular, Cal Advocates states that the IOUs</w:t>
      </w:r>
      <w:r w:rsidR="00B13A72">
        <w:t>’</w:t>
      </w:r>
      <w:r>
        <w:t xml:space="preserve"> budget increases for their ESA Main and MFWB programs and administrative budgets should be aligned with program year 2024 actual spend.</w:t>
      </w:r>
      <w:r>
        <w:rPr>
          <w:rStyle w:val="FootnoteReference"/>
        </w:rPr>
        <w:footnoteReference w:id="79"/>
      </w:r>
      <w:r>
        <w:t xml:space="preserve">  </w:t>
      </w:r>
      <w:r w:rsidR="002D1A6C">
        <w:t>Cal Advocates also states that requests by the IOUs to increase budgets are unreasonable in light of their requests to extend timelines to accomplish current program energy savings goals .</w:t>
      </w:r>
      <w:r w:rsidR="002D1A6C">
        <w:rPr>
          <w:rStyle w:val="FootnoteReference"/>
        </w:rPr>
        <w:footnoteReference w:id="80"/>
      </w:r>
      <w:r w:rsidR="002D1A6C">
        <w:t xml:space="preserve"> For example, Cal Advocates notes that the IOUs have been unable to meet target energy saving goals, including SCE’s ESA Main and MFWB programs, and that despite requesting to increase its MFWB budget, PG&amp;E proposes to deliver fewer savings and homes </w:t>
      </w:r>
      <w:r w:rsidR="002D1A6C">
        <w:lastRenderedPageBreak/>
        <w:t>reached compared to 2024.</w:t>
      </w:r>
      <w:r w:rsidR="002D1A6C">
        <w:rPr>
          <w:rStyle w:val="FootnoteReference"/>
        </w:rPr>
        <w:footnoteReference w:id="81"/>
      </w:r>
      <w:r w:rsidR="002D1A6C">
        <w:t xml:space="preserve">  </w:t>
      </w:r>
      <w:r>
        <w:t>Cal Advocates notes that D.21-06-015 had previously cut budgets for SDG&amp;E and SoCalGas from 2022 to 2026 due to consistent underspend from 2017 to 2019.</w:t>
      </w:r>
      <w:r>
        <w:rPr>
          <w:rStyle w:val="FootnoteReference"/>
        </w:rPr>
        <w:footnoteReference w:id="82"/>
      </w:r>
      <w:r>
        <w:t xml:space="preserve">    </w:t>
      </w:r>
    </w:p>
    <w:p w:rsidR="0056138E" w:rsidP="0056138E" w:rsidRDefault="0056138E" w14:paraId="38C1DE8D" w14:textId="76D47A89">
      <w:pPr>
        <w:pStyle w:val="Standard"/>
      </w:pPr>
      <w:r>
        <w:t>The IOUs state that utilizing 2024 as a baseline for budgeting could lead to program underfunding that constrains program delivery.</w:t>
      </w:r>
      <w:r>
        <w:rPr>
          <w:rStyle w:val="FootnoteReference"/>
        </w:rPr>
        <w:footnoteReference w:id="83"/>
      </w:r>
      <w:r>
        <w:t xml:space="preserve">  SDG&amp;E notes that the ESA Main program was not operating at full capacity in 2024, due to contractor solicitation issues related to the single implementer model.</w:t>
      </w:r>
      <w:r>
        <w:rPr>
          <w:rStyle w:val="FootnoteReference"/>
        </w:rPr>
        <w:footnoteReference w:id="84"/>
      </w:r>
      <w:r>
        <w:t xml:space="preserve">  SDG&amp;E notes that from 2022 to 2024, spending grew from 61 percent to 87 percent of authorized budget for ESA Main.  SoCalGas notes that inflation, supply chain disruptions, and tariffs have led to upward cost pressures for the ESA program.</w:t>
      </w:r>
      <w:r>
        <w:rPr>
          <w:rStyle w:val="FootnoteReference"/>
        </w:rPr>
        <w:footnoteReference w:id="85"/>
      </w:r>
      <w:r>
        <w:t xml:space="preserve">  SCE states that 2024 </w:t>
      </w:r>
      <w:r w:rsidRPr="002679EF">
        <w:t>represented a transition period, still impacted by post-pandemic operational constraints, supply chain disruptions, and ramp-up of new program designs</w:t>
      </w:r>
      <w:r>
        <w:t xml:space="preserve">, and that the 2027 budget includes adjustments for </w:t>
      </w:r>
      <w:r w:rsidRPr="005047E8">
        <w:t>inflation, workforce retention, and expanded outreach to hard-to-reach and high-usage customers, as well as expenditure trends in 2025, and expected trends in 2026 that surpass 2024 actual spend.</w:t>
      </w:r>
      <w:r>
        <w:rPr>
          <w:rStyle w:val="FootnoteReference"/>
        </w:rPr>
        <w:footnoteReference w:id="86"/>
      </w:r>
    </w:p>
    <w:p w:rsidR="0056138E" w:rsidP="0056138E" w:rsidRDefault="0056138E" w14:paraId="008395C0" w14:textId="7582E6E0">
      <w:pPr>
        <w:pStyle w:val="Standard"/>
      </w:pPr>
      <w:r>
        <w:t xml:space="preserve">SDG&amp;E notes similar implementation issues related to the Southern MFWB </w:t>
      </w:r>
      <w:proofErr w:type="gramStart"/>
      <w:r>
        <w:t>program, and</w:t>
      </w:r>
      <w:proofErr w:type="gramEnd"/>
      <w:r>
        <w:t xml:space="preserve"> also expects that the Southern MFWB program will continue to see increased activity through 2027.  SDG&amp;E also notes that increased </w:t>
      </w:r>
      <w:r>
        <w:lastRenderedPageBreak/>
        <w:t>budget is needed to accurately reflect its position as lead-IOU implementer for the Southern MFWB program.</w:t>
      </w:r>
      <w:r>
        <w:rPr>
          <w:rStyle w:val="FootnoteReference"/>
        </w:rPr>
        <w:footnoteReference w:id="87"/>
      </w:r>
      <w:r>
        <w:t xml:space="preserve">  </w:t>
      </w:r>
      <w:r w:rsidR="00B745C6">
        <w:t xml:space="preserve">Lastly, </w:t>
      </w:r>
      <w:r>
        <w:t xml:space="preserve">SDG&amp;E notes that 2027 funding is needed to </w:t>
      </w:r>
      <w:proofErr w:type="gramStart"/>
      <w:r>
        <w:t>wind-down</w:t>
      </w:r>
      <w:proofErr w:type="gramEnd"/>
      <w:r>
        <w:t xml:space="preserve"> the current program.</w:t>
      </w:r>
    </w:p>
    <w:p w:rsidR="008B4E68" w:rsidP="00152B4D" w:rsidRDefault="00152B4D" w14:paraId="1DF1F8A7" w14:textId="2D99959B">
      <w:pPr>
        <w:pStyle w:val="Standard"/>
      </w:pPr>
      <w:r>
        <w:t xml:space="preserve">It is reasonable to set 2027 budget levels at 2026 </w:t>
      </w:r>
      <w:r w:rsidR="00E50402">
        <w:t xml:space="preserve">authorized </w:t>
      </w:r>
      <w:r>
        <w:t>spend</w:t>
      </w:r>
      <w:r w:rsidR="0056138E">
        <w:t>,</w:t>
      </w:r>
      <w:r w:rsidR="00E50402">
        <w:t xml:space="preserve"> plus inc</w:t>
      </w:r>
      <w:r w:rsidR="00DB7BD7">
        <w:t>reases for inflation,</w:t>
      </w:r>
      <w:r w:rsidR="0056138E">
        <w:t xml:space="preserve"> to ensure program continuity as we move into the </w:t>
      </w:r>
      <w:r w:rsidR="00B745C6">
        <w:t xml:space="preserve">2028-2033 </w:t>
      </w:r>
      <w:r w:rsidR="00A607BF">
        <w:t>IQP applications</w:t>
      </w:r>
      <w:r w:rsidR="0056138E">
        <w:t>.</w:t>
      </w:r>
      <w:r w:rsidR="003E261B">
        <w:t xml:space="preserve">  We therefore approve </w:t>
      </w:r>
      <w:r w:rsidR="007E12E6">
        <w:t>most of the requested ESA program line-item totals as proposed by the IOUs.</w:t>
      </w:r>
      <w:r w:rsidR="0056138E">
        <w:t xml:space="preserve">  Although Cal Advocates points out that programs were unable to meet their projected spend from 2022</w:t>
      </w:r>
      <w:r w:rsidRPr="00AE3D4F" w:rsidR="00AE3D4F">
        <w:rPr>
          <w:color w:val="000000"/>
          <w:szCs w:val="26"/>
          <w:bdr w:val="none" w:color="auto" w:sz="0" w:space="0" w:frame="1"/>
        </w:rPr>
        <w:t xml:space="preserve"> </w:t>
      </w:r>
      <w:r w:rsidRPr="00AE3D4F" w:rsidR="00AE3D4F">
        <w:t>–</w:t>
      </w:r>
      <w:r w:rsidR="0056138E">
        <w:t xml:space="preserve">2024, especially the MFWB program, inflation and upward cost pressures, as well as increased program activity </w:t>
      </w:r>
      <w:r w:rsidR="00F4537C">
        <w:t xml:space="preserve">and </w:t>
      </w:r>
      <w:r w:rsidR="00817BDA">
        <w:t xml:space="preserve">continued efforts to achieve program goals </w:t>
      </w:r>
      <w:r w:rsidR="0056138E">
        <w:t xml:space="preserve">are likely to have caused program </w:t>
      </w:r>
      <w:proofErr w:type="gramStart"/>
      <w:r w:rsidR="0056138E">
        <w:t>spend</w:t>
      </w:r>
      <w:proofErr w:type="gramEnd"/>
      <w:r w:rsidR="0056138E">
        <w:t xml:space="preserve"> to increase since 2024.</w:t>
      </w:r>
      <w:r w:rsidR="008B4E68">
        <w:t xml:space="preserve">  Given the expedited nature of these bridge applications, and minimal changes to the ESA programs approved in the last application cycle when cost-effectiveness was previously considered, </w:t>
      </w:r>
      <w:r w:rsidR="00762635">
        <w:t>no</w:t>
      </w:r>
      <w:r w:rsidR="008B4E68">
        <w:t xml:space="preserve"> further review of cost-effectiveness </w:t>
      </w:r>
      <w:r w:rsidR="00762635">
        <w:t>is needed for these applications</w:t>
      </w:r>
      <w:r w:rsidR="008B4E68">
        <w:t xml:space="preserve">. </w:t>
      </w:r>
      <w:r w:rsidR="0056138E">
        <w:t xml:space="preserve">  </w:t>
      </w:r>
    </w:p>
    <w:p w:rsidR="0061445B" w:rsidP="00152B4D" w:rsidRDefault="0056138E" w14:paraId="68F9EC39" w14:textId="16722E02">
      <w:pPr>
        <w:pStyle w:val="Standard"/>
      </w:pPr>
      <w:r>
        <w:t xml:space="preserve">At the same time, the </w:t>
      </w:r>
      <w:r w:rsidR="001516A9">
        <w:t xml:space="preserve">Southern </w:t>
      </w:r>
      <w:r>
        <w:t xml:space="preserve">IOUs have not sufficiently justified the proposed </w:t>
      </w:r>
      <w:r w:rsidR="009520F3">
        <w:t xml:space="preserve">MFWB </w:t>
      </w:r>
      <w:r>
        <w:t xml:space="preserve">2027 budget increases, where the record shows that they have consistently underspent their </w:t>
      </w:r>
      <w:r w:rsidR="009520F3">
        <w:t xml:space="preserve">MFWB </w:t>
      </w:r>
      <w:r>
        <w:t>budgets from 2022</w:t>
      </w:r>
      <w:r w:rsidRPr="00AE3D4F" w:rsidR="00AE3D4F">
        <w:t>–</w:t>
      </w:r>
      <w:r>
        <w:t>2024.</w:t>
      </w:r>
      <w:r w:rsidR="00FD3D06">
        <w:t xml:space="preserve">  Those budgets are therefore reduced </w:t>
      </w:r>
      <w:r>
        <w:t xml:space="preserve">  </w:t>
      </w:r>
      <w:proofErr w:type="gramStart"/>
      <w:r>
        <w:t>To</w:t>
      </w:r>
      <w:proofErr w:type="gramEnd"/>
      <w:r>
        <w:t xml:space="preserve"> the extent that there is risk that ESA program 2027 budgets remain higher than 2027 actual ESA spend, impacts to ratepayers will </w:t>
      </w:r>
      <w:r w:rsidR="00EB4708">
        <w:t>partially</w:t>
      </w:r>
      <w:r>
        <w:t xml:space="preserve"> be mitigated by the fact that all outstanding un</w:t>
      </w:r>
      <w:r w:rsidR="003C3BE4">
        <w:t>committed and uncommitted un</w:t>
      </w:r>
      <w:r>
        <w:t xml:space="preserve">spent funds at the end of 2026 will be applied to 2027 ESA collections.  Any amounts remaining after 2027 are also to be rolled over to 2028 </w:t>
      </w:r>
      <w:r>
        <w:lastRenderedPageBreak/>
        <w:t>program spend</w:t>
      </w:r>
      <w:r w:rsidR="00C022D1">
        <w:t xml:space="preserve"> (upon approval of the 2028 program budgets)</w:t>
      </w:r>
      <w:r w:rsidR="00DC5CC4">
        <w:t>.</w:t>
      </w:r>
      <w:r>
        <w:t xml:space="preserve">  The amounts adopted are therefore:</w:t>
      </w:r>
    </w:p>
    <w:p w:rsidRPr="006A1FF4" w:rsidR="00163844" w:rsidP="00163844" w:rsidRDefault="00163844" w14:paraId="1750334E" w14:textId="5C4A5531">
      <w:pPr>
        <w:pStyle w:val="Standard"/>
        <w:jc w:val="center"/>
        <w:rPr>
          <w:b/>
          <w:bCs/>
        </w:rPr>
      </w:pPr>
      <w:r w:rsidRPr="006A1FF4">
        <w:rPr>
          <w:b/>
          <w:bCs/>
        </w:rPr>
        <w:t xml:space="preserve">Table </w:t>
      </w:r>
      <w:r w:rsidR="003425DD">
        <w:rPr>
          <w:b/>
          <w:bCs/>
        </w:rPr>
        <w:t>11</w:t>
      </w:r>
      <w:r w:rsidRPr="006A1FF4">
        <w:rPr>
          <w:b/>
          <w:bCs/>
        </w:rPr>
        <w:t>: Approved 2027 ESA Budgets</w:t>
      </w:r>
    </w:p>
    <w:tbl>
      <w:tblPr>
        <w:tblStyle w:val="TableGrid"/>
        <w:tblW w:w="9350" w:type="dxa"/>
        <w:tblLayout w:type="fixed"/>
        <w:tblLook w:val="04A0" w:firstRow="1" w:lastRow="0" w:firstColumn="1" w:lastColumn="0" w:noHBand="0" w:noVBand="1"/>
      </w:tblPr>
      <w:tblGrid>
        <w:gridCol w:w="1795"/>
        <w:gridCol w:w="2340"/>
        <w:gridCol w:w="1800"/>
        <w:gridCol w:w="1710"/>
        <w:gridCol w:w="1705"/>
      </w:tblGrid>
      <w:tr w:rsidR="006B4CB3" w:rsidTr="00231BB9" w14:paraId="4633F589" w14:textId="4CD3E2BA">
        <w:tc>
          <w:tcPr>
            <w:tcW w:w="1795" w:type="dxa"/>
          </w:tcPr>
          <w:p w:rsidR="006B4CB3" w:rsidP="00AE749C" w:rsidRDefault="006B4CB3" w14:paraId="64F78F90" w14:textId="77777777">
            <w:pPr>
              <w:ind w:firstLine="0"/>
            </w:pPr>
            <w:r>
              <w:t>Category</w:t>
            </w:r>
          </w:p>
        </w:tc>
        <w:tc>
          <w:tcPr>
            <w:tcW w:w="2340" w:type="dxa"/>
          </w:tcPr>
          <w:p w:rsidR="006B4CB3" w:rsidP="00AE749C" w:rsidRDefault="00C07E88" w14:paraId="084B75B0" w14:textId="502C47AC">
            <w:pPr>
              <w:ind w:firstLine="0"/>
            </w:pPr>
            <w:r>
              <w:t>PG&amp;E</w:t>
            </w:r>
          </w:p>
        </w:tc>
        <w:tc>
          <w:tcPr>
            <w:tcW w:w="1800" w:type="dxa"/>
          </w:tcPr>
          <w:p w:rsidR="006B4CB3" w:rsidP="00AE749C" w:rsidRDefault="00C07E88" w14:paraId="51EE8367" w14:textId="55FDFE0C">
            <w:pPr>
              <w:ind w:firstLine="0"/>
            </w:pPr>
            <w:r>
              <w:t>SCE</w:t>
            </w:r>
          </w:p>
        </w:tc>
        <w:tc>
          <w:tcPr>
            <w:tcW w:w="1710" w:type="dxa"/>
          </w:tcPr>
          <w:p w:rsidR="006B4CB3" w:rsidP="00AE749C" w:rsidRDefault="00C07E88" w14:paraId="1D4FA3B8" w14:textId="0122372D">
            <w:pPr>
              <w:ind w:firstLine="0"/>
            </w:pPr>
            <w:r>
              <w:t>SDG&amp;E</w:t>
            </w:r>
          </w:p>
        </w:tc>
        <w:tc>
          <w:tcPr>
            <w:tcW w:w="1705" w:type="dxa"/>
          </w:tcPr>
          <w:p w:rsidR="006B4CB3" w:rsidP="00AE749C" w:rsidRDefault="00C07E88" w14:paraId="77ADD042" w14:textId="7DAEBC1C">
            <w:pPr>
              <w:ind w:firstLine="0"/>
            </w:pPr>
            <w:r>
              <w:t>SoCalGas</w:t>
            </w:r>
          </w:p>
        </w:tc>
      </w:tr>
      <w:tr w:rsidR="00BB2347" w:rsidTr="00231BB9" w14:paraId="0397DF61" w14:textId="1AC23C23">
        <w:tc>
          <w:tcPr>
            <w:tcW w:w="1795" w:type="dxa"/>
          </w:tcPr>
          <w:p w:rsidRPr="00647F49" w:rsidR="00BB2347" w:rsidP="00231BB9" w:rsidRDefault="00BB2347" w14:paraId="525F70EB" w14:textId="094CF37B">
            <w:pPr>
              <w:pStyle w:val="Standard"/>
              <w:ind w:firstLine="0"/>
            </w:pPr>
            <w:r w:rsidRPr="00647F49">
              <w:t>ESA Main</w:t>
            </w:r>
          </w:p>
        </w:tc>
        <w:tc>
          <w:tcPr>
            <w:tcW w:w="2340" w:type="dxa"/>
          </w:tcPr>
          <w:p w:rsidR="00BB2347" w:rsidP="00BB2347" w:rsidRDefault="007C419C" w14:paraId="327BD3A5" w14:textId="355BC723">
            <w:pPr>
              <w:ind w:firstLine="0"/>
              <w:jc w:val="right"/>
            </w:pPr>
            <w:r w:rsidRPr="007C419C">
              <w:t>$</w:t>
            </w:r>
            <w:r w:rsidR="00920B22">
              <w:t>105,534,617</w:t>
            </w:r>
          </w:p>
        </w:tc>
        <w:tc>
          <w:tcPr>
            <w:tcW w:w="1800" w:type="dxa"/>
          </w:tcPr>
          <w:p w:rsidR="00BB2347" w:rsidP="00BB2347" w:rsidRDefault="00BB2347" w14:paraId="53732679" w14:textId="45D2EEA4">
            <w:pPr>
              <w:ind w:firstLine="0"/>
              <w:jc w:val="right"/>
            </w:pPr>
            <w:r w:rsidRPr="00A301DA">
              <w:t>$</w:t>
            </w:r>
            <w:r>
              <w:t>55,977,327</w:t>
            </w:r>
          </w:p>
        </w:tc>
        <w:tc>
          <w:tcPr>
            <w:tcW w:w="1710" w:type="dxa"/>
          </w:tcPr>
          <w:p w:rsidRPr="00A301DA" w:rsidR="00BB2347" w:rsidP="00BB2347" w:rsidRDefault="008C1415" w14:paraId="32FBD8FD" w14:textId="4AC5099C">
            <w:pPr>
              <w:ind w:firstLine="0"/>
              <w:jc w:val="right"/>
            </w:pPr>
            <w:r w:rsidRPr="008C1415">
              <w:t>$17,214,377 </w:t>
            </w:r>
          </w:p>
        </w:tc>
        <w:tc>
          <w:tcPr>
            <w:tcW w:w="1705" w:type="dxa"/>
          </w:tcPr>
          <w:p w:rsidRPr="00A301DA" w:rsidR="00BB2347" w:rsidP="00BB2347" w:rsidRDefault="00BB2347" w14:paraId="2889D0ED" w14:textId="619C7ED3">
            <w:pPr>
              <w:ind w:firstLine="0"/>
              <w:jc w:val="right"/>
            </w:pPr>
            <w:r w:rsidRPr="00E67E27">
              <w:t>$82,844,757</w:t>
            </w:r>
          </w:p>
        </w:tc>
      </w:tr>
      <w:tr w:rsidR="008C1415" w:rsidTr="00231BB9" w14:paraId="61527358" w14:textId="504057D8">
        <w:tc>
          <w:tcPr>
            <w:tcW w:w="1795" w:type="dxa"/>
          </w:tcPr>
          <w:p w:rsidRPr="00647F49" w:rsidR="008C1415" w:rsidP="00231BB9" w:rsidRDefault="008C1415" w14:paraId="2EB89A24" w14:textId="6457B691">
            <w:pPr>
              <w:pStyle w:val="Standard"/>
              <w:ind w:firstLine="0"/>
            </w:pPr>
            <w:r w:rsidRPr="00647F49">
              <w:t>ESA MFWB</w:t>
            </w:r>
          </w:p>
        </w:tc>
        <w:tc>
          <w:tcPr>
            <w:tcW w:w="2340" w:type="dxa"/>
          </w:tcPr>
          <w:p w:rsidR="008C1415" w:rsidP="008C1415" w:rsidRDefault="008C1415" w14:paraId="7AFE229A" w14:textId="1CF35D56">
            <w:pPr>
              <w:ind w:firstLine="0"/>
              <w:jc w:val="right"/>
            </w:pPr>
            <w:r>
              <w:t>$</w:t>
            </w:r>
            <w:r w:rsidR="00184CE0">
              <w:t>36,861,192</w:t>
            </w:r>
          </w:p>
        </w:tc>
        <w:tc>
          <w:tcPr>
            <w:tcW w:w="1800" w:type="dxa"/>
          </w:tcPr>
          <w:p w:rsidR="008C1415" w:rsidP="008C1415" w:rsidRDefault="008C1415" w14:paraId="028271C0" w14:textId="2B8FEBDD">
            <w:pPr>
              <w:ind w:firstLine="0"/>
              <w:jc w:val="right"/>
            </w:pPr>
            <w:r>
              <w:rPr>
                <w:rStyle w:val="normaltextrun"/>
                <w:rFonts w:cs="Segoe UI"/>
                <w:szCs w:val="26"/>
              </w:rPr>
              <w:t>$10,142,429</w:t>
            </w:r>
            <w:r>
              <w:rPr>
                <w:rStyle w:val="eop"/>
                <w:rFonts w:cs="Segoe UI"/>
                <w:szCs w:val="26"/>
              </w:rPr>
              <w:t> </w:t>
            </w:r>
          </w:p>
        </w:tc>
        <w:tc>
          <w:tcPr>
            <w:tcW w:w="1710" w:type="dxa"/>
          </w:tcPr>
          <w:p w:rsidR="008C1415" w:rsidP="008C1415" w:rsidRDefault="008C1415" w14:paraId="799D3AEB" w14:textId="15EE057E">
            <w:pPr>
              <w:ind w:firstLine="0"/>
              <w:jc w:val="right"/>
            </w:pPr>
            <w:r>
              <w:rPr>
                <w:rStyle w:val="normaltextrun"/>
                <w:rFonts w:cs="Segoe UI"/>
                <w:szCs w:val="26"/>
              </w:rPr>
              <w:t>$8,954,054</w:t>
            </w:r>
            <w:r>
              <w:rPr>
                <w:rStyle w:val="eop"/>
                <w:rFonts w:cs="Segoe UI"/>
                <w:szCs w:val="26"/>
              </w:rPr>
              <w:t> </w:t>
            </w:r>
          </w:p>
        </w:tc>
        <w:tc>
          <w:tcPr>
            <w:tcW w:w="1705" w:type="dxa"/>
          </w:tcPr>
          <w:p w:rsidR="008C1415" w:rsidP="008C1415" w:rsidRDefault="008C1415" w14:paraId="4F76E6CA" w14:textId="51EFFA8B">
            <w:pPr>
              <w:ind w:firstLine="0"/>
              <w:jc w:val="right"/>
            </w:pPr>
            <w:r>
              <w:rPr>
                <w:rStyle w:val="normaltextrun"/>
                <w:rFonts w:cs="Segoe UI"/>
                <w:szCs w:val="26"/>
              </w:rPr>
              <w:t>$15,743,419</w:t>
            </w:r>
            <w:r>
              <w:rPr>
                <w:rStyle w:val="eop"/>
                <w:rFonts w:cs="Segoe UI"/>
                <w:szCs w:val="26"/>
              </w:rPr>
              <w:t> </w:t>
            </w:r>
          </w:p>
        </w:tc>
      </w:tr>
      <w:tr w:rsidR="00BB2347" w:rsidTr="00231BB9" w14:paraId="5512357F" w14:textId="703388DC">
        <w:tc>
          <w:tcPr>
            <w:tcW w:w="1795" w:type="dxa"/>
          </w:tcPr>
          <w:p w:rsidRPr="00647F49" w:rsidR="00BB2347" w:rsidP="00231BB9" w:rsidRDefault="00BB2347" w14:paraId="331FD156" w14:textId="17567F3D">
            <w:pPr>
              <w:pStyle w:val="Standard"/>
              <w:ind w:firstLine="0"/>
            </w:pPr>
            <w:r w:rsidRPr="00647F49">
              <w:t>SPOC</w:t>
            </w:r>
            <w:r w:rsidR="006E2DE2">
              <w:rPr>
                <w:rStyle w:val="FootnoteReference"/>
              </w:rPr>
              <w:footnoteReference w:id="88"/>
            </w:r>
          </w:p>
        </w:tc>
        <w:tc>
          <w:tcPr>
            <w:tcW w:w="2340" w:type="dxa"/>
          </w:tcPr>
          <w:p w:rsidR="00BB2347" w:rsidP="00BB2347" w:rsidRDefault="00BB2347" w14:paraId="66AE9CF7" w14:textId="3F507AFE">
            <w:pPr>
              <w:ind w:firstLine="0"/>
              <w:jc w:val="right"/>
            </w:pPr>
            <w:r>
              <w:t>$</w:t>
            </w:r>
            <w:r w:rsidR="00920B22">
              <w:t>387,104</w:t>
            </w:r>
          </w:p>
        </w:tc>
        <w:tc>
          <w:tcPr>
            <w:tcW w:w="1800" w:type="dxa"/>
          </w:tcPr>
          <w:p w:rsidR="00BB2347" w:rsidP="00BB2347" w:rsidRDefault="00BB2347" w14:paraId="53C8AFEF" w14:textId="77777777">
            <w:pPr>
              <w:ind w:firstLine="0"/>
              <w:jc w:val="right"/>
            </w:pPr>
            <w:r>
              <w:t>$171,929</w:t>
            </w:r>
          </w:p>
        </w:tc>
        <w:tc>
          <w:tcPr>
            <w:tcW w:w="1710" w:type="dxa"/>
          </w:tcPr>
          <w:p w:rsidR="00BB2347" w:rsidP="00BB2347" w:rsidRDefault="008C1415" w14:paraId="14252FC3" w14:textId="47DF569F">
            <w:pPr>
              <w:ind w:firstLine="0"/>
              <w:jc w:val="right"/>
            </w:pPr>
            <w:r w:rsidRPr="008C1415">
              <w:t>$346,750</w:t>
            </w:r>
          </w:p>
        </w:tc>
        <w:tc>
          <w:tcPr>
            <w:tcW w:w="1705" w:type="dxa"/>
          </w:tcPr>
          <w:p w:rsidR="00BB2347" w:rsidP="00BB2347" w:rsidRDefault="00BB2347" w14:paraId="04165723" w14:textId="4515C143">
            <w:pPr>
              <w:ind w:firstLine="0"/>
              <w:jc w:val="right"/>
            </w:pPr>
            <w:r>
              <w:t>$</w:t>
            </w:r>
            <w:r w:rsidRPr="00A77316">
              <w:t>308,278</w:t>
            </w:r>
          </w:p>
        </w:tc>
      </w:tr>
      <w:tr w:rsidR="00C962AE" w:rsidTr="00231BB9" w14:paraId="522D1595" w14:textId="77777777">
        <w:tc>
          <w:tcPr>
            <w:tcW w:w="1795" w:type="dxa"/>
          </w:tcPr>
          <w:p w:rsidRPr="00647F49" w:rsidR="00C962AE" w:rsidP="00231BB9" w:rsidRDefault="00C962AE" w14:paraId="21F5E814" w14:textId="720418A9">
            <w:pPr>
              <w:pStyle w:val="Standard"/>
              <w:ind w:firstLine="0"/>
            </w:pPr>
            <w:r>
              <w:t>Pilots</w:t>
            </w:r>
          </w:p>
        </w:tc>
        <w:tc>
          <w:tcPr>
            <w:tcW w:w="2340" w:type="dxa"/>
          </w:tcPr>
          <w:p w:rsidR="00C962AE" w:rsidP="00C962AE" w:rsidRDefault="00C962AE" w14:paraId="71D51377" w14:textId="0D8B3872">
            <w:pPr>
              <w:ind w:firstLine="0"/>
              <w:jc w:val="right"/>
            </w:pPr>
            <w:r>
              <w:rPr>
                <w:rStyle w:val="normaltextrun"/>
                <w:rFonts w:cs="Segoe UI"/>
                <w:szCs w:val="26"/>
              </w:rPr>
              <w:t>$2,893,</w:t>
            </w:r>
            <w:r w:rsidR="00620AA1">
              <w:rPr>
                <w:rStyle w:val="normaltextrun"/>
                <w:rFonts w:cs="Segoe UI"/>
                <w:szCs w:val="26"/>
              </w:rPr>
              <w:t>520</w:t>
            </w:r>
            <w:r>
              <w:rPr>
                <w:rStyle w:val="eop"/>
                <w:rFonts w:cs="Segoe UI"/>
                <w:szCs w:val="26"/>
              </w:rPr>
              <w:t> </w:t>
            </w:r>
          </w:p>
        </w:tc>
        <w:tc>
          <w:tcPr>
            <w:tcW w:w="1800" w:type="dxa"/>
          </w:tcPr>
          <w:p w:rsidR="00C962AE" w:rsidP="00C962AE" w:rsidRDefault="00C962AE" w14:paraId="1658B205" w14:textId="32ADA0C9">
            <w:pPr>
              <w:ind w:firstLine="0"/>
              <w:jc w:val="right"/>
            </w:pPr>
            <w:r>
              <w:rPr>
                <w:rStyle w:val="normaltextrun"/>
                <w:rFonts w:cs="Segoe UI"/>
                <w:szCs w:val="26"/>
              </w:rPr>
              <w:t>$1,790,000</w:t>
            </w:r>
            <w:r>
              <w:rPr>
                <w:rStyle w:val="eop"/>
                <w:rFonts w:cs="Segoe UI"/>
                <w:szCs w:val="26"/>
              </w:rPr>
              <w:t> </w:t>
            </w:r>
          </w:p>
        </w:tc>
        <w:tc>
          <w:tcPr>
            <w:tcW w:w="1710" w:type="dxa"/>
          </w:tcPr>
          <w:p w:rsidR="00C962AE" w:rsidP="00C962AE" w:rsidRDefault="00C962AE" w14:paraId="63B231F8" w14:textId="31C4FBD9">
            <w:pPr>
              <w:ind w:firstLine="0"/>
              <w:jc w:val="right"/>
            </w:pPr>
            <w:r>
              <w:rPr>
                <w:rStyle w:val="normaltextrun"/>
                <w:rFonts w:cs="Segoe UI"/>
                <w:szCs w:val="26"/>
              </w:rPr>
              <w:t>$1,791,059</w:t>
            </w:r>
            <w:r>
              <w:rPr>
                <w:rStyle w:val="eop"/>
                <w:rFonts w:cs="Segoe UI"/>
                <w:szCs w:val="26"/>
              </w:rPr>
              <w:t> </w:t>
            </w:r>
          </w:p>
        </w:tc>
        <w:tc>
          <w:tcPr>
            <w:tcW w:w="1705" w:type="dxa"/>
          </w:tcPr>
          <w:p w:rsidR="00C962AE" w:rsidP="00C962AE" w:rsidRDefault="00C962AE" w14:paraId="4633F439" w14:textId="6CFE85CD">
            <w:pPr>
              <w:ind w:firstLine="0"/>
              <w:jc w:val="right"/>
            </w:pPr>
            <w:r>
              <w:rPr>
                <w:rStyle w:val="normaltextrun"/>
                <w:rFonts w:cs="Segoe UI"/>
                <w:szCs w:val="26"/>
              </w:rPr>
              <w:t>$0</w:t>
            </w:r>
            <w:r>
              <w:rPr>
                <w:rStyle w:val="eop"/>
                <w:rFonts w:cs="Segoe UI"/>
                <w:szCs w:val="26"/>
              </w:rPr>
              <w:t> </w:t>
            </w:r>
          </w:p>
        </w:tc>
      </w:tr>
      <w:tr w:rsidRPr="00ED3FEF" w:rsidR="00C962AE" w:rsidTr="00231BB9" w14:paraId="12CC5958" w14:textId="0296EDCA">
        <w:tc>
          <w:tcPr>
            <w:tcW w:w="1795" w:type="dxa"/>
          </w:tcPr>
          <w:p w:rsidRPr="00ED3FEF" w:rsidR="00C962AE" w:rsidP="00231BB9" w:rsidRDefault="00C962AE" w14:paraId="369B2287" w14:textId="2C371B0F">
            <w:pPr>
              <w:pStyle w:val="Standard"/>
              <w:ind w:firstLine="0"/>
              <w:rPr>
                <w:b/>
                <w:bCs/>
              </w:rPr>
            </w:pPr>
            <w:r w:rsidRPr="00ED3FEF">
              <w:rPr>
                <w:b/>
                <w:bCs/>
              </w:rPr>
              <w:t>E</w:t>
            </w:r>
            <w:r w:rsidR="00103ED4">
              <w:rPr>
                <w:b/>
                <w:bCs/>
              </w:rPr>
              <w:t>SA</w:t>
            </w:r>
            <w:r w:rsidRPr="00ED3FEF">
              <w:rPr>
                <w:b/>
                <w:bCs/>
              </w:rPr>
              <w:t xml:space="preserve"> Subtotal</w:t>
            </w:r>
          </w:p>
        </w:tc>
        <w:tc>
          <w:tcPr>
            <w:tcW w:w="2340" w:type="dxa"/>
            <w:vAlign w:val="center"/>
          </w:tcPr>
          <w:p w:rsidRPr="00ED3FEF" w:rsidR="00C962AE" w:rsidP="00C962AE" w:rsidRDefault="00C962AE" w14:paraId="78886344" w14:textId="2727B63C">
            <w:pPr>
              <w:ind w:firstLine="0"/>
              <w:rPr>
                <w:b/>
                <w:bCs/>
              </w:rPr>
            </w:pPr>
            <w:r>
              <w:rPr>
                <w:rFonts w:cs="Calibri"/>
                <w:b/>
                <w:bCs/>
                <w:color w:val="000000"/>
                <w:szCs w:val="26"/>
              </w:rPr>
              <w:t>$</w:t>
            </w:r>
            <w:r w:rsidRPr="00C962AE" w:rsidR="00920B22">
              <w:rPr>
                <w:rFonts w:cs="Calibri"/>
                <w:b/>
                <w:bCs/>
                <w:color w:val="000000"/>
                <w:szCs w:val="26"/>
              </w:rPr>
              <w:t>14</w:t>
            </w:r>
            <w:r w:rsidR="002B5458">
              <w:rPr>
                <w:rFonts w:cs="Calibri"/>
                <w:b/>
                <w:bCs/>
                <w:color w:val="000000"/>
                <w:szCs w:val="26"/>
              </w:rPr>
              <w:t>5,289,329</w:t>
            </w:r>
          </w:p>
        </w:tc>
        <w:tc>
          <w:tcPr>
            <w:tcW w:w="1800" w:type="dxa"/>
            <w:vAlign w:val="center"/>
          </w:tcPr>
          <w:p w:rsidRPr="00ED3FEF" w:rsidR="00C962AE" w:rsidP="00C962AE" w:rsidRDefault="00C962AE" w14:paraId="235519D2" w14:textId="70551683">
            <w:pPr>
              <w:ind w:firstLine="0"/>
              <w:rPr>
                <w:b/>
                <w:bCs/>
              </w:rPr>
            </w:pPr>
            <w:r>
              <w:rPr>
                <w:rStyle w:val="normaltextrun"/>
                <w:rFonts w:cs="Segoe UI"/>
                <w:b/>
                <w:bCs/>
                <w:color w:val="000000"/>
                <w:szCs w:val="26"/>
              </w:rPr>
              <w:t>$67,909,756 </w:t>
            </w:r>
            <w:r>
              <w:rPr>
                <w:rStyle w:val="eop"/>
                <w:rFonts w:cs="Segoe UI"/>
                <w:color w:val="000000"/>
                <w:szCs w:val="26"/>
              </w:rPr>
              <w:t> </w:t>
            </w:r>
          </w:p>
        </w:tc>
        <w:tc>
          <w:tcPr>
            <w:tcW w:w="1710" w:type="dxa"/>
            <w:vAlign w:val="center"/>
          </w:tcPr>
          <w:p w:rsidRPr="00ED3FEF" w:rsidR="00C962AE" w:rsidP="00C962AE" w:rsidRDefault="00C962AE" w14:paraId="458394B7" w14:textId="3A31D4ED">
            <w:pPr>
              <w:ind w:firstLine="0"/>
              <w:rPr>
                <w:b/>
                <w:bCs/>
              </w:rPr>
            </w:pPr>
            <w:r>
              <w:rPr>
                <w:rStyle w:val="normaltextrun"/>
                <w:rFonts w:cs="Segoe UI"/>
                <w:b/>
                <w:bCs/>
                <w:color w:val="000000"/>
                <w:szCs w:val="26"/>
              </w:rPr>
              <w:t>$27,959,490 </w:t>
            </w:r>
            <w:r>
              <w:rPr>
                <w:rStyle w:val="eop"/>
                <w:rFonts w:cs="Segoe UI"/>
                <w:color w:val="000000"/>
                <w:szCs w:val="26"/>
              </w:rPr>
              <w:t> </w:t>
            </w:r>
          </w:p>
        </w:tc>
        <w:tc>
          <w:tcPr>
            <w:tcW w:w="1705" w:type="dxa"/>
            <w:vAlign w:val="center"/>
          </w:tcPr>
          <w:p w:rsidRPr="00ED3FEF" w:rsidR="00C962AE" w:rsidP="00C962AE" w:rsidRDefault="00C962AE" w14:paraId="732D04BE" w14:textId="5105DC6B">
            <w:pPr>
              <w:ind w:firstLine="0"/>
              <w:rPr>
                <w:b/>
                <w:bCs/>
              </w:rPr>
            </w:pPr>
            <w:r>
              <w:rPr>
                <w:rStyle w:val="normaltextrun"/>
                <w:rFonts w:cs="Segoe UI"/>
                <w:b/>
                <w:bCs/>
                <w:color w:val="000000"/>
                <w:szCs w:val="26"/>
              </w:rPr>
              <w:t>$98,588,176 </w:t>
            </w:r>
            <w:r>
              <w:rPr>
                <w:rStyle w:val="eop"/>
                <w:rFonts w:cs="Segoe UI"/>
                <w:color w:val="000000"/>
                <w:szCs w:val="26"/>
              </w:rPr>
              <w:t> </w:t>
            </w:r>
          </w:p>
        </w:tc>
      </w:tr>
      <w:tr w:rsidRPr="00ED3FEF" w:rsidR="00525112" w:rsidTr="00231BB9" w14:paraId="7FB7FBBE" w14:textId="169E19B6">
        <w:tc>
          <w:tcPr>
            <w:tcW w:w="1795" w:type="dxa"/>
          </w:tcPr>
          <w:p w:rsidRPr="00647F49" w:rsidR="00525112" w:rsidP="00231BB9" w:rsidRDefault="00525112" w14:paraId="448C4675" w14:textId="77777777">
            <w:pPr>
              <w:pStyle w:val="Standard"/>
              <w:ind w:firstLine="0"/>
            </w:pPr>
            <w:r w:rsidRPr="00647F49">
              <w:t>Training Center</w:t>
            </w:r>
          </w:p>
        </w:tc>
        <w:tc>
          <w:tcPr>
            <w:tcW w:w="2340" w:type="dxa"/>
          </w:tcPr>
          <w:p w:rsidRPr="00ED3FEF" w:rsidR="00525112" w:rsidP="00525112" w:rsidRDefault="00525112" w14:paraId="5477C6E7" w14:textId="3986D44B">
            <w:pPr>
              <w:ind w:firstLine="0"/>
              <w:jc w:val="right"/>
            </w:pPr>
            <w:r w:rsidRPr="00ED3FEF">
              <w:t>$</w:t>
            </w:r>
            <w:r w:rsidR="00A27B7F">
              <w:t>439</w:t>
            </w:r>
            <w:r w:rsidR="00BE75EF">
              <w:t>,498</w:t>
            </w:r>
          </w:p>
        </w:tc>
        <w:tc>
          <w:tcPr>
            <w:tcW w:w="1800" w:type="dxa"/>
          </w:tcPr>
          <w:p w:rsidRPr="00ED3FEF" w:rsidR="00525112" w:rsidP="00525112" w:rsidRDefault="00525112" w14:paraId="121661F0" w14:textId="05742275">
            <w:pPr>
              <w:ind w:firstLine="0"/>
              <w:jc w:val="right"/>
            </w:pPr>
            <w:r w:rsidRPr="00ED3FEF">
              <w:t>$</w:t>
            </w:r>
            <w:r w:rsidRPr="00F4172D" w:rsidR="00F4172D">
              <w:t>459,498</w:t>
            </w:r>
          </w:p>
        </w:tc>
        <w:tc>
          <w:tcPr>
            <w:tcW w:w="1710" w:type="dxa"/>
          </w:tcPr>
          <w:p w:rsidRPr="00ED3FEF" w:rsidR="00525112" w:rsidP="00525112" w:rsidRDefault="00525112" w14:paraId="0EA6EA31" w14:textId="20B20B3A">
            <w:pPr>
              <w:ind w:firstLine="0"/>
              <w:jc w:val="right"/>
            </w:pPr>
            <w:r w:rsidRPr="001F2B81">
              <w:t>$</w:t>
            </w:r>
            <w:r w:rsidRPr="007A01A4">
              <w:t>160,614</w:t>
            </w:r>
          </w:p>
        </w:tc>
        <w:tc>
          <w:tcPr>
            <w:tcW w:w="1705" w:type="dxa"/>
          </w:tcPr>
          <w:p w:rsidRPr="00ED3FEF" w:rsidR="00525112" w:rsidP="00525112" w:rsidRDefault="00525112" w14:paraId="4A4D2A2B" w14:textId="10825201">
            <w:pPr>
              <w:ind w:firstLine="0"/>
              <w:jc w:val="right"/>
            </w:pPr>
            <w:r w:rsidRPr="001F2B81">
              <w:t>$</w:t>
            </w:r>
            <w:r w:rsidRPr="00175CC2" w:rsidR="003F20AA">
              <w:t>851,859</w:t>
            </w:r>
          </w:p>
        </w:tc>
      </w:tr>
      <w:tr w:rsidRPr="00ED3FEF" w:rsidR="00525112" w:rsidTr="00231BB9" w14:paraId="6ADC214E" w14:textId="62108F2F">
        <w:tc>
          <w:tcPr>
            <w:tcW w:w="1795" w:type="dxa"/>
          </w:tcPr>
          <w:p w:rsidRPr="00647F49" w:rsidR="00525112" w:rsidP="00231BB9" w:rsidRDefault="00525112" w14:paraId="504193C5" w14:textId="566AAB56">
            <w:pPr>
              <w:pStyle w:val="Standard"/>
              <w:ind w:firstLine="0"/>
            </w:pPr>
            <w:r>
              <w:t>WE&amp;T</w:t>
            </w:r>
          </w:p>
        </w:tc>
        <w:tc>
          <w:tcPr>
            <w:tcW w:w="2340" w:type="dxa"/>
          </w:tcPr>
          <w:p w:rsidRPr="00ED3FEF" w:rsidR="00525112" w:rsidP="00525112" w:rsidRDefault="00525112" w14:paraId="7ECECE32" w14:textId="048B1971">
            <w:pPr>
              <w:ind w:firstLine="0"/>
              <w:jc w:val="right"/>
            </w:pPr>
            <w:r w:rsidRPr="00ED3FEF">
              <w:t>$</w:t>
            </w:r>
            <w:r w:rsidR="00CE1EE2">
              <w:t>0</w:t>
            </w:r>
          </w:p>
        </w:tc>
        <w:tc>
          <w:tcPr>
            <w:tcW w:w="1800" w:type="dxa"/>
          </w:tcPr>
          <w:p w:rsidRPr="00ED3FEF" w:rsidR="00525112" w:rsidP="00525112" w:rsidRDefault="00CE1EE2" w14:paraId="5EC94800" w14:textId="2FDAB3EA">
            <w:pPr>
              <w:ind w:firstLine="0"/>
              <w:jc w:val="right"/>
            </w:pPr>
            <w:r>
              <w:t>$0</w:t>
            </w:r>
          </w:p>
        </w:tc>
        <w:tc>
          <w:tcPr>
            <w:tcW w:w="1710" w:type="dxa"/>
          </w:tcPr>
          <w:p w:rsidRPr="00ED3FEF" w:rsidR="00525112" w:rsidP="00525112" w:rsidRDefault="00CE1EE2" w14:paraId="268C87D5" w14:textId="3F8178A5">
            <w:pPr>
              <w:ind w:firstLine="0"/>
              <w:jc w:val="right"/>
            </w:pPr>
            <w:r>
              <w:t>$0</w:t>
            </w:r>
          </w:p>
        </w:tc>
        <w:tc>
          <w:tcPr>
            <w:tcW w:w="1705" w:type="dxa"/>
          </w:tcPr>
          <w:p w:rsidRPr="00ED3FEF" w:rsidR="00525112" w:rsidP="00525112" w:rsidRDefault="00CE1EE2" w14:paraId="3051F895" w14:textId="79B84849">
            <w:pPr>
              <w:ind w:firstLine="0"/>
              <w:jc w:val="right"/>
            </w:pPr>
            <w:r>
              <w:t>$0</w:t>
            </w:r>
          </w:p>
        </w:tc>
      </w:tr>
      <w:tr w:rsidRPr="00ED3FEF" w:rsidR="00EA2EB3" w:rsidTr="00231BB9" w14:paraId="6D7D7AFB" w14:textId="444BDB94">
        <w:tc>
          <w:tcPr>
            <w:tcW w:w="1795" w:type="dxa"/>
          </w:tcPr>
          <w:p w:rsidRPr="00647F49" w:rsidR="00EA2EB3" w:rsidP="00231BB9" w:rsidRDefault="00EA2EB3" w14:paraId="19F6B077" w14:textId="77777777">
            <w:pPr>
              <w:pStyle w:val="Standard"/>
              <w:ind w:firstLine="0"/>
            </w:pPr>
            <w:r w:rsidRPr="00647F49">
              <w:t>Inspections</w:t>
            </w:r>
          </w:p>
        </w:tc>
        <w:tc>
          <w:tcPr>
            <w:tcW w:w="2340" w:type="dxa"/>
          </w:tcPr>
          <w:p w:rsidRPr="00ED3FEF" w:rsidR="00EA2EB3" w:rsidP="00EA2EB3" w:rsidRDefault="00EA2EB3" w14:paraId="27DC73EA" w14:textId="675BAF82">
            <w:pPr>
              <w:ind w:firstLine="0"/>
              <w:jc w:val="right"/>
            </w:pPr>
            <w:r>
              <w:rPr>
                <w:rStyle w:val="normaltextrun"/>
                <w:rFonts w:cs="Segoe UI"/>
                <w:szCs w:val="26"/>
              </w:rPr>
              <w:t>$</w:t>
            </w:r>
            <w:r w:rsidR="00BE75EF">
              <w:rPr>
                <w:rStyle w:val="normaltextrun"/>
                <w:rFonts w:cs="Segoe UI"/>
                <w:szCs w:val="26"/>
              </w:rPr>
              <w:t>3,986,200</w:t>
            </w:r>
            <w:r>
              <w:rPr>
                <w:rStyle w:val="eop"/>
                <w:rFonts w:cs="Segoe UI"/>
                <w:szCs w:val="26"/>
              </w:rPr>
              <w:t> </w:t>
            </w:r>
          </w:p>
        </w:tc>
        <w:tc>
          <w:tcPr>
            <w:tcW w:w="1800" w:type="dxa"/>
          </w:tcPr>
          <w:p w:rsidRPr="00ED3FEF" w:rsidR="00EA2EB3" w:rsidP="00EA2EB3" w:rsidRDefault="00EA2EB3" w14:paraId="4F5791B4" w14:textId="68C5A3CB">
            <w:pPr>
              <w:ind w:firstLine="0"/>
              <w:jc w:val="right"/>
            </w:pPr>
            <w:r>
              <w:rPr>
                <w:rStyle w:val="normaltextrun"/>
                <w:rFonts w:cs="Segoe UI"/>
                <w:szCs w:val="26"/>
              </w:rPr>
              <w:t>$968,610</w:t>
            </w:r>
            <w:r>
              <w:rPr>
                <w:rStyle w:val="eop"/>
                <w:rFonts w:cs="Segoe UI"/>
                <w:szCs w:val="26"/>
              </w:rPr>
              <w:t> </w:t>
            </w:r>
          </w:p>
        </w:tc>
        <w:tc>
          <w:tcPr>
            <w:tcW w:w="1710" w:type="dxa"/>
          </w:tcPr>
          <w:p w:rsidR="00EA2EB3" w:rsidP="00EA2EB3" w:rsidRDefault="00EA2EB3" w14:paraId="78625E34" w14:textId="2FEDD48B">
            <w:pPr>
              <w:ind w:firstLine="0"/>
              <w:jc w:val="right"/>
            </w:pPr>
            <w:r>
              <w:rPr>
                <w:rStyle w:val="normaltextrun"/>
                <w:rFonts w:cs="Segoe UI"/>
                <w:szCs w:val="26"/>
              </w:rPr>
              <w:t>$226,892</w:t>
            </w:r>
            <w:r>
              <w:rPr>
                <w:rStyle w:val="eop"/>
                <w:rFonts w:cs="Segoe UI"/>
                <w:szCs w:val="26"/>
              </w:rPr>
              <w:t> </w:t>
            </w:r>
          </w:p>
        </w:tc>
        <w:tc>
          <w:tcPr>
            <w:tcW w:w="1705" w:type="dxa"/>
          </w:tcPr>
          <w:p w:rsidR="00EA2EB3" w:rsidP="00EA2EB3" w:rsidRDefault="00EA2EB3" w14:paraId="2D33879F" w14:textId="594CABB5">
            <w:pPr>
              <w:ind w:firstLine="0"/>
              <w:jc w:val="right"/>
            </w:pPr>
            <w:r>
              <w:rPr>
                <w:rStyle w:val="normaltextrun"/>
                <w:rFonts w:cs="Segoe UI"/>
                <w:szCs w:val="26"/>
              </w:rPr>
              <w:t>$1,634,438</w:t>
            </w:r>
            <w:r>
              <w:rPr>
                <w:rStyle w:val="eop"/>
                <w:rFonts w:cs="Segoe UI"/>
                <w:szCs w:val="26"/>
              </w:rPr>
              <w:t> </w:t>
            </w:r>
          </w:p>
        </w:tc>
      </w:tr>
      <w:tr w:rsidRPr="00ED3FEF" w:rsidR="00EA2EB3" w:rsidTr="00231BB9" w14:paraId="5F46EF0A" w14:textId="57FA9C13">
        <w:tc>
          <w:tcPr>
            <w:tcW w:w="1795" w:type="dxa"/>
          </w:tcPr>
          <w:p w:rsidRPr="00647F49" w:rsidR="00EA2EB3" w:rsidP="00231BB9" w:rsidRDefault="00EA2EB3" w14:paraId="01E3F22A" w14:textId="77777777">
            <w:pPr>
              <w:pStyle w:val="Standard"/>
              <w:ind w:firstLine="0"/>
            </w:pPr>
            <w:r w:rsidRPr="00647F49">
              <w:t>Marketing and Outreach</w:t>
            </w:r>
          </w:p>
        </w:tc>
        <w:tc>
          <w:tcPr>
            <w:tcW w:w="2340" w:type="dxa"/>
          </w:tcPr>
          <w:p w:rsidRPr="00ED3FEF" w:rsidR="00EA2EB3" w:rsidP="00EA2EB3" w:rsidRDefault="00EA2EB3" w14:paraId="20CDD5DB" w14:textId="4368F58E">
            <w:pPr>
              <w:ind w:firstLine="0"/>
              <w:jc w:val="right"/>
            </w:pPr>
            <w:r>
              <w:rPr>
                <w:rStyle w:val="normaltextrun"/>
                <w:rFonts w:cs="Segoe UI"/>
                <w:szCs w:val="26"/>
              </w:rPr>
              <w:t>$</w:t>
            </w:r>
            <w:r w:rsidR="00BE75EF">
              <w:rPr>
                <w:rStyle w:val="normaltextrun"/>
                <w:rFonts w:cs="Segoe UI"/>
                <w:szCs w:val="26"/>
              </w:rPr>
              <w:t>1,845,309</w:t>
            </w:r>
            <w:r>
              <w:rPr>
                <w:rStyle w:val="eop"/>
                <w:rFonts w:cs="Segoe UI"/>
                <w:szCs w:val="26"/>
              </w:rPr>
              <w:t> </w:t>
            </w:r>
          </w:p>
        </w:tc>
        <w:tc>
          <w:tcPr>
            <w:tcW w:w="1800" w:type="dxa"/>
          </w:tcPr>
          <w:p w:rsidRPr="00ED3FEF" w:rsidR="00EA2EB3" w:rsidP="00EA2EB3" w:rsidRDefault="00EA2EB3" w14:paraId="1391E690" w14:textId="7E4E7477">
            <w:pPr>
              <w:ind w:firstLine="0"/>
              <w:jc w:val="right"/>
            </w:pPr>
            <w:r>
              <w:rPr>
                <w:rStyle w:val="normaltextrun"/>
                <w:rFonts w:cs="Segoe UI"/>
                <w:szCs w:val="26"/>
              </w:rPr>
              <w:t>$2,230,233</w:t>
            </w:r>
            <w:r>
              <w:rPr>
                <w:rStyle w:val="eop"/>
                <w:rFonts w:cs="Segoe UI"/>
                <w:szCs w:val="26"/>
              </w:rPr>
              <w:t> </w:t>
            </w:r>
          </w:p>
        </w:tc>
        <w:tc>
          <w:tcPr>
            <w:tcW w:w="1710" w:type="dxa"/>
          </w:tcPr>
          <w:p w:rsidR="00EA2EB3" w:rsidP="00EA2EB3" w:rsidRDefault="00EA2EB3" w14:paraId="5DE1571B" w14:textId="2A5FFDC4">
            <w:pPr>
              <w:ind w:firstLine="0"/>
              <w:jc w:val="right"/>
            </w:pPr>
            <w:r>
              <w:rPr>
                <w:rStyle w:val="normaltextrun"/>
                <w:rFonts w:cs="Segoe UI"/>
                <w:szCs w:val="26"/>
              </w:rPr>
              <w:t>$1,630,135</w:t>
            </w:r>
            <w:r>
              <w:rPr>
                <w:rStyle w:val="eop"/>
                <w:rFonts w:cs="Segoe UI"/>
                <w:szCs w:val="26"/>
              </w:rPr>
              <w:t> </w:t>
            </w:r>
          </w:p>
        </w:tc>
        <w:tc>
          <w:tcPr>
            <w:tcW w:w="1705" w:type="dxa"/>
          </w:tcPr>
          <w:p w:rsidR="00EA2EB3" w:rsidP="00EA2EB3" w:rsidRDefault="00EA2EB3" w14:paraId="44425E71" w14:textId="20501C38">
            <w:pPr>
              <w:ind w:firstLine="0"/>
              <w:jc w:val="right"/>
            </w:pPr>
            <w:r>
              <w:rPr>
                <w:rStyle w:val="normaltextrun"/>
                <w:rFonts w:cs="Segoe UI"/>
                <w:szCs w:val="26"/>
              </w:rPr>
              <w:t>$1,505,880</w:t>
            </w:r>
            <w:r>
              <w:rPr>
                <w:rStyle w:val="eop"/>
                <w:rFonts w:cs="Segoe UI"/>
                <w:szCs w:val="26"/>
              </w:rPr>
              <w:t> </w:t>
            </w:r>
          </w:p>
        </w:tc>
      </w:tr>
      <w:tr w:rsidRPr="00ED3FEF" w:rsidR="00EA2EB3" w:rsidTr="00231BB9" w14:paraId="3128A1F7" w14:textId="76E6447F">
        <w:tc>
          <w:tcPr>
            <w:tcW w:w="1795" w:type="dxa"/>
          </w:tcPr>
          <w:p w:rsidRPr="00647F49" w:rsidR="00EA2EB3" w:rsidP="00231BB9" w:rsidRDefault="00EA2EB3" w14:paraId="3F4D2C79" w14:textId="5A3FE905">
            <w:pPr>
              <w:pStyle w:val="Standard"/>
              <w:ind w:firstLine="0"/>
            </w:pPr>
            <w:r w:rsidRPr="00647F49">
              <w:t>Studies</w:t>
            </w:r>
            <w:r>
              <w:rPr>
                <w:rStyle w:val="FootnoteReference"/>
              </w:rPr>
              <w:footnoteReference w:id="89"/>
            </w:r>
          </w:p>
        </w:tc>
        <w:tc>
          <w:tcPr>
            <w:tcW w:w="2340" w:type="dxa"/>
          </w:tcPr>
          <w:p w:rsidRPr="00ED3FEF" w:rsidR="00EA2EB3" w:rsidP="00EA2EB3" w:rsidRDefault="00EA2EB3" w14:paraId="0EAFEFA2" w14:textId="7CB76B1A">
            <w:pPr>
              <w:ind w:firstLine="0"/>
              <w:jc w:val="right"/>
            </w:pPr>
            <w:r>
              <w:rPr>
                <w:rStyle w:val="normaltextrun"/>
                <w:rFonts w:cs="Segoe UI"/>
                <w:szCs w:val="26"/>
              </w:rPr>
              <w:t>$397,500</w:t>
            </w:r>
            <w:r>
              <w:rPr>
                <w:rStyle w:val="eop"/>
                <w:rFonts w:cs="Segoe UI"/>
                <w:szCs w:val="26"/>
              </w:rPr>
              <w:t> </w:t>
            </w:r>
          </w:p>
        </w:tc>
        <w:tc>
          <w:tcPr>
            <w:tcW w:w="1800" w:type="dxa"/>
          </w:tcPr>
          <w:p w:rsidRPr="00ED3FEF" w:rsidR="00EA2EB3" w:rsidP="00EA2EB3" w:rsidRDefault="00EA2EB3" w14:paraId="0E88CCE2" w14:textId="2CA10E92">
            <w:pPr>
              <w:ind w:firstLine="0"/>
              <w:jc w:val="right"/>
            </w:pPr>
            <w:r>
              <w:rPr>
                <w:rStyle w:val="normaltextrun"/>
                <w:rFonts w:cs="Segoe UI"/>
                <w:szCs w:val="26"/>
              </w:rPr>
              <w:t>$127,50</w:t>
            </w:r>
            <w:r w:rsidR="00BE0BC5">
              <w:rPr>
                <w:rStyle w:val="normaltextrun"/>
                <w:rFonts w:cs="Segoe UI"/>
                <w:szCs w:val="26"/>
              </w:rPr>
              <w:t>0</w:t>
            </w:r>
            <w:r>
              <w:rPr>
                <w:rStyle w:val="eop"/>
                <w:rFonts w:cs="Segoe UI"/>
                <w:szCs w:val="26"/>
              </w:rPr>
              <w:t> </w:t>
            </w:r>
          </w:p>
        </w:tc>
        <w:tc>
          <w:tcPr>
            <w:tcW w:w="1710" w:type="dxa"/>
          </w:tcPr>
          <w:p w:rsidR="00EA2EB3" w:rsidP="00EA2EB3" w:rsidRDefault="00EA2EB3" w14:paraId="1985C332" w14:textId="62BEF563">
            <w:pPr>
              <w:ind w:firstLine="0"/>
              <w:jc w:val="right"/>
            </w:pPr>
            <w:r>
              <w:rPr>
                <w:rStyle w:val="normaltextrun"/>
                <w:rFonts w:cs="Segoe UI"/>
                <w:szCs w:val="26"/>
              </w:rPr>
              <w:t>$50,000</w:t>
            </w:r>
            <w:r>
              <w:rPr>
                <w:rStyle w:val="eop"/>
                <w:rFonts w:cs="Segoe UI"/>
                <w:szCs w:val="26"/>
              </w:rPr>
              <w:t> </w:t>
            </w:r>
          </w:p>
        </w:tc>
        <w:tc>
          <w:tcPr>
            <w:tcW w:w="1705" w:type="dxa"/>
          </w:tcPr>
          <w:p w:rsidR="00EA2EB3" w:rsidP="00EA2EB3" w:rsidRDefault="00EA2EB3" w14:paraId="7ADEBC56" w14:textId="39B8C38B">
            <w:pPr>
              <w:ind w:firstLine="0"/>
              <w:jc w:val="right"/>
            </w:pPr>
            <w:r>
              <w:rPr>
                <w:rStyle w:val="normaltextrun"/>
                <w:rFonts w:cs="Segoe UI"/>
                <w:szCs w:val="26"/>
              </w:rPr>
              <w:t>$</w:t>
            </w:r>
            <w:r w:rsidR="00184525">
              <w:rPr>
                <w:rStyle w:val="normaltextrun"/>
                <w:rFonts w:cs="Segoe UI"/>
                <w:szCs w:val="26"/>
              </w:rPr>
              <w:t>358,500</w:t>
            </w:r>
            <w:r>
              <w:rPr>
                <w:rStyle w:val="eop"/>
                <w:rFonts w:cs="Segoe UI"/>
                <w:szCs w:val="26"/>
              </w:rPr>
              <w:t> </w:t>
            </w:r>
          </w:p>
        </w:tc>
      </w:tr>
      <w:tr w:rsidRPr="00ED3FEF" w:rsidR="00EA2EB3" w:rsidTr="00231BB9" w14:paraId="7983EA12" w14:textId="7DA92B0F">
        <w:tc>
          <w:tcPr>
            <w:tcW w:w="1795" w:type="dxa"/>
          </w:tcPr>
          <w:p w:rsidRPr="00647F49" w:rsidR="00EA2EB3" w:rsidP="00231BB9" w:rsidRDefault="00EA2EB3" w14:paraId="7EDA4C7B" w14:textId="77777777">
            <w:pPr>
              <w:pStyle w:val="Standard"/>
              <w:ind w:firstLine="0"/>
            </w:pPr>
            <w:r w:rsidRPr="00647F49">
              <w:t>Regulatory Compliance</w:t>
            </w:r>
          </w:p>
        </w:tc>
        <w:tc>
          <w:tcPr>
            <w:tcW w:w="2340" w:type="dxa"/>
          </w:tcPr>
          <w:p w:rsidRPr="00ED3FEF" w:rsidR="00EA2EB3" w:rsidP="00EA2EB3" w:rsidRDefault="00EA2EB3" w14:paraId="17B4FD07" w14:textId="0032706F">
            <w:pPr>
              <w:ind w:firstLine="0"/>
              <w:jc w:val="right"/>
            </w:pPr>
            <w:r>
              <w:rPr>
                <w:rStyle w:val="normaltextrun"/>
                <w:rFonts w:cs="Segoe UI"/>
                <w:szCs w:val="26"/>
              </w:rPr>
              <w:t>$</w:t>
            </w:r>
            <w:r w:rsidR="00BE75EF">
              <w:rPr>
                <w:rStyle w:val="normaltextrun"/>
                <w:rFonts w:cs="Segoe UI"/>
                <w:szCs w:val="26"/>
              </w:rPr>
              <w:t>861,798</w:t>
            </w:r>
            <w:r>
              <w:rPr>
                <w:rStyle w:val="eop"/>
                <w:rFonts w:cs="Segoe UI"/>
                <w:szCs w:val="26"/>
              </w:rPr>
              <w:t> </w:t>
            </w:r>
          </w:p>
        </w:tc>
        <w:tc>
          <w:tcPr>
            <w:tcW w:w="1800" w:type="dxa"/>
          </w:tcPr>
          <w:p w:rsidRPr="00ED3FEF" w:rsidR="00EA2EB3" w:rsidP="00EA2EB3" w:rsidRDefault="00EA2EB3" w14:paraId="155BB037" w14:textId="594C13D2">
            <w:pPr>
              <w:ind w:firstLine="0"/>
              <w:jc w:val="right"/>
            </w:pPr>
            <w:r>
              <w:rPr>
                <w:rStyle w:val="normaltextrun"/>
                <w:rFonts w:cs="Segoe UI"/>
                <w:szCs w:val="26"/>
              </w:rPr>
              <w:t>$773,789</w:t>
            </w:r>
            <w:r>
              <w:rPr>
                <w:rStyle w:val="eop"/>
                <w:rFonts w:cs="Segoe UI"/>
                <w:szCs w:val="26"/>
              </w:rPr>
              <w:t> </w:t>
            </w:r>
          </w:p>
        </w:tc>
        <w:tc>
          <w:tcPr>
            <w:tcW w:w="1710" w:type="dxa"/>
          </w:tcPr>
          <w:p w:rsidR="00EA2EB3" w:rsidP="00EA2EB3" w:rsidRDefault="00EA2EB3" w14:paraId="761158B3" w14:textId="059A5050">
            <w:pPr>
              <w:ind w:firstLine="0"/>
              <w:jc w:val="right"/>
            </w:pPr>
            <w:r>
              <w:rPr>
                <w:rStyle w:val="normaltextrun"/>
                <w:rFonts w:cs="Segoe UI"/>
                <w:szCs w:val="26"/>
              </w:rPr>
              <w:t>$213,045</w:t>
            </w:r>
            <w:r>
              <w:rPr>
                <w:rStyle w:val="eop"/>
                <w:rFonts w:cs="Segoe UI"/>
                <w:szCs w:val="26"/>
              </w:rPr>
              <w:t> </w:t>
            </w:r>
          </w:p>
        </w:tc>
        <w:tc>
          <w:tcPr>
            <w:tcW w:w="1705" w:type="dxa"/>
          </w:tcPr>
          <w:p w:rsidR="00EA2EB3" w:rsidP="00EA2EB3" w:rsidRDefault="00EA2EB3" w14:paraId="5DE5CCF8" w14:textId="2329E083">
            <w:pPr>
              <w:ind w:firstLine="0"/>
              <w:jc w:val="right"/>
            </w:pPr>
            <w:r>
              <w:rPr>
                <w:rStyle w:val="normaltextrun"/>
                <w:rFonts w:cs="Segoe UI"/>
                <w:szCs w:val="26"/>
              </w:rPr>
              <w:t>$528,815</w:t>
            </w:r>
            <w:r>
              <w:rPr>
                <w:rStyle w:val="eop"/>
                <w:rFonts w:cs="Segoe UI"/>
                <w:szCs w:val="26"/>
              </w:rPr>
              <w:t> </w:t>
            </w:r>
          </w:p>
        </w:tc>
      </w:tr>
      <w:tr w:rsidRPr="00ED3FEF" w:rsidR="00EA2EB3" w:rsidTr="00231BB9" w14:paraId="2E5C9B8B" w14:textId="7D2E86E5">
        <w:tc>
          <w:tcPr>
            <w:tcW w:w="1795" w:type="dxa"/>
          </w:tcPr>
          <w:p w:rsidRPr="0010154F" w:rsidR="00EA2EB3" w:rsidP="00231BB9" w:rsidRDefault="00EA2EB3" w14:paraId="54B7A84D" w14:textId="2A1009FF">
            <w:pPr>
              <w:pStyle w:val="Standard"/>
              <w:ind w:firstLine="0"/>
            </w:pPr>
            <w:r w:rsidRPr="00F62735">
              <w:t>General Admin</w:t>
            </w:r>
            <w:r w:rsidR="00EC1ED5">
              <w:t>.</w:t>
            </w:r>
          </w:p>
        </w:tc>
        <w:tc>
          <w:tcPr>
            <w:tcW w:w="2340" w:type="dxa"/>
          </w:tcPr>
          <w:p w:rsidRPr="00ED3FEF" w:rsidR="00EA2EB3" w:rsidP="00EA2EB3" w:rsidRDefault="00EA2EB3" w14:paraId="24C0843E" w14:textId="445C53E7">
            <w:pPr>
              <w:ind w:firstLine="0"/>
              <w:jc w:val="right"/>
            </w:pPr>
            <w:r>
              <w:rPr>
                <w:rStyle w:val="normaltextrun"/>
                <w:rFonts w:cs="Segoe UI"/>
                <w:szCs w:val="26"/>
              </w:rPr>
              <w:t>$</w:t>
            </w:r>
            <w:r w:rsidR="00BE75EF">
              <w:rPr>
                <w:rStyle w:val="normaltextrun"/>
                <w:rFonts w:cs="Segoe UI"/>
                <w:szCs w:val="26"/>
              </w:rPr>
              <w:t>5,489,056</w:t>
            </w:r>
            <w:r>
              <w:rPr>
                <w:rStyle w:val="eop"/>
                <w:rFonts w:cs="Segoe UI"/>
                <w:szCs w:val="26"/>
              </w:rPr>
              <w:t> </w:t>
            </w:r>
          </w:p>
        </w:tc>
        <w:tc>
          <w:tcPr>
            <w:tcW w:w="1800" w:type="dxa"/>
          </w:tcPr>
          <w:p w:rsidRPr="00ED3FEF" w:rsidR="00EA2EB3" w:rsidP="00EA2EB3" w:rsidRDefault="00EA2EB3" w14:paraId="089DF214" w14:textId="0A65CC20">
            <w:pPr>
              <w:ind w:firstLine="0"/>
              <w:jc w:val="right"/>
            </w:pPr>
            <w:r>
              <w:rPr>
                <w:rStyle w:val="normaltextrun"/>
                <w:rFonts w:cs="Segoe UI"/>
                <w:szCs w:val="26"/>
              </w:rPr>
              <w:t>$4,528,129</w:t>
            </w:r>
            <w:r>
              <w:rPr>
                <w:rStyle w:val="eop"/>
                <w:rFonts w:cs="Segoe UI"/>
                <w:szCs w:val="26"/>
              </w:rPr>
              <w:t> </w:t>
            </w:r>
          </w:p>
        </w:tc>
        <w:tc>
          <w:tcPr>
            <w:tcW w:w="1710" w:type="dxa"/>
          </w:tcPr>
          <w:p w:rsidR="00EA2EB3" w:rsidP="00EA2EB3" w:rsidRDefault="00EA2EB3" w14:paraId="550AC0F6" w14:textId="0ECF061F">
            <w:pPr>
              <w:ind w:firstLine="0"/>
              <w:jc w:val="right"/>
            </w:pPr>
            <w:r>
              <w:rPr>
                <w:rStyle w:val="normaltextrun"/>
                <w:rFonts w:cs="Segoe UI"/>
                <w:szCs w:val="26"/>
              </w:rPr>
              <w:t>$2,456,346</w:t>
            </w:r>
            <w:r>
              <w:rPr>
                <w:rStyle w:val="eop"/>
                <w:rFonts w:cs="Segoe UI"/>
                <w:szCs w:val="26"/>
              </w:rPr>
              <w:t> </w:t>
            </w:r>
          </w:p>
        </w:tc>
        <w:tc>
          <w:tcPr>
            <w:tcW w:w="1705" w:type="dxa"/>
          </w:tcPr>
          <w:p w:rsidR="00EA2EB3" w:rsidP="00EA2EB3" w:rsidRDefault="00EA2EB3" w14:paraId="7CFA0B3B" w14:textId="757452D9">
            <w:pPr>
              <w:ind w:firstLine="0"/>
              <w:jc w:val="right"/>
            </w:pPr>
            <w:r>
              <w:rPr>
                <w:rStyle w:val="normaltextrun"/>
                <w:rFonts w:cs="Segoe UI"/>
                <w:szCs w:val="26"/>
              </w:rPr>
              <w:t>$8,292,079</w:t>
            </w:r>
            <w:r>
              <w:rPr>
                <w:rStyle w:val="eop"/>
                <w:rFonts w:cs="Segoe UI"/>
                <w:szCs w:val="26"/>
              </w:rPr>
              <w:t> </w:t>
            </w:r>
          </w:p>
        </w:tc>
      </w:tr>
      <w:tr w:rsidRPr="00C7008D" w:rsidR="00EA2EB3" w:rsidTr="00231BB9" w14:paraId="19B341EA" w14:textId="4A37EA5F">
        <w:trPr>
          <w:trHeight w:val="1061"/>
        </w:trPr>
        <w:tc>
          <w:tcPr>
            <w:tcW w:w="1795" w:type="dxa"/>
          </w:tcPr>
          <w:p w:rsidRPr="0010154F" w:rsidR="00EA2EB3" w:rsidP="00231BB9" w:rsidRDefault="00EA2EB3" w14:paraId="31C7F8C4" w14:textId="77777777">
            <w:pPr>
              <w:pStyle w:val="Standard"/>
              <w:ind w:firstLine="0"/>
            </w:pPr>
            <w:r w:rsidRPr="00F62735">
              <w:lastRenderedPageBreak/>
              <w:t>CPUC Energy Division</w:t>
            </w:r>
          </w:p>
        </w:tc>
        <w:tc>
          <w:tcPr>
            <w:tcW w:w="2340" w:type="dxa"/>
          </w:tcPr>
          <w:p w:rsidRPr="00C7008D" w:rsidR="00EA2EB3" w:rsidP="00EA2EB3" w:rsidRDefault="00EA2EB3" w14:paraId="5F9F45CD" w14:textId="250BAC19">
            <w:pPr>
              <w:ind w:firstLine="0"/>
              <w:jc w:val="right"/>
            </w:pPr>
            <w:r>
              <w:rPr>
                <w:rStyle w:val="normaltextrun"/>
                <w:rFonts w:cs="Segoe UI"/>
                <w:szCs w:val="26"/>
              </w:rPr>
              <w:t>$</w:t>
            </w:r>
            <w:r w:rsidR="00BE75EF">
              <w:rPr>
                <w:rStyle w:val="normaltextrun"/>
                <w:rFonts w:cs="Segoe UI"/>
                <w:szCs w:val="26"/>
              </w:rPr>
              <w:t>71,737</w:t>
            </w:r>
            <w:r>
              <w:rPr>
                <w:rStyle w:val="eop"/>
                <w:rFonts w:cs="Segoe UI"/>
                <w:szCs w:val="26"/>
              </w:rPr>
              <w:t> </w:t>
            </w:r>
          </w:p>
        </w:tc>
        <w:tc>
          <w:tcPr>
            <w:tcW w:w="1800" w:type="dxa"/>
          </w:tcPr>
          <w:p w:rsidRPr="00C7008D" w:rsidR="00EA2EB3" w:rsidP="00EA2EB3" w:rsidRDefault="00EA2EB3" w14:paraId="7C45B810" w14:textId="08D0DC3F">
            <w:pPr>
              <w:ind w:firstLine="0"/>
              <w:jc w:val="right"/>
            </w:pPr>
            <w:r>
              <w:rPr>
                <w:rStyle w:val="normaltextrun"/>
                <w:rFonts w:cs="Segoe UI"/>
                <w:szCs w:val="26"/>
              </w:rPr>
              <w:t>$52,611</w:t>
            </w:r>
            <w:r>
              <w:rPr>
                <w:rStyle w:val="eop"/>
                <w:rFonts w:cs="Segoe UI"/>
                <w:szCs w:val="26"/>
              </w:rPr>
              <w:t> </w:t>
            </w:r>
          </w:p>
        </w:tc>
        <w:tc>
          <w:tcPr>
            <w:tcW w:w="1710" w:type="dxa"/>
          </w:tcPr>
          <w:p w:rsidR="00EA2EB3" w:rsidP="00EA2EB3" w:rsidRDefault="00EA2EB3" w14:paraId="7CE1E83D" w14:textId="7DE3B195">
            <w:pPr>
              <w:ind w:firstLine="0"/>
              <w:jc w:val="right"/>
            </w:pPr>
            <w:r>
              <w:rPr>
                <w:rStyle w:val="normaltextrun"/>
                <w:rFonts w:cs="Segoe UI"/>
                <w:szCs w:val="26"/>
              </w:rPr>
              <w:t>$59,780</w:t>
            </w:r>
            <w:r>
              <w:rPr>
                <w:rStyle w:val="eop"/>
                <w:rFonts w:cs="Segoe UI"/>
                <w:szCs w:val="26"/>
              </w:rPr>
              <w:t> </w:t>
            </w:r>
          </w:p>
        </w:tc>
        <w:tc>
          <w:tcPr>
            <w:tcW w:w="1705" w:type="dxa"/>
          </w:tcPr>
          <w:p w:rsidR="00EA2EB3" w:rsidP="00EA2EB3" w:rsidRDefault="00EA2EB3" w14:paraId="5E27198C" w14:textId="3666E537">
            <w:pPr>
              <w:ind w:firstLine="0"/>
              <w:jc w:val="right"/>
            </w:pPr>
            <w:r>
              <w:rPr>
                <w:rStyle w:val="normaltextrun"/>
                <w:rFonts w:cs="Segoe UI"/>
                <w:szCs w:val="26"/>
              </w:rPr>
              <w:t>$110,367</w:t>
            </w:r>
            <w:r>
              <w:rPr>
                <w:rStyle w:val="eop"/>
                <w:rFonts w:cs="Segoe UI"/>
                <w:szCs w:val="26"/>
              </w:rPr>
              <w:t> </w:t>
            </w:r>
          </w:p>
        </w:tc>
      </w:tr>
      <w:tr w:rsidRPr="00C7008D" w:rsidR="00EA2EB3" w:rsidTr="00231BB9" w14:paraId="051DE1DB" w14:textId="77777777">
        <w:trPr>
          <w:trHeight w:val="1160"/>
        </w:trPr>
        <w:tc>
          <w:tcPr>
            <w:tcW w:w="1795" w:type="dxa"/>
          </w:tcPr>
          <w:p w:rsidRPr="00F62735" w:rsidR="00EA2EB3" w:rsidP="00231BB9" w:rsidRDefault="00EA2EB3" w14:paraId="41002DF0" w14:textId="29BE334A">
            <w:pPr>
              <w:pStyle w:val="Standard"/>
              <w:ind w:firstLine="0"/>
            </w:pPr>
            <w:r>
              <w:t>Admin Total</w:t>
            </w:r>
          </w:p>
        </w:tc>
        <w:tc>
          <w:tcPr>
            <w:tcW w:w="2340" w:type="dxa"/>
            <w:vAlign w:val="center"/>
          </w:tcPr>
          <w:p w:rsidR="00EA2EB3" w:rsidP="00561D24" w:rsidRDefault="00EA2EB3" w14:paraId="3EEF2F6C" w14:textId="4BD5F321">
            <w:pPr>
              <w:ind w:firstLine="0"/>
            </w:pPr>
            <w:r>
              <w:rPr>
                <w:rStyle w:val="normaltextrun"/>
                <w:rFonts w:cs="Segoe UI"/>
                <w:b/>
                <w:bCs/>
                <w:color w:val="000000"/>
                <w:szCs w:val="26"/>
              </w:rPr>
              <w:t>$</w:t>
            </w:r>
            <w:r w:rsidR="00BE75EF">
              <w:rPr>
                <w:rStyle w:val="normaltextrun"/>
                <w:rFonts w:cs="Segoe UI"/>
                <w:b/>
                <w:bCs/>
                <w:color w:val="000000"/>
                <w:szCs w:val="26"/>
              </w:rPr>
              <w:t>13,091,098</w:t>
            </w:r>
          </w:p>
        </w:tc>
        <w:tc>
          <w:tcPr>
            <w:tcW w:w="1800" w:type="dxa"/>
            <w:vAlign w:val="center"/>
          </w:tcPr>
          <w:p w:rsidR="00EA2EB3" w:rsidP="00EA2EB3" w:rsidRDefault="00EA2EB3" w14:paraId="78FB16E6" w14:textId="43D9D5FE">
            <w:pPr>
              <w:ind w:firstLine="0"/>
            </w:pPr>
            <w:r>
              <w:rPr>
                <w:rStyle w:val="normaltextrun"/>
                <w:rFonts w:cs="Segoe UI"/>
                <w:b/>
                <w:bCs/>
                <w:color w:val="000000"/>
                <w:szCs w:val="26"/>
              </w:rPr>
              <w:t>$9,140,370 </w:t>
            </w:r>
            <w:r>
              <w:rPr>
                <w:rStyle w:val="eop"/>
                <w:rFonts w:cs="Segoe UI"/>
                <w:color w:val="000000"/>
                <w:szCs w:val="26"/>
              </w:rPr>
              <w:t> </w:t>
            </w:r>
          </w:p>
        </w:tc>
        <w:tc>
          <w:tcPr>
            <w:tcW w:w="1710" w:type="dxa"/>
            <w:vAlign w:val="center"/>
          </w:tcPr>
          <w:p w:rsidRPr="00A14608" w:rsidR="00EA2EB3" w:rsidP="00EA2EB3" w:rsidRDefault="00EA2EB3" w14:paraId="53AA7F7F" w14:textId="42F9CF24">
            <w:pPr>
              <w:ind w:firstLine="0"/>
            </w:pPr>
            <w:r>
              <w:rPr>
                <w:rStyle w:val="normaltextrun"/>
                <w:rFonts w:cs="Segoe UI"/>
                <w:b/>
                <w:bCs/>
                <w:color w:val="000000"/>
                <w:szCs w:val="26"/>
              </w:rPr>
              <w:t>$4,796,812 </w:t>
            </w:r>
            <w:r>
              <w:rPr>
                <w:rStyle w:val="eop"/>
                <w:rFonts w:cs="Segoe UI"/>
                <w:color w:val="000000"/>
                <w:szCs w:val="26"/>
              </w:rPr>
              <w:t> </w:t>
            </w:r>
          </w:p>
        </w:tc>
        <w:tc>
          <w:tcPr>
            <w:tcW w:w="1705" w:type="dxa"/>
            <w:vAlign w:val="center"/>
          </w:tcPr>
          <w:p w:rsidR="00561D24" w:rsidP="00EA2EB3" w:rsidRDefault="00561D24" w14:paraId="787F8873" w14:textId="77777777">
            <w:pPr>
              <w:ind w:firstLine="0"/>
              <w:rPr>
                <w:rStyle w:val="normaltextrun"/>
                <w:rFonts w:cs="Segoe UI"/>
                <w:b/>
                <w:bCs/>
                <w:color w:val="000000"/>
                <w:szCs w:val="26"/>
              </w:rPr>
            </w:pPr>
          </w:p>
          <w:p w:rsidRPr="00A14608" w:rsidR="00EA2EB3" w:rsidP="00EA2EB3" w:rsidRDefault="00EA2EB3" w14:paraId="4EEA1469" w14:textId="69DD0DBB">
            <w:pPr>
              <w:ind w:firstLine="0"/>
            </w:pPr>
            <w:r>
              <w:rPr>
                <w:rStyle w:val="normaltextrun"/>
                <w:rFonts w:cs="Segoe UI"/>
                <w:b/>
                <w:bCs/>
                <w:color w:val="000000"/>
                <w:szCs w:val="26"/>
              </w:rPr>
              <w:t>$</w:t>
            </w:r>
            <w:r w:rsidR="00AA1075">
              <w:rPr>
                <w:rStyle w:val="normaltextrun"/>
                <w:rFonts w:cs="Segoe UI"/>
                <w:b/>
                <w:bCs/>
                <w:color w:val="000000"/>
                <w:szCs w:val="26"/>
              </w:rPr>
              <w:t>13,</w:t>
            </w:r>
            <w:r w:rsidR="00262E1C">
              <w:rPr>
                <w:rStyle w:val="normaltextrun"/>
                <w:rFonts w:cs="Segoe UI"/>
                <w:b/>
                <w:bCs/>
                <w:color w:val="000000"/>
                <w:szCs w:val="26"/>
              </w:rPr>
              <w:t>281,938</w:t>
            </w:r>
            <w:r>
              <w:rPr>
                <w:rStyle w:val="normaltextrun"/>
                <w:rFonts w:cs="Segoe UI"/>
                <w:b/>
                <w:bCs/>
                <w:color w:val="000000"/>
                <w:szCs w:val="26"/>
              </w:rPr>
              <w:t> </w:t>
            </w:r>
            <w:r>
              <w:rPr>
                <w:rStyle w:val="eop"/>
                <w:rFonts w:cs="Segoe UI"/>
                <w:color w:val="000000"/>
                <w:szCs w:val="26"/>
              </w:rPr>
              <w:t> </w:t>
            </w:r>
          </w:p>
        </w:tc>
      </w:tr>
      <w:tr w:rsidRPr="00ED3FEF" w:rsidR="00EA2EB3" w:rsidTr="00231BB9" w14:paraId="64E456CA" w14:textId="2AA211D1">
        <w:tc>
          <w:tcPr>
            <w:tcW w:w="1795" w:type="dxa"/>
          </w:tcPr>
          <w:p w:rsidRPr="00ED3FEF" w:rsidR="00EA2EB3" w:rsidP="00EA2EB3" w:rsidRDefault="00EA2EB3" w14:paraId="0AF2B2C7" w14:textId="77777777">
            <w:pPr>
              <w:pStyle w:val="Standard"/>
              <w:ind w:firstLine="0"/>
              <w:rPr>
                <w:b/>
                <w:bCs/>
              </w:rPr>
            </w:pPr>
            <w:r w:rsidRPr="00ED3FEF">
              <w:rPr>
                <w:b/>
                <w:bCs/>
              </w:rPr>
              <w:t>Portfolio Total</w:t>
            </w:r>
          </w:p>
        </w:tc>
        <w:tc>
          <w:tcPr>
            <w:tcW w:w="2340" w:type="dxa"/>
          </w:tcPr>
          <w:p w:rsidRPr="00ED3FEF" w:rsidR="00EA2EB3" w:rsidP="00EA2EB3" w:rsidRDefault="00EA2EB3" w14:paraId="1BC139E3" w14:textId="2BDBC87A">
            <w:pPr>
              <w:ind w:firstLine="0"/>
              <w:jc w:val="both"/>
              <w:rPr>
                <w:b/>
                <w:bCs/>
              </w:rPr>
            </w:pPr>
            <w:r>
              <w:rPr>
                <w:rStyle w:val="normaltextrun"/>
                <w:rFonts w:cs="Segoe UI"/>
                <w:b/>
                <w:bCs/>
                <w:szCs w:val="26"/>
              </w:rPr>
              <w:t>$158,380,427</w:t>
            </w:r>
            <w:r>
              <w:rPr>
                <w:rStyle w:val="eop"/>
                <w:rFonts w:cs="Segoe UI"/>
                <w:szCs w:val="26"/>
              </w:rPr>
              <w:t> </w:t>
            </w:r>
          </w:p>
        </w:tc>
        <w:tc>
          <w:tcPr>
            <w:tcW w:w="1800" w:type="dxa"/>
          </w:tcPr>
          <w:p w:rsidRPr="00ED3FEF" w:rsidR="00EA2EB3" w:rsidP="00EA2EB3" w:rsidRDefault="00EA2EB3" w14:paraId="5ED678C7" w14:textId="6CD412AB">
            <w:pPr>
              <w:ind w:firstLine="0"/>
              <w:jc w:val="both"/>
              <w:rPr>
                <w:b/>
                <w:bCs/>
              </w:rPr>
            </w:pPr>
            <w:r>
              <w:rPr>
                <w:rStyle w:val="normaltextrun"/>
                <w:rFonts w:cs="Segoe UI"/>
                <w:b/>
                <w:bCs/>
                <w:szCs w:val="26"/>
              </w:rPr>
              <w:t>$77,050,126</w:t>
            </w:r>
            <w:r>
              <w:rPr>
                <w:rStyle w:val="eop"/>
                <w:rFonts w:cs="Segoe UI"/>
                <w:szCs w:val="26"/>
              </w:rPr>
              <w:t> </w:t>
            </w:r>
          </w:p>
        </w:tc>
        <w:tc>
          <w:tcPr>
            <w:tcW w:w="1710" w:type="dxa"/>
          </w:tcPr>
          <w:p w:rsidRPr="00ED3FEF" w:rsidR="00EA2EB3" w:rsidP="00EA2EB3" w:rsidRDefault="00EA2EB3" w14:paraId="4B6A7F9D" w14:textId="5640CD13">
            <w:pPr>
              <w:ind w:firstLine="0"/>
              <w:jc w:val="both"/>
              <w:rPr>
                <w:b/>
                <w:bCs/>
              </w:rPr>
            </w:pPr>
            <w:r>
              <w:rPr>
                <w:rStyle w:val="normaltextrun"/>
                <w:rFonts w:cs="Segoe UI"/>
                <w:b/>
                <w:bCs/>
                <w:szCs w:val="26"/>
              </w:rPr>
              <w:t>$32,756,302</w:t>
            </w:r>
            <w:r>
              <w:rPr>
                <w:rStyle w:val="eop"/>
                <w:rFonts w:cs="Segoe UI"/>
                <w:szCs w:val="26"/>
              </w:rPr>
              <w:t> </w:t>
            </w:r>
          </w:p>
        </w:tc>
        <w:tc>
          <w:tcPr>
            <w:tcW w:w="1705" w:type="dxa"/>
          </w:tcPr>
          <w:p w:rsidRPr="00ED3FEF" w:rsidR="00EA2EB3" w:rsidP="00EA2EB3" w:rsidRDefault="00EA2EB3" w14:paraId="26924C2E" w14:textId="10C6B8C4">
            <w:pPr>
              <w:ind w:firstLine="0"/>
              <w:jc w:val="both"/>
              <w:rPr>
                <w:b/>
                <w:bCs/>
              </w:rPr>
            </w:pPr>
            <w:r>
              <w:rPr>
                <w:rStyle w:val="normaltextrun"/>
                <w:rFonts w:cs="Segoe UI"/>
                <w:b/>
                <w:bCs/>
                <w:szCs w:val="26"/>
              </w:rPr>
              <w:t>$111,</w:t>
            </w:r>
            <w:r w:rsidR="00A85847">
              <w:rPr>
                <w:rStyle w:val="normaltextrun"/>
                <w:rFonts w:cs="Segoe UI"/>
                <w:b/>
                <w:bCs/>
                <w:szCs w:val="26"/>
              </w:rPr>
              <w:t>870,114</w:t>
            </w:r>
            <w:r>
              <w:rPr>
                <w:rStyle w:val="eop"/>
                <w:rFonts w:cs="Segoe UI"/>
                <w:szCs w:val="26"/>
              </w:rPr>
              <w:t> </w:t>
            </w:r>
          </w:p>
        </w:tc>
      </w:tr>
      <w:tr w:rsidRPr="00C7008D" w:rsidR="006B4CB3" w:rsidTr="00231BB9" w14:paraId="434B142F" w14:textId="1BD9755E">
        <w:tc>
          <w:tcPr>
            <w:tcW w:w="1795" w:type="dxa"/>
          </w:tcPr>
          <w:p w:rsidRPr="00F62735" w:rsidR="006B4CB3" w:rsidP="00231BB9" w:rsidRDefault="006B4CB3" w14:paraId="26E25DD3" w14:textId="285DFAE0">
            <w:pPr>
              <w:pStyle w:val="Standard"/>
              <w:ind w:firstLine="0"/>
            </w:pPr>
            <w:r w:rsidRPr="00647F49">
              <w:t>Unspent Funds Carry Forward</w:t>
            </w:r>
            <w:r w:rsidR="00C4658A">
              <w:t xml:space="preserve"> (estimated)</w:t>
            </w:r>
          </w:p>
        </w:tc>
        <w:tc>
          <w:tcPr>
            <w:tcW w:w="2340" w:type="dxa"/>
          </w:tcPr>
          <w:p w:rsidRPr="00C7008D" w:rsidR="006B4CB3" w:rsidP="00D87B40" w:rsidRDefault="00184DE1" w14:paraId="55362458" w14:textId="4BE08A34">
            <w:pPr>
              <w:ind w:firstLine="0"/>
              <w:jc w:val="right"/>
            </w:pPr>
            <w:r w:rsidRPr="00ED3FEF">
              <w:t>(</w:t>
            </w:r>
            <w:r w:rsidR="00741CE2">
              <w:t>$</w:t>
            </w:r>
            <w:r w:rsidR="000B63C2">
              <w:t>104,000,000</w:t>
            </w:r>
            <w:r w:rsidRPr="00ED3FEF">
              <w:t>)</w:t>
            </w:r>
          </w:p>
        </w:tc>
        <w:tc>
          <w:tcPr>
            <w:tcW w:w="1800" w:type="dxa"/>
          </w:tcPr>
          <w:p w:rsidR="006B4CB3" w:rsidP="00D87B40" w:rsidRDefault="006B4CB3" w14:paraId="191D22C1" w14:textId="0022C3BD">
            <w:pPr>
              <w:ind w:firstLine="0"/>
              <w:jc w:val="right"/>
            </w:pPr>
            <w:r w:rsidRPr="00ED3FEF">
              <w:t>(</w:t>
            </w:r>
            <w:r w:rsidR="00741CE2">
              <w:t>$</w:t>
            </w:r>
            <w:r w:rsidRPr="00ED3FEF">
              <w:t>4</w:t>
            </w:r>
            <w:r w:rsidR="000B63C2">
              <w:t>9,000,000</w:t>
            </w:r>
            <w:r w:rsidRPr="00ED3FEF">
              <w:t>)</w:t>
            </w:r>
          </w:p>
          <w:p w:rsidRPr="00C7008D" w:rsidR="006B4CB3" w:rsidP="00D87B40" w:rsidRDefault="006B4CB3" w14:paraId="0DCB1757" w14:textId="61D9AF3E">
            <w:pPr>
              <w:ind w:firstLine="0"/>
              <w:jc w:val="right"/>
            </w:pPr>
          </w:p>
        </w:tc>
        <w:tc>
          <w:tcPr>
            <w:tcW w:w="1710" w:type="dxa"/>
          </w:tcPr>
          <w:p w:rsidRPr="00D87B40" w:rsidR="006B4CB3" w:rsidP="00D87B40" w:rsidRDefault="00D4472D" w14:paraId="5FE05593" w14:textId="08EC9557">
            <w:pPr>
              <w:ind w:firstLine="0"/>
              <w:jc w:val="right"/>
            </w:pPr>
            <w:r w:rsidRPr="00D87B40">
              <w:t>($19,039,137)</w:t>
            </w:r>
          </w:p>
        </w:tc>
        <w:tc>
          <w:tcPr>
            <w:tcW w:w="1705" w:type="dxa"/>
          </w:tcPr>
          <w:p w:rsidRPr="00ED3FEF" w:rsidR="006B4CB3" w:rsidP="00D87B40" w:rsidRDefault="00D959E7" w14:paraId="00784CBA" w14:textId="50BBCAC7">
            <w:pPr>
              <w:ind w:firstLine="0"/>
              <w:jc w:val="right"/>
            </w:pPr>
            <w:r>
              <w:t>(</w:t>
            </w:r>
            <w:r w:rsidR="00741CE2">
              <w:t>$</w:t>
            </w:r>
            <w:r>
              <w:t>55,000,000)</w:t>
            </w:r>
          </w:p>
        </w:tc>
      </w:tr>
      <w:tr w:rsidRPr="00C7008D" w:rsidR="00741CE2" w:rsidTr="00231BB9" w14:paraId="73C7ABA7" w14:textId="310C81E8">
        <w:tc>
          <w:tcPr>
            <w:tcW w:w="1795" w:type="dxa"/>
          </w:tcPr>
          <w:p w:rsidRPr="00647F49" w:rsidR="00741CE2" w:rsidP="00741CE2" w:rsidRDefault="00741CE2" w14:paraId="32523607" w14:textId="03704159">
            <w:pPr>
              <w:ind w:firstLine="0"/>
            </w:pPr>
            <w:r>
              <w:rPr>
                <w:b/>
                <w:bCs/>
              </w:rPr>
              <w:t xml:space="preserve">Additional Authorized </w:t>
            </w:r>
            <w:r w:rsidRPr="00647F49">
              <w:rPr>
                <w:b/>
                <w:bCs/>
              </w:rPr>
              <w:t>ESA Portfolio Funding Total</w:t>
            </w:r>
            <w:r w:rsidR="00026536">
              <w:rPr>
                <w:b/>
                <w:bCs/>
              </w:rPr>
              <w:t xml:space="preserve"> (estimated)</w:t>
            </w:r>
          </w:p>
        </w:tc>
        <w:tc>
          <w:tcPr>
            <w:tcW w:w="2340" w:type="dxa"/>
          </w:tcPr>
          <w:p w:rsidRPr="00D87B40" w:rsidR="00741CE2" w:rsidP="00741CE2" w:rsidRDefault="00741CE2" w14:paraId="16EF740D" w14:textId="32AAEBF4">
            <w:pPr>
              <w:ind w:firstLine="0"/>
              <w:jc w:val="both"/>
              <w:rPr>
                <w:b/>
                <w:bCs/>
              </w:rPr>
            </w:pPr>
            <w:r>
              <w:rPr>
                <w:rStyle w:val="normaltextrun"/>
                <w:rFonts w:cs="Segoe UI"/>
                <w:b/>
                <w:bCs/>
                <w:szCs w:val="26"/>
              </w:rPr>
              <w:t>$54,380,</w:t>
            </w:r>
            <w:r w:rsidR="005420E3">
              <w:rPr>
                <w:rStyle w:val="normaltextrun"/>
                <w:rFonts w:cs="Segoe UI"/>
                <w:b/>
                <w:bCs/>
                <w:szCs w:val="26"/>
              </w:rPr>
              <w:t>427</w:t>
            </w:r>
            <w:r>
              <w:rPr>
                <w:rStyle w:val="eop"/>
                <w:rFonts w:cs="Segoe UI"/>
                <w:szCs w:val="26"/>
              </w:rPr>
              <w:t> </w:t>
            </w:r>
          </w:p>
        </w:tc>
        <w:tc>
          <w:tcPr>
            <w:tcW w:w="1800" w:type="dxa"/>
          </w:tcPr>
          <w:p w:rsidRPr="00D87B40" w:rsidR="00741CE2" w:rsidP="00741CE2" w:rsidRDefault="00741CE2" w14:paraId="7B43D177" w14:textId="1A45AF77">
            <w:pPr>
              <w:ind w:firstLine="0"/>
              <w:jc w:val="both"/>
              <w:rPr>
                <w:b/>
                <w:bCs/>
              </w:rPr>
            </w:pPr>
            <w:r>
              <w:rPr>
                <w:rStyle w:val="normaltextrun"/>
                <w:rFonts w:cs="Segoe UI"/>
                <w:b/>
                <w:bCs/>
                <w:szCs w:val="26"/>
              </w:rPr>
              <w:t>$28,050,126</w:t>
            </w:r>
            <w:r>
              <w:rPr>
                <w:rStyle w:val="eop"/>
                <w:rFonts w:cs="Segoe UI"/>
                <w:szCs w:val="26"/>
              </w:rPr>
              <w:t> </w:t>
            </w:r>
          </w:p>
        </w:tc>
        <w:tc>
          <w:tcPr>
            <w:tcW w:w="1710" w:type="dxa"/>
          </w:tcPr>
          <w:p w:rsidRPr="00D87B40" w:rsidR="00741CE2" w:rsidP="00741CE2" w:rsidRDefault="00741CE2" w14:paraId="4A364D8A" w14:textId="4F0530D1">
            <w:pPr>
              <w:ind w:firstLine="0"/>
              <w:jc w:val="both"/>
              <w:rPr>
                <w:b/>
                <w:bCs/>
              </w:rPr>
            </w:pPr>
            <w:r>
              <w:rPr>
                <w:rStyle w:val="normaltextrun"/>
                <w:rFonts w:cs="Segoe UI"/>
                <w:b/>
                <w:bCs/>
                <w:szCs w:val="26"/>
              </w:rPr>
              <w:t>$13,717,165</w:t>
            </w:r>
            <w:r>
              <w:rPr>
                <w:rStyle w:val="eop"/>
                <w:rFonts w:cs="Segoe UI"/>
                <w:szCs w:val="26"/>
              </w:rPr>
              <w:t> </w:t>
            </w:r>
          </w:p>
        </w:tc>
        <w:tc>
          <w:tcPr>
            <w:tcW w:w="1705" w:type="dxa"/>
          </w:tcPr>
          <w:p w:rsidRPr="00D87B40" w:rsidR="00741CE2" w:rsidP="00741CE2" w:rsidRDefault="00741CE2" w14:paraId="47E065C4" w14:textId="622AC4AF">
            <w:pPr>
              <w:ind w:firstLine="0"/>
              <w:jc w:val="both"/>
              <w:rPr>
                <w:b/>
                <w:bCs/>
              </w:rPr>
            </w:pPr>
            <w:r>
              <w:rPr>
                <w:rStyle w:val="normaltextrun"/>
                <w:rFonts w:cs="Segoe UI"/>
                <w:b/>
                <w:bCs/>
                <w:szCs w:val="26"/>
              </w:rPr>
              <w:t>$56,</w:t>
            </w:r>
            <w:r w:rsidR="007617B9">
              <w:rPr>
                <w:rStyle w:val="normaltextrun"/>
                <w:rFonts w:cs="Segoe UI"/>
                <w:b/>
                <w:bCs/>
                <w:szCs w:val="26"/>
              </w:rPr>
              <w:t>870,114</w:t>
            </w:r>
            <w:r>
              <w:rPr>
                <w:rStyle w:val="eop"/>
                <w:rFonts w:cs="Segoe UI"/>
                <w:szCs w:val="26"/>
              </w:rPr>
              <w:t> </w:t>
            </w:r>
          </w:p>
        </w:tc>
      </w:tr>
    </w:tbl>
    <w:p w:rsidR="006B4CB3" w:rsidP="0056138E" w:rsidRDefault="006B4CB3" w14:paraId="26605DB1" w14:textId="77777777">
      <w:pPr>
        <w:pStyle w:val="Standard"/>
      </w:pPr>
    </w:p>
    <w:p w:rsidR="004D465D" w:rsidP="00FE2D37" w:rsidRDefault="00E34094" w14:paraId="63C88FBB" w14:textId="7EC97F08">
      <w:pPr>
        <w:pStyle w:val="Heading3"/>
      </w:pPr>
      <w:bookmarkStart w:name="_Toc230872092" w:id="58"/>
      <w:r>
        <w:t>Unspent Funds</w:t>
      </w:r>
      <w:r w:rsidR="00BB7742">
        <w:t>,</w:t>
      </w:r>
      <w:r w:rsidR="00420626">
        <w:t xml:space="preserve"> Fund Shifting</w:t>
      </w:r>
      <w:r w:rsidR="00372EAF">
        <w:t xml:space="preserve"> and </w:t>
      </w:r>
      <w:r w:rsidR="00006967">
        <w:t>Mid-Cycle Changes</w:t>
      </w:r>
      <w:bookmarkEnd w:id="58"/>
    </w:p>
    <w:p w:rsidR="006C4925" w:rsidP="0061445B" w:rsidRDefault="009F4F41" w14:paraId="07F513A1" w14:textId="5A9AF338">
      <w:pPr>
        <w:pStyle w:val="Standard"/>
      </w:pPr>
      <w:r>
        <w:t>PG</w:t>
      </w:r>
      <w:r w:rsidR="00875DAB">
        <w:t>&amp;E seeks authority to apply MFWB and pilot unspent funds to other program categories, as proposed by TURN.</w:t>
      </w:r>
      <w:r w:rsidR="00875DAB">
        <w:rPr>
          <w:rStyle w:val="FootnoteReference"/>
        </w:rPr>
        <w:footnoteReference w:id="90"/>
      </w:r>
      <w:r w:rsidR="00C0102B">
        <w:t xml:space="preserve">  SCE requests authority to </w:t>
      </w:r>
      <w:r w:rsidR="00B26B1E">
        <w:t xml:space="preserve">shift </w:t>
      </w:r>
      <w:r w:rsidR="00C0102B">
        <w:t>fund</w:t>
      </w:r>
      <w:r w:rsidR="00B26B1E">
        <w:t>s</w:t>
      </w:r>
      <w:r w:rsidR="00C0102B">
        <w:t xml:space="preserve"> from </w:t>
      </w:r>
      <w:r w:rsidR="00B26B1E">
        <w:t>its</w:t>
      </w:r>
      <w:r w:rsidR="00C0102B">
        <w:t xml:space="preserve"> </w:t>
      </w:r>
      <w:r w:rsidR="00C1117B">
        <w:t>CEH</w:t>
      </w:r>
      <w:r w:rsidR="00C0102B">
        <w:t xml:space="preserve"> Pilot to ESA Main. </w:t>
      </w:r>
      <w:r>
        <w:t xml:space="preserve"> </w:t>
      </w:r>
    </w:p>
    <w:p w:rsidR="006A31C7" w:rsidP="0061445B" w:rsidRDefault="009B7353" w14:paraId="3942712C" w14:textId="2712AEE2">
      <w:pPr>
        <w:pStyle w:val="Standard"/>
      </w:pPr>
      <w:r>
        <w:lastRenderedPageBreak/>
        <w:t>It is reasonable to apply unspent funds wi</w:t>
      </w:r>
      <w:r w:rsidR="00036B8C">
        <w:t>thin ESA, to reduce rate pressures fo</w:t>
      </w:r>
      <w:r w:rsidR="00F074D3">
        <w:t xml:space="preserve">r ratepayers.  </w:t>
      </w:r>
      <w:r w:rsidR="00875DAB">
        <w:t>All IOUs are</w:t>
      </w:r>
      <w:r w:rsidR="009F4F41">
        <w:t xml:space="preserve"> authorized to utilize unspent MFWB and pilot funds </w:t>
      </w:r>
      <w:r w:rsidR="00F412EF">
        <w:t xml:space="preserve">remaining at the end of program year 2026 </w:t>
      </w:r>
      <w:r w:rsidR="009F4F41">
        <w:t xml:space="preserve">to reduce </w:t>
      </w:r>
      <w:r w:rsidR="00875DAB">
        <w:t>ESA Main collections</w:t>
      </w:r>
      <w:r w:rsidR="00F412EF">
        <w:t xml:space="preserve"> for program year 2027</w:t>
      </w:r>
      <w:r w:rsidR="006E7B78">
        <w:t>.</w:t>
      </w:r>
      <w:r w:rsidR="00914DEB">
        <w:t xml:space="preserve"> SCE may also shift funds from its CEH Pilot to ESA Main. </w:t>
      </w:r>
    </w:p>
    <w:p w:rsidRPr="00E1248B" w:rsidR="006E7B78" w:rsidP="0061445B" w:rsidRDefault="006E7B78" w14:paraId="7CC0FBE0" w14:textId="35433F88">
      <w:pPr>
        <w:pStyle w:val="Standard"/>
      </w:pPr>
      <w:r w:rsidRPr="006E7B78">
        <w:t>PG&amp;E</w:t>
      </w:r>
      <w:r>
        <w:t>’s request</w:t>
      </w:r>
      <w:r w:rsidRPr="006E7B78">
        <w:t xml:space="preserve"> </w:t>
      </w:r>
      <w:r>
        <w:t>to</w:t>
      </w:r>
      <w:r w:rsidRPr="006E7B78">
        <w:t xml:space="preserve"> use a Tier 2 </w:t>
      </w:r>
      <w:r w:rsidR="00914DEB">
        <w:t>AL</w:t>
      </w:r>
      <w:r w:rsidRPr="006E7B78">
        <w:t xml:space="preserve"> to request any changes to MFWB goals, budgets, or design, including pausing the program, prior to the end of 2027</w:t>
      </w:r>
      <w:r>
        <w:t xml:space="preserve"> is denied.  PG&amp;E shall use the processes approved in D.21-06-015 to propose any program changes.</w:t>
      </w:r>
    </w:p>
    <w:p w:rsidR="00942F90" w:rsidP="00FE2D37" w:rsidRDefault="00942F90" w14:paraId="35951D97" w14:textId="150BFC31">
      <w:pPr>
        <w:pStyle w:val="Heading1"/>
      </w:pPr>
      <w:bookmarkStart w:name="_Toc230872093" w:id="59"/>
      <w:r>
        <w:t>Workforce Education and Training Activities</w:t>
      </w:r>
      <w:bookmarkEnd w:id="59"/>
    </w:p>
    <w:p w:rsidRPr="00942F90" w:rsidR="00942F90" w:rsidP="00C8069B" w:rsidRDefault="00942F90" w14:paraId="1F721C71" w14:textId="458AB4B0">
      <w:pPr>
        <w:pStyle w:val="Standard"/>
      </w:pPr>
      <w:r>
        <w:t xml:space="preserve">PG&amp;E </w:t>
      </w:r>
      <w:r w:rsidR="00936A49">
        <w:t xml:space="preserve">plans to continue its Workforce Education and Training activities (WE&amp;T) for 2027, which include </w:t>
      </w:r>
      <w:r w:rsidRPr="00C8069B" w:rsidR="00C8069B">
        <w:t>operation and development of PG&amp;E’s Energy Training Center curriculum,</w:t>
      </w:r>
      <w:r w:rsidR="00C8069B">
        <w:t xml:space="preserve"> </w:t>
      </w:r>
      <w:r w:rsidRPr="00C8069B" w:rsidR="00C8069B">
        <w:t xml:space="preserve">initiatives taken to increase the hiring within local communities and </w:t>
      </w:r>
      <w:r w:rsidR="001E5DF2">
        <w:t>disadvantaged communities</w:t>
      </w:r>
      <w:r w:rsidRPr="00C8069B" w:rsidR="00C8069B">
        <w:t>,</w:t>
      </w:r>
      <w:r w:rsidR="00C8069B">
        <w:t xml:space="preserve"> </w:t>
      </w:r>
      <w:r w:rsidRPr="00C8069B" w:rsidR="00C8069B">
        <w:t>and partnerships with vocational training programs, community colleges,</w:t>
      </w:r>
      <w:r w:rsidR="00C8069B">
        <w:t xml:space="preserve"> </w:t>
      </w:r>
      <w:r w:rsidRPr="00C8069B" w:rsidR="00C8069B">
        <w:t>and community job training organizations</w:t>
      </w:r>
      <w:r w:rsidR="00C8069B">
        <w:t>.</w:t>
      </w:r>
      <w:r w:rsidR="00C8069B">
        <w:rPr>
          <w:rStyle w:val="FootnoteReference"/>
        </w:rPr>
        <w:footnoteReference w:id="91"/>
      </w:r>
      <w:r w:rsidR="0060611D">
        <w:t xml:space="preserve">  No party disputed this proposal</w:t>
      </w:r>
      <w:r w:rsidR="00106B1B">
        <w:t xml:space="preserve">. </w:t>
      </w:r>
      <w:r w:rsidR="0060611D">
        <w:t xml:space="preserve">PG&amp;E’s WE&amp;T proposal </w:t>
      </w:r>
      <w:proofErr w:type="gramStart"/>
      <w:r w:rsidR="0060611D">
        <w:t>is</w:t>
      </w:r>
      <w:proofErr w:type="gramEnd"/>
      <w:r w:rsidR="0060611D">
        <w:t xml:space="preserve"> approved.</w:t>
      </w:r>
    </w:p>
    <w:p w:rsidR="001D7151" w:rsidP="00FE2D37" w:rsidRDefault="001D7151" w14:paraId="47F5C628" w14:textId="3B668E92">
      <w:pPr>
        <w:pStyle w:val="Heading1"/>
      </w:pPr>
      <w:bookmarkStart w:name="_Toc230872094" w:id="60"/>
      <w:r>
        <w:t>Studies, Evaluations, Working Groups, and Reporting</w:t>
      </w:r>
      <w:bookmarkEnd w:id="60"/>
    </w:p>
    <w:p w:rsidR="001D7151" w:rsidP="00FE2D37" w:rsidRDefault="00290A8B" w14:paraId="696D9443" w14:textId="64A7FE76">
      <w:pPr>
        <w:pStyle w:val="Heading2"/>
      </w:pPr>
      <w:bookmarkStart w:name="_Toc230872095" w:id="61"/>
      <w:r>
        <w:t>Studies</w:t>
      </w:r>
      <w:bookmarkEnd w:id="61"/>
    </w:p>
    <w:p w:rsidRPr="001D7151" w:rsidR="00891B71" w:rsidP="00026DD8" w:rsidRDefault="004B1BCD" w14:paraId="09E7A39C" w14:textId="58E1FE8A">
      <w:pPr>
        <w:pStyle w:val="Standard"/>
      </w:pPr>
      <w:r>
        <w:t xml:space="preserve">PG&amp;E </w:t>
      </w:r>
      <w:r w:rsidR="004B0139">
        <w:t>plans to continue activities related to the 2028 L</w:t>
      </w:r>
      <w:r w:rsidR="00B4186F">
        <w:t>ow-Income Needs Assessment</w:t>
      </w:r>
      <w:r w:rsidR="004B0139">
        <w:t xml:space="preserve"> study, which are funded in the ESA and CARE budgets</w:t>
      </w:r>
      <w:r w:rsidR="008F3C9C">
        <w:t xml:space="preserve">, and was authorized </w:t>
      </w:r>
      <w:proofErr w:type="gramStart"/>
      <w:r w:rsidR="008F3C9C">
        <w:t>in</w:t>
      </w:r>
      <w:proofErr w:type="gramEnd"/>
      <w:r w:rsidR="008F3C9C">
        <w:t xml:space="preserve"> D.21-06-015</w:t>
      </w:r>
      <w:r w:rsidR="004B0139">
        <w:t>.</w:t>
      </w:r>
      <w:r w:rsidR="00246A60">
        <w:t xml:space="preserve">  Total cost is </w:t>
      </w:r>
      <w:r w:rsidR="00891B71">
        <w:t>$75,000.</w:t>
      </w:r>
      <w:r w:rsidR="008F3C9C">
        <w:t xml:space="preserve">  </w:t>
      </w:r>
      <w:r w:rsidR="00AB6C47">
        <w:t xml:space="preserve">D.21-06-015 also adopted </w:t>
      </w:r>
      <w:proofErr w:type="gramStart"/>
      <w:r w:rsidR="00AB6C47">
        <w:t>ESA program</w:t>
      </w:r>
      <w:proofErr w:type="gramEnd"/>
      <w:r w:rsidR="00AB6C47">
        <w:t xml:space="preserve"> impact evaluations</w:t>
      </w:r>
      <w:r w:rsidR="00F32822">
        <w:t xml:space="preserve"> </w:t>
      </w:r>
      <w:r w:rsidR="00246A60">
        <w:t xml:space="preserve">to be conducted by the IOUs, which PG&amp;E proposes </w:t>
      </w:r>
      <w:r w:rsidR="00246A60">
        <w:lastRenderedPageBreak/>
        <w:t>to continue at a cost of $360,000.</w:t>
      </w:r>
      <w:r w:rsidR="00F32822">
        <w:t xml:space="preserve"> </w:t>
      </w:r>
      <w:r w:rsidR="004B0139">
        <w:t xml:space="preserve"> </w:t>
      </w:r>
      <w:r w:rsidR="00891B71">
        <w:t xml:space="preserve">PG&amp;E </w:t>
      </w:r>
      <w:proofErr w:type="gramStart"/>
      <w:r w:rsidR="00891B71">
        <w:t>proposes to</w:t>
      </w:r>
      <w:proofErr w:type="gramEnd"/>
      <w:r w:rsidR="00891B71">
        <w:t xml:space="preserve"> also maintain funding for the CARE and FERA Annual Eligibility Estimates Report at a cost of $200,000.</w:t>
      </w:r>
    </w:p>
    <w:p w:rsidRPr="00817B4E" w:rsidR="001D031F" w:rsidP="001D031F" w:rsidRDefault="00817B4E" w14:paraId="0332A55E" w14:textId="238A2E74">
      <w:pPr>
        <w:pStyle w:val="Standard"/>
      </w:pPr>
      <w:r>
        <w:t xml:space="preserve">SDG&amp;E does not request any additional budget for ESA, CARE, or FERA studies.  </w:t>
      </w:r>
      <w:r w:rsidR="00FA4A12">
        <w:t>SDG&amp;E plans to use rollover funds to</w:t>
      </w:r>
      <w:r w:rsidR="0011533D">
        <w:t xml:space="preserve"> pay</w:t>
      </w:r>
      <w:r w:rsidR="002B01D6">
        <w:t xml:space="preserve"> for a studies budget of </w:t>
      </w:r>
      <w:r w:rsidR="005527E4">
        <w:t>$375,000 for its portion of the 2028 LINA study, and ESA Main and MFWB Impact and Process Evaluations.</w:t>
      </w:r>
      <w:r w:rsidR="005527E4">
        <w:rPr>
          <w:rStyle w:val="FootnoteReference"/>
        </w:rPr>
        <w:footnoteReference w:id="92"/>
      </w:r>
      <w:r w:rsidR="001D031F">
        <w:t xml:space="preserve">  </w:t>
      </w:r>
      <w:r w:rsidR="00442014">
        <w:t xml:space="preserve">SDG&amp;E also proposes to use $300,000 for </w:t>
      </w:r>
      <w:r w:rsidR="001D031F">
        <w:t>evolving study and data needs.</w:t>
      </w:r>
      <w:r w:rsidR="00BB33F3">
        <w:t xml:space="preserve">  SDG&amp;E proposes continuing the ESA/CARE Study W</w:t>
      </w:r>
      <w:r w:rsidR="008E6DB8">
        <w:t xml:space="preserve">orking </w:t>
      </w:r>
      <w:r w:rsidR="00BB33F3">
        <w:t>G</w:t>
      </w:r>
      <w:r w:rsidR="008E6DB8">
        <w:t>roup</w:t>
      </w:r>
      <w:r w:rsidR="00BB33F3">
        <w:t>.</w:t>
      </w:r>
    </w:p>
    <w:p w:rsidRPr="00FB45EE" w:rsidR="00FB45EE" w:rsidP="00FB45EE" w:rsidRDefault="00D754AF" w14:paraId="5D4B8CC7" w14:textId="2D265ED1">
      <w:pPr>
        <w:pStyle w:val="Standard"/>
      </w:pPr>
      <w:r>
        <w:t>SCE’s study</w:t>
      </w:r>
      <w:r w:rsidR="00FB45EE">
        <w:t xml:space="preserve"> activities included statewide ESA study budgets,</w:t>
      </w:r>
      <w:r w:rsidR="000575C4">
        <w:t xml:space="preserve"> evaluation of the SCE ESA Whole Home Pilot and BE pilot, and budget for evolving study and data needs.  Also included </w:t>
      </w:r>
      <w:r w:rsidR="00875E97">
        <w:t>is budget to support the 2028 LINA study.</w:t>
      </w:r>
      <w:r w:rsidR="00BE5F31">
        <w:t xml:space="preserve">  </w:t>
      </w:r>
      <w:r>
        <w:t xml:space="preserve">SCE is not seeking additional funds for study and evaluation beyond what was already authorized for 2026.  </w:t>
      </w:r>
    </w:p>
    <w:p w:rsidR="004F2CF2" w:rsidP="004F2CF2" w:rsidRDefault="00E02ACC" w14:paraId="164F8E0F" w14:textId="0D6C4310">
      <w:pPr>
        <w:pStyle w:val="Standard"/>
      </w:pPr>
      <w:r>
        <w:t>SoCalGas proposes</w:t>
      </w:r>
      <w:r w:rsidR="00D36010">
        <w:t xml:space="preserve"> to continue supporting process and impact evaluations for ESA Main and the MFWB programs, </w:t>
      </w:r>
      <w:r w:rsidR="00A37A8B">
        <w:t>as well as the evolving study and data needs and 2028 LINA study, for a total of $</w:t>
      </w:r>
      <w:r w:rsidRPr="007C0156" w:rsidR="007C0156">
        <w:t>389,250</w:t>
      </w:r>
      <w:r w:rsidR="00A37A8B">
        <w:t>.</w:t>
      </w:r>
      <w:r w:rsidR="00111432">
        <w:t xml:space="preserve">  SoCalGas also proposes to take over administration for the 2028</w:t>
      </w:r>
      <w:r w:rsidR="00FA7FB6">
        <w:t xml:space="preserve"> CARE-FERA Eligibility Estimates </w:t>
      </w:r>
      <w:proofErr w:type="gramStart"/>
      <w:r w:rsidR="00FA7FB6">
        <w:t>Study</w:t>
      </w:r>
      <w:r w:rsidR="002E034F">
        <w:t>, and</w:t>
      </w:r>
      <w:proofErr w:type="gramEnd"/>
      <w:r w:rsidR="002E034F">
        <w:t xml:space="preserve"> conduct solicitations in 2027</w:t>
      </w:r>
      <w:r w:rsidR="00FA7FB6">
        <w:t>.</w:t>
      </w:r>
      <w:r w:rsidR="00FA7FB6">
        <w:rPr>
          <w:rStyle w:val="FootnoteReference"/>
        </w:rPr>
        <w:footnoteReference w:id="93"/>
      </w:r>
    </w:p>
    <w:p w:rsidRPr="004F2CF2" w:rsidR="00290A8B" w:rsidP="004F2CF2" w:rsidRDefault="00290A8B" w14:paraId="6A9B467E" w14:textId="3DF815DD">
      <w:pPr>
        <w:pStyle w:val="Standard"/>
      </w:pPr>
      <w:r>
        <w:t xml:space="preserve">Parties did not </w:t>
      </w:r>
      <w:r w:rsidR="00EC5C1D">
        <w:t xml:space="preserve">provide any additional </w:t>
      </w:r>
      <w:r>
        <w:t xml:space="preserve">comment on the proposed study activities or </w:t>
      </w:r>
      <w:r w:rsidR="00303ADF">
        <w:t xml:space="preserve">associated </w:t>
      </w:r>
      <w:r>
        <w:t>budget</w:t>
      </w:r>
      <w:r w:rsidR="00303ADF">
        <w:t>s</w:t>
      </w:r>
      <w:r>
        <w:t xml:space="preserve">.  </w:t>
      </w:r>
      <w:r w:rsidR="00547BC1">
        <w:t xml:space="preserve">We note that the </w:t>
      </w:r>
      <w:r w:rsidR="00E03317">
        <w:t xml:space="preserve">2028 </w:t>
      </w:r>
      <w:r w:rsidR="00547BC1">
        <w:t>LINA study has already been approved and funded</w:t>
      </w:r>
      <w:r w:rsidR="0001667C">
        <w:t xml:space="preserve"> via D.21-06-015.</w:t>
      </w:r>
      <w:r w:rsidR="00F76B5D">
        <w:t xml:space="preserve">  We authorize </w:t>
      </w:r>
      <w:r w:rsidR="00C96596">
        <w:t xml:space="preserve">the proposed study activities and budgets.  SoCalGas is authorized to begin solicitations for the 2028 CARE-FERA Eligibility Estimates </w:t>
      </w:r>
      <w:proofErr w:type="gramStart"/>
      <w:r w:rsidR="00C96596">
        <w:t>Study, and</w:t>
      </w:r>
      <w:proofErr w:type="gramEnd"/>
      <w:r w:rsidR="00C96596">
        <w:t xml:space="preserve"> </w:t>
      </w:r>
      <w:r w:rsidR="00665C44">
        <w:t>shall consult with the ESA/</w:t>
      </w:r>
      <w:proofErr w:type="gramStart"/>
      <w:r w:rsidR="00665C44">
        <w:t xml:space="preserve">CARE </w:t>
      </w:r>
      <w:r w:rsidR="00FE645D">
        <w:t xml:space="preserve"> </w:t>
      </w:r>
      <w:r w:rsidR="00665C44">
        <w:lastRenderedPageBreak/>
        <w:t>Working</w:t>
      </w:r>
      <w:proofErr w:type="gramEnd"/>
      <w:r w:rsidR="00665C44">
        <w:t xml:space="preserve"> Group to finalize the study scope and statement of </w:t>
      </w:r>
      <w:r w:rsidR="00003000">
        <w:t>work, including the research plan and methodology.</w:t>
      </w:r>
    </w:p>
    <w:p w:rsidR="00DC0257" w:rsidP="00FE2D37" w:rsidRDefault="00F82ECD" w14:paraId="58F41F6E" w14:textId="7449FE60">
      <w:pPr>
        <w:pStyle w:val="Heading2"/>
      </w:pPr>
      <w:bookmarkStart w:name="_Toc230872096" w:id="62"/>
      <w:r>
        <w:t>Working Groups</w:t>
      </w:r>
      <w:bookmarkEnd w:id="62"/>
    </w:p>
    <w:p w:rsidRPr="00DC0257" w:rsidR="00DC0257" w:rsidP="00DC4686" w:rsidRDefault="00F6629A" w14:paraId="1CE05FEE" w14:textId="10FFC3CF">
      <w:pPr>
        <w:pStyle w:val="Standard"/>
      </w:pPr>
      <w:r>
        <w:t xml:space="preserve">D.21-06-015 adopted the ESA/CARE Study Working Group (WG) to gather stakeholder feedback </w:t>
      </w:r>
      <w:r w:rsidR="00E1067F">
        <w:t>on the IOUs’ ESA and CARE studies during the 2021</w:t>
      </w:r>
      <w:r w:rsidRPr="00E03317" w:rsidR="00E03317">
        <w:t>–</w:t>
      </w:r>
      <w:r w:rsidR="00E1067F">
        <w:t xml:space="preserve">2026 program cycle.  </w:t>
      </w:r>
      <w:r w:rsidR="002B3E95">
        <w:t>The group provided input on the scope and timing for various ESA/CARE non</w:t>
      </w:r>
      <w:r w:rsidR="00DC4686">
        <w:t xml:space="preserve">-statutory studies, such as </w:t>
      </w:r>
      <w:r w:rsidRPr="00DC4686" w:rsidR="00DC4686">
        <w:t>the Non-Energ</w:t>
      </w:r>
      <w:r w:rsidR="00DC4686">
        <w:t>y</w:t>
      </w:r>
      <w:r w:rsidRPr="00DC4686" w:rsidR="00DC4686">
        <w:t xml:space="preserve"> Impacts Study and PG&amp;E’s ESA PP/PD Pilot Evaluation. The</w:t>
      </w:r>
      <w:r w:rsidR="00DC4686">
        <w:t xml:space="preserve"> </w:t>
      </w:r>
      <w:r w:rsidRPr="00DC4686" w:rsidR="00DC4686">
        <w:t>ESA/CARE WG activities also include reviewing and providing input on</w:t>
      </w:r>
      <w:r w:rsidR="00DC4686">
        <w:t xml:space="preserve"> </w:t>
      </w:r>
      <w:r w:rsidRPr="00DC4686" w:rsidR="00DC4686">
        <w:t>interim study findings and the final study deliverables needed for</w:t>
      </w:r>
      <w:r w:rsidR="00DC4686">
        <w:t xml:space="preserve"> </w:t>
      </w:r>
      <w:r w:rsidRPr="00DC4686" w:rsidR="00DC4686">
        <w:t>completion of the study.</w:t>
      </w:r>
      <w:r w:rsidR="00DC4686">
        <w:t xml:space="preserve">  PG&amp;E proposes to continue the </w:t>
      </w:r>
      <w:r w:rsidR="00752239">
        <w:t>activities for 2027.</w:t>
      </w:r>
    </w:p>
    <w:p w:rsidR="00752239" w:rsidP="00D42E1A" w:rsidRDefault="00D42E1A" w14:paraId="008F731B" w14:textId="01BBA23C">
      <w:pPr>
        <w:pStyle w:val="Standard"/>
      </w:pPr>
      <w:r>
        <w:t>D.21-06-015 authorized the ESA WG to facilitate a stakeholder consensus-based approach to manage the IOUs’ ESA programs during the current program cycle</w:t>
      </w:r>
      <w:r w:rsidR="007F118B">
        <w:t xml:space="preserve">.  The ESA WG activities during the </w:t>
      </w:r>
      <w:r>
        <w:t>2021</w:t>
      </w:r>
      <w:r w:rsidR="009A4F1D">
        <w:t>–202</w:t>
      </w:r>
      <w:r>
        <w:t>6</w:t>
      </w:r>
      <w:r w:rsidR="007F118B">
        <w:t xml:space="preserve"> program cycle include monitoring ESA Program goals achievement, improving coordination with other income-based programs, providing input to IOU ESA program administrators on various ESA program issues and serving as a forum to resolve ESA program issues and improve communication among parties and with the Commission.</w:t>
      </w:r>
    </w:p>
    <w:p w:rsidR="00DA16FC" w:rsidP="00DA16FC" w:rsidRDefault="00DA16FC" w14:paraId="713FB9DD" w14:textId="3F7299EF">
      <w:pPr>
        <w:pStyle w:val="Standard"/>
      </w:pPr>
      <w:r>
        <w:t xml:space="preserve">PG&amp;E proposes to continue the ESA WG to address the </w:t>
      </w:r>
      <w:r w:rsidRPr="00DA16FC">
        <w:t xml:space="preserve">Program Policy and Procedures and Installation </w:t>
      </w:r>
      <w:proofErr w:type="gramStart"/>
      <w:r w:rsidRPr="00DA16FC">
        <w:t>Standards</w:t>
      </w:r>
      <w:r>
        <w:t xml:space="preserve"> </w:t>
      </w:r>
      <w:r w:rsidRPr="00DA16FC">
        <w:t>Manuals</w:t>
      </w:r>
      <w:r>
        <w:t>, and</w:t>
      </w:r>
      <w:proofErr w:type="gramEnd"/>
      <w:r>
        <w:t xml:space="preserve"> will continue to fund the program in the ESA Program Administration funding category.</w:t>
      </w:r>
    </w:p>
    <w:p w:rsidRPr="00752239" w:rsidR="007D757B" w:rsidP="00DA16FC" w:rsidRDefault="007D757B" w14:paraId="4D249D46" w14:textId="5AACD161">
      <w:pPr>
        <w:pStyle w:val="Standard"/>
      </w:pPr>
      <w:r>
        <w:t>No parties comment</w:t>
      </w:r>
      <w:r w:rsidR="0039248C">
        <w:t>ed</w:t>
      </w:r>
      <w:r>
        <w:t xml:space="preserve"> on the Working Groups.  </w:t>
      </w:r>
      <w:r w:rsidR="00AE0A58">
        <w:t>PG&amp;E is authorized to continue funding</w:t>
      </w:r>
      <w:r w:rsidR="00867A10">
        <w:t xml:space="preserve"> the</w:t>
      </w:r>
      <w:r w:rsidR="00AE0A58">
        <w:t xml:space="preserve"> ESA/CARE Study WG and ESA WG activities.</w:t>
      </w:r>
      <w:r w:rsidR="00AA0838">
        <w:t xml:space="preserve">  As noted in the studies section above, the ESA/CARE Study WG shall consult with SoCalGas in development of the 2028</w:t>
      </w:r>
      <w:r w:rsidR="00E352F4">
        <w:t xml:space="preserve"> CARE-FERA Eligibility Study.</w:t>
      </w:r>
    </w:p>
    <w:p w:rsidR="00DA16FC" w:rsidP="00FE2D37" w:rsidRDefault="00DA16FC" w14:paraId="44D1B307" w14:textId="2395B912">
      <w:pPr>
        <w:pStyle w:val="Heading2"/>
      </w:pPr>
      <w:bookmarkStart w:name="_Toc230872097" w:id="63"/>
      <w:r>
        <w:lastRenderedPageBreak/>
        <w:t>Reporting</w:t>
      </w:r>
      <w:bookmarkEnd w:id="63"/>
    </w:p>
    <w:p w:rsidR="00D90BF8" w:rsidP="006C59CC" w:rsidRDefault="00720EF6" w14:paraId="572327C6" w14:textId="4E2F8AA1">
      <w:pPr>
        <w:pStyle w:val="Standard"/>
      </w:pPr>
      <w:r>
        <w:t>In D.21-06-015, the Commission continued and modified PG&amp;E’s</w:t>
      </w:r>
      <w:r w:rsidR="000C7DED">
        <w:t xml:space="preserve"> </w:t>
      </w:r>
      <w:r>
        <w:t>monthly and annual reporting requirements on the results of PG&amp;E’s CARE,</w:t>
      </w:r>
      <w:r w:rsidR="000C7DED">
        <w:t xml:space="preserve"> </w:t>
      </w:r>
      <w:r>
        <w:t>FERA, and ESA programs. In 2024, the Governor signed into law SB 1130</w:t>
      </w:r>
      <w:r w:rsidR="000C7DED">
        <w:t xml:space="preserve"> </w:t>
      </w:r>
      <w:r>
        <w:t>which, among other things, changed the due date of the FERA Annual</w:t>
      </w:r>
      <w:r w:rsidR="000C7DED">
        <w:t xml:space="preserve"> </w:t>
      </w:r>
      <w:r>
        <w:t>Report to March 1 from May 1 of each year.</w:t>
      </w:r>
      <w:r w:rsidR="000C7DED">
        <w:t xml:space="preserve">  </w:t>
      </w:r>
      <w:r>
        <w:t>On March 3, 2025, PG&amp;E</w:t>
      </w:r>
      <w:r w:rsidR="000C7DED">
        <w:t xml:space="preserve"> </w:t>
      </w:r>
      <w:r w:rsidRPr="000C7DED" w:rsidR="000C7DED">
        <w:t>filed its first 2024 FERA Annual Report pursuant to this statute.</w:t>
      </w:r>
      <w:r w:rsidR="000C7DED">
        <w:rPr>
          <w:b/>
          <w:bCs/>
        </w:rPr>
        <w:t xml:space="preserve"> </w:t>
      </w:r>
      <w:r w:rsidRPr="000C7DED" w:rsidR="000C7DED">
        <w:rPr>
          <w:b/>
          <w:bCs/>
        </w:rPr>
        <w:t xml:space="preserve"> </w:t>
      </w:r>
      <w:r w:rsidRPr="000C7DED" w:rsidR="000C7DED">
        <w:t>For</w:t>
      </w:r>
      <w:r w:rsidR="000C7DED">
        <w:t xml:space="preserve"> </w:t>
      </w:r>
      <w:r w:rsidRPr="000C7DED" w:rsidR="000C7DED">
        <w:t>2027, PG&amp;E proposes to maintain the current IQP monthly and annua</w:t>
      </w:r>
      <w:r w:rsidR="000C7DED">
        <w:t>l</w:t>
      </w:r>
      <w:r w:rsidRPr="000C7DED" w:rsidR="000C7DED">
        <w:t xml:space="preserve"> reporting requirements as adopted by D.21-06-015</w:t>
      </w:r>
      <w:r w:rsidR="000C7DED">
        <w:rPr>
          <w:b/>
          <w:bCs/>
        </w:rPr>
        <w:t xml:space="preserve"> </w:t>
      </w:r>
      <w:r w:rsidRPr="000C7DED" w:rsidR="000C7DED">
        <w:t>or modified by statute.</w:t>
      </w:r>
    </w:p>
    <w:p w:rsidR="00C41B68" w:rsidP="00C41B68" w:rsidRDefault="00C7310A" w14:paraId="4E749FC5" w14:textId="5ED0B9CE">
      <w:pPr>
        <w:pStyle w:val="Standard"/>
      </w:pPr>
      <w:r>
        <w:t xml:space="preserve">TURN proposes that the IOUs be required to report additional information related to </w:t>
      </w:r>
      <w:r w:rsidR="001E2476">
        <w:t>health, comfort and safety</w:t>
      </w:r>
      <w:r>
        <w:t xml:space="preserve"> measures, separate accounting for gas and electric costs across the entire ESA budget, and </w:t>
      </w:r>
      <w:r w:rsidR="00193463">
        <w:t>energy savings measurements.</w:t>
      </w:r>
      <w:r w:rsidR="00193463">
        <w:rPr>
          <w:rStyle w:val="FootnoteReference"/>
        </w:rPr>
        <w:footnoteReference w:id="94"/>
      </w:r>
      <w:r w:rsidR="003E1348">
        <w:t xml:space="preserve"> In particular</w:t>
      </w:r>
      <w:r w:rsidR="00C41B68">
        <w:t>, TURN asks that the IOUs</w:t>
      </w:r>
      <w:r w:rsidR="003E1348">
        <w:t>:</w:t>
      </w:r>
    </w:p>
    <w:p w:rsidR="00C41B68" w:rsidP="00FE2D37" w:rsidRDefault="00C41B68" w14:paraId="1A2FB90B" w14:textId="53A04E73">
      <w:pPr>
        <w:pStyle w:val="ListBullet"/>
        <w:ind w:right="1440"/>
      </w:pPr>
      <w:r>
        <w:t xml:space="preserve">Identify measures in monthly and annual reporting and </w:t>
      </w:r>
      <w:proofErr w:type="gramStart"/>
      <w:r>
        <w:t>providing</w:t>
      </w:r>
      <w:proofErr w:type="gramEnd"/>
      <w:r>
        <w:t xml:space="preserve"> the costs, savings, and benefits that are associated with </w:t>
      </w:r>
      <w:r w:rsidR="001E2476">
        <w:t xml:space="preserve">health, comfort and safety </w:t>
      </w:r>
      <w:r>
        <w:t xml:space="preserve">measures starting in Program Year 2027; </w:t>
      </w:r>
    </w:p>
    <w:p w:rsidRPr="00493D9C" w:rsidR="00493D9C" w:rsidP="00FE2D37" w:rsidRDefault="00C41B68" w14:paraId="5F4AEB80" w14:textId="4943E3D2">
      <w:pPr>
        <w:pStyle w:val="ListBullet"/>
        <w:ind w:right="1440"/>
      </w:pPr>
      <w:r>
        <w:t xml:space="preserve">Separately </w:t>
      </w:r>
      <w:r w:rsidR="00493D9C">
        <w:t>account</w:t>
      </w:r>
      <w:r>
        <w:t xml:space="preserve"> for gas and electric costs across the entire ESA budget starting with Program Year 2027 to permit a direct examination of the costs, savings, and benefits associated with gas ESA investments by dual fuel utilities</w:t>
      </w:r>
      <w:r w:rsidR="00493D9C">
        <w:t>; and</w:t>
      </w:r>
    </w:p>
    <w:p w:rsidR="003E1348" w:rsidP="00FE2D37" w:rsidRDefault="00493D9C" w14:paraId="440FF9CB" w14:textId="3AB090B9">
      <w:pPr>
        <w:pStyle w:val="ListBullet"/>
        <w:ind w:right="1440"/>
      </w:pPr>
      <w:r>
        <w:t>Provide</w:t>
      </w:r>
      <w:r w:rsidRPr="00493D9C">
        <w:t xml:space="preserve"> energy savings in annual and lifetime MMBtus to facilitate direct comparisons</w:t>
      </w:r>
      <w:r>
        <w:t>.</w:t>
      </w:r>
    </w:p>
    <w:p w:rsidR="00493D9C" w:rsidP="00EC3A20" w:rsidRDefault="00EC3A20" w14:paraId="35622C19" w14:textId="39808A88">
      <w:pPr>
        <w:pStyle w:val="Standard"/>
      </w:pPr>
      <w:r>
        <w:lastRenderedPageBreak/>
        <w:t>TURN states that these reporting requirements will allow for easier comparison</w:t>
      </w:r>
      <w:r w:rsidR="00D86F19">
        <w:t xml:space="preserve"> of cost-effectiveness</w:t>
      </w:r>
      <w:r>
        <w:t xml:space="preserve"> across IOUs</w:t>
      </w:r>
      <w:r w:rsidR="00D86F19">
        <w:t xml:space="preserve"> and increase transparency.</w:t>
      </w:r>
      <w:r w:rsidR="00D86F19">
        <w:rPr>
          <w:rStyle w:val="FootnoteReference"/>
        </w:rPr>
        <w:footnoteReference w:id="95"/>
      </w:r>
      <w:r w:rsidR="00661AA8">
        <w:t xml:space="preserve">  TURN also note</w:t>
      </w:r>
      <w:r w:rsidR="001E2476">
        <w:t>s</w:t>
      </w:r>
      <w:r w:rsidR="00661AA8">
        <w:t xml:space="preserve"> </w:t>
      </w:r>
      <w:r w:rsidR="00CE7E82">
        <w:t>that SCE and SDG&amp;E</w:t>
      </w:r>
      <w:r w:rsidR="00661AA8">
        <w:t xml:space="preserve"> </w:t>
      </w:r>
      <w:r w:rsidR="00CE7E82">
        <w:t xml:space="preserve">both have shown </w:t>
      </w:r>
      <w:r w:rsidR="00294401">
        <w:t>a failure to meet any goals in terms of households treated and energy savings goals and well below expectations with regards to meeting ESACET cost-effectiveness.</w:t>
      </w:r>
      <w:r w:rsidR="00294401">
        <w:rPr>
          <w:rStyle w:val="FootnoteReference"/>
        </w:rPr>
        <w:footnoteReference w:id="96"/>
      </w:r>
      <w:r w:rsidR="001E1ECA">
        <w:t xml:space="preserve">  TURN states that increased reporting will </w:t>
      </w:r>
      <w:r w:rsidR="00F63638">
        <w:t xml:space="preserve">aid </w:t>
      </w:r>
      <w:r w:rsidR="00A048E1">
        <w:t xml:space="preserve">the </w:t>
      </w:r>
      <w:r w:rsidR="001E2476">
        <w:t xml:space="preserve">2028-2033 IQP </w:t>
      </w:r>
      <w:r w:rsidR="00756057">
        <w:t>applications</w:t>
      </w:r>
      <w:r w:rsidR="00F63638">
        <w:t>.</w:t>
      </w:r>
    </w:p>
    <w:p w:rsidR="007650DE" w:rsidP="00EC3A20" w:rsidRDefault="007650DE" w14:paraId="63C4168D" w14:textId="6F2EA9D1">
      <w:pPr>
        <w:pStyle w:val="Standard"/>
      </w:pPr>
      <w:r>
        <w:t xml:space="preserve">The IOUs state that the consideration of any additional reporting requirements should be </w:t>
      </w:r>
      <w:r w:rsidR="007B6E08">
        <w:t>deferred to</w:t>
      </w:r>
      <w:r>
        <w:t xml:space="preserve"> the </w:t>
      </w:r>
      <w:r w:rsidR="007B6E08">
        <w:t>2028-2033 IQP applications</w:t>
      </w:r>
      <w:r w:rsidR="00983E04">
        <w:t xml:space="preserve">, and that the current reporting requirements adequately address </w:t>
      </w:r>
      <w:r w:rsidR="00197239">
        <w:t xml:space="preserve">the </w:t>
      </w:r>
      <w:r w:rsidR="007B6E08">
        <w:t xml:space="preserve">health, comfort and safety </w:t>
      </w:r>
      <w:r w:rsidR="00197239">
        <w:t>measures.</w:t>
      </w:r>
      <w:r w:rsidR="006A7A71">
        <w:t xml:space="preserve">  PG&amp;E notes that the Energy Division </w:t>
      </w:r>
      <w:r w:rsidR="005A4489">
        <w:t>identifies reporting metrics and templates for monthly and annual reports according to an established framework.</w:t>
      </w:r>
      <w:r w:rsidR="005A4489">
        <w:rPr>
          <w:rStyle w:val="FootnoteReference"/>
        </w:rPr>
        <w:footnoteReference w:id="97"/>
      </w:r>
      <w:r w:rsidR="00656271">
        <w:t xml:space="preserve">  PG&amp;E states that it will explicitly denote </w:t>
      </w:r>
      <w:r w:rsidR="007B6E08">
        <w:t xml:space="preserve">health, comfort and safety </w:t>
      </w:r>
      <w:r w:rsidR="00656271">
        <w:t>measures in future monthly and annual program reports.</w:t>
      </w:r>
      <w:r w:rsidR="00656271">
        <w:rPr>
          <w:rStyle w:val="FootnoteReference"/>
        </w:rPr>
        <w:footnoteReference w:id="98"/>
      </w:r>
      <w:r w:rsidR="006C59CC">
        <w:t xml:space="preserve">  </w:t>
      </w:r>
      <w:r w:rsidR="00C82E0C">
        <w:t>SCE</w:t>
      </w:r>
      <w:r w:rsidR="002449EC">
        <w:t xml:space="preserve"> and SoCalGas</w:t>
      </w:r>
      <w:r w:rsidR="00C82E0C">
        <w:t xml:space="preserve"> state t</w:t>
      </w:r>
      <w:r w:rsidR="009D6672">
        <w:t xml:space="preserve">hat </w:t>
      </w:r>
      <w:r w:rsidR="002449EC">
        <w:t>they</w:t>
      </w:r>
      <w:r w:rsidR="009D6672">
        <w:t xml:space="preserve"> already track</w:t>
      </w:r>
      <w:r w:rsidR="00B12B98">
        <w:t xml:space="preserve"> </w:t>
      </w:r>
      <w:r w:rsidR="007B6E08">
        <w:t xml:space="preserve">health, comfort and safety </w:t>
      </w:r>
      <w:r w:rsidR="009D6672">
        <w:t>measures</w:t>
      </w:r>
      <w:r w:rsidR="00B12B98">
        <w:t xml:space="preserve">, and that the </w:t>
      </w:r>
      <w:r w:rsidR="007B6E08">
        <w:t xml:space="preserve">2028-2033 IQP </w:t>
      </w:r>
      <w:r w:rsidR="00B12B98">
        <w:t>applications would be the appropriate time to consider these changes</w:t>
      </w:r>
      <w:r w:rsidR="009D6672">
        <w:t>.</w:t>
      </w:r>
      <w:r w:rsidR="009D6672">
        <w:rPr>
          <w:rStyle w:val="FootnoteReference"/>
        </w:rPr>
        <w:footnoteReference w:id="99"/>
      </w:r>
      <w:r w:rsidR="000F0374">
        <w:t xml:space="preserve">  SoCalGas is amenable to </w:t>
      </w:r>
      <w:r w:rsidR="00105F92">
        <w:t xml:space="preserve">denoting </w:t>
      </w:r>
      <w:r w:rsidR="00E14117">
        <w:t xml:space="preserve">health, comfort and safety </w:t>
      </w:r>
      <w:r w:rsidR="00105F92">
        <w:t>measures in ESA Table 2, as proposed by PG&amp;E.</w:t>
      </w:r>
      <w:r w:rsidR="00105F92">
        <w:rPr>
          <w:rStyle w:val="FootnoteReference"/>
        </w:rPr>
        <w:footnoteReference w:id="100"/>
      </w:r>
    </w:p>
    <w:p w:rsidRPr="00DA16FC" w:rsidR="00BB36DC" w:rsidP="00EC3A20" w:rsidRDefault="00E96321" w14:paraId="471AFED1" w14:textId="536D4AF1">
      <w:pPr>
        <w:pStyle w:val="Standard"/>
      </w:pPr>
      <w:r>
        <w:t xml:space="preserve">Given that </w:t>
      </w:r>
      <w:r w:rsidR="00E14117">
        <w:t xml:space="preserve">2028-2033 IQP </w:t>
      </w:r>
      <w:r>
        <w:t>applications have already been submitted</w:t>
      </w:r>
      <w:r w:rsidR="007D4806">
        <w:t xml:space="preserve"> </w:t>
      </w:r>
      <w:proofErr w:type="gramStart"/>
      <w:r w:rsidR="007D4806">
        <w:t>in</w:t>
      </w:r>
      <w:proofErr w:type="gramEnd"/>
      <w:r w:rsidR="007D4806">
        <w:t xml:space="preserve"> A.26-01-003, et al.</w:t>
      </w:r>
      <w:r>
        <w:t xml:space="preserve">, </w:t>
      </w:r>
      <w:r w:rsidR="000E1331">
        <w:t xml:space="preserve">we decline to make any changes to reporting at this time.  </w:t>
      </w:r>
      <w:r w:rsidR="000E1331">
        <w:lastRenderedPageBreak/>
        <w:t xml:space="preserve">Changes to reporting requirements should be proposed and considered in the </w:t>
      </w:r>
      <w:r w:rsidR="007B15B5">
        <w:t xml:space="preserve">2028-2033 IQP </w:t>
      </w:r>
      <w:r w:rsidR="000E1331">
        <w:t>application</w:t>
      </w:r>
      <w:r w:rsidR="007B15B5">
        <w:t>s</w:t>
      </w:r>
      <w:r w:rsidR="00B67827">
        <w:t>.</w:t>
      </w:r>
      <w:r w:rsidRPr="00A22F27" w:rsidR="00A22F27">
        <w:t xml:space="preserve"> </w:t>
      </w:r>
      <w:r w:rsidR="00A22F27">
        <w:t xml:space="preserve"> </w:t>
      </w:r>
      <w:r w:rsidRPr="0094087A" w:rsidR="00A22F27">
        <w:t>Intervenors may carry over to A.26-01-003, et al. the hours incurred in this proceeding addressing reporting requirements for purposes of seeking intervenor compensation for any related substantial contribution made in A.26-01-003, et al.</w:t>
      </w:r>
    </w:p>
    <w:p w:rsidR="00E13BB9" w:rsidP="00FE2D37" w:rsidRDefault="00E13BB9" w14:paraId="3DC0D61E" w14:textId="0E120402">
      <w:pPr>
        <w:pStyle w:val="Heading1"/>
      </w:pPr>
      <w:bookmarkStart w:name="_Toc230872098" w:id="64"/>
      <w:r>
        <w:t>Miscellaneous Issues</w:t>
      </w:r>
      <w:bookmarkEnd w:id="64"/>
    </w:p>
    <w:p w:rsidR="0025258D" w:rsidP="00FE2D37" w:rsidRDefault="0025258D" w14:paraId="52F18BFB" w14:textId="3FA87C99">
      <w:pPr>
        <w:pStyle w:val="Heading2"/>
      </w:pPr>
      <w:bookmarkStart w:name="_Toc230872099" w:id="65"/>
      <w:r>
        <w:t>California Emerging Technology Fund</w:t>
      </w:r>
      <w:bookmarkEnd w:id="65"/>
    </w:p>
    <w:p w:rsidR="00DA58DB" w:rsidP="00DA58DB" w:rsidRDefault="00912A6C" w14:paraId="3A5A9D69" w14:textId="50E88E1B">
      <w:pPr>
        <w:pStyle w:val="Standard"/>
      </w:pPr>
      <w:r>
        <w:t>CETF</w:t>
      </w:r>
      <w:r w:rsidR="00B201A0">
        <w:t xml:space="preserve"> </w:t>
      </w:r>
      <w:r w:rsidR="00DA58DB">
        <w:t xml:space="preserve">and IOUs </w:t>
      </w:r>
      <w:r>
        <w:t>presented a</w:t>
      </w:r>
      <w:r w:rsidR="00EE6FD4">
        <w:t>n Amended</w:t>
      </w:r>
      <w:r>
        <w:t xml:space="preserve"> Joint Stipulation to continue </w:t>
      </w:r>
      <w:r w:rsidR="00B201A0">
        <w:t>the Joint Stipulation, which aims to prom</w:t>
      </w:r>
      <w:r w:rsidR="001A7660">
        <w:t>o</w:t>
      </w:r>
      <w:r w:rsidR="00B201A0">
        <w:t>te affordable broadband access.  The Joint Stipulation, Exhibit CETF-</w:t>
      </w:r>
      <w:r w:rsidR="007E559B">
        <w:t>2</w:t>
      </w:r>
      <w:r w:rsidR="00B201A0">
        <w:t xml:space="preserve">, </w:t>
      </w:r>
      <w:r w:rsidR="006526AE">
        <w:t xml:space="preserve">presents a pathway for the IOUs to continue collaborative efforts with CETF and </w:t>
      </w:r>
      <w:r w:rsidR="007B15B5">
        <w:t>community</w:t>
      </w:r>
      <w:r w:rsidR="002A1749">
        <w:t>-</w:t>
      </w:r>
      <w:r w:rsidR="007B15B5">
        <w:t>based organizations</w:t>
      </w:r>
      <w:r w:rsidR="006526AE">
        <w:t>.</w:t>
      </w:r>
    </w:p>
    <w:p w:rsidRPr="00DA58DB" w:rsidR="00020116" w:rsidP="00FC4EDA" w:rsidRDefault="00020116" w14:paraId="51ED67A2" w14:textId="5971060E">
      <w:pPr>
        <w:pStyle w:val="Standard"/>
      </w:pPr>
      <w:r>
        <w:t xml:space="preserve">Parties were all supportive of the </w:t>
      </w:r>
      <w:r w:rsidR="00FA20B9">
        <w:t>A</w:t>
      </w:r>
      <w:r>
        <w:t>mended Joint Stipulation.</w:t>
      </w:r>
      <w:r w:rsidR="00026E83">
        <w:t xml:space="preserve">  TURN noted two issues: First, that </w:t>
      </w:r>
      <w:r w:rsidRPr="00026E83" w:rsidR="00026E83">
        <w:t>the Commission</w:t>
      </w:r>
      <w:r w:rsidR="00781005">
        <w:t xml:space="preserve"> should </w:t>
      </w:r>
      <w:r w:rsidRPr="00026E83" w:rsidR="00026E83">
        <w:t xml:space="preserve">“direct all utilities to invite the CHANGES prime contractor and, by extension, </w:t>
      </w:r>
      <w:r w:rsidR="007B15B5">
        <w:t>community based organizations</w:t>
      </w:r>
      <w:r w:rsidRPr="00026E83" w:rsidR="00026E83">
        <w:t>, to participate in the utility-hosted</w:t>
      </w:r>
      <w:r w:rsidRPr="00781005" w:rsidR="00781005">
        <w:rPr>
          <w:rFonts w:ascii="TimesNewRomanPSMT" w:hAnsi="TimesNewRomanPSMT" w:cs="TimesNewRomanPSMT"/>
          <w:color w:val="000000"/>
          <w:sz w:val="23"/>
          <w:szCs w:val="23"/>
        </w:rPr>
        <w:t xml:space="preserve"> </w:t>
      </w:r>
      <w:r w:rsidRPr="00781005" w:rsidR="00781005">
        <w:t>trainings by CETF pursuant to the Paragraph 1.d of the draft Joint Stipulation</w:t>
      </w:r>
      <w:r w:rsidR="00781005">
        <w:t>,”</w:t>
      </w:r>
      <w:r w:rsidR="00781005">
        <w:rPr>
          <w:rStyle w:val="FootnoteReference"/>
        </w:rPr>
        <w:footnoteReference w:id="101"/>
      </w:r>
      <w:r w:rsidR="00781005">
        <w:t xml:space="preserve"> as </w:t>
      </w:r>
      <w:r w:rsidRPr="00130796" w:rsidR="00130796">
        <w:t>omitting CHANGES providers from these trainings is a missed opportunity to reach consumers who may not respond to other education and outreach channels</w:t>
      </w:r>
      <w:r w:rsidR="00130796">
        <w:t xml:space="preserve">.  </w:t>
      </w:r>
      <w:r>
        <w:t>TURN</w:t>
      </w:r>
      <w:r w:rsidR="00130796">
        <w:t xml:space="preserve"> also request</w:t>
      </w:r>
      <w:r w:rsidR="007B15B5">
        <w:t>ed</w:t>
      </w:r>
      <w:r>
        <w:t xml:space="preserve"> that CETF should be </w:t>
      </w:r>
      <w:r w:rsidR="00BF078A">
        <w:t>directed to submit the annual compliance filing</w:t>
      </w:r>
      <w:r w:rsidR="001F77F7">
        <w:t xml:space="preserve"> (with associated IOU performance data)</w:t>
      </w:r>
      <w:r w:rsidR="00BF078A">
        <w:t xml:space="preserve"> in the amended Joint Stipulation </w:t>
      </w:r>
      <w:r w:rsidR="004F232A">
        <w:t>to the relevant income-qualified energy programs docket, to ensure there are no issues with filing.</w:t>
      </w:r>
      <w:r w:rsidR="00F03291">
        <w:rPr>
          <w:rStyle w:val="FootnoteReference"/>
        </w:rPr>
        <w:footnoteReference w:id="102"/>
      </w:r>
      <w:r w:rsidR="00AC75CD">
        <w:t xml:space="preserve">  TURN also recommended that the reported performance data include</w:t>
      </w:r>
      <w:r w:rsidR="00220AC8">
        <w:t xml:space="preserve"> (1)</w:t>
      </w:r>
      <w:r w:rsidRPr="00220AC8" w:rsidR="00220AC8">
        <w:rPr>
          <w:rFonts w:ascii="Times New Roman" w:hAnsi="Times New Roman" w:cs="Times New Roman"/>
          <w:color w:val="000000"/>
          <w:sz w:val="23"/>
          <w:szCs w:val="23"/>
        </w:rPr>
        <w:t xml:space="preserve"> </w:t>
      </w:r>
      <w:r w:rsidRPr="00220AC8" w:rsidR="00220AC8">
        <w:t xml:space="preserve">calls generated to the “Get Connected California” Call Center by each IOU, and (2) </w:t>
      </w:r>
      <w:r w:rsidRPr="00220AC8" w:rsidR="00220AC8">
        <w:lastRenderedPageBreak/>
        <w:t xml:space="preserve">percentage of CARE </w:t>
      </w:r>
      <w:r w:rsidR="00220AC8">
        <w:t xml:space="preserve">and </w:t>
      </w:r>
      <w:r w:rsidRPr="00220AC8" w:rsidR="00220AC8">
        <w:t>customers with email addresses on file with the utility, for each program year covered by the Joint Stipulation as extended, 2021</w:t>
      </w:r>
      <w:r w:rsidR="009A4F1D">
        <w:t>–202</w:t>
      </w:r>
      <w:r w:rsidRPr="00220AC8" w:rsidR="00220AC8">
        <w:t>7</w:t>
      </w:r>
      <w:r w:rsidR="00481156">
        <w:t>.</w:t>
      </w:r>
      <w:r w:rsidR="00481156">
        <w:rPr>
          <w:rStyle w:val="FootnoteReference"/>
        </w:rPr>
        <w:footnoteReference w:id="103"/>
      </w:r>
      <w:r w:rsidR="005E2A9C">
        <w:t xml:space="preserve">  </w:t>
      </w:r>
      <w:proofErr w:type="spellStart"/>
      <w:r w:rsidR="005E2A9C">
        <w:t>CforAT</w:t>
      </w:r>
      <w:proofErr w:type="spellEnd"/>
      <w:r w:rsidR="005E2A9C">
        <w:t xml:space="preserve"> </w:t>
      </w:r>
      <w:r w:rsidR="006E7C7C">
        <w:t>support</w:t>
      </w:r>
      <w:r w:rsidR="007B15B5">
        <w:t>ed</w:t>
      </w:r>
      <w:r w:rsidR="006E7C7C">
        <w:t xml:space="preserve"> these modifications.</w:t>
      </w:r>
      <w:r w:rsidR="006E7C7C">
        <w:rPr>
          <w:rStyle w:val="FootnoteReference"/>
        </w:rPr>
        <w:footnoteReference w:id="104"/>
      </w:r>
      <w:r w:rsidR="0041259D">
        <w:t xml:space="preserve">  These changes were incorporated </w:t>
      </w:r>
      <w:r w:rsidR="00FC4EDA">
        <w:t>into the final version submitted for review.</w:t>
      </w:r>
      <w:r w:rsidRPr="00220AC8" w:rsidR="00220AC8">
        <w:t xml:space="preserve"> </w:t>
      </w:r>
      <w:r w:rsidR="00FC4EDA">
        <w:t xml:space="preserve"> </w:t>
      </w:r>
      <w:r w:rsidR="00EE6FD4">
        <w:t xml:space="preserve">The </w:t>
      </w:r>
      <w:r w:rsidR="00FC4EDA">
        <w:t>Amended</w:t>
      </w:r>
      <w:r w:rsidR="00EE6FD4">
        <w:t xml:space="preserve"> Joint Stipulation</w:t>
      </w:r>
      <w:r w:rsidR="00FC4EDA">
        <w:t xml:space="preserve">, attached as Attachment </w:t>
      </w:r>
      <w:r w:rsidR="00975188">
        <w:t>2</w:t>
      </w:r>
      <w:r w:rsidR="00FC4EDA">
        <w:t>,</w:t>
      </w:r>
      <w:r w:rsidR="00EE6FD4">
        <w:t xml:space="preserve"> is approved</w:t>
      </w:r>
      <w:r w:rsidR="0007731E">
        <w:t>.</w:t>
      </w:r>
    </w:p>
    <w:p w:rsidR="0010383D" w:rsidP="00FE2D37" w:rsidRDefault="0010383D" w14:paraId="72B6BF2A" w14:textId="2013EB55">
      <w:pPr>
        <w:pStyle w:val="Heading2"/>
      </w:pPr>
      <w:bookmarkStart w:name="_Toc230872100" w:id="66"/>
      <w:r>
        <w:t>CHANGES Program</w:t>
      </w:r>
      <w:bookmarkEnd w:id="66"/>
    </w:p>
    <w:p w:rsidR="00AF39D6" w:rsidP="004B35E6" w:rsidRDefault="004F7BC0" w14:paraId="55B0ABD7" w14:textId="228B75B2">
      <w:pPr>
        <w:pStyle w:val="Standard"/>
      </w:pPr>
      <w:r>
        <w:t xml:space="preserve">The </w:t>
      </w:r>
      <w:r w:rsidRPr="00955ECF" w:rsidR="00955ECF">
        <w:t xml:space="preserve">Community Help and Awareness with Natural Gas and Electric Services </w:t>
      </w:r>
      <w:r w:rsidR="00955ECF">
        <w:t>(</w:t>
      </w:r>
      <w:r>
        <w:t>CHANGES</w:t>
      </w:r>
      <w:r w:rsidR="00955ECF">
        <w:t>)</w:t>
      </w:r>
      <w:r>
        <w:t xml:space="preserve"> program is currently funded by all IOUs. </w:t>
      </w:r>
      <w:r w:rsidR="0084733D">
        <w:t xml:space="preserve"> </w:t>
      </w:r>
      <w:r w:rsidR="000115A0">
        <w:t>SCE, SDG&amp;E,</w:t>
      </w:r>
      <w:r w:rsidR="0086333A">
        <w:t xml:space="preserve"> and SoCalGas</w:t>
      </w:r>
      <w:r w:rsidR="0027488E">
        <w:t xml:space="preserve"> initially</w:t>
      </w:r>
      <w:r w:rsidR="000115A0">
        <w:t xml:space="preserve"> propose</w:t>
      </w:r>
      <w:r w:rsidR="002E6071">
        <w:t>d</w:t>
      </w:r>
      <w:r w:rsidR="000115A0">
        <w:t xml:space="preserve"> to keep funding the same as 2026.</w:t>
      </w:r>
      <w:r w:rsidRPr="002E6071" w:rsidR="002E6071">
        <w:t xml:space="preserve"> </w:t>
      </w:r>
      <w:r w:rsidR="002E6071">
        <w:t>A staff proposal attached to the Scoping Memo propos</w:t>
      </w:r>
      <w:r w:rsidR="003C0CD2">
        <w:t>ed increasing the CHANGES budget by</w:t>
      </w:r>
      <w:r w:rsidR="002E6071">
        <w:t xml:space="preserve"> $855,000 </w:t>
      </w:r>
      <w:r w:rsidR="00F63638">
        <w:t xml:space="preserve">to </w:t>
      </w:r>
      <w:r w:rsidR="00464DD4">
        <w:t>$2.6 million</w:t>
      </w:r>
      <w:r w:rsidR="003C0CD2">
        <w:t xml:space="preserve"> in 2027</w:t>
      </w:r>
      <w:r w:rsidR="002E6071">
        <w:t>.</w:t>
      </w:r>
      <w:r w:rsidR="00464DD4">
        <w:t xml:space="preserve">  The Staff Proposal </w:t>
      </w:r>
      <w:r w:rsidR="009674EC">
        <w:t>stated that an increase to the budget was needed to</w:t>
      </w:r>
      <w:r w:rsidR="002E6071">
        <w:t xml:space="preserve"> </w:t>
      </w:r>
      <w:r w:rsidR="00AE39F6">
        <w:t>address program growth and inflation.</w:t>
      </w:r>
      <w:r w:rsidR="002E6071">
        <w:t xml:space="preserve"> </w:t>
      </w:r>
      <w:r w:rsidR="008B4D1D">
        <w:t xml:space="preserve">SCE, SDG&amp;E, </w:t>
      </w:r>
      <w:proofErr w:type="spellStart"/>
      <w:r w:rsidR="008B4D1D">
        <w:t>CforAT</w:t>
      </w:r>
      <w:proofErr w:type="spellEnd"/>
      <w:r w:rsidR="00DF5C5E">
        <w:t>,</w:t>
      </w:r>
      <w:r w:rsidR="008B4D1D">
        <w:rPr>
          <w:rStyle w:val="FootnoteReference"/>
        </w:rPr>
        <w:footnoteReference w:id="105"/>
      </w:r>
      <w:r w:rsidR="008B4D1D">
        <w:t xml:space="preserve"> and TURN</w:t>
      </w:r>
      <w:r w:rsidR="00C04541">
        <w:rPr>
          <w:rStyle w:val="FootnoteReference"/>
        </w:rPr>
        <w:footnoteReference w:id="106"/>
      </w:r>
      <w:r w:rsidR="005236AF">
        <w:t xml:space="preserve"> all support the proposed increase. </w:t>
      </w:r>
      <w:r w:rsidR="00DF5C5E">
        <w:t xml:space="preserve"> </w:t>
      </w:r>
      <w:r w:rsidR="005236AF">
        <w:t>SDG&amp;E</w:t>
      </w:r>
      <w:r w:rsidR="00F77A96">
        <w:t xml:space="preserve"> states that it will fund-shift from other CARE administrative budget categories to cover the increase.</w:t>
      </w:r>
      <w:r w:rsidR="00F77A96">
        <w:rPr>
          <w:rStyle w:val="FootnoteReference"/>
        </w:rPr>
        <w:footnoteReference w:id="107"/>
      </w:r>
      <w:r w:rsidR="004B35E6">
        <w:t xml:space="preserve">  </w:t>
      </w:r>
      <w:r w:rsidR="00AF39D6">
        <w:t xml:space="preserve">PG&amp;E asks that the IOUs be allowed to recover the increased CHANGES budget </w:t>
      </w:r>
      <w:r w:rsidR="00FC1A37">
        <w:t xml:space="preserve">via the CARE budget, as was authorized </w:t>
      </w:r>
      <w:proofErr w:type="gramStart"/>
      <w:r w:rsidR="00FC1A37">
        <w:t>in</w:t>
      </w:r>
      <w:proofErr w:type="gramEnd"/>
      <w:r w:rsidR="00FC1A37">
        <w:t xml:space="preserve"> D.21-06-015.</w:t>
      </w:r>
    </w:p>
    <w:p w:rsidRPr="004F7BC0" w:rsidR="004B35E6" w:rsidP="004B35E6" w:rsidRDefault="004B35E6" w14:paraId="4B5C467B" w14:textId="5BECE1CA">
      <w:pPr>
        <w:pStyle w:val="Standard"/>
      </w:pPr>
      <w:r>
        <w:t xml:space="preserve">It is reasonable to increase the CHANGES budget to address increased costs and promote continued program growth.  </w:t>
      </w:r>
      <w:r w:rsidR="009F502D">
        <w:t>A budget of $2</w:t>
      </w:r>
      <w:r w:rsidR="001B5DDD">
        <w:t>,605,300</w:t>
      </w:r>
      <w:r w:rsidR="009F502D">
        <w:t xml:space="preserve"> is </w:t>
      </w:r>
      <w:r w:rsidR="009F502D">
        <w:lastRenderedPageBreak/>
        <w:t>approved</w:t>
      </w:r>
      <w:r w:rsidR="00877330">
        <w:t xml:space="preserve"> for 2027</w:t>
      </w:r>
      <w:r w:rsidR="009F502D">
        <w:t xml:space="preserve">, </w:t>
      </w:r>
      <w:r w:rsidR="0007731E">
        <w:t>to be</w:t>
      </w:r>
      <w:r w:rsidR="00371C84">
        <w:t xml:space="preserve"> </w:t>
      </w:r>
      <w:r w:rsidRPr="00371C84" w:rsidR="00371C84">
        <w:t>funded through the CARE program and</w:t>
      </w:r>
      <w:r w:rsidR="0007731E">
        <w:t xml:space="preserve"> paid by the IOUs </w:t>
      </w:r>
      <w:r w:rsidR="009F502D">
        <w:t xml:space="preserve">in the same proportion as was authorized </w:t>
      </w:r>
      <w:proofErr w:type="gramStart"/>
      <w:r w:rsidR="009F502D">
        <w:t>in</w:t>
      </w:r>
      <w:proofErr w:type="gramEnd"/>
      <w:r w:rsidR="009F502D">
        <w:t xml:space="preserve"> D.21-06-015.</w:t>
      </w:r>
      <w:r w:rsidR="009F502D">
        <w:rPr>
          <w:rStyle w:val="FootnoteReference"/>
        </w:rPr>
        <w:footnoteReference w:id="108"/>
      </w:r>
    </w:p>
    <w:p w:rsidR="000322D9" w:rsidP="00FE2D37" w:rsidRDefault="000322D9" w14:paraId="754BBEAB" w14:textId="0AF93677">
      <w:pPr>
        <w:pStyle w:val="Heading2"/>
      </w:pPr>
      <w:bookmarkStart w:name="_Toc230872101" w:id="67"/>
      <w:r>
        <w:t>Escalation</w:t>
      </w:r>
      <w:bookmarkEnd w:id="67"/>
    </w:p>
    <w:p w:rsidR="00BC6E2D" w:rsidP="00BC6E2D" w:rsidRDefault="000322D9" w14:paraId="53C28189" w14:textId="49B57A10">
      <w:pPr>
        <w:pStyle w:val="Standard"/>
      </w:pPr>
      <w:r>
        <w:t xml:space="preserve">TURN proposes that </w:t>
      </w:r>
      <w:r w:rsidR="00FE79D7">
        <w:t>the IOUs be required to provide more information related to their application of</w:t>
      </w:r>
      <w:r w:rsidR="0076594A">
        <w:t xml:space="preserve"> “escalation”</w:t>
      </w:r>
      <w:r w:rsidR="00FE79D7">
        <w:t xml:space="preserve"> for budgeting purposes, </w:t>
      </w:r>
      <w:r w:rsidR="003A6AEA">
        <w:t xml:space="preserve">to provide </w:t>
      </w:r>
      <w:r w:rsidR="00545B63">
        <w:t>transparency</w:t>
      </w:r>
      <w:r w:rsidR="003A6AEA">
        <w:t xml:space="preserve"> across IOU applications</w:t>
      </w:r>
      <w:r w:rsidR="00FB4551">
        <w:t>.</w:t>
      </w:r>
      <w:r w:rsidR="00545B63">
        <w:t xml:space="preserve">  </w:t>
      </w:r>
      <w:r w:rsidR="00E02DEE">
        <w:t xml:space="preserve">TURN notes that </w:t>
      </w:r>
      <w:r w:rsidR="00C8377A">
        <w:t xml:space="preserve">the IOUs applied escalation differently in the 2027 </w:t>
      </w:r>
      <w:r w:rsidR="00D66A83">
        <w:t xml:space="preserve">budgets with regards to labor/non-labor </w:t>
      </w:r>
      <w:r w:rsidR="00C77105">
        <w:t>and differently amongst the same budget categories</w:t>
      </w:r>
      <w:r w:rsidR="00331452">
        <w:t xml:space="preserve">, </w:t>
      </w:r>
      <w:r w:rsidR="00E47D43">
        <w:t>and</w:t>
      </w:r>
      <w:r w:rsidR="00331452">
        <w:t xml:space="preserve"> do</w:t>
      </w:r>
      <w:r w:rsidR="00E47D43">
        <w:t xml:space="preserve"> not</w:t>
      </w:r>
      <w:r w:rsidR="00331452">
        <w:t xml:space="preserve"> </w:t>
      </w:r>
      <w:r w:rsidR="009D2E00">
        <w:t>satisfactorily</w:t>
      </w:r>
      <w:r w:rsidR="00331452">
        <w:t xml:space="preserve"> explain how or why such </w:t>
      </w:r>
      <w:r w:rsidR="001753BB">
        <w:t>escalation applications</w:t>
      </w:r>
      <w:r w:rsidR="00331452">
        <w:t xml:space="preserve"> were made</w:t>
      </w:r>
      <w:r w:rsidR="00C77105">
        <w:t>.</w:t>
      </w:r>
      <w:r w:rsidR="00C77105">
        <w:rPr>
          <w:rStyle w:val="FootnoteReference"/>
        </w:rPr>
        <w:footnoteReference w:id="109"/>
      </w:r>
      <w:r w:rsidR="00C8377A">
        <w:t xml:space="preserve"> </w:t>
      </w:r>
      <w:r w:rsidR="00545B63">
        <w:t>These proposed changes include:</w:t>
      </w:r>
      <w:r w:rsidR="009C4C22">
        <w:rPr>
          <w:rStyle w:val="FootnoteReference"/>
        </w:rPr>
        <w:footnoteReference w:id="110"/>
      </w:r>
    </w:p>
    <w:p w:rsidR="00BC6E2D" w:rsidP="00FE2D37" w:rsidRDefault="00124775" w14:paraId="53D54A51" w14:textId="5BDB5259">
      <w:pPr>
        <w:pStyle w:val="ListBullet"/>
        <w:ind w:right="1440"/>
      </w:pPr>
      <w:r>
        <w:t>Requiring the utilities to c</w:t>
      </w:r>
      <w:r w:rsidRPr="00BC6E2D" w:rsidR="00BC6E2D">
        <w:t>larif</w:t>
      </w:r>
      <w:r w:rsidR="00BC6E2D">
        <w:t>y</w:t>
      </w:r>
      <w:r w:rsidRPr="00BC6E2D" w:rsidR="00BC6E2D">
        <w:t xml:space="preserve"> that the term ‘escalation’ refers to the increase in the costs of goods and services due to inflation and does not include other changes to the budget</w:t>
      </w:r>
      <w:r w:rsidR="00BC6E2D">
        <w:t>;</w:t>
      </w:r>
    </w:p>
    <w:p w:rsidR="00BC6E2D" w:rsidP="00FE2D37" w:rsidRDefault="00124775" w14:paraId="066EB370" w14:textId="7DA4309A">
      <w:pPr>
        <w:pStyle w:val="ListBullet"/>
        <w:ind w:right="1440"/>
      </w:pPr>
      <w:r>
        <w:t>D</w:t>
      </w:r>
      <w:r w:rsidRPr="00BC6E2D" w:rsidR="00BC6E2D">
        <w:t>irect</w:t>
      </w:r>
      <w:r w:rsidR="00BC6E2D">
        <w:t>ing</w:t>
      </w:r>
      <w:r w:rsidRPr="00BC6E2D" w:rsidR="00BC6E2D">
        <w:t xml:space="preserve"> </w:t>
      </w:r>
      <w:r w:rsidR="002E7E05">
        <w:t>the</w:t>
      </w:r>
      <w:r w:rsidRPr="00BC6E2D" w:rsidR="002E7E05">
        <w:t xml:space="preserve"> </w:t>
      </w:r>
      <w:r w:rsidRPr="00BC6E2D" w:rsidR="00BC6E2D">
        <w:t xml:space="preserve">utilities to provide budgets without escalation, budgets with escalation, and </w:t>
      </w:r>
      <w:proofErr w:type="gramStart"/>
      <w:r w:rsidRPr="00BC6E2D" w:rsidR="00BC6E2D">
        <w:t>isolate</w:t>
      </w:r>
      <w:proofErr w:type="gramEnd"/>
      <w:r w:rsidRPr="00BC6E2D" w:rsidR="00BC6E2D">
        <w:t xml:space="preserve"> for any proposed escalation by program and cost category for transparency for 2027 and moving forward</w:t>
      </w:r>
      <w:r w:rsidR="00BC6E2D">
        <w:t>; and</w:t>
      </w:r>
    </w:p>
    <w:p w:rsidR="00E02DEE" w:rsidP="00FE2D37" w:rsidRDefault="00124775" w14:paraId="208E4624" w14:textId="3869A9CE">
      <w:pPr>
        <w:pStyle w:val="ListBullet"/>
        <w:ind w:right="1440"/>
      </w:pPr>
      <w:r>
        <w:t>D</w:t>
      </w:r>
      <w:r w:rsidRPr="009C4C22" w:rsidR="009C4C22">
        <w:t>irect</w:t>
      </w:r>
      <w:r w:rsidR="009C4C22">
        <w:t>ing</w:t>
      </w:r>
      <w:r w:rsidRPr="009C4C22" w:rsidR="009C4C22">
        <w:t xml:space="preserve"> </w:t>
      </w:r>
      <w:r w:rsidR="002E7E05">
        <w:t>the</w:t>
      </w:r>
      <w:r w:rsidRPr="009C4C22" w:rsidR="002E7E05">
        <w:t xml:space="preserve"> </w:t>
      </w:r>
      <w:r w:rsidRPr="009C4C22" w:rsidR="009C4C22">
        <w:t>utilities to provide the methodology used to calculate escalation by program and cost category and the justification for the applied methodology</w:t>
      </w:r>
      <w:r w:rsidR="009C4C22">
        <w:t>.</w:t>
      </w:r>
    </w:p>
    <w:p w:rsidR="000322D9" w:rsidP="000322D9" w:rsidRDefault="000322D9" w14:paraId="1FB38AC5" w14:textId="32A941C8">
      <w:pPr>
        <w:pStyle w:val="Standard"/>
      </w:pPr>
      <w:r>
        <w:t xml:space="preserve">SoCalGas </w:t>
      </w:r>
      <w:r w:rsidR="001F0CAC">
        <w:t>and SCE are</w:t>
      </w:r>
      <w:r>
        <w:t xml:space="preserve"> supportive of TURN’s proposal to clarify </w:t>
      </w:r>
      <w:proofErr w:type="gramStart"/>
      <w:r>
        <w:t>escalation</w:t>
      </w:r>
      <w:r w:rsidR="00D86EEC">
        <w:t>, b</w:t>
      </w:r>
      <w:r w:rsidR="00FB4551">
        <w:t>ut</w:t>
      </w:r>
      <w:proofErr w:type="gramEnd"/>
      <w:r w:rsidR="00FB4551">
        <w:t xml:space="preserve"> disagree that budgets should be provided with and without escalation</w:t>
      </w:r>
      <w:r w:rsidR="00D86EEC">
        <w:t xml:space="preserve"> and that the IOUs be directed to provid</w:t>
      </w:r>
      <w:r w:rsidR="00D3160F">
        <w:t>e the methodology to calculate escalation.</w:t>
      </w:r>
      <w:r w:rsidR="00D3160F">
        <w:rPr>
          <w:rStyle w:val="FootnoteReference"/>
        </w:rPr>
        <w:footnoteReference w:id="111"/>
      </w:r>
      <w:r w:rsidR="0023114E">
        <w:t xml:space="preserve">  </w:t>
      </w:r>
      <w:r w:rsidR="00AD1AC3">
        <w:lastRenderedPageBreak/>
        <w:t xml:space="preserve">PG&amp;E and </w:t>
      </w:r>
      <w:r w:rsidR="0023114E">
        <w:t xml:space="preserve">SDG&amp;E state that consideration should be </w:t>
      </w:r>
      <w:r w:rsidR="002E7E05">
        <w:t>deferred to the 2028-2033 IQP</w:t>
      </w:r>
      <w:r w:rsidR="0023114E">
        <w:t xml:space="preserve"> </w:t>
      </w:r>
      <w:r w:rsidR="002E7E05">
        <w:t>a</w:t>
      </w:r>
      <w:r w:rsidR="0023114E">
        <w:t>pplication</w:t>
      </w:r>
      <w:r w:rsidR="002E7E05">
        <w:t>s</w:t>
      </w:r>
      <w:r w:rsidR="0023114E">
        <w:t>.</w:t>
      </w:r>
      <w:r w:rsidR="00AD1AC3">
        <w:rPr>
          <w:rStyle w:val="FootnoteReference"/>
        </w:rPr>
        <w:footnoteReference w:id="112"/>
      </w:r>
    </w:p>
    <w:p w:rsidRPr="000322D9" w:rsidR="00DB6C53" w:rsidP="000322D9" w:rsidRDefault="003A62CF" w14:paraId="2EF2CE9B" w14:textId="525C218D">
      <w:pPr>
        <w:pStyle w:val="Standard"/>
      </w:pPr>
      <w:r>
        <w:t xml:space="preserve">We decline to issue any direction regarding escalation in this proceeding, but to the extent that it remains an issue, intervenors are encouraged to </w:t>
      </w:r>
      <w:r w:rsidR="00C62365">
        <w:t xml:space="preserve">raise the issue </w:t>
      </w:r>
      <w:r w:rsidR="00DE70B9">
        <w:t>in the 2028-2033 IQP applications</w:t>
      </w:r>
      <w:r w:rsidR="00C62365">
        <w:t>.</w:t>
      </w:r>
    </w:p>
    <w:p w:rsidR="00EC4A40" w:rsidP="00FE2D37" w:rsidRDefault="00EC4A40" w14:paraId="1CD3D4F8" w14:textId="0A6239B0">
      <w:pPr>
        <w:pStyle w:val="Heading2"/>
      </w:pPr>
      <w:bookmarkStart w:name="_Toc230872102" w:id="68"/>
      <w:r>
        <w:t>Unspent Funds</w:t>
      </w:r>
      <w:bookmarkEnd w:id="68"/>
    </w:p>
    <w:p w:rsidR="00EC4A40" w:rsidP="007360AE" w:rsidRDefault="007360AE" w14:paraId="26CEA215" w14:textId="39B94A75">
      <w:pPr>
        <w:pStyle w:val="Standard"/>
      </w:pPr>
      <w:r>
        <w:t xml:space="preserve">D.21-06-015 directed the IOUs to use </w:t>
      </w:r>
      <w:r w:rsidRPr="007360AE">
        <w:t>any remaining uncommitted and unspent</w:t>
      </w:r>
      <w:r>
        <w:t xml:space="preserve"> </w:t>
      </w:r>
      <w:r w:rsidRPr="007360AE">
        <w:t>funds at the end of 2026 to offset 2027 collection</w:t>
      </w:r>
      <w:r>
        <w:t xml:space="preserve">.  </w:t>
      </w:r>
      <w:r w:rsidR="006316AC">
        <w:t xml:space="preserve">The IOUs variously proposed to use differing amounts of unspent funds, but not the full amounts outstanding, to reduce 2027 collections.  PG&amp;E </w:t>
      </w:r>
      <w:r w:rsidR="00B152DC">
        <w:t xml:space="preserve">initially </w:t>
      </w:r>
      <w:r w:rsidR="006316AC">
        <w:t>proposed to use $40 million, out of a forecasted $104 million.</w:t>
      </w:r>
      <w:r w:rsidR="006316AC">
        <w:rPr>
          <w:rStyle w:val="FootnoteReference"/>
        </w:rPr>
        <w:footnoteReference w:id="113"/>
      </w:r>
      <w:r w:rsidR="002A7309">
        <w:t xml:space="preserve"> </w:t>
      </w:r>
      <w:r w:rsidR="00A407ED">
        <w:t xml:space="preserve"> </w:t>
      </w:r>
      <w:r w:rsidR="00972918">
        <w:t>SCE forecasts $49.0 million of unspent and uncommitted funds as of year-end 2026</w:t>
      </w:r>
      <w:r w:rsidR="0013686C">
        <w:t xml:space="preserve"> in the MFWB and PP/PD </w:t>
      </w:r>
      <w:proofErr w:type="gramStart"/>
      <w:r w:rsidR="0013686C">
        <w:t>programs</w:t>
      </w:r>
      <w:r w:rsidR="00972918">
        <w:t>, and</w:t>
      </w:r>
      <w:proofErr w:type="gramEnd"/>
      <w:r w:rsidR="00972918">
        <w:t xml:space="preserve"> proposes </w:t>
      </w:r>
      <w:proofErr w:type="gramStart"/>
      <w:r w:rsidR="00972918">
        <w:t>to invest</w:t>
      </w:r>
      <w:proofErr w:type="gramEnd"/>
      <w:r w:rsidR="00972918">
        <w:t xml:space="preserve"> $40.1 million</w:t>
      </w:r>
      <w:r w:rsidR="001A34CF">
        <w:t xml:space="preserve"> of that</w:t>
      </w:r>
      <w:r w:rsidR="00972918">
        <w:t xml:space="preserve"> to support the ESA program</w:t>
      </w:r>
      <w:r w:rsidR="0013686C">
        <w:t>, including ESA Main</w:t>
      </w:r>
      <w:r w:rsidR="00972918">
        <w:t>.</w:t>
      </w:r>
      <w:r w:rsidR="00232E2D">
        <w:t xml:space="preserve">  SoCalGas proposes </w:t>
      </w:r>
      <w:r w:rsidR="00C01338">
        <w:t xml:space="preserve">to </w:t>
      </w:r>
      <w:r w:rsidR="000C07CE">
        <w:t>apply $26 million in unspent funds to the MFWB program, while</w:t>
      </w:r>
      <w:r w:rsidR="00232E2D">
        <w:t xml:space="preserve"> retain</w:t>
      </w:r>
      <w:r w:rsidR="000C07CE">
        <w:t>ing</w:t>
      </w:r>
      <w:r w:rsidR="00232E2D">
        <w:t xml:space="preserve"> $29 million in unspent funds </w:t>
      </w:r>
      <w:r w:rsidR="00C36FA0">
        <w:t>from the PP/PD program to offset potential unknown cost increases due to tariffs.</w:t>
      </w:r>
      <w:r w:rsidR="00C36FA0">
        <w:rPr>
          <w:rStyle w:val="FootnoteReference"/>
        </w:rPr>
        <w:footnoteReference w:id="114"/>
      </w:r>
      <w:r w:rsidR="000C07CE">
        <w:t xml:space="preserve">  SDG&amp;E proposes </w:t>
      </w:r>
      <w:proofErr w:type="gramStart"/>
      <w:r w:rsidR="000C07CE">
        <w:t>to utilize</w:t>
      </w:r>
      <w:proofErr w:type="gramEnd"/>
      <w:r w:rsidR="000C07CE">
        <w:t xml:space="preserve"> </w:t>
      </w:r>
      <w:proofErr w:type="gramStart"/>
      <w:r w:rsidR="000C07CE">
        <w:t>all of</w:t>
      </w:r>
      <w:proofErr w:type="gramEnd"/>
      <w:r w:rsidR="000C07CE">
        <w:t xml:space="preserve"> its $19 million in estimated unspent funds</w:t>
      </w:r>
      <w:r w:rsidR="001A34CF">
        <w:t>.</w:t>
      </w:r>
    </w:p>
    <w:p w:rsidR="007C615E" w:rsidP="007360AE" w:rsidRDefault="009B7065" w14:paraId="5F550483" w14:textId="034A6B3F">
      <w:pPr>
        <w:pStyle w:val="Standard"/>
      </w:pPr>
      <w:r>
        <w:t>TURN</w:t>
      </w:r>
      <w:r w:rsidR="007C615E">
        <w:t xml:space="preserve"> propose</w:t>
      </w:r>
      <w:r>
        <w:t>s</w:t>
      </w:r>
      <w:r w:rsidR="007C615E">
        <w:t xml:space="preserve"> using the full amount to reduce collections</w:t>
      </w:r>
      <w:r>
        <w:t>, in recognition of affordability concerns for ratepayers.</w:t>
      </w:r>
      <w:r>
        <w:rPr>
          <w:rStyle w:val="FootnoteReference"/>
        </w:rPr>
        <w:footnoteReference w:id="115"/>
      </w:r>
      <w:r w:rsidR="0013686C">
        <w:t xml:space="preserve">  </w:t>
      </w:r>
      <w:r w:rsidR="00B324D6">
        <w:t xml:space="preserve">Specifically with regards to SoCalGas, TURN notes that </w:t>
      </w:r>
      <w:r w:rsidR="005A41E8">
        <w:t xml:space="preserve">any potential impacts due to tariffs should already be known to </w:t>
      </w:r>
      <w:r w:rsidR="005A41E8">
        <w:lastRenderedPageBreak/>
        <w:t>SoCalGas and may be managed within existing ESA budgets</w:t>
      </w:r>
      <w:r w:rsidR="00A5266F">
        <w:t>, as the other IOUs plan to do.</w:t>
      </w:r>
      <w:r w:rsidR="00A5266F">
        <w:rPr>
          <w:rStyle w:val="FootnoteReference"/>
        </w:rPr>
        <w:footnoteReference w:id="116"/>
      </w:r>
      <w:r w:rsidR="00A5266F">
        <w:t xml:space="preserve">  TURN also notes that </w:t>
      </w:r>
      <w:r w:rsidR="00F50FF1">
        <w:t xml:space="preserve">SCE and </w:t>
      </w:r>
      <w:r w:rsidR="00A5266F">
        <w:t xml:space="preserve">SoCalGas </w:t>
      </w:r>
      <w:r w:rsidR="00F50FF1">
        <w:t>have</w:t>
      </w:r>
      <w:r w:rsidR="00A5266F">
        <w:t xml:space="preserve"> </w:t>
      </w:r>
      <w:r w:rsidR="00F50FF1">
        <w:t xml:space="preserve">recently </w:t>
      </w:r>
      <w:r w:rsidR="00A5266F">
        <w:t>underspent</w:t>
      </w:r>
      <w:r w:rsidR="00F50FF1">
        <w:t xml:space="preserve"> their authorized</w:t>
      </w:r>
      <w:r w:rsidR="00A5266F">
        <w:t xml:space="preserve"> ESA budget</w:t>
      </w:r>
      <w:r w:rsidR="00F50FF1">
        <w:t>s</w:t>
      </w:r>
      <w:r w:rsidR="004041D4">
        <w:t xml:space="preserve">, which should allow </w:t>
      </w:r>
      <w:r w:rsidR="00F50FF1">
        <w:t>them to absorb any unforeseen costs, such as</w:t>
      </w:r>
      <w:r w:rsidR="004041D4">
        <w:t xml:space="preserve"> any tariff-related cost increases.</w:t>
      </w:r>
      <w:r w:rsidR="00F50FF1">
        <w:rPr>
          <w:rStyle w:val="FootnoteReference"/>
        </w:rPr>
        <w:footnoteReference w:id="117"/>
      </w:r>
      <w:r w:rsidR="0040343F">
        <w:t xml:space="preserve">  TURN notes that fund-shifting </w:t>
      </w:r>
      <w:r w:rsidR="0050485B">
        <w:t xml:space="preserve">can also be used to absorb </w:t>
      </w:r>
      <w:r w:rsidR="00C843A7">
        <w:t xml:space="preserve">any cost overruns.  </w:t>
      </w:r>
    </w:p>
    <w:p w:rsidR="00772349" w:rsidP="00A87D2A" w:rsidRDefault="00177CF7" w14:paraId="2C01CB26" w14:textId="3F779577">
      <w:pPr>
        <w:pStyle w:val="Standard"/>
      </w:pPr>
      <w:r>
        <w:t xml:space="preserve">PG&amp;E did not </w:t>
      </w:r>
      <w:r w:rsidR="00527AA9">
        <w:t xml:space="preserve">have any </w:t>
      </w:r>
      <w:r>
        <w:t>concerns with applying the full unspent funds amount to 2027 funds.  SCE</w:t>
      </w:r>
      <w:r w:rsidR="009E497C">
        <w:t xml:space="preserve"> stated no general opposition to the idea, except that funds should be used to support the BE pilot.</w:t>
      </w:r>
      <w:r w:rsidR="009E497C">
        <w:rPr>
          <w:rStyle w:val="FootnoteReference"/>
        </w:rPr>
        <w:footnoteReference w:id="118"/>
      </w:r>
      <w:r w:rsidR="00232E2D">
        <w:t xml:space="preserve">  SoCalGas</w:t>
      </w:r>
      <w:r w:rsidR="00894AAF">
        <w:t xml:space="preserve"> </w:t>
      </w:r>
      <w:r w:rsidR="00793590">
        <w:t>maintained its position.</w:t>
      </w:r>
      <w:r w:rsidR="00A87D2A">
        <w:t xml:space="preserve">  </w:t>
      </w:r>
      <w:r w:rsidR="00772349">
        <w:t>TELACU and Maravilla support SoCalGas’</w:t>
      </w:r>
      <w:r w:rsidR="00894AAF">
        <w:t xml:space="preserve"> proposal to withhold </w:t>
      </w:r>
      <w:r w:rsidR="001960FA">
        <w:t xml:space="preserve">unspent </w:t>
      </w:r>
      <w:r w:rsidR="00894AAF">
        <w:t>funds, noting unknowns related to material and goods costs for ESA.</w:t>
      </w:r>
      <w:r w:rsidR="009766B3">
        <w:rPr>
          <w:rStyle w:val="FootnoteReference"/>
        </w:rPr>
        <w:footnoteReference w:id="119"/>
      </w:r>
    </w:p>
    <w:p w:rsidR="00F42705" w:rsidP="007360AE" w:rsidRDefault="00793590" w14:paraId="257437FC" w14:textId="4C59D9B7">
      <w:pPr>
        <w:pStyle w:val="Standard"/>
      </w:pPr>
      <w:r>
        <w:t xml:space="preserve">Due to </w:t>
      </w:r>
      <w:r w:rsidR="00F35AE9">
        <w:t>increasing affordability concerns, and as dictated in D.21-06-015</w:t>
      </w:r>
      <w:r w:rsidR="001960FA">
        <w:t>,</w:t>
      </w:r>
      <w:r w:rsidR="00E218DC">
        <w:rPr>
          <w:rStyle w:val="FootnoteReference"/>
        </w:rPr>
        <w:footnoteReference w:id="120"/>
      </w:r>
      <w:r w:rsidR="00F35AE9">
        <w:t xml:space="preserve"> </w:t>
      </w:r>
      <w:r w:rsidR="001960FA">
        <w:t xml:space="preserve">all </w:t>
      </w:r>
      <w:r w:rsidR="00F35AE9">
        <w:t>unspent fund</w:t>
      </w:r>
      <w:r w:rsidR="001960FA">
        <w:t>s</w:t>
      </w:r>
      <w:r w:rsidR="00F35AE9">
        <w:t xml:space="preserve"> should be expended </w:t>
      </w:r>
      <w:r w:rsidR="001960FA">
        <w:t xml:space="preserve">to offset 2027 collections and </w:t>
      </w:r>
      <w:r w:rsidR="00F35AE9">
        <w:t>to address immediate affordability concerns</w:t>
      </w:r>
      <w:r w:rsidR="00F11758">
        <w:t xml:space="preserve">.  SoCalGas has not presented a persuasive argument as to why the ESA program </w:t>
      </w:r>
      <w:proofErr w:type="gramStart"/>
      <w:r w:rsidR="00F11758">
        <w:t>in particular should</w:t>
      </w:r>
      <w:proofErr w:type="gramEnd"/>
      <w:r w:rsidR="00F11758">
        <w:t xml:space="preserve"> be excluded from the general Commission practice of IOUs forecasting costs </w:t>
      </w:r>
      <w:r w:rsidR="006222FD">
        <w:t>in their applications and receiving authority to recover up to that amount.</w:t>
      </w:r>
      <w:r w:rsidR="003A29C1">
        <w:t xml:space="preserve">  Additionally, it is not clear why the IOUs should be granted increased</w:t>
      </w:r>
      <w:r w:rsidR="00B21DB6">
        <w:t xml:space="preserve"> 2027</w:t>
      </w:r>
      <w:r w:rsidR="003A29C1">
        <w:t xml:space="preserve"> budgets while also retaining </w:t>
      </w:r>
      <w:r w:rsidR="00B21DB6">
        <w:t xml:space="preserve">unspent funds.  The IOUs </w:t>
      </w:r>
      <w:r w:rsidR="007E591A">
        <w:t xml:space="preserve">should accurately forecast costs in this proceeding, as they are required to do in </w:t>
      </w:r>
      <w:r w:rsidR="0084627E">
        <w:t>other</w:t>
      </w:r>
      <w:r w:rsidR="007E591A">
        <w:t xml:space="preserve"> Commission proceedings.  </w:t>
      </w:r>
    </w:p>
    <w:p w:rsidR="00793590" w:rsidP="007360AE" w:rsidRDefault="00F42705" w14:paraId="44913681" w14:textId="321C2A2D">
      <w:pPr>
        <w:pStyle w:val="Standard"/>
      </w:pPr>
      <w:r>
        <w:lastRenderedPageBreak/>
        <w:t>Therefore, t</w:t>
      </w:r>
      <w:r w:rsidR="009646F9">
        <w:t xml:space="preserve">he IOUs </w:t>
      </w:r>
      <w:r>
        <w:t>shall</w:t>
      </w:r>
      <w:r w:rsidR="009646F9">
        <w:t xml:space="preserve"> utilize all</w:t>
      </w:r>
      <w:r w:rsidR="00134A5D">
        <w:t xml:space="preserve"> unspent funds</w:t>
      </w:r>
      <w:r w:rsidR="009646F9">
        <w:t xml:space="preserve"> </w:t>
      </w:r>
      <w:r w:rsidR="00134A5D">
        <w:t>(</w:t>
      </w:r>
      <w:r w:rsidR="00023DF9">
        <w:t>committed and uncommitted</w:t>
      </w:r>
      <w:r w:rsidR="00134A5D">
        <w:t>)</w:t>
      </w:r>
      <w:r w:rsidR="008A7E64">
        <w:t xml:space="preserve"> </w:t>
      </w:r>
      <w:r w:rsidR="00461664">
        <w:t xml:space="preserve">in each program category </w:t>
      </w:r>
      <w:r w:rsidR="009646F9">
        <w:t xml:space="preserve">at the end of 2026 to reduce </w:t>
      </w:r>
      <w:r w:rsidR="00461664">
        <w:t xml:space="preserve">the </w:t>
      </w:r>
      <w:r w:rsidR="0084627E">
        <w:t xml:space="preserve">2027 </w:t>
      </w:r>
      <w:r w:rsidR="00461664">
        <w:t xml:space="preserve">budget </w:t>
      </w:r>
      <w:r w:rsidR="00A13E62">
        <w:t xml:space="preserve">authorized </w:t>
      </w:r>
      <w:r w:rsidR="00461664">
        <w:t>for those categories, except where fund</w:t>
      </w:r>
      <w:r w:rsidR="00A87D2A">
        <w:t>-</w:t>
      </w:r>
      <w:r w:rsidR="00461664">
        <w:t>shifting has been approved</w:t>
      </w:r>
      <w:r w:rsidR="0084627E">
        <w:t xml:space="preserve"> either through the processes laid out in D.21-06-015 or in this </w:t>
      </w:r>
      <w:r w:rsidR="00A13E62">
        <w:t>d</w:t>
      </w:r>
      <w:r w:rsidR="0084627E">
        <w:t>ecision</w:t>
      </w:r>
      <w:r w:rsidR="005E066B">
        <w:t xml:space="preserve"> (i.e., application of other ESA programs funds to ESA Main</w:t>
      </w:r>
      <w:r w:rsidR="00B7413D">
        <w:t xml:space="preserve"> activities</w:t>
      </w:r>
      <w:r w:rsidR="00C01338">
        <w:t>)</w:t>
      </w:r>
      <w:r w:rsidR="00D460CD">
        <w:t>.</w:t>
      </w:r>
      <w:r w:rsidR="00831540">
        <w:t xml:space="preserve">  The amounts forecasted</w:t>
      </w:r>
      <w:r w:rsidR="000C2C78">
        <w:t xml:space="preserve"> for unspent funds are as follows:</w:t>
      </w:r>
    </w:p>
    <w:p w:rsidRPr="00F20422" w:rsidR="008109E2" w:rsidP="008109E2" w:rsidRDefault="008109E2" w14:paraId="15028E6B" w14:textId="02A6FDE9">
      <w:pPr>
        <w:pStyle w:val="Standard"/>
        <w:jc w:val="center"/>
        <w:rPr>
          <w:b/>
          <w:bCs/>
        </w:rPr>
      </w:pPr>
      <w:r w:rsidRPr="00F20422">
        <w:rPr>
          <w:b/>
          <w:bCs/>
        </w:rPr>
        <w:t xml:space="preserve">Table </w:t>
      </w:r>
      <w:r w:rsidR="00CF4EA7">
        <w:rPr>
          <w:b/>
          <w:bCs/>
        </w:rPr>
        <w:t>1</w:t>
      </w:r>
      <w:r w:rsidR="00023DF9">
        <w:rPr>
          <w:b/>
          <w:bCs/>
        </w:rPr>
        <w:t>2</w:t>
      </w:r>
      <w:r w:rsidRPr="00F20422">
        <w:rPr>
          <w:b/>
          <w:bCs/>
        </w:rPr>
        <w:t xml:space="preserve">: </w:t>
      </w:r>
      <w:r w:rsidRPr="00F20422" w:rsidR="001F6EF7">
        <w:rPr>
          <w:b/>
          <w:bCs/>
        </w:rPr>
        <w:t xml:space="preserve">Projected Remaining Unspent Funds to be Applied in 2027 to ESA </w:t>
      </w:r>
      <w:r w:rsidRPr="00F20422" w:rsidR="00C2165F">
        <w:rPr>
          <w:b/>
          <w:bCs/>
        </w:rPr>
        <w:t>P</w:t>
      </w:r>
      <w:r w:rsidRPr="00F20422" w:rsidR="001F6EF7">
        <w:rPr>
          <w:b/>
          <w:bCs/>
        </w:rPr>
        <w:t>rograms</w:t>
      </w:r>
    </w:p>
    <w:tbl>
      <w:tblPr>
        <w:tblStyle w:val="TableGrid"/>
        <w:tblW w:w="0" w:type="auto"/>
        <w:tblLook w:val="04A0" w:firstRow="1" w:lastRow="0" w:firstColumn="1" w:lastColumn="0" w:noHBand="0" w:noVBand="1"/>
      </w:tblPr>
      <w:tblGrid>
        <w:gridCol w:w="4675"/>
        <w:gridCol w:w="4675"/>
      </w:tblGrid>
      <w:tr w:rsidR="008109E2" w:rsidTr="00AE749C" w14:paraId="0B597554" w14:textId="77777777">
        <w:tc>
          <w:tcPr>
            <w:tcW w:w="4675" w:type="dxa"/>
          </w:tcPr>
          <w:p w:rsidR="008109E2" w:rsidP="00AE749C" w:rsidRDefault="008109E2" w14:paraId="1E1E65D5" w14:textId="77777777">
            <w:pPr>
              <w:pStyle w:val="Standard"/>
              <w:ind w:firstLine="0"/>
              <w:jc w:val="center"/>
            </w:pPr>
            <w:r>
              <w:t>Utility</w:t>
            </w:r>
          </w:p>
        </w:tc>
        <w:tc>
          <w:tcPr>
            <w:tcW w:w="4675" w:type="dxa"/>
          </w:tcPr>
          <w:p w:rsidR="008109E2" w:rsidP="00AE749C" w:rsidRDefault="001F6EF7" w14:paraId="0F355062" w14:textId="130BC3D7">
            <w:pPr>
              <w:pStyle w:val="Standard"/>
              <w:ind w:firstLine="0"/>
              <w:jc w:val="center"/>
            </w:pPr>
            <w:r>
              <w:t>Projected Outstanding Unspent Funds After 2026 Program Year</w:t>
            </w:r>
          </w:p>
        </w:tc>
      </w:tr>
      <w:tr w:rsidR="008109E2" w:rsidTr="00AE749C" w14:paraId="1D418114" w14:textId="77777777">
        <w:tc>
          <w:tcPr>
            <w:tcW w:w="4675" w:type="dxa"/>
          </w:tcPr>
          <w:p w:rsidR="008109E2" w:rsidP="00AE749C" w:rsidRDefault="008109E2" w14:paraId="01F6D410" w14:textId="77777777">
            <w:pPr>
              <w:pStyle w:val="Standard"/>
              <w:ind w:firstLine="0"/>
              <w:jc w:val="center"/>
            </w:pPr>
            <w:r>
              <w:t>PG&amp;E</w:t>
            </w:r>
          </w:p>
        </w:tc>
        <w:tc>
          <w:tcPr>
            <w:tcW w:w="4675" w:type="dxa"/>
          </w:tcPr>
          <w:p w:rsidRPr="002F0BDF" w:rsidR="008109E2" w:rsidP="00AE749C" w:rsidRDefault="006A59E8" w14:paraId="7532144B" w14:textId="2A06626D">
            <w:pPr>
              <w:spacing w:line="240" w:lineRule="auto"/>
              <w:ind w:firstLine="0"/>
              <w:jc w:val="center"/>
              <w:rPr>
                <w:rFonts w:cs="Calibri"/>
                <w:color w:val="000000"/>
                <w:szCs w:val="26"/>
              </w:rPr>
            </w:pPr>
            <w:r w:rsidRPr="002F0BDF">
              <w:rPr>
                <w:rFonts w:cs="Calibri"/>
                <w:color w:val="000000"/>
                <w:szCs w:val="26"/>
              </w:rPr>
              <w:t>$1</w:t>
            </w:r>
            <w:r w:rsidRPr="002F0BDF" w:rsidR="00961061">
              <w:rPr>
                <w:rFonts w:cs="Calibri"/>
                <w:color w:val="000000"/>
                <w:szCs w:val="26"/>
              </w:rPr>
              <w:t>04 Million</w:t>
            </w:r>
          </w:p>
        </w:tc>
      </w:tr>
      <w:tr w:rsidR="008109E2" w:rsidTr="00AE749C" w14:paraId="47997028" w14:textId="77777777">
        <w:tc>
          <w:tcPr>
            <w:tcW w:w="4675" w:type="dxa"/>
          </w:tcPr>
          <w:p w:rsidR="008109E2" w:rsidP="00AE749C" w:rsidRDefault="008109E2" w14:paraId="7501A22C" w14:textId="77777777">
            <w:pPr>
              <w:pStyle w:val="Standard"/>
              <w:ind w:firstLine="0"/>
              <w:jc w:val="center"/>
            </w:pPr>
            <w:r>
              <w:t>SCE</w:t>
            </w:r>
          </w:p>
        </w:tc>
        <w:tc>
          <w:tcPr>
            <w:tcW w:w="4675" w:type="dxa"/>
          </w:tcPr>
          <w:p w:rsidRPr="002F0BDF" w:rsidR="008109E2" w:rsidP="00AE749C" w:rsidRDefault="004E2280" w14:paraId="5AB75DE1" w14:textId="531084BB">
            <w:pPr>
              <w:spacing w:line="240" w:lineRule="auto"/>
              <w:ind w:firstLine="0"/>
              <w:jc w:val="center"/>
              <w:rPr>
                <w:rFonts w:cs="Calibri"/>
                <w:color w:val="000000"/>
                <w:szCs w:val="26"/>
              </w:rPr>
            </w:pPr>
            <w:r w:rsidRPr="002F0BDF">
              <w:rPr>
                <w:rFonts w:cs="Calibri"/>
                <w:color w:val="000000"/>
                <w:szCs w:val="26"/>
              </w:rPr>
              <w:t>$49 Million</w:t>
            </w:r>
          </w:p>
        </w:tc>
      </w:tr>
      <w:tr w:rsidR="008109E2" w:rsidTr="00AE749C" w14:paraId="58C5DAE3" w14:textId="77777777">
        <w:tc>
          <w:tcPr>
            <w:tcW w:w="4675" w:type="dxa"/>
          </w:tcPr>
          <w:p w:rsidR="008109E2" w:rsidP="00AE749C" w:rsidRDefault="008109E2" w14:paraId="64708C31" w14:textId="77777777">
            <w:pPr>
              <w:pStyle w:val="Standard"/>
              <w:ind w:firstLine="0"/>
              <w:jc w:val="center"/>
            </w:pPr>
            <w:r>
              <w:t>SDG&amp;E</w:t>
            </w:r>
          </w:p>
        </w:tc>
        <w:tc>
          <w:tcPr>
            <w:tcW w:w="4675" w:type="dxa"/>
          </w:tcPr>
          <w:p w:rsidRPr="002F0BDF" w:rsidR="008109E2" w:rsidP="00AE749C" w:rsidRDefault="00E3601F" w14:paraId="4CBF0F96" w14:textId="57009B08">
            <w:pPr>
              <w:spacing w:line="240" w:lineRule="auto"/>
              <w:ind w:firstLine="0"/>
              <w:jc w:val="center"/>
              <w:rPr>
                <w:rFonts w:cs="Calibri"/>
                <w:color w:val="000000"/>
                <w:szCs w:val="26"/>
              </w:rPr>
            </w:pPr>
            <w:r w:rsidRPr="002F0BDF">
              <w:rPr>
                <w:rFonts w:cs="Calibri"/>
                <w:color w:val="000000"/>
                <w:szCs w:val="26"/>
              </w:rPr>
              <w:t>$</w:t>
            </w:r>
            <w:r w:rsidRPr="002F0BDF" w:rsidR="002F0BDF">
              <w:rPr>
                <w:rFonts w:cs="Calibri"/>
                <w:color w:val="000000"/>
                <w:szCs w:val="26"/>
              </w:rPr>
              <w:t>1</w:t>
            </w:r>
            <w:r w:rsidRPr="002F0BDF">
              <w:rPr>
                <w:rFonts w:cs="Calibri"/>
                <w:color w:val="000000"/>
                <w:szCs w:val="26"/>
              </w:rPr>
              <w:t>9 Million</w:t>
            </w:r>
          </w:p>
        </w:tc>
      </w:tr>
      <w:tr w:rsidR="002F0BDF" w:rsidTr="00AE749C" w14:paraId="3B7E34A5" w14:textId="77777777">
        <w:tc>
          <w:tcPr>
            <w:tcW w:w="4675" w:type="dxa"/>
          </w:tcPr>
          <w:p w:rsidR="002F0BDF" w:rsidP="00AE749C" w:rsidRDefault="00B152DC" w14:paraId="638FDE26" w14:textId="51CDE819">
            <w:pPr>
              <w:pStyle w:val="Standard"/>
              <w:ind w:firstLine="0"/>
              <w:jc w:val="center"/>
            </w:pPr>
            <w:r>
              <w:t>SoCalGas</w:t>
            </w:r>
          </w:p>
        </w:tc>
        <w:tc>
          <w:tcPr>
            <w:tcW w:w="4675" w:type="dxa"/>
          </w:tcPr>
          <w:p w:rsidRPr="002F0BDF" w:rsidR="002F0BDF" w:rsidP="00AE749C" w:rsidRDefault="001970B6" w14:paraId="214A53D1" w14:textId="0D385349">
            <w:pPr>
              <w:spacing w:line="240" w:lineRule="auto"/>
              <w:ind w:firstLine="0"/>
              <w:jc w:val="center"/>
              <w:rPr>
                <w:rFonts w:cs="Calibri"/>
                <w:color w:val="000000"/>
                <w:szCs w:val="26"/>
              </w:rPr>
            </w:pPr>
            <w:r>
              <w:rPr>
                <w:rFonts w:cs="Calibri"/>
                <w:color w:val="000000"/>
                <w:szCs w:val="26"/>
              </w:rPr>
              <w:t>$55 Million</w:t>
            </w:r>
          </w:p>
        </w:tc>
      </w:tr>
      <w:tr w:rsidR="00755876" w:rsidTr="00AE749C" w14:paraId="1C76A4BA" w14:textId="77777777">
        <w:tc>
          <w:tcPr>
            <w:tcW w:w="4675" w:type="dxa"/>
          </w:tcPr>
          <w:p w:rsidR="00755876" w:rsidP="00755876" w:rsidRDefault="00755876" w14:paraId="7B6B96F5" w14:textId="0BFBAF74">
            <w:pPr>
              <w:pStyle w:val="Standard"/>
              <w:ind w:firstLine="0"/>
              <w:jc w:val="center"/>
            </w:pPr>
            <w:r>
              <w:rPr>
                <w:rStyle w:val="normaltextrun"/>
                <w:rFonts w:cs="Segoe UI"/>
                <w:szCs w:val="26"/>
              </w:rPr>
              <w:t>Total</w:t>
            </w:r>
            <w:r>
              <w:rPr>
                <w:rStyle w:val="eop"/>
                <w:rFonts w:cs="Segoe UI"/>
                <w:szCs w:val="26"/>
              </w:rPr>
              <w:t> </w:t>
            </w:r>
          </w:p>
        </w:tc>
        <w:tc>
          <w:tcPr>
            <w:tcW w:w="4675" w:type="dxa"/>
          </w:tcPr>
          <w:p w:rsidR="00755876" w:rsidP="00755876" w:rsidRDefault="00755876" w14:paraId="698B34D4" w14:textId="5186B4E7">
            <w:pPr>
              <w:spacing w:line="240" w:lineRule="auto"/>
              <w:ind w:firstLine="0"/>
              <w:jc w:val="center"/>
              <w:rPr>
                <w:rFonts w:cs="Calibri"/>
                <w:color w:val="000000"/>
                <w:szCs w:val="26"/>
              </w:rPr>
            </w:pPr>
            <w:r>
              <w:rPr>
                <w:rStyle w:val="normaltextrun"/>
                <w:rFonts w:cs="Segoe UI"/>
                <w:color w:val="000000"/>
                <w:szCs w:val="26"/>
              </w:rPr>
              <w:t>$227 Million</w:t>
            </w:r>
            <w:r>
              <w:rPr>
                <w:rStyle w:val="eop"/>
                <w:rFonts w:cs="Segoe UI"/>
                <w:color w:val="000000"/>
                <w:szCs w:val="26"/>
              </w:rPr>
              <w:t> </w:t>
            </w:r>
          </w:p>
        </w:tc>
      </w:tr>
    </w:tbl>
    <w:p w:rsidR="000C2C78" w:rsidP="007360AE" w:rsidRDefault="000C2C78" w14:paraId="488A3773" w14:textId="77777777">
      <w:pPr>
        <w:pStyle w:val="Standard"/>
      </w:pPr>
    </w:p>
    <w:p w:rsidRPr="00EC4A40" w:rsidR="00D47A21" w:rsidP="007360AE" w:rsidRDefault="00D47A21" w14:paraId="4A51446F" w14:textId="35399F4F">
      <w:pPr>
        <w:pStyle w:val="Standard"/>
      </w:pPr>
      <w:r>
        <w:t xml:space="preserve">The IOUs shall submit </w:t>
      </w:r>
      <w:proofErr w:type="gramStart"/>
      <w:r>
        <w:t>a Tier</w:t>
      </w:r>
      <w:proofErr w:type="gramEnd"/>
      <w:r>
        <w:t xml:space="preserve"> 1 AL</w:t>
      </w:r>
      <w:r w:rsidR="0054354F">
        <w:t xml:space="preserve"> by </w:t>
      </w:r>
      <w:r w:rsidR="008F43B9">
        <w:t>June 1</w:t>
      </w:r>
      <w:r w:rsidR="00801CA6">
        <w:t xml:space="preserve">, 2027, with the exact amount of </w:t>
      </w:r>
      <w:r w:rsidR="00ED400C">
        <w:t>u</w:t>
      </w:r>
      <w:r w:rsidR="00801CA6">
        <w:t xml:space="preserve">nspent </w:t>
      </w:r>
      <w:r w:rsidR="00ED400C">
        <w:t>f</w:t>
      </w:r>
      <w:r w:rsidR="00801CA6">
        <w:t>unds</w:t>
      </w:r>
      <w:r w:rsidR="00755876">
        <w:t>, both committed and uncommitted,</w:t>
      </w:r>
      <w:r w:rsidR="00801CA6">
        <w:t xml:space="preserve"> remaining</w:t>
      </w:r>
      <w:r w:rsidR="00520567">
        <w:t xml:space="preserve"> at the end of 2026</w:t>
      </w:r>
      <w:r w:rsidR="004C4D8C">
        <w:t xml:space="preserve"> and </w:t>
      </w:r>
      <w:r w:rsidR="00ED400C">
        <w:t>updated</w:t>
      </w:r>
      <w:r w:rsidR="004C4D8C">
        <w:t xml:space="preserve"> 2027 program budgets</w:t>
      </w:r>
      <w:r w:rsidR="003D2D85">
        <w:t xml:space="preserve"> balances</w:t>
      </w:r>
      <w:r w:rsidR="004C4D8C">
        <w:t xml:space="preserve">.  </w:t>
      </w:r>
      <w:r w:rsidR="008150DC">
        <w:t>All final</w:t>
      </w:r>
      <w:r w:rsidR="004C4D8C">
        <w:t xml:space="preserve"> </w:t>
      </w:r>
      <w:r w:rsidR="008E1336">
        <w:t>u</w:t>
      </w:r>
      <w:r w:rsidR="004C4D8C">
        <w:t xml:space="preserve">nspent </w:t>
      </w:r>
      <w:r w:rsidR="008E1336">
        <w:t>f</w:t>
      </w:r>
      <w:r w:rsidR="004C4D8C">
        <w:t xml:space="preserve">unds shall be applied to reduce ESA </w:t>
      </w:r>
      <w:r w:rsidR="00BB53F5">
        <w:t>collections</w:t>
      </w:r>
      <w:r w:rsidR="00A63D7B">
        <w:t xml:space="preserve"> for 2027</w:t>
      </w:r>
      <w:r w:rsidR="00BB53F5">
        <w:t>.</w:t>
      </w:r>
      <w:r w:rsidR="00202D10">
        <w:t xml:space="preserve">  If, before </w:t>
      </w:r>
      <w:r w:rsidR="008F43B9">
        <w:t>June 1</w:t>
      </w:r>
      <w:r w:rsidR="000419C3">
        <w:t xml:space="preserve">, 2027, the amount of unspent funds exceeds the </w:t>
      </w:r>
      <w:r w:rsidR="00A63D7B">
        <w:t xml:space="preserve">budgets </w:t>
      </w:r>
      <w:r w:rsidR="000419C3">
        <w:t xml:space="preserve">authorized for collection for 2027 ESA activities, the IOUs may instead submit a Tier 1 AL </w:t>
      </w:r>
      <w:r w:rsidR="008F4F19">
        <w:t xml:space="preserve">adjusting </w:t>
      </w:r>
      <w:r w:rsidR="00360FF7">
        <w:t>budgets</w:t>
      </w:r>
      <w:r w:rsidR="008F4F19">
        <w:t xml:space="preserve"> to reflect that no additional collections are needed for 2027 ESA activities</w:t>
      </w:r>
      <w:r w:rsidR="004E3701">
        <w:t>, in lieu of submitting an AL that reflects the amount outstanding after the end of program year 2026</w:t>
      </w:r>
      <w:r w:rsidR="008F4F19">
        <w:t>.</w:t>
      </w:r>
    </w:p>
    <w:p w:rsidR="008F1B4E" w:rsidP="00FE2D37" w:rsidRDefault="008F1B4E" w14:paraId="53BAA680" w14:textId="77777777">
      <w:pPr>
        <w:pStyle w:val="Heading1"/>
      </w:pPr>
      <w:bookmarkStart w:name="_Toc230872103" w:id="69"/>
      <w:r>
        <w:lastRenderedPageBreak/>
        <w:t>Revenue Requirements and Cost Recovery</w:t>
      </w:r>
      <w:bookmarkEnd w:id="69"/>
    </w:p>
    <w:p w:rsidR="008F1B4E" w:rsidP="00FE2D37" w:rsidRDefault="008F1B4E" w14:paraId="3A924C4D" w14:textId="77777777">
      <w:pPr>
        <w:pStyle w:val="Heading2"/>
      </w:pPr>
      <w:bookmarkStart w:name="_Toc230872104" w:id="70"/>
      <w:r>
        <w:t>PG&amp;E</w:t>
      </w:r>
      <w:bookmarkEnd w:id="70"/>
    </w:p>
    <w:p w:rsidR="008F1B4E" w:rsidP="008F1B4E" w:rsidRDefault="008F1B4E" w14:paraId="418624D5" w14:textId="625B1ED3">
      <w:pPr>
        <w:pStyle w:val="Standard"/>
      </w:pPr>
      <w:r>
        <w:t>For 2027</w:t>
      </w:r>
      <w:r w:rsidR="005966D8">
        <w:t>,</w:t>
      </w:r>
      <w:r>
        <w:t xml:space="preserve"> PG&amp;E proposes to recover its CARE costs through the electric CARE rate components and the Gas Public Purpose Program Surcharge (G-PPPS) CARE surcharge rates, subject to changes due to revenue fees and uncollectible factor approved in a future general rate case.</w:t>
      </w:r>
      <w:r>
        <w:rPr>
          <w:rStyle w:val="FootnoteReference"/>
        </w:rPr>
        <w:footnoteReference w:id="121"/>
      </w:r>
      <w:r>
        <w:t xml:space="preserve">  PG&amp;E’s CARE charges</w:t>
      </w:r>
      <w:r w:rsidR="00965011">
        <w:t xml:space="preserve"> </w:t>
      </w:r>
      <w:r>
        <w:t xml:space="preserve">are split </w:t>
      </w:r>
      <w:r w:rsidR="00965011">
        <w:t>among</w:t>
      </w:r>
      <w:r>
        <w:t xml:space="preserve"> customer classes and between gas and electric customers.  PG&amp;E does not propose any changes to the balancing accounts used to track CARE program costs and revenue requirements, which include the PPP-CARE account and California Alternate Rates for Energy Account (CAREA).  PG&amp;E forecasts a total of $1,184,800,000 for 2027 CARE electric discounts and $296,200,000 for 2027 CARE gas discounts, which more than doubles the $705,667,000 authorized for 2026 in D.21-06-015</w:t>
      </w:r>
      <w:r w:rsidRPr="001E6C67" w:rsidR="001E6C67">
        <w:rPr>
          <w:color w:val="000000"/>
          <w:szCs w:val="26"/>
          <w:shd w:val="clear" w:color="auto" w:fill="FFFFFF"/>
        </w:rPr>
        <w:t xml:space="preserve"> </w:t>
      </w:r>
      <w:r w:rsidR="001E6C67">
        <w:rPr>
          <w:color w:val="000000"/>
          <w:szCs w:val="26"/>
          <w:shd w:val="clear" w:color="auto" w:fill="FFFFFF"/>
        </w:rPr>
        <w:t>f</w:t>
      </w:r>
      <w:r w:rsidRPr="001E6C67" w:rsidR="001E6C67">
        <w:t>or both electric and gas discounts</w:t>
      </w:r>
      <w:r>
        <w:t xml:space="preserve">.  </w:t>
      </w:r>
    </w:p>
    <w:p w:rsidR="008F1B4E" w:rsidP="008F1B4E" w:rsidRDefault="008F1B4E" w14:paraId="523FE821" w14:textId="5AECF7A3">
      <w:pPr>
        <w:pStyle w:val="Standard"/>
      </w:pPr>
      <w:r w:rsidRPr="0025258D">
        <w:t>PG&amp;E will incorporate the annual electric CARE program revenue</w:t>
      </w:r>
      <w:r>
        <w:rPr>
          <w:b/>
        </w:rPr>
        <w:t xml:space="preserve"> </w:t>
      </w:r>
      <w:r w:rsidRPr="0025258D">
        <w:t xml:space="preserve">requirements authorized in this proceeding into electric rates in the </w:t>
      </w:r>
      <w:r w:rsidR="00D26A4F">
        <w:t>a</w:t>
      </w:r>
      <w:r w:rsidRPr="00D26A4F" w:rsidR="00D26A4F">
        <w:t xml:space="preserve">nnual </w:t>
      </w:r>
      <w:r w:rsidR="00D26A4F">
        <w:t>e</w:t>
      </w:r>
      <w:r w:rsidRPr="00D26A4F" w:rsidR="00D26A4F">
        <w:t xml:space="preserve">lectric </w:t>
      </w:r>
      <w:r w:rsidR="00D26A4F">
        <w:t>t</w:t>
      </w:r>
      <w:r w:rsidRPr="00D26A4F" w:rsidR="00D26A4F">
        <w:t>rue-</w:t>
      </w:r>
      <w:r w:rsidR="00D26A4F">
        <w:t>u</w:t>
      </w:r>
      <w:r w:rsidRPr="00D26A4F" w:rsidR="00D26A4F">
        <w:t>p</w:t>
      </w:r>
      <w:r w:rsidRPr="00D26A4F" w:rsidDel="00D26A4F" w:rsidR="00D26A4F">
        <w:t xml:space="preserve"> </w:t>
      </w:r>
      <w:r w:rsidRPr="0025258D">
        <w:t>with other rate changes effective January 1, 2027, or as soon thereafter as possible. Any required CARE program electric rate change resulting from this proceeding will be implemented in accordance with the curren</w:t>
      </w:r>
      <w:r>
        <w:t>t</w:t>
      </w:r>
      <w:r w:rsidRPr="0025258D">
        <w:t xml:space="preserve"> adopted revenue allocation and rate design methods adopted for the</w:t>
      </w:r>
      <w:r>
        <w:t xml:space="preserve"> </w:t>
      </w:r>
      <w:r w:rsidRPr="0025258D">
        <w:t xml:space="preserve">CARE Program revenue component of electric </w:t>
      </w:r>
      <w:r w:rsidR="00E82934">
        <w:t>PPP</w:t>
      </w:r>
      <w:r w:rsidRPr="0025258D">
        <w:t xml:space="preserve"> rates.</w:t>
      </w:r>
      <w:r>
        <w:t xml:space="preserve">  </w:t>
      </w:r>
      <w:r w:rsidRPr="00E80C65">
        <w:t>PG&amp;E will incorporate the gas funding requirement authorized in this</w:t>
      </w:r>
      <w:r>
        <w:t xml:space="preserve"> </w:t>
      </w:r>
      <w:r w:rsidRPr="00E80C65">
        <w:t xml:space="preserve">proceeding into gas rates in its annual gas PPP surcharge AL and </w:t>
      </w:r>
      <w:r w:rsidR="00A94A0F">
        <w:t>a</w:t>
      </w:r>
      <w:r w:rsidRPr="00D26A4F" w:rsidR="00A94A0F">
        <w:t xml:space="preserve">nnual </w:t>
      </w:r>
      <w:r w:rsidR="00A94A0F">
        <w:t>gas</w:t>
      </w:r>
      <w:r w:rsidRPr="00D26A4F" w:rsidR="00A94A0F">
        <w:t xml:space="preserve"> </w:t>
      </w:r>
      <w:r w:rsidR="00A94A0F">
        <w:t>t</w:t>
      </w:r>
      <w:r w:rsidRPr="00D26A4F" w:rsidR="00A94A0F">
        <w:t>rue-</w:t>
      </w:r>
      <w:r w:rsidR="00A94A0F">
        <w:t>u</w:t>
      </w:r>
      <w:r w:rsidRPr="00D26A4F" w:rsidR="00A94A0F">
        <w:t>p</w:t>
      </w:r>
      <w:r w:rsidRPr="00D26A4F" w:rsidDel="00D26A4F" w:rsidR="00A94A0F">
        <w:t xml:space="preserve"> </w:t>
      </w:r>
      <w:r w:rsidRPr="00E80C65">
        <w:t>filings with other rate changes effective January 1, 2027, or as soon as</w:t>
      </w:r>
      <w:r>
        <w:t xml:space="preserve"> </w:t>
      </w:r>
      <w:r w:rsidRPr="00E80C65">
        <w:t xml:space="preserve">thereafter as possible. Similarly, </w:t>
      </w:r>
      <w:r w:rsidRPr="00E80C65">
        <w:lastRenderedPageBreak/>
        <w:t>any gas CARE program revenue</w:t>
      </w:r>
      <w:r>
        <w:t xml:space="preserve"> </w:t>
      </w:r>
      <w:r w:rsidRPr="00E80C65">
        <w:t>change will be allocated among customer classes consistent with then</w:t>
      </w:r>
      <w:r>
        <w:t xml:space="preserve"> </w:t>
      </w:r>
      <w:r w:rsidRPr="00E80C65">
        <w:t>current-adopted practices.</w:t>
      </w:r>
    </w:p>
    <w:p w:rsidRPr="00D51023" w:rsidR="008F1B4E" w:rsidP="008F1B4E" w:rsidRDefault="00481DD7" w14:paraId="0C9A920C" w14:textId="7EA16EE4">
      <w:pPr>
        <w:pStyle w:val="Standard"/>
      </w:pPr>
      <w:r>
        <w:t xml:space="preserve">For FERA, </w:t>
      </w:r>
      <w:r w:rsidR="008F1B4E">
        <w:t xml:space="preserve">PG&amp;E will incorporate the annual electric FERA program revenue requirement authorized in this proceeding into electric rates in the </w:t>
      </w:r>
      <w:r w:rsidR="00A94A0F">
        <w:t>a</w:t>
      </w:r>
      <w:r w:rsidRPr="00D26A4F" w:rsidR="00A94A0F">
        <w:t xml:space="preserve">nnual </w:t>
      </w:r>
      <w:r w:rsidR="00A94A0F">
        <w:t>e</w:t>
      </w:r>
      <w:r w:rsidRPr="00D26A4F" w:rsidR="00A94A0F">
        <w:t xml:space="preserve">lectric </w:t>
      </w:r>
      <w:r w:rsidR="00A94A0F">
        <w:t>t</w:t>
      </w:r>
      <w:r w:rsidRPr="00D26A4F" w:rsidR="00A94A0F">
        <w:t>rue-</w:t>
      </w:r>
      <w:r w:rsidR="00A94A0F">
        <w:t>u</w:t>
      </w:r>
      <w:r w:rsidRPr="00D26A4F" w:rsidR="00A94A0F">
        <w:t>p</w:t>
      </w:r>
      <w:r w:rsidRPr="00D26A4F" w:rsidDel="00D26A4F" w:rsidR="00A94A0F">
        <w:t xml:space="preserve"> </w:t>
      </w:r>
      <w:r w:rsidR="008F1B4E">
        <w:t>with other rate changes effective January 1, 2027, or as soon thereafter as possible. Any required FERA program electric rate change resulting from this proceeding will be implemented in accordance with the then</w:t>
      </w:r>
      <w:r w:rsidR="00915F97">
        <w:t>-</w:t>
      </w:r>
      <w:r w:rsidR="008F1B4E">
        <w:t xml:space="preserve">current adopted revenue allocation and rate design methods adopted for the </w:t>
      </w:r>
      <w:r w:rsidR="000D0731">
        <w:t xml:space="preserve">FERA </w:t>
      </w:r>
      <w:r w:rsidR="008F1B4E">
        <w:t xml:space="preserve">Program revenue component of electric PPP rates.  PG&amp;E proposes to continue utilizing the Family Electric Rates Assistance Balancing Account (FERABA) to record FERA program costs for eventual recovery in the </w:t>
      </w:r>
      <w:r w:rsidR="00A94A0F">
        <w:t>a</w:t>
      </w:r>
      <w:r w:rsidRPr="00D26A4F" w:rsidR="00A94A0F">
        <w:t xml:space="preserve">nnual </w:t>
      </w:r>
      <w:r w:rsidR="00A94A0F">
        <w:t>e</w:t>
      </w:r>
      <w:r w:rsidRPr="00D26A4F" w:rsidR="00A94A0F">
        <w:t xml:space="preserve">lectric </w:t>
      </w:r>
      <w:r w:rsidR="00A94A0F">
        <w:t>t</w:t>
      </w:r>
      <w:r w:rsidRPr="00D26A4F" w:rsidR="00A94A0F">
        <w:t>rue-</w:t>
      </w:r>
      <w:r w:rsidR="00A94A0F">
        <w:t>u</w:t>
      </w:r>
      <w:r w:rsidRPr="00D26A4F" w:rsidR="00A94A0F">
        <w:t>p</w:t>
      </w:r>
      <w:r w:rsidRPr="00D26A4F" w:rsidDel="00D26A4F" w:rsidR="00A94A0F">
        <w:t xml:space="preserve"> </w:t>
      </w:r>
      <w:r w:rsidR="008F1B4E">
        <w:t>AL process.</w:t>
      </w:r>
    </w:p>
    <w:p w:rsidR="008F1B4E" w:rsidP="008F1B4E" w:rsidRDefault="00481DD7" w14:paraId="098E101B" w14:textId="365C2D45">
      <w:pPr>
        <w:pStyle w:val="Standard"/>
      </w:pPr>
      <w:r>
        <w:t xml:space="preserve">For ESA, </w:t>
      </w:r>
      <w:r w:rsidR="008F1B4E">
        <w:t xml:space="preserve">program costs are tracked in the </w:t>
      </w:r>
      <w:r w:rsidRPr="006838E9" w:rsidR="008F1B4E">
        <w:t>Public Purpose Program Low-Income Balancing Account</w:t>
      </w:r>
      <w:r w:rsidR="008F1B4E">
        <w:t xml:space="preserve">, </w:t>
      </w:r>
      <w:r w:rsidRPr="006838E9" w:rsidR="008F1B4E">
        <w:t>Public Purpose Program Revenue Adjustment Mechanism</w:t>
      </w:r>
      <w:r w:rsidR="008F1B4E">
        <w:t xml:space="preserve">, and </w:t>
      </w:r>
      <w:r w:rsidRPr="006838E9" w:rsidR="008F1B4E">
        <w:t>Public Purpose Program Low-Income Energy Efficiency</w:t>
      </w:r>
      <w:r w:rsidR="00915F97">
        <w:t xml:space="preserve"> </w:t>
      </w:r>
      <w:r w:rsidR="008F1B4E">
        <w:t>balancing accounts.  PG&amp;E proposes no changes to its balancing account tracking</w:t>
      </w:r>
      <w:r>
        <w:t xml:space="preserve"> for ESA</w:t>
      </w:r>
      <w:r w:rsidR="008F1B4E">
        <w:t>.</w:t>
      </w:r>
      <w:r w:rsidRPr="006838E9" w:rsidR="008F1B4E">
        <w:t xml:space="preserve"> </w:t>
      </w:r>
      <w:r w:rsidR="008031D2">
        <w:t xml:space="preserve"> </w:t>
      </w:r>
      <w:r w:rsidR="008F1B4E">
        <w:t xml:space="preserve">PG&amp;E proposes to recover ESA costs through the </w:t>
      </w:r>
      <w:r w:rsidRPr="00925094" w:rsidR="008F1B4E">
        <w:t>electronic PPP’s Revenue Adjustment Mechanism</w:t>
      </w:r>
      <w:r w:rsidR="008F1B4E">
        <w:t xml:space="preserve"> and </w:t>
      </w:r>
      <w:r w:rsidRPr="00925094" w:rsidR="008F1B4E">
        <w:t>GPPPS Low-Income Energy Efficiency</w:t>
      </w:r>
      <w:r w:rsidR="008F1B4E">
        <w:t xml:space="preserve">, subject to RF&amp;U, with 53 percent of costs allocated to </w:t>
      </w:r>
      <w:proofErr w:type="gramStart"/>
      <w:r w:rsidR="008F1B4E">
        <w:t>electric</w:t>
      </w:r>
      <w:proofErr w:type="gramEnd"/>
      <w:r w:rsidR="008F1B4E">
        <w:t xml:space="preserve"> and 47 percent to gas customers.  </w:t>
      </w:r>
    </w:p>
    <w:p w:rsidRPr="00C2443C" w:rsidR="008F1B4E" w:rsidP="008F1B4E" w:rsidRDefault="008F1B4E" w14:paraId="2A0C8758" w14:textId="2C66CCFC">
      <w:pPr>
        <w:pStyle w:val="Standard"/>
      </w:pPr>
      <w:r w:rsidRPr="00B63783">
        <w:t xml:space="preserve">PG&amp;E will incorporate the annual electric ESA Program revenue requirement authorized in this proceeding into electric rates in the </w:t>
      </w:r>
      <w:r w:rsidR="00A94A0F">
        <w:t>a</w:t>
      </w:r>
      <w:r w:rsidRPr="00D26A4F" w:rsidR="00A94A0F">
        <w:t xml:space="preserve">nnual </w:t>
      </w:r>
      <w:r w:rsidR="00A94A0F">
        <w:t>e</w:t>
      </w:r>
      <w:r w:rsidRPr="00D26A4F" w:rsidR="00A94A0F">
        <w:t xml:space="preserve">lectric </w:t>
      </w:r>
      <w:r w:rsidR="00A94A0F">
        <w:t>t</w:t>
      </w:r>
      <w:r w:rsidRPr="00D26A4F" w:rsidR="00A94A0F">
        <w:t>rue-</w:t>
      </w:r>
      <w:r w:rsidR="00A94A0F">
        <w:t>u</w:t>
      </w:r>
      <w:r w:rsidRPr="00D26A4F" w:rsidR="00A94A0F">
        <w:t>p</w:t>
      </w:r>
      <w:r w:rsidRPr="00D26A4F" w:rsidDel="00D26A4F" w:rsidR="00A94A0F">
        <w:t xml:space="preserve"> </w:t>
      </w:r>
      <w:r w:rsidRPr="00B63783">
        <w:t>with other rate changes effective January 1, 2027, in</w:t>
      </w:r>
      <w:r w:rsidR="00915F97">
        <w:t xml:space="preserve"> the</w:t>
      </w:r>
      <w:r w:rsidRPr="00B63783">
        <w:t xml:space="preserve"> bridge funding</w:t>
      </w:r>
      <w:r>
        <w:t xml:space="preserve"> </w:t>
      </w:r>
      <w:r w:rsidRPr="00B63783">
        <w:t>program forecast period, or as soon thereafter as possible. Any</w:t>
      </w:r>
      <w:r>
        <w:t xml:space="preserve"> </w:t>
      </w:r>
      <w:r w:rsidRPr="00B63783">
        <w:t>required ESA Program electric rate change resulting from this</w:t>
      </w:r>
      <w:r>
        <w:t xml:space="preserve"> </w:t>
      </w:r>
      <w:r w:rsidRPr="00B63783">
        <w:t xml:space="preserve">proceeding will be </w:t>
      </w:r>
      <w:r w:rsidRPr="00B63783">
        <w:lastRenderedPageBreak/>
        <w:t>implemented in accordance with the then</w:t>
      </w:r>
      <w:r w:rsidR="002D56C4">
        <w:t>-</w:t>
      </w:r>
      <w:r w:rsidRPr="00B63783">
        <w:t>current</w:t>
      </w:r>
      <w:r>
        <w:t xml:space="preserve"> </w:t>
      </w:r>
      <w:r w:rsidRPr="00B63783">
        <w:t>adopted revenue allocation and rate design methods adopted for the</w:t>
      </w:r>
      <w:r>
        <w:t xml:space="preserve"> </w:t>
      </w:r>
      <w:r w:rsidRPr="00B63783">
        <w:t>ESA Program revenue component of electric PPP rates.</w:t>
      </w:r>
      <w:r>
        <w:t xml:space="preserve">  </w:t>
      </w:r>
      <w:r w:rsidRPr="00EC4A40">
        <w:t>PG&amp;E will incorporate the gas funding requirement authorized in this</w:t>
      </w:r>
      <w:r>
        <w:t xml:space="preserve"> </w:t>
      </w:r>
      <w:r w:rsidRPr="00EC4A40">
        <w:t xml:space="preserve">proceeding into gas rates in its annual gas PPP surcharge AL and </w:t>
      </w:r>
      <w:r w:rsidR="00A94A0F">
        <w:t>a</w:t>
      </w:r>
      <w:r w:rsidRPr="00D26A4F" w:rsidR="00A94A0F">
        <w:t xml:space="preserve">nnual </w:t>
      </w:r>
      <w:r w:rsidR="00A94A0F">
        <w:t>gas</w:t>
      </w:r>
      <w:r w:rsidRPr="00D26A4F" w:rsidR="00A94A0F">
        <w:t xml:space="preserve"> </w:t>
      </w:r>
      <w:r w:rsidR="00A94A0F">
        <w:t>t</w:t>
      </w:r>
      <w:r w:rsidRPr="00D26A4F" w:rsidR="00A94A0F">
        <w:t>rue-</w:t>
      </w:r>
      <w:r w:rsidR="00A94A0F">
        <w:t>u</w:t>
      </w:r>
      <w:r w:rsidRPr="00D26A4F" w:rsidR="00A94A0F">
        <w:t>p</w:t>
      </w:r>
      <w:r w:rsidRPr="00D26A4F" w:rsidDel="00D26A4F" w:rsidR="00A94A0F">
        <w:t xml:space="preserve"> </w:t>
      </w:r>
      <w:r w:rsidRPr="00EC4A40">
        <w:t>filings with other rate changes effective January 1 of each year in the</w:t>
      </w:r>
      <w:r>
        <w:t xml:space="preserve"> </w:t>
      </w:r>
      <w:r w:rsidRPr="00EC4A40">
        <w:t>program forecast period, or as soon as thereafter as possible. Similarly,</w:t>
      </w:r>
      <w:r>
        <w:t xml:space="preserve"> </w:t>
      </w:r>
      <w:r w:rsidRPr="00EC4A40">
        <w:t>any gas ESA Program revenue change will be allocated among</w:t>
      </w:r>
      <w:r>
        <w:t xml:space="preserve"> </w:t>
      </w:r>
      <w:r w:rsidRPr="00EC4A40">
        <w:t>customer classes consistent with the current adopted practices.</w:t>
      </w:r>
    </w:p>
    <w:p w:rsidRPr="00026DD8" w:rsidR="008F1B4E" w:rsidP="008F1B4E" w:rsidRDefault="00975DCD" w14:paraId="4AC919C8" w14:textId="379A5EB0">
      <w:pPr>
        <w:pStyle w:val="Standard"/>
      </w:pPr>
      <w:r>
        <w:t xml:space="preserve">For Program Year 2027, </w:t>
      </w:r>
      <w:r w:rsidR="008F1B4E">
        <w:t>PG&amp;E is authorized to</w:t>
      </w:r>
      <w:r w:rsidR="00396176">
        <w:t xml:space="preserve"> utilize the above cost recovery mechanisms</w:t>
      </w:r>
      <w:r w:rsidR="004D4AAB">
        <w:t xml:space="preserve">, and </w:t>
      </w:r>
      <w:r w:rsidR="008F1B4E">
        <w:t xml:space="preserve">recover </w:t>
      </w:r>
      <w:r w:rsidRPr="000848F8" w:rsidR="000848F8">
        <w:t>$</w:t>
      </w:r>
      <w:r w:rsidRPr="005575B8" w:rsidR="005575B8">
        <w:t xml:space="preserve">8,848,173 </w:t>
      </w:r>
      <w:r w:rsidR="008F1B4E">
        <w:t>for</w:t>
      </w:r>
      <w:r w:rsidR="000848F8">
        <w:t xml:space="preserve"> its</w:t>
      </w:r>
      <w:r w:rsidR="008F1B4E">
        <w:t xml:space="preserve"> CARE</w:t>
      </w:r>
      <w:r w:rsidR="000848F8">
        <w:t xml:space="preserve"> Administrative Budget</w:t>
      </w:r>
      <w:r w:rsidR="008F1B4E">
        <w:t xml:space="preserve">, </w:t>
      </w:r>
      <w:r w:rsidRPr="000848F8" w:rsidR="000848F8">
        <w:t>$3,055,800</w:t>
      </w:r>
      <w:r w:rsidR="008F1B4E">
        <w:t xml:space="preserve"> for </w:t>
      </w:r>
      <w:r w:rsidR="000848F8">
        <w:t xml:space="preserve">its </w:t>
      </w:r>
      <w:r w:rsidR="008F1B4E">
        <w:t>FERA</w:t>
      </w:r>
      <w:r w:rsidR="000848F8">
        <w:t xml:space="preserve"> Administrative Budget</w:t>
      </w:r>
      <w:r w:rsidR="008F1B4E">
        <w:t xml:space="preserve">, and </w:t>
      </w:r>
      <w:r w:rsidR="008200D3">
        <w:t>$</w:t>
      </w:r>
      <w:r w:rsidRPr="00B11F00" w:rsidR="00B11F00">
        <w:t xml:space="preserve">54,380,427 </w:t>
      </w:r>
      <w:r w:rsidR="008F1B4E">
        <w:t xml:space="preserve">for </w:t>
      </w:r>
      <w:r w:rsidR="00E81B67">
        <w:t xml:space="preserve">its </w:t>
      </w:r>
      <w:r w:rsidR="008F1B4E">
        <w:t>ESA</w:t>
      </w:r>
      <w:r w:rsidR="00E81B67">
        <w:t xml:space="preserve"> Budge</w:t>
      </w:r>
      <w:r w:rsidR="002F3E76">
        <w:t xml:space="preserve">t, </w:t>
      </w:r>
      <w:r w:rsidRPr="002F3E76" w:rsidR="002F3E76">
        <w:t>in addition to application of $104 million in unspent funds leftover after the 2021–2026 program cycle</w:t>
      </w:r>
      <w:r w:rsidR="006538C4">
        <w:t xml:space="preserve"> for ESA activities</w:t>
      </w:r>
      <w:r w:rsidRPr="002F3E76" w:rsidR="002F3E76">
        <w:t>, totaling $</w:t>
      </w:r>
      <w:r w:rsidR="00AC42F5">
        <w:t>170,284,400</w:t>
      </w:r>
      <w:r w:rsidRPr="002F3E76" w:rsidR="002F3E76">
        <w:t> utilizing the cost recovery mechanisms discussed above</w:t>
      </w:r>
      <w:r w:rsidR="008F1B4E">
        <w:t>.</w:t>
      </w:r>
    </w:p>
    <w:p w:rsidR="008F1B4E" w:rsidP="00961DC9" w:rsidRDefault="008F1B4E" w14:paraId="1FEEDA89" w14:textId="77777777">
      <w:pPr>
        <w:pStyle w:val="Heading2"/>
      </w:pPr>
      <w:bookmarkStart w:name="_Toc230872105" w:id="71"/>
      <w:r>
        <w:t>SDG&amp;E</w:t>
      </w:r>
      <w:bookmarkEnd w:id="71"/>
    </w:p>
    <w:p w:rsidR="008F1B4E" w:rsidP="008F1B4E" w:rsidRDefault="008F1B4E" w14:paraId="29427B2F" w14:textId="77777777">
      <w:pPr>
        <w:pStyle w:val="Standard"/>
      </w:pPr>
      <w:r>
        <w:t>SDG&amp;E proposes to continue recovering its CARE, FERA, and ESA program costs through revenues collected in electric and gas PPP funds.  SDG&amp;E tracks in the following balance accounts:</w:t>
      </w:r>
    </w:p>
    <w:p w:rsidR="008F1B4E" w:rsidP="00FE2D37" w:rsidRDefault="008F1B4E" w14:paraId="767C8380" w14:textId="77777777">
      <w:pPr>
        <w:pStyle w:val="ListBullet"/>
        <w:ind w:right="1440"/>
      </w:pPr>
      <w:r>
        <w:t>Low-Income Energy Efficiency Balancing Account – tracks electric PPP revenues collected and allocable to ESA;</w:t>
      </w:r>
    </w:p>
    <w:p w:rsidR="008F1B4E" w:rsidP="00FE2D37" w:rsidRDefault="008F1B4E" w14:paraId="21CDC601" w14:textId="77777777">
      <w:pPr>
        <w:pStyle w:val="ListBullet"/>
        <w:ind w:right="1440"/>
      </w:pPr>
      <w:r>
        <w:t>Post-2005 Gas Low-Income Energy Efficiency Balancing Account – tracks gas PPP revenues collected and allocable to ESA;</w:t>
      </w:r>
    </w:p>
    <w:p w:rsidR="008F1B4E" w:rsidP="00FE2D37" w:rsidRDefault="008F1B4E" w14:paraId="6E31DB9E" w14:textId="77777777">
      <w:pPr>
        <w:pStyle w:val="ListBullet"/>
        <w:ind w:right="1440"/>
      </w:pPr>
      <w:r>
        <w:t>CARE Balancing Account – Electric – tracks electric PPP revenues collected and allocable to the CARE program and CARE program electric expenses;</w:t>
      </w:r>
    </w:p>
    <w:p w:rsidR="008F1B4E" w:rsidP="00FE2D37" w:rsidRDefault="008F1B4E" w14:paraId="09C332A4" w14:textId="77777777">
      <w:pPr>
        <w:pStyle w:val="ListBullet"/>
        <w:ind w:right="1440"/>
      </w:pPr>
      <w:r>
        <w:lastRenderedPageBreak/>
        <w:t>CARE Gas Balancing Account – tracks gas PPP revenues collected and allocable to the CARE program and CARE program gas expenses; and</w:t>
      </w:r>
    </w:p>
    <w:p w:rsidR="008F1B4E" w:rsidP="00FE2D37" w:rsidRDefault="008F1B4E" w14:paraId="207A62F8" w14:textId="348D82F8">
      <w:pPr>
        <w:pStyle w:val="ListBullet"/>
        <w:ind w:right="1440"/>
      </w:pPr>
      <w:r>
        <w:t>Family Electric Rate Assistance Balancing Account – tracks PPP revenues collected and allocable to the FERA program and FERA program costs.</w:t>
      </w:r>
    </w:p>
    <w:p w:rsidR="002962BA" w:rsidP="008F1B4E" w:rsidRDefault="008F1B4E" w14:paraId="0AED2191" w14:textId="77777777">
      <w:pPr>
        <w:pStyle w:val="Standard"/>
        <w:jc w:val="both"/>
      </w:pPr>
      <w:r>
        <w:t xml:space="preserve">SDG&amp;E proposes to continue tracking money to these accounts and seeking revenue requirements through annual PPP advice letters.  </w:t>
      </w:r>
    </w:p>
    <w:p w:rsidRPr="007259D8" w:rsidR="008F1B4E" w:rsidP="008F1B4E" w:rsidRDefault="00975DCD" w14:paraId="12339013" w14:textId="6D6C064B">
      <w:pPr>
        <w:pStyle w:val="Standard"/>
        <w:jc w:val="both"/>
      </w:pPr>
      <w:r>
        <w:t>For</w:t>
      </w:r>
      <w:r w:rsidRPr="00512A6D" w:rsidR="00512A6D">
        <w:t xml:space="preserve"> Program Year 2027, SDG&amp;E is authorized to recover $6,351,151 for its CARE Administrative Budget, $979,185 for its FERA Administrative Budget, and $13,717,165 for its ESA Budget, in addition to application of $19 million in unspent funds leftover after the 2021–2026 program cycle</w:t>
      </w:r>
      <w:r w:rsidR="001D2324">
        <w:t xml:space="preserve"> </w:t>
      </w:r>
      <w:r w:rsidR="00A15CBC">
        <w:t>for ESA activities</w:t>
      </w:r>
      <w:r w:rsidRPr="00512A6D" w:rsidR="00512A6D">
        <w:t>, totaling $</w:t>
      </w:r>
      <w:r w:rsidR="00A15CBC">
        <w:t>40,086,638</w:t>
      </w:r>
      <w:r w:rsidRPr="00512A6D" w:rsidR="00512A6D">
        <w:t xml:space="preserve"> utilizing the cost recovery mechanisms discussed abov</w:t>
      </w:r>
      <w:r w:rsidR="00512A6D">
        <w:t>e</w:t>
      </w:r>
      <w:r w:rsidR="00771A92">
        <w:t xml:space="preserve">.  </w:t>
      </w:r>
    </w:p>
    <w:p w:rsidR="008F1B4E" w:rsidP="00FE2D37" w:rsidRDefault="008F1B4E" w14:paraId="5F2AE36B" w14:textId="77777777">
      <w:pPr>
        <w:pStyle w:val="Heading2"/>
      </w:pPr>
      <w:bookmarkStart w:name="_Toc230872106" w:id="72"/>
      <w:r>
        <w:t>SCE</w:t>
      </w:r>
      <w:bookmarkEnd w:id="72"/>
    </w:p>
    <w:p w:rsidR="008F1B4E" w:rsidP="000647F2" w:rsidRDefault="008F1B4E" w14:paraId="0B637AC2" w14:textId="66B9ECB0">
      <w:pPr>
        <w:pStyle w:val="Standard"/>
      </w:pPr>
      <w:r>
        <w:t>SCE proposes no changes to the current ESA ratemaking treatment, which includes use of the PPPAM, Energy Savings Assistance Program Adjustment mechanism, CARE Balancing Account, and FERA Balancing Account.</w:t>
      </w:r>
    </w:p>
    <w:p w:rsidRPr="00E13BB9" w:rsidR="009502F2" w:rsidP="000647F2" w:rsidRDefault="00975DCD" w14:paraId="1B1B7857" w14:textId="4AC960E4">
      <w:pPr>
        <w:pStyle w:val="Standard"/>
      </w:pPr>
      <w:r>
        <w:t xml:space="preserve">For Program Year 2027, </w:t>
      </w:r>
      <w:r w:rsidR="009502F2">
        <w:t xml:space="preserve">SCE is authorized to recover </w:t>
      </w:r>
      <w:r w:rsidR="006D236F">
        <w:t>$</w:t>
      </w:r>
      <w:r w:rsidRPr="006C6543" w:rsidR="006C6543">
        <w:t xml:space="preserve">8,499,853 </w:t>
      </w:r>
      <w:r w:rsidR="006D236F">
        <w:t xml:space="preserve">for its CARE Administrative Budget, </w:t>
      </w:r>
      <w:r w:rsidR="00BF4A92">
        <w:t>$1,717,244 for its FERA Administrative Budget,</w:t>
      </w:r>
      <w:r w:rsidR="009502F2">
        <w:t xml:space="preserve"> </w:t>
      </w:r>
      <w:r w:rsidR="00BF4A92">
        <w:t xml:space="preserve">and </w:t>
      </w:r>
      <w:r w:rsidR="003F77FC">
        <w:t>$</w:t>
      </w:r>
      <w:r w:rsidRPr="007064B9" w:rsidR="007064B9">
        <w:t xml:space="preserve">28,050,126 </w:t>
      </w:r>
      <w:r w:rsidR="003F77FC">
        <w:t>for its ESA Budget</w:t>
      </w:r>
      <w:r w:rsidR="00CD1CF9">
        <w:t xml:space="preserve">, </w:t>
      </w:r>
      <w:r w:rsidR="007064B9">
        <w:t>in addition to</w:t>
      </w:r>
      <w:r w:rsidR="009502F2">
        <w:t xml:space="preserve"> application of </w:t>
      </w:r>
      <w:r w:rsidR="003D5210">
        <w:t xml:space="preserve">an estimated </w:t>
      </w:r>
      <w:r w:rsidR="009502F2">
        <w:t>$49 million in unspent funds leftover after the 2021</w:t>
      </w:r>
      <w:r w:rsidR="009A4F1D">
        <w:t>–202</w:t>
      </w:r>
      <w:r w:rsidR="009502F2">
        <w:t>6 program cycle</w:t>
      </w:r>
      <w:r w:rsidR="00A15CBC">
        <w:t xml:space="preserve"> for ESA activities</w:t>
      </w:r>
      <w:r w:rsidR="00C706C2">
        <w:t>,</w:t>
      </w:r>
      <w:r w:rsidR="00714DB7">
        <w:t xml:space="preserve"> </w:t>
      </w:r>
      <w:r w:rsidRPr="00714DB7" w:rsidR="00714DB7">
        <w:t>totaling $</w:t>
      </w:r>
      <w:r w:rsidR="00A15CBC">
        <w:t>87,267,223</w:t>
      </w:r>
      <w:r w:rsidR="00714DB7">
        <w:t>,</w:t>
      </w:r>
      <w:r w:rsidR="00C706C2">
        <w:t xml:space="preserve"> utilizing the cost recovery mechanisms discussed above</w:t>
      </w:r>
      <w:r w:rsidR="009502F2">
        <w:t xml:space="preserve">.  </w:t>
      </w:r>
    </w:p>
    <w:p w:rsidR="008F1B4E" w:rsidP="00961DC9" w:rsidRDefault="008F1B4E" w14:paraId="026913C3" w14:textId="77777777">
      <w:pPr>
        <w:pStyle w:val="Heading2"/>
      </w:pPr>
      <w:bookmarkStart w:name="_Toc230872107" w:id="73"/>
      <w:r>
        <w:t>SoCalGas</w:t>
      </w:r>
      <w:bookmarkEnd w:id="73"/>
    </w:p>
    <w:p w:rsidR="008F1B4E" w:rsidP="008F1B4E" w:rsidRDefault="008F1B4E" w14:paraId="1427C48F" w14:textId="548B77E9">
      <w:pPr>
        <w:pStyle w:val="Standard"/>
      </w:pPr>
      <w:r>
        <w:t xml:space="preserve">SoCalGas does not propose any changes to its cost recovery process.  CARE costs are recovered using an Equal Cents Per </w:t>
      </w:r>
      <w:proofErr w:type="spellStart"/>
      <w:r>
        <w:t>Therm</w:t>
      </w:r>
      <w:proofErr w:type="spellEnd"/>
      <w:r>
        <w:t xml:space="preserve"> Approach, through PPP surcharges.  SoCalGas maintains a two-way balancing account for CARE </w:t>
      </w:r>
      <w:r>
        <w:lastRenderedPageBreak/>
        <w:t>costs to track CARE program expenses incurred against gas surcharge funds.  ESA costs are recovered through PPP surcharges via the Direct Assistance Program Balancing Account.</w:t>
      </w:r>
    </w:p>
    <w:p w:rsidR="00E8574F" w:rsidP="008F1B4E" w:rsidRDefault="00975DCD" w14:paraId="3F0B155A" w14:textId="720514E2">
      <w:pPr>
        <w:pStyle w:val="Standard"/>
      </w:pPr>
      <w:r>
        <w:t xml:space="preserve">For Program Year 2027, </w:t>
      </w:r>
      <w:r w:rsidR="00E8574F">
        <w:t xml:space="preserve">SoCalGas </w:t>
      </w:r>
      <w:r w:rsidR="00FE2A83">
        <w:t>is authorized</w:t>
      </w:r>
      <w:r w:rsidR="00E8574F">
        <w:t xml:space="preserve"> to recover $</w:t>
      </w:r>
      <w:r w:rsidRPr="006C6543" w:rsidR="006C6543">
        <w:t xml:space="preserve">9,904,747 </w:t>
      </w:r>
      <w:r w:rsidR="00E8574F">
        <w:t xml:space="preserve">for </w:t>
      </w:r>
      <w:r>
        <w:t xml:space="preserve">its </w:t>
      </w:r>
      <w:r w:rsidR="00E8574F">
        <w:t>CARE admin</w:t>
      </w:r>
      <w:r>
        <w:t>istrative budget</w:t>
      </w:r>
      <w:r w:rsidR="00E8574F">
        <w:t xml:space="preserve">, </w:t>
      </w:r>
      <w:r w:rsidR="00C16FA3">
        <w:t xml:space="preserve">and </w:t>
      </w:r>
      <w:r w:rsidR="00E8574F">
        <w:t>$</w:t>
      </w:r>
      <w:r w:rsidRPr="00714DB7" w:rsidR="00714DB7">
        <w:t>56,901,364</w:t>
      </w:r>
      <w:r w:rsidR="00FE2A83">
        <w:t xml:space="preserve"> </w:t>
      </w:r>
      <w:r w:rsidR="00E8574F">
        <w:t>for</w:t>
      </w:r>
      <w:r w:rsidR="00C16FA3">
        <w:t xml:space="preserve"> </w:t>
      </w:r>
      <w:r w:rsidR="00FE2A83">
        <w:t>its ESA Budget</w:t>
      </w:r>
      <w:r w:rsidR="002D56C4">
        <w:t xml:space="preserve">, </w:t>
      </w:r>
      <w:r w:rsidR="00A62136">
        <w:t>in addition to</w:t>
      </w:r>
      <w:r w:rsidR="001F106D">
        <w:t xml:space="preserve"> application of an estimated $55 million in unspent funds leftover after the 2021</w:t>
      </w:r>
      <w:r w:rsidR="009A4F1D">
        <w:t>–202</w:t>
      </w:r>
      <w:r w:rsidR="001F106D">
        <w:t xml:space="preserve">6 program cycle, </w:t>
      </w:r>
      <w:r w:rsidRPr="00A62136" w:rsidR="00A62136">
        <w:t>totaling $111,901,364</w:t>
      </w:r>
      <w:r w:rsidR="00A62136">
        <w:t>,</w:t>
      </w:r>
      <w:r w:rsidRPr="00A62136" w:rsidR="00A62136">
        <w:t xml:space="preserve"> </w:t>
      </w:r>
      <w:r w:rsidR="001F106D">
        <w:t xml:space="preserve">utilizing the cost recovery mechanisms discussed above.  </w:t>
      </w:r>
    </w:p>
    <w:p w:rsidR="00603238" w:rsidP="00FE2D37" w:rsidRDefault="00603238" w14:paraId="5BD60675" w14:textId="3738E5C7">
      <w:pPr>
        <w:pStyle w:val="Heading1"/>
      </w:pPr>
      <w:bookmarkStart w:name="_Toc230872108" w:id="74"/>
      <w:r>
        <w:t>Summary of Public Comment</w:t>
      </w:r>
      <w:bookmarkEnd w:id="74"/>
    </w:p>
    <w:p w:rsidRPr="002042DB" w:rsidR="00603238" w:rsidP="00284D8D" w:rsidRDefault="00603238" w14:paraId="0EFD3395" w14:textId="587C2D3B">
      <w:pPr>
        <w:rPr>
          <w:rFonts w:ascii="Calibri" w:hAnsi="Calibri"/>
          <w:sz w:val="22"/>
        </w:rPr>
      </w:pPr>
      <w:r w:rsidRPr="002042DB">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r w:rsidR="00476DBF">
        <w:t xml:space="preserve"> </w:t>
      </w:r>
      <w:r w:rsidRPr="006B0E47" w:rsidR="006B0E47">
        <w:t>As of </w:t>
      </w:r>
      <w:r w:rsidR="00637615">
        <w:t>May 20, 2026</w:t>
      </w:r>
      <w:r w:rsidRPr="006B0E47" w:rsidR="006B0E47">
        <w:t>, </w:t>
      </w:r>
      <w:r w:rsidR="00637615">
        <w:t xml:space="preserve">23 public comments have been submitted, requesting that the applications be denied </w:t>
      </w:r>
      <w:r w:rsidR="004D4C0C">
        <w:t>due to affordability concerns</w:t>
      </w:r>
      <w:r w:rsidRPr="006B0E47" w:rsidR="006B0E47">
        <w:t>.  </w:t>
      </w:r>
    </w:p>
    <w:p w:rsidR="00FA1B4F" w:rsidP="00961DC9" w:rsidRDefault="005939A5" w14:paraId="6DCE1A46" w14:textId="77777777">
      <w:pPr>
        <w:pStyle w:val="Heading1"/>
      </w:pPr>
      <w:bookmarkStart w:name="_Toc230872109" w:id="75"/>
      <w:r>
        <w:t>Conclusion</w:t>
      </w:r>
      <w:bookmarkEnd w:id="21"/>
      <w:bookmarkEnd w:id="75"/>
    </w:p>
    <w:p w:rsidRPr="00343E5C" w:rsidR="00343E5C" w:rsidP="00682BF8" w:rsidRDefault="004B7A88" w14:paraId="16D2F002" w14:textId="731706D6">
      <w:pPr>
        <w:pStyle w:val="Standard"/>
      </w:pPr>
      <w:r>
        <w:t>For 2027 IQP Activities (</w:t>
      </w:r>
      <w:r w:rsidR="006B0E47">
        <w:t xml:space="preserve">excluding </w:t>
      </w:r>
      <w:r>
        <w:t>subsidies), PG&amp;E is authorized to collect $6</w:t>
      </w:r>
      <w:r w:rsidR="009533DE">
        <w:t>6</w:t>
      </w:r>
      <w:r>
        <w:t>.</w:t>
      </w:r>
      <w:r w:rsidR="009533DE">
        <w:t>3</w:t>
      </w:r>
      <w:r>
        <w:t xml:space="preserve"> million, </w:t>
      </w:r>
      <w:r w:rsidR="00AF0B8D">
        <w:t>SCE is authorized to collect $</w:t>
      </w:r>
      <w:r w:rsidR="009533DE">
        <w:t>38</w:t>
      </w:r>
      <w:r w:rsidR="00AF0B8D">
        <w:t>.</w:t>
      </w:r>
      <w:r w:rsidR="009533DE">
        <w:t>3</w:t>
      </w:r>
      <w:r w:rsidR="00AF0B8D">
        <w:t xml:space="preserve"> million, SDG&amp;E is authorized to collect $2</w:t>
      </w:r>
      <w:r w:rsidR="009533DE">
        <w:t>1</w:t>
      </w:r>
      <w:r w:rsidR="00AF0B8D">
        <w:t>.</w:t>
      </w:r>
      <w:r w:rsidR="009533DE">
        <w:t>0</w:t>
      </w:r>
      <w:r w:rsidR="00AF0B8D">
        <w:t xml:space="preserve"> million, and SoCalGas is authorized to collect </w:t>
      </w:r>
      <w:r w:rsidR="0085587C">
        <w:t>$</w:t>
      </w:r>
      <w:r w:rsidR="009533DE">
        <w:t>66</w:t>
      </w:r>
      <w:r w:rsidR="0085587C">
        <w:t>.</w:t>
      </w:r>
      <w:r w:rsidR="009533DE">
        <w:t>8</w:t>
      </w:r>
      <w:r w:rsidR="0085587C">
        <w:t xml:space="preserve"> million</w:t>
      </w:r>
      <w:r w:rsidR="009F7890">
        <w:t>,</w:t>
      </w:r>
      <w:r w:rsidRPr="009F7890" w:rsidR="009F7890">
        <w:t xml:space="preserve"> </w:t>
      </w:r>
      <w:r w:rsidR="009F7890">
        <w:t>in addition to the estimated unspent funds amounts specified in the Revenue Requirements and Cost Recovery section 12 above</w:t>
      </w:r>
      <w:r w:rsidR="0085587C">
        <w:t>.</w:t>
      </w:r>
      <w:r w:rsidR="005C4F66">
        <w:t xml:space="preserve">   </w:t>
      </w:r>
    </w:p>
    <w:p w:rsidR="004A1EAD" w:rsidP="00961DC9" w:rsidRDefault="004A1EAD" w14:paraId="354E4AE1" w14:textId="77777777">
      <w:pPr>
        <w:pStyle w:val="Heading1"/>
      </w:pPr>
      <w:bookmarkStart w:name="_Toc230872110" w:id="76"/>
      <w:bookmarkStart w:name="_Toc8123723" w:id="77"/>
      <w:r>
        <w:t>Procedural Matters</w:t>
      </w:r>
      <w:bookmarkEnd w:id="76"/>
    </w:p>
    <w:p w:rsidRPr="008B175A" w:rsidR="004A1EAD" w:rsidP="004A1EAD" w:rsidRDefault="004A1EAD" w14:paraId="179B5E86" w14:textId="63FBBB9A">
      <w:pPr>
        <w:pStyle w:val="Standard"/>
      </w:pPr>
      <w:r w:rsidRPr="008B175A">
        <w:t xml:space="preserve">This decision affirms all rulings made by the Administrative Law Judge and assigned Commissioner in this proceeding. </w:t>
      </w:r>
      <w:r w:rsidR="00A64AFC">
        <w:t xml:space="preserve"> </w:t>
      </w:r>
      <w:r w:rsidRPr="008B175A">
        <w:t>All motions not ruled on are deemed denied.</w:t>
      </w:r>
    </w:p>
    <w:p w:rsidR="005939A5" w:rsidP="00961DC9" w:rsidRDefault="005939A5" w14:paraId="3E860AC7" w14:textId="77777777">
      <w:pPr>
        <w:pStyle w:val="Heading1"/>
      </w:pPr>
      <w:bookmarkStart w:name="_Toc230872111" w:id="78"/>
      <w:r>
        <w:lastRenderedPageBreak/>
        <w:t>Comments on Proposed Decision</w:t>
      </w:r>
      <w:bookmarkEnd w:id="77"/>
      <w:bookmarkEnd w:id="78"/>
    </w:p>
    <w:p w:rsidR="005939A5" w:rsidP="00A2388A" w:rsidRDefault="005C58FA" w14:paraId="52BA1483" w14:textId="6722E725">
      <w:pPr>
        <w:pStyle w:val="Standard"/>
      </w:pPr>
      <w:r w:rsidRPr="00A2388A">
        <w:t xml:space="preserve">The proposed decision of ALJ </w:t>
      </w:r>
      <w:r w:rsidR="00A2388A">
        <w:t xml:space="preserve">Garrett Toy </w:t>
      </w:r>
      <w:r>
        <w:t xml:space="preserve">in this matter was mailed to the parties in accordance with Section 311 of the Public Utilities Code and comments were allowed under Rule 14.3 of the Commission’s Rules of Practice and Procedure.  Comments were filed </w:t>
      </w:r>
      <w:proofErr w:type="spellStart"/>
      <w:r>
        <w:t>on</w:t>
      </w:r>
      <w:r w:rsidR="00CE4D13">
        <w:t>June</w:t>
      </w:r>
      <w:proofErr w:type="spellEnd"/>
      <w:r w:rsidR="00CE4D13">
        <w:t xml:space="preserve"> 18, 2026</w:t>
      </w:r>
      <w:r w:rsidR="00480FAD">
        <w:t xml:space="preserve">, by </w:t>
      </w:r>
      <w:r w:rsidR="001B4215">
        <w:t xml:space="preserve">PG&amp;E, SCE, SDG&amp;E, SoCalGas, TURN, </w:t>
      </w:r>
      <w:proofErr w:type="spellStart"/>
      <w:r w:rsidR="001B4215">
        <w:t>CforAT</w:t>
      </w:r>
      <w:proofErr w:type="spellEnd"/>
      <w:r w:rsidR="001B4215">
        <w:t>, Cal Advocates, CETF, and EEC.</w:t>
      </w:r>
      <w:r>
        <w:t xml:space="preserve"> </w:t>
      </w:r>
      <w:r w:rsidR="00620955">
        <w:t xml:space="preserve"> </w:t>
      </w:r>
      <w:r w:rsidR="001B4215">
        <w:t>R</w:t>
      </w:r>
      <w:r>
        <w:t xml:space="preserve">eply comments were filed on </w:t>
      </w:r>
      <w:r w:rsidR="00AC30BD">
        <w:t xml:space="preserve">June 23, </w:t>
      </w:r>
      <w:proofErr w:type="gramStart"/>
      <w:r w:rsidR="00AC30BD">
        <w:t>2026</w:t>
      </w:r>
      <w:proofErr w:type="gramEnd"/>
      <w:r w:rsidR="00AC30BD">
        <w:t xml:space="preserve"> </w:t>
      </w:r>
      <w:r>
        <w:t xml:space="preserve">by </w:t>
      </w:r>
      <w:r w:rsidR="00AC30BD">
        <w:t>PG&amp;E, SCE, SDG&amp;E, SoCalGas, TURN, and Cal Advocates.</w:t>
      </w:r>
    </w:p>
    <w:p w:rsidR="00AC30BD" w:rsidP="00AC30BD" w:rsidRDefault="00AC30BD" w14:paraId="47D0052D" w14:textId="68AAF0E4">
      <w:pPr>
        <w:pStyle w:val="Standard"/>
      </w:pPr>
      <w:r>
        <w:t xml:space="preserve">All IOUs asked for increases to their CARE Administrative Budget, to reflect </w:t>
      </w:r>
      <w:proofErr w:type="gramStart"/>
      <w:r>
        <w:t>either increased costs</w:t>
      </w:r>
      <w:proofErr w:type="gramEnd"/>
      <w:r>
        <w:t xml:space="preserve"> related to studies not previously accounted for.</w:t>
      </w:r>
      <w:r w:rsidR="00BD0934">
        <w:t xml:space="preserve">  </w:t>
      </w:r>
      <w:r w:rsidR="008A4143">
        <w:t xml:space="preserve">IOUs also asked that CARE budgets be granted at the levels requested in the applications, to account for increased participation and rising costs.  Cal Advocates </w:t>
      </w:r>
      <w:r w:rsidR="009717AF">
        <w:t xml:space="preserve">in reply comments notes that the IOUs fail to address the </w:t>
      </w:r>
      <w:r w:rsidR="000565EF">
        <w:t>decision’s</w:t>
      </w:r>
      <w:r w:rsidR="009717AF">
        <w:t xml:space="preserve"> rationale, which points to </w:t>
      </w:r>
      <w:r w:rsidR="000409FF">
        <w:t>a</w:t>
      </w:r>
      <w:r w:rsidR="009717AF">
        <w:t xml:space="preserve"> history of CARE administrative underspending.  No changes are made to the </w:t>
      </w:r>
      <w:r w:rsidR="000565EF">
        <w:t>decision</w:t>
      </w:r>
      <w:r w:rsidR="009717AF">
        <w:t xml:space="preserve"> in response.</w:t>
      </w:r>
      <w:r>
        <w:t xml:space="preserve">  </w:t>
      </w:r>
      <w:r w:rsidR="00E13355">
        <w:t>The authorized budgets include funding f</w:t>
      </w:r>
      <w:r w:rsidR="00BD618A">
        <w:t xml:space="preserve">or </w:t>
      </w:r>
      <w:r w:rsidR="003E63AA">
        <w:t>the CHANGES budget increase authorized in this decision.</w:t>
      </w:r>
    </w:p>
    <w:p w:rsidR="00AC30BD" w:rsidP="00AC30BD" w:rsidRDefault="00AC30BD" w14:paraId="12636DB0" w14:textId="45D0344B">
      <w:pPr>
        <w:pStyle w:val="Standard"/>
      </w:pPr>
      <w:r>
        <w:t>Multiple IOUs asked for an extension for reporting of unspent funds to June 1, 2027, due to needed time to finalize the amount.  SCE</w:t>
      </w:r>
      <w:r w:rsidR="00A519D4">
        <w:t>, SoCalGas,</w:t>
      </w:r>
      <w:r>
        <w:t xml:space="preserve"> and SDG&amp;E also asked for clarifications regarding the application of unspent funds.  Changes have been made to the PD to reflect these concerns</w:t>
      </w:r>
      <w:r w:rsidR="00A519D4">
        <w:t xml:space="preserve">, which allows for submittal of the reporting advice letter on June 1, 2027, </w:t>
      </w:r>
      <w:r w:rsidR="001F62DD">
        <w:t xml:space="preserve">with true-up being conducted </w:t>
      </w:r>
      <w:proofErr w:type="gramStart"/>
      <w:r w:rsidR="001F62DD">
        <w:t>in the course of</w:t>
      </w:r>
      <w:proofErr w:type="gramEnd"/>
      <w:r w:rsidR="001F62DD">
        <w:t xml:space="preserve"> the IOUs’ annual PPP </w:t>
      </w:r>
      <w:proofErr w:type="gramStart"/>
      <w:r w:rsidR="001F62DD">
        <w:t>true-up</w:t>
      </w:r>
      <w:proofErr w:type="gramEnd"/>
      <w:r w:rsidR="001F62DD">
        <w:t>.</w:t>
      </w:r>
    </w:p>
    <w:p w:rsidR="00AC30BD" w:rsidP="00AC30BD" w:rsidRDefault="00AC30BD" w14:paraId="0B73B75B" w14:textId="77777777">
      <w:pPr>
        <w:pStyle w:val="Standard"/>
      </w:pPr>
      <w:r>
        <w:t xml:space="preserve">TURN’s comments asked for changes related to the discussions regarding reporting requirements and escalation, to note that the issues were dismissed without prejudice and that intervenor compensation could be sought in the </w:t>
      </w:r>
      <w:r>
        <w:lastRenderedPageBreak/>
        <w:t>future for participation in this proceeding on those issues.  Corresponding edits have been made.</w:t>
      </w:r>
    </w:p>
    <w:p w:rsidR="00AC30BD" w:rsidP="00AC30BD" w:rsidRDefault="00AC30BD" w14:paraId="714DDD4C" w14:textId="32ABF34E">
      <w:pPr>
        <w:pStyle w:val="Standard"/>
      </w:pPr>
      <w:r>
        <w:t xml:space="preserve">PG&amp;E, SoCalGas, SCE, and SDG&amp;E also asked for changes to approved ESA budget amounts listed in tables for clarity and consistency.  PG&amp;E also noted an error in the </w:t>
      </w:r>
      <w:proofErr w:type="gramStart"/>
      <w:r>
        <w:t>decision’s</w:t>
      </w:r>
      <w:proofErr w:type="gramEnd"/>
      <w:r>
        <w:t xml:space="preserve"> discussion of PG&amp;E’s FERA cost recovery.  Responsive changes have been made throughout the </w:t>
      </w:r>
      <w:r w:rsidR="000565EF">
        <w:t>decision</w:t>
      </w:r>
      <w:r>
        <w:t xml:space="preserve">. </w:t>
      </w:r>
    </w:p>
    <w:p w:rsidR="00AC30BD" w:rsidP="00AC30BD" w:rsidRDefault="00AC30BD" w14:paraId="532F9223" w14:textId="57C9BEB0">
      <w:pPr>
        <w:pStyle w:val="Standard"/>
      </w:pPr>
      <w:r>
        <w:t xml:space="preserve">SCE and EEC also opposed the PD’s closure of the BE pilot.  Both noted increasing program activity and need to </w:t>
      </w:r>
      <w:r w:rsidR="003F4567">
        <w:t>ensure program and contractor continuity.  No changes have been made to the PD in response.</w:t>
      </w:r>
    </w:p>
    <w:p w:rsidR="00AC30BD" w:rsidP="00AC30BD" w:rsidRDefault="00AC30BD" w14:paraId="63062759" w14:textId="715FE746">
      <w:pPr>
        <w:pStyle w:val="Standard"/>
      </w:pPr>
      <w:r>
        <w:t>SDG&amp;E comments sought increased funding amounts for the MFWB SPOC budgets, citing increasing program activity and costs.  SDG&amp;E also states that embedding Administrative and SPOC costs within an EE-MF funding framework reduces the amount of funding available for installation activity.  SDG&amp;E is allowed to fund-shift between programs to cover any budget constraints. SDG&amp;E</w:t>
      </w:r>
      <w:r w:rsidR="00473043">
        <w:t xml:space="preserve"> also noted that its</w:t>
      </w:r>
      <w:r>
        <w:t xml:space="preserve"> ESA study </w:t>
      </w:r>
      <w:r w:rsidR="00A229C5">
        <w:t>budget</w:t>
      </w:r>
      <w:r>
        <w:t xml:space="preserve"> </w:t>
      </w:r>
      <w:r w:rsidR="00A229C5">
        <w:t>should be revised down</w:t>
      </w:r>
      <w:r>
        <w:t>.</w:t>
      </w:r>
      <w:r w:rsidR="00950D54">
        <w:t xml:space="preserve">  This </w:t>
      </w:r>
      <w:r w:rsidR="00B7666A">
        <w:t>change has been made.</w:t>
      </w:r>
    </w:p>
    <w:p w:rsidR="00AC30BD" w:rsidP="00AC30BD" w:rsidRDefault="00AC30BD" w14:paraId="7E206AFA" w14:textId="36CBFBCB">
      <w:pPr>
        <w:pStyle w:val="Standard"/>
      </w:pPr>
      <w:proofErr w:type="spellStart"/>
      <w:r>
        <w:t>CforAT</w:t>
      </w:r>
      <w:proofErr w:type="spellEnd"/>
      <w:r>
        <w:t xml:space="preserve"> comments asked for changes related to intervenor compensation as well as changes regarding the discussion on PEV.  We clarify here that participation in working group activities authorized in this decision may be recovered in A.26-01-003, et al.  No other changes are made to the PD.</w:t>
      </w:r>
    </w:p>
    <w:p w:rsidR="00AC30BD" w:rsidP="00AC30BD" w:rsidRDefault="00AC30BD" w14:paraId="3CB4FD5E" w14:textId="77777777">
      <w:pPr>
        <w:pStyle w:val="Standard"/>
      </w:pPr>
      <w:r>
        <w:t>CETF requests changes to allow for filing of the annual compliance report discussed in the Amended Joint Stipulation.  Changes have been made to the PD in response.</w:t>
      </w:r>
    </w:p>
    <w:p w:rsidR="00AC30BD" w:rsidP="00AC30BD" w:rsidRDefault="00AC30BD" w14:paraId="0668E56E" w14:textId="1C20F20F">
      <w:pPr>
        <w:pStyle w:val="Standard"/>
      </w:pPr>
      <w:r>
        <w:t xml:space="preserve">Cal Advocates </w:t>
      </w:r>
      <w:r w:rsidR="00485251">
        <w:t xml:space="preserve">states that the PD established a baseline for ESA funding at the lower of either 2026 authorized funding or </w:t>
      </w:r>
      <w:r w:rsidR="00600B96">
        <w:t xml:space="preserve">the IOUs’ proposal for 2027 </w:t>
      </w:r>
      <w:r w:rsidR="00600B96">
        <w:lastRenderedPageBreak/>
        <w:t>funding</w:t>
      </w:r>
      <w:r>
        <w:t>.</w:t>
      </w:r>
      <w:r w:rsidR="00600B96">
        <w:t xml:space="preserve">  </w:t>
      </w:r>
      <w:r w:rsidR="006C58A5">
        <w:t xml:space="preserve">The PD erred in the drafting of this sentence, and it has been </w:t>
      </w:r>
      <w:r w:rsidR="006B54EB">
        <w:t>removed, as the PD authorized funding at the levels requested by the IOUs for ESA except as to Southern MFWB activities.</w:t>
      </w:r>
      <w:r>
        <w:t xml:space="preserve">  Cal Advocates also requests that the Commission make a finding on the cost-effectiveness of the ESA program in the PD.  The PD has added responsive language.</w:t>
      </w:r>
    </w:p>
    <w:p w:rsidR="00AC30BD" w:rsidP="00AC30BD" w:rsidRDefault="00AC30BD" w14:paraId="2E66A161" w14:textId="01365E1E">
      <w:pPr>
        <w:pStyle w:val="Standard"/>
      </w:pPr>
      <w:r>
        <w:t>SoCalGas notes that it did not seek funding for the 2028 CARE/FERA Eligibility Study and requested these funds in its full-cycle application.  Edits have been made to reflect that no additional budget is being granted here for the study.</w:t>
      </w:r>
    </w:p>
    <w:p w:rsidR="005939A5" w:rsidP="00FE2D37" w:rsidRDefault="005939A5" w14:paraId="47B1CFD7" w14:textId="77777777">
      <w:pPr>
        <w:pStyle w:val="Heading1"/>
      </w:pPr>
      <w:bookmarkStart w:name="_Toc8123724" w:id="79"/>
      <w:bookmarkStart w:name="_Toc230872112" w:id="80"/>
      <w:r>
        <w:t>Assignment of Proceeding</w:t>
      </w:r>
      <w:bookmarkEnd w:id="79"/>
      <w:bookmarkEnd w:id="80"/>
    </w:p>
    <w:p w:rsidR="005939A5" w:rsidP="006E6574" w:rsidRDefault="001206F6" w14:paraId="0B7F3450" w14:textId="5946D798">
      <w:pPr>
        <w:pStyle w:val="Standard"/>
      </w:pPr>
      <w:r>
        <w:t>Matthew Baker</w:t>
      </w:r>
      <w:r w:rsidR="005939A5">
        <w:t xml:space="preserve"> is the assigned Commissioner and </w:t>
      </w:r>
      <w:r>
        <w:t>Garrett Toy</w:t>
      </w:r>
      <w:r w:rsidR="005939A5">
        <w:t xml:space="preserve"> is the assigned Administrative Law Judge in this proceeding.</w:t>
      </w:r>
    </w:p>
    <w:p w:rsidR="005939A5" w:rsidP="005939A5" w:rsidRDefault="005939A5" w14:paraId="2A06A64C" w14:textId="77777777">
      <w:pPr>
        <w:pStyle w:val="Dummy"/>
      </w:pPr>
      <w:bookmarkStart w:name="_Toc8123725" w:id="81"/>
      <w:bookmarkStart w:name="_Toc230872113" w:id="82"/>
      <w:r>
        <w:t>Findings of Fact</w:t>
      </w:r>
      <w:bookmarkEnd w:id="81"/>
      <w:bookmarkEnd w:id="82"/>
    </w:p>
    <w:p w:rsidRPr="001E2A62" w:rsidR="00F22DAD" w:rsidP="00F22DAD" w:rsidRDefault="002A0598" w14:paraId="2A4601DC" w14:textId="6933FEF1">
      <w:pPr>
        <w:pStyle w:val="FoF"/>
      </w:pPr>
      <w:r>
        <w:t xml:space="preserve">The </w:t>
      </w:r>
      <w:r w:rsidR="00F22DAD">
        <w:t>Joint Stipulated Agreement between the IOUs and CETF</w:t>
      </w:r>
      <w:r>
        <w:t xml:space="preserve"> was uncontested.</w:t>
      </w:r>
    </w:p>
    <w:p w:rsidR="00F22DAD" w:rsidP="00F22DAD" w:rsidRDefault="00F22DAD" w14:paraId="6363E4B9" w14:textId="07AC68BB">
      <w:pPr>
        <w:pStyle w:val="FoF"/>
      </w:pPr>
      <w:r>
        <w:t xml:space="preserve">PG&amp;E’s, SDG&amp;E’s, SoCalGas’, and SCE’s 2027 CARE activities and goals are </w:t>
      </w:r>
      <w:r w:rsidR="005A17AD">
        <w:t xml:space="preserve">substantially </w:t>
      </w:r>
      <w:r>
        <w:t>the same as what was approved in D.21-06-015.</w:t>
      </w:r>
    </w:p>
    <w:p w:rsidR="00F22DAD" w:rsidP="00F22DAD" w:rsidRDefault="00F22DAD" w14:paraId="0A4A6999" w14:textId="4D8A44BD">
      <w:pPr>
        <w:pStyle w:val="FoF"/>
      </w:pPr>
      <w:proofErr w:type="gramStart"/>
      <w:r>
        <w:t>The IOUs</w:t>
      </w:r>
      <w:r w:rsidR="006F2122">
        <w:t>’</w:t>
      </w:r>
      <w:proofErr w:type="gramEnd"/>
      <w:r>
        <w:t xml:space="preserve"> proposed 2027 CARE Administrative budgets are higher than 2024 actual spend</w:t>
      </w:r>
      <w:r w:rsidRPr="0095177A" w:rsidR="0095177A">
        <w:t xml:space="preserve"> </w:t>
      </w:r>
      <w:r w:rsidR="003649B7">
        <w:t xml:space="preserve">mainly due to </w:t>
      </w:r>
      <w:r w:rsidRPr="0095177A" w:rsidR="0095177A">
        <w:t>inflation</w:t>
      </w:r>
      <w:r w:rsidR="003649B7">
        <w:t xml:space="preserve">, </w:t>
      </w:r>
      <w:r w:rsidRPr="0095177A" w:rsidR="0095177A">
        <w:t xml:space="preserve">upward cost pressures, </w:t>
      </w:r>
      <w:r w:rsidR="003649B7">
        <w:t xml:space="preserve">and </w:t>
      </w:r>
      <w:r w:rsidRPr="0095177A" w:rsidR="0095177A">
        <w:t>increased program activity</w:t>
      </w:r>
      <w:r>
        <w:t>.</w:t>
      </w:r>
    </w:p>
    <w:p w:rsidR="00F22DAD" w:rsidP="00F22DAD" w:rsidRDefault="00F22DAD" w14:paraId="1BA16195" w14:textId="2BF099F0">
      <w:pPr>
        <w:pStyle w:val="FoF"/>
      </w:pPr>
      <w:r>
        <w:t>Application of three years of escalation to 2024 actual spend is a reasonable estimate of the IOUs</w:t>
      </w:r>
      <w:r w:rsidR="00EA18B8">
        <w:t>’</w:t>
      </w:r>
      <w:r>
        <w:t xml:space="preserve"> 2027 CARE Administrative Budget</w:t>
      </w:r>
      <w:r w:rsidR="00EA18B8">
        <w:t>s</w:t>
      </w:r>
      <w:r>
        <w:t>.</w:t>
      </w:r>
    </w:p>
    <w:p w:rsidR="00F22DAD" w:rsidP="00F22DAD" w:rsidRDefault="00F22DAD" w14:paraId="192945BB" w14:textId="7471A0C1">
      <w:pPr>
        <w:pStyle w:val="FoF"/>
      </w:pPr>
      <w:r>
        <w:t xml:space="preserve">PG&amp;E’s, SDG&amp;E’s, and SCE’s 2027 FERA activities and goals are </w:t>
      </w:r>
      <w:r w:rsidR="000B18CE">
        <w:t xml:space="preserve">substantially </w:t>
      </w:r>
      <w:r>
        <w:t xml:space="preserve">the same as what was approved </w:t>
      </w:r>
      <w:proofErr w:type="gramStart"/>
      <w:r>
        <w:t>in</w:t>
      </w:r>
      <w:proofErr w:type="gramEnd"/>
      <w:r>
        <w:t xml:space="preserve"> D.21-06-015.</w:t>
      </w:r>
    </w:p>
    <w:p w:rsidR="00E92072" w:rsidP="00F22DAD" w:rsidRDefault="007D1814" w14:paraId="3B00E5C6" w14:textId="22B67059">
      <w:pPr>
        <w:pStyle w:val="FoF"/>
      </w:pPr>
      <w:r>
        <w:lastRenderedPageBreak/>
        <w:t xml:space="preserve">SB 1130 has </w:t>
      </w:r>
      <w:r w:rsidR="00F22DAD">
        <w:t>increase</w:t>
      </w:r>
      <w:r w:rsidR="004E62B8">
        <w:t>d</w:t>
      </w:r>
      <w:r w:rsidR="00F22DAD">
        <w:t xml:space="preserve"> the pool of eligible FERA customers</w:t>
      </w:r>
      <w:r w:rsidR="004E62B8">
        <w:t>, l</w:t>
      </w:r>
      <w:r w:rsidR="00865E4F">
        <w:t>ikely l</w:t>
      </w:r>
      <w:r w:rsidR="004E62B8">
        <w:t>eading to higher program costs</w:t>
      </w:r>
      <w:r w:rsidR="00865E4F">
        <w:t xml:space="preserve"> in 2027 as compared to </w:t>
      </w:r>
      <w:r w:rsidR="00F22DAD">
        <w:t>2024.</w:t>
      </w:r>
    </w:p>
    <w:p w:rsidR="00F22DAD" w:rsidP="00E92072" w:rsidRDefault="00655A06" w14:paraId="314A3819" w14:textId="7FF40AF9">
      <w:pPr>
        <w:pStyle w:val="FoF"/>
      </w:pPr>
      <w:r>
        <w:t>Since t</w:t>
      </w:r>
      <w:r w:rsidR="00F22DAD">
        <w:t xml:space="preserve">he Commission </w:t>
      </w:r>
      <w:r>
        <w:t xml:space="preserve">will </w:t>
      </w:r>
      <w:r w:rsidR="00F22DAD">
        <w:t xml:space="preserve">consider further modifications to the SB 1130 </w:t>
      </w:r>
      <w:r w:rsidR="005335AA">
        <w:t xml:space="preserve">implementation </w:t>
      </w:r>
      <w:r w:rsidR="00F22DAD">
        <w:t>process in A.26-01-003, et al.</w:t>
      </w:r>
      <w:r>
        <w:t xml:space="preserve">, </w:t>
      </w:r>
      <w:r w:rsidR="00E92072">
        <w:t>it is sufficient to r</w:t>
      </w:r>
      <w:r w:rsidR="00F22DAD">
        <w:t>equir</w:t>
      </w:r>
      <w:r w:rsidR="00E92072">
        <w:t>e</w:t>
      </w:r>
      <w:r w:rsidR="00F22DAD">
        <w:t xml:space="preserve"> the IOUs to submit a Tier 2 Advice Letter</w:t>
      </w:r>
      <w:r w:rsidR="00057896">
        <w:t xml:space="preserve"> to</w:t>
      </w:r>
      <w:r w:rsidR="00F22DAD">
        <w:t xml:space="preserve"> comply with the requirements of SB 1130 at this time.</w:t>
      </w:r>
    </w:p>
    <w:p w:rsidR="00F22DAD" w:rsidP="00F22DAD" w:rsidRDefault="00F22DAD" w14:paraId="0756EDB4" w14:textId="77777777">
      <w:pPr>
        <w:pStyle w:val="FoF"/>
      </w:pPr>
      <w:r>
        <w:t>The IOUs do not propose substantial changes to ESA Main program operations or delivery.</w:t>
      </w:r>
    </w:p>
    <w:p w:rsidR="00F22DAD" w:rsidP="00F22DAD" w:rsidRDefault="00F22DAD" w14:paraId="2CE9C4F8" w14:textId="77777777">
      <w:pPr>
        <w:pStyle w:val="FoF"/>
      </w:pPr>
      <w:r>
        <w:t>The IOUs do not propose substantial changes to their MFWB or SPOC program operations or delivery.</w:t>
      </w:r>
    </w:p>
    <w:p w:rsidR="00F22DAD" w:rsidP="00F22DAD" w:rsidRDefault="00F22DAD" w14:paraId="1F3628E0" w14:textId="4FC2FC3B">
      <w:pPr>
        <w:pStyle w:val="FoF"/>
      </w:pPr>
      <w:r>
        <w:t>PG&amp;E’s and SDG&amp;E’s PP/PD Pilots require budget in 2027 to fund customer support and administrative activities</w:t>
      </w:r>
      <w:r w:rsidR="006E1F1E">
        <w:t xml:space="preserve"> that support pilot close-out</w:t>
      </w:r>
      <w:r>
        <w:t>.</w:t>
      </w:r>
    </w:p>
    <w:p w:rsidR="00F22DAD" w:rsidP="00F22DAD" w:rsidRDefault="00F22DAD" w14:paraId="2FB9C681" w14:textId="77777777">
      <w:pPr>
        <w:pStyle w:val="FoF"/>
      </w:pPr>
      <w:r>
        <w:t>SCE proposes to roll its BE Pilot activities into ESA Main in 2028.</w:t>
      </w:r>
    </w:p>
    <w:p w:rsidR="0097598D" w:rsidP="00F22DAD" w:rsidRDefault="0097598D" w14:paraId="1A53BD8E" w14:textId="0C923BB0">
      <w:pPr>
        <w:pStyle w:val="FoF"/>
      </w:pPr>
      <w:r w:rsidRPr="0097598D">
        <w:t>SCE’s BE Pilot activities have provided sufficient information to close the program. </w:t>
      </w:r>
    </w:p>
    <w:p w:rsidR="00F22DAD" w:rsidP="00F22DAD" w:rsidRDefault="00F22DAD" w14:paraId="05011284" w14:textId="77777777">
      <w:pPr>
        <w:pStyle w:val="FoF"/>
      </w:pPr>
      <w:r>
        <w:t>SCE’s CEH Pilot and PP/PD Pilot (in conjunction with SoCalGas) have shown low participation totals.</w:t>
      </w:r>
    </w:p>
    <w:p w:rsidR="00F22DAD" w:rsidP="00F22DAD" w:rsidRDefault="00F22DAD" w14:paraId="153008A7" w14:textId="77777777">
      <w:pPr>
        <w:pStyle w:val="FoF"/>
      </w:pPr>
      <w:r>
        <w:t>Proposed IOU budgets include increases for escalation.</w:t>
      </w:r>
    </w:p>
    <w:p w:rsidR="00F22DAD" w:rsidP="00F22DAD" w:rsidRDefault="00F22DAD" w14:paraId="6EC8B912" w14:textId="77777777">
      <w:pPr>
        <w:pStyle w:val="FoF"/>
      </w:pPr>
      <w:r>
        <w:t>SCE and SoCalGas propose decreased targets and goals for the MFWB Program.</w:t>
      </w:r>
    </w:p>
    <w:p w:rsidR="00F22DAD" w:rsidP="00F22DAD" w:rsidRDefault="00F22DAD" w14:paraId="2570CF8B" w14:textId="740AC9CD">
      <w:pPr>
        <w:pStyle w:val="FoF"/>
      </w:pPr>
      <w:r>
        <w:t xml:space="preserve">IOU </w:t>
      </w:r>
      <w:r w:rsidR="00034D30">
        <w:t xml:space="preserve">2027 </w:t>
      </w:r>
      <w:r>
        <w:t>ESA budgets exceed 2024 actual spending</w:t>
      </w:r>
      <w:r w:rsidR="002E7741">
        <w:t>, mainly due to</w:t>
      </w:r>
      <w:r w:rsidRPr="002E7741" w:rsidR="002E7741">
        <w:t xml:space="preserve"> inflation</w:t>
      </w:r>
      <w:r w:rsidR="002E7741">
        <w:t xml:space="preserve"> and</w:t>
      </w:r>
      <w:r w:rsidRPr="002E7741" w:rsidR="002E7741">
        <w:t xml:space="preserve"> upward cost pressures</w:t>
      </w:r>
      <w:r>
        <w:t>.</w:t>
      </w:r>
    </w:p>
    <w:p w:rsidR="00F22DAD" w:rsidP="00F22DAD" w:rsidRDefault="00F22DAD" w14:paraId="73D6BF77" w14:textId="621CBE4F">
      <w:pPr>
        <w:pStyle w:val="FoF"/>
      </w:pPr>
      <w:r>
        <w:t>The IOUs were unable to fully spend their ESA portfolio budgets from 2022</w:t>
      </w:r>
      <w:r w:rsidR="009A4F1D">
        <w:t>–202</w:t>
      </w:r>
      <w:r>
        <w:t>4.</w:t>
      </w:r>
    </w:p>
    <w:p w:rsidR="00F22DAD" w:rsidP="00F22DAD" w:rsidRDefault="00F22DAD" w14:paraId="06BF00F9" w14:textId="77777777">
      <w:pPr>
        <w:pStyle w:val="FoF"/>
      </w:pPr>
      <w:r>
        <w:lastRenderedPageBreak/>
        <w:t>Utilizing 2024 ESA budgets to determine 2027 budgets would not address potential increases in ESA delivery costs.</w:t>
      </w:r>
    </w:p>
    <w:p w:rsidR="00F22DAD" w:rsidP="00F22DAD" w:rsidRDefault="00F22DAD" w14:paraId="6894F65E" w14:textId="4BAFA251">
      <w:pPr>
        <w:pStyle w:val="FoF"/>
      </w:pPr>
      <w:r>
        <w:t xml:space="preserve">Utilizing 2026 ESA budgets </w:t>
      </w:r>
      <w:r w:rsidR="009B29AA">
        <w:t xml:space="preserve">to determine 2027 </w:t>
      </w:r>
      <w:r w:rsidR="005A1959">
        <w:t xml:space="preserve">ESA </w:t>
      </w:r>
      <w:r w:rsidR="009B29AA">
        <w:t xml:space="preserve">budgets </w:t>
      </w:r>
      <w:r>
        <w:t>balances inflationary pressures since 2024 with potential over-budgeting of the programs.</w:t>
      </w:r>
    </w:p>
    <w:p w:rsidR="00F22DAD" w:rsidP="00F22DAD" w:rsidRDefault="00F22DAD" w14:paraId="35BC70E8" w14:textId="77777777">
      <w:pPr>
        <w:pStyle w:val="FoF"/>
      </w:pPr>
      <w:r>
        <w:t>Allowing IOUs to apply all ESA Portfolio Unspent funds to reduce 2027 collections reduces ratepayer burdens.</w:t>
      </w:r>
    </w:p>
    <w:p w:rsidR="00F22DAD" w:rsidP="00F22DAD" w:rsidRDefault="00F22DAD" w14:paraId="19443852" w14:textId="77777777">
      <w:pPr>
        <w:pStyle w:val="FoF"/>
      </w:pPr>
      <w:r>
        <w:t>The proposed ESA studies and Working Groups help provide data and information on ESA Portfolio performance and potential modifications.</w:t>
      </w:r>
    </w:p>
    <w:p w:rsidR="00F22DAD" w:rsidP="00F22DAD" w:rsidRDefault="00E8665B" w14:paraId="69315291" w14:textId="48FDAF0B">
      <w:pPr>
        <w:pStyle w:val="FoF"/>
      </w:pPr>
      <w:r>
        <w:t xml:space="preserve">It is reasonable to provide a budget of $200,000 for the </w:t>
      </w:r>
      <w:r w:rsidR="00F22DAD">
        <w:t>2027 CARE-FERA Eligibility Estimates Study.</w:t>
      </w:r>
    </w:p>
    <w:p w:rsidR="00F22DAD" w:rsidP="00F22DAD" w:rsidRDefault="00F22DAD" w14:paraId="4958CF33" w14:textId="77777777">
      <w:pPr>
        <w:pStyle w:val="FoF"/>
      </w:pPr>
      <w:r>
        <w:t>The CHANGES program has seen increased costs and activities since its last budget increase.</w:t>
      </w:r>
    </w:p>
    <w:p w:rsidR="00F22DAD" w:rsidP="00F22DAD" w:rsidRDefault="00F22DAD" w14:paraId="6F11BEA0" w14:textId="77777777">
      <w:pPr>
        <w:pStyle w:val="FoF"/>
      </w:pPr>
      <w:r>
        <w:t>The staff proposal increases the CHANGES budget to $2.6 million.</w:t>
      </w:r>
    </w:p>
    <w:p w:rsidR="00F22DAD" w:rsidP="00F22DAD" w:rsidRDefault="00F22DAD" w14:paraId="16CAFDEF" w14:textId="77777777">
      <w:pPr>
        <w:pStyle w:val="FoF"/>
      </w:pPr>
      <w:r>
        <w:t>The proposed IOU Studies budgets, as modified, are reasonable.</w:t>
      </w:r>
    </w:p>
    <w:p w:rsidR="007E1F19" w:rsidP="00F22DAD" w:rsidRDefault="00625BD1" w14:paraId="4646CA70" w14:textId="785838E7">
      <w:pPr>
        <w:pStyle w:val="FoF"/>
      </w:pPr>
      <w:r>
        <w:t>A</w:t>
      </w:r>
      <w:r w:rsidR="00CB783F">
        <w:t>ny changes to reporting requirements are better considered in the full-cycle proceeding.</w:t>
      </w:r>
    </w:p>
    <w:p w:rsidR="00F22DAD" w:rsidP="00F22DAD" w:rsidRDefault="00F22DAD" w14:paraId="047C6C68" w14:textId="20DCB4A0">
      <w:pPr>
        <w:pStyle w:val="FoF"/>
      </w:pPr>
      <w:r>
        <w:t>IOUs have accumulated unspent funds over the 2021</w:t>
      </w:r>
      <w:r w:rsidR="009A4F1D">
        <w:t>–202</w:t>
      </w:r>
      <w:r>
        <w:t>6 IQP cycle.</w:t>
      </w:r>
    </w:p>
    <w:p w:rsidR="00F22DAD" w:rsidP="00F22DAD" w:rsidRDefault="00BE046B" w14:paraId="34577633" w14:textId="6B8BFDB0">
      <w:pPr>
        <w:pStyle w:val="FoF"/>
      </w:pPr>
      <w:r>
        <w:t>Utilization</w:t>
      </w:r>
      <w:r w:rsidR="00F22DAD">
        <w:t xml:space="preserve"> of </w:t>
      </w:r>
      <w:proofErr w:type="gramStart"/>
      <w:r w:rsidR="00F22DAD">
        <w:t>all of</w:t>
      </w:r>
      <w:proofErr w:type="gramEnd"/>
      <w:r w:rsidR="00F22DAD">
        <w:t xml:space="preserve"> the IOUs</w:t>
      </w:r>
      <w:r w:rsidR="0021079C">
        <w:t>’</w:t>
      </w:r>
      <w:r w:rsidR="00F22DAD">
        <w:t xml:space="preserve"> unspent funds after the end of 2026, as was contemplated </w:t>
      </w:r>
      <w:proofErr w:type="gramStart"/>
      <w:r w:rsidR="00F22DAD">
        <w:t>in</w:t>
      </w:r>
      <w:proofErr w:type="gramEnd"/>
      <w:r w:rsidR="00F22DAD">
        <w:t xml:space="preserve"> D.21-06-015, </w:t>
      </w:r>
      <w:r w:rsidR="00BC5789">
        <w:t xml:space="preserve">may </w:t>
      </w:r>
      <w:r w:rsidR="00F22DAD">
        <w:t xml:space="preserve">reduce </w:t>
      </w:r>
      <w:proofErr w:type="gramStart"/>
      <w:r w:rsidR="00F22DAD">
        <w:t>needed 2027</w:t>
      </w:r>
      <w:proofErr w:type="gramEnd"/>
      <w:r w:rsidR="00F22DAD">
        <w:t xml:space="preserve"> collections.</w:t>
      </w:r>
    </w:p>
    <w:p w:rsidRPr="001E2A62" w:rsidR="00F22DAD" w:rsidP="00F22DAD" w:rsidRDefault="00F22DAD" w14:paraId="1A5E40A5" w14:textId="77777777">
      <w:pPr>
        <w:pStyle w:val="FoF"/>
      </w:pPr>
      <w:r>
        <w:t xml:space="preserve">The IOUs propose to utilize the same cost recovery methods as were approved </w:t>
      </w:r>
      <w:proofErr w:type="gramStart"/>
      <w:r>
        <w:t>in</w:t>
      </w:r>
      <w:proofErr w:type="gramEnd"/>
      <w:r>
        <w:t xml:space="preserve"> D.21-06-015.</w:t>
      </w:r>
    </w:p>
    <w:p w:rsidR="005939A5" w:rsidP="005939A5" w:rsidRDefault="005939A5" w14:paraId="7E9E7BCF" w14:textId="77777777">
      <w:pPr>
        <w:pStyle w:val="Dummy"/>
      </w:pPr>
      <w:bookmarkStart w:name="_Toc8123726" w:id="83"/>
      <w:bookmarkStart w:name="_Toc230872114" w:id="84"/>
      <w:r>
        <w:t>Conclusions of Law</w:t>
      </w:r>
      <w:bookmarkEnd w:id="83"/>
      <w:bookmarkEnd w:id="84"/>
    </w:p>
    <w:p w:rsidRPr="001E2A62" w:rsidR="00923B36" w:rsidP="00923B36" w:rsidRDefault="00923B36" w14:paraId="5984ACFD" w14:textId="77777777">
      <w:pPr>
        <w:pStyle w:val="CoL"/>
      </w:pPr>
      <w:r>
        <w:t>Exhibit CETF-02 should be received into the record.</w:t>
      </w:r>
    </w:p>
    <w:p w:rsidRPr="001E2A62" w:rsidR="00923B36" w:rsidP="00923B36" w:rsidRDefault="00923B36" w14:paraId="51ED4B5D" w14:textId="32442075">
      <w:pPr>
        <w:pStyle w:val="CoL"/>
      </w:pPr>
      <w:r>
        <w:t xml:space="preserve">It is reasonable to approve </w:t>
      </w:r>
      <w:r w:rsidR="00FF56FA">
        <w:t xml:space="preserve">the </w:t>
      </w:r>
      <w:r>
        <w:t xml:space="preserve">CARE activities and goals that were approved </w:t>
      </w:r>
      <w:proofErr w:type="gramStart"/>
      <w:r>
        <w:t>in</w:t>
      </w:r>
      <w:proofErr w:type="gramEnd"/>
      <w:r>
        <w:t xml:space="preserve"> D.21-06-015, to ensure program continuity.</w:t>
      </w:r>
    </w:p>
    <w:p w:rsidR="00923B36" w:rsidP="00923B36" w:rsidRDefault="00923B36" w14:paraId="17710661" w14:textId="77777777">
      <w:pPr>
        <w:pStyle w:val="CoL"/>
      </w:pPr>
      <w:r>
        <w:lastRenderedPageBreak/>
        <w:t>It is reasonable to grant 2027 CARE Administrative budgets that reflect three years of escalation applied to 2024 actual spend.</w:t>
      </w:r>
    </w:p>
    <w:p w:rsidR="00923B36" w:rsidP="00923B36" w:rsidRDefault="00923B36" w14:paraId="660E77AD" w14:textId="5D7CF0AD">
      <w:pPr>
        <w:pStyle w:val="CoL"/>
      </w:pPr>
      <w:r>
        <w:t>The 2027 CARE Administrative budgets are reasonable</w:t>
      </w:r>
      <w:r w:rsidR="00FF56FA">
        <w:t xml:space="preserve"> and should be adopted</w:t>
      </w:r>
      <w:r>
        <w:t>.</w:t>
      </w:r>
    </w:p>
    <w:p w:rsidR="00923B36" w:rsidP="00923B36" w:rsidRDefault="00923B36" w14:paraId="541209C7" w14:textId="77777777">
      <w:pPr>
        <w:pStyle w:val="CoL"/>
      </w:pPr>
      <w:r>
        <w:t>It is reasonable to approve FERA activities and goals that were approved in D.21-06-015, to ensure program continuity.</w:t>
      </w:r>
    </w:p>
    <w:p w:rsidR="00923B36" w:rsidP="00923B36" w:rsidRDefault="00923B36" w14:paraId="530E00A4" w14:textId="64D27CE3">
      <w:pPr>
        <w:pStyle w:val="CoL"/>
      </w:pPr>
      <w:r>
        <w:t>The IOUs’ 2027 FERA budgets are reasonable</w:t>
      </w:r>
      <w:r w:rsidR="00FF56FA">
        <w:t xml:space="preserve"> and should be adopted</w:t>
      </w:r>
      <w:r>
        <w:t>.</w:t>
      </w:r>
    </w:p>
    <w:p w:rsidR="00923B36" w:rsidP="00923B36" w:rsidRDefault="00923B36" w14:paraId="5B3B7C40" w14:textId="77777777">
      <w:pPr>
        <w:pStyle w:val="CoL"/>
      </w:pPr>
      <w:r>
        <w:t>The SB 1130 Staff Proposal, as modified, is reasonable.</w:t>
      </w:r>
    </w:p>
    <w:p w:rsidR="00923B36" w:rsidP="00923B36" w:rsidRDefault="00923B36" w14:paraId="141A99F0" w14:textId="77777777">
      <w:pPr>
        <w:pStyle w:val="CoL"/>
      </w:pPr>
      <w:r>
        <w:t>It is reasonable to approve ESA Main activities and goals that were approved in D.21-06-015, to ensure program continuity.</w:t>
      </w:r>
    </w:p>
    <w:p w:rsidR="00923B36" w:rsidP="00923B36" w:rsidRDefault="00923B36" w14:paraId="5B905B3C" w14:textId="77777777">
      <w:pPr>
        <w:pStyle w:val="CoL"/>
      </w:pPr>
      <w:r>
        <w:t>It is reasonable to provide PG&amp;E and SDG&amp;E budget to complete PP/PD pilot activities in 2027.</w:t>
      </w:r>
    </w:p>
    <w:p w:rsidR="00123171" w:rsidP="00923B36" w:rsidRDefault="00123171" w14:paraId="2FF21C08" w14:textId="749027DE">
      <w:pPr>
        <w:pStyle w:val="CoL"/>
      </w:pPr>
      <w:r w:rsidRPr="00123171">
        <w:t>It is reasonable to grant SCE a budget to conduct possible administrative activities related to closing its BE Pilot in 202</w:t>
      </w:r>
      <w:r w:rsidR="0034009E">
        <w:t>7</w:t>
      </w:r>
      <w:r w:rsidRPr="00123171">
        <w:t xml:space="preserve">.  </w:t>
      </w:r>
    </w:p>
    <w:p w:rsidR="00923B36" w:rsidP="00923B36" w:rsidRDefault="00923B36" w14:paraId="1025431E" w14:textId="46FE96F5">
      <w:pPr>
        <w:pStyle w:val="CoL"/>
      </w:pPr>
      <w:r>
        <w:t>It is reasonable to end SCE’s CEH Pilot and the joint SCE/SoCalGas PP/PD Pilot.</w:t>
      </w:r>
    </w:p>
    <w:p w:rsidR="00923B36" w:rsidP="00923B36" w:rsidRDefault="00923B36" w14:paraId="008C948B" w14:textId="3235C5B6">
      <w:pPr>
        <w:pStyle w:val="CoL"/>
      </w:pPr>
      <w:r>
        <w:t>The 2027 ESA Portfolio Budgets are reasonable</w:t>
      </w:r>
      <w:r w:rsidR="009701A2">
        <w:t xml:space="preserve"> and should be</w:t>
      </w:r>
      <w:r w:rsidRPr="009701A2" w:rsidR="009701A2">
        <w:t xml:space="preserve"> </w:t>
      </w:r>
      <w:r w:rsidR="009701A2">
        <w:t>adopted</w:t>
      </w:r>
      <w:r>
        <w:t>.</w:t>
      </w:r>
    </w:p>
    <w:p w:rsidR="00923B36" w:rsidP="00923B36" w:rsidRDefault="00923B36" w14:paraId="2C2B4647" w14:textId="126A4710">
      <w:pPr>
        <w:pStyle w:val="CoL"/>
      </w:pPr>
      <w:r>
        <w:t xml:space="preserve">It is reasonable to allow the IOUs to apply collected unspent funds to </w:t>
      </w:r>
      <w:r w:rsidR="009701A2">
        <w:t xml:space="preserve">offset </w:t>
      </w:r>
      <w:r>
        <w:t>2027 collections.</w:t>
      </w:r>
    </w:p>
    <w:p w:rsidR="00EB618A" w:rsidP="00923B36" w:rsidRDefault="00EB618A" w14:paraId="63A24774" w14:textId="10578F1E">
      <w:pPr>
        <w:pStyle w:val="CoL"/>
      </w:pPr>
      <w:r>
        <w:t>It is reasonable to allow the IOUs to complete a final true-up of their unspent</w:t>
      </w:r>
      <w:r w:rsidR="0050070C">
        <w:t xml:space="preserve"> funds through their regular PPP true-up process.</w:t>
      </w:r>
    </w:p>
    <w:p w:rsidR="00923B36" w:rsidP="00923B36" w:rsidRDefault="00923B36" w14:paraId="1333EAF6" w14:textId="77777777">
      <w:pPr>
        <w:pStyle w:val="CoL"/>
      </w:pPr>
      <w:r>
        <w:t>The IOUs should be granted their proposed pilot and Working Group budgets.</w:t>
      </w:r>
    </w:p>
    <w:p w:rsidR="00923B36" w:rsidP="00923B36" w:rsidRDefault="00923B36" w14:paraId="49C9A430" w14:textId="77777777">
      <w:pPr>
        <w:pStyle w:val="CoL"/>
      </w:pPr>
      <w:r>
        <w:t>It is reasonable to grant the CHANGES program a $2.6 million budget.</w:t>
      </w:r>
    </w:p>
    <w:p w:rsidR="00923B36" w:rsidP="00923B36" w:rsidRDefault="00923B36" w14:paraId="57ACAC33" w14:textId="77777777">
      <w:pPr>
        <w:pStyle w:val="CoL"/>
      </w:pPr>
      <w:r>
        <w:lastRenderedPageBreak/>
        <w:t>It is reasonable to direct the IOUs to apply all unspent funds to reduce 2027 collections.</w:t>
      </w:r>
    </w:p>
    <w:p w:rsidR="00923B36" w:rsidP="00923B36" w:rsidRDefault="00923B36" w14:paraId="1657121F" w14:textId="77777777">
      <w:pPr>
        <w:pStyle w:val="CoL"/>
      </w:pPr>
      <w:r>
        <w:t>The proposed cost recovery methods are reasonable.</w:t>
      </w:r>
    </w:p>
    <w:p w:rsidR="00923B36" w:rsidP="00923B36" w:rsidRDefault="00923B36" w14:paraId="255EF0D3" w14:textId="0CB0733A">
      <w:pPr>
        <w:pStyle w:val="CoL"/>
      </w:pPr>
      <w:r>
        <w:t>PG&amp;E should be authorized to collect $6</w:t>
      </w:r>
      <w:r w:rsidR="005E6720">
        <w:t>6</w:t>
      </w:r>
      <w:r>
        <w:t>.</w:t>
      </w:r>
      <w:r w:rsidR="005A76E7">
        <w:t>3</w:t>
      </w:r>
      <w:r>
        <w:t xml:space="preserve"> million for IQP programs</w:t>
      </w:r>
      <w:r w:rsidR="0057268E">
        <w:rPr>
          <w:spacing w:val="-2"/>
        </w:rPr>
        <w:t xml:space="preserve">, </w:t>
      </w:r>
      <w:proofErr w:type="gramStart"/>
      <w:r w:rsidR="0057268E">
        <w:rPr>
          <w:spacing w:val="-2"/>
        </w:rPr>
        <w:t>less</w:t>
      </w:r>
      <w:proofErr w:type="gramEnd"/>
      <w:r w:rsidR="0057268E">
        <w:rPr>
          <w:spacing w:val="-2"/>
        </w:rPr>
        <w:t xml:space="preserve"> the actual amount of year-end 2026 unspent funds to be determined and applied through a Tier 1 AL</w:t>
      </w:r>
      <w:r>
        <w:t>.</w:t>
      </w:r>
    </w:p>
    <w:p w:rsidR="00923B36" w:rsidP="00923B36" w:rsidRDefault="00923B36" w14:paraId="4649A605" w14:textId="5ABF7D4A">
      <w:pPr>
        <w:pStyle w:val="CoL"/>
      </w:pPr>
      <w:r>
        <w:t>SCE</w:t>
      </w:r>
      <w:r w:rsidRPr="009959BD">
        <w:t xml:space="preserve"> </w:t>
      </w:r>
      <w:r>
        <w:t>should be authorized to collect $</w:t>
      </w:r>
      <w:r w:rsidR="005A76E7">
        <w:t>38</w:t>
      </w:r>
      <w:r>
        <w:t>.</w:t>
      </w:r>
      <w:r w:rsidR="005A76E7">
        <w:t>3</w:t>
      </w:r>
      <w:r>
        <w:t xml:space="preserve"> million for IQP programs</w:t>
      </w:r>
      <w:r w:rsidR="0057268E">
        <w:rPr>
          <w:spacing w:val="-2"/>
        </w:rPr>
        <w:t xml:space="preserve">, less the actual amount of year-end 2026 unspent funds to be determined and applied through </w:t>
      </w:r>
      <w:proofErr w:type="gramStart"/>
      <w:r w:rsidR="0057268E">
        <w:rPr>
          <w:spacing w:val="-2"/>
        </w:rPr>
        <w:t>a Tier</w:t>
      </w:r>
      <w:proofErr w:type="gramEnd"/>
      <w:r w:rsidR="0057268E">
        <w:rPr>
          <w:spacing w:val="-2"/>
        </w:rPr>
        <w:t xml:space="preserve"> 1 AL</w:t>
      </w:r>
      <w:r>
        <w:t xml:space="preserve">. </w:t>
      </w:r>
    </w:p>
    <w:p w:rsidR="00923B36" w:rsidP="00923B36" w:rsidRDefault="00923B36" w14:paraId="1272DFB7" w14:textId="4F2CAAF7">
      <w:pPr>
        <w:pStyle w:val="CoL"/>
      </w:pPr>
      <w:r>
        <w:t>SDG&amp;E should be authorized to collect $2</w:t>
      </w:r>
      <w:r w:rsidR="005A76E7">
        <w:t>1.0</w:t>
      </w:r>
      <w:r>
        <w:t xml:space="preserve"> million for IQP programs</w:t>
      </w:r>
      <w:r w:rsidR="0057268E">
        <w:rPr>
          <w:spacing w:val="-2"/>
        </w:rPr>
        <w:t xml:space="preserve">, </w:t>
      </w:r>
      <w:proofErr w:type="gramStart"/>
      <w:r w:rsidR="0057268E">
        <w:rPr>
          <w:spacing w:val="-2"/>
        </w:rPr>
        <w:t>less</w:t>
      </w:r>
      <w:proofErr w:type="gramEnd"/>
      <w:r w:rsidR="0057268E">
        <w:rPr>
          <w:spacing w:val="-2"/>
        </w:rPr>
        <w:t xml:space="preserve"> the actual amount of year-end 2026 unspent funds to be determined and applied through </w:t>
      </w:r>
      <w:proofErr w:type="gramStart"/>
      <w:r w:rsidR="0057268E">
        <w:rPr>
          <w:spacing w:val="-2"/>
        </w:rPr>
        <w:t>a Tier</w:t>
      </w:r>
      <w:proofErr w:type="gramEnd"/>
      <w:r w:rsidR="0057268E">
        <w:rPr>
          <w:spacing w:val="-2"/>
        </w:rPr>
        <w:t xml:space="preserve"> 1 AL</w:t>
      </w:r>
      <w:r>
        <w:t>.</w:t>
      </w:r>
    </w:p>
    <w:p w:rsidRPr="001E2A62" w:rsidR="00923B36" w:rsidP="00923B36" w:rsidRDefault="00923B36" w14:paraId="5BFD3769" w14:textId="42D21657">
      <w:pPr>
        <w:pStyle w:val="CoL"/>
      </w:pPr>
      <w:r>
        <w:t>SoCalGas should be authorized to collect $</w:t>
      </w:r>
      <w:r w:rsidR="00244F01">
        <w:t>66.8</w:t>
      </w:r>
      <w:r>
        <w:t xml:space="preserve"> million for IQP programs</w:t>
      </w:r>
      <w:r w:rsidR="0057268E">
        <w:rPr>
          <w:spacing w:val="-2"/>
        </w:rPr>
        <w:t>, less the actual amount of year-end 2026 unspent funds to be determined and applied through a Tier 1 AL</w:t>
      </w:r>
      <w:r>
        <w:t>.</w:t>
      </w:r>
    </w:p>
    <w:p w:rsidR="00BB0243" w:rsidP="000A6E05" w:rsidRDefault="005939A5" w14:paraId="3FC3C731" w14:textId="77777777">
      <w:pPr>
        <w:pStyle w:val="Mainex"/>
      </w:pPr>
      <w:bookmarkStart w:name="_Toc230872115" w:id="85"/>
      <w:r>
        <w:t>O</w:t>
      </w:r>
      <w:r w:rsidR="00722850">
        <w:t>RDER</w:t>
      </w:r>
      <w:bookmarkEnd w:id="85"/>
    </w:p>
    <w:p w:rsidR="00BB0243" w:rsidP="000A6E05" w:rsidRDefault="00BB0243" w14:paraId="54BD68EF" w14:textId="77777777">
      <w:pPr>
        <w:keepNext/>
      </w:pPr>
      <w:r w:rsidRPr="00BB0243">
        <w:rPr>
          <w:b/>
        </w:rPr>
        <w:t>IT IS ORDERED</w:t>
      </w:r>
      <w:r>
        <w:t xml:space="preserve"> that:</w:t>
      </w:r>
    </w:p>
    <w:p w:rsidR="005540FE" w:rsidP="005540FE" w:rsidRDefault="005540FE" w14:paraId="7AC02DEE" w14:textId="127C695A">
      <w:pPr>
        <w:pStyle w:val="OP"/>
      </w:pPr>
      <w:r>
        <w:t>Exhibit CETF-02 is entered into the record.</w:t>
      </w:r>
    </w:p>
    <w:p w:rsidR="005540FE" w:rsidP="005540FE" w:rsidRDefault="005540FE" w14:paraId="39AEF188" w14:textId="3D07D3A3">
      <w:pPr>
        <w:pStyle w:val="OP"/>
      </w:pPr>
      <w:r w:rsidRPr="00E509EF">
        <w:t>Pacific Gas and Electric Company</w:t>
      </w:r>
      <w:r w:rsidR="0021079C">
        <w:t>’s</w:t>
      </w:r>
      <w:r w:rsidRPr="00E509EF">
        <w:t>, Southern California Edison Company</w:t>
      </w:r>
      <w:r w:rsidR="0021079C">
        <w:t>’s</w:t>
      </w:r>
      <w:r w:rsidRPr="00E509EF">
        <w:t>, San Diego Gas &amp; Electric Company</w:t>
      </w:r>
      <w:r w:rsidR="0021079C">
        <w:t>’s,</w:t>
      </w:r>
      <w:r w:rsidRPr="00E509EF">
        <w:t xml:space="preserve"> and Southern California Gas Company's</w:t>
      </w:r>
      <w:r>
        <w:t xml:space="preserve"> 2027 California Alternate Rates for Energy program </w:t>
      </w:r>
      <w:r w:rsidR="00D57C8F">
        <w:t xml:space="preserve">goals, activities, and reporting requirements </w:t>
      </w:r>
      <w:r>
        <w:t xml:space="preserve">are </w:t>
      </w:r>
      <w:r w:rsidR="00372CCB">
        <w:t xml:space="preserve">approved </w:t>
      </w:r>
      <w:r w:rsidRPr="00BF4F2B" w:rsidR="00344A8C">
        <w:t xml:space="preserve">as set forth in </w:t>
      </w:r>
      <w:r w:rsidR="00344A8C">
        <w:t>section 6.5</w:t>
      </w:r>
      <w:r>
        <w:t>.</w:t>
      </w:r>
    </w:p>
    <w:p w:rsidR="005540FE" w:rsidP="005540FE" w:rsidRDefault="00970610" w14:paraId="0774C1CE" w14:textId="0AEE0EDB">
      <w:pPr>
        <w:pStyle w:val="OP"/>
      </w:pPr>
      <w:r w:rsidRPr="00E509EF">
        <w:t>Pacific Gas and Electric Company</w:t>
      </w:r>
      <w:r>
        <w:t>’s</w:t>
      </w:r>
      <w:r w:rsidRPr="00E509EF">
        <w:t>, Southern California Edison Company</w:t>
      </w:r>
      <w:r>
        <w:t>’s</w:t>
      </w:r>
      <w:r w:rsidRPr="00E509EF">
        <w:t>, San Diego Gas &amp; Electric Company</w:t>
      </w:r>
      <w:r>
        <w:t>’s,</w:t>
      </w:r>
      <w:r w:rsidRPr="00E509EF">
        <w:t xml:space="preserve"> and Southern California Gas </w:t>
      </w:r>
      <w:r w:rsidRPr="00E509EF">
        <w:lastRenderedPageBreak/>
        <w:t>Company's</w:t>
      </w:r>
      <w:r>
        <w:t xml:space="preserve"> </w:t>
      </w:r>
      <w:r w:rsidR="00B62D86">
        <w:t xml:space="preserve">2027 </w:t>
      </w:r>
      <w:r w:rsidRPr="00BF4F2B" w:rsidR="005540FE">
        <w:t xml:space="preserve">California Alternate Rates for Energy program </w:t>
      </w:r>
      <w:r w:rsidR="0005337B">
        <w:t xml:space="preserve">administrative </w:t>
      </w:r>
      <w:r w:rsidRPr="00BF4F2B" w:rsidR="005540FE">
        <w:t xml:space="preserve">budgets are </w:t>
      </w:r>
      <w:r w:rsidR="00344A8C">
        <w:t>approved</w:t>
      </w:r>
      <w:r w:rsidRPr="00BF4F2B" w:rsidR="00344A8C">
        <w:t xml:space="preserve"> </w:t>
      </w:r>
      <w:r w:rsidRPr="00BF4F2B" w:rsidR="005540FE">
        <w:t>collectively at $</w:t>
      </w:r>
      <w:r w:rsidR="007B6E4F">
        <w:t>3</w:t>
      </w:r>
      <w:r w:rsidR="00244F01">
        <w:t>3</w:t>
      </w:r>
      <w:r w:rsidR="00CF5E83">
        <w:t>.6</w:t>
      </w:r>
      <w:r w:rsidR="00320063">
        <w:t xml:space="preserve"> million</w:t>
      </w:r>
      <w:r w:rsidRPr="00BF4F2B" w:rsidR="005540FE">
        <w:t>, as set forth in Attachment</w:t>
      </w:r>
      <w:r w:rsidR="005540FE">
        <w:t xml:space="preserve"> </w:t>
      </w:r>
      <w:r w:rsidR="00975188">
        <w:t>1</w:t>
      </w:r>
      <w:r w:rsidR="00ED0930">
        <w:t>.</w:t>
      </w:r>
    </w:p>
    <w:p w:rsidR="005540FE" w:rsidP="005540FE" w:rsidRDefault="005540FE" w14:paraId="253BB5AF" w14:textId="4B1FC155">
      <w:pPr>
        <w:pStyle w:val="OP"/>
      </w:pPr>
      <w:r w:rsidRPr="00E509EF">
        <w:t>Pacific Gas and Electric Company</w:t>
      </w:r>
      <w:r w:rsidR="00FD3F67">
        <w:t>’s</w:t>
      </w:r>
      <w:r w:rsidRPr="00E509EF">
        <w:t>, Southern California Edison Company</w:t>
      </w:r>
      <w:r w:rsidR="00FD3F67">
        <w:t>’s</w:t>
      </w:r>
      <w:r w:rsidRPr="00E509EF">
        <w:t>, San Diego Gas &amp; Electric Company</w:t>
      </w:r>
      <w:r w:rsidR="00FD3F67">
        <w:t>’s,</w:t>
      </w:r>
      <w:r w:rsidRPr="00E509EF">
        <w:t xml:space="preserve"> and Southern California Gas Company's</w:t>
      </w:r>
      <w:r>
        <w:t xml:space="preserve"> 2027 </w:t>
      </w:r>
      <w:r w:rsidR="00D92CF2">
        <w:t>Family Electric</w:t>
      </w:r>
      <w:r>
        <w:t xml:space="preserve"> Rate Assistance program </w:t>
      </w:r>
      <w:r w:rsidR="00D57C8F">
        <w:t xml:space="preserve">goals, activities, and reporting requirements </w:t>
      </w:r>
      <w:r>
        <w:t xml:space="preserve">are </w:t>
      </w:r>
      <w:r w:rsidR="00344A8C">
        <w:t xml:space="preserve">approved </w:t>
      </w:r>
      <w:r w:rsidRPr="00BF4F2B" w:rsidR="00344A8C">
        <w:t xml:space="preserve">as set forth in </w:t>
      </w:r>
      <w:r w:rsidR="00344A8C">
        <w:t>section</w:t>
      </w:r>
      <w:r w:rsidR="000B2B23">
        <w:t xml:space="preserve"> 7</w:t>
      </w:r>
      <w:r w:rsidR="00344A8C">
        <w:t>.5</w:t>
      </w:r>
      <w:r>
        <w:t>.</w:t>
      </w:r>
    </w:p>
    <w:p w:rsidR="005540FE" w:rsidP="005540FE" w:rsidRDefault="0017084D" w14:paraId="1C306B65" w14:textId="46BFFB16">
      <w:pPr>
        <w:pStyle w:val="OP"/>
      </w:pPr>
      <w:r w:rsidRPr="00E509EF">
        <w:t>Pacific Gas and Electric Company</w:t>
      </w:r>
      <w:r>
        <w:t>’s</w:t>
      </w:r>
      <w:r w:rsidRPr="00E509EF">
        <w:t>, Southern California Edison Company</w:t>
      </w:r>
      <w:r>
        <w:t>’s</w:t>
      </w:r>
      <w:r w:rsidRPr="00E509EF">
        <w:t>, San Diego Gas &amp; Electric Company</w:t>
      </w:r>
      <w:r>
        <w:t>’s,</w:t>
      </w:r>
      <w:r w:rsidRPr="00E509EF">
        <w:t xml:space="preserve"> and Southern California Gas Company's</w:t>
      </w:r>
      <w:r>
        <w:t xml:space="preserve"> </w:t>
      </w:r>
      <w:r w:rsidR="00B62D86">
        <w:t xml:space="preserve">2027 </w:t>
      </w:r>
      <w:r w:rsidRPr="00540553" w:rsidR="005540FE">
        <w:t xml:space="preserve">Family Electric Rate Assistance program budgets are </w:t>
      </w:r>
      <w:r w:rsidR="000B2B23">
        <w:t>approved</w:t>
      </w:r>
      <w:r w:rsidRPr="00540553" w:rsidR="000B2B23">
        <w:t xml:space="preserve"> </w:t>
      </w:r>
      <w:r w:rsidRPr="00540553" w:rsidR="005540FE">
        <w:t>collectively at $</w:t>
      </w:r>
      <w:r w:rsidR="00AC375C">
        <w:t>5.8</w:t>
      </w:r>
      <w:r w:rsidRPr="00540553" w:rsidR="005540FE">
        <w:t xml:space="preserve"> million, as set forth in Attachment </w:t>
      </w:r>
      <w:r w:rsidR="00975188">
        <w:t>1</w:t>
      </w:r>
      <w:r w:rsidRPr="00540553" w:rsidR="005540FE">
        <w:t>.</w:t>
      </w:r>
    </w:p>
    <w:p w:rsidR="005540FE" w:rsidP="005540FE" w:rsidRDefault="005540FE" w14:paraId="0894C98D" w14:textId="42D15735">
      <w:pPr>
        <w:pStyle w:val="OP"/>
      </w:pPr>
      <w:r>
        <w:t>Southern California Edison Company is authorized to close its Clean Energy Homes Pilot.</w:t>
      </w:r>
    </w:p>
    <w:p w:rsidR="005540FE" w:rsidP="005540FE" w:rsidRDefault="005540FE" w14:paraId="4F04E11E" w14:textId="74BD13DC">
      <w:pPr>
        <w:pStyle w:val="OP"/>
      </w:pPr>
      <w:r>
        <w:t>Southern California Edison Company and Southern California Gas Company are authorized to close their Joint Whole Home Pilot.</w:t>
      </w:r>
    </w:p>
    <w:p w:rsidR="00FC4F63" w:rsidP="005540FE" w:rsidRDefault="00FC4F63" w14:paraId="552AA51E" w14:textId="6FF080EC">
      <w:pPr>
        <w:pStyle w:val="OP"/>
      </w:pPr>
      <w:r w:rsidRPr="00FC4F63">
        <w:t>Southern California Edison Company (SCE</w:t>
      </w:r>
      <w:proofErr w:type="gramStart"/>
      <w:r w:rsidRPr="00FC4F63">
        <w:t>) </w:t>
      </w:r>
      <w:r w:rsidR="00050686">
        <w:t>shall</w:t>
      </w:r>
      <w:proofErr w:type="gramEnd"/>
      <w:r w:rsidRPr="00FC4F63">
        <w:t> submit a Tier 1 Advice Letter with activities and needed budgets to close its Building Electrification Pilot</w:t>
      </w:r>
      <w:r w:rsidR="000B18CE">
        <w:t xml:space="preserve"> within 90 days after issuance of this decision</w:t>
      </w:r>
      <w:r w:rsidRPr="00FC4F63">
        <w:t>.  SCE is authorized to utilize up to $1.79 million for close out activities</w:t>
      </w:r>
      <w:r>
        <w:t>.</w:t>
      </w:r>
    </w:p>
    <w:p w:rsidR="005540FE" w:rsidP="005540FE" w:rsidRDefault="005540FE" w14:paraId="4465582C" w14:textId="50154275">
      <w:pPr>
        <w:pStyle w:val="OP"/>
      </w:pPr>
      <w:r w:rsidRPr="00E509EF">
        <w:t>Pacific Gas and Electric Company</w:t>
      </w:r>
      <w:r w:rsidR="00434FD2">
        <w:t>’s</w:t>
      </w:r>
      <w:r w:rsidRPr="00E509EF">
        <w:t>, Southern California Edison Company</w:t>
      </w:r>
      <w:r w:rsidR="00434FD2">
        <w:t>’s</w:t>
      </w:r>
      <w:r w:rsidRPr="00E509EF">
        <w:t>, San Diego Gas &amp; Electric Company</w:t>
      </w:r>
      <w:r w:rsidR="00434FD2">
        <w:t>’s</w:t>
      </w:r>
      <w:r w:rsidRPr="00E509EF">
        <w:t xml:space="preserve"> and Southern California Gas Company's </w:t>
      </w:r>
      <w:r w:rsidR="00723EE2">
        <w:t xml:space="preserve">2027 </w:t>
      </w:r>
      <w:r>
        <w:t xml:space="preserve">California Alternate Rates for Energy and </w:t>
      </w:r>
      <w:r w:rsidR="00D92CF2">
        <w:t>Family Electric</w:t>
      </w:r>
      <w:r>
        <w:t xml:space="preserve"> Rate Assistance Eligibility Study is</w:t>
      </w:r>
      <w:r w:rsidRPr="00E509EF">
        <w:t xml:space="preserve"> approved with </w:t>
      </w:r>
      <w:r w:rsidR="00723EE2">
        <w:t>PG&amp;E’s</w:t>
      </w:r>
      <w:r w:rsidR="00ED59E7">
        <w:t xml:space="preserve"> associated</w:t>
      </w:r>
      <w:r w:rsidRPr="00E509EF" w:rsidR="00723EE2">
        <w:t xml:space="preserve"> </w:t>
      </w:r>
      <w:r w:rsidRPr="00E509EF">
        <w:t>budget not to exceed $</w:t>
      </w:r>
      <w:r>
        <w:t>2</w:t>
      </w:r>
      <w:r w:rsidRPr="00E509EF">
        <w:t>00,000.</w:t>
      </w:r>
    </w:p>
    <w:p w:rsidR="005540FE" w:rsidP="005540FE" w:rsidRDefault="006F332D" w14:paraId="7EF4585D" w14:textId="5363A394">
      <w:pPr>
        <w:pStyle w:val="OP"/>
      </w:pPr>
      <w:r w:rsidRPr="00540553">
        <w:t>Pacific Gas and Electric Company</w:t>
      </w:r>
      <w:r>
        <w:t>’s</w:t>
      </w:r>
      <w:r w:rsidRPr="00540553">
        <w:t>, Southern California Edison Company</w:t>
      </w:r>
      <w:r>
        <w:t>’s</w:t>
      </w:r>
      <w:r w:rsidRPr="00540553">
        <w:t>, San Diego Gas &amp; Electric Company</w:t>
      </w:r>
      <w:r>
        <w:t>’s</w:t>
      </w:r>
      <w:r w:rsidRPr="00540553">
        <w:t xml:space="preserve">, and Southern California Gas </w:t>
      </w:r>
      <w:r w:rsidRPr="00540553">
        <w:lastRenderedPageBreak/>
        <w:t>Company</w:t>
      </w:r>
      <w:r>
        <w:t>’s</w:t>
      </w:r>
      <w:r w:rsidRPr="00540553" w:rsidR="005540FE">
        <w:t xml:space="preserve"> </w:t>
      </w:r>
      <w:r w:rsidR="00B62D86">
        <w:t xml:space="preserve">2027 </w:t>
      </w:r>
      <w:r w:rsidRPr="00540553" w:rsidR="005540FE">
        <w:t>Energy Savings Assistance program budgets are</w:t>
      </w:r>
      <w:r w:rsidRPr="00464027" w:rsidR="00464027">
        <w:t> </w:t>
      </w:r>
      <w:r w:rsidR="00B62D86">
        <w:t>approved</w:t>
      </w:r>
      <w:r w:rsidRPr="00464027" w:rsidR="00B62D86">
        <w:t xml:space="preserve"> </w:t>
      </w:r>
      <w:r w:rsidRPr="00464027" w:rsidR="00464027">
        <w:t>at $</w:t>
      </w:r>
      <w:r w:rsidR="00C322EE">
        <w:t>380</w:t>
      </w:r>
      <w:r w:rsidRPr="00464027" w:rsidR="00464027">
        <w:t xml:space="preserve"> million, </w:t>
      </w:r>
      <w:r w:rsidRPr="00540553" w:rsidR="005540FE">
        <w:t xml:space="preserve">as set forth in Attachment </w:t>
      </w:r>
      <w:r w:rsidR="00975188">
        <w:t>1</w:t>
      </w:r>
      <w:r w:rsidRPr="00540553" w:rsidR="005540FE">
        <w:t>.</w:t>
      </w:r>
      <w:r w:rsidR="00D82642">
        <w:t xml:space="preserve">  The final net 2027 collection amounts shall be adjusted for actual unspent funds as of year-end 2026 through the Tier 1 Advice Letter authorized in Ordering Paragraph 11.</w:t>
      </w:r>
    </w:p>
    <w:p w:rsidR="005540FE" w:rsidP="005540FE" w:rsidRDefault="005540FE" w14:paraId="7EEED374" w14:textId="308743B3">
      <w:pPr>
        <w:pStyle w:val="OP"/>
      </w:pPr>
      <w:r>
        <w:t xml:space="preserve">Pacific Gas and Electric Company, San Diego Gas &amp; Electric Company, Southern California Edison Company, and Southern California Gas Company </w:t>
      </w:r>
      <w:r w:rsidR="006F332D">
        <w:t xml:space="preserve">shall </w:t>
      </w:r>
      <w:r>
        <w:t xml:space="preserve">submit a Tier 1 Advice Letter by </w:t>
      </w:r>
      <w:r w:rsidR="00D82642">
        <w:t>June 1</w:t>
      </w:r>
      <w:r>
        <w:t xml:space="preserve">, 2027 updating budgets to reflect the amount of collections needed following determination of the amount of unspent funds that will remain related to Energy Savings </w:t>
      </w:r>
      <w:r w:rsidR="006F332D">
        <w:t xml:space="preserve">Assistance </w:t>
      </w:r>
      <w:r>
        <w:t xml:space="preserve">(ESA) </w:t>
      </w:r>
      <w:r w:rsidR="006F332D">
        <w:t xml:space="preserve">program </w:t>
      </w:r>
      <w:r>
        <w:t xml:space="preserve">budgets on December 31, 2026.  </w:t>
      </w:r>
      <w:r w:rsidR="006F332D">
        <w:t xml:space="preserve">All </w:t>
      </w:r>
      <w:r>
        <w:t>remaining unspent funds shall be applied to reduce ESA portfolio budget collections for 2027.</w:t>
      </w:r>
    </w:p>
    <w:p w:rsidR="005540FE" w:rsidP="005540FE" w:rsidRDefault="005540FE" w14:paraId="2B330A18" w14:textId="7D534671">
      <w:pPr>
        <w:pStyle w:val="OP"/>
      </w:pPr>
      <w:r w:rsidRPr="00153210">
        <w:t>The Joint Stipulation between the Pacific Gas and Electric Company, Southern California Edison Company, Southern California Gas Company, San Diego Gas &amp; Electric Company and the California Emerging Technology Fund is approved</w:t>
      </w:r>
      <w:r w:rsidR="005A1959">
        <w:t>, as set forth in Attachment 2</w:t>
      </w:r>
      <w:r w:rsidRPr="00153210">
        <w:t>.</w:t>
      </w:r>
      <w:r w:rsidR="00C164F6">
        <w:t xml:space="preserve">  </w:t>
      </w:r>
      <w:r w:rsidRPr="001903D5" w:rsidR="00C164F6">
        <w:t>CETF is ordered to compile the data it tracks under the Amended Joint Stipulation, namely (1) the number of CARE customers for each IOU and how many have emails on file, and (2) the number of calls generated by each IOU to the Call Center, in a table, and to file it in a CETF Annual Compliance Filing in the relevant low income qualified program docket within two weeks of the IOU’s annual report filings.</w:t>
      </w:r>
    </w:p>
    <w:p w:rsidR="005540FE" w:rsidP="005540FE" w:rsidRDefault="005540FE" w14:paraId="6017056C" w14:textId="2DB6CFDE">
      <w:pPr>
        <w:pStyle w:val="OP"/>
      </w:pPr>
      <w:r>
        <w:t xml:space="preserve">Pacific Gas and Electric Company, San Diego Gas &amp; Electric Company, Southern California Edison Company, and Southern California Gas Company </w:t>
      </w:r>
      <w:r w:rsidR="00895FFD">
        <w:t>shall</w:t>
      </w:r>
      <w:r>
        <w:t xml:space="preserve"> us</w:t>
      </w:r>
      <w:r w:rsidR="00647CEC">
        <w:t>e</w:t>
      </w:r>
      <w:r>
        <w:t xml:space="preserve"> the balancing accounts and cost recovery mechanisms </w:t>
      </w:r>
      <w:r w:rsidR="00895FFD">
        <w:t xml:space="preserve">approved </w:t>
      </w:r>
      <w:r w:rsidR="00647CEC">
        <w:t xml:space="preserve">as set forth </w:t>
      </w:r>
      <w:r>
        <w:t xml:space="preserve">in </w:t>
      </w:r>
      <w:r w:rsidR="00647CEC">
        <w:t xml:space="preserve">section </w:t>
      </w:r>
      <w:r w:rsidR="003D6598">
        <w:t>12</w:t>
      </w:r>
      <w:r>
        <w:t>.</w:t>
      </w:r>
    </w:p>
    <w:p w:rsidR="00F418D3" w:rsidP="005540FE" w:rsidRDefault="00F418D3" w14:paraId="64975AAF" w14:textId="398F49F3">
      <w:pPr>
        <w:pStyle w:val="OP"/>
      </w:pPr>
      <w:r w:rsidRPr="00E509EF">
        <w:lastRenderedPageBreak/>
        <w:t xml:space="preserve">Pacific Gas and Electric Company, Southern California Edison Company, </w:t>
      </w:r>
      <w:r>
        <w:t>and</w:t>
      </w:r>
      <w:r w:rsidR="0058157F">
        <w:t xml:space="preserve"> </w:t>
      </w:r>
      <w:r w:rsidRPr="00E509EF">
        <w:t>San Diego Gas &amp; Electric Company</w:t>
      </w:r>
      <w:r>
        <w:t xml:space="preserve"> shall submit a Tier 2 Advice Letter by March </w:t>
      </w:r>
      <w:r w:rsidR="00462D15">
        <w:t>1</w:t>
      </w:r>
      <w:r>
        <w:t xml:space="preserve"> of each year </w:t>
      </w:r>
      <w:r w:rsidR="00462D15">
        <w:t>with</w:t>
      </w:r>
      <w:r>
        <w:t xml:space="preserve"> </w:t>
      </w:r>
      <w:r w:rsidR="00462D15">
        <w:t xml:space="preserve">their Family Electric Rate Assistance </w:t>
      </w:r>
      <w:r w:rsidRPr="009B19EF" w:rsidR="00462D15">
        <w:t>Annual Reports</w:t>
      </w:r>
      <w:r w:rsidR="00462D15">
        <w:t>, in compliance with Senate Bill 1130 (202</w:t>
      </w:r>
      <w:r w:rsidR="00D90BAD">
        <w:t>4</w:t>
      </w:r>
      <w:r w:rsidR="00462D15">
        <w:t>)</w:t>
      </w:r>
      <w:r w:rsidR="0011066F">
        <w:t>, as set forth in Attachment 3</w:t>
      </w:r>
      <w:r w:rsidR="0058157F">
        <w:t>.</w:t>
      </w:r>
    </w:p>
    <w:p w:rsidR="005540FE" w:rsidP="005540FE" w:rsidRDefault="005540FE" w14:paraId="6E37DDBE" w14:textId="77777777">
      <w:pPr>
        <w:pStyle w:val="OP"/>
      </w:pPr>
      <w:r w:rsidRPr="0057373E">
        <w:t>All other requests not specifically approved in this decision are hereby denied.</w:t>
      </w:r>
    </w:p>
    <w:p w:rsidRPr="001E2A62" w:rsidR="005540FE" w:rsidP="005540FE" w:rsidRDefault="005540FE" w14:paraId="7042B63C" w14:textId="77777777">
      <w:pPr>
        <w:pStyle w:val="OP"/>
      </w:pPr>
      <w:r w:rsidRPr="0057373E">
        <w:t>All outstanding motions are hereby denied.</w:t>
      </w:r>
    </w:p>
    <w:p w:rsidR="00FE2D37" w:rsidP="0059060B" w:rsidRDefault="005540FE" w14:paraId="1B4133A0" w14:textId="7AA300F9">
      <w:pPr>
        <w:pStyle w:val="OP"/>
      </w:pPr>
      <w:r w:rsidRPr="001E2A62">
        <w:t>Application</w:t>
      </w:r>
      <w:r>
        <w:t xml:space="preserve">s </w:t>
      </w:r>
      <w:r w:rsidR="00895FFD">
        <w:t xml:space="preserve">(A.) </w:t>
      </w:r>
      <w:r>
        <w:t xml:space="preserve">25-06-022, </w:t>
      </w:r>
      <w:r w:rsidR="00895FFD">
        <w:t>A.</w:t>
      </w:r>
      <w:r>
        <w:t xml:space="preserve">25-06-023, </w:t>
      </w:r>
      <w:r w:rsidR="00895FFD">
        <w:t>A.</w:t>
      </w:r>
      <w:r>
        <w:t>25-06-02</w:t>
      </w:r>
      <w:r w:rsidR="0092239E">
        <w:t>4</w:t>
      </w:r>
      <w:r>
        <w:t xml:space="preserve">, and </w:t>
      </w:r>
      <w:r w:rsidR="00895FFD">
        <w:t>A.</w:t>
      </w:r>
      <w:r>
        <w:t>25-06-02</w:t>
      </w:r>
      <w:r w:rsidR="0092239E">
        <w:t>5</w:t>
      </w:r>
      <w:r>
        <w:t xml:space="preserve"> are</w:t>
      </w:r>
      <w:r w:rsidRPr="001E2A62">
        <w:t xml:space="preserve"> closed.</w:t>
      </w:r>
    </w:p>
    <w:p w:rsidR="008F0116" w:rsidP="008F0116" w:rsidRDefault="008F0116" w14:paraId="0F06657B" w14:textId="1BED2EE0">
      <w:r>
        <w:t>This order is effective today.</w:t>
      </w:r>
    </w:p>
    <w:p w:rsidR="007B0542" w:rsidP="00816E05" w:rsidRDefault="008F0116" w14:paraId="694CAE3E" w14:textId="77777777">
      <w:pPr>
        <w:sectPr w:rsidR="007B0542" w:rsidSect="00D921AF">
          <w:headerReference w:type="default" r:id="rId14"/>
          <w:footerReference w:type="default" r:id="rId15"/>
          <w:pgSz w:w="12240" w:h="15840"/>
          <w:pgMar w:top="1728" w:right="1440" w:bottom="1440" w:left="1440" w:header="720" w:footer="720" w:gutter="0"/>
          <w:pgNumType w:start="2"/>
          <w:cols w:space="720"/>
          <w:docGrid w:linePitch="360"/>
        </w:sectPr>
      </w:pPr>
      <w:r>
        <w:t xml:space="preserve">Dated </w:t>
      </w:r>
      <w:r>
        <w:rPr>
          <w:u w:val="single"/>
        </w:rPr>
        <w:tab/>
      </w:r>
      <w:r>
        <w:t xml:space="preserve">, at </w:t>
      </w:r>
      <w:r w:rsidR="00FE2D37">
        <w:t>Fort Bragg</w:t>
      </w:r>
      <w:r>
        <w:t>, California</w:t>
      </w:r>
    </w:p>
    <w:p w:rsidRPr="0019041B" w:rsidR="00714CF2" w:rsidP="007B0542" w:rsidRDefault="007B0542" w14:paraId="036FD60C" w14:textId="2DD7ECDE">
      <w:pPr>
        <w:jc w:val="center"/>
        <w:rPr>
          <w:b/>
          <w:bCs/>
          <w:sz w:val="48"/>
          <w:szCs w:val="48"/>
        </w:rPr>
      </w:pPr>
      <w:r w:rsidRPr="0019041B">
        <w:rPr>
          <w:b/>
          <w:bCs/>
          <w:sz w:val="48"/>
          <w:szCs w:val="48"/>
        </w:rPr>
        <w:lastRenderedPageBreak/>
        <w:t>ATTACHMENT 1</w:t>
      </w:r>
    </w:p>
    <w:p w:rsidRPr="0019041B" w:rsidR="007B0542" w:rsidP="000D01A2" w:rsidRDefault="007B0542" w14:paraId="314385D5" w14:textId="77777777">
      <w:pPr>
        <w:spacing w:line="240" w:lineRule="auto"/>
        <w:jc w:val="center"/>
        <w:rPr>
          <w:szCs w:val="26"/>
        </w:rPr>
      </w:pPr>
      <w:r w:rsidRPr="0019041B">
        <w:rPr>
          <w:szCs w:val="26"/>
        </w:rPr>
        <w:t>(Energy Savings Assistance and California Alternate Rates for Energy Programs and</w:t>
      </w:r>
    </w:p>
    <w:p w:rsidRPr="0019041B" w:rsidR="007B0542" w:rsidP="000D01A2" w:rsidRDefault="007B0542" w14:paraId="4C24C118" w14:textId="4FDDD1C9">
      <w:pPr>
        <w:spacing w:line="240" w:lineRule="auto"/>
        <w:jc w:val="center"/>
        <w:rPr>
          <w:szCs w:val="26"/>
        </w:rPr>
      </w:pPr>
      <w:r w:rsidRPr="0019041B">
        <w:rPr>
          <w:szCs w:val="26"/>
        </w:rPr>
        <w:t>Budgets for 2027 Program Years)</w:t>
      </w:r>
    </w:p>
    <w:p w:rsidR="007B0542" w:rsidP="007B0542" w:rsidRDefault="007B0542" w14:paraId="7D21D8FF" w14:textId="77777777">
      <w:pPr>
        <w:spacing w:line="240" w:lineRule="auto"/>
        <w:jc w:val="center"/>
        <w:rPr>
          <w:b/>
          <w:bCs/>
          <w:szCs w:val="26"/>
        </w:rPr>
      </w:pPr>
    </w:p>
    <w:p w:rsidR="007B0542" w:rsidP="007B0542" w:rsidRDefault="007B0542" w14:paraId="0851C445" w14:textId="77777777">
      <w:pPr>
        <w:spacing w:line="240" w:lineRule="auto"/>
        <w:jc w:val="center"/>
        <w:rPr>
          <w:b/>
          <w:bCs/>
          <w:szCs w:val="26"/>
        </w:rPr>
      </w:pPr>
    </w:p>
    <w:p w:rsidR="007B0542" w:rsidP="007B0542" w:rsidRDefault="007B0542" w14:paraId="7E1740DB" w14:textId="77777777">
      <w:pPr>
        <w:spacing w:line="240" w:lineRule="auto"/>
        <w:jc w:val="center"/>
        <w:rPr>
          <w:b/>
          <w:bCs/>
          <w:szCs w:val="26"/>
        </w:rPr>
      </w:pPr>
    </w:p>
    <w:p w:rsidR="007B0542" w:rsidP="007B0542" w:rsidRDefault="007B0542" w14:paraId="3358EBF3" w14:textId="77777777">
      <w:pPr>
        <w:spacing w:line="240" w:lineRule="auto"/>
        <w:jc w:val="center"/>
        <w:rPr>
          <w:b/>
          <w:bCs/>
          <w:szCs w:val="26"/>
        </w:rPr>
      </w:pPr>
    </w:p>
    <w:p w:rsidR="007B0542" w:rsidP="007B0542" w:rsidRDefault="007B0542" w14:paraId="1481888D" w14:textId="77777777">
      <w:pPr>
        <w:spacing w:line="240" w:lineRule="auto"/>
        <w:jc w:val="center"/>
        <w:rPr>
          <w:b/>
          <w:bCs/>
          <w:szCs w:val="26"/>
        </w:rPr>
      </w:pPr>
    </w:p>
    <w:p w:rsidR="001114A6" w:rsidP="007B0542" w:rsidRDefault="007B0542" w14:paraId="7D3249C5" w14:textId="77777777">
      <w:pPr>
        <w:spacing w:line="240" w:lineRule="auto"/>
        <w:jc w:val="center"/>
        <w:rPr>
          <w:b/>
          <w:bCs/>
          <w:szCs w:val="26"/>
        </w:rPr>
        <w:sectPr w:rsidR="001114A6" w:rsidSect="00D44DB6">
          <w:pgSz w:w="12240" w:h="15840"/>
          <w:pgMar w:top="1728" w:right="1440" w:bottom="1440" w:left="1440" w:header="720" w:footer="720" w:gutter="0"/>
          <w:pgNumType w:start="1"/>
          <w:cols w:space="720"/>
          <w:docGrid w:linePitch="360"/>
        </w:sectPr>
      </w:pPr>
      <w:r w:rsidRPr="0019041B">
        <w:rPr>
          <w:b/>
          <w:bCs/>
          <w:szCs w:val="26"/>
        </w:rPr>
        <w:t>(END OF ATTACHMENT 1)</w:t>
      </w:r>
    </w:p>
    <w:p w:rsidR="001114A6" w:rsidP="001114A6" w:rsidRDefault="001114A6" w14:paraId="2F8C4196" w14:textId="118C6935">
      <w:pPr>
        <w:jc w:val="center"/>
        <w:rPr>
          <w:b/>
          <w:bCs/>
          <w:sz w:val="48"/>
          <w:szCs w:val="48"/>
        </w:rPr>
      </w:pPr>
      <w:r w:rsidRPr="0019041B">
        <w:rPr>
          <w:b/>
          <w:bCs/>
          <w:sz w:val="48"/>
          <w:szCs w:val="48"/>
        </w:rPr>
        <w:lastRenderedPageBreak/>
        <w:t xml:space="preserve">ATTACHMENT </w:t>
      </w:r>
      <w:r>
        <w:rPr>
          <w:b/>
          <w:bCs/>
          <w:sz w:val="48"/>
          <w:szCs w:val="48"/>
        </w:rPr>
        <w:t>2</w:t>
      </w:r>
    </w:p>
    <w:p w:rsidR="001114A6" w:rsidP="001114A6" w:rsidRDefault="001114A6" w14:paraId="493CC2AF" w14:textId="6DE65E9A">
      <w:pPr>
        <w:jc w:val="center"/>
        <w:rPr>
          <w:rFonts w:cs="Arial"/>
          <w:szCs w:val="26"/>
        </w:rPr>
      </w:pPr>
      <w:r>
        <w:rPr>
          <w:b/>
          <w:bCs/>
          <w:szCs w:val="26"/>
        </w:rPr>
        <w:t>(</w:t>
      </w:r>
      <w:r>
        <w:rPr>
          <w:rFonts w:cs="Arial"/>
          <w:szCs w:val="26"/>
        </w:rPr>
        <w:t xml:space="preserve">Amended Joint Stipulation Related to Broadband Outreach) </w:t>
      </w:r>
    </w:p>
    <w:p w:rsidR="001114A6" w:rsidP="001114A6" w:rsidRDefault="001114A6" w14:paraId="57047DEA" w14:textId="77777777">
      <w:pPr>
        <w:spacing w:line="240" w:lineRule="auto"/>
        <w:jc w:val="center"/>
        <w:rPr>
          <w:rFonts w:cs="Arial"/>
          <w:szCs w:val="26"/>
        </w:rPr>
      </w:pPr>
    </w:p>
    <w:p w:rsidR="001114A6" w:rsidP="001114A6" w:rsidRDefault="001114A6" w14:paraId="7CEB4AD5" w14:textId="77777777">
      <w:pPr>
        <w:spacing w:line="240" w:lineRule="auto"/>
        <w:jc w:val="center"/>
        <w:rPr>
          <w:rFonts w:cs="Arial"/>
          <w:szCs w:val="26"/>
        </w:rPr>
      </w:pPr>
    </w:p>
    <w:p w:rsidR="001114A6" w:rsidP="001114A6" w:rsidRDefault="001114A6" w14:paraId="267ED5D3" w14:textId="77777777">
      <w:pPr>
        <w:spacing w:line="240" w:lineRule="auto"/>
        <w:jc w:val="center"/>
        <w:rPr>
          <w:rFonts w:cs="Arial"/>
          <w:szCs w:val="26"/>
        </w:rPr>
      </w:pPr>
    </w:p>
    <w:p w:rsidR="001114A6" w:rsidP="001114A6" w:rsidRDefault="001114A6" w14:paraId="59EAFF98" w14:textId="77777777">
      <w:pPr>
        <w:spacing w:line="240" w:lineRule="auto"/>
        <w:jc w:val="center"/>
        <w:rPr>
          <w:rFonts w:cs="Arial"/>
          <w:szCs w:val="26"/>
        </w:rPr>
      </w:pPr>
    </w:p>
    <w:p w:rsidR="001114A6" w:rsidP="001114A6" w:rsidRDefault="001114A6" w14:paraId="1AEDB6A4" w14:textId="77777777">
      <w:pPr>
        <w:spacing w:line="240" w:lineRule="auto"/>
        <w:jc w:val="center"/>
        <w:rPr>
          <w:rFonts w:cs="Arial"/>
          <w:szCs w:val="26"/>
        </w:rPr>
      </w:pPr>
    </w:p>
    <w:p w:rsidR="004936E2" w:rsidP="001114A6" w:rsidRDefault="001114A6" w14:paraId="4A335316" w14:textId="77777777">
      <w:pPr>
        <w:jc w:val="center"/>
        <w:rPr>
          <w:rFonts w:cs="Arial"/>
          <w:b/>
          <w:bCs/>
          <w:szCs w:val="26"/>
        </w:rPr>
        <w:sectPr w:rsidR="004936E2" w:rsidSect="00D44DB6">
          <w:pgSz w:w="12240" w:h="15840"/>
          <w:pgMar w:top="1728" w:right="1440" w:bottom="1440" w:left="1440" w:header="720" w:footer="720" w:gutter="0"/>
          <w:pgNumType w:start="1"/>
          <w:cols w:space="720"/>
          <w:docGrid w:linePitch="360"/>
        </w:sectPr>
      </w:pPr>
      <w:r>
        <w:rPr>
          <w:rFonts w:cs="Arial"/>
          <w:b/>
          <w:bCs/>
          <w:szCs w:val="26"/>
        </w:rPr>
        <w:t xml:space="preserve">(END OF ATTACHMENT 2) </w:t>
      </w:r>
    </w:p>
    <w:p w:rsidR="004936E2" w:rsidP="004936E2" w:rsidRDefault="004936E2" w14:paraId="66E7F266" w14:textId="1F81B2D8">
      <w:pPr>
        <w:jc w:val="center"/>
        <w:rPr>
          <w:b/>
          <w:bCs/>
          <w:sz w:val="48"/>
          <w:szCs w:val="48"/>
        </w:rPr>
      </w:pPr>
      <w:r w:rsidRPr="004936E2">
        <w:rPr>
          <w:b/>
          <w:bCs/>
          <w:sz w:val="48"/>
          <w:szCs w:val="48"/>
        </w:rPr>
        <w:lastRenderedPageBreak/>
        <w:t xml:space="preserve">ATTACHMENT </w:t>
      </w:r>
      <w:r>
        <w:rPr>
          <w:b/>
          <w:bCs/>
          <w:sz w:val="48"/>
          <w:szCs w:val="48"/>
        </w:rPr>
        <w:t>3</w:t>
      </w:r>
    </w:p>
    <w:p w:rsidR="007B0542" w:rsidP="007B0542" w:rsidRDefault="004936E2" w14:paraId="3138D75A" w14:textId="0E62399B">
      <w:pPr>
        <w:spacing w:line="240" w:lineRule="auto"/>
        <w:jc w:val="center"/>
        <w:rPr>
          <w:b/>
          <w:bCs/>
          <w:szCs w:val="26"/>
        </w:rPr>
      </w:pPr>
      <w:r>
        <w:rPr>
          <w:b/>
          <w:bCs/>
          <w:szCs w:val="26"/>
        </w:rPr>
        <w:t>(</w:t>
      </w:r>
      <w:r w:rsidRPr="004936E2">
        <w:rPr>
          <w:szCs w:val="26"/>
        </w:rPr>
        <w:t>Modified Staff Proposal Regarding Implementation of Senate Bill 1130 (2024)</w:t>
      </w:r>
      <w:r>
        <w:rPr>
          <w:b/>
          <w:bCs/>
          <w:szCs w:val="26"/>
        </w:rPr>
        <w:t>)</w:t>
      </w:r>
    </w:p>
    <w:p w:rsidR="004936E2" w:rsidP="007B0542" w:rsidRDefault="004936E2" w14:paraId="23A7FE89" w14:textId="77777777">
      <w:pPr>
        <w:spacing w:line="240" w:lineRule="auto"/>
        <w:jc w:val="center"/>
        <w:rPr>
          <w:b/>
          <w:bCs/>
          <w:szCs w:val="26"/>
        </w:rPr>
      </w:pPr>
    </w:p>
    <w:p w:rsidR="004936E2" w:rsidP="007B0542" w:rsidRDefault="004936E2" w14:paraId="7175E495" w14:textId="77777777">
      <w:pPr>
        <w:spacing w:line="240" w:lineRule="auto"/>
        <w:jc w:val="center"/>
        <w:rPr>
          <w:b/>
          <w:bCs/>
          <w:szCs w:val="26"/>
        </w:rPr>
      </w:pPr>
    </w:p>
    <w:p w:rsidR="004936E2" w:rsidP="007B0542" w:rsidRDefault="004936E2" w14:paraId="7056961B" w14:textId="77777777">
      <w:pPr>
        <w:spacing w:line="240" w:lineRule="auto"/>
        <w:jc w:val="center"/>
        <w:rPr>
          <w:b/>
          <w:bCs/>
          <w:szCs w:val="26"/>
        </w:rPr>
      </w:pPr>
    </w:p>
    <w:p w:rsidR="004936E2" w:rsidP="007B0542" w:rsidRDefault="004936E2" w14:paraId="0142181E" w14:textId="77777777">
      <w:pPr>
        <w:spacing w:line="240" w:lineRule="auto"/>
        <w:jc w:val="center"/>
        <w:rPr>
          <w:b/>
          <w:bCs/>
          <w:szCs w:val="26"/>
        </w:rPr>
      </w:pPr>
    </w:p>
    <w:p w:rsidR="004936E2" w:rsidP="007B0542" w:rsidRDefault="004936E2" w14:paraId="2C4F6E7A" w14:textId="77777777">
      <w:pPr>
        <w:spacing w:line="240" w:lineRule="auto"/>
        <w:jc w:val="center"/>
        <w:rPr>
          <w:b/>
          <w:bCs/>
          <w:szCs w:val="26"/>
        </w:rPr>
      </w:pPr>
    </w:p>
    <w:p w:rsidRPr="0019041B" w:rsidR="004936E2" w:rsidP="007B0542" w:rsidRDefault="004936E2" w14:paraId="102DA62E" w14:textId="0F92D819">
      <w:pPr>
        <w:spacing w:line="240" w:lineRule="auto"/>
        <w:jc w:val="center"/>
        <w:rPr>
          <w:b/>
          <w:bCs/>
          <w:szCs w:val="26"/>
        </w:rPr>
      </w:pPr>
      <w:r>
        <w:rPr>
          <w:b/>
          <w:bCs/>
          <w:szCs w:val="26"/>
        </w:rPr>
        <w:t>(END OF ATTACHMENT 3)</w:t>
      </w:r>
    </w:p>
    <w:sectPr w:rsidRPr="0019041B" w:rsidR="004936E2" w:rsidSect="00D44DB6">
      <w:pgSz w:w="12240" w:h="15840"/>
      <w:pgMar w:top="1728" w:right="1440" w:bottom="1440" w:left="1440" w:header="720" w:footer="720" w:gutter="0"/>
      <w:pgNumType w:start="1"/>
      <w:cols w:space="720"/>
      <w:docGrid w:linePitch="360"/>
    </w:sectPr>
    <w:p>
      <w:r>
        <w:t xml:space="preserve"/>
      </w:r>
    </w:p>
    <w:p>
      <w:r>
        <w:t xml:space="preserve">Attachment 1: </w:t>
      </w:r>
    </w:p>
    <w:p>
      <w:hyperlink w:history="true" r:id="R8d527ecab5d94a11">
        <w:r w:rsidRPr="00CB1292">
          <w:rPr>
            <w:rStyle w:val="Hyperlink"/>
            <w:color w:val="2E74B5" w:themeColor="accent1" w:themeShade="BF"/>
            <w:u w:val="single"/>
          </w:rPr>
          <w:t>Redline - [Rev. 1] A.25-06-022, et al..pdf</w:t>
        </w:r>
      </w:hyperlink>
    </w:p>
    <w:p>
      <w:r>
        <w:t xml:space="preserve"/>
      </w:r>
    </w:p>
    <w:p>
      <w:r>
        <w:t xml:space="preserve">Attachment 2: </w:t>
      </w:r>
    </w:p>
    <w:p>
      <w:hyperlink w:history="true" r:id="R5cf48c7f2a164086">
        <w:r w:rsidRPr="00CB1292">
          <w:rPr>
            <w:rStyle w:val="Hyperlink"/>
            <w:color w:val="2E74B5" w:themeColor="accent1" w:themeShade="BF"/>
            <w:u w:val="single"/>
          </w:rPr>
          <w:t>Attachment 1 - BF 2027 Budgets, Goals and Targets.pdf</w:t>
        </w:r>
      </w:hyperlink>
    </w:p>
    <w:p>
      <w:r>
        <w:t xml:space="preserve"/>
      </w:r>
    </w:p>
    <w:p>
      <w:r>
        <w:t xml:space="preserve">Attachment 3: </w:t>
      </w:r>
    </w:p>
    <w:p>
      <w:hyperlink w:history="true" r:id="Rfa41e1f21cf44e78">
        <w:r w:rsidRPr="00CB1292">
          <w:rPr>
            <w:rStyle w:val="Hyperlink"/>
            <w:color w:val="2E74B5" w:themeColor="accent1" w:themeShade="BF"/>
            <w:u w:val="single"/>
          </w:rPr>
          <w:t>Attachment 2.pdf</w:t>
        </w:r>
      </w:hyperlink>
    </w:p>
    <w:p>
      <w:r>
        <w:t xml:space="preserve"/>
      </w:r>
    </w:p>
    <w:p>
      <w:r>
        <w:t xml:space="preserve">Attachment 4: </w:t>
      </w:r>
    </w:p>
    <w:p>
      <w:hyperlink w:history="true" r:id="R50b965216d5544e3">
        <w:r w:rsidRPr="00CB1292">
          <w:rPr>
            <w:rStyle w:val="Hyperlink"/>
            <w:color w:val="2E74B5" w:themeColor="accent1" w:themeShade="BF"/>
            <w:u w:val="single"/>
          </w:rPr>
          <w:t>Attachment 3 - Proposed Staff Proposal on SB 1130.pdf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39BBB" w14:textId="77777777" w:rsidR="00BA6D5E" w:rsidRDefault="00BA6D5E" w:rsidP="0098138E">
      <w:pPr>
        <w:spacing w:line="240" w:lineRule="auto"/>
      </w:pPr>
      <w:r>
        <w:separator/>
      </w:r>
    </w:p>
  </w:endnote>
  <w:endnote w:type="continuationSeparator" w:id="0">
    <w:p w14:paraId="041537BE" w14:textId="77777777" w:rsidR="00BA6D5E" w:rsidRDefault="00BA6D5E"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00D3" w14:textId="1024BC29" w:rsidR="00D921AF" w:rsidRDefault="0059060B" w:rsidP="00CA2BE2">
    <w:pPr>
      <w:pStyle w:val="Footer"/>
      <w:ind w:firstLine="0"/>
    </w:pPr>
    <w:r w:rsidRPr="0059060B">
      <w:rPr>
        <w:sz w:val="16"/>
        <w:szCs w:val="16"/>
      </w:rPr>
      <w:t>609722786</w:t>
    </w:r>
    <w:r w:rsidR="00CA2BE2">
      <w:tab/>
    </w:r>
    <w:r w:rsidR="00D921AF">
      <w:t>-</w:t>
    </w:r>
    <w:sdt>
      <w:sdtPr>
        <w:id w:val="-1944292238"/>
        <w:docPartObj>
          <w:docPartGallery w:val="Page Numbers (Bottom of Page)"/>
          <w:docPartUnique/>
        </w:docPartObj>
      </w:sdtPr>
      <w:sdtEndPr>
        <w:rPr>
          <w:noProof/>
        </w:rPr>
      </w:sdtEndPr>
      <w:sdtContent>
        <w:r w:rsidR="00D921AF">
          <w:fldChar w:fldCharType="begin"/>
        </w:r>
        <w:r w:rsidR="00D921AF">
          <w:instrText xml:space="preserve"> PAGE   \* MERGEFORMAT </w:instrText>
        </w:r>
        <w:r w:rsidR="00D921AF">
          <w:fldChar w:fldCharType="separate"/>
        </w:r>
        <w:r w:rsidR="00D921AF">
          <w:rPr>
            <w:noProof/>
          </w:rPr>
          <w:t>2</w:t>
        </w:r>
        <w:r w:rsidR="00D921AF">
          <w:rPr>
            <w:noProof/>
          </w:rPr>
          <w:fldChar w:fldCharType="end"/>
        </w:r>
        <w:r w:rsidR="00D921AF">
          <w:rPr>
            <w:noProof/>
          </w:rPr>
          <w:t>-</w:t>
        </w:r>
      </w:sdtContent>
    </w:sdt>
  </w:p>
  <w:p w14:paraId="707AC685" w14:textId="1F9693B8" w:rsidR="00D921AF" w:rsidRDefault="00D921AF" w:rsidP="007E0FEE">
    <w:pPr>
      <w:tabs>
        <w:tab w:val="center" w:pos="4680"/>
      </w:tabs>
      <w:ind w:firstLine="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F9B5"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38A67" w14:textId="77777777" w:rsidR="00D921AF" w:rsidRDefault="00D921AF">
    <w:pPr>
      <w:pStyle w:val="Footer"/>
      <w:jc w:val="center"/>
    </w:pPr>
  </w:p>
  <w:p w14:paraId="291EDC49" w14:textId="39BC5101" w:rsidR="00D921AF" w:rsidRDefault="0057266D" w:rsidP="00D921AF">
    <w:pPr>
      <w:pStyle w:val="Footer"/>
      <w:ind w:firstLine="0"/>
      <w:jc w:val="center"/>
    </w:pPr>
    <w:r>
      <w:t>-</w:t>
    </w:r>
    <w:sdt>
      <w:sdtPr>
        <w:id w:val="-1316409130"/>
        <w:docPartObj>
          <w:docPartGallery w:val="Page Numbers (Bottom of Page)"/>
          <w:docPartUnique/>
        </w:docPartObj>
      </w:sdtPr>
      <w:sdtEndPr>
        <w:rPr>
          <w:noProof/>
        </w:rPr>
      </w:sdtEndPr>
      <w:sdtContent>
        <w:r w:rsidR="00D921AF">
          <w:fldChar w:fldCharType="begin"/>
        </w:r>
        <w:r w:rsidR="00D921AF">
          <w:instrText xml:space="preserve"> PAGE   \* MERGEFORMAT </w:instrText>
        </w:r>
        <w:r w:rsidR="00D921AF">
          <w:fldChar w:fldCharType="separate"/>
        </w:r>
        <w:r w:rsidR="00D921AF">
          <w:rPr>
            <w:noProof/>
          </w:rPr>
          <w:t>2</w:t>
        </w:r>
        <w:r w:rsidR="00D921AF">
          <w:rPr>
            <w:noProof/>
          </w:rPr>
          <w:fldChar w:fldCharType="end"/>
        </w:r>
        <w:r>
          <w:rPr>
            <w:noProof/>
          </w:rPr>
          <w:t>-</w:t>
        </w:r>
      </w:sdtContent>
    </w:sdt>
  </w:p>
  <w:p w14:paraId="208615B3" w14:textId="00D86D0C" w:rsidR="00E23CBB" w:rsidRDefault="00E23CBB" w:rsidP="007E0FEE">
    <w:pP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61923" w14:textId="77777777" w:rsidR="00BA6D5E" w:rsidRDefault="00BA6D5E" w:rsidP="00DF58E7">
      <w:pPr>
        <w:spacing w:line="240" w:lineRule="auto"/>
        <w:ind w:firstLine="0"/>
      </w:pPr>
      <w:r>
        <w:separator/>
      </w:r>
    </w:p>
  </w:footnote>
  <w:footnote w:type="continuationSeparator" w:id="0">
    <w:p w14:paraId="6362C44A" w14:textId="77777777" w:rsidR="00BA6D5E" w:rsidRDefault="00BA6D5E" w:rsidP="00DF58E7">
      <w:pPr>
        <w:spacing w:line="240" w:lineRule="auto"/>
        <w:ind w:firstLine="0"/>
      </w:pPr>
      <w:r>
        <w:continuationSeparator/>
      </w:r>
    </w:p>
  </w:footnote>
  <w:footnote w:type="continuationNotice" w:id="1">
    <w:p w14:paraId="3512E152" w14:textId="77777777" w:rsidR="00BA6D5E" w:rsidRPr="00DF58E7" w:rsidRDefault="00BA6D5E"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0062031B" w14:textId="6546B0F3" w:rsidR="00BB5F5E" w:rsidRDefault="00BB5F5E">
      <w:pPr>
        <w:pStyle w:val="FootnoteText"/>
      </w:pPr>
      <w:r>
        <w:rPr>
          <w:rStyle w:val="FootnoteReference"/>
        </w:rPr>
        <w:footnoteRef/>
      </w:r>
      <w:r>
        <w:t xml:space="preserve"> PG&amp;E Application, at 1.</w:t>
      </w:r>
    </w:p>
  </w:footnote>
  <w:footnote w:id="3">
    <w:p w14:paraId="25D2D364" w14:textId="20CF6DBF" w:rsidR="003A2119" w:rsidRDefault="003A2119">
      <w:pPr>
        <w:pStyle w:val="FootnoteText"/>
      </w:pPr>
      <w:r>
        <w:rPr>
          <w:rStyle w:val="FootnoteReference"/>
        </w:rPr>
        <w:footnoteRef/>
      </w:r>
      <w:r>
        <w:t xml:space="preserve"> PGE-01, at 8</w:t>
      </w:r>
      <w:r w:rsidR="00803794">
        <w:t>:13-17.</w:t>
      </w:r>
    </w:p>
  </w:footnote>
  <w:footnote w:id="4">
    <w:p w14:paraId="5E79DFBF" w14:textId="13EEE9E5" w:rsidR="00200FBE" w:rsidRDefault="00200FBE">
      <w:pPr>
        <w:pStyle w:val="FootnoteText"/>
      </w:pPr>
      <w:r>
        <w:rPr>
          <w:rStyle w:val="FootnoteReference"/>
        </w:rPr>
        <w:footnoteRef/>
      </w:r>
      <w:r>
        <w:t xml:space="preserve"> The original requested amount, $7,401,649, is reduced as PG&amp;E has assumed </w:t>
      </w:r>
      <w:r w:rsidR="0053606A">
        <w:t xml:space="preserve">the cost of the </w:t>
      </w:r>
      <w:r w:rsidR="00FD5592">
        <w:t xml:space="preserve">2027 </w:t>
      </w:r>
      <w:r w:rsidR="0053606A">
        <w:t>CARE/FERA eligibility study.</w:t>
      </w:r>
    </w:p>
  </w:footnote>
  <w:footnote w:id="5">
    <w:p w14:paraId="2D86219D" w14:textId="1C7218F5" w:rsidR="0053606A" w:rsidRDefault="0053606A">
      <w:pPr>
        <w:pStyle w:val="FootnoteText"/>
      </w:pPr>
      <w:r>
        <w:rPr>
          <w:rStyle w:val="FootnoteReference"/>
        </w:rPr>
        <w:footnoteRef/>
      </w:r>
      <w:r>
        <w:t xml:space="preserve"> The original requested amount, $</w:t>
      </w:r>
      <w:r w:rsidR="00575A8F">
        <w:t>984,185</w:t>
      </w:r>
      <w:r>
        <w:t xml:space="preserve">, is reduced as PG&amp;E has assumed the cost of the </w:t>
      </w:r>
      <w:r w:rsidR="00FD5592">
        <w:t xml:space="preserve">2027 </w:t>
      </w:r>
      <w:r>
        <w:t>CARE/FERA eligibility study.</w:t>
      </w:r>
    </w:p>
  </w:footnote>
  <w:footnote w:id="6">
    <w:p w14:paraId="4816C9B6" w14:textId="77777777" w:rsidR="005F338A" w:rsidRDefault="005F338A" w:rsidP="005F338A">
      <w:pPr>
        <w:pStyle w:val="FootnoteText"/>
      </w:pPr>
      <w:r>
        <w:rPr>
          <w:rStyle w:val="FootnoteReference"/>
        </w:rPr>
        <w:footnoteRef/>
      </w:r>
      <w:r>
        <w:t xml:space="preserve"> PG&amp;E Application, at 1.</w:t>
      </w:r>
    </w:p>
  </w:footnote>
  <w:footnote w:id="7">
    <w:p w14:paraId="2D45318C" w14:textId="77777777" w:rsidR="005F338A" w:rsidRDefault="005F338A" w:rsidP="005F338A">
      <w:pPr>
        <w:pStyle w:val="FootnoteText"/>
      </w:pPr>
      <w:r>
        <w:rPr>
          <w:rStyle w:val="FootnoteReference"/>
        </w:rPr>
        <w:footnoteRef/>
      </w:r>
      <w:r>
        <w:t xml:space="preserve"> PGE-01, at 8:13-17.</w:t>
      </w:r>
    </w:p>
  </w:footnote>
  <w:footnote w:id="8">
    <w:p w14:paraId="1A6765DD" w14:textId="1415E666" w:rsidR="0007593D" w:rsidRDefault="0007593D">
      <w:pPr>
        <w:pStyle w:val="FootnoteText"/>
      </w:pPr>
      <w:r>
        <w:rPr>
          <w:rStyle w:val="FootnoteReference"/>
        </w:rPr>
        <w:footnoteRef/>
      </w:r>
      <w:r>
        <w:t xml:space="preserve"> SCE-01, Table B-1, D-1, D-3.</w:t>
      </w:r>
    </w:p>
  </w:footnote>
  <w:footnote w:id="9">
    <w:p w14:paraId="025322CB" w14:textId="77777777" w:rsidR="00F052CC" w:rsidRDefault="00F052CC" w:rsidP="00F052CC">
      <w:pPr>
        <w:pStyle w:val="FootnoteText"/>
      </w:pPr>
      <w:r>
        <w:rPr>
          <w:rStyle w:val="FootnoteReference"/>
        </w:rPr>
        <w:footnoteRef/>
      </w:r>
      <w:r>
        <w:t xml:space="preserve"> SCE-01, Table B-1, D-1, D-3.</w:t>
      </w:r>
    </w:p>
  </w:footnote>
  <w:footnote w:id="10">
    <w:p w14:paraId="6235C01A" w14:textId="596CE3D8" w:rsidR="00BB457A" w:rsidRDefault="00BB457A">
      <w:pPr>
        <w:pStyle w:val="FootnoteText"/>
      </w:pPr>
      <w:r>
        <w:rPr>
          <w:rStyle w:val="FootnoteReference"/>
        </w:rPr>
        <w:footnoteRef/>
      </w:r>
      <w:r>
        <w:t xml:space="preserve"> </w:t>
      </w:r>
      <w:r w:rsidR="004F15CB">
        <w:t>Modified in Supplemental Testimony to account for increased study budget.</w:t>
      </w:r>
    </w:p>
  </w:footnote>
  <w:footnote w:id="11">
    <w:p w14:paraId="48903656" w14:textId="0A8274C8" w:rsidR="00965BE1" w:rsidRDefault="00965BE1">
      <w:pPr>
        <w:pStyle w:val="FootnoteText"/>
      </w:pPr>
      <w:r>
        <w:rPr>
          <w:rStyle w:val="FootnoteReference"/>
        </w:rPr>
        <w:footnoteRef/>
      </w:r>
      <w:r>
        <w:t xml:space="preserve"> </w:t>
      </w:r>
      <w:r w:rsidRPr="00965BE1">
        <w:t>Pub. Util. Code § 739.1(a).</w:t>
      </w:r>
    </w:p>
  </w:footnote>
  <w:footnote w:id="12">
    <w:p w14:paraId="1E7990C0" w14:textId="60A1E147" w:rsidR="00F34C4D" w:rsidRDefault="00F34C4D">
      <w:pPr>
        <w:pStyle w:val="FootnoteText"/>
      </w:pPr>
      <w:r>
        <w:rPr>
          <w:rStyle w:val="FootnoteReference"/>
        </w:rPr>
        <w:footnoteRef/>
      </w:r>
      <w:r>
        <w:t xml:space="preserve"> </w:t>
      </w:r>
      <w:r w:rsidRPr="00F34C4D">
        <w:t>Pub. Util. Code § 739.1(c)(3)</w:t>
      </w:r>
    </w:p>
  </w:footnote>
  <w:footnote w:id="13">
    <w:p w14:paraId="4338AE36" w14:textId="587DCA36" w:rsidR="000D040A" w:rsidRDefault="000D040A">
      <w:pPr>
        <w:pStyle w:val="FootnoteText"/>
      </w:pPr>
      <w:r>
        <w:rPr>
          <w:rStyle w:val="FootnoteReference"/>
        </w:rPr>
        <w:footnoteRef/>
      </w:r>
      <w:r>
        <w:t xml:space="preserve"> </w:t>
      </w:r>
      <w:r w:rsidR="00A414FF" w:rsidRPr="00A414FF">
        <w:t>The categorical eligibility process automatically considers low-income customers to be qualified for the CARE program if the customer is already enrolled in one of the Commission</w:t>
      </w:r>
      <w:r w:rsidR="00A414FF">
        <w:t>-</w:t>
      </w:r>
      <w:r w:rsidR="00A414FF" w:rsidRPr="00A414FF">
        <w:t>approved means-tested low-income public assistance programs. Means-tested programs are low-income assistance programs in which the customer’s income is verified by the appropriate state and federal agencies.</w:t>
      </w:r>
    </w:p>
  </w:footnote>
  <w:footnote w:id="14">
    <w:p w14:paraId="2EA98699" w14:textId="5C719EC3" w:rsidR="000D040A" w:rsidRDefault="000D040A">
      <w:pPr>
        <w:pStyle w:val="FootnoteText"/>
      </w:pPr>
      <w:r>
        <w:rPr>
          <w:rStyle w:val="FootnoteReference"/>
        </w:rPr>
        <w:footnoteRef/>
      </w:r>
      <w:r>
        <w:t xml:space="preserve"> </w:t>
      </w:r>
      <w:r w:rsidR="00A414FF" w:rsidRPr="00A414FF">
        <w:t>Pub. Util. Code § 739.2(a)(1)-(3).</w:t>
      </w:r>
    </w:p>
  </w:footnote>
  <w:footnote w:id="15">
    <w:p w14:paraId="39C7D938" w14:textId="4CF654A5" w:rsidR="000D040A" w:rsidRDefault="000D040A">
      <w:pPr>
        <w:pStyle w:val="FootnoteText"/>
      </w:pPr>
      <w:r>
        <w:rPr>
          <w:rStyle w:val="FootnoteReference"/>
        </w:rPr>
        <w:footnoteRef/>
      </w:r>
      <w:r>
        <w:t xml:space="preserve"> </w:t>
      </w:r>
      <w:r w:rsidR="00A414FF" w:rsidRPr="00A414FF">
        <w:t>Pub. Util. Code § 382.</w:t>
      </w:r>
    </w:p>
  </w:footnote>
  <w:footnote w:id="16">
    <w:p w14:paraId="202368BA" w14:textId="1AD5F9FC" w:rsidR="00E706E7" w:rsidRDefault="00E706E7">
      <w:pPr>
        <w:pStyle w:val="FootnoteText"/>
      </w:pPr>
      <w:r>
        <w:rPr>
          <w:rStyle w:val="FootnoteReference"/>
        </w:rPr>
        <w:footnoteRef/>
      </w:r>
      <w:r>
        <w:t xml:space="preserve"> D.21-06-015, Attachment 1, Table 1.</w:t>
      </w:r>
    </w:p>
  </w:footnote>
  <w:footnote w:id="17">
    <w:p w14:paraId="28E4F3D9" w14:textId="577DA700" w:rsidR="00851EFA" w:rsidRDefault="00851EFA">
      <w:pPr>
        <w:pStyle w:val="FootnoteText"/>
      </w:pPr>
      <w:r>
        <w:rPr>
          <w:rStyle w:val="FootnoteReference"/>
        </w:rPr>
        <w:footnoteRef/>
      </w:r>
      <w:r>
        <w:t xml:space="preserve"> PGE-01</w:t>
      </w:r>
      <w:r w:rsidR="00096B4F">
        <w:t xml:space="preserve">, at </w:t>
      </w:r>
      <w:r>
        <w:t>9.</w:t>
      </w:r>
    </w:p>
  </w:footnote>
  <w:footnote w:id="18">
    <w:p w14:paraId="440A70A7" w14:textId="0533A676" w:rsidR="00E156B7" w:rsidRDefault="00E156B7">
      <w:pPr>
        <w:pStyle w:val="FootnoteText"/>
      </w:pPr>
      <w:r>
        <w:rPr>
          <w:rStyle w:val="FootnoteReference"/>
        </w:rPr>
        <w:footnoteRef/>
      </w:r>
      <w:r>
        <w:t xml:space="preserve"> PGE-01, at 23-24.</w:t>
      </w:r>
    </w:p>
  </w:footnote>
  <w:footnote w:id="19">
    <w:p w14:paraId="1D85151A" w14:textId="65233231" w:rsidR="003356EA" w:rsidRDefault="003356EA">
      <w:pPr>
        <w:pStyle w:val="FootnoteText"/>
      </w:pPr>
      <w:r>
        <w:rPr>
          <w:rStyle w:val="FootnoteReference"/>
        </w:rPr>
        <w:footnoteRef/>
      </w:r>
      <w:r>
        <w:t xml:space="preserve"> PGE-01, at 15</w:t>
      </w:r>
      <w:r w:rsidR="003F3B86">
        <w:t>;</w:t>
      </w:r>
      <w:r w:rsidR="00851EFA">
        <w:t xml:space="preserve"> 18-19.</w:t>
      </w:r>
    </w:p>
  </w:footnote>
  <w:footnote w:id="20">
    <w:p w14:paraId="090E25E3" w14:textId="0BC1E4BA" w:rsidR="006D6FD5" w:rsidRDefault="006D6FD5">
      <w:pPr>
        <w:pStyle w:val="FootnoteText"/>
      </w:pPr>
      <w:r>
        <w:rPr>
          <w:rStyle w:val="FootnoteReference"/>
        </w:rPr>
        <w:footnoteRef/>
      </w:r>
      <w:r>
        <w:t xml:space="preserve"> PGE-01, at 17.</w:t>
      </w:r>
    </w:p>
  </w:footnote>
  <w:footnote w:id="21">
    <w:p w14:paraId="3DFA0812" w14:textId="6DBE2CFA" w:rsidR="00DB0DCA" w:rsidRDefault="00DB0DCA">
      <w:pPr>
        <w:pStyle w:val="FootnoteText"/>
      </w:pPr>
      <w:r>
        <w:rPr>
          <w:rStyle w:val="FootnoteReference"/>
        </w:rPr>
        <w:footnoteRef/>
      </w:r>
      <w:r>
        <w:t xml:space="preserve"> </w:t>
      </w:r>
      <w:r w:rsidR="00845D55">
        <w:t>SDG</w:t>
      </w:r>
      <w:r w:rsidR="009F3FF3">
        <w:t>&amp;E-02, at RM-3.</w:t>
      </w:r>
    </w:p>
  </w:footnote>
  <w:footnote w:id="22">
    <w:p w14:paraId="37AB0E7A" w14:textId="62C81902" w:rsidR="00B05C05" w:rsidRDefault="00B05C05">
      <w:pPr>
        <w:pStyle w:val="FootnoteText"/>
      </w:pPr>
      <w:r>
        <w:rPr>
          <w:rStyle w:val="FootnoteReference"/>
        </w:rPr>
        <w:footnoteRef/>
      </w:r>
      <w:r>
        <w:t xml:space="preserve"> SCE-01, at 13.</w:t>
      </w:r>
    </w:p>
  </w:footnote>
  <w:footnote w:id="23">
    <w:p w14:paraId="4C317E90" w14:textId="2CF28407" w:rsidR="00F66C18" w:rsidRDefault="00F66C18">
      <w:pPr>
        <w:pStyle w:val="FootnoteText"/>
      </w:pPr>
      <w:r>
        <w:rPr>
          <w:rStyle w:val="FootnoteReference"/>
        </w:rPr>
        <w:footnoteRef/>
      </w:r>
      <w:r>
        <w:t xml:space="preserve"> SCE-01, at 11-12.</w:t>
      </w:r>
    </w:p>
  </w:footnote>
  <w:footnote w:id="24">
    <w:p w14:paraId="29A00B25" w14:textId="276F67D3" w:rsidR="00D27DDC" w:rsidRDefault="00D27DDC">
      <w:pPr>
        <w:pStyle w:val="FootnoteText"/>
      </w:pPr>
      <w:r>
        <w:rPr>
          <w:rStyle w:val="FootnoteReference"/>
        </w:rPr>
        <w:footnoteRef/>
      </w:r>
      <w:r>
        <w:t xml:space="preserve"> SoCalGas-01, at OV-7.</w:t>
      </w:r>
    </w:p>
  </w:footnote>
  <w:footnote w:id="25">
    <w:p w14:paraId="7F7608FE" w14:textId="0BD68846" w:rsidR="001D51ED" w:rsidRDefault="001D51ED" w:rsidP="001D51ED">
      <w:pPr>
        <w:pStyle w:val="FootnoteText"/>
      </w:pPr>
      <w:r>
        <w:rPr>
          <w:rStyle w:val="FootnoteReference"/>
        </w:rPr>
        <w:footnoteRef/>
      </w:r>
      <w:r>
        <w:t xml:space="preserve"> Cal Advocates Opening Brief, at 25-26</w:t>
      </w:r>
      <w:r w:rsidR="005026F6">
        <w:t>;</w:t>
      </w:r>
      <w:r>
        <w:t>.</w:t>
      </w:r>
    </w:p>
  </w:footnote>
  <w:footnote w:id="26">
    <w:p w14:paraId="050297FA" w14:textId="7A352A40" w:rsidR="00AB1EEF" w:rsidRDefault="00AB1EEF">
      <w:pPr>
        <w:pStyle w:val="FootnoteText"/>
      </w:pPr>
      <w:r>
        <w:rPr>
          <w:rStyle w:val="FootnoteReference"/>
        </w:rPr>
        <w:footnoteRef/>
      </w:r>
      <w:r>
        <w:t xml:space="preserve"> CA-01, at </w:t>
      </w:r>
      <w:r w:rsidR="00A42FE4">
        <w:t xml:space="preserve">5-4, Figure 5-1; 5-6, Figure 5-2; </w:t>
      </w:r>
      <w:r>
        <w:t>5-8, Figure 5-3</w:t>
      </w:r>
      <w:r w:rsidR="00197F68">
        <w:t>.</w:t>
      </w:r>
    </w:p>
  </w:footnote>
  <w:footnote w:id="27">
    <w:p w14:paraId="136D1FBE" w14:textId="2E2D1261" w:rsidR="00480760" w:rsidRDefault="00480760">
      <w:pPr>
        <w:pStyle w:val="FootnoteText"/>
      </w:pPr>
      <w:r>
        <w:rPr>
          <w:rStyle w:val="FootnoteReference"/>
        </w:rPr>
        <w:footnoteRef/>
      </w:r>
      <w:r>
        <w:t xml:space="preserve"> SDG&amp;E Opening Brief, at 5-6</w:t>
      </w:r>
      <w:r w:rsidR="00246584">
        <w:t>; SCE Opening Brief, at 7-9.</w:t>
      </w:r>
    </w:p>
  </w:footnote>
  <w:footnote w:id="28">
    <w:p w14:paraId="2F46F84C" w14:textId="1226DC12" w:rsidR="005A7460" w:rsidRDefault="005A7460">
      <w:pPr>
        <w:pStyle w:val="FootnoteText"/>
      </w:pPr>
      <w:r>
        <w:rPr>
          <w:rStyle w:val="FootnoteReference"/>
        </w:rPr>
        <w:footnoteRef/>
      </w:r>
      <w:r>
        <w:t xml:space="preserve"> Inclusive of additional funding granted for CHANGE</w:t>
      </w:r>
      <w:r w:rsidR="00D57E3A">
        <w:t>S program</w:t>
      </w:r>
      <w:r w:rsidR="00D57E3A">
        <w:t xml:space="preserve">. </w:t>
      </w:r>
    </w:p>
  </w:footnote>
  <w:footnote w:id="29">
    <w:p w14:paraId="0680B7EA" w14:textId="774FCA3B" w:rsidR="009F7D6E" w:rsidRDefault="009F7D6E">
      <w:pPr>
        <w:pStyle w:val="FootnoteText"/>
      </w:pPr>
      <w:r>
        <w:rPr>
          <w:rStyle w:val="FootnoteReference"/>
        </w:rPr>
        <w:footnoteRef/>
      </w:r>
      <w:r>
        <w:t xml:space="preserve"> </w:t>
      </w:r>
      <w:r w:rsidR="00186D9D" w:rsidRPr="00186D9D">
        <w:t>FERA was authorized by D.04-02-057 as the Large Household Program.</w:t>
      </w:r>
    </w:p>
  </w:footnote>
  <w:footnote w:id="30">
    <w:p w14:paraId="1F8D535E" w14:textId="185E69B9" w:rsidR="009F7D6E" w:rsidRDefault="009F7D6E">
      <w:pPr>
        <w:pStyle w:val="FootnoteText"/>
      </w:pPr>
      <w:r>
        <w:rPr>
          <w:rStyle w:val="FootnoteReference"/>
        </w:rPr>
        <w:footnoteRef/>
      </w:r>
      <w:r>
        <w:t xml:space="preserve"> </w:t>
      </w:r>
      <w:r w:rsidR="00186D9D" w:rsidRPr="00186D9D">
        <w:t>FERA income limits: https://www.cpuc.ca.gov/lowincomerates/</w:t>
      </w:r>
    </w:p>
  </w:footnote>
  <w:footnote w:id="31">
    <w:p w14:paraId="60B0376A" w14:textId="5AC866EA" w:rsidR="00F72176" w:rsidRDefault="00F72176">
      <w:pPr>
        <w:pStyle w:val="FootnoteText"/>
      </w:pPr>
      <w:r>
        <w:rPr>
          <w:rStyle w:val="FootnoteReference"/>
        </w:rPr>
        <w:footnoteRef/>
      </w:r>
      <w:r>
        <w:t xml:space="preserve"> D.21-06-015, Attachment 1, Table 3.</w:t>
      </w:r>
    </w:p>
  </w:footnote>
  <w:footnote w:id="32">
    <w:p w14:paraId="32ACCAF3" w14:textId="4B39D6CF" w:rsidR="001F03D0" w:rsidRPr="001F03D0" w:rsidRDefault="001F03D0">
      <w:pPr>
        <w:pStyle w:val="FootnoteText"/>
      </w:pPr>
      <w:r>
        <w:rPr>
          <w:rStyle w:val="FootnoteReference"/>
        </w:rPr>
        <w:footnoteRef/>
      </w:r>
      <w:r>
        <w:t xml:space="preserve"> </w:t>
      </w:r>
      <w:r>
        <w:rPr>
          <w:i/>
          <w:iCs/>
        </w:rPr>
        <w:t>Id</w:t>
      </w:r>
      <w:r>
        <w:t>.</w:t>
      </w:r>
    </w:p>
  </w:footnote>
  <w:footnote w:id="33">
    <w:p w14:paraId="328A29D3" w14:textId="26DD9202" w:rsidR="00A768C5" w:rsidRDefault="00A768C5">
      <w:pPr>
        <w:pStyle w:val="FootnoteText"/>
      </w:pPr>
      <w:r>
        <w:rPr>
          <w:rStyle w:val="FootnoteReference"/>
        </w:rPr>
        <w:footnoteRef/>
      </w:r>
      <w:r>
        <w:t xml:space="preserve"> PGE-01, at 31.</w:t>
      </w:r>
    </w:p>
  </w:footnote>
  <w:footnote w:id="34">
    <w:p w14:paraId="7D1C705F" w14:textId="77777777" w:rsidR="008F1ED6" w:rsidRDefault="008F1ED6" w:rsidP="008F1ED6">
      <w:pPr>
        <w:pStyle w:val="FootnoteText"/>
      </w:pPr>
      <w:r>
        <w:rPr>
          <w:rStyle w:val="FootnoteReference"/>
        </w:rPr>
        <w:footnoteRef/>
      </w:r>
      <w:r>
        <w:t xml:space="preserve"> PGE-01, at 9, Table 1.</w:t>
      </w:r>
    </w:p>
  </w:footnote>
  <w:footnote w:id="35">
    <w:p w14:paraId="3A8E8B3B" w14:textId="16DF26C0" w:rsidR="004419C5" w:rsidRDefault="004419C5">
      <w:pPr>
        <w:pStyle w:val="FootnoteText"/>
      </w:pPr>
      <w:r>
        <w:rPr>
          <w:rStyle w:val="FootnoteReference"/>
        </w:rPr>
        <w:footnoteRef/>
      </w:r>
      <w:r>
        <w:t xml:space="preserve"> PGE-01, at 27.</w:t>
      </w:r>
    </w:p>
  </w:footnote>
  <w:footnote w:id="36">
    <w:p w14:paraId="6F33CB25" w14:textId="0389A32C" w:rsidR="00497452" w:rsidRDefault="00497452">
      <w:pPr>
        <w:pStyle w:val="FootnoteText"/>
      </w:pPr>
      <w:r>
        <w:rPr>
          <w:rStyle w:val="FootnoteReference"/>
        </w:rPr>
        <w:footnoteRef/>
      </w:r>
      <w:r>
        <w:t xml:space="preserve"> SDG</w:t>
      </w:r>
      <w:r w:rsidR="00581AFF">
        <w:t>&amp;</w:t>
      </w:r>
      <w:r>
        <w:t>E-02, at RM-5-6.</w:t>
      </w:r>
    </w:p>
  </w:footnote>
  <w:footnote w:id="37">
    <w:p w14:paraId="40F2CEB3" w14:textId="609397D4" w:rsidR="000E7A25" w:rsidRDefault="000E7A25">
      <w:pPr>
        <w:pStyle w:val="FootnoteText"/>
      </w:pPr>
      <w:r>
        <w:rPr>
          <w:rStyle w:val="FootnoteReference"/>
        </w:rPr>
        <w:footnoteRef/>
      </w:r>
      <w:r>
        <w:t xml:space="preserve"> SCE-01, at 17.</w:t>
      </w:r>
    </w:p>
  </w:footnote>
  <w:footnote w:id="38">
    <w:p w14:paraId="1DE25EC7" w14:textId="7B739BB7" w:rsidR="009C4013" w:rsidRDefault="009C4013">
      <w:pPr>
        <w:pStyle w:val="FootnoteText"/>
      </w:pPr>
      <w:r>
        <w:rPr>
          <w:rStyle w:val="FootnoteReference"/>
        </w:rPr>
        <w:footnoteRef/>
      </w:r>
      <w:r>
        <w:t xml:space="preserve"> SCE-04, at 8.</w:t>
      </w:r>
    </w:p>
  </w:footnote>
  <w:footnote w:id="39">
    <w:p w14:paraId="4A54E49F" w14:textId="04D6EDB8" w:rsidR="003F1066" w:rsidRDefault="003F1066">
      <w:pPr>
        <w:pStyle w:val="FootnoteText"/>
      </w:pPr>
      <w:r>
        <w:rPr>
          <w:rStyle w:val="FootnoteReference"/>
        </w:rPr>
        <w:footnoteRef/>
      </w:r>
      <w:r>
        <w:t xml:space="preserve"> Ca</w:t>
      </w:r>
      <w:r w:rsidR="007B60C1">
        <w:t>l</w:t>
      </w:r>
      <w:r>
        <w:t xml:space="preserve"> Advocates Opening Brief, at 24-25.</w:t>
      </w:r>
    </w:p>
  </w:footnote>
  <w:footnote w:id="40">
    <w:p w14:paraId="1B52B988" w14:textId="66F4A11B" w:rsidR="007B60C1" w:rsidRDefault="007B60C1">
      <w:pPr>
        <w:pStyle w:val="FootnoteText"/>
      </w:pPr>
      <w:r>
        <w:rPr>
          <w:rStyle w:val="FootnoteReference"/>
        </w:rPr>
        <w:footnoteRef/>
      </w:r>
      <w:r>
        <w:t xml:space="preserve"> Cal Advocates Opening Brief, at 25.</w:t>
      </w:r>
    </w:p>
  </w:footnote>
  <w:footnote w:id="41">
    <w:p w14:paraId="26340B58" w14:textId="21504235" w:rsidR="00B44F58" w:rsidRPr="00B44F58" w:rsidRDefault="00B44F58">
      <w:pPr>
        <w:pStyle w:val="FootnoteText"/>
      </w:pPr>
      <w:r>
        <w:rPr>
          <w:rStyle w:val="FootnoteReference"/>
        </w:rPr>
        <w:footnoteRef/>
      </w:r>
      <w:r>
        <w:t xml:space="preserve"> </w:t>
      </w:r>
      <w:r>
        <w:rPr>
          <w:i/>
          <w:iCs/>
        </w:rPr>
        <w:t>Id</w:t>
      </w:r>
      <w:r>
        <w:t>. at 27-28.</w:t>
      </w:r>
    </w:p>
  </w:footnote>
  <w:footnote w:id="42">
    <w:p w14:paraId="015A5F2A" w14:textId="37E97C54" w:rsidR="005618BF" w:rsidRDefault="005618BF">
      <w:pPr>
        <w:pStyle w:val="FootnoteText"/>
      </w:pPr>
      <w:r>
        <w:rPr>
          <w:rStyle w:val="FootnoteReference"/>
        </w:rPr>
        <w:footnoteRef/>
      </w:r>
      <w:r>
        <w:t xml:space="preserve"> CforAT </w:t>
      </w:r>
      <w:r w:rsidR="00876E83">
        <w:t>Opening</w:t>
      </w:r>
      <w:r>
        <w:t xml:space="preserve"> Brief, at </w:t>
      </w:r>
      <w:r w:rsidR="00876E83">
        <w:t>5-6</w:t>
      </w:r>
      <w:r>
        <w:t>.</w:t>
      </w:r>
    </w:p>
  </w:footnote>
  <w:footnote w:id="43">
    <w:p w14:paraId="37A69559" w14:textId="4B7EE93F" w:rsidR="006053FB" w:rsidRDefault="006053FB">
      <w:pPr>
        <w:pStyle w:val="FootnoteText"/>
      </w:pPr>
      <w:r>
        <w:rPr>
          <w:rStyle w:val="FootnoteReference"/>
        </w:rPr>
        <w:footnoteRef/>
      </w:r>
      <w:r>
        <w:t xml:space="preserve"> SCE Reply Brief, at </w:t>
      </w:r>
      <w:r w:rsidR="00390FA6">
        <w:t>9.</w:t>
      </w:r>
    </w:p>
  </w:footnote>
  <w:footnote w:id="44">
    <w:p w14:paraId="2B347A84" w14:textId="77777777" w:rsidR="002D3656" w:rsidRDefault="002D3656" w:rsidP="002D3656">
      <w:pPr>
        <w:pStyle w:val="FootnoteText"/>
      </w:pPr>
      <w:r>
        <w:rPr>
          <w:rStyle w:val="FootnoteReference"/>
        </w:rPr>
        <w:footnoteRef/>
      </w:r>
      <w:r>
        <w:t xml:space="preserve"> Cal Advocates Opening Brief, at 26; CA-01, at 5-14, Table 5-5.</w:t>
      </w:r>
    </w:p>
  </w:footnote>
  <w:footnote w:id="45">
    <w:p w14:paraId="17678B67" w14:textId="77777777" w:rsidR="00A4305D" w:rsidRDefault="00A4305D" w:rsidP="00A4305D">
      <w:pPr>
        <w:pStyle w:val="FootnoteText"/>
      </w:pPr>
      <w:r>
        <w:rPr>
          <w:rStyle w:val="FootnoteReference"/>
        </w:rPr>
        <w:footnoteRef/>
      </w:r>
      <w:r>
        <w:t xml:space="preserve"> SCE Reply Brief, at 5.</w:t>
      </w:r>
    </w:p>
  </w:footnote>
  <w:footnote w:id="46">
    <w:p w14:paraId="1983E878" w14:textId="65D616B7" w:rsidR="00434625" w:rsidRDefault="00434625">
      <w:pPr>
        <w:pStyle w:val="FootnoteText"/>
      </w:pPr>
      <w:r>
        <w:rPr>
          <w:rStyle w:val="FootnoteReference"/>
        </w:rPr>
        <w:footnoteRef/>
      </w:r>
      <w:r>
        <w:t xml:space="preserve"> Scoping </w:t>
      </w:r>
      <w:r w:rsidR="00680F85">
        <w:t>Memo</w:t>
      </w:r>
      <w:r>
        <w:t>, Attachment 1.</w:t>
      </w:r>
    </w:p>
  </w:footnote>
  <w:footnote w:id="47">
    <w:p w14:paraId="41CB5760" w14:textId="20809A87" w:rsidR="00AB598B" w:rsidRDefault="00AB598B">
      <w:pPr>
        <w:pStyle w:val="FootnoteText"/>
      </w:pPr>
      <w:r>
        <w:rPr>
          <w:rStyle w:val="FootnoteReference"/>
        </w:rPr>
        <w:footnoteRef/>
      </w:r>
      <w:r>
        <w:t xml:space="preserve"> Scoping </w:t>
      </w:r>
      <w:r w:rsidR="00680F85">
        <w:t>Memo</w:t>
      </w:r>
      <w:r>
        <w:t>, Appendix A.</w:t>
      </w:r>
    </w:p>
  </w:footnote>
  <w:footnote w:id="48">
    <w:p w14:paraId="3960CC68" w14:textId="75398A65" w:rsidR="0041722F" w:rsidRDefault="0041722F">
      <w:pPr>
        <w:pStyle w:val="FootnoteText"/>
      </w:pPr>
      <w:r>
        <w:rPr>
          <w:rStyle w:val="FootnoteReference"/>
        </w:rPr>
        <w:footnoteRef/>
      </w:r>
      <w:r>
        <w:t xml:space="preserve"> SCE-03, at 10.</w:t>
      </w:r>
    </w:p>
  </w:footnote>
  <w:footnote w:id="49">
    <w:p w14:paraId="6F34125A" w14:textId="79C19450" w:rsidR="006B633C" w:rsidRDefault="006B633C">
      <w:pPr>
        <w:pStyle w:val="FootnoteText"/>
      </w:pPr>
      <w:r>
        <w:rPr>
          <w:rStyle w:val="FootnoteReference"/>
        </w:rPr>
        <w:footnoteRef/>
      </w:r>
      <w:r>
        <w:t xml:space="preserve"> PG&amp;E Opening Brief, at </w:t>
      </w:r>
      <w:r w:rsidR="0005007D">
        <w:t>32-33.</w:t>
      </w:r>
    </w:p>
  </w:footnote>
  <w:footnote w:id="50">
    <w:p w14:paraId="07543D22" w14:textId="47361D22" w:rsidR="00E11237" w:rsidRPr="00B23286" w:rsidRDefault="00E11237">
      <w:pPr>
        <w:pStyle w:val="FootnoteText"/>
      </w:pPr>
      <w:r>
        <w:rPr>
          <w:rStyle w:val="FootnoteReference"/>
        </w:rPr>
        <w:footnoteRef/>
      </w:r>
      <w:r>
        <w:t xml:space="preserve"> </w:t>
      </w:r>
      <w:r w:rsidR="00B23286">
        <w:rPr>
          <w:i/>
          <w:iCs/>
        </w:rPr>
        <w:t>See</w:t>
      </w:r>
      <w:r w:rsidR="00B23286">
        <w:t xml:space="preserve"> Assigned Commissioner’s Scoping Memo and Ruling, April 10, 2026, </w:t>
      </w:r>
      <w:r w:rsidR="0033531A">
        <w:t xml:space="preserve">Attachment 2, </w:t>
      </w:r>
      <w:r w:rsidR="00B56DC6">
        <w:t>“</w:t>
      </w:r>
      <w:r w:rsidR="00B56DC6" w:rsidRPr="00B56DC6">
        <w:t>Staff Proposal on the Commission’s Assessment of Utilities’ Efforts to Enroll FERA-Eligible Customers</w:t>
      </w:r>
      <w:r w:rsidR="00B56DC6">
        <w:t>”.</w:t>
      </w:r>
    </w:p>
  </w:footnote>
  <w:footnote w:id="51">
    <w:p w14:paraId="6EB48F10" w14:textId="0F33FF2C" w:rsidR="009D6FE5" w:rsidRDefault="009D6FE5">
      <w:pPr>
        <w:pStyle w:val="FootnoteText"/>
      </w:pPr>
      <w:r>
        <w:rPr>
          <w:rStyle w:val="FootnoteReference"/>
        </w:rPr>
        <w:footnoteRef/>
      </w:r>
      <w:r>
        <w:t xml:space="preserve"> D.21-06-015, at OP 57.</w:t>
      </w:r>
    </w:p>
  </w:footnote>
  <w:footnote w:id="52">
    <w:p w14:paraId="53CB4219" w14:textId="77777777" w:rsidR="004847E7" w:rsidRDefault="004847E7" w:rsidP="004847E7">
      <w:pPr>
        <w:pStyle w:val="FootnoteText"/>
      </w:pPr>
      <w:r>
        <w:rPr>
          <w:rStyle w:val="FootnoteReference"/>
        </w:rPr>
        <w:footnoteRef/>
      </w:r>
      <w:r>
        <w:t xml:space="preserve"> PGE-01, at 35.</w:t>
      </w:r>
    </w:p>
  </w:footnote>
  <w:footnote w:id="53">
    <w:p w14:paraId="28B0C0F7" w14:textId="67C0982F" w:rsidR="009C3006" w:rsidRDefault="009C3006">
      <w:pPr>
        <w:pStyle w:val="FootnoteText"/>
      </w:pPr>
      <w:r>
        <w:rPr>
          <w:rStyle w:val="FootnoteReference"/>
        </w:rPr>
        <w:footnoteRef/>
      </w:r>
      <w:r>
        <w:t xml:space="preserve"> PGE-01, at 36.</w:t>
      </w:r>
    </w:p>
  </w:footnote>
  <w:footnote w:id="54">
    <w:p w14:paraId="7EA81E72" w14:textId="77777777" w:rsidR="004847E7" w:rsidRDefault="004847E7" w:rsidP="004847E7">
      <w:pPr>
        <w:pStyle w:val="FootnoteText"/>
      </w:pPr>
      <w:r>
        <w:rPr>
          <w:rStyle w:val="FootnoteReference"/>
        </w:rPr>
        <w:footnoteRef/>
      </w:r>
      <w:r>
        <w:t xml:space="preserve"> PGE-01, at 47-48.</w:t>
      </w:r>
    </w:p>
  </w:footnote>
  <w:footnote w:id="55">
    <w:p w14:paraId="61F3958F" w14:textId="77777777" w:rsidR="006566FE" w:rsidRDefault="006566FE" w:rsidP="006566FE">
      <w:pPr>
        <w:pStyle w:val="FootnoteText"/>
      </w:pPr>
      <w:r>
        <w:rPr>
          <w:rStyle w:val="FootnoteReference"/>
        </w:rPr>
        <w:footnoteRef/>
      </w:r>
      <w:r>
        <w:t xml:space="preserve"> PGE-01, at 37.</w:t>
      </w:r>
    </w:p>
  </w:footnote>
  <w:footnote w:id="56">
    <w:p w14:paraId="2B4791C7" w14:textId="3CBC8849" w:rsidR="00926216" w:rsidRDefault="00926216">
      <w:pPr>
        <w:pStyle w:val="FootnoteText"/>
      </w:pPr>
      <w:r>
        <w:rPr>
          <w:rStyle w:val="FootnoteReference"/>
        </w:rPr>
        <w:footnoteRef/>
      </w:r>
      <w:r>
        <w:t xml:space="preserve"> PGE-01, at 50.</w:t>
      </w:r>
    </w:p>
  </w:footnote>
  <w:footnote w:id="57">
    <w:p w14:paraId="691BD90A" w14:textId="07635DA1" w:rsidR="00B35BEF" w:rsidRDefault="00B35BEF">
      <w:pPr>
        <w:pStyle w:val="FootnoteText"/>
      </w:pPr>
      <w:r>
        <w:rPr>
          <w:rStyle w:val="FootnoteReference"/>
        </w:rPr>
        <w:footnoteRef/>
      </w:r>
      <w:r>
        <w:t xml:space="preserve"> PGE-01, at 53.</w:t>
      </w:r>
    </w:p>
  </w:footnote>
  <w:footnote w:id="58">
    <w:p w14:paraId="6168CA14" w14:textId="77777777" w:rsidR="007A13A3" w:rsidRDefault="007A13A3" w:rsidP="007A13A3">
      <w:pPr>
        <w:pStyle w:val="FootnoteText"/>
      </w:pPr>
      <w:r>
        <w:rPr>
          <w:rStyle w:val="FootnoteReference"/>
        </w:rPr>
        <w:footnoteRef/>
      </w:r>
      <w:r>
        <w:t xml:space="preserve"> PGE-01, at 9, Table 1.</w:t>
      </w:r>
    </w:p>
  </w:footnote>
  <w:footnote w:id="59">
    <w:p w14:paraId="73710E11" w14:textId="3421F4D4" w:rsidR="007A35CE" w:rsidRDefault="007A35CE">
      <w:pPr>
        <w:pStyle w:val="FootnoteText"/>
      </w:pPr>
      <w:r>
        <w:rPr>
          <w:rStyle w:val="FootnoteReference"/>
        </w:rPr>
        <w:footnoteRef/>
      </w:r>
      <w:r>
        <w:t xml:space="preserve"> PGE-01, at 42-44.</w:t>
      </w:r>
    </w:p>
  </w:footnote>
  <w:footnote w:id="60">
    <w:p w14:paraId="4B8E7F9A" w14:textId="52458AC7" w:rsidR="00B1249E" w:rsidRDefault="00B1249E">
      <w:pPr>
        <w:pStyle w:val="FootnoteText"/>
      </w:pPr>
      <w:r>
        <w:rPr>
          <w:rStyle w:val="FootnoteReference"/>
        </w:rPr>
        <w:footnoteRef/>
      </w:r>
      <w:r>
        <w:t xml:space="preserve"> SDG</w:t>
      </w:r>
      <w:r w:rsidR="00581AFF">
        <w:t>&amp;</w:t>
      </w:r>
      <w:r>
        <w:t>E-02, at RM-12.</w:t>
      </w:r>
    </w:p>
  </w:footnote>
  <w:footnote w:id="61">
    <w:p w14:paraId="05DBFC05" w14:textId="6D1C5CF4" w:rsidR="00E05BE9" w:rsidRDefault="00E05BE9">
      <w:pPr>
        <w:pStyle w:val="FootnoteText"/>
      </w:pPr>
      <w:r>
        <w:rPr>
          <w:rStyle w:val="FootnoteReference"/>
        </w:rPr>
        <w:footnoteRef/>
      </w:r>
      <w:r>
        <w:t xml:space="preserve"> SDG</w:t>
      </w:r>
      <w:r w:rsidR="00E6405E">
        <w:t>&amp;E-02, Attachment A, at 6.</w:t>
      </w:r>
    </w:p>
  </w:footnote>
  <w:footnote w:id="62">
    <w:p w14:paraId="266B9B85" w14:textId="403E54E7" w:rsidR="00524F05" w:rsidRDefault="00524F05">
      <w:pPr>
        <w:pStyle w:val="FootnoteText"/>
      </w:pPr>
      <w:r>
        <w:rPr>
          <w:rStyle w:val="FootnoteReference"/>
        </w:rPr>
        <w:footnoteRef/>
      </w:r>
      <w:r>
        <w:t xml:space="preserve"> SCE-01, at 22.</w:t>
      </w:r>
    </w:p>
  </w:footnote>
  <w:footnote w:id="63">
    <w:p w14:paraId="7A503659" w14:textId="2F34DBC5" w:rsidR="0043153D" w:rsidRDefault="0043153D">
      <w:pPr>
        <w:pStyle w:val="FootnoteText"/>
      </w:pPr>
      <w:r>
        <w:rPr>
          <w:rStyle w:val="FootnoteReference"/>
        </w:rPr>
        <w:footnoteRef/>
      </w:r>
      <w:r>
        <w:t xml:space="preserve"> SCE-01, at 29-30.</w:t>
      </w:r>
    </w:p>
  </w:footnote>
  <w:footnote w:id="64">
    <w:p w14:paraId="370EB009" w14:textId="183FFEC8" w:rsidR="007F6855" w:rsidRDefault="007F6855">
      <w:pPr>
        <w:pStyle w:val="FootnoteText"/>
      </w:pPr>
      <w:r>
        <w:rPr>
          <w:rStyle w:val="FootnoteReference"/>
        </w:rPr>
        <w:footnoteRef/>
      </w:r>
      <w:r>
        <w:t xml:space="preserve"> SCE-01, at 25-26.</w:t>
      </w:r>
    </w:p>
  </w:footnote>
  <w:footnote w:id="65">
    <w:p w14:paraId="3635E4E9" w14:textId="7AED103A" w:rsidR="00540C22" w:rsidRDefault="00540C22">
      <w:pPr>
        <w:pStyle w:val="FootnoteText"/>
      </w:pPr>
      <w:r>
        <w:rPr>
          <w:rStyle w:val="FootnoteReference"/>
        </w:rPr>
        <w:footnoteRef/>
      </w:r>
      <w:r>
        <w:t xml:space="preserve"> SCE-01, at 29.</w:t>
      </w:r>
    </w:p>
  </w:footnote>
  <w:footnote w:id="66">
    <w:p w14:paraId="2D7C57EE" w14:textId="2BF707FE" w:rsidR="00CB5DA7" w:rsidRDefault="00CB5DA7">
      <w:pPr>
        <w:pStyle w:val="FootnoteText"/>
      </w:pPr>
      <w:r>
        <w:rPr>
          <w:rStyle w:val="FootnoteReference"/>
        </w:rPr>
        <w:footnoteRef/>
      </w:r>
      <w:r>
        <w:t xml:space="preserve"> SCG-01, at 19.</w:t>
      </w:r>
    </w:p>
  </w:footnote>
  <w:footnote w:id="67">
    <w:p w14:paraId="7D7AF464" w14:textId="65A075C9" w:rsidR="0079526C" w:rsidRDefault="0079526C">
      <w:pPr>
        <w:pStyle w:val="FootnoteText"/>
      </w:pPr>
      <w:r>
        <w:rPr>
          <w:rStyle w:val="FootnoteReference"/>
        </w:rPr>
        <w:footnoteRef/>
      </w:r>
      <w:r>
        <w:t xml:space="preserve"> SCG-01, at 23.</w:t>
      </w:r>
    </w:p>
  </w:footnote>
  <w:footnote w:id="68">
    <w:p w14:paraId="60A8CCD4" w14:textId="77777777" w:rsidR="0056138E" w:rsidRDefault="0056138E" w:rsidP="0056138E">
      <w:pPr>
        <w:pStyle w:val="FootnoteText"/>
      </w:pPr>
      <w:r>
        <w:rPr>
          <w:rStyle w:val="FootnoteReference"/>
        </w:rPr>
        <w:footnoteRef/>
      </w:r>
      <w:r>
        <w:t xml:space="preserve"> Cal Advocates Opening Brief, at 22-24.</w:t>
      </w:r>
    </w:p>
  </w:footnote>
  <w:footnote w:id="69">
    <w:p w14:paraId="46C6C38C" w14:textId="77777777" w:rsidR="0056138E" w:rsidRDefault="0056138E" w:rsidP="0056138E">
      <w:pPr>
        <w:pStyle w:val="FootnoteText"/>
      </w:pPr>
      <w:r>
        <w:rPr>
          <w:rStyle w:val="FootnoteReference"/>
        </w:rPr>
        <w:footnoteRef/>
      </w:r>
      <w:r>
        <w:t xml:space="preserve"> PG&amp;E Opening Brief, at 28; SDG&amp;E Opening Brief, at 16-17.</w:t>
      </w:r>
    </w:p>
  </w:footnote>
  <w:footnote w:id="70">
    <w:p w14:paraId="5248A63A" w14:textId="77777777" w:rsidR="0056138E" w:rsidRDefault="0056138E" w:rsidP="0056138E">
      <w:pPr>
        <w:pStyle w:val="FootnoteText"/>
      </w:pPr>
      <w:r>
        <w:rPr>
          <w:rStyle w:val="FootnoteReference"/>
        </w:rPr>
        <w:footnoteRef/>
      </w:r>
      <w:r>
        <w:t xml:space="preserve"> SCE Reply Brief, at 7-8.</w:t>
      </w:r>
    </w:p>
  </w:footnote>
  <w:footnote w:id="71">
    <w:p w14:paraId="481DED24" w14:textId="77777777" w:rsidR="0056138E" w:rsidRDefault="0056138E" w:rsidP="0056138E">
      <w:pPr>
        <w:pStyle w:val="FootnoteText"/>
      </w:pPr>
      <w:r>
        <w:rPr>
          <w:rStyle w:val="FootnoteReference"/>
        </w:rPr>
        <w:footnoteRef/>
      </w:r>
      <w:r>
        <w:t xml:space="preserve"> SCE Opening Brief, at 22.</w:t>
      </w:r>
    </w:p>
  </w:footnote>
  <w:footnote w:id="72">
    <w:p w14:paraId="170CAB17" w14:textId="77F19A2C" w:rsidR="001E482E" w:rsidRDefault="001E482E">
      <w:pPr>
        <w:pStyle w:val="FootnoteText"/>
      </w:pPr>
      <w:r>
        <w:rPr>
          <w:rStyle w:val="FootnoteReference"/>
        </w:rPr>
        <w:footnoteRef/>
      </w:r>
      <w:r>
        <w:t xml:space="preserve"> SCG-01, at OV-23.</w:t>
      </w:r>
    </w:p>
  </w:footnote>
  <w:footnote w:id="73">
    <w:p w14:paraId="124234D1" w14:textId="77777777" w:rsidR="00714DA0" w:rsidRDefault="00714DA0" w:rsidP="00714DA0">
      <w:pPr>
        <w:pStyle w:val="FootnoteText"/>
      </w:pPr>
      <w:r>
        <w:rPr>
          <w:rStyle w:val="FootnoteReference"/>
        </w:rPr>
        <w:footnoteRef/>
      </w:r>
      <w:r>
        <w:t xml:space="preserve"> SCE-05 at 5-6.</w:t>
      </w:r>
    </w:p>
  </w:footnote>
  <w:footnote w:id="74">
    <w:p w14:paraId="724F129E" w14:textId="77777777" w:rsidR="00353A01" w:rsidRDefault="00353A01" w:rsidP="00353A01">
      <w:pPr>
        <w:pStyle w:val="FootnoteText"/>
      </w:pPr>
      <w:r>
        <w:rPr>
          <w:rStyle w:val="FootnoteReference"/>
        </w:rPr>
        <w:footnoteRef/>
      </w:r>
      <w:r>
        <w:t xml:space="preserve"> Cal Advocates Opening Brief, at 20-21.</w:t>
      </w:r>
    </w:p>
  </w:footnote>
  <w:footnote w:id="75">
    <w:p w14:paraId="63832917" w14:textId="6EF34C80" w:rsidR="00400E54" w:rsidRDefault="00400E54" w:rsidP="00400E54">
      <w:pPr>
        <w:pStyle w:val="FootnoteText"/>
      </w:pPr>
      <w:r>
        <w:rPr>
          <w:rStyle w:val="FootnoteReference"/>
        </w:rPr>
        <w:footnoteRef/>
      </w:r>
      <w:r>
        <w:t xml:space="preserve"> Cal Advocates Opening Brief, at 20</w:t>
      </w:r>
      <w:r w:rsidR="00D24A81">
        <w:t>-22</w:t>
      </w:r>
      <w:r>
        <w:t>.</w:t>
      </w:r>
    </w:p>
  </w:footnote>
  <w:footnote w:id="76">
    <w:p w14:paraId="5E8A2458" w14:textId="77777777" w:rsidR="00353A01" w:rsidRDefault="00353A01" w:rsidP="00353A01">
      <w:pPr>
        <w:pStyle w:val="FootnoteText"/>
      </w:pPr>
      <w:r>
        <w:rPr>
          <w:rStyle w:val="FootnoteReference"/>
        </w:rPr>
        <w:footnoteRef/>
      </w:r>
      <w:r>
        <w:t xml:space="preserve"> PG&amp;E Opening Brief, at 23-24.</w:t>
      </w:r>
    </w:p>
  </w:footnote>
  <w:footnote w:id="77">
    <w:p w14:paraId="74A12200" w14:textId="39CC6CEC" w:rsidR="00353A01" w:rsidRDefault="00353A01" w:rsidP="00353A01">
      <w:pPr>
        <w:pStyle w:val="FootnoteText"/>
      </w:pPr>
      <w:r>
        <w:rPr>
          <w:rStyle w:val="FootnoteReference"/>
        </w:rPr>
        <w:footnoteRef/>
      </w:r>
      <w:r>
        <w:t xml:space="preserve"> PG&amp;E Opening </w:t>
      </w:r>
      <w:r w:rsidRPr="00B13A72">
        <w:t>Brief,</w:t>
      </w:r>
      <w:r>
        <w:t xml:space="preserve"> at 25.</w:t>
      </w:r>
    </w:p>
  </w:footnote>
  <w:footnote w:id="78">
    <w:p w14:paraId="125F0E9F" w14:textId="34DA4233" w:rsidR="004462E3" w:rsidRDefault="004462E3">
      <w:pPr>
        <w:pStyle w:val="FootnoteText"/>
      </w:pPr>
      <w:r>
        <w:rPr>
          <w:rStyle w:val="FootnoteReference"/>
        </w:rPr>
        <w:footnoteRef/>
      </w:r>
      <w:r>
        <w:t xml:space="preserve"> Cal Advocates Opening Brief, at 2.</w:t>
      </w:r>
    </w:p>
  </w:footnote>
  <w:footnote w:id="79">
    <w:p w14:paraId="5A7E5CF2" w14:textId="77777777" w:rsidR="0056138E" w:rsidRDefault="0056138E" w:rsidP="0056138E">
      <w:pPr>
        <w:pStyle w:val="FootnoteText"/>
      </w:pPr>
      <w:r>
        <w:rPr>
          <w:rStyle w:val="FootnoteReference"/>
        </w:rPr>
        <w:footnoteRef/>
      </w:r>
      <w:r>
        <w:t xml:space="preserve"> CA-01, at 2-21.</w:t>
      </w:r>
    </w:p>
  </w:footnote>
  <w:footnote w:id="80">
    <w:p w14:paraId="55581174" w14:textId="77777777" w:rsidR="002D1A6C" w:rsidRDefault="002D1A6C" w:rsidP="002D1A6C">
      <w:pPr>
        <w:pStyle w:val="FootnoteText"/>
      </w:pPr>
      <w:r>
        <w:rPr>
          <w:rStyle w:val="FootnoteReference"/>
        </w:rPr>
        <w:footnoteRef/>
      </w:r>
      <w:r>
        <w:t xml:space="preserve"> Cal Advocates Opening Brief, at 20.</w:t>
      </w:r>
    </w:p>
  </w:footnote>
  <w:footnote w:id="81">
    <w:p w14:paraId="2EA26E4D" w14:textId="77777777" w:rsidR="002D1A6C" w:rsidRDefault="002D1A6C" w:rsidP="002D1A6C">
      <w:pPr>
        <w:pStyle w:val="FootnoteText"/>
      </w:pPr>
      <w:r>
        <w:rPr>
          <w:rStyle w:val="FootnoteReference"/>
        </w:rPr>
        <w:footnoteRef/>
      </w:r>
      <w:r>
        <w:t xml:space="preserve"> Cal Advocates Opening Brief, at 19.</w:t>
      </w:r>
    </w:p>
  </w:footnote>
  <w:footnote w:id="82">
    <w:p w14:paraId="44710041" w14:textId="77777777" w:rsidR="0056138E" w:rsidRDefault="0056138E" w:rsidP="0056138E">
      <w:pPr>
        <w:pStyle w:val="FootnoteText"/>
      </w:pPr>
      <w:r>
        <w:rPr>
          <w:rStyle w:val="FootnoteReference"/>
        </w:rPr>
        <w:footnoteRef/>
      </w:r>
      <w:r>
        <w:t xml:space="preserve"> D.21-06-015, at 314-315.</w:t>
      </w:r>
    </w:p>
  </w:footnote>
  <w:footnote w:id="83">
    <w:p w14:paraId="3E23A337" w14:textId="77777777" w:rsidR="0056138E" w:rsidRDefault="0056138E" w:rsidP="0056138E">
      <w:pPr>
        <w:pStyle w:val="FootnoteText"/>
      </w:pPr>
      <w:r>
        <w:rPr>
          <w:rStyle w:val="FootnoteReference"/>
        </w:rPr>
        <w:footnoteRef/>
      </w:r>
      <w:r>
        <w:t xml:space="preserve"> PG&amp;E Opening Brief, at 26; SDG&amp;E Opening Brief, at 15; SCE Opening Brief, at 20-21.</w:t>
      </w:r>
    </w:p>
  </w:footnote>
  <w:footnote w:id="84">
    <w:p w14:paraId="78395A81" w14:textId="77777777" w:rsidR="0056138E" w:rsidRDefault="0056138E" w:rsidP="0056138E">
      <w:pPr>
        <w:pStyle w:val="FootnoteText"/>
      </w:pPr>
      <w:r>
        <w:rPr>
          <w:rStyle w:val="FootnoteReference"/>
        </w:rPr>
        <w:footnoteRef/>
      </w:r>
      <w:r>
        <w:t xml:space="preserve"> SDG&amp;E Opening Brief, at 11-12.</w:t>
      </w:r>
    </w:p>
  </w:footnote>
  <w:footnote w:id="85">
    <w:p w14:paraId="4B520BC9" w14:textId="77777777" w:rsidR="0056138E" w:rsidRDefault="0056138E" w:rsidP="0056138E">
      <w:pPr>
        <w:pStyle w:val="FootnoteText"/>
      </w:pPr>
      <w:r>
        <w:rPr>
          <w:rStyle w:val="FootnoteReference"/>
        </w:rPr>
        <w:footnoteRef/>
      </w:r>
      <w:r>
        <w:t xml:space="preserve"> SoCalGas Reply Brief, at 5.</w:t>
      </w:r>
    </w:p>
  </w:footnote>
  <w:footnote w:id="86">
    <w:p w14:paraId="259B00DA" w14:textId="77777777" w:rsidR="0056138E" w:rsidRDefault="0056138E" w:rsidP="0056138E">
      <w:pPr>
        <w:pStyle w:val="FootnoteText"/>
      </w:pPr>
      <w:r>
        <w:rPr>
          <w:rStyle w:val="FootnoteReference"/>
        </w:rPr>
        <w:footnoteRef/>
      </w:r>
      <w:r>
        <w:t xml:space="preserve"> SCE Reply Brief, at 6.</w:t>
      </w:r>
    </w:p>
  </w:footnote>
  <w:footnote w:id="87">
    <w:p w14:paraId="467C7513" w14:textId="77777777" w:rsidR="0056138E" w:rsidRDefault="0056138E" w:rsidP="0056138E">
      <w:pPr>
        <w:pStyle w:val="FootnoteText"/>
      </w:pPr>
      <w:r>
        <w:rPr>
          <w:rStyle w:val="FootnoteReference"/>
        </w:rPr>
        <w:footnoteRef/>
      </w:r>
      <w:r>
        <w:t xml:space="preserve"> SDG&amp;E Opening Brief, at 14-15.</w:t>
      </w:r>
    </w:p>
  </w:footnote>
  <w:footnote w:id="88">
    <w:p w14:paraId="6C5BF8D6" w14:textId="082DBB28" w:rsidR="006E2DE2" w:rsidRDefault="006E2DE2">
      <w:pPr>
        <w:pStyle w:val="FootnoteText"/>
      </w:pPr>
      <w:r>
        <w:rPr>
          <w:rStyle w:val="FootnoteReference"/>
        </w:rPr>
        <w:footnoteRef/>
      </w:r>
      <w:r>
        <w:t xml:space="preserve"> Included already in ESA MFWB category.</w:t>
      </w:r>
    </w:p>
  </w:footnote>
  <w:footnote w:id="89">
    <w:p w14:paraId="60DB3DAE" w14:textId="77D5674B" w:rsidR="00EA2EB3" w:rsidRDefault="00EA2EB3">
      <w:pPr>
        <w:pStyle w:val="FootnoteText"/>
      </w:pPr>
      <w:r>
        <w:rPr>
          <w:rStyle w:val="FootnoteReference"/>
        </w:rPr>
        <w:footnoteRef/>
      </w:r>
      <w:r>
        <w:t xml:space="preserve"> Study Budgets are discussed below.  Study budgets have not been reduced</w:t>
      </w:r>
      <w:r>
        <w:t>.</w:t>
      </w:r>
    </w:p>
  </w:footnote>
  <w:footnote w:id="90">
    <w:p w14:paraId="72364B06" w14:textId="3F236968" w:rsidR="00875DAB" w:rsidRDefault="00875DAB">
      <w:pPr>
        <w:pStyle w:val="FootnoteText"/>
      </w:pPr>
      <w:r>
        <w:rPr>
          <w:rStyle w:val="FootnoteReference"/>
        </w:rPr>
        <w:footnoteRef/>
      </w:r>
      <w:r>
        <w:t xml:space="preserve"> PG&amp;E Opening Brief, at 29.</w:t>
      </w:r>
    </w:p>
  </w:footnote>
  <w:footnote w:id="91">
    <w:p w14:paraId="574FE827" w14:textId="6E628895" w:rsidR="00C8069B" w:rsidRDefault="00C8069B">
      <w:pPr>
        <w:pStyle w:val="FootnoteText"/>
      </w:pPr>
      <w:r>
        <w:rPr>
          <w:rStyle w:val="FootnoteReference"/>
        </w:rPr>
        <w:footnoteRef/>
      </w:r>
      <w:r>
        <w:t xml:space="preserve"> PGE-01, at 56.</w:t>
      </w:r>
    </w:p>
  </w:footnote>
  <w:footnote w:id="92">
    <w:p w14:paraId="663AFD35" w14:textId="50E9CC2F" w:rsidR="005527E4" w:rsidRDefault="005527E4">
      <w:pPr>
        <w:pStyle w:val="FootnoteText"/>
      </w:pPr>
      <w:r>
        <w:rPr>
          <w:rStyle w:val="FootnoteReference"/>
        </w:rPr>
        <w:footnoteRef/>
      </w:r>
      <w:r>
        <w:t xml:space="preserve"> SDG</w:t>
      </w:r>
      <w:r w:rsidR="00581AFF">
        <w:t>&amp;</w:t>
      </w:r>
      <w:r>
        <w:t xml:space="preserve">E-02, </w:t>
      </w:r>
      <w:r w:rsidR="00000B47">
        <w:t>Attachment A, at 8.</w:t>
      </w:r>
    </w:p>
  </w:footnote>
  <w:footnote w:id="93">
    <w:p w14:paraId="711B3A6F" w14:textId="5B788C7C" w:rsidR="00FA7FB6" w:rsidRDefault="00FA7FB6">
      <w:pPr>
        <w:pStyle w:val="FootnoteText"/>
      </w:pPr>
      <w:r>
        <w:rPr>
          <w:rStyle w:val="FootnoteReference"/>
        </w:rPr>
        <w:footnoteRef/>
      </w:r>
      <w:r>
        <w:t xml:space="preserve"> </w:t>
      </w:r>
      <w:r w:rsidR="00756057">
        <w:t>SoCalGas-02, at OV-4.</w:t>
      </w:r>
    </w:p>
  </w:footnote>
  <w:footnote w:id="94">
    <w:p w14:paraId="2305092B" w14:textId="5FB18078" w:rsidR="00193463" w:rsidRDefault="00193463">
      <w:pPr>
        <w:pStyle w:val="FootnoteText"/>
      </w:pPr>
      <w:r>
        <w:rPr>
          <w:rStyle w:val="FootnoteReference"/>
        </w:rPr>
        <w:footnoteRef/>
      </w:r>
      <w:r>
        <w:t xml:space="preserve"> TURN Opening Brief, at 13-23.</w:t>
      </w:r>
    </w:p>
  </w:footnote>
  <w:footnote w:id="95">
    <w:p w14:paraId="07AE6A36" w14:textId="7D2B49DF" w:rsidR="00D86F19" w:rsidRDefault="00D86F19">
      <w:pPr>
        <w:pStyle w:val="FootnoteText"/>
      </w:pPr>
      <w:r>
        <w:rPr>
          <w:rStyle w:val="FootnoteReference"/>
        </w:rPr>
        <w:footnoteRef/>
      </w:r>
      <w:r>
        <w:t xml:space="preserve"> TURN Opening Brief, at 13-14.</w:t>
      </w:r>
    </w:p>
  </w:footnote>
  <w:footnote w:id="96">
    <w:p w14:paraId="7C333C29" w14:textId="5A3393E3" w:rsidR="00294401" w:rsidRPr="00294401" w:rsidRDefault="00294401">
      <w:pPr>
        <w:pStyle w:val="FootnoteText"/>
      </w:pPr>
      <w:r>
        <w:rPr>
          <w:rStyle w:val="FootnoteReference"/>
        </w:rPr>
        <w:footnoteRef/>
      </w:r>
      <w:r>
        <w:t xml:space="preserve"> </w:t>
      </w:r>
      <w:r>
        <w:rPr>
          <w:i/>
          <w:iCs/>
        </w:rPr>
        <w:t>Id.</w:t>
      </w:r>
      <w:r>
        <w:t>, at 23-24.</w:t>
      </w:r>
    </w:p>
  </w:footnote>
  <w:footnote w:id="97">
    <w:p w14:paraId="421D8B08" w14:textId="798BD474" w:rsidR="005A4489" w:rsidRDefault="005A4489">
      <w:pPr>
        <w:pStyle w:val="FootnoteText"/>
      </w:pPr>
      <w:r>
        <w:rPr>
          <w:rStyle w:val="FootnoteReference"/>
        </w:rPr>
        <w:footnoteRef/>
      </w:r>
      <w:r>
        <w:t xml:space="preserve"> PG&amp;E Opening Brief, at 33.</w:t>
      </w:r>
    </w:p>
  </w:footnote>
  <w:footnote w:id="98">
    <w:p w14:paraId="1A8E6BE9" w14:textId="19E2C30A" w:rsidR="00656271" w:rsidRDefault="00656271" w:rsidP="009B5258">
      <w:pPr>
        <w:pStyle w:val="FootnoteText"/>
      </w:pPr>
      <w:r>
        <w:rPr>
          <w:rStyle w:val="FootnoteReference"/>
        </w:rPr>
        <w:footnoteRef/>
      </w:r>
      <w:r>
        <w:t xml:space="preserve"> </w:t>
      </w:r>
      <w:r w:rsidR="009B5258">
        <w:t xml:space="preserve">TURN-04, </w:t>
      </w:r>
      <w:r w:rsidR="009B5258" w:rsidRPr="009B5258">
        <w:t>PG&amp;E Response to TURN-PG&amp;E-004, Q1e</w:t>
      </w:r>
      <w:r w:rsidR="009B5258">
        <w:t>.</w:t>
      </w:r>
    </w:p>
  </w:footnote>
  <w:footnote w:id="99">
    <w:p w14:paraId="70D7562D" w14:textId="1A0845E0" w:rsidR="009D6672" w:rsidRDefault="009D6672">
      <w:pPr>
        <w:pStyle w:val="FootnoteText"/>
      </w:pPr>
      <w:r>
        <w:rPr>
          <w:rStyle w:val="FootnoteReference"/>
        </w:rPr>
        <w:footnoteRef/>
      </w:r>
      <w:r>
        <w:t xml:space="preserve"> SCE Opening Brief, at 25-26</w:t>
      </w:r>
      <w:r w:rsidR="00B12B98">
        <w:t>; SoCalGas Opening Brief, at 9.</w:t>
      </w:r>
    </w:p>
  </w:footnote>
  <w:footnote w:id="100">
    <w:p w14:paraId="01E4D41A" w14:textId="10FD8BBE" w:rsidR="00105F92" w:rsidRDefault="00105F92">
      <w:pPr>
        <w:pStyle w:val="FootnoteText"/>
      </w:pPr>
      <w:r>
        <w:rPr>
          <w:rStyle w:val="FootnoteReference"/>
        </w:rPr>
        <w:footnoteRef/>
      </w:r>
      <w:r>
        <w:t xml:space="preserve"> SoCalGas Reply Brief, at 10.</w:t>
      </w:r>
    </w:p>
  </w:footnote>
  <w:footnote w:id="101">
    <w:p w14:paraId="6E22C082" w14:textId="26C56E6A" w:rsidR="00781005" w:rsidRDefault="00781005">
      <w:pPr>
        <w:pStyle w:val="FootnoteText"/>
      </w:pPr>
      <w:r>
        <w:rPr>
          <w:rStyle w:val="FootnoteReference"/>
        </w:rPr>
        <w:footnoteRef/>
      </w:r>
      <w:r>
        <w:t xml:space="preserve"> TURN-03, at 5.</w:t>
      </w:r>
    </w:p>
  </w:footnote>
  <w:footnote w:id="102">
    <w:p w14:paraId="71034E18" w14:textId="765FDA16" w:rsidR="00F03291" w:rsidRDefault="00F03291">
      <w:pPr>
        <w:pStyle w:val="FootnoteText"/>
      </w:pPr>
      <w:r>
        <w:rPr>
          <w:rStyle w:val="FootnoteReference"/>
        </w:rPr>
        <w:footnoteRef/>
      </w:r>
      <w:r>
        <w:t xml:space="preserve"> TURN Reply Brief, at 7.</w:t>
      </w:r>
    </w:p>
  </w:footnote>
  <w:footnote w:id="103">
    <w:p w14:paraId="03362C72" w14:textId="5ED2D729" w:rsidR="00481156" w:rsidRDefault="00481156">
      <w:pPr>
        <w:pStyle w:val="FootnoteText"/>
      </w:pPr>
      <w:r>
        <w:rPr>
          <w:rStyle w:val="FootnoteReference"/>
        </w:rPr>
        <w:footnoteRef/>
      </w:r>
      <w:r>
        <w:t xml:space="preserve"> TURN Opening Brief, at 32-33.</w:t>
      </w:r>
    </w:p>
  </w:footnote>
  <w:footnote w:id="104">
    <w:p w14:paraId="50FE4CD9" w14:textId="7E4115C5" w:rsidR="006E7C7C" w:rsidRDefault="006E7C7C">
      <w:pPr>
        <w:pStyle w:val="FootnoteText"/>
      </w:pPr>
      <w:r>
        <w:rPr>
          <w:rStyle w:val="FootnoteReference"/>
        </w:rPr>
        <w:footnoteRef/>
      </w:r>
      <w:r>
        <w:t xml:space="preserve"> CforAT Opening Brief, at 4-5.</w:t>
      </w:r>
    </w:p>
  </w:footnote>
  <w:footnote w:id="105">
    <w:p w14:paraId="6EDC063C" w14:textId="21A316ED" w:rsidR="008B4D1D" w:rsidRDefault="008B4D1D">
      <w:pPr>
        <w:pStyle w:val="FootnoteText"/>
      </w:pPr>
      <w:r>
        <w:rPr>
          <w:rStyle w:val="FootnoteReference"/>
        </w:rPr>
        <w:footnoteRef/>
      </w:r>
      <w:r>
        <w:t xml:space="preserve"> CforAT Opening Brief, at 1-4.</w:t>
      </w:r>
    </w:p>
  </w:footnote>
  <w:footnote w:id="106">
    <w:p w14:paraId="5F258F31" w14:textId="1CF06A4F" w:rsidR="00C04541" w:rsidRDefault="00C04541">
      <w:pPr>
        <w:pStyle w:val="FootnoteText"/>
      </w:pPr>
      <w:r>
        <w:rPr>
          <w:rStyle w:val="FootnoteReference"/>
        </w:rPr>
        <w:footnoteRef/>
      </w:r>
      <w:r>
        <w:t xml:space="preserve"> TURN </w:t>
      </w:r>
      <w:r w:rsidR="009674EC">
        <w:t>Opening</w:t>
      </w:r>
      <w:r>
        <w:t xml:space="preserve"> Brief, at </w:t>
      </w:r>
      <w:r w:rsidR="009674EC">
        <w:t>26-28</w:t>
      </w:r>
      <w:r>
        <w:t>.</w:t>
      </w:r>
    </w:p>
  </w:footnote>
  <w:footnote w:id="107">
    <w:p w14:paraId="0AC78932" w14:textId="2BA70066" w:rsidR="00F77A96" w:rsidRDefault="00F77A96">
      <w:pPr>
        <w:pStyle w:val="FootnoteText"/>
      </w:pPr>
      <w:r>
        <w:rPr>
          <w:rStyle w:val="FootnoteReference"/>
        </w:rPr>
        <w:footnoteRef/>
      </w:r>
      <w:r>
        <w:t xml:space="preserve"> SDG&amp;E Opening Brief, at 5.</w:t>
      </w:r>
    </w:p>
  </w:footnote>
  <w:footnote w:id="108">
    <w:p w14:paraId="464535F1" w14:textId="0D9E6E06" w:rsidR="009F502D" w:rsidRDefault="009F502D">
      <w:pPr>
        <w:pStyle w:val="FootnoteText"/>
      </w:pPr>
      <w:r>
        <w:rPr>
          <w:rStyle w:val="FootnoteReference"/>
        </w:rPr>
        <w:footnoteRef/>
      </w:r>
      <w:r>
        <w:t xml:space="preserve"> D.21-06-015, at 75, table 3.</w:t>
      </w:r>
    </w:p>
  </w:footnote>
  <w:footnote w:id="109">
    <w:p w14:paraId="1EB1819F" w14:textId="10EC60E2" w:rsidR="00C77105" w:rsidRDefault="00C77105">
      <w:pPr>
        <w:pStyle w:val="FootnoteText"/>
      </w:pPr>
      <w:r>
        <w:rPr>
          <w:rStyle w:val="FootnoteReference"/>
        </w:rPr>
        <w:footnoteRef/>
      </w:r>
      <w:r>
        <w:t xml:space="preserve"> TURN Opening Brief, at 11-1</w:t>
      </w:r>
      <w:r w:rsidR="001753BB">
        <w:t>3</w:t>
      </w:r>
      <w:r>
        <w:t>.</w:t>
      </w:r>
    </w:p>
  </w:footnote>
  <w:footnote w:id="110">
    <w:p w14:paraId="5EB84140" w14:textId="3795C50C" w:rsidR="009C4C22" w:rsidRDefault="009C4C22">
      <w:pPr>
        <w:pStyle w:val="FootnoteText"/>
      </w:pPr>
      <w:r>
        <w:rPr>
          <w:rStyle w:val="FootnoteReference"/>
        </w:rPr>
        <w:footnoteRef/>
      </w:r>
      <w:r>
        <w:t xml:space="preserve"> TURN-01A, at </w:t>
      </w:r>
      <w:r w:rsidR="00A214D7">
        <w:t>4, 7-8.</w:t>
      </w:r>
    </w:p>
  </w:footnote>
  <w:footnote w:id="111">
    <w:p w14:paraId="6463E85D" w14:textId="057824D7" w:rsidR="00D3160F" w:rsidRDefault="00D3160F">
      <w:pPr>
        <w:pStyle w:val="FootnoteText"/>
      </w:pPr>
      <w:r>
        <w:rPr>
          <w:rStyle w:val="FootnoteReference"/>
        </w:rPr>
        <w:footnoteRef/>
      </w:r>
      <w:r>
        <w:t xml:space="preserve"> SoCalGas Reply Brief, at 9-10.</w:t>
      </w:r>
    </w:p>
  </w:footnote>
  <w:footnote w:id="112">
    <w:p w14:paraId="08C28360" w14:textId="3BEFF033" w:rsidR="00AD1AC3" w:rsidRDefault="00AD1AC3">
      <w:pPr>
        <w:pStyle w:val="FootnoteText"/>
      </w:pPr>
      <w:r>
        <w:rPr>
          <w:rStyle w:val="FootnoteReference"/>
        </w:rPr>
        <w:footnoteRef/>
      </w:r>
      <w:r>
        <w:t xml:space="preserve"> SDG&amp;E Reply Brief, at 7; PG&amp;E Reply Brief, at </w:t>
      </w:r>
      <w:r w:rsidR="00E73A16">
        <w:t>6-7.</w:t>
      </w:r>
    </w:p>
  </w:footnote>
  <w:footnote w:id="113">
    <w:p w14:paraId="08E847DD" w14:textId="5F850ECE" w:rsidR="006316AC" w:rsidRDefault="006316AC">
      <w:pPr>
        <w:pStyle w:val="FootnoteText"/>
      </w:pPr>
      <w:r>
        <w:rPr>
          <w:rStyle w:val="FootnoteReference"/>
        </w:rPr>
        <w:footnoteRef/>
      </w:r>
      <w:r>
        <w:t xml:space="preserve"> PG</w:t>
      </w:r>
      <w:r w:rsidR="007C615E">
        <w:t>&amp;E Opening Brief, at 29.</w:t>
      </w:r>
    </w:p>
  </w:footnote>
  <w:footnote w:id="114">
    <w:p w14:paraId="40895EE2" w14:textId="1C48E0C7" w:rsidR="00C36FA0" w:rsidRDefault="00C36FA0">
      <w:pPr>
        <w:pStyle w:val="FootnoteText"/>
      </w:pPr>
      <w:r>
        <w:rPr>
          <w:rStyle w:val="FootnoteReference"/>
        </w:rPr>
        <w:footnoteRef/>
      </w:r>
      <w:r>
        <w:t xml:space="preserve"> S</w:t>
      </w:r>
      <w:r w:rsidR="00581AFF">
        <w:t>oCalGas</w:t>
      </w:r>
      <w:r>
        <w:t>-01, at OV</w:t>
      </w:r>
      <w:r w:rsidR="001458F7">
        <w:t>-</w:t>
      </w:r>
      <w:r>
        <w:t>23-24.</w:t>
      </w:r>
    </w:p>
  </w:footnote>
  <w:footnote w:id="115">
    <w:p w14:paraId="4AF8B124" w14:textId="157B8246" w:rsidR="009B7065" w:rsidRDefault="009B7065">
      <w:pPr>
        <w:pStyle w:val="FootnoteText"/>
      </w:pPr>
      <w:r>
        <w:rPr>
          <w:rStyle w:val="FootnoteReference"/>
        </w:rPr>
        <w:footnoteRef/>
      </w:r>
      <w:r>
        <w:t xml:space="preserve"> TURN Opening Brief, at 4.</w:t>
      </w:r>
    </w:p>
  </w:footnote>
  <w:footnote w:id="116">
    <w:p w14:paraId="0D2D6577" w14:textId="74079E56" w:rsidR="00A5266F" w:rsidRDefault="00A5266F">
      <w:pPr>
        <w:pStyle w:val="FootnoteText"/>
      </w:pPr>
      <w:r>
        <w:rPr>
          <w:rStyle w:val="FootnoteReference"/>
        </w:rPr>
        <w:footnoteRef/>
      </w:r>
      <w:r>
        <w:t xml:space="preserve"> TURN Opening Brief, at 6-7.</w:t>
      </w:r>
    </w:p>
  </w:footnote>
  <w:footnote w:id="117">
    <w:p w14:paraId="6A742532" w14:textId="0AD80B9F" w:rsidR="00F50FF1" w:rsidRDefault="00F50FF1">
      <w:pPr>
        <w:pStyle w:val="FootnoteText"/>
      </w:pPr>
      <w:r>
        <w:rPr>
          <w:rStyle w:val="FootnoteReference"/>
        </w:rPr>
        <w:footnoteRef/>
      </w:r>
      <w:r>
        <w:t xml:space="preserve"> TURN Reply Brief, at 2-3.</w:t>
      </w:r>
    </w:p>
  </w:footnote>
  <w:footnote w:id="118">
    <w:p w14:paraId="3837E873" w14:textId="67A18A33" w:rsidR="009E497C" w:rsidRDefault="009E497C">
      <w:pPr>
        <w:pStyle w:val="FootnoteText"/>
      </w:pPr>
      <w:r>
        <w:rPr>
          <w:rStyle w:val="FootnoteReference"/>
        </w:rPr>
        <w:footnoteRef/>
      </w:r>
      <w:r>
        <w:t xml:space="preserve"> SCE Opening Brief, at 19-20.</w:t>
      </w:r>
    </w:p>
  </w:footnote>
  <w:footnote w:id="119">
    <w:p w14:paraId="291C607C" w14:textId="0870EF1D" w:rsidR="009766B3" w:rsidRDefault="009766B3">
      <w:pPr>
        <w:pStyle w:val="FootnoteText"/>
      </w:pPr>
      <w:r>
        <w:rPr>
          <w:rStyle w:val="FootnoteReference"/>
        </w:rPr>
        <w:footnoteRef/>
      </w:r>
      <w:r>
        <w:t xml:space="preserve"> TELACU and Maravilla Opening Brief, at 2.</w:t>
      </w:r>
    </w:p>
  </w:footnote>
  <w:footnote w:id="120">
    <w:p w14:paraId="380FAEAF" w14:textId="37802B27" w:rsidR="00E218DC" w:rsidRDefault="00E218DC">
      <w:pPr>
        <w:pStyle w:val="FootnoteText"/>
      </w:pPr>
      <w:r>
        <w:rPr>
          <w:rStyle w:val="FootnoteReference"/>
        </w:rPr>
        <w:footnoteRef/>
      </w:r>
      <w:r>
        <w:t xml:space="preserve"> D.21-06-015, OP 114.</w:t>
      </w:r>
    </w:p>
  </w:footnote>
  <w:footnote w:id="121">
    <w:p w14:paraId="54AC5594" w14:textId="77777777" w:rsidR="008F1B4E" w:rsidRDefault="008F1B4E" w:rsidP="008F1B4E">
      <w:pPr>
        <w:pStyle w:val="FootnoteText"/>
      </w:pPr>
      <w:r>
        <w:rPr>
          <w:rStyle w:val="FootnoteReference"/>
        </w:rPr>
        <w:footnoteRef/>
      </w:r>
      <w:r>
        <w:t xml:space="preserve"> PGE-01, at 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3290" w14:textId="1BCF18D1" w:rsidR="00E23CBB" w:rsidRDefault="00FE2D37" w:rsidP="00EE4315">
    <w:pPr>
      <w:pStyle w:val="Header"/>
      <w:tabs>
        <w:tab w:val="clear" w:pos="4680"/>
      </w:tabs>
      <w:ind w:firstLine="0"/>
      <w:rPr>
        <w:b/>
      </w:rPr>
    </w:pPr>
    <w:r>
      <w:t>A.25-06-022, et al./ALJ/GT2/</w:t>
    </w:r>
    <w:proofErr w:type="spellStart"/>
    <w:r>
      <w:t>asf</w:t>
    </w:r>
    <w:proofErr w:type="spellEnd"/>
    <w:r w:rsidR="00E23CBB">
      <w:tab/>
    </w:r>
    <w:r w:rsidR="00E23CBB">
      <w:rPr>
        <w:b/>
      </w:rPr>
      <w:t>PROPOSED DECISION</w:t>
    </w:r>
    <w:r w:rsidR="008517B4">
      <w:rPr>
        <w:b/>
      </w:rPr>
      <w:t xml:space="preserve"> (Rev. 1)</w:t>
    </w:r>
  </w:p>
  <w:p w14:paraId="02FC1B34" w14:textId="77777777" w:rsidR="00FE2D37" w:rsidRDefault="00FE2D37" w:rsidP="00B3087D">
    <w:pPr>
      <w:pStyle w:val="Header"/>
      <w:tabs>
        <w:tab w:val="clear" w:pos="4680"/>
      </w:tabs>
      <w:ind w:firstLine="0"/>
      <w:rPr>
        <w:i/>
        <w:color w:val="FF0000"/>
      </w:rPr>
    </w:pPr>
  </w:p>
  <w:p w14:paraId="1A31F48A" w14:textId="77777777" w:rsidR="00FE2D37" w:rsidRPr="00B3087D" w:rsidRDefault="00FE2D37" w:rsidP="00B3087D">
    <w:pPr>
      <w:pStyle w:val="Header"/>
      <w:tabs>
        <w:tab w:val="clear" w:pos="4680"/>
      </w:tabs>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412E" w14:textId="39DBE53E" w:rsidR="00FE2351" w:rsidRDefault="00FE2D37" w:rsidP="00EE4315">
    <w:pPr>
      <w:pStyle w:val="Header"/>
      <w:tabs>
        <w:tab w:val="clear" w:pos="4680"/>
      </w:tabs>
      <w:ind w:firstLine="0"/>
      <w:rPr>
        <w:b/>
      </w:rPr>
    </w:pPr>
    <w:r>
      <w:t>A.25-06-022, et al./ALJ/GT2/</w:t>
    </w:r>
    <w:proofErr w:type="spellStart"/>
    <w:r>
      <w:t>asf</w:t>
    </w:r>
    <w:proofErr w:type="spellEnd"/>
    <w:r w:rsidR="00FE2351">
      <w:tab/>
    </w:r>
    <w:r w:rsidR="00FE2351">
      <w:rPr>
        <w:b/>
      </w:rPr>
      <w:t>PROPOSED DECISION</w:t>
    </w:r>
    <w:r w:rsidR="008517B4">
      <w:rPr>
        <w:b/>
      </w:rPr>
      <w:t xml:space="preserve"> (Rev. 1)</w:t>
    </w:r>
  </w:p>
  <w:p w14:paraId="64D7382C" w14:textId="77777777" w:rsidR="00FE2D37" w:rsidRDefault="00FE2D37" w:rsidP="00B3087D">
    <w:pPr>
      <w:pStyle w:val="Header"/>
      <w:tabs>
        <w:tab w:val="clear" w:pos="4680"/>
      </w:tabs>
      <w:ind w:firstLine="0"/>
      <w:rPr>
        <w:i/>
        <w:color w:val="FF0000"/>
      </w:rPr>
    </w:pPr>
  </w:p>
  <w:p w14:paraId="306ED1A2" w14:textId="77777777" w:rsidR="00FE2D37" w:rsidRPr="00B3087D" w:rsidRDefault="00FE2D37"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E64B8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094AD6"/>
    <w:multiLevelType w:val="hybridMultilevel"/>
    <w:tmpl w:val="8B001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4EC48F4"/>
    <w:multiLevelType w:val="multilevel"/>
    <w:tmpl w:val="FD428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F056CB"/>
    <w:multiLevelType w:val="multilevel"/>
    <w:tmpl w:val="18F4A5AC"/>
    <w:numStyleLink w:val="FoFCoLOP"/>
  </w:abstractNum>
  <w:abstractNum w:abstractNumId="6" w15:restartNumberingAfterBreak="0">
    <w:nsid w:val="17456AD3"/>
    <w:multiLevelType w:val="hybridMultilevel"/>
    <w:tmpl w:val="F926E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C2BB4"/>
    <w:multiLevelType w:val="hybridMultilevel"/>
    <w:tmpl w:val="A6A6A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F186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70038F"/>
    <w:multiLevelType w:val="multilevel"/>
    <w:tmpl w:val="65282C76"/>
    <w:numStyleLink w:val="Headings"/>
  </w:abstractNum>
  <w:abstractNum w:abstractNumId="11" w15:restartNumberingAfterBreak="0">
    <w:nsid w:val="1DBA24BD"/>
    <w:multiLevelType w:val="hybridMultilevel"/>
    <w:tmpl w:val="64B86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2242C9"/>
    <w:multiLevelType w:val="multilevel"/>
    <w:tmpl w:val="65282C76"/>
    <w:numStyleLink w:val="Headings"/>
  </w:abstractNum>
  <w:abstractNum w:abstractNumId="13" w15:restartNumberingAfterBreak="0">
    <w:nsid w:val="21FB58FE"/>
    <w:multiLevelType w:val="multilevel"/>
    <w:tmpl w:val="65282C76"/>
    <w:numStyleLink w:val="Headings"/>
  </w:abstractNum>
  <w:abstractNum w:abstractNumId="14" w15:restartNumberingAfterBreak="0">
    <w:nsid w:val="243663A0"/>
    <w:multiLevelType w:val="multilevel"/>
    <w:tmpl w:val="65282C76"/>
    <w:numStyleLink w:val="Headings"/>
  </w:abstractNum>
  <w:abstractNum w:abstractNumId="15" w15:restartNumberingAfterBreak="0">
    <w:nsid w:val="26084894"/>
    <w:multiLevelType w:val="hybridMultilevel"/>
    <w:tmpl w:val="289C6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8124D7"/>
    <w:multiLevelType w:val="multilevel"/>
    <w:tmpl w:val="65282C76"/>
    <w:numStyleLink w:val="Headings"/>
  </w:abstractNum>
  <w:abstractNum w:abstractNumId="17" w15:restartNumberingAfterBreak="0">
    <w:nsid w:val="331F6D42"/>
    <w:multiLevelType w:val="multilevel"/>
    <w:tmpl w:val="65282C76"/>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440"/>
        </w:tabs>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8" w15:restartNumberingAfterBreak="0">
    <w:nsid w:val="36C9CB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4A52A4"/>
    <w:multiLevelType w:val="multilevel"/>
    <w:tmpl w:val="3D34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3A1B26"/>
    <w:multiLevelType w:val="multilevel"/>
    <w:tmpl w:val="7658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F76658"/>
    <w:multiLevelType w:val="multilevel"/>
    <w:tmpl w:val="35926E8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ind w:left="2160" w:hanging="360"/>
      </w:pPr>
      <w:rPr>
        <w:rFonts w:ascii="Book Antiqua" w:eastAsiaTheme="minorHAnsi" w:hAnsi="Book Antiqua" w:cstheme="minorBidi"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587849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9D042D7"/>
    <w:multiLevelType w:val="multilevel"/>
    <w:tmpl w:val="18F4A5AC"/>
    <w:numStyleLink w:val="FoFCoLOP"/>
  </w:abstractNum>
  <w:abstractNum w:abstractNumId="24" w15:restartNumberingAfterBreak="0">
    <w:nsid w:val="5A9E2171"/>
    <w:multiLevelType w:val="multilevel"/>
    <w:tmpl w:val="65282C76"/>
    <w:numStyleLink w:val="Headings"/>
  </w:abstractNum>
  <w:abstractNum w:abstractNumId="25" w15:restartNumberingAfterBreak="0">
    <w:nsid w:val="61A25780"/>
    <w:multiLevelType w:val="multilevel"/>
    <w:tmpl w:val="65282C76"/>
    <w:numStyleLink w:val="Headings"/>
  </w:abstractNum>
  <w:abstractNum w:abstractNumId="26" w15:restartNumberingAfterBreak="0">
    <w:nsid w:val="68C50A0E"/>
    <w:multiLevelType w:val="hybridMultilevel"/>
    <w:tmpl w:val="FAFE6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B653D4C"/>
    <w:multiLevelType w:val="hybridMultilevel"/>
    <w:tmpl w:val="99CA53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5B0C0F"/>
    <w:multiLevelType w:val="hybridMultilevel"/>
    <w:tmpl w:val="85942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0D72E47"/>
    <w:multiLevelType w:val="hybridMultilevel"/>
    <w:tmpl w:val="3B36E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9A0AFE"/>
    <w:multiLevelType w:val="multilevel"/>
    <w:tmpl w:val="18F4A5AC"/>
    <w:numStyleLink w:val="FoFCoLOP"/>
  </w:abstractNum>
  <w:abstractNum w:abstractNumId="32" w15:restartNumberingAfterBreak="0">
    <w:nsid w:val="79A338BF"/>
    <w:multiLevelType w:val="multilevel"/>
    <w:tmpl w:val="6974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D223F5"/>
    <w:multiLevelType w:val="hybridMultilevel"/>
    <w:tmpl w:val="6CBCE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54526949">
    <w:abstractNumId w:val="24"/>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440"/>
          </w:tabs>
          <w:ind w:left="144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2" w16cid:durableId="140774137">
    <w:abstractNumId w:val="3"/>
  </w:num>
  <w:num w:numId="3" w16cid:durableId="1898543446">
    <w:abstractNumId w:val="23"/>
  </w:num>
  <w:num w:numId="4" w16cid:durableId="701521005">
    <w:abstractNumId w:val="5"/>
  </w:num>
  <w:num w:numId="5" w16cid:durableId="2017029027">
    <w:abstractNumId w:val="31"/>
  </w:num>
  <w:num w:numId="6" w16cid:durableId="973756952">
    <w:abstractNumId w:val="17"/>
  </w:num>
  <w:num w:numId="7" w16cid:durableId="827667741">
    <w:abstractNumId w:val="12"/>
  </w:num>
  <w:num w:numId="8" w16cid:durableId="1760327020">
    <w:abstractNumId w:val="29"/>
  </w:num>
  <w:num w:numId="9" w16cid:durableId="816924040">
    <w:abstractNumId w:val="1"/>
  </w:num>
  <w:num w:numId="10" w16cid:durableId="1817916489">
    <w:abstractNumId w:val="10"/>
  </w:num>
  <w:num w:numId="11" w16cid:durableId="291985460">
    <w:abstractNumId w:val="13"/>
  </w:num>
  <w:num w:numId="12" w16cid:durableId="467941983">
    <w:abstractNumId w:val="9"/>
  </w:num>
  <w:num w:numId="13" w16cid:durableId="712996464">
    <w:abstractNumId w:val="14"/>
  </w:num>
  <w:num w:numId="14" w16cid:durableId="1303778653">
    <w:abstractNumId w:val="16"/>
  </w:num>
  <w:num w:numId="15" w16cid:durableId="1714382259">
    <w:abstractNumId w:val="25"/>
  </w:num>
  <w:num w:numId="16" w16cid:durableId="5481076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25"/>
  </w:num>
  <w:num w:numId="18" w16cid:durableId="192964069">
    <w:abstractNumId w:val="4"/>
  </w:num>
  <w:num w:numId="19" w16cid:durableId="2043437141">
    <w:abstractNumId w:val="21"/>
  </w:num>
  <w:num w:numId="20" w16cid:durableId="596714657">
    <w:abstractNumId w:val="30"/>
  </w:num>
  <w:num w:numId="21" w16cid:durableId="340158566">
    <w:abstractNumId w:val="26"/>
  </w:num>
  <w:num w:numId="22" w16cid:durableId="1245413325">
    <w:abstractNumId w:val="15"/>
  </w:num>
  <w:num w:numId="23" w16cid:durableId="17901213">
    <w:abstractNumId w:val="2"/>
  </w:num>
  <w:num w:numId="24" w16cid:durableId="2094810595">
    <w:abstractNumId w:val="27"/>
  </w:num>
  <w:num w:numId="25" w16cid:durableId="851261528">
    <w:abstractNumId w:val="8"/>
  </w:num>
  <w:num w:numId="26" w16cid:durableId="1421021166">
    <w:abstractNumId w:val="22"/>
  </w:num>
  <w:num w:numId="27" w16cid:durableId="288630935">
    <w:abstractNumId w:val="18"/>
  </w:num>
  <w:num w:numId="28" w16cid:durableId="1974938733">
    <w:abstractNumId w:val="6"/>
  </w:num>
  <w:num w:numId="29" w16cid:durableId="993992138">
    <w:abstractNumId w:val="33"/>
  </w:num>
  <w:num w:numId="30" w16cid:durableId="1839882813">
    <w:abstractNumId w:val="7"/>
  </w:num>
  <w:num w:numId="31" w16cid:durableId="41566618">
    <w:abstractNumId w:val="28"/>
  </w:num>
  <w:num w:numId="32" w16cid:durableId="264044665">
    <w:abstractNumId w:val="0"/>
  </w:num>
  <w:num w:numId="33" w16cid:durableId="2097708721">
    <w:abstractNumId w:val="11"/>
  </w:num>
  <w:num w:numId="34" w16cid:durableId="17656150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0327232">
    <w:abstractNumId w:val="24"/>
    <w:lvlOverride w:ilvl="0">
      <w:startOverride w:val="1"/>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pStyle w:val="Heading2"/>
        <w:lvlText w:val="%1.%2."/>
        <w:lvlJc w:val="left"/>
        <w:pPr>
          <w:tabs>
            <w:tab w:val="num" w:pos="1440"/>
          </w:tabs>
          <w:ind w:left="144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36" w16cid:durableId="1559973549">
    <w:abstractNumId w:val="19"/>
  </w:num>
  <w:num w:numId="37" w16cid:durableId="989014496">
    <w:abstractNumId w:val="32"/>
  </w:num>
  <w:num w:numId="38" w16cid:durableId="135295131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C72"/>
    <w:rsid w:val="000007D1"/>
    <w:rsid w:val="00000B47"/>
    <w:rsid w:val="00000F6A"/>
    <w:rsid w:val="0000278D"/>
    <w:rsid w:val="00003000"/>
    <w:rsid w:val="00004013"/>
    <w:rsid w:val="0000614A"/>
    <w:rsid w:val="0000670F"/>
    <w:rsid w:val="00006967"/>
    <w:rsid w:val="00006E2A"/>
    <w:rsid w:val="000115A0"/>
    <w:rsid w:val="00013430"/>
    <w:rsid w:val="00013EF4"/>
    <w:rsid w:val="00013F6C"/>
    <w:rsid w:val="00014285"/>
    <w:rsid w:val="00015DA8"/>
    <w:rsid w:val="0001667C"/>
    <w:rsid w:val="0001698C"/>
    <w:rsid w:val="00017D6D"/>
    <w:rsid w:val="00020116"/>
    <w:rsid w:val="00023836"/>
    <w:rsid w:val="00023DF9"/>
    <w:rsid w:val="00024020"/>
    <w:rsid w:val="000248CF"/>
    <w:rsid w:val="00026536"/>
    <w:rsid w:val="00026DD8"/>
    <w:rsid w:val="00026E83"/>
    <w:rsid w:val="0002751C"/>
    <w:rsid w:val="000322D9"/>
    <w:rsid w:val="00033186"/>
    <w:rsid w:val="0003345E"/>
    <w:rsid w:val="00034B65"/>
    <w:rsid w:val="00034C89"/>
    <w:rsid w:val="00034D30"/>
    <w:rsid w:val="00036B8C"/>
    <w:rsid w:val="00036B9C"/>
    <w:rsid w:val="00037C8A"/>
    <w:rsid w:val="00040203"/>
    <w:rsid w:val="0004031C"/>
    <w:rsid w:val="000409FF"/>
    <w:rsid w:val="000419C3"/>
    <w:rsid w:val="00043175"/>
    <w:rsid w:val="00044A7D"/>
    <w:rsid w:val="00044E9E"/>
    <w:rsid w:val="000456BA"/>
    <w:rsid w:val="000467E6"/>
    <w:rsid w:val="00046EA2"/>
    <w:rsid w:val="0005007D"/>
    <w:rsid w:val="00050686"/>
    <w:rsid w:val="00050810"/>
    <w:rsid w:val="000511EF"/>
    <w:rsid w:val="0005284C"/>
    <w:rsid w:val="00052A91"/>
    <w:rsid w:val="0005331A"/>
    <w:rsid w:val="0005337B"/>
    <w:rsid w:val="00053692"/>
    <w:rsid w:val="00055F0A"/>
    <w:rsid w:val="000565EF"/>
    <w:rsid w:val="000575C4"/>
    <w:rsid w:val="00057896"/>
    <w:rsid w:val="000626CC"/>
    <w:rsid w:val="0006276B"/>
    <w:rsid w:val="00063354"/>
    <w:rsid w:val="000647F2"/>
    <w:rsid w:val="0006622F"/>
    <w:rsid w:val="00067486"/>
    <w:rsid w:val="0007031F"/>
    <w:rsid w:val="0007115A"/>
    <w:rsid w:val="00071502"/>
    <w:rsid w:val="00071C1A"/>
    <w:rsid w:val="00071CD2"/>
    <w:rsid w:val="0007593D"/>
    <w:rsid w:val="0007731E"/>
    <w:rsid w:val="00080996"/>
    <w:rsid w:val="00081C8B"/>
    <w:rsid w:val="000826C5"/>
    <w:rsid w:val="00082845"/>
    <w:rsid w:val="0008294A"/>
    <w:rsid w:val="00082C33"/>
    <w:rsid w:val="00082CC6"/>
    <w:rsid w:val="000848F8"/>
    <w:rsid w:val="00086C1E"/>
    <w:rsid w:val="000906C5"/>
    <w:rsid w:val="00091F83"/>
    <w:rsid w:val="00092C67"/>
    <w:rsid w:val="0009447A"/>
    <w:rsid w:val="00094A29"/>
    <w:rsid w:val="000960ED"/>
    <w:rsid w:val="0009620F"/>
    <w:rsid w:val="000962D0"/>
    <w:rsid w:val="00096B4F"/>
    <w:rsid w:val="000973C8"/>
    <w:rsid w:val="000979ED"/>
    <w:rsid w:val="00097E5A"/>
    <w:rsid w:val="000A1386"/>
    <w:rsid w:val="000A164C"/>
    <w:rsid w:val="000A166B"/>
    <w:rsid w:val="000A18C5"/>
    <w:rsid w:val="000A2996"/>
    <w:rsid w:val="000A2AA9"/>
    <w:rsid w:val="000A2E71"/>
    <w:rsid w:val="000A3994"/>
    <w:rsid w:val="000A3CDE"/>
    <w:rsid w:val="000A3E4C"/>
    <w:rsid w:val="000A56F2"/>
    <w:rsid w:val="000A6E05"/>
    <w:rsid w:val="000B12FA"/>
    <w:rsid w:val="000B18CE"/>
    <w:rsid w:val="000B2B23"/>
    <w:rsid w:val="000B54B5"/>
    <w:rsid w:val="000B63C2"/>
    <w:rsid w:val="000B6A3B"/>
    <w:rsid w:val="000B766D"/>
    <w:rsid w:val="000B7BF1"/>
    <w:rsid w:val="000C057F"/>
    <w:rsid w:val="000C07CE"/>
    <w:rsid w:val="000C08BF"/>
    <w:rsid w:val="000C0B0E"/>
    <w:rsid w:val="000C2557"/>
    <w:rsid w:val="000C2C0E"/>
    <w:rsid w:val="000C2C78"/>
    <w:rsid w:val="000C3B9A"/>
    <w:rsid w:val="000C48A3"/>
    <w:rsid w:val="000C56B4"/>
    <w:rsid w:val="000C5D09"/>
    <w:rsid w:val="000C6C9C"/>
    <w:rsid w:val="000C7DED"/>
    <w:rsid w:val="000D01A2"/>
    <w:rsid w:val="000D040A"/>
    <w:rsid w:val="000D0731"/>
    <w:rsid w:val="000D23D0"/>
    <w:rsid w:val="000D25A8"/>
    <w:rsid w:val="000D6F1E"/>
    <w:rsid w:val="000D7511"/>
    <w:rsid w:val="000D7FD9"/>
    <w:rsid w:val="000E1331"/>
    <w:rsid w:val="000E1C08"/>
    <w:rsid w:val="000E270A"/>
    <w:rsid w:val="000E315F"/>
    <w:rsid w:val="000E4C0B"/>
    <w:rsid w:val="000E4C53"/>
    <w:rsid w:val="000E73BF"/>
    <w:rsid w:val="000E7A25"/>
    <w:rsid w:val="000F0374"/>
    <w:rsid w:val="000F166E"/>
    <w:rsid w:val="000F18E3"/>
    <w:rsid w:val="000F1B25"/>
    <w:rsid w:val="000F1E2F"/>
    <w:rsid w:val="000F48C6"/>
    <w:rsid w:val="000F4951"/>
    <w:rsid w:val="000F4AF2"/>
    <w:rsid w:val="000F540E"/>
    <w:rsid w:val="00100476"/>
    <w:rsid w:val="0010154F"/>
    <w:rsid w:val="00101ECD"/>
    <w:rsid w:val="00102F15"/>
    <w:rsid w:val="0010383D"/>
    <w:rsid w:val="00103ED4"/>
    <w:rsid w:val="001049DB"/>
    <w:rsid w:val="00104AAD"/>
    <w:rsid w:val="00105B08"/>
    <w:rsid w:val="00105F92"/>
    <w:rsid w:val="0010699F"/>
    <w:rsid w:val="00106B1B"/>
    <w:rsid w:val="00106B39"/>
    <w:rsid w:val="00107B87"/>
    <w:rsid w:val="0011066F"/>
    <w:rsid w:val="00111432"/>
    <w:rsid w:val="001114A6"/>
    <w:rsid w:val="00112AE7"/>
    <w:rsid w:val="00114EE2"/>
    <w:rsid w:val="0011533D"/>
    <w:rsid w:val="001164FF"/>
    <w:rsid w:val="00117241"/>
    <w:rsid w:val="00120296"/>
    <w:rsid w:val="001206F6"/>
    <w:rsid w:val="00121089"/>
    <w:rsid w:val="00122B2D"/>
    <w:rsid w:val="00123171"/>
    <w:rsid w:val="001237A6"/>
    <w:rsid w:val="00124775"/>
    <w:rsid w:val="00124A29"/>
    <w:rsid w:val="00124B30"/>
    <w:rsid w:val="00124E18"/>
    <w:rsid w:val="001264BE"/>
    <w:rsid w:val="001302DC"/>
    <w:rsid w:val="00130796"/>
    <w:rsid w:val="0013106E"/>
    <w:rsid w:val="00131465"/>
    <w:rsid w:val="00133BDB"/>
    <w:rsid w:val="00134A5D"/>
    <w:rsid w:val="001362D4"/>
    <w:rsid w:val="0013686C"/>
    <w:rsid w:val="00136D14"/>
    <w:rsid w:val="0014296C"/>
    <w:rsid w:val="0014374F"/>
    <w:rsid w:val="00143A0F"/>
    <w:rsid w:val="001450A2"/>
    <w:rsid w:val="001458F7"/>
    <w:rsid w:val="00146650"/>
    <w:rsid w:val="00147E71"/>
    <w:rsid w:val="00150DD3"/>
    <w:rsid w:val="00151002"/>
    <w:rsid w:val="001516A9"/>
    <w:rsid w:val="00152B4D"/>
    <w:rsid w:val="00154524"/>
    <w:rsid w:val="0015468B"/>
    <w:rsid w:val="001553F2"/>
    <w:rsid w:val="00156493"/>
    <w:rsid w:val="00156A6F"/>
    <w:rsid w:val="001570C3"/>
    <w:rsid w:val="001603A1"/>
    <w:rsid w:val="00160E8F"/>
    <w:rsid w:val="00160F56"/>
    <w:rsid w:val="00162CDB"/>
    <w:rsid w:val="00163282"/>
    <w:rsid w:val="00163844"/>
    <w:rsid w:val="00165B10"/>
    <w:rsid w:val="0017084D"/>
    <w:rsid w:val="00173E39"/>
    <w:rsid w:val="00173E96"/>
    <w:rsid w:val="00174F51"/>
    <w:rsid w:val="001753BB"/>
    <w:rsid w:val="00175CC2"/>
    <w:rsid w:val="00176EB8"/>
    <w:rsid w:val="00177CF7"/>
    <w:rsid w:val="00181C84"/>
    <w:rsid w:val="001827FC"/>
    <w:rsid w:val="00182BEE"/>
    <w:rsid w:val="00184525"/>
    <w:rsid w:val="00184A8F"/>
    <w:rsid w:val="00184CE0"/>
    <w:rsid w:val="00184DE1"/>
    <w:rsid w:val="00186D9D"/>
    <w:rsid w:val="001876BA"/>
    <w:rsid w:val="00187A0D"/>
    <w:rsid w:val="00190358"/>
    <w:rsid w:val="0019041B"/>
    <w:rsid w:val="00191A9E"/>
    <w:rsid w:val="0019290F"/>
    <w:rsid w:val="00193463"/>
    <w:rsid w:val="001959B4"/>
    <w:rsid w:val="001960FA"/>
    <w:rsid w:val="001970B6"/>
    <w:rsid w:val="00197239"/>
    <w:rsid w:val="00197634"/>
    <w:rsid w:val="00197861"/>
    <w:rsid w:val="00197F68"/>
    <w:rsid w:val="001A1C51"/>
    <w:rsid w:val="001A34CF"/>
    <w:rsid w:val="001A4560"/>
    <w:rsid w:val="001A4E60"/>
    <w:rsid w:val="001A708C"/>
    <w:rsid w:val="001A7660"/>
    <w:rsid w:val="001B1016"/>
    <w:rsid w:val="001B1EF4"/>
    <w:rsid w:val="001B4215"/>
    <w:rsid w:val="001B5DDD"/>
    <w:rsid w:val="001B7CFE"/>
    <w:rsid w:val="001C0BAD"/>
    <w:rsid w:val="001C189A"/>
    <w:rsid w:val="001C30ED"/>
    <w:rsid w:val="001C363F"/>
    <w:rsid w:val="001C4806"/>
    <w:rsid w:val="001C4CE0"/>
    <w:rsid w:val="001C5745"/>
    <w:rsid w:val="001C6997"/>
    <w:rsid w:val="001C7422"/>
    <w:rsid w:val="001D026C"/>
    <w:rsid w:val="001D031F"/>
    <w:rsid w:val="001D043F"/>
    <w:rsid w:val="001D164C"/>
    <w:rsid w:val="001D20EF"/>
    <w:rsid w:val="001D2324"/>
    <w:rsid w:val="001D2667"/>
    <w:rsid w:val="001D436D"/>
    <w:rsid w:val="001D46F6"/>
    <w:rsid w:val="001D51ED"/>
    <w:rsid w:val="001D5E2E"/>
    <w:rsid w:val="001D6F5D"/>
    <w:rsid w:val="001D7151"/>
    <w:rsid w:val="001E1ECA"/>
    <w:rsid w:val="001E2476"/>
    <w:rsid w:val="001E2A62"/>
    <w:rsid w:val="001E2E76"/>
    <w:rsid w:val="001E482E"/>
    <w:rsid w:val="001E5038"/>
    <w:rsid w:val="001E5DF2"/>
    <w:rsid w:val="001E60AF"/>
    <w:rsid w:val="001E6C67"/>
    <w:rsid w:val="001E7345"/>
    <w:rsid w:val="001E7491"/>
    <w:rsid w:val="001E75C9"/>
    <w:rsid w:val="001F03D0"/>
    <w:rsid w:val="001F0CAC"/>
    <w:rsid w:val="001F106D"/>
    <w:rsid w:val="001F2819"/>
    <w:rsid w:val="001F2CA2"/>
    <w:rsid w:val="001F62DD"/>
    <w:rsid w:val="001F6587"/>
    <w:rsid w:val="001F6EF7"/>
    <w:rsid w:val="001F77F7"/>
    <w:rsid w:val="00200FBE"/>
    <w:rsid w:val="002017CE"/>
    <w:rsid w:val="00202D10"/>
    <w:rsid w:val="002034AA"/>
    <w:rsid w:val="002042DB"/>
    <w:rsid w:val="002043EC"/>
    <w:rsid w:val="00204607"/>
    <w:rsid w:val="00207709"/>
    <w:rsid w:val="00210263"/>
    <w:rsid w:val="0021079C"/>
    <w:rsid w:val="002114AA"/>
    <w:rsid w:val="0021185E"/>
    <w:rsid w:val="00211894"/>
    <w:rsid w:val="002122EE"/>
    <w:rsid w:val="0021301A"/>
    <w:rsid w:val="00213932"/>
    <w:rsid w:val="002149A0"/>
    <w:rsid w:val="00216BDE"/>
    <w:rsid w:val="00217A16"/>
    <w:rsid w:val="002200FA"/>
    <w:rsid w:val="00220AC8"/>
    <w:rsid w:val="002227C7"/>
    <w:rsid w:val="002231C0"/>
    <w:rsid w:val="00223794"/>
    <w:rsid w:val="00225124"/>
    <w:rsid w:val="00226B4D"/>
    <w:rsid w:val="00227184"/>
    <w:rsid w:val="0022750C"/>
    <w:rsid w:val="0022753F"/>
    <w:rsid w:val="0023114E"/>
    <w:rsid w:val="00231BB9"/>
    <w:rsid w:val="00232E2D"/>
    <w:rsid w:val="002335B0"/>
    <w:rsid w:val="00234A6D"/>
    <w:rsid w:val="00235841"/>
    <w:rsid w:val="00235C89"/>
    <w:rsid w:val="00235CC3"/>
    <w:rsid w:val="0023686A"/>
    <w:rsid w:val="00236E87"/>
    <w:rsid w:val="002376D6"/>
    <w:rsid w:val="0024156C"/>
    <w:rsid w:val="00241DA2"/>
    <w:rsid w:val="002427E1"/>
    <w:rsid w:val="00243DC0"/>
    <w:rsid w:val="00244646"/>
    <w:rsid w:val="002449EC"/>
    <w:rsid w:val="00244F01"/>
    <w:rsid w:val="00246584"/>
    <w:rsid w:val="00246A60"/>
    <w:rsid w:val="00246B29"/>
    <w:rsid w:val="00246DD8"/>
    <w:rsid w:val="00247477"/>
    <w:rsid w:val="002500CF"/>
    <w:rsid w:val="0025258D"/>
    <w:rsid w:val="00253486"/>
    <w:rsid w:val="00255FEF"/>
    <w:rsid w:val="00256E88"/>
    <w:rsid w:val="002578B9"/>
    <w:rsid w:val="00260570"/>
    <w:rsid w:val="002613DB"/>
    <w:rsid w:val="0026185D"/>
    <w:rsid w:val="00262684"/>
    <w:rsid w:val="00262DE4"/>
    <w:rsid w:val="00262E1C"/>
    <w:rsid w:val="00264F2B"/>
    <w:rsid w:val="0026553C"/>
    <w:rsid w:val="00265555"/>
    <w:rsid w:val="00266422"/>
    <w:rsid w:val="00266D2E"/>
    <w:rsid w:val="002679EF"/>
    <w:rsid w:val="00270440"/>
    <w:rsid w:val="002705F6"/>
    <w:rsid w:val="00272BD9"/>
    <w:rsid w:val="0027488E"/>
    <w:rsid w:val="00277000"/>
    <w:rsid w:val="0027794C"/>
    <w:rsid w:val="00280036"/>
    <w:rsid w:val="002803D1"/>
    <w:rsid w:val="00282BAC"/>
    <w:rsid w:val="00282FFD"/>
    <w:rsid w:val="002838F5"/>
    <w:rsid w:val="00283AD3"/>
    <w:rsid w:val="00284D8D"/>
    <w:rsid w:val="002877F1"/>
    <w:rsid w:val="00287BC5"/>
    <w:rsid w:val="00290019"/>
    <w:rsid w:val="00290A8B"/>
    <w:rsid w:val="00291290"/>
    <w:rsid w:val="00291ED2"/>
    <w:rsid w:val="00293DEE"/>
    <w:rsid w:val="00294401"/>
    <w:rsid w:val="0029443A"/>
    <w:rsid w:val="002962BA"/>
    <w:rsid w:val="002976B0"/>
    <w:rsid w:val="002A0598"/>
    <w:rsid w:val="002A0B5D"/>
    <w:rsid w:val="002A13DB"/>
    <w:rsid w:val="002A1749"/>
    <w:rsid w:val="002A4004"/>
    <w:rsid w:val="002A65CA"/>
    <w:rsid w:val="002A7309"/>
    <w:rsid w:val="002B01D6"/>
    <w:rsid w:val="002B20E2"/>
    <w:rsid w:val="002B21AC"/>
    <w:rsid w:val="002B2F9B"/>
    <w:rsid w:val="002B3E95"/>
    <w:rsid w:val="002B5458"/>
    <w:rsid w:val="002B7127"/>
    <w:rsid w:val="002C0185"/>
    <w:rsid w:val="002C2514"/>
    <w:rsid w:val="002C2B28"/>
    <w:rsid w:val="002C4806"/>
    <w:rsid w:val="002C59C9"/>
    <w:rsid w:val="002C6F8A"/>
    <w:rsid w:val="002C7F18"/>
    <w:rsid w:val="002C7FE9"/>
    <w:rsid w:val="002D0D1F"/>
    <w:rsid w:val="002D0DB1"/>
    <w:rsid w:val="002D0DC5"/>
    <w:rsid w:val="002D1A6C"/>
    <w:rsid w:val="002D3656"/>
    <w:rsid w:val="002D372A"/>
    <w:rsid w:val="002D37F7"/>
    <w:rsid w:val="002D4460"/>
    <w:rsid w:val="002D4EFD"/>
    <w:rsid w:val="002D4F37"/>
    <w:rsid w:val="002D5564"/>
    <w:rsid w:val="002D56C4"/>
    <w:rsid w:val="002E034F"/>
    <w:rsid w:val="002E0B5E"/>
    <w:rsid w:val="002E0E19"/>
    <w:rsid w:val="002E25B9"/>
    <w:rsid w:val="002E3E22"/>
    <w:rsid w:val="002E49C1"/>
    <w:rsid w:val="002E5C9D"/>
    <w:rsid w:val="002E6071"/>
    <w:rsid w:val="002E7741"/>
    <w:rsid w:val="002E7E05"/>
    <w:rsid w:val="002E7EFA"/>
    <w:rsid w:val="002F0BDF"/>
    <w:rsid w:val="002F0C5C"/>
    <w:rsid w:val="002F211A"/>
    <w:rsid w:val="002F3E76"/>
    <w:rsid w:val="002F40D9"/>
    <w:rsid w:val="002F4E25"/>
    <w:rsid w:val="002F5137"/>
    <w:rsid w:val="002F52A6"/>
    <w:rsid w:val="002F536E"/>
    <w:rsid w:val="002F5EC1"/>
    <w:rsid w:val="00303ADF"/>
    <w:rsid w:val="00303FDF"/>
    <w:rsid w:val="00305AAD"/>
    <w:rsid w:val="00310462"/>
    <w:rsid w:val="00311853"/>
    <w:rsid w:val="0031398E"/>
    <w:rsid w:val="0031436C"/>
    <w:rsid w:val="00315A97"/>
    <w:rsid w:val="00316071"/>
    <w:rsid w:val="00320063"/>
    <w:rsid w:val="0032383D"/>
    <w:rsid w:val="00323A12"/>
    <w:rsid w:val="0032624B"/>
    <w:rsid w:val="00326780"/>
    <w:rsid w:val="003304D9"/>
    <w:rsid w:val="00330FF6"/>
    <w:rsid w:val="00331452"/>
    <w:rsid w:val="00333FF1"/>
    <w:rsid w:val="00334F02"/>
    <w:rsid w:val="0033531A"/>
    <w:rsid w:val="003356EA"/>
    <w:rsid w:val="00335CE7"/>
    <w:rsid w:val="003376F7"/>
    <w:rsid w:val="00337BB1"/>
    <w:rsid w:val="00340001"/>
    <w:rsid w:val="0034009E"/>
    <w:rsid w:val="00340140"/>
    <w:rsid w:val="00340348"/>
    <w:rsid w:val="00340AF4"/>
    <w:rsid w:val="003425DD"/>
    <w:rsid w:val="00342D6C"/>
    <w:rsid w:val="00343E5C"/>
    <w:rsid w:val="00344A8C"/>
    <w:rsid w:val="00344FB8"/>
    <w:rsid w:val="003456ED"/>
    <w:rsid w:val="0034720E"/>
    <w:rsid w:val="00350E78"/>
    <w:rsid w:val="003527E4"/>
    <w:rsid w:val="00353A01"/>
    <w:rsid w:val="003545B7"/>
    <w:rsid w:val="003546D2"/>
    <w:rsid w:val="0035743D"/>
    <w:rsid w:val="0036017B"/>
    <w:rsid w:val="00360FF7"/>
    <w:rsid w:val="00361382"/>
    <w:rsid w:val="0036189E"/>
    <w:rsid w:val="00361B94"/>
    <w:rsid w:val="00362204"/>
    <w:rsid w:val="00362755"/>
    <w:rsid w:val="0036290F"/>
    <w:rsid w:val="003649B7"/>
    <w:rsid w:val="0036520C"/>
    <w:rsid w:val="003656CA"/>
    <w:rsid w:val="003657DA"/>
    <w:rsid w:val="00366E61"/>
    <w:rsid w:val="00367C52"/>
    <w:rsid w:val="00370442"/>
    <w:rsid w:val="00370BF9"/>
    <w:rsid w:val="00371C84"/>
    <w:rsid w:val="00371F0C"/>
    <w:rsid w:val="00372CCB"/>
    <w:rsid w:val="00372EAF"/>
    <w:rsid w:val="00373650"/>
    <w:rsid w:val="00373B93"/>
    <w:rsid w:val="00375C30"/>
    <w:rsid w:val="00380CD1"/>
    <w:rsid w:val="003810DF"/>
    <w:rsid w:val="003832C3"/>
    <w:rsid w:val="00383B80"/>
    <w:rsid w:val="0038402C"/>
    <w:rsid w:val="00384226"/>
    <w:rsid w:val="00384B2E"/>
    <w:rsid w:val="003908FE"/>
    <w:rsid w:val="00390FA6"/>
    <w:rsid w:val="00391A12"/>
    <w:rsid w:val="0039248C"/>
    <w:rsid w:val="00393104"/>
    <w:rsid w:val="00393F83"/>
    <w:rsid w:val="00396176"/>
    <w:rsid w:val="0039645A"/>
    <w:rsid w:val="003A02CA"/>
    <w:rsid w:val="003A1761"/>
    <w:rsid w:val="003A1ACF"/>
    <w:rsid w:val="003A2119"/>
    <w:rsid w:val="003A29C1"/>
    <w:rsid w:val="003A30ED"/>
    <w:rsid w:val="003A38F0"/>
    <w:rsid w:val="003A3E8A"/>
    <w:rsid w:val="003A4D83"/>
    <w:rsid w:val="003A5397"/>
    <w:rsid w:val="003A62CF"/>
    <w:rsid w:val="003A6AEA"/>
    <w:rsid w:val="003B7F2E"/>
    <w:rsid w:val="003C0496"/>
    <w:rsid w:val="003C0567"/>
    <w:rsid w:val="003C0CD2"/>
    <w:rsid w:val="003C1251"/>
    <w:rsid w:val="003C2C63"/>
    <w:rsid w:val="003C3BE4"/>
    <w:rsid w:val="003C3EE7"/>
    <w:rsid w:val="003C4602"/>
    <w:rsid w:val="003C511C"/>
    <w:rsid w:val="003C5772"/>
    <w:rsid w:val="003C5DB3"/>
    <w:rsid w:val="003C702F"/>
    <w:rsid w:val="003C7B00"/>
    <w:rsid w:val="003C7B47"/>
    <w:rsid w:val="003D1ABF"/>
    <w:rsid w:val="003D2D85"/>
    <w:rsid w:val="003D5210"/>
    <w:rsid w:val="003D61B9"/>
    <w:rsid w:val="003D6598"/>
    <w:rsid w:val="003D7FE8"/>
    <w:rsid w:val="003E0759"/>
    <w:rsid w:val="003E0825"/>
    <w:rsid w:val="003E1348"/>
    <w:rsid w:val="003E261B"/>
    <w:rsid w:val="003E389B"/>
    <w:rsid w:val="003E4302"/>
    <w:rsid w:val="003E5A3B"/>
    <w:rsid w:val="003E6098"/>
    <w:rsid w:val="003E63AA"/>
    <w:rsid w:val="003E6A5C"/>
    <w:rsid w:val="003F0074"/>
    <w:rsid w:val="003F069A"/>
    <w:rsid w:val="003F0AD9"/>
    <w:rsid w:val="003F1066"/>
    <w:rsid w:val="003F20AA"/>
    <w:rsid w:val="003F2CCA"/>
    <w:rsid w:val="003F3B86"/>
    <w:rsid w:val="003F4329"/>
    <w:rsid w:val="003F4567"/>
    <w:rsid w:val="003F4B52"/>
    <w:rsid w:val="003F4EDB"/>
    <w:rsid w:val="003F5C97"/>
    <w:rsid w:val="003F6BB0"/>
    <w:rsid w:val="003F77FC"/>
    <w:rsid w:val="00400C1E"/>
    <w:rsid w:val="00400DBE"/>
    <w:rsid w:val="00400E54"/>
    <w:rsid w:val="00402757"/>
    <w:rsid w:val="0040343F"/>
    <w:rsid w:val="0040412D"/>
    <w:rsid w:val="004041D4"/>
    <w:rsid w:val="00404504"/>
    <w:rsid w:val="00404580"/>
    <w:rsid w:val="00405A5E"/>
    <w:rsid w:val="004108E4"/>
    <w:rsid w:val="00411F92"/>
    <w:rsid w:val="00412534"/>
    <w:rsid w:val="0041259D"/>
    <w:rsid w:val="0041273E"/>
    <w:rsid w:val="00412C83"/>
    <w:rsid w:val="0041722F"/>
    <w:rsid w:val="00417AB3"/>
    <w:rsid w:val="00417B70"/>
    <w:rsid w:val="00420100"/>
    <w:rsid w:val="00420626"/>
    <w:rsid w:val="0042286F"/>
    <w:rsid w:val="00422CA3"/>
    <w:rsid w:val="004236B6"/>
    <w:rsid w:val="0042580B"/>
    <w:rsid w:val="00426014"/>
    <w:rsid w:val="004262B6"/>
    <w:rsid w:val="00426B9A"/>
    <w:rsid w:val="00427134"/>
    <w:rsid w:val="0043153D"/>
    <w:rsid w:val="00431A2E"/>
    <w:rsid w:val="00434625"/>
    <w:rsid w:val="00434FD2"/>
    <w:rsid w:val="00435A9F"/>
    <w:rsid w:val="00435C1D"/>
    <w:rsid w:val="00436B7E"/>
    <w:rsid w:val="00437315"/>
    <w:rsid w:val="004408AA"/>
    <w:rsid w:val="004419C5"/>
    <w:rsid w:val="00441CB5"/>
    <w:rsid w:val="00442014"/>
    <w:rsid w:val="00442F60"/>
    <w:rsid w:val="00445338"/>
    <w:rsid w:val="00445E8F"/>
    <w:rsid w:val="004460CA"/>
    <w:rsid w:val="004460E0"/>
    <w:rsid w:val="0044617E"/>
    <w:rsid w:val="004462E3"/>
    <w:rsid w:val="0045247A"/>
    <w:rsid w:val="004531C4"/>
    <w:rsid w:val="00455744"/>
    <w:rsid w:val="004566BD"/>
    <w:rsid w:val="00460469"/>
    <w:rsid w:val="0046078B"/>
    <w:rsid w:val="00460B7D"/>
    <w:rsid w:val="0046123B"/>
    <w:rsid w:val="0046127F"/>
    <w:rsid w:val="00461664"/>
    <w:rsid w:val="00462D15"/>
    <w:rsid w:val="00464027"/>
    <w:rsid w:val="004643F8"/>
    <w:rsid w:val="00464DD4"/>
    <w:rsid w:val="00466113"/>
    <w:rsid w:val="00466E80"/>
    <w:rsid w:val="00471D17"/>
    <w:rsid w:val="00471ED3"/>
    <w:rsid w:val="00473004"/>
    <w:rsid w:val="00473043"/>
    <w:rsid w:val="00474A7B"/>
    <w:rsid w:val="00474C46"/>
    <w:rsid w:val="0047504C"/>
    <w:rsid w:val="0047587C"/>
    <w:rsid w:val="00475B2B"/>
    <w:rsid w:val="00476DBF"/>
    <w:rsid w:val="00480760"/>
    <w:rsid w:val="00480CB0"/>
    <w:rsid w:val="00480FAD"/>
    <w:rsid w:val="00481156"/>
    <w:rsid w:val="00481A8E"/>
    <w:rsid w:val="00481D45"/>
    <w:rsid w:val="00481DD7"/>
    <w:rsid w:val="00482246"/>
    <w:rsid w:val="00482E1D"/>
    <w:rsid w:val="0048322E"/>
    <w:rsid w:val="00483603"/>
    <w:rsid w:val="004847E7"/>
    <w:rsid w:val="00485251"/>
    <w:rsid w:val="0048583D"/>
    <w:rsid w:val="00491742"/>
    <w:rsid w:val="00492C72"/>
    <w:rsid w:val="004936E2"/>
    <w:rsid w:val="00493D9C"/>
    <w:rsid w:val="00494B7C"/>
    <w:rsid w:val="00495FAB"/>
    <w:rsid w:val="00496A38"/>
    <w:rsid w:val="00497452"/>
    <w:rsid w:val="004A16DB"/>
    <w:rsid w:val="004A1AB3"/>
    <w:rsid w:val="004A1EAD"/>
    <w:rsid w:val="004A43F3"/>
    <w:rsid w:val="004A47BE"/>
    <w:rsid w:val="004A7E2A"/>
    <w:rsid w:val="004B0139"/>
    <w:rsid w:val="004B1BCD"/>
    <w:rsid w:val="004B34EA"/>
    <w:rsid w:val="004B35E6"/>
    <w:rsid w:val="004B3BB3"/>
    <w:rsid w:val="004B5494"/>
    <w:rsid w:val="004B6CE3"/>
    <w:rsid w:val="004B6E06"/>
    <w:rsid w:val="004B7A59"/>
    <w:rsid w:val="004B7A88"/>
    <w:rsid w:val="004C0310"/>
    <w:rsid w:val="004C22A3"/>
    <w:rsid w:val="004C2350"/>
    <w:rsid w:val="004C2DDD"/>
    <w:rsid w:val="004C4D8C"/>
    <w:rsid w:val="004C7A2B"/>
    <w:rsid w:val="004C7C9F"/>
    <w:rsid w:val="004C7D3A"/>
    <w:rsid w:val="004D0773"/>
    <w:rsid w:val="004D3C2D"/>
    <w:rsid w:val="004D465D"/>
    <w:rsid w:val="004D4AAB"/>
    <w:rsid w:val="004D4C0C"/>
    <w:rsid w:val="004D54FF"/>
    <w:rsid w:val="004D5BAA"/>
    <w:rsid w:val="004D7802"/>
    <w:rsid w:val="004D78B4"/>
    <w:rsid w:val="004E0848"/>
    <w:rsid w:val="004E12E0"/>
    <w:rsid w:val="004E1600"/>
    <w:rsid w:val="004E2280"/>
    <w:rsid w:val="004E34B6"/>
    <w:rsid w:val="004E3701"/>
    <w:rsid w:val="004E46E8"/>
    <w:rsid w:val="004E55F8"/>
    <w:rsid w:val="004E62B8"/>
    <w:rsid w:val="004E6689"/>
    <w:rsid w:val="004F15CB"/>
    <w:rsid w:val="004F20F8"/>
    <w:rsid w:val="004F232A"/>
    <w:rsid w:val="004F2CF2"/>
    <w:rsid w:val="004F36F0"/>
    <w:rsid w:val="004F38BD"/>
    <w:rsid w:val="004F5A47"/>
    <w:rsid w:val="004F6E51"/>
    <w:rsid w:val="004F7073"/>
    <w:rsid w:val="004F7BC0"/>
    <w:rsid w:val="0050070C"/>
    <w:rsid w:val="005018A8"/>
    <w:rsid w:val="005020E5"/>
    <w:rsid w:val="005026F6"/>
    <w:rsid w:val="00502DFC"/>
    <w:rsid w:val="00503C6F"/>
    <w:rsid w:val="005047E8"/>
    <w:rsid w:val="0050485B"/>
    <w:rsid w:val="00505A39"/>
    <w:rsid w:val="00505D49"/>
    <w:rsid w:val="00506A62"/>
    <w:rsid w:val="00507FB5"/>
    <w:rsid w:val="00510A52"/>
    <w:rsid w:val="00511A00"/>
    <w:rsid w:val="00511E3D"/>
    <w:rsid w:val="00512A6D"/>
    <w:rsid w:val="00512B36"/>
    <w:rsid w:val="00512BD7"/>
    <w:rsid w:val="00516308"/>
    <w:rsid w:val="005178EB"/>
    <w:rsid w:val="00520567"/>
    <w:rsid w:val="00520D68"/>
    <w:rsid w:val="00521DE0"/>
    <w:rsid w:val="005223FB"/>
    <w:rsid w:val="00522589"/>
    <w:rsid w:val="005236AF"/>
    <w:rsid w:val="005240BF"/>
    <w:rsid w:val="00524DC3"/>
    <w:rsid w:val="00524F05"/>
    <w:rsid w:val="00525112"/>
    <w:rsid w:val="00525ED4"/>
    <w:rsid w:val="00527AA9"/>
    <w:rsid w:val="0053080B"/>
    <w:rsid w:val="005315B1"/>
    <w:rsid w:val="005335AA"/>
    <w:rsid w:val="005336EB"/>
    <w:rsid w:val="005338AA"/>
    <w:rsid w:val="00533EDA"/>
    <w:rsid w:val="0053606A"/>
    <w:rsid w:val="005367CF"/>
    <w:rsid w:val="00537C66"/>
    <w:rsid w:val="00540C22"/>
    <w:rsid w:val="005410C7"/>
    <w:rsid w:val="005420E3"/>
    <w:rsid w:val="00542A6B"/>
    <w:rsid w:val="00542BAE"/>
    <w:rsid w:val="0054354F"/>
    <w:rsid w:val="00543673"/>
    <w:rsid w:val="00545B63"/>
    <w:rsid w:val="00547BC1"/>
    <w:rsid w:val="00550B60"/>
    <w:rsid w:val="005527E4"/>
    <w:rsid w:val="005540FE"/>
    <w:rsid w:val="0055554E"/>
    <w:rsid w:val="00555B82"/>
    <w:rsid w:val="00556944"/>
    <w:rsid w:val="00556CC6"/>
    <w:rsid w:val="005575B8"/>
    <w:rsid w:val="00557AE5"/>
    <w:rsid w:val="0056138E"/>
    <w:rsid w:val="00561792"/>
    <w:rsid w:val="005618BF"/>
    <w:rsid w:val="00561D24"/>
    <w:rsid w:val="005638AD"/>
    <w:rsid w:val="0056421D"/>
    <w:rsid w:val="005668DD"/>
    <w:rsid w:val="005711A8"/>
    <w:rsid w:val="00571357"/>
    <w:rsid w:val="0057220C"/>
    <w:rsid w:val="0057266D"/>
    <w:rsid w:val="0057268E"/>
    <w:rsid w:val="0057458D"/>
    <w:rsid w:val="00575453"/>
    <w:rsid w:val="00575A8F"/>
    <w:rsid w:val="00576930"/>
    <w:rsid w:val="0058157F"/>
    <w:rsid w:val="00581817"/>
    <w:rsid w:val="00581AFF"/>
    <w:rsid w:val="00581ED2"/>
    <w:rsid w:val="00582241"/>
    <w:rsid w:val="005841CB"/>
    <w:rsid w:val="00585390"/>
    <w:rsid w:val="00585A99"/>
    <w:rsid w:val="00587A3E"/>
    <w:rsid w:val="005901FA"/>
    <w:rsid w:val="0059060B"/>
    <w:rsid w:val="005911F2"/>
    <w:rsid w:val="00591447"/>
    <w:rsid w:val="005918E4"/>
    <w:rsid w:val="005939A5"/>
    <w:rsid w:val="005944CE"/>
    <w:rsid w:val="00595EC3"/>
    <w:rsid w:val="005966D8"/>
    <w:rsid w:val="0059734B"/>
    <w:rsid w:val="005A0EAE"/>
    <w:rsid w:val="005A148C"/>
    <w:rsid w:val="005A17AD"/>
    <w:rsid w:val="005A1959"/>
    <w:rsid w:val="005A1ADB"/>
    <w:rsid w:val="005A2670"/>
    <w:rsid w:val="005A41E8"/>
    <w:rsid w:val="005A4489"/>
    <w:rsid w:val="005A7460"/>
    <w:rsid w:val="005A7615"/>
    <w:rsid w:val="005A76E7"/>
    <w:rsid w:val="005B0AA1"/>
    <w:rsid w:val="005B1F1B"/>
    <w:rsid w:val="005B2E92"/>
    <w:rsid w:val="005B6302"/>
    <w:rsid w:val="005B677C"/>
    <w:rsid w:val="005B75EE"/>
    <w:rsid w:val="005B7DD6"/>
    <w:rsid w:val="005C0E62"/>
    <w:rsid w:val="005C1318"/>
    <w:rsid w:val="005C3337"/>
    <w:rsid w:val="005C4D56"/>
    <w:rsid w:val="005C4F66"/>
    <w:rsid w:val="005C58FA"/>
    <w:rsid w:val="005C609E"/>
    <w:rsid w:val="005C71D3"/>
    <w:rsid w:val="005C7C0D"/>
    <w:rsid w:val="005D0025"/>
    <w:rsid w:val="005D0973"/>
    <w:rsid w:val="005D158C"/>
    <w:rsid w:val="005D26F1"/>
    <w:rsid w:val="005D2842"/>
    <w:rsid w:val="005D5F02"/>
    <w:rsid w:val="005D603E"/>
    <w:rsid w:val="005E066B"/>
    <w:rsid w:val="005E1385"/>
    <w:rsid w:val="005E1A27"/>
    <w:rsid w:val="005E2A09"/>
    <w:rsid w:val="005E2A9C"/>
    <w:rsid w:val="005E2E1B"/>
    <w:rsid w:val="005E30DE"/>
    <w:rsid w:val="005E33F8"/>
    <w:rsid w:val="005E6720"/>
    <w:rsid w:val="005F07BD"/>
    <w:rsid w:val="005F2541"/>
    <w:rsid w:val="005F2C96"/>
    <w:rsid w:val="005F338A"/>
    <w:rsid w:val="005F3AC0"/>
    <w:rsid w:val="005F533D"/>
    <w:rsid w:val="0060025E"/>
    <w:rsid w:val="006005E5"/>
    <w:rsid w:val="00600B96"/>
    <w:rsid w:val="00601B26"/>
    <w:rsid w:val="00601FFE"/>
    <w:rsid w:val="00603022"/>
    <w:rsid w:val="00603238"/>
    <w:rsid w:val="00603FC4"/>
    <w:rsid w:val="00604321"/>
    <w:rsid w:val="006053FB"/>
    <w:rsid w:val="0060611D"/>
    <w:rsid w:val="006110CC"/>
    <w:rsid w:val="006119CA"/>
    <w:rsid w:val="00613C2E"/>
    <w:rsid w:val="00613E8C"/>
    <w:rsid w:val="0061445B"/>
    <w:rsid w:val="00614480"/>
    <w:rsid w:val="006145A5"/>
    <w:rsid w:val="00614E8A"/>
    <w:rsid w:val="00616CDF"/>
    <w:rsid w:val="00620955"/>
    <w:rsid w:val="00620AA1"/>
    <w:rsid w:val="0062131C"/>
    <w:rsid w:val="006222FD"/>
    <w:rsid w:val="0062535E"/>
    <w:rsid w:val="00625BD1"/>
    <w:rsid w:val="00625CD6"/>
    <w:rsid w:val="00626901"/>
    <w:rsid w:val="0062718E"/>
    <w:rsid w:val="00627456"/>
    <w:rsid w:val="006276B2"/>
    <w:rsid w:val="006316AC"/>
    <w:rsid w:val="00632207"/>
    <w:rsid w:val="00632394"/>
    <w:rsid w:val="00633BE5"/>
    <w:rsid w:val="0063491C"/>
    <w:rsid w:val="00634DE2"/>
    <w:rsid w:val="0063546A"/>
    <w:rsid w:val="00637615"/>
    <w:rsid w:val="00637EDA"/>
    <w:rsid w:val="00640251"/>
    <w:rsid w:val="00641A5C"/>
    <w:rsid w:val="00642BDB"/>
    <w:rsid w:val="00644207"/>
    <w:rsid w:val="00647319"/>
    <w:rsid w:val="00647CEC"/>
    <w:rsid w:val="00647F49"/>
    <w:rsid w:val="00650D5C"/>
    <w:rsid w:val="0065254E"/>
    <w:rsid w:val="006526AE"/>
    <w:rsid w:val="00652E16"/>
    <w:rsid w:val="006538C4"/>
    <w:rsid w:val="006549E9"/>
    <w:rsid w:val="00655A06"/>
    <w:rsid w:val="00655D96"/>
    <w:rsid w:val="00656271"/>
    <w:rsid w:val="006566FE"/>
    <w:rsid w:val="0065694A"/>
    <w:rsid w:val="006574CE"/>
    <w:rsid w:val="00657907"/>
    <w:rsid w:val="00661AA8"/>
    <w:rsid w:val="00661AFE"/>
    <w:rsid w:val="00664E62"/>
    <w:rsid w:val="00665C44"/>
    <w:rsid w:val="00666131"/>
    <w:rsid w:val="0067102F"/>
    <w:rsid w:val="0067292E"/>
    <w:rsid w:val="006740B8"/>
    <w:rsid w:val="00675224"/>
    <w:rsid w:val="00675E1B"/>
    <w:rsid w:val="00680F19"/>
    <w:rsid w:val="00680F85"/>
    <w:rsid w:val="00681963"/>
    <w:rsid w:val="00681C9A"/>
    <w:rsid w:val="00682BD0"/>
    <w:rsid w:val="00682BF8"/>
    <w:rsid w:val="006838E9"/>
    <w:rsid w:val="00683B2C"/>
    <w:rsid w:val="006854B0"/>
    <w:rsid w:val="006874D9"/>
    <w:rsid w:val="00690395"/>
    <w:rsid w:val="006903E9"/>
    <w:rsid w:val="0069185C"/>
    <w:rsid w:val="006920D8"/>
    <w:rsid w:val="006949B5"/>
    <w:rsid w:val="00694FA9"/>
    <w:rsid w:val="00695713"/>
    <w:rsid w:val="0069575E"/>
    <w:rsid w:val="00695B25"/>
    <w:rsid w:val="00695B49"/>
    <w:rsid w:val="006966D9"/>
    <w:rsid w:val="0069764C"/>
    <w:rsid w:val="006A09F6"/>
    <w:rsid w:val="006A0BF8"/>
    <w:rsid w:val="006A0E26"/>
    <w:rsid w:val="006A1FDC"/>
    <w:rsid w:val="006A1FF4"/>
    <w:rsid w:val="006A31C7"/>
    <w:rsid w:val="006A43B3"/>
    <w:rsid w:val="006A4576"/>
    <w:rsid w:val="006A59E8"/>
    <w:rsid w:val="006A5DDF"/>
    <w:rsid w:val="006A7A71"/>
    <w:rsid w:val="006B0AEE"/>
    <w:rsid w:val="006B0E47"/>
    <w:rsid w:val="006B1EF1"/>
    <w:rsid w:val="006B2553"/>
    <w:rsid w:val="006B4CB3"/>
    <w:rsid w:val="006B54EB"/>
    <w:rsid w:val="006B56C3"/>
    <w:rsid w:val="006B633C"/>
    <w:rsid w:val="006B649D"/>
    <w:rsid w:val="006B6DB3"/>
    <w:rsid w:val="006C1105"/>
    <w:rsid w:val="006C1F10"/>
    <w:rsid w:val="006C2131"/>
    <w:rsid w:val="006C23C8"/>
    <w:rsid w:val="006C4925"/>
    <w:rsid w:val="006C4CFE"/>
    <w:rsid w:val="006C58A5"/>
    <w:rsid w:val="006C59CC"/>
    <w:rsid w:val="006C5AED"/>
    <w:rsid w:val="006C6543"/>
    <w:rsid w:val="006C773F"/>
    <w:rsid w:val="006D0184"/>
    <w:rsid w:val="006D0640"/>
    <w:rsid w:val="006D18D8"/>
    <w:rsid w:val="006D1972"/>
    <w:rsid w:val="006D236F"/>
    <w:rsid w:val="006D67B7"/>
    <w:rsid w:val="006D6FD5"/>
    <w:rsid w:val="006E1261"/>
    <w:rsid w:val="006E1B2D"/>
    <w:rsid w:val="006E1F1E"/>
    <w:rsid w:val="006E2DE2"/>
    <w:rsid w:val="006E3EF0"/>
    <w:rsid w:val="006E4490"/>
    <w:rsid w:val="006E50FB"/>
    <w:rsid w:val="006E5150"/>
    <w:rsid w:val="006E5D3E"/>
    <w:rsid w:val="006E5E28"/>
    <w:rsid w:val="006E6574"/>
    <w:rsid w:val="006E7585"/>
    <w:rsid w:val="006E7B78"/>
    <w:rsid w:val="006E7C7C"/>
    <w:rsid w:val="006F1DC7"/>
    <w:rsid w:val="006F2122"/>
    <w:rsid w:val="006F332D"/>
    <w:rsid w:val="006F4228"/>
    <w:rsid w:val="006F49A6"/>
    <w:rsid w:val="00700F69"/>
    <w:rsid w:val="00702296"/>
    <w:rsid w:val="00702BF0"/>
    <w:rsid w:val="00703C10"/>
    <w:rsid w:val="007052DC"/>
    <w:rsid w:val="007064B9"/>
    <w:rsid w:val="00706E34"/>
    <w:rsid w:val="00711554"/>
    <w:rsid w:val="00711728"/>
    <w:rsid w:val="00712294"/>
    <w:rsid w:val="00712CE0"/>
    <w:rsid w:val="00714119"/>
    <w:rsid w:val="007144C9"/>
    <w:rsid w:val="00714CF2"/>
    <w:rsid w:val="00714D30"/>
    <w:rsid w:val="00714DA0"/>
    <w:rsid w:val="00714DB7"/>
    <w:rsid w:val="007156B9"/>
    <w:rsid w:val="007174A8"/>
    <w:rsid w:val="00717531"/>
    <w:rsid w:val="007201A8"/>
    <w:rsid w:val="00720817"/>
    <w:rsid w:val="00720EF6"/>
    <w:rsid w:val="00722850"/>
    <w:rsid w:val="00723EE2"/>
    <w:rsid w:val="0072496B"/>
    <w:rsid w:val="007259D8"/>
    <w:rsid w:val="007265E5"/>
    <w:rsid w:val="0073353F"/>
    <w:rsid w:val="00734D06"/>
    <w:rsid w:val="00735A91"/>
    <w:rsid w:val="007360AE"/>
    <w:rsid w:val="00736809"/>
    <w:rsid w:val="00736D42"/>
    <w:rsid w:val="00741CE2"/>
    <w:rsid w:val="00741D91"/>
    <w:rsid w:val="00742E45"/>
    <w:rsid w:val="007447AF"/>
    <w:rsid w:val="007459AE"/>
    <w:rsid w:val="00746342"/>
    <w:rsid w:val="007478F8"/>
    <w:rsid w:val="00750816"/>
    <w:rsid w:val="00751C7E"/>
    <w:rsid w:val="00752239"/>
    <w:rsid w:val="0075242A"/>
    <w:rsid w:val="00752C61"/>
    <w:rsid w:val="00755876"/>
    <w:rsid w:val="00756057"/>
    <w:rsid w:val="00756E9F"/>
    <w:rsid w:val="007570C8"/>
    <w:rsid w:val="007573CF"/>
    <w:rsid w:val="00757AD5"/>
    <w:rsid w:val="00760C57"/>
    <w:rsid w:val="007617B9"/>
    <w:rsid w:val="00762635"/>
    <w:rsid w:val="0076455F"/>
    <w:rsid w:val="007650DE"/>
    <w:rsid w:val="007657B3"/>
    <w:rsid w:val="007657C1"/>
    <w:rsid w:val="0076594A"/>
    <w:rsid w:val="00766EF4"/>
    <w:rsid w:val="007670AD"/>
    <w:rsid w:val="00771A92"/>
    <w:rsid w:val="00772349"/>
    <w:rsid w:val="00772957"/>
    <w:rsid w:val="00772BFD"/>
    <w:rsid w:val="00773478"/>
    <w:rsid w:val="00773CC1"/>
    <w:rsid w:val="00773CFC"/>
    <w:rsid w:val="00775E74"/>
    <w:rsid w:val="00776A69"/>
    <w:rsid w:val="0077755F"/>
    <w:rsid w:val="00777F9F"/>
    <w:rsid w:val="00781005"/>
    <w:rsid w:val="00781778"/>
    <w:rsid w:val="0078186F"/>
    <w:rsid w:val="00781C92"/>
    <w:rsid w:val="00781DCD"/>
    <w:rsid w:val="00783422"/>
    <w:rsid w:val="00783950"/>
    <w:rsid w:val="007847C6"/>
    <w:rsid w:val="00785D8C"/>
    <w:rsid w:val="00786689"/>
    <w:rsid w:val="00786A31"/>
    <w:rsid w:val="00786DFF"/>
    <w:rsid w:val="00792669"/>
    <w:rsid w:val="00793590"/>
    <w:rsid w:val="0079526C"/>
    <w:rsid w:val="007953DF"/>
    <w:rsid w:val="00797260"/>
    <w:rsid w:val="007A01A4"/>
    <w:rsid w:val="007A13A3"/>
    <w:rsid w:val="007A35CE"/>
    <w:rsid w:val="007A406D"/>
    <w:rsid w:val="007A62B0"/>
    <w:rsid w:val="007A7FB3"/>
    <w:rsid w:val="007B0542"/>
    <w:rsid w:val="007B15B5"/>
    <w:rsid w:val="007B2518"/>
    <w:rsid w:val="007B314D"/>
    <w:rsid w:val="007B4BDE"/>
    <w:rsid w:val="007B51E2"/>
    <w:rsid w:val="007B60C1"/>
    <w:rsid w:val="007B6E08"/>
    <w:rsid w:val="007B6E4F"/>
    <w:rsid w:val="007C0156"/>
    <w:rsid w:val="007C1642"/>
    <w:rsid w:val="007C20BA"/>
    <w:rsid w:val="007C37D0"/>
    <w:rsid w:val="007C3ECD"/>
    <w:rsid w:val="007C419C"/>
    <w:rsid w:val="007C59A6"/>
    <w:rsid w:val="007C5A0C"/>
    <w:rsid w:val="007C615E"/>
    <w:rsid w:val="007D00EB"/>
    <w:rsid w:val="007D010C"/>
    <w:rsid w:val="007D1814"/>
    <w:rsid w:val="007D2C17"/>
    <w:rsid w:val="007D4806"/>
    <w:rsid w:val="007D757B"/>
    <w:rsid w:val="007D760F"/>
    <w:rsid w:val="007E097E"/>
    <w:rsid w:val="007E0FEE"/>
    <w:rsid w:val="007E12E6"/>
    <w:rsid w:val="007E179D"/>
    <w:rsid w:val="007E18AE"/>
    <w:rsid w:val="007E1F19"/>
    <w:rsid w:val="007E213E"/>
    <w:rsid w:val="007E559B"/>
    <w:rsid w:val="007E591A"/>
    <w:rsid w:val="007F0D17"/>
    <w:rsid w:val="007F118B"/>
    <w:rsid w:val="007F2017"/>
    <w:rsid w:val="007F3B7F"/>
    <w:rsid w:val="007F4262"/>
    <w:rsid w:val="007F5B1F"/>
    <w:rsid w:val="007F6855"/>
    <w:rsid w:val="00801CA6"/>
    <w:rsid w:val="00802632"/>
    <w:rsid w:val="00802E35"/>
    <w:rsid w:val="008030D1"/>
    <w:rsid w:val="008031D2"/>
    <w:rsid w:val="00803319"/>
    <w:rsid w:val="008033B0"/>
    <w:rsid w:val="00803794"/>
    <w:rsid w:val="0080390E"/>
    <w:rsid w:val="00804101"/>
    <w:rsid w:val="00804C58"/>
    <w:rsid w:val="00806440"/>
    <w:rsid w:val="0080660A"/>
    <w:rsid w:val="008109E2"/>
    <w:rsid w:val="00812657"/>
    <w:rsid w:val="008149F4"/>
    <w:rsid w:val="008150DC"/>
    <w:rsid w:val="008159CF"/>
    <w:rsid w:val="008164B7"/>
    <w:rsid w:val="00816E05"/>
    <w:rsid w:val="00817B4E"/>
    <w:rsid w:val="00817BDA"/>
    <w:rsid w:val="008200D3"/>
    <w:rsid w:val="008254F0"/>
    <w:rsid w:val="00826646"/>
    <w:rsid w:val="00831540"/>
    <w:rsid w:val="00831647"/>
    <w:rsid w:val="008317DF"/>
    <w:rsid w:val="00832B92"/>
    <w:rsid w:val="008339BB"/>
    <w:rsid w:val="008340C6"/>
    <w:rsid w:val="00835CBD"/>
    <w:rsid w:val="0083646C"/>
    <w:rsid w:val="0083656C"/>
    <w:rsid w:val="00836FD3"/>
    <w:rsid w:val="00837189"/>
    <w:rsid w:val="00837DD3"/>
    <w:rsid w:val="00841073"/>
    <w:rsid w:val="00841971"/>
    <w:rsid w:val="00841C7F"/>
    <w:rsid w:val="0084262E"/>
    <w:rsid w:val="00843F18"/>
    <w:rsid w:val="0084503D"/>
    <w:rsid w:val="00845D55"/>
    <w:rsid w:val="0084627E"/>
    <w:rsid w:val="008464F4"/>
    <w:rsid w:val="00846624"/>
    <w:rsid w:val="00846BE8"/>
    <w:rsid w:val="0084733D"/>
    <w:rsid w:val="00847AA8"/>
    <w:rsid w:val="008517B4"/>
    <w:rsid w:val="00851EFA"/>
    <w:rsid w:val="008523D8"/>
    <w:rsid w:val="008547E3"/>
    <w:rsid w:val="0085587C"/>
    <w:rsid w:val="0086093F"/>
    <w:rsid w:val="00860AA7"/>
    <w:rsid w:val="0086170B"/>
    <w:rsid w:val="0086333A"/>
    <w:rsid w:val="0086419A"/>
    <w:rsid w:val="00864516"/>
    <w:rsid w:val="008659D4"/>
    <w:rsid w:val="00865A1A"/>
    <w:rsid w:val="00865E4F"/>
    <w:rsid w:val="008675BE"/>
    <w:rsid w:val="00867A10"/>
    <w:rsid w:val="0087009C"/>
    <w:rsid w:val="0087023B"/>
    <w:rsid w:val="00871EBC"/>
    <w:rsid w:val="0087230F"/>
    <w:rsid w:val="00872364"/>
    <w:rsid w:val="00873175"/>
    <w:rsid w:val="0087380A"/>
    <w:rsid w:val="008746DD"/>
    <w:rsid w:val="00875594"/>
    <w:rsid w:val="008759F3"/>
    <w:rsid w:val="00875DAB"/>
    <w:rsid w:val="00875E97"/>
    <w:rsid w:val="00876055"/>
    <w:rsid w:val="00876E83"/>
    <w:rsid w:val="00877330"/>
    <w:rsid w:val="00880CB1"/>
    <w:rsid w:val="008811FD"/>
    <w:rsid w:val="008817D4"/>
    <w:rsid w:val="0088199D"/>
    <w:rsid w:val="008824CC"/>
    <w:rsid w:val="0088255F"/>
    <w:rsid w:val="008905BF"/>
    <w:rsid w:val="00891605"/>
    <w:rsid w:val="00891635"/>
    <w:rsid w:val="00891B71"/>
    <w:rsid w:val="00894AAF"/>
    <w:rsid w:val="00895FFD"/>
    <w:rsid w:val="008A0738"/>
    <w:rsid w:val="008A08BF"/>
    <w:rsid w:val="008A179F"/>
    <w:rsid w:val="008A3488"/>
    <w:rsid w:val="008A378F"/>
    <w:rsid w:val="008A4143"/>
    <w:rsid w:val="008A47C5"/>
    <w:rsid w:val="008A532A"/>
    <w:rsid w:val="008A5357"/>
    <w:rsid w:val="008A598B"/>
    <w:rsid w:val="008A5FD3"/>
    <w:rsid w:val="008A7292"/>
    <w:rsid w:val="008A7E64"/>
    <w:rsid w:val="008A7E79"/>
    <w:rsid w:val="008B0864"/>
    <w:rsid w:val="008B0A9D"/>
    <w:rsid w:val="008B0E91"/>
    <w:rsid w:val="008B0ED2"/>
    <w:rsid w:val="008B147C"/>
    <w:rsid w:val="008B175A"/>
    <w:rsid w:val="008B1CB6"/>
    <w:rsid w:val="008B3013"/>
    <w:rsid w:val="008B4D1D"/>
    <w:rsid w:val="008B4D4E"/>
    <w:rsid w:val="008B4E68"/>
    <w:rsid w:val="008B6667"/>
    <w:rsid w:val="008B6852"/>
    <w:rsid w:val="008B71FC"/>
    <w:rsid w:val="008C1415"/>
    <w:rsid w:val="008C15F0"/>
    <w:rsid w:val="008C22FE"/>
    <w:rsid w:val="008C3CB7"/>
    <w:rsid w:val="008C42F1"/>
    <w:rsid w:val="008C554F"/>
    <w:rsid w:val="008C566D"/>
    <w:rsid w:val="008C587D"/>
    <w:rsid w:val="008C6185"/>
    <w:rsid w:val="008C7413"/>
    <w:rsid w:val="008D16B7"/>
    <w:rsid w:val="008D1E83"/>
    <w:rsid w:val="008D1FDE"/>
    <w:rsid w:val="008D22B4"/>
    <w:rsid w:val="008D3301"/>
    <w:rsid w:val="008D33F8"/>
    <w:rsid w:val="008D53E3"/>
    <w:rsid w:val="008E1336"/>
    <w:rsid w:val="008E3A1F"/>
    <w:rsid w:val="008E3E90"/>
    <w:rsid w:val="008E406B"/>
    <w:rsid w:val="008E560D"/>
    <w:rsid w:val="008E5765"/>
    <w:rsid w:val="008E6AE6"/>
    <w:rsid w:val="008E6DB8"/>
    <w:rsid w:val="008F0116"/>
    <w:rsid w:val="008F03AE"/>
    <w:rsid w:val="008F143D"/>
    <w:rsid w:val="008F15F4"/>
    <w:rsid w:val="008F1B4E"/>
    <w:rsid w:val="008F1ED6"/>
    <w:rsid w:val="008F3C9C"/>
    <w:rsid w:val="008F43B9"/>
    <w:rsid w:val="008F46F5"/>
    <w:rsid w:val="008F487D"/>
    <w:rsid w:val="008F4F19"/>
    <w:rsid w:val="008F6980"/>
    <w:rsid w:val="008F6EC6"/>
    <w:rsid w:val="00902BB4"/>
    <w:rsid w:val="00902CEA"/>
    <w:rsid w:val="00903D6A"/>
    <w:rsid w:val="009040C8"/>
    <w:rsid w:val="00904285"/>
    <w:rsid w:val="00905B39"/>
    <w:rsid w:val="009078DE"/>
    <w:rsid w:val="0091038C"/>
    <w:rsid w:val="00911551"/>
    <w:rsid w:val="009117CC"/>
    <w:rsid w:val="00912A6C"/>
    <w:rsid w:val="00913E9A"/>
    <w:rsid w:val="0091410C"/>
    <w:rsid w:val="00914DEB"/>
    <w:rsid w:val="009152A8"/>
    <w:rsid w:val="009152CE"/>
    <w:rsid w:val="00915B25"/>
    <w:rsid w:val="00915F97"/>
    <w:rsid w:val="00916782"/>
    <w:rsid w:val="009168A1"/>
    <w:rsid w:val="00916A66"/>
    <w:rsid w:val="009170AF"/>
    <w:rsid w:val="009170BB"/>
    <w:rsid w:val="00920A59"/>
    <w:rsid w:val="00920B22"/>
    <w:rsid w:val="00921C88"/>
    <w:rsid w:val="0092239E"/>
    <w:rsid w:val="009228B5"/>
    <w:rsid w:val="009230E1"/>
    <w:rsid w:val="00923B36"/>
    <w:rsid w:val="00925094"/>
    <w:rsid w:val="00926216"/>
    <w:rsid w:val="00930453"/>
    <w:rsid w:val="0093101A"/>
    <w:rsid w:val="0093244C"/>
    <w:rsid w:val="0093263E"/>
    <w:rsid w:val="00932865"/>
    <w:rsid w:val="00932BAA"/>
    <w:rsid w:val="0093363C"/>
    <w:rsid w:val="00934148"/>
    <w:rsid w:val="00934B54"/>
    <w:rsid w:val="00935C81"/>
    <w:rsid w:val="00936814"/>
    <w:rsid w:val="00936A49"/>
    <w:rsid w:val="00936DCE"/>
    <w:rsid w:val="00941CBA"/>
    <w:rsid w:val="00942F90"/>
    <w:rsid w:val="00943C9A"/>
    <w:rsid w:val="00943F0C"/>
    <w:rsid w:val="009449BF"/>
    <w:rsid w:val="00945575"/>
    <w:rsid w:val="009459B7"/>
    <w:rsid w:val="00947842"/>
    <w:rsid w:val="00947C05"/>
    <w:rsid w:val="00947E99"/>
    <w:rsid w:val="009502F2"/>
    <w:rsid w:val="00950D54"/>
    <w:rsid w:val="009512E6"/>
    <w:rsid w:val="0095177A"/>
    <w:rsid w:val="00951BDD"/>
    <w:rsid w:val="009520F3"/>
    <w:rsid w:val="009533DE"/>
    <w:rsid w:val="00953E8B"/>
    <w:rsid w:val="00955ECF"/>
    <w:rsid w:val="009603F4"/>
    <w:rsid w:val="0096066F"/>
    <w:rsid w:val="00961061"/>
    <w:rsid w:val="00961264"/>
    <w:rsid w:val="0096166D"/>
    <w:rsid w:val="00961DC9"/>
    <w:rsid w:val="009628AA"/>
    <w:rsid w:val="009646F9"/>
    <w:rsid w:val="00964B47"/>
    <w:rsid w:val="00965011"/>
    <w:rsid w:val="00965BE1"/>
    <w:rsid w:val="00966D6F"/>
    <w:rsid w:val="00966F0D"/>
    <w:rsid w:val="009674EC"/>
    <w:rsid w:val="00967CE7"/>
    <w:rsid w:val="009701A2"/>
    <w:rsid w:val="00970610"/>
    <w:rsid w:val="009709BC"/>
    <w:rsid w:val="009717AF"/>
    <w:rsid w:val="00971B3C"/>
    <w:rsid w:val="00972918"/>
    <w:rsid w:val="009731F2"/>
    <w:rsid w:val="00973C65"/>
    <w:rsid w:val="00973ED0"/>
    <w:rsid w:val="00974C4D"/>
    <w:rsid w:val="00975188"/>
    <w:rsid w:val="0097598D"/>
    <w:rsid w:val="00975DCD"/>
    <w:rsid w:val="009766B3"/>
    <w:rsid w:val="009767E9"/>
    <w:rsid w:val="009778DB"/>
    <w:rsid w:val="00977EDF"/>
    <w:rsid w:val="00980B58"/>
    <w:rsid w:val="0098138E"/>
    <w:rsid w:val="0098267D"/>
    <w:rsid w:val="00982ED7"/>
    <w:rsid w:val="00983E04"/>
    <w:rsid w:val="0098655A"/>
    <w:rsid w:val="009871AB"/>
    <w:rsid w:val="00987420"/>
    <w:rsid w:val="009908D6"/>
    <w:rsid w:val="00990DAF"/>
    <w:rsid w:val="00991091"/>
    <w:rsid w:val="00994220"/>
    <w:rsid w:val="009946A6"/>
    <w:rsid w:val="00994B6D"/>
    <w:rsid w:val="00995914"/>
    <w:rsid w:val="00995D80"/>
    <w:rsid w:val="009A01D2"/>
    <w:rsid w:val="009A023B"/>
    <w:rsid w:val="009A0D63"/>
    <w:rsid w:val="009A33A7"/>
    <w:rsid w:val="009A3DC7"/>
    <w:rsid w:val="009A4A29"/>
    <w:rsid w:val="009A4F1D"/>
    <w:rsid w:val="009A6E36"/>
    <w:rsid w:val="009A7715"/>
    <w:rsid w:val="009B0CBA"/>
    <w:rsid w:val="009B1134"/>
    <w:rsid w:val="009B11A1"/>
    <w:rsid w:val="009B19EF"/>
    <w:rsid w:val="009B29AA"/>
    <w:rsid w:val="009B3A45"/>
    <w:rsid w:val="009B3C08"/>
    <w:rsid w:val="009B5258"/>
    <w:rsid w:val="009B7065"/>
    <w:rsid w:val="009B7353"/>
    <w:rsid w:val="009B748C"/>
    <w:rsid w:val="009B75C9"/>
    <w:rsid w:val="009C02A2"/>
    <w:rsid w:val="009C1C74"/>
    <w:rsid w:val="009C3006"/>
    <w:rsid w:val="009C4013"/>
    <w:rsid w:val="009C4AE6"/>
    <w:rsid w:val="009C4C22"/>
    <w:rsid w:val="009C7243"/>
    <w:rsid w:val="009D0931"/>
    <w:rsid w:val="009D1E9D"/>
    <w:rsid w:val="009D2AC9"/>
    <w:rsid w:val="009D2E00"/>
    <w:rsid w:val="009D374D"/>
    <w:rsid w:val="009D5583"/>
    <w:rsid w:val="009D6672"/>
    <w:rsid w:val="009D6FE5"/>
    <w:rsid w:val="009E1C43"/>
    <w:rsid w:val="009E2C7C"/>
    <w:rsid w:val="009E3FB3"/>
    <w:rsid w:val="009E4251"/>
    <w:rsid w:val="009E497C"/>
    <w:rsid w:val="009E6052"/>
    <w:rsid w:val="009E7C7F"/>
    <w:rsid w:val="009E7FDA"/>
    <w:rsid w:val="009F011C"/>
    <w:rsid w:val="009F2204"/>
    <w:rsid w:val="009F3905"/>
    <w:rsid w:val="009F3FF3"/>
    <w:rsid w:val="009F46E8"/>
    <w:rsid w:val="009F48A7"/>
    <w:rsid w:val="009F4C6F"/>
    <w:rsid w:val="009F4F41"/>
    <w:rsid w:val="009F502D"/>
    <w:rsid w:val="009F575A"/>
    <w:rsid w:val="009F7890"/>
    <w:rsid w:val="009F7D6E"/>
    <w:rsid w:val="00A000D0"/>
    <w:rsid w:val="00A006D9"/>
    <w:rsid w:val="00A04221"/>
    <w:rsid w:val="00A047A4"/>
    <w:rsid w:val="00A048E1"/>
    <w:rsid w:val="00A110B9"/>
    <w:rsid w:val="00A1184E"/>
    <w:rsid w:val="00A121F2"/>
    <w:rsid w:val="00A12BD3"/>
    <w:rsid w:val="00A13E62"/>
    <w:rsid w:val="00A14407"/>
    <w:rsid w:val="00A15CBC"/>
    <w:rsid w:val="00A15FC5"/>
    <w:rsid w:val="00A17CE0"/>
    <w:rsid w:val="00A200B2"/>
    <w:rsid w:val="00A205B8"/>
    <w:rsid w:val="00A21067"/>
    <w:rsid w:val="00A214D7"/>
    <w:rsid w:val="00A21700"/>
    <w:rsid w:val="00A229C5"/>
    <w:rsid w:val="00A22F27"/>
    <w:rsid w:val="00A2388A"/>
    <w:rsid w:val="00A23D48"/>
    <w:rsid w:val="00A2583A"/>
    <w:rsid w:val="00A2717B"/>
    <w:rsid w:val="00A27B7F"/>
    <w:rsid w:val="00A301DA"/>
    <w:rsid w:val="00A3061F"/>
    <w:rsid w:val="00A312B0"/>
    <w:rsid w:val="00A314D7"/>
    <w:rsid w:val="00A31557"/>
    <w:rsid w:val="00A318E7"/>
    <w:rsid w:val="00A34F80"/>
    <w:rsid w:val="00A367D7"/>
    <w:rsid w:val="00A37A8B"/>
    <w:rsid w:val="00A4020D"/>
    <w:rsid w:val="00A407ED"/>
    <w:rsid w:val="00A414FF"/>
    <w:rsid w:val="00A42306"/>
    <w:rsid w:val="00A42338"/>
    <w:rsid w:val="00A42FE4"/>
    <w:rsid w:val="00A4305D"/>
    <w:rsid w:val="00A433A5"/>
    <w:rsid w:val="00A447D8"/>
    <w:rsid w:val="00A44E8D"/>
    <w:rsid w:val="00A46EA8"/>
    <w:rsid w:val="00A471E9"/>
    <w:rsid w:val="00A519D4"/>
    <w:rsid w:val="00A51C47"/>
    <w:rsid w:val="00A5266F"/>
    <w:rsid w:val="00A5314F"/>
    <w:rsid w:val="00A535EE"/>
    <w:rsid w:val="00A54CE1"/>
    <w:rsid w:val="00A55ACD"/>
    <w:rsid w:val="00A5769D"/>
    <w:rsid w:val="00A57D49"/>
    <w:rsid w:val="00A607BF"/>
    <w:rsid w:val="00A61753"/>
    <w:rsid w:val="00A62136"/>
    <w:rsid w:val="00A628E6"/>
    <w:rsid w:val="00A62C82"/>
    <w:rsid w:val="00A63342"/>
    <w:rsid w:val="00A63D7B"/>
    <w:rsid w:val="00A63E7B"/>
    <w:rsid w:val="00A64AFC"/>
    <w:rsid w:val="00A66B54"/>
    <w:rsid w:val="00A66BD1"/>
    <w:rsid w:val="00A67A74"/>
    <w:rsid w:val="00A73B18"/>
    <w:rsid w:val="00A768C5"/>
    <w:rsid w:val="00A76D0B"/>
    <w:rsid w:val="00A77316"/>
    <w:rsid w:val="00A82693"/>
    <w:rsid w:val="00A845CB"/>
    <w:rsid w:val="00A8504F"/>
    <w:rsid w:val="00A85460"/>
    <w:rsid w:val="00A85847"/>
    <w:rsid w:val="00A85C66"/>
    <w:rsid w:val="00A85D27"/>
    <w:rsid w:val="00A86928"/>
    <w:rsid w:val="00A86D74"/>
    <w:rsid w:val="00A87D2A"/>
    <w:rsid w:val="00A94A0F"/>
    <w:rsid w:val="00A97A67"/>
    <w:rsid w:val="00AA0120"/>
    <w:rsid w:val="00AA0838"/>
    <w:rsid w:val="00AA1075"/>
    <w:rsid w:val="00AA2B4D"/>
    <w:rsid w:val="00AA38C8"/>
    <w:rsid w:val="00AA3A5C"/>
    <w:rsid w:val="00AA3C61"/>
    <w:rsid w:val="00AA3CCE"/>
    <w:rsid w:val="00AA4620"/>
    <w:rsid w:val="00AA4651"/>
    <w:rsid w:val="00AA6942"/>
    <w:rsid w:val="00AA6AA4"/>
    <w:rsid w:val="00AB1EEF"/>
    <w:rsid w:val="00AB4EBB"/>
    <w:rsid w:val="00AB598B"/>
    <w:rsid w:val="00AB6C47"/>
    <w:rsid w:val="00AB7875"/>
    <w:rsid w:val="00AC001A"/>
    <w:rsid w:val="00AC0F1E"/>
    <w:rsid w:val="00AC1790"/>
    <w:rsid w:val="00AC1B0D"/>
    <w:rsid w:val="00AC30BD"/>
    <w:rsid w:val="00AC30D6"/>
    <w:rsid w:val="00AC375C"/>
    <w:rsid w:val="00AC42F5"/>
    <w:rsid w:val="00AC453E"/>
    <w:rsid w:val="00AC68EE"/>
    <w:rsid w:val="00AC6A5B"/>
    <w:rsid w:val="00AC6F5B"/>
    <w:rsid w:val="00AC75CD"/>
    <w:rsid w:val="00AC7EB9"/>
    <w:rsid w:val="00AD0B6E"/>
    <w:rsid w:val="00AD1AC3"/>
    <w:rsid w:val="00AD2A01"/>
    <w:rsid w:val="00AD2DCA"/>
    <w:rsid w:val="00AD4689"/>
    <w:rsid w:val="00AD4ABD"/>
    <w:rsid w:val="00AD6529"/>
    <w:rsid w:val="00AD6675"/>
    <w:rsid w:val="00AE0A58"/>
    <w:rsid w:val="00AE1CE6"/>
    <w:rsid w:val="00AE3817"/>
    <w:rsid w:val="00AE39F6"/>
    <w:rsid w:val="00AE3D4F"/>
    <w:rsid w:val="00AE511B"/>
    <w:rsid w:val="00AE59D2"/>
    <w:rsid w:val="00AE5A24"/>
    <w:rsid w:val="00AE5FE3"/>
    <w:rsid w:val="00AE7D35"/>
    <w:rsid w:val="00AF0B8D"/>
    <w:rsid w:val="00AF2D78"/>
    <w:rsid w:val="00AF39D6"/>
    <w:rsid w:val="00AF3A30"/>
    <w:rsid w:val="00AF6C3F"/>
    <w:rsid w:val="00B00381"/>
    <w:rsid w:val="00B00FCC"/>
    <w:rsid w:val="00B01E75"/>
    <w:rsid w:val="00B01F7E"/>
    <w:rsid w:val="00B03681"/>
    <w:rsid w:val="00B05741"/>
    <w:rsid w:val="00B05A71"/>
    <w:rsid w:val="00B05C05"/>
    <w:rsid w:val="00B05C72"/>
    <w:rsid w:val="00B06264"/>
    <w:rsid w:val="00B1092A"/>
    <w:rsid w:val="00B10B47"/>
    <w:rsid w:val="00B10B94"/>
    <w:rsid w:val="00B11F00"/>
    <w:rsid w:val="00B1249E"/>
    <w:rsid w:val="00B12B98"/>
    <w:rsid w:val="00B12FE6"/>
    <w:rsid w:val="00B13A72"/>
    <w:rsid w:val="00B152DC"/>
    <w:rsid w:val="00B156CC"/>
    <w:rsid w:val="00B16BFB"/>
    <w:rsid w:val="00B16C2A"/>
    <w:rsid w:val="00B16F8A"/>
    <w:rsid w:val="00B201A0"/>
    <w:rsid w:val="00B20E42"/>
    <w:rsid w:val="00B210B3"/>
    <w:rsid w:val="00B218AF"/>
    <w:rsid w:val="00B21DB6"/>
    <w:rsid w:val="00B221EA"/>
    <w:rsid w:val="00B23286"/>
    <w:rsid w:val="00B26B1E"/>
    <w:rsid w:val="00B2713E"/>
    <w:rsid w:val="00B305E3"/>
    <w:rsid w:val="00B3087D"/>
    <w:rsid w:val="00B323A5"/>
    <w:rsid w:val="00B324D6"/>
    <w:rsid w:val="00B325F4"/>
    <w:rsid w:val="00B32C0B"/>
    <w:rsid w:val="00B32FD1"/>
    <w:rsid w:val="00B336B3"/>
    <w:rsid w:val="00B33821"/>
    <w:rsid w:val="00B34794"/>
    <w:rsid w:val="00B35BEF"/>
    <w:rsid w:val="00B36AD8"/>
    <w:rsid w:val="00B40A2A"/>
    <w:rsid w:val="00B4101F"/>
    <w:rsid w:val="00B4186F"/>
    <w:rsid w:val="00B429B9"/>
    <w:rsid w:val="00B42C23"/>
    <w:rsid w:val="00B4473A"/>
    <w:rsid w:val="00B44D4A"/>
    <w:rsid w:val="00B44F58"/>
    <w:rsid w:val="00B45CB9"/>
    <w:rsid w:val="00B45D9C"/>
    <w:rsid w:val="00B469F3"/>
    <w:rsid w:val="00B508E4"/>
    <w:rsid w:val="00B50D28"/>
    <w:rsid w:val="00B5340F"/>
    <w:rsid w:val="00B53A99"/>
    <w:rsid w:val="00B53BDF"/>
    <w:rsid w:val="00B56DC6"/>
    <w:rsid w:val="00B57616"/>
    <w:rsid w:val="00B57B62"/>
    <w:rsid w:val="00B57EB3"/>
    <w:rsid w:val="00B60421"/>
    <w:rsid w:val="00B60458"/>
    <w:rsid w:val="00B60710"/>
    <w:rsid w:val="00B614D6"/>
    <w:rsid w:val="00B620BF"/>
    <w:rsid w:val="00B62D86"/>
    <w:rsid w:val="00B63783"/>
    <w:rsid w:val="00B64409"/>
    <w:rsid w:val="00B64ABE"/>
    <w:rsid w:val="00B65D9C"/>
    <w:rsid w:val="00B67827"/>
    <w:rsid w:val="00B705FA"/>
    <w:rsid w:val="00B7413D"/>
    <w:rsid w:val="00B745C6"/>
    <w:rsid w:val="00B746FC"/>
    <w:rsid w:val="00B748A3"/>
    <w:rsid w:val="00B74954"/>
    <w:rsid w:val="00B7666A"/>
    <w:rsid w:val="00B76E71"/>
    <w:rsid w:val="00B777E3"/>
    <w:rsid w:val="00B80875"/>
    <w:rsid w:val="00B81EB6"/>
    <w:rsid w:val="00B82EA3"/>
    <w:rsid w:val="00B8387C"/>
    <w:rsid w:val="00B84B45"/>
    <w:rsid w:val="00B84DE7"/>
    <w:rsid w:val="00B86A6E"/>
    <w:rsid w:val="00B8757C"/>
    <w:rsid w:val="00B87B30"/>
    <w:rsid w:val="00B90B8B"/>
    <w:rsid w:val="00B90C35"/>
    <w:rsid w:val="00B90E3A"/>
    <w:rsid w:val="00B934ED"/>
    <w:rsid w:val="00B9397F"/>
    <w:rsid w:val="00B94B36"/>
    <w:rsid w:val="00B951F4"/>
    <w:rsid w:val="00B97277"/>
    <w:rsid w:val="00BA0A4D"/>
    <w:rsid w:val="00BA116C"/>
    <w:rsid w:val="00BA230E"/>
    <w:rsid w:val="00BA3533"/>
    <w:rsid w:val="00BA4068"/>
    <w:rsid w:val="00BA5701"/>
    <w:rsid w:val="00BA5C78"/>
    <w:rsid w:val="00BA6BB2"/>
    <w:rsid w:val="00BA6D5E"/>
    <w:rsid w:val="00BA747C"/>
    <w:rsid w:val="00BB0243"/>
    <w:rsid w:val="00BB1053"/>
    <w:rsid w:val="00BB2347"/>
    <w:rsid w:val="00BB2364"/>
    <w:rsid w:val="00BB33F3"/>
    <w:rsid w:val="00BB36DC"/>
    <w:rsid w:val="00BB3AA4"/>
    <w:rsid w:val="00BB457A"/>
    <w:rsid w:val="00BB53F5"/>
    <w:rsid w:val="00BB5F5E"/>
    <w:rsid w:val="00BB7019"/>
    <w:rsid w:val="00BB7742"/>
    <w:rsid w:val="00BC00F1"/>
    <w:rsid w:val="00BC194E"/>
    <w:rsid w:val="00BC2307"/>
    <w:rsid w:val="00BC25F6"/>
    <w:rsid w:val="00BC2F3A"/>
    <w:rsid w:val="00BC5789"/>
    <w:rsid w:val="00BC5A83"/>
    <w:rsid w:val="00BC6E2D"/>
    <w:rsid w:val="00BD019C"/>
    <w:rsid w:val="00BD02A2"/>
    <w:rsid w:val="00BD0934"/>
    <w:rsid w:val="00BD27E6"/>
    <w:rsid w:val="00BD4FCE"/>
    <w:rsid w:val="00BD5177"/>
    <w:rsid w:val="00BD618A"/>
    <w:rsid w:val="00BD627A"/>
    <w:rsid w:val="00BD6CDA"/>
    <w:rsid w:val="00BE046B"/>
    <w:rsid w:val="00BE0BC5"/>
    <w:rsid w:val="00BE16FE"/>
    <w:rsid w:val="00BE2DCA"/>
    <w:rsid w:val="00BE531D"/>
    <w:rsid w:val="00BE535B"/>
    <w:rsid w:val="00BE5F31"/>
    <w:rsid w:val="00BE748E"/>
    <w:rsid w:val="00BE75EF"/>
    <w:rsid w:val="00BF078A"/>
    <w:rsid w:val="00BF0A85"/>
    <w:rsid w:val="00BF1887"/>
    <w:rsid w:val="00BF2043"/>
    <w:rsid w:val="00BF31F9"/>
    <w:rsid w:val="00BF3DC4"/>
    <w:rsid w:val="00BF4A92"/>
    <w:rsid w:val="00BF6882"/>
    <w:rsid w:val="00BF6B51"/>
    <w:rsid w:val="00C00E2A"/>
    <w:rsid w:val="00C0102B"/>
    <w:rsid w:val="00C01338"/>
    <w:rsid w:val="00C014DC"/>
    <w:rsid w:val="00C01C8C"/>
    <w:rsid w:val="00C02177"/>
    <w:rsid w:val="00C022D1"/>
    <w:rsid w:val="00C03D9E"/>
    <w:rsid w:val="00C04541"/>
    <w:rsid w:val="00C0458B"/>
    <w:rsid w:val="00C07E88"/>
    <w:rsid w:val="00C10918"/>
    <w:rsid w:val="00C10B5F"/>
    <w:rsid w:val="00C1117B"/>
    <w:rsid w:val="00C118D1"/>
    <w:rsid w:val="00C11ADB"/>
    <w:rsid w:val="00C15243"/>
    <w:rsid w:val="00C15485"/>
    <w:rsid w:val="00C15E30"/>
    <w:rsid w:val="00C15EDB"/>
    <w:rsid w:val="00C164F6"/>
    <w:rsid w:val="00C16B24"/>
    <w:rsid w:val="00C16FA3"/>
    <w:rsid w:val="00C173F3"/>
    <w:rsid w:val="00C2109A"/>
    <w:rsid w:val="00C211CB"/>
    <w:rsid w:val="00C2165F"/>
    <w:rsid w:val="00C22FA6"/>
    <w:rsid w:val="00C23DEF"/>
    <w:rsid w:val="00C2443C"/>
    <w:rsid w:val="00C25464"/>
    <w:rsid w:val="00C3011B"/>
    <w:rsid w:val="00C3015B"/>
    <w:rsid w:val="00C322EE"/>
    <w:rsid w:val="00C32425"/>
    <w:rsid w:val="00C32E51"/>
    <w:rsid w:val="00C35EFE"/>
    <w:rsid w:val="00C36241"/>
    <w:rsid w:val="00C369FD"/>
    <w:rsid w:val="00C36FA0"/>
    <w:rsid w:val="00C41B68"/>
    <w:rsid w:val="00C431E1"/>
    <w:rsid w:val="00C43AF2"/>
    <w:rsid w:val="00C44090"/>
    <w:rsid w:val="00C461B4"/>
    <w:rsid w:val="00C4658A"/>
    <w:rsid w:val="00C468C3"/>
    <w:rsid w:val="00C4732D"/>
    <w:rsid w:val="00C47545"/>
    <w:rsid w:val="00C51556"/>
    <w:rsid w:val="00C51979"/>
    <w:rsid w:val="00C5215C"/>
    <w:rsid w:val="00C533AE"/>
    <w:rsid w:val="00C54C2E"/>
    <w:rsid w:val="00C55B3C"/>
    <w:rsid w:val="00C5646B"/>
    <w:rsid w:val="00C5670D"/>
    <w:rsid w:val="00C5672F"/>
    <w:rsid w:val="00C57F57"/>
    <w:rsid w:val="00C603A1"/>
    <w:rsid w:val="00C60681"/>
    <w:rsid w:val="00C615FD"/>
    <w:rsid w:val="00C61C28"/>
    <w:rsid w:val="00C62365"/>
    <w:rsid w:val="00C639C6"/>
    <w:rsid w:val="00C63C37"/>
    <w:rsid w:val="00C647B8"/>
    <w:rsid w:val="00C64EF0"/>
    <w:rsid w:val="00C66043"/>
    <w:rsid w:val="00C66178"/>
    <w:rsid w:val="00C66746"/>
    <w:rsid w:val="00C7008D"/>
    <w:rsid w:val="00C706C2"/>
    <w:rsid w:val="00C7128F"/>
    <w:rsid w:val="00C715EA"/>
    <w:rsid w:val="00C71CCE"/>
    <w:rsid w:val="00C7310A"/>
    <w:rsid w:val="00C768DB"/>
    <w:rsid w:val="00C768DD"/>
    <w:rsid w:val="00C77105"/>
    <w:rsid w:val="00C77597"/>
    <w:rsid w:val="00C80153"/>
    <w:rsid w:val="00C80496"/>
    <w:rsid w:val="00C8069B"/>
    <w:rsid w:val="00C809A7"/>
    <w:rsid w:val="00C81BB3"/>
    <w:rsid w:val="00C82C2F"/>
    <w:rsid w:val="00C82E0C"/>
    <w:rsid w:val="00C83016"/>
    <w:rsid w:val="00C8377A"/>
    <w:rsid w:val="00C843A7"/>
    <w:rsid w:val="00C848E2"/>
    <w:rsid w:val="00C85613"/>
    <w:rsid w:val="00C8565D"/>
    <w:rsid w:val="00C878D5"/>
    <w:rsid w:val="00C90163"/>
    <w:rsid w:val="00C9033B"/>
    <w:rsid w:val="00C90902"/>
    <w:rsid w:val="00C913A1"/>
    <w:rsid w:val="00C914EB"/>
    <w:rsid w:val="00C92750"/>
    <w:rsid w:val="00C928B2"/>
    <w:rsid w:val="00C962AE"/>
    <w:rsid w:val="00C96596"/>
    <w:rsid w:val="00CA06EA"/>
    <w:rsid w:val="00CA14BF"/>
    <w:rsid w:val="00CA18E6"/>
    <w:rsid w:val="00CA1E68"/>
    <w:rsid w:val="00CA1FF2"/>
    <w:rsid w:val="00CA23A7"/>
    <w:rsid w:val="00CA2B18"/>
    <w:rsid w:val="00CA2BE2"/>
    <w:rsid w:val="00CA2E86"/>
    <w:rsid w:val="00CA3588"/>
    <w:rsid w:val="00CA3EFC"/>
    <w:rsid w:val="00CA5D41"/>
    <w:rsid w:val="00CA6506"/>
    <w:rsid w:val="00CA7B83"/>
    <w:rsid w:val="00CB063E"/>
    <w:rsid w:val="00CB0E14"/>
    <w:rsid w:val="00CB1A3D"/>
    <w:rsid w:val="00CB1DF6"/>
    <w:rsid w:val="00CB2F96"/>
    <w:rsid w:val="00CB4BE7"/>
    <w:rsid w:val="00CB5DA7"/>
    <w:rsid w:val="00CB6CEE"/>
    <w:rsid w:val="00CB783F"/>
    <w:rsid w:val="00CB7957"/>
    <w:rsid w:val="00CC435C"/>
    <w:rsid w:val="00CC444A"/>
    <w:rsid w:val="00CC4BD1"/>
    <w:rsid w:val="00CC6A99"/>
    <w:rsid w:val="00CD0B1D"/>
    <w:rsid w:val="00CD10EA"/>
    <w:rsid w:val="00CD1CF9"/>
    <w:rsid w:val="00CD2C90"/>
    <w:rsid w:val="00CD4E05"/>
    <w:rsid w:val="00CD4E38"/>
    <w:rsid w:val="00CD6450"/>
    <w:rsid w:val="00CD7461"/>
    <w:rsid w:val="00CD7E26"/>
    <w:rsid w:val="00CE1784"/>
    <w:rsid w:val="00CE1EE2"/>
    <w:rsid w:val="00CE1FD0"/>
    <w:rsid w:val="00CE2B71"/>
    <w:rsid w:val="00CE4D13"/>
    <w:rsid w:val="00CE56D5"/>
    <w:rsid w:val="00CE5F57"/>
    <w:rsid w:val="00CE718F"/>
    <w:rsid w:val="00CE7E82"/>
    <w:rsid w:val="00CF0F4E"/>
    <w:rsid w:val="00CF17DB"/>
    <w:rsid w:val="00CF24B8"/>
    <w:rsid w:val="00CF2E6A"/>
    <w:rsid w:val="00CF3B21"/>
    <w:rsid w:val="00CF4824"/>
    <w:rsid w:val="00CF4EA7"/>
    <w:rsid w:val="00CF5696"/>
    <w:rsid w:val="00CF5E83"/>
    <w:rsid w:val="00CF72C0"/>
    <w:rsid w:val="00D00AA3"/>
    <w:rsid w:val="00D0124D"/>
    <w:rsid w:val="00D0270B"/>
    <w:rsid w:val="00D03305"/>
    <w:rsid w:val="00D0504E"/>
    <w:rsid w:val="00D05385"/>
    <w:rsid w:val="00D056E1"/>
    <w:rsid w:val="00D0636D"/>
    <w:rsid w:val="00D07F73"/>
    <w:rsid w:val="00D14844"/>
    <w:rsid w:val="00D14CDE"/>
    <w:rsid w:val="00D15421"/>
    <w:rsid w:val="00D15EA0"/>
    <w:rsid w:val="00D16C2D"/>
    <w:rsid w:val="00D2041C"/>
    <w:rsid w:val="00D21742"/>
    <w:rsid w:val="00D217C0"/>
    <w:rsid w:val="00D21FD8"/>
    <w:rsid w:val="00D23347"/>
    <w:rsid w:val="00D245D8"/>
    <w:rsid w:val="00D24604"/>
    <w:rsid w:val="00D24787"/>
    <w:rsid w:val="00D24A81"/>
    <w:rsid w:val="00D2568B"/>
    <w:rsid w:val="00D25ADE"/>
    <w:rsid w:val="00D2644C"/>
    <w:rsid w:val="00D26A4F"/>
    <w:rsid w:val="00D274E1"/>
    <w:rsid w:val="00D27DDC"/>
    <w:rsid w:val="00D30D20"/>
    <w:rsid w:val="00D3119E"/>
    <w:rsid w:val="00D3145F"/>
    <w:rsid w:val="00D3160F"/>
    <w:rsid w:val="00D31C72"/>
    <w:rsid w:val="00D332BA"/>
    <w:rsid w:val="00D34505"/>
    <w:rsid w:val="00D34B80"/>
    <w:rsid w:val="00D35729"/>
    <w:rsid w:val="00D358A4"/>
    <w:rsid w:val="00D36010"/>
    <w:rsid w:val="00D375E3"/>
    <w:rsid w:val="00D41184"/>
    <w:rsid w:val="00D42E1A"/>
    <w:rsid w:val="00D43297"/>
    <w:rsid w:val="00D4472D"/>
    <w:rsid w:val="00D44DB6"/>
    <w:rsid w:val="00D45A97"/>
    <w:rsid w:val="00D45F2D"/>
    <w:rsid w:val="00D460CD"/>
    <w:rsid w:val="00D4646A"/>
    <w:rsid w:val="00D46A0C"/>
    <w:rsid w:val="00D474E4"/>
    <w:rsid w:val="00D47A21"/>
    <w:rsid w:val="00D47CB0"/>
    <w:rsid w:val="00D47DE3"/>
    <w:rsid w:val="00D50119"/>
    <w:rsid w:val="00D51023"/>
    <w:rsid w:val="00D535F6"/>
    <w:rsid w:val="00D53A7A"/>
    <w:rsid w:val="00D56F2E"/>
    <w:rsid w:val="00D57C8F"/>
    <w:rsid w:val="00D57E3A"/>
    <w:rsid w:val="00D606F5"/>
    <w:rsid w:val="00D624B9"/>
    <w:rsid w:val="00D62D6D"/>
    <w:rsid w:val="00D64A6A"/>
    <w:rsid w:val="00D656EC"/>
    <w:rsid w:val="00D66A83"/>
    <w:rsid w:val="00D72784"/>
    <w:rsid w:val="00D72F9E"/>
    <w:rsid w:val="00D738EF"/>
    <w:rsid w:val="00D73AB2"/>
    <w:rsid w:val="00D73C6A"/>
    <w:rsid w:val="00D74174"/>
    <w:rsid w:val="00D754AF"/>
    <w:rsid w:val="00D76953"/>
    <w:rsid w:val="00D76EFD"/>
    <w:rsid w:val="00D80486"/>
    <w:rsid w:val="00D812C7"/>
    <w:rsid w:val="00D82642"/>
    <w:rsid w:val="00D82A43"/>
    <w:rsid w:val="00D82C2C"/>
    <w:rsid w:val="00D8546E"/>
    <w:rsid w:val="00D86EEC"/>
    <w:rsid w:val="00D86F19"/>
    <w:rsid w:val="00D87B40"/>
    <w:rsid w:val="00D90BAD"/>
    <w:rsid w:val="00D90BF8"/>
    <w:rsid w:val="00D91467"/>
    <w:rsid w:val="00D91881"/>
    <w:rsid w:val="00D921AF"/>
    <w:rsid w:val="00D92CF2"/>
    <w:rsid w:val="00D92D32"/>
    <w:rsid w:val="00D92FE7"/>
    <w:rsid w:val="00D94074"/>
    <w:rsid w:val="00D959E7"/>
    <w:rsid w:val="00D95FC2"/>
    <w:rsid w:val="00D9691D"/>
    <w:rsid w:val="00D96FD1"/>
    <w:rsid w:val="00DA006C"/>
    <w:rsid w:val="00DA006F"/>
    <w:rsid w:val="00DA16FC"/>
    <w:rsid w:val="00DA1AEA"/>
    <w:rsid w:val="00DA3E6B"/>
    <w:rsid w:val="00DA58DB"/>
    <w:rsid w:val="00DA7B5D"/>
    <w:rsid w:val="00DB0DCA"/>
    <w:rsid w:val="00DB1166"/>
    <w:rsid w:val="00DB1B5C"/>
    <w:rsid w:val="00DB1BBB"/>
    <w:rsid w:val="00DB269E"/>
    <w:rsid w:val="00DB28E0"/>
    <w:rsid w:val="00DB43E0"/>
    <w:rsid w:val="00DB441D"/>
    <w:rsid w:val="00DB5AB6"/>
    <w:rsid w:val="00DB6C53"/>
    <w:rsid w:val="00DB7781"/>
    <w:rsid w:val="00DB78CE"/>
    <w:rsid w:val="00DB7BD7"/>
    <w:rsid w:val="00DB7D65"/>
    <w:rsid w:val="00DC0257"/>
    <w:rsid w:val="00DC0916"/>
    <w:rsid w:val="00DC4686"/>
    <w:rsid w:val="00DC58E8"/>
    <w:rsid w:val="00DC5CC4"/>
    <w:rsid w:val="00DC5EA7"/>
    <w:rsid w:val="00DC6431"/>
    <w:rsid w:val="00DC6494"/>
    <w:rsid w:val="00DC670A"/>
    <w:rsid w:val="00DC769A"/>
    <w:rsid w:val="00DC7B4D"/>
    <w:rsid w:val="00DD283A"/>
    <w:rsid w:val="00DD350B"/>
    <w:rsid w:val="00DD4885"/>
    <w:rsid w:val="00DD5555"/>
    <w:rsid w:val="00DD6460"/>
    <w:rsid w:val="00DE2150"/>
    <w:rsid w:val="00DE2236"/>
    <w:rsid w:val="00DE46A8"/>
    <w:rsid w:val="00DE6438"/>
    <w:rsid w:val="00DE70B9"/>
    <w:rsid w:val="00DE7DCA"/>
    <w:rsid w:val="00DF11D9"/>
    <w:rsid w:val="00DF2170"/>
    <w:rsid w:val="00DF2351"/>
    <w:rsid w:val="00DF311D"/>
    <w:rsid w:val="00DF370C"/>
    <w:rsid w:val="00DF41B4"/>
    <w:rsid w:val="00DF4CA5"/>
    <w:rsid w:val="00DF58E7"/>
    <w:rsid w:val="00DF5AE0"/>
    <w:rsid w:val="00DF5C5E"/>
    <w:rsid w:val="00E00605"/>
    <w:rsid w:val="00E014D8"/>
    <w:rsid w:val="00E0294C"/>
    <w:rsid w:val="00E02ACC"/>
    <w:rsid w:val="00E02DEE"/>
    <w:rsid w:val="00E0329B"/>
    <w:rsid w:val="00E03317"/>
    <w:rsid w:val="00E04A58"/>
    <w:rsid w:val="00E05BE9"/>
    <w:rsid w:val="00E06171"/>
    <w:rsid w:val="00E07336"/>
    <w:rsid w:val="00E073A5"/>
    <w:rsid w:val="00E1067F"/>
    <w:rsid w:val="00E10E77"/>
    <w:rsid w:val="00E11237"/>
    <w:rsid w:val="00E11876"/>
    <w:rsid w:val="00E1248B"/>
    <w:rsid w:val="00E12FED"/>
    <w:rsid w:val="00E13355"/>
    <w:rsid w:val="00E13442"/>
    <w:rsid w:val="00E13BB9"/>
    <w:rsid w:val="00E14117"/>
    <w:rsid w:val="00E14341"/>
    <w:rsid w:val="00E156B7"/>
    <w:rsid w:val="00E211D9"/>
    <w:rsid w:val="00E218DC"/>
    <w:rsid w:val="00E22EF0"/>
    <w:rsid w:val="00E23696"/>
    <w:rsid w:val="00E23CBB"/>
    <w:rsid w:val="00E25E41"/>
    <w:rsid w:val="00E30341"/>
    <w:rsid w:val="00E30F66"/>
    <w:rsid w:val="00E31427"/>
    <w:rsid w:val="00E31A2F"/>
    <w:rsid w:val="00E3258D"/>
    <w:rsid w:val="00E33211"/>
    <w:rsid w:val="00E34094"/>
    <w:rsid w:val="00E352F4"/>
    <w:rsid w:val="00E3601F"/>
    <w:rsid w:val="00E37B59"/>
    <w:rsid w:val="00E40165"/>
    <w:rsid w:val="00E415FB"/>
    <w:rsid w:val="00E4206A"/>
    <w:rsid w:val="00E44D72"/>
    <w:rsid w:val="00E467E8"/>
    <w:rsid w:val="00E468A5"/>
    <w:rsid w:val="00E46A93"/>
    <w:rsid w:val="00E477DC"/>
    <w:rsid w:val="00E47B74"/>
    <w:rsid w:val="00E47D43"/>
    <w:rsid w:val="00E47FF5"/>
    <w:rsid w:val="00E50402"/>
    <w:rsid w:val="00E53438"/>
    <w:rsid w:val="00E55E00"/>
    <w:rsid w:val="00E55E24"/>
    <w:rsid w:val="00E5632D"/>
    <w:rsid w:val="00E56E74"/>
    <w:rsid w:val="00E56FFE"/>
    <w:rsid w:val="00E5715F"/>
    <w:rsid w:val="00E57978"/>
    <w:rsid w:val="00E6058E"/>
    <w:rsid w:val="00E62437"/>
    <w:rsid w:val="00E63AB4"/>
    <w:rsid w:val="00E6405E"/>
    <w:rsid w:val="00E65C02"/>
    <w:rsid w:val="00E66FAF"/>
    <w:rsid w:val="00E67E27"/>
    <w:rsid w:val="00E706E7"/>
    <w:rsid w:val="00E71081"/>
    <w:rsid w:val="00E725FC"/>
    <w:rsid w:val="00E73A16"/>
    <w:rsid w:val="00E75B16"/>
    <w:rsid w:val="00E76956"/>
    <w:rsid w:val="00E76D40"/>
    <w:rsid w:val="00E77679"/>
    <w:rsid w:val="00E80C00"/>
    <w:rsid w:val="00E80C65"/>
    <w:rsid w:val="00E81B67"/>
    <w:rsid w:val="00E82934"/>
    <w:rsid w:val="00E83607"/>
    <w:rsid w:val="00E84AC5"/>
    <w:rsid w:val="00E84CCA"/>
    <w:rsid w:val="00E8574F"/>
    <w:rsid w:val="00E8665B"/>
    <w:rsid w:val="00E87B5B"/>
    <w:rsid w:val="00E90A8E"/>
    <w:rsid w:val="00E90B41"/>
    <w:rsid w:val="00E92072"/>
    <w:rsid w:val="00E92380"/>
    <w:rsid w:val="00E9327A"/>
    <w:rsid w:val="00E937A9"/>
    <w:rsid w:val="00E93B15"/>
    <w:rsid w:val="00E94029"/>
    <w:rsid w:val="00E95C7E"/>
    <w:rsid w:val="00E96321"/>
    <w:rsid w:val="00EA1664"/>
    <w:rsid w:val="00EA18B8"/>
    <w:rsid w:val="00EA1A66"/>
    <w:rsid w:val="00EA1E21"/>
    <w:rsid w:val="00EA299F"/>
    <w:rsid w:val="00EA2EB3"/>
    <w:rsid w:val="00EA36C6"/>
    <w:rsid w:val="00EA3C6B"/>
    <w:rsid w:val="00EA3DA7"/>
    <w:rsid w:val="00EA4730"/>
    <w:rsid w:val="00EA4BFB"/>
    <w:rsid w:val="00EA4E2D"/>
    <w:rsid w:val="00EA4EB2"/>
    <w:rsid w:val="00EA52B1"/>
    <w:rsid w:val="00EA52BD"/>
    <w:rsid w:val="00EA7C16"/>
    <w:rsid w:val="00EB151E"/>
    <w:rsid w:val="00EB4325"/>
    <w:rsid w:val="00EB4708"/>
    <w:rsid w:val="00EB618A"/>
    <w:rsid w:val="00EB63C8"/>
    <w:rsid w:val="00EC084F"/>
    <w:rsid w:val="00EC0D20"/>
    <w:rsid w:val="00EC1ED5"/>
    <w:rsid w:val="00EC28AB"/>
    <w:rsid w:val="00EC2D6B"/>
    <w:rsid w:val="00EC30F9"/>
    <w:rsid w:val="00EC338D"/>
    <w:rsid w:val="00EC3A20"/>
    <w:rsid w:val="00EC4235"/>
    <w:rsid w:val="00EC4A40"/>
    <w:rsid w:val="00EC4D29"/>
    <w:rsid w:val="00EC5C1D"/>
    <w:rsid w:val="00EC6F24"/>
    <w:rsid w:val="00ED004D"/>
    <w:rsid w:val="00ED06E6"/>
    <w:rsid w:val="00ED0930"/>
    <w:rsid w:val="00ED251C"/>
    <w:rsid w:val="00ED269E"/>
    <w:rsid w:val="00ED3FEF"/>
    <w:rsid w:val="00ED400C"/>
    <w:rsid w:val="00ED52A4"/>
    <w:rsid w:val="00ED5725"/>
    <w:rsid w:val="00ED574B"/>
    <w:rsid w:val="00ED58EB"/>
    <w:rsid w:val="00ED59E7"/>
    <w:rsid w:val="00ED6185"/>
    <w:rsid w:val="00ED63EC"/>
    <w:rsid w:val="00ED7031"/>
    <w:rsid w:val="00ED7A03"/>
    <w:rsid w:val="00EE107E"/>
    <w:rsid w:val="00EE109B"/>
    <w:rsid w:val="00EE3060"/>
    <w:rsid w:val="00EE4049"/>
    <w:rsid w:val="00EE4315"/>
    <w:rsid w:val="00EE6FD4"/>
    <w:rsid w:val="00EE7210"/>
    <w:rsid w:val="00EE7867"/>
    <w:rsid w:val="00EF154C"/>
    <w:rsid w:val="00EF52E6"/>
    <w:rsid w:val="00EF6925"/>
    <w:rsid w:val="00EF6CC4"/>
    <w:rsid w:val="00F0079A"/>
    <w:rsid w:val="00F03291"/>
    <w:rsid w:val="00F03AF6"/>
    <w:rsid w:val="00F03EFD"/>
    <w:rsid w:val="00F044FE"/>
    <w:rsid w:val="00F045FA"/>
    <w:rsid w:val="00F04C06"/>
    <w:rsid w:val="00F052CC"/>
    <w:rsid w:val="00F05B8A"/>
    <w:rsid w:val="00F074D3"/>
    <w:rsid w:val="00F10CD3"/>
    <w:rsid w:val="00F11758"/>
    <w:rsid w:val="00F12118"/>
    <w:rsid w:val="00F12479"/>
    <w:rsid w:val="00F14556"/>
    <w:rsid w:val="00F14B8D"/>
    <w:rsid w:val="00F16E22"/>
    <w:rsid w:val="00F20095"/>
    <w:rsid w:val="00F20422"/>
    <w:rsid w:val="00F2140F"/>
    <w:rsid w:val="00F226E4"/>
    <w:rsid w:val="00F22DAD"/>
    <w:rsid w:val="00F22FDF"/>
    <w:rsid w:val="00F24E26"/>
    <w:rsid w:val="00F250BE"/>
    <w:rsid w:val="00F26ED3"/>
    <w:rsid w:val="00F31E3E"/>
    <w:rsid w:val="00F32822"/>
    <w:rsid w:val="00F3315E"/>
    <w:rsid w:val="00F34C4D"/>
    <w:rsid w:val="00F35AE9"/>
    <w:rsid w:val="00F369EC"/>
    <w:rsid w:val="00F40ECE"/>
    <w:rsid w:val="00F412EF"/>
    <w:rsid w:val="00F4172D"/>
    <w:rsid w:val="00F418D3"/>
    <w:rsid w:val="00F41CBB"/>
    <w:rsid w:val="00F42705"/>
    <w:rsid w:val="00F43ECB"/>
    <w:rsid w:val="00F442A9"/>
    <w:rsid w:val="00F4537C"/>
    <w:rsid w:val="00F45732"/>
    <w:rsid w:val="00F47B98"/>
    <w:rsid w:val="00F50FF1"/>
    <w:rsid w:val="00F51E34"/>
    <w:rsid w:val="00F530F7"/>
    <w:rsid w:val="00F544FE"/>
    <w:rsid w:val="00F54EE7"/>
    <w:rsid w:val="00F552F5"/>
    <w:rsid w:val="00F55470"/>
    <w:rsid w:val="00F5606D"/>
    <w:rsid w:val="00F5614D"/>
    <w:rsid w:val="00F568EB"/>
    <w:rsid w:val="00F57490"/>
    <w:rsid w:val="00F621F9"/>
    <w:rsid w:val="00F62430"/>
    <w:rsid w:val="00F62735"/>
    <w:rsid w:val="00F629FE"/>
    <w:rsid w:val="00F62B7A"/>
    <w:rsid w:val="00F631A6"/>
    <w:rsid w:val="00F6350F"/>
    <w:rsid w:val="00F63638"/>
    <w:rsid w:val="00F6397D"/>
    <w:rsid w:val="00F63B52"/>
    <w:rsid w:val="00F65770"/>
    <w:rsid w:val="00F6629A"/>
    <w:rsid w:val="00F667BB"/>
    <w:rsid w:val="00F66C18"/>
    <w:rsid w:val="00F67B7B"/>
    <w:rsid w:val="00F701D6"/>
    <w:rsid w:val="00F709DA"/>
    <w:rsid w:val="00F72176"/>
    <w:rsid w:val="00F7226E"/>
    <w:rsid w:val="00F7293E"/>
    <w:rsid w:val="00F73135"/>
    <w:rsid w:val="00F745B2"/>
    <w:rsid w:val="00F74852"/>
    <w:rsid w:val="00F76650"/>
    <w:rsid w:val="00F76B5D"/>
    <w:rsid w:val="00F7730C"/>
    <w:rsid w:val="00F7779D"/>
    <w:rsid w:val="00F77A96"/>
    <w:rsid w:val="00F8152A"/>
    <w:rsid w:val="00F82ECD"/>
    <w:rsid w:val="00F83159"/>
    <w:rsid w:val="00F8358F"/>
    <w:rsid w:val="00F9040A"/>
    <w:rsid w:val="00F90AA4"/>
    <w:rsid w:val="00F9145E"/>
    <w:rsid w:val="00F91721"/>
    <w:rsid w:val="00F9187B"/>
    <w:rsid w:val="00F91BD7"/>
    <w:rsid w:val="00F92385"/>
    <w:rsid w:val="00F92D6C"/>
    <w:rsid w:val="00F931EA"/>
    <w:rsid w:val="00F93FBF"/>
    <w:rsid w:val="00F94B29"/>
    <w:rsid w:val="00F95725"/>
    <w:rsid w:val="00F95B1D"/>
    <w:rsid w:val="00F970E9"/>
    <w:rsid w:val="00F971A2"/>
    <w:rsid w:val="00F975DE"/>
    <w:rsid w:val="00FA00EE"/>
    <w:rsid w:val="00FA0493"/>
    <w:rsid w:val="00FA1B4F"/>
    <w:rsid w:val="00FA20B9"/>
    <w:rsid w:val="00FA2C11"/>
    <w:rsid w:val="00FA314C"/>
    <w:rsid w:val="00FA3249"/>
    <w:rsid w:val="00FA4A12"/>
    <w:rsid w:val="00FA7FB6"/>
    <w:rsid w:val="00FB0096"/>
    <w:rsid w:val="00FB1373"/>
    <w:rsid w:val="00FB2966"/>
    <w:rsid w:val="00FB3F6E"/>
    <w:rsid w:val="00FB4551"/>
    <w:rsid w:val="00FB45EE"/>
    <w:rsid w:val="00FB4E21"/>
    <w:rsid w:val="00FB5687"/>
    <w:rsid w:val="00FB58AB"/>
    <w:rsid w:val="00FB6341"/>
    <w:rsid w:val="00FB68F9"/>
    <w:rsid w:val="00FB6EE3"/>
    <w:rsid w:val="00FB7DBF"/>
    <w:rsid w:val="00FC1A37"/>
    <w:rsid w:val="00FC28C7"/>
    <w:rsid w:val="00FC47F9"/>
    <w:rsid w:val="00FC4EDA"/>
    <w:rsid w:val="00FC4F63"/>
    <w:rsid w:val="00FC79D4"/>
    <w:rsid w:val="00FC7CE9"/>
    <w:rsid w:val="00FD0224"/>
    <w:rsid w:val="00FD1DCE"/>
    <w:rsid w:val="00FD38F3"/>
    <w:rsid w:val="00FD3D06"/>
    <w:rsid w:val="00FD3DA6"/>
    <w:rsid w:val="00FD3F67"/>
    <w:rsid w:val="00FD4907"/>
    <w:rsid w:val="00FD4B14"/>
    <w:rsid w:val="00FD5592"/>
    <w:rsid w:val="00FD6D7E"/>
    <w:rsid w:val="00FD78B1"/>
    <w:rsid w:val="00FE0183"/>
    <w:rsid w:val="00FE1A5D"/>
    <w:rsid w:val="00FE2351"/>
    <w:rsid w:val="00FE2A83"/>
    <w:rsid w:val="00FE2D37"/>
    <w:rsid w:val="00FE337D"/>
    <w:rsid w:val="00FE5580"/>
    <w:rsid w:val="00FE57D6"/>
    <w:rsid w:val="00FE645D"/>
    <w:rsid w:val="00FE6E29"/>
    <w:rsid w:val="00FE79D7"/>
    <w:rsid w:val="00FE7D8D"/>
    <w:rsid w:val="00FF10F4"/>
    <w:rsid w:val="00FF110C"/>
    <w:rsid w:val="00FF39D4"/>
    <w:rsid w:val="00FF46BA"/>
    <w:rsid w:val="00FF52A1"/>
    <w:rsid w:val="00FF56FA"/>
    <w:rsid w:val="00FF6D31"/>
    <w:rsid w:val="00FF7623"/>
    <w:rsid w:val="605CD472"/>
    <w:rsid w:val="6D39A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5EBA7"/>
  <w15:chartTrackingRefBased/>
  <w15:docId w15:val="{8BC0C695-57DB-4326-A466-FAF69BF012EA}"/>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
      </w:numPr>
      <w:ind w:right="2160"/>
      <w:outlineLvl w:val="1"/>
    </w:pPr>
  </w:style>
  <w:style w:type="paragraph" w:styleId="Heading3">
    <w:name w:val="heading 3"/>
    <w:basedOn w:val="Dummy"/>
    <w:next w:val="Standard"/>
    <w:link w:val="Heading3Char"/>
    <w:uiPriority w:val="4"/>
    <w:qFormat/>
    <w:rsid w:val="000E270A"/>
    <w:pPr>
      <w:numPr>
        <w:ilvl w:val="2"/>
        <w:numId w:val="1"/>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Style 3,o + Times New Roman,Style 58"/>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
      </w:numPr>
      <w:spacing w:after="120" w:line="240" w:lineRule="auto"/>
    </w:pPr>
  </w:style>
  <w:style w:type="paragraph" w:styleId="ListParagraph">
    <w:name w:val="List Paragraph"/>
    <w:basedOn w:val="Normal"/>
    <w:uiPriority w:val="34"/>
    <w:rsid w:val="00F63B52"/>
    <w:pPr>
      <w:ind w:left="720"/>
      <w:contextualSpacing/>
    </w:pPr>
  </w:style>
  <w:style w:type="table" w:customStyle="1" w:styleId="TableGrid1">
    <w:name w:val="Table Grid1"/>
    <w:basedOn w:val="TableNormal"/>
    <w:next w:val="TableGrid"/>
    <w:uiPriority w:val="39"/>
    <w:rsid w:val="00D15EA0"/>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F154C"/>
  </w:style>
  <w:style w:type="character" w:customStyle="1" w:styleId="eop">
    <w:name w:val="eop"/>
    <w:basedOn w:val="DefaultParagraphFont"/>
    <w:rsid w:val="00EF154C"/>
  </w:style>
  <w:style w:type="paragraph" w:styleId="Revision">
    <w:name w:val="Revision"/>
    <w:hidden/>
    <w:uiPriority w:val="99"/>
    <w:semiHidden/>
    <w:rsid w:val="005F2C96"/>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CB6CEE"/>
    <w:rPr>
      <w:sz w:val="16"/>
      <w:szCs w:val="16"/>
    </w:rPr>
  </w:style>
  <w:style w:type="paragraph" w:styleId="CommentText">
    <w:name w:val="annotation text"/>
    <w:basedOn w:val="Normal"/>
    <w:link w:val="CommentTextChar"/>
    <w:uiPriority w:val="99"/>
    <w:unhideWhenUsed/>
    <w:rsid w:val="00CB6CEE"/>
    <w:pPr>
      <w:spacing w:line="240" w:lineRule="auto"/>
    </w:pPr>
    <w:rPr>
      <w:sz w:val="20"/>
      <w:szCs w:val="20"/>
    </w:rPr>
  </w:style>
  <w:style w:type="character" w:customStyle="1" w:styleId="CommentTextChar">
    <w:name w:val="Comment Text Char"/>
    <w:basedOn w:val="DefaultParagraphFont"/>
    <w:link w:val="CommentText"/>
    <w:uiPriority w:val="99"/>
    <w:rsid w:val="00CB6CEE"/>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CB6CEE"/>
    <w:rPr>
      <w:b/>
      <w:bCs/>
    </w:rPr>
  </w:style>
  <w:style w:type="character" w:customStyle="1" w:styleId="CommentSubjectChar">
    <w:name w:val="Comment Subject Char"/>
    <w:basedOn w:val="CommentTextChar"/>
    <w:link w:val="CommentSubject"/>
    <w:uiPriority w:val="99"/>
    <w:semiHidden/>
    <w:rsid w:val="00CB6CEE"/>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docs.cpuc.ca.gov/PublishedDocs/Published/G000/M609/K723/609723761.pdf" TargetMode="External" Id="R8d527ecab5d94a11" /><Relationship Type="http://schemas.openxmlformats.org/officeDocument/2006/relationships/hyperlink" Target="https://docs.cpuc.ca.gov/PublishedDocs/Published/G000/M609/K719/609719221.pdf" TargetMode="External" Id="R5cf48c7f2a164086" /><Relationship Type="http://schemas.openxmlformats.org/officeDocument/2006/relationships/hyperlink" Target="https://docs.cpuc.ca.gov/PublishedDocs/Published/G000/M609/K752/609752303.pdf" TargetMode="External" Id="Rfa41e1f21cf44e78" /><Relationship Type="http://schemas.openxmlformats.org/officeDocument/2006/relationships/hyperlink" Target="https://docs.cpuc.ca.gov/PublishedDocs/Published/G000/M609/K735/609735548.pdf" TargetMode="External" Id="R50b965216d5544e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114c60f-d572-43b4-ba5f-295801837341">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AF06E3DF-A94C-4EEB-A117-20D86A11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75</ap:Pages>
  <ap:Words>14879</ap:Words>
  <ap:Characters>84813</ap:Characters>
  <ap:Application>Microsoft Office Word</ap:Application>
  <ap:DocSecurity>0</ap:DocSecurity>
  <ap:Lines>706</ap:Lines>
  <ap:Paragraphs>198</ap:Paragraphs>
  <ap:ScaleCrop>false</ap:ScaleCrop>
  <ap:Company/>
  <ap:LinksUpToDate>false</ap:LinksUpToDate>
  <ap:CharactersWithSpaces>99494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2026-06-29T11:09:56Z</dcterms:created>
  <dcterms:modified xsi:type="dcterms:W3CDTF">2026-06-29T11:09:56Z</dcterms:modified>
</cp:coreProperties>
</file>