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60D4" w:rsidR="00B60421" w:rsidP="004F122B" w:rsidRDefault="004F122B" w14:paraId="10F14FCC" w14:textId="66C6D643">
      <w:pPr>
        <w:tabs>
          <w:tab w:val="center" w:pos="4680"/>
          <w:tab w:val="right" w:pos="9360"/>
        </w:tabs>
        <w:spacing w:line="240" w:lineRule="auto"/>
        <w:ind w:firstLine="0"/>
        <w:rPr>
          <w:sz w:val="24"/>
          <w:szCs w:val="24"/>
        </w:rPr>
      </w:pPr>
      <w:r>
        <w:t>ALJ</w:t>
      </w:r>
      <w:r w:rsidR="00DA7B5D">
        <w:t>/</w:t>
      </w:r>
      <w:r>
        <w:t>CJA</w:t>
      </w:r>
      <w:r w:rsidR="00DA7B5D">
        <w:t>/</w:t>
      </w:r>
      <w:proofErr w:type="spellStart"/>
      <w:r>
        <w:t>jds</w:t>
      </w:r>
      <w:proofErr w:type="spellEnd"/>
      <w:r w:rsidR="007E0FEE">
        <w:tab/>
      </w:r>
      <w:r w:rsidR="00DA7B5D">
        <w:rPr>
          <w:rFonts w:ascii="Arial" w:hAnsi="Arial" w:cs="Arial"/>
          <w:b/>
          <w:sz w:val="32"/>
          <w:szCs w:val="32"/>
        </w:rPr>
        <w:t>PROPOSED DECISION</w:t>
      </w:r>
      <w:r w:rsidR="00DA7B5D">
        <w:tab/>
      </w:r>
      <w:r w:rsidR="00A86F18">
        <w:t xml:space="preserve"> </w:t>
      </w:r>
      <w:r w:rsidR="00D6367C">
        <w:t xml:space="preserve">    </w:t>
      </w:r>
      <w:r w:rsidRPr="00FA60D4" w:rsidR="00DA7B5D">
        <w:rPr>
          <w:b/>
          <w:sz w:val="24"/>
          <w:szCs w:val="24"/>
        </w:rPr>
        <w:t>Agenda ID #</w:t>
      </w:r>
      <w:proofErr w:type="gramStart"/>
      <w:r w:rsidRPr="00FA60D4" w:rsidR="00A86F18">
        <w:rPr>
          <w:b/>
          <w:sz w:val="24"/>
          <w:szCs w:val="24"/>
        </w:rPr>
        <w:t>24251</w:t>
      </w:r>
      <w:r w:rsidRPr="00FA60D4" w:rsidDel="00A86F18" w:rsidR="00A86F18">
        <w:rPr>
          <w:b/>
          <w:sz w:val="24"/>
          <w:szCs w:val="24"/>
        </w:rPr>
        <w:t xml:space="preserve"> </w:t>
      </w:r>
      <w:r w:rsidRPr="00FA60D4" w:rsidR="00ED430C">
        <w:rPr>
          <w:b/>
          <w:sz w:val="24"/>
          <w:szCs w:val="24"/>
        </w:rPr>
        <w:t xml:space="preserve"> (</w:t>
      </w:r>
      <w:proofErr w:type="gramEnd"/>
      <w:r w:rsidRPr="00FA60D4" w:rsidR="00ED430C">
        <w:rPr>
          <w:b/>
          <w:sz w:val="24"/>
          <w:szCs w:val="24"/>
        </w:rPr>
        <w:t>R</w:t>
      </w:r>
      <w:r w:rsidRPr="00FA60D4" w:rsidR="004E3040">
        <w:rPr>
          <w:b/>
          <w:sz w:val="24"/>
          <w:szCs w:val="24"/>
        </w:rPr>
        <w:t>ev</w:t>
      </w:r>
      <w:r w:rsidRPr="00FA60D4" w:rsidR="00ED430C">
        <w:rPr>
          <w:b/>
          <w:sz w:val="24"/>
          <w:szCs w:val="24"/>
        </w:rPr>
        <w:t>. 1)</w:t>
      </w:r>
    </w:p>
    <w:p w:rsidRPr="00FA60D4" w:rsidR="00DA7B5D" w:rsidP="004F122B" w:rsidRDefault="004F122B" w14:paraId="148F0840" w14:textId="6A36DC44">
      <w:pPr>
        <w:spacing w:line="240" w:lineRule="auto"/>
        <w:jc w:val="right"/>
        <w:rPr>
          <w:b/>
          <w:sz w:val="24"/>
          <w:szCs w:val="24"/>
        </w:rPr>
      </w:pPr>
      <w:r w:rsidRPr="00FA60D4">
        <w:rPr>
          <w:b/>
          <w:sz w:val="24"/>
          <w:szCs w:val="24"/>
        </w:rPr>
        <w:t>Ratesetting</w:t>
      </w:r>
    </w:p>
    <w:p w:rsidRPr="00FA60D4" w:rsidR="00DA7B5D" w:rsidP="00FA60D4" w:rsidRDefault="00A86F18" w14:paraId="4E3C4023" w14:textId="05A126EC">
      <w:pPr>
        <w:spacing w:line="240" w:lineRule="auto"/>
        <w:ind w:firstLine="0"/>
        <w:jc w:val="right"/>
        <w:rPr>
          <w:b/>
          <w:bCs/>
          <w:sz w:val="24"/>
          <w:szCs w:val="24"/>
        </w:rPr>
      </w:pPr>
      <w:r w:rsidRPr="00FA60D4">
        <w:rPr>
          <w:b/>
          <w:bCs/>
          <w:sz w:val="24"/>
          <w:szCs w:val="24"/>
        </w:rPr>
        <w:t>7/02/2026 Item #46</w:t>
      </w:r>
    </w:p>
    <w:p w:rsidR="004F122B" w:rsidP="005F144C" w:rsidRDefault="004F122B" w14:paraId="4243E91D" w14:textId="77777777">
      <w:pPr>
        <w:spacing w:line="240" w:lineRule="auto"/>
        <w:ind w:firstLine="0"/>
      </w:pPr>
    </w:p>
    <w:p w:rsidR="002A5DAE" w:rsidP="005F144C" w:rsidRDefault="002A5DAE" w14:paraId="7EE52B8D" w14:textId="77777777">
      <w:pPr>
        <w:spacing w:line="240" w:lineRule="auto"/>
        <w:ind w:firstLine="0"/>
      </w:pPr>
    </w:p>
    <w:p w:rsidR="005F144C" w:rsidP="005F144C" w:rsidRDefault="005F144C" w14:paraId="5FF942B4" w14:textId="2FBDD0BD">
      <w:pPr>
        <w:spacing w:line="240" w:lineRule="auto"/>
        <w:ind w:firstLine="0"/>
        <w:rPr>
          <w:b/>
        </w:rPr>
      </w:pPr>
      <w:r>
        <w:rPr>
          <w:spacing w:val="-2"/>
        </w:rPr>
        <w:t>Decision</w:t>
      </w:r>
      <w:r>
        <w:rPr>
          <w:spacing w:val="-5"/>
        </w:rPr>
        <w:t xml:space="preserve"> </w:t>
      </w:r>
      <w:r>
        <w:rPr>
          <w:b/>
          <w:spacing w:val="-2"/>
          <w:u w:val="single"/>
        </w:rPr>
        <w:t>PROPOSED</w:t>
      </w:r>
      <w:r>
        <w:rPr>
          <w:b/>
          <w:spacing w:val="-7"/>
          <w:u w:val="single"/>
        </w:rPr>
        <w:t xml:space="preserve"> </w:t>
      </w:r>
      <w:r>
        <w:rPr>
          <w:b/>
          <w:spacing w:val="-2"/>
          <w:u w:val="single"/>
        </w:rPr>
        <w:t>DECISION</w:t>
      </w:r>
      <w:r>
        <w:rPr>
          <w:b/>
          <w:spacing w:val="-3"/>
          <w:u w:val="single"/>
        </w:rPr>
        <w:t xml:space="preserve"> </w:t>
      </w:r>
      <w:r>
        <w:rPr>
          <w:b/>
          <w:spacing w:val="-2"/>
          <w:u w:val="single"/>
        </w:rPr>
        <w:t>OF</w:t>
      </w:r>
      <w:r>
        <w:rPr>
          <w:b/>
          <w:spacing w:val="-7"/>
          <w:u w:val="single"/>
        </w:rPr>
        <w:t xml:space="preserve"> </w:t>
      </w:r>
      <w:r>
        <w:rPr>
          <w:b/>
          <w:spacing w:val="-2"/>
          <w:u w:val="single"/>
        </w:rPr>
        <w:t>ALJ</w:t>
      </w:r>
      <w:r>
        <w:rPr>
          <w:b/>
          <w:spacing w:val="-6"/>
          <w:u w:val="single"/>
        </w:rPr>
        <w:t xml:space="preserve"> </w:t>
      </w:r>
      <w:r>
        <w:rPr>
          <w:b/>
          <w:spacing w:val="-2"/>
          <w:u w:val="single"/>
        </w:rPr>
        <w:t>CHANG</w:t>
      </w:r>
      <w:r>
        <w:rPr>
          <w:b/>
          <w:spacing w:val="-7"/>
          <w:u w:val="single"/>
        </w:rPr>
        <w:t xml:space="preserve"> </w:t>
      </w:r>
      <w:r>
        <w:rPr>
          <w:b/>
          <w:spacing w:val="-2"/>
          <w:u w:val="single"/>
        </w:rPr>
        <w:t>(Mailed</w:t>
      </w:r>
      <w:r>
        <w:rPr>
          <w:b/>
          <w:spacing w:val="-6"/>
          <w:u w:val="single"/>
        </w:rPr>
        <w:t xml:space="preserve"> </w:t>
      </w:r>
      <w:r w:rsidR="006F1476">
        <w:rPr>
          <w:b/>
          <w:spacing w:val="-6"/>
          <w:u w:val="single"/>
        </w:rPr>
        <w:t>5</w:t>
      </w:r>
      <w:r>
        <w:rPr>
          <w:b/>
          <w:spacing w:val="-2"/>
          <w:u w:val="single"/>
        </w:rPr>
        <w:t>/</w:t>
      </w:r>
      <w:r w:rsidR="006F1476">
        <w:rPr>
          <w:b/>
          <w:spacing w:val="-2"/>
          <w:u w:val="single"/>
        </w:rPr>
        <w:t>28</w:t>
      </w:r>
      <w:r>
        <w:rPr>
          <w:b/>
          <w:spacing w:val="-2"/>
          <w:u w:val="single"/>
        </w:rPr>
        <w:t>/2026)</w:t>
      </w:r>
    </w:p>
    <w:p w:rsidR="00DA7B5D" w:rsidP="005F144C" w:rsidRDefault="00DA7B5D" w14:paraId="4A8DBD57" w14:textId="77777777">
      <w:pPr>
        <w:spacing w:line="240" w:lineRule="auto"/>
        <w:ind w:firstLine="0"/>
        <w:rPr>
          <w:u w:val="single"/>
        </w:rPr>
      </w:pPr>
    </w:p>
    <w:p w:rsidR="00DA7B5D" w:rsidP="00BB0243" w:rsidRDefault="00DA7B5D" w14:paraId="3AA59D87"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7E992599"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7B8085C4" w14:textId="77777777">
        <w:trPr>
          <w:jc w:val="center"/>
        </w:trPr>
        <w:tc>
          <w:tcPr>
            <w:tcW w:w="5040" w:type="dxa"/>
            <w:tcBorders>
              <w:top w:val="nil"/>
              <w:left w:val="nil"/>
              <w:bottom w:val="single" w:color="auto" w:sz="4" w:space="0"/>
              <w:right w:val="single" w:color="auto" w:sz="4" w:space="0"/>
            </w:tcBorders>
          </w:tcPr>
          <w:p w:rsidRPr="00DA7B5D" w:rsidR="00DA7B5D" w:rsidP="00C10B5F" w:rsidRDefault="00601EDE" w14:paraId="54444B74" w14:textId="1B2325F5">
            <w:pPr>
              <w:spacing w:line="240" w:lineRule="auto"/>
              <w:ind w:firstLine="0"/>
              <w:rPr>
                <w:rFonts w:cs="Arial"/>
                <w:szCs w:val="26"/>
              </w:rPr>
            </w:pPr>
            <w:r>
              <w:rPr>
                <w:rFonts w:cs="Arial"/>
                <w:szCs w:val="26"/>
              </w:rPr>
              <w:t>Order Instituting Rulemaking on Customer-Generated Renewables for Priority Communities</w:t>
            </w:r>
            <w:r w:rsidR="00235A22">
              <w:rPr>
                <w:rFonts w:cs="Arial"/>
                <w:szCs w:val="26"/>
              </w:rPr>
              <w:t>.</w:t>
            </w:r>
            <w:r w:rsidRPr="00DA7B5D" w:rsidR="00DA7B5D">
              <w:rPr>
                <w:rFonts w:cs="Arial"/>
                <w:szCs w:val="26"/>
              </w:rPr>
              <w:br/>
            </w:r>
          </w:p>
        </w:tc>
        <w:tc>
          <w:tcPr>
            <w:tcW w:w="5040" w:type="dxa"/>
            <w:tcBorders>
              <w:top w:val="nil"/>
              <w:left w:val="single" w:color="auto" w:sz="4" w:space="0"/>
              <w:bottom w:val="nil"/>
              <w:right w:val="nil"/>
            </w:tcBorders>
            <w:vAlign w:val="center"/>
          </w:tcPr>
          <w:p w:rsidRPr="00DA7B5D" w:rsidR="00DA7B5D" w:rsidP="00412C83" w:rsidRDefault="00601EDE" w14:paraId="5B0F7822" w14:textId="04CE52E4">
            <w:pPr>
              <w:spacing w:line="240" w:lineRule="auto"/>
              <w:ind w:firstLine="0"/>
              <w:jc w:val="center"/>
              <w:rPr>
                <w:rFonts w:cs="Arial"/>
                <w:szCs w:val="26"/>
              </w:rPr>
            </w:pPr>
            <w:r>
              <w:rPr>
                <w:rFonts w:cs="Arial"/>
                <w:szCs w:val="26"/>
              </w:rPr>
              <w:t>Rulemaking 25-01-005</w:t>
            </w:r>
          </w:p>
        </w:tc>
      </w:tr>
    </w:tbl>
    <w:p w:rsidR="00DA7B5D" w:rsidP="008F0116" w:rsidRDefault="00DA7B5D" w14:paraId="0C98B31B" w14:textId="77777777">
      <w:pPr>
        <w:spacing w:line="240" w:lineRule="auto"/>
        <w:ind w:firstLine="0"/>
        <w:rPr>
          <w:rFonts w:ascii="Arial" w:hAnsi="Arial" w:cs="Arial"/>
          <w:sz w:val="24"/>
          <w:szCs w:val="24"/>
        </w:rPr>
      </w:pPr>
    </w:p>
    <w:p w:rsidR="00DA7B5D" w:rsidP="008F0116" w:rsidRDefault="00DA7B5D" w14:paraId="591BD2DF" w14:textId="77777777">
      <w:pPr>
        <w:spacing w:line="240" w:lineRule="auto"/>
        <w:ind w:firstLine="0"/>
        <w:rPr>
          <w:rFonts w:ascii="Arial" w:hAnsi="Arial" w:cs="Arial"/>
          <w:sz w:val="24"/>
          <w:szCs w:val="24"/>
        </w:rPr>
      </w:pPr>
    </w:p>
    <w:p w:rsidRPr="00F92385" w:rsidR="00F92385" w:rsidP="00B3087D" w:rsidRDefault="00601EDE" w14:paraId="1B759A78" w14:textId="20E28DD2">
      <w:pPr>
        <w:pStyle w:val="Dummy"/>
        <w:jc w:val="center"/>
        <w:sectPr w:rsidRPr="00F92385" w:rsidR="00F92385" w:rsidSect="00FA60D4">
          <w:headerReference w:type="default" r:id="rId11"/>
          <w:footerReference w:type="default" r:id="rId12"/>
          <w:headerReference w:type="first" r:id="rId13"/>
          <w:footerReference w:type="first" r:id="rId14"/>
          <w:pgSz w:w="12240" w:h="15840"/>
          <w:pgMar w:top="1440" w:right="1080" w:bottom="1440" w:left="1440" w:header="720" w:footer="720" w:gutter="0"/>
          <w:pgNumType w:start="1"/>
          <w:cols w:space="720"/>
          <w:titlePg/>
          <w:docGrid w:linePitch="360"/>
        </w:sectPr>
      </w:pPr>
      <w:bookmarkStart w:name="_Toc233626457" w:id="0"/>
      <w:r>
        <w:t>DECISION</w:t>
      </w:r>
      <w:r w:rsidR="00005A2D">
        <w:t xml:space="preserve"> MODIFYING </w:t>
      </w:r>
      <w:r w:rsidR="00235A22">
        <w:t xml:space="preserve">THE </w:t>
      </w:r>
      <w:r w:rsidR="00005A2D">
        <w:t xml:space="preserve">SOLAR ON MULTIFAMILY </w:t>
      </w:r>
      <w:r w:rsidR="00344579">
        <w:br/>
      </w:r>
      <w:r w:rsidR="00005A2D">
        <w:t>AFFORDABLE HOUSING PROGRAM</w:t>
      </w:r>
      <w:bookmarkEnd w:id="0"/>
    </w:p>
    <w:p w:rsidRPr="001E2A62" w:rsidR="00D50119" w:rsidP="00F76650" w:rsidRDefault="00D50119" w14:paraId="09B39ED3" w14:textId="77777777">
      <w:pPr>
        <w:pStyle w:val="Main"/>
        <w:rPr>
          <w:rFonts w:ascii="Book Antiqua" w:hAnsi="Book Antiqua"/>
        </w:rPr>
      </w:pPr>
      <w:r w:rsidRPr="001E2A62">
        <w:rPr>
          <w:rFonts w:ascii="Book Antiqua" w:hAnsi="Book Antiqua"/>
        </w:rPr>
        <w:lastRenderedPageBreak/>
        <w:t>TABLE OF CONTENTS</w:t>
      </w:r>
    </w:p>
    <w:p w:rsidRPr="00D50119" w:rsidR="00D50119" w:rsidP="007E0FEE" w:rsidRDefault="00D50119" w14:paraId="4AE0C517" w14:textId="77777777">
      <w:pPr>
        <w:tabs>
          <w:tab w:val="right" w:pos="9360"/>
        </w:tabs>
        <w:ind w:firstLine="0"/>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D6367C" w:rsidRDefault="008C7413" w14:paraId="46590D31" w14:textId="3F6A60EB">
          <w:pPr>
            <w:pStyle w:val="TOC1"/>
            <w:tabs>
              <w:tab w:val="right" w:leader="dot" w:pos="9350"/>
            </w:tabs>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233626457">
            <w:r w:rsidRPr="00C8637D" w:rsidR="00D6367C">
              <w:rPr>
                <w:rStyle w:val="Hyperlink"/>
                <w:noProof/>
              </w:rPr>
              <w:t>DECISION MODIFYING THE SOLAR ON MULTIFAMILY  AFFORDABLE HOUSING PROGRAM</w:t>
            </w:r>
            <w:r w:rsidR="00D6367C">
              <w:rPr>
                <w:noProof/>
                <w:webHidden/>
              </w:rPr>
              <w:tab/>
            </w:r>
            <w:r w:rsidR="00D6367C">
              <w:rPr>
                <w:noProof/>
                <w:webHidden/>
              </w:rPr>
              <w:fldChar w:fldCharType="begin"/>
            </w:r>
            <w:r w:rsidR="00D6367C">
              <w:rPr>
                <w:noProof/>
                <w:webHidden/>
              </w:rPr>
              <w:instrText xml:space="preserve"> PAGEREF _Toc233626457 \h </w:instrText>
            </w:r>
            <w:r w:rsidR="00D6367C">
              <w:rPr>
                <w:noProof/>
                <w:webHidden/>
              </w:rPr>
            </w:r>
            <w:r w:rsidR="00D6367C">
              <w:rPr>
                <w:noProof/>
                <w:webHidden/>
              </w:rPr>
              <w:fldChar w:fldCharType="separate"/>
            </w:r>
            <w:r w:rsidR="00D6367C">
              <w:rPr>
                <w:noProof/>
                <w:webHidden/>
              </w:rPr>
              <w:t>2</w:t>
            </w:r>
            <w:r w:rsidR="00D6367C">
              <w:rPr>
                <w:noProof/>
                <w:webHidden/>
              </w:rPr>
              <w:fldChar w:fldCharType="end"/>
            </w:r>
          </w:hyperlink>
        </w:p>
        <w:p w:rsidR="00D6367C" w:rsidRDefault="00D6367C" w14:paraId="615BDB81" w14:textId="109080A3">
          <w:pPr>
            <w:pStyle w:val="TOC1"/>
            <w:tabs>
              <w:tab w:val="right" w:leader="dot" w:pos="9350"/>
            </w:tabs>
            <w:rPr>
              <w:rFonts w:asciiTheme="minorHAnsi" w:hAnsiTheme="minorHAnsi" w:cstheme="minorBidi"/>
              <w:noProof/>
              <w:kern w:val="2"/>
              <w:sz w:val="24"/>
              <w:szCs w:val="24"/>
              <w14:ligatures w14:val="standardContextual"/>
            </w:rPr>
          </w:pPr>
          <w:hyperlink w:history="1" w:anchor="_Toc233626458">
            <w:r w:rsidRPr="00C8637D">
              <w:rPr>
                <w:rStyle w:val="Hyperlink"/>
                <w:noProof/>
              </w:rPr>
              <w:t>Summary</w:t>
            </w:r>
            <w:r>
              <w:rPr>
                <w:noProof/>
                <w:webHidden/>
              </w:rPr>
              <w:tab/>
            </w:r>
            <w:r>
              <w:rPr>
                <w:noProof/>
                <w:webHidden/>
              </w:rPr>
              <w:fldChar w:fldCharType="begin"/>
            </w:r>
            <w:r>
              <w:rPr>
                <w:noProof/>
                <w:webHidden/>
              </w:rPr>
              <w:instrText xml:space="preserve"> PAGEREF _Toc233626458 \h </w:instrText>
            </w:r>
            <w:r>
              <w:rPr>
                <w:noProof/>
                <w:webHidden/>
              </w:rPr>
            </w:r>
            <w:r>
              <w:rPr>
                <w:noProof/>
                <w:webHidden/>
              </w:rPr>
              <w:fldChar w:fldCharType="separate"/>
            </w:r>
            <w:r>
              <w:rPr>
                <w:noProof/>
                <w:webHidden/>
              </w:rPr>
              <w:t>1</w:t>
            </w:r>
            <w:r>
              <w:rPr>
                <w:noProof/>
                <w:webHidden/>
              </w:rPr>
              <w:fldChar w:fldCharType="end"/>
            </w:r>
          </w:hyperlink>
        </w:p>
        <w:p w:rsidR="00D6367C" w:rsidRDefault="00D6367C" w14:paraId="1C00C160" w14:textId="2DB6D12D">
          <w:pPr>
            <w:pStyle w:val="TOC1"/>
            <w:tabs>
              <w:tab w:val="right" w:leader="dot" w:pos="9350"/>
            </w:tabs>
            <w:rPr>
              <w:rFonts w:asciiTheme="minorHAnsi" w:hAnsiTheme="minorHAnsi" w:cstheme="minorBidi"/>
              <w:noProof/>
              <w:kern w:val="2"/>
              <w:sz w:val="24"/>
              <w:szCs w:val="24"/>
              <w14:ligatures w14:val="standardContextual"/>
            </w:rPr>
          </w:pPr>
          <w:hyperlink w:history="1" w:anchor="_Toc233626459">
            <w:r w:rsidRPr="00C8637D">
              <w:rPr>
                <w:rStyle w:val="Hyperlink"/>
                <w:noProof/>
              </w:rPr>
              <w:t>1.</w:t>
            </w:r>
            <w:r>
              <w:rPr>
                <w:rFonts w:asciiTheme="minorHAnsi" w:hAnsiTheme="minorHAnsi" w:cstheme="minorBidi"/>
                <w:noProof/>
                <w:kern w:val="2"/>
                <w:sz w:val="24"/>
                <w:szCs w:val="24"/>
                <w14:ligatures w14:val="standardContextual"/>
              </w:rPr>
              <w:tab/>
            </w:r>
            <w:r w:rsidRPr="00C8637D">
              <w:rPr>
                <w:rStyle w:val="Hyperlink"/>
                <w:noProof/>
              </w:rPr>
              <w:t>Background</w:t>
            </w:r>
            <w:r>
              <w:rPr>
                <w:noProof/>
                <w:webHidden/>
              </w:rPr>
              <w:tab/>
            </w:r>
            <w:r>
              <w:rPr>
                <w:noProof/>
                <w:webHidden/>
              </w:rPr>
              <w:fldChar w:fldCharType="begin"/>
            </w:r>
            <w:r>
              <w:rPr>
                <w:noProof/>
                <w:webHidden/>
              </w:rPr>
              <w:instrText xml:space="preserve"> PAGEREF _Toc233626459 \h </w:instrText>
            </w:r>
            <w:r>
              <w:rPr>
                <w:noProof/>
                <w:webHidden/>
              </w:rPr>
            </w:r>
            <w:r>
              <w:rPr>
                <w:noProof/>
                <w:webHidden/>
              </w:rPr>
              <w:fldChar w:fldCharType="separate"/>
            </w:r>
            <w:r>
              <w:rPr>
                <w:noProof/>
                <w:webHidden/>
              </w:rPr>
              <w:t>2</w:t>
            </w:r>
            <w:r>
              <w:rPr>
                <w:noProof/>
                <w:webHidden/>
              </w:rPr>
              <w:fldChar w:fldCharType="end"/>
            </w:r>
          </w:hyperlink>
        </w:p>
        <w:p w:rsidR="00D6367C" w:rsidRDefault="00D6367C" w14:paraId="64074DB9" w14:textId="243AA3E4">
          <w:pPr>
            <w:pStyle w:val="TOC2"/>
            <w:tabs>
              <w:tab w:val="right" w:leader="dot" w:pos="9350"/>
            </w:tabs>
            <w:rPr>
              <w:rFonts w:asciiTheme="minorHAnsi" w:hAnsiTheme="minorHAnsi" w:cstheme="minorBidi"/>
              <w:noProof/>
              <w:kern w:val="2"/>
              <w:sz w:val="24"/>
              <w:szCs w:val="24"/>
              <w14:ligatures w14:val="standardContextual"/>
            </w:rPr>
          </w:pPr>
          <w:hyperlink w:history="1" w:anchor="_Toc233626460">
            <w:r w:rsidRPr="00C8637D">
              <w:rPr>
                <w:rStyle w:val="Hyperlink"/>
                <w:noProof/>
              </w:rPr>
              <w:t>1.1.</w:t>
            </w:r>
            <w:r>
              <w:rPr>
                <w:rFonts w:asciiTheme="minorHAnsi" w:hAnsiTheme="minorHAnsi" w:cstheme="minorBidi"/>
                <w:noProof/>
                <w:kern w:val="2"/>
                <w:sz w:val="24"/>
                <w:szCs w:val="24"/>
                <w14:ligatures w14:val="standardContextual"/>
              </w:rPr>
              <w:tab/>
            </w:r>
            <w:r w:rsidRPr="00C8637D">
              <w:rPr>
                <w:rStyle w:val="Hyperlink"/>
                <w:noProof/>
              </w:rPr>
              <w:t>Procedural Background</w:t>
            </w:r>
            <w:r>
              <w:rPr>
                <w:noProof/>
                <w:webHidden/>
              </w:rPr>
              <w:tab/>
            </w:r>
            <w:r>
              <w:rPr>
                <w:noProof/>
                <w:webHidden/>
              </w:rPr>
              <w:fldChar w:fldCharType="begin"/>
            </w:r>
            <w:r>
              <w:rPr>
                <w:noProof/>
                <w:webHidden/>
              </w:rPr>
              <w:instrText xml:space="preserve"> PAGEREF _Toc233626460 \h </w:instrText>
            </w:r>
            <w:r>
              <w:rPr>
                <w:noProof/>
                <w:webHidden/>
              </w:rPr>
            </w:r>
            <w:r>
              <w:rPr>
                <w:noProof/>
                <w:webHidden/>
              </w:rPr>
              <w:fldChar w:fldCharType="separate"/>
            </w:r>
            <w:r>
              <w:rPr>
                <w:noProof/>
                <w:webHidden/>
              </w:rPr>
              <w:t>6</w:t>
            </w:r>
            <w:r>
              <w:rPr>
                <w:noProof/>
                <w:webHidden/>
              </w:rPr>
              <w:fldChar w:fldCharType="end"/>
            </w:r>
          </w:hyperlink>
        </w:p>
        <w:p w:rsidR="00D6367C" w:rsidRDefault="00D6367C" w14:paraId="073DA7D9" w14:textId="49FE1CCD">
          <w:pPr>
            <w:pStyle w:val="TOC2"/>
            <w:tabs>
              <w:tab w:val="right" w:leader="dot" w:pos="9350"/>
            </w:tabs>
            <w:rPr>
              <w:rFonts w:asciiTheme="minorHAnsi" w:hAnsiTheme="minorHAnsi" w:cstheme="minorBidi"/>
              <w:noProof/>
              <w:kern w:val="2"/>
              <w:sz w:val="24"/>
              <w:szCs w:val="24"/>
              <w14:ligatures w14:val="standardContextual"/>
            </w:rPr>
          </w:pPr>
          <w:hyperlink w:history="1" w:anchor="_Toc233626461">
            <w:r w:rsidRPr="00C8637D">
              <w:rPr>
                <w:rStyle w:val="Hyperlink"/>
                <w:noProof/>
              </w:rPr>
              <w:t>1.2.</w:t>
            </w:r>
            <w:r>
              <w:rPr>
                <w:rFonts w:asciiTheme="minorHAnsi" w:hAnsiTheme="minorHAnsi" w:cstheme="minorBidi"/>
                <w:noProof/>
                <w:kern w:val="2"/>
                <w:sz w:val="24"/>
                <w:szCs w:val="24"/>
                <w14:ligatures w14:val="standardContextual"/>
              </w:rPr>
              <w:tab/>
            </w:r>
            <w:r w:rsidRPr="00C8637D">
              <w:rPr>
                <w:rStyle w:val="Hyperlink"/>
                <w:noProof/>
              </w:rPr>
              <w:t>Issues Before the Commission</w:t>
            </w:r>
            <w:r>
              <w:rPr>
                <w:noProof/>
                <w:webHidden/>
              </w:rPr>
              <w:tab/>
            </w:r>
            <w:r>
              <w:rPr>
                <w:noProof/>
                <w:webHidden/>
              </w:rPr>
              <w:fldChar w:fldCharType="begin"/>
            </w:r>
            <w:r>
              <w:rPr>
                <w:noProof/>
                <w:webHidden/>
              </w:rPr>
              <w:instrText xml:space="preserve"> PAGEREF _Toc233626461 \h </w:instrText>
            </w:r>
            <w:r>
              <w:rPr>
                <w:noProof/>
                <w:webHidden/>
              </w:rPr>
            </w:r>
            <w:r>
              <w:rPr>
                <w:noProof/>
                <w:webHidden/>
              </w:rPr>
              <w:fldChar w:fldCharType="separate"/>
            </w:r>
            <w:r>
              <w:rPr>
                <w:noProof/>
                <w:webHidden/>
              </w:rPr>
              <w:t>8</w:t>
            </w:r>
            <w:r>
              <w:rPr>
                <w:noProof/>
                <w:webHidden/>
              </w:rPr>
              <w:fldChar w:fldCharType="end"/>
            </w:r>
          </w:hyperlink>
        </w:p>
        <w:p w:rsidR="00D6367C" w:rsidRDefault="00D6367C" w14:paraId="635CEA0D" w14:textId="07D75F9A">
          <w:pPr>
            <w:pStyle w:val="TOC1"/>
            <w:tabs>
              <w:tab w:val="right" w:leader="dot" w:pos="9350"/>
            </w:tabs>
            <w:rPr>
              <w:rFonts w:asciiTheme="minorHAnsi" w:hAnsiTheme="minorHAnsi" w:cstheme="minorBidi"/>
              <w:noProof/>
              <w:kern w:val="2"/>
              <w:sz w:val="24"/>
              <w:szCs w:val="24"/>
              <w14:ligatures w14:val="standardContextual"/>
            </w:rPr>
          </w:pPr>
          <w:hyperlink w:history="1" w:anchor="_Toc233626462">
            <w:r w:rsidRPr="00C8637D">
              <w:rPr>
                <w:rStyle w:val="Hyperlink"/>
                <w:noProof/>
              </w:rPr>
              <w:t>2.</w:t>
            </w:r>
            <w:r>
              <w:rPr>
                <w:rFonts w:asciiTheme="minorHAnsi" w:hAnsiTheme="minorHAnsi" w:cstheme="minorBidi"/>
                <w:noProof/>
                <w:kern w:val="2"/>
                <w:sz w:val="24"/>
                <w:szCs w:val="24"/>
                <w14:ligatures w14:val="standardContextual"/>
              </w:rPr>
              <w:tab/>
            </w:r>
            <w:r w:rsidRPr="00C8637D">
              <w:rPr>
                <w:rStyle w:val="Hyperlink"/>
                <w:noProof/>
              </w:rPr>
              <w:t>Newly Constructed or Under-Construction Affordable Multifamily Properties</w:t>
            </w:r>
            <w:r>
              <w:rPr>
                <w:noProof/>
                <w:webHidden/>
              </w:rPr>
              <w:tab/>
            </w:r>
            <w:r>
              <w:rPr>
                <w:noProof/>
                <w:webHidden/>
              </w:rPr>
              <w:fldChar w:fldCharType="begin"/>
            </w:r>
            <w:r>
              <w:rPr>
                <w:noProof/>
                <w:webHidden/>
              </w:rPr>
              <w:instrText xml:space="preserve"> PAGEREF _Toc233626462 \h </w:instrText>
            </w:r>
            <w:r>
              <w:rPr>
                <w:noProof/>
                <w:webHidden/>
              </w:rPr>
            </w:r>
            <w:r>
              <w:rPr>
                <w:noProof/>
                <w:webHidden/>
              </w:rPr>
              <w:fldChar w:fldCharType="separate"/>
            </w:r>
            <w:r>
              <w:rPr>
                <w:noProof/>
                <w:webHidden/>
              </w:rPr>
              <w:t>9</w:t>
            </w:r>
            <w:r>
              <w:rPr>
                <w:noProof/>
                <w:webHidden/>
              </w:rPr>
              <w:fldChar w:fldCharType="end"/>
            </w:r>
          </w:hyperlink>
        </w:p>
        <w:p w:rsidR="00D6367C" w:rsidRDefault="00D6367C" w14:paraId="7E8BD3BA" w14:textId="50F42221">
          <w:pPr>
            <w:pStyle w:val="TOC2"/>
            <w:tabs>
              <w:tab w:val="right" w:leader="dot" w:pos="9350"/>
            </w:tabs>
            <w:rPr>
              <w:rFonts w:asciiTheme="minorHAnsi" w:hAnsiTheme="minorHAnsi" w:cstheme="minorBidi"/>
              <w:noProof/>
              <w:kern w:val="2"/>
              <w:sz w:val="24"/>
              <w:szCs w:val="24"/>
              <w14:ligatures w14:val="standardContextual"/>
            </w:rPr>
          </w:pPr>
          <w:hyperlink w:history="1" w:anchor="_Toc233626463">
            <w:r w:rsidRPr="00C8637D">
              <w:rPr>
                <w:rStyle w:val="Hyperlink"/>
                <w:noProof/>
              </w:rPr>
              <w:t>2.1.</w:t>
            </w:r>
            <w:r>
              <w:rPr>
                <w:rFonts w:asciiTheme="minorHAnsi" w:hAnsiTheme="minorHAnsi" w:cstheme="minorBidi"/>
                <w:noProof/>
                <w:kern w:val="2"/>
                <w:sz w:val="24"/>
                <w:szCs w:val="24"/>
                <w14:ligatures w14:val="standardContextual"/>
              </w:rPr>
              <w:tab/>
            </w:r>
            <w:r w:rsidRPr="00C8637D">
              <w:rPr>
                <w:rStyle w:val="Hyperlink"/>
                <w:noProof/>
              </w:rPr>
              <w:t>Statutory Interpretation  of Section 2870(a)(3) and (f)(8)</w:t>
            </w:r>
            <w:r>
              <w:rPr>
                <w:noProof/>
                <w:webHidden/>
              </w:rPr>
              <w:tab/>
            </w:r>
            <w:r>
              <w:rPr>
                <w:noProof/>
                <w:webHidden/>
              </w:rPr>
              <w:fldChar w:fldCharType="begin"/>
            </w:r>
            <w:r>
              <w:rPr>
                <w:noProof/>
                <w:webHidden/>
              </w:rPr>
              <w:instrText xml:space="preserve"> PAGEREF _Toc233626463 \h </w:instrText>
            </w:r>
            <w:r>
              <w:rPr>
                <w:noProof/>
                <w:webHidden/>
              </w:rPr>
            </w:r>
            <w:r>
              <w:rPr>
                <w:noProof/>
                <w:webHidden/>
              </w:rPr>
              <w:fldChar w:fldCharType="separate"/>
            </w:r>
            <w:r>
              <w:rPr>
                <w:noProof/>
                <w:webHidden/>
              </w:rPr>
              <w:t>9</w:t>
            </w:r>
            <w:r>
              <w:rPr>
                <w:noProof/>
                <w:webHidden/>
              </w:rPr>
              <w:fldChar w:fldCharType="end"/>
            </w:r>
          </w:hyperlink>
        </w:p>
        <w:p w:rsidR="00D6367C" w:rsidRDefault="00D6367C" w14:paraId="5546930F" w14:textId="4187F0ED">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3626464">
            <w:r w:rsidRPr="00C8637D">
              <w:rPr>
                <w:rStyle w:val="Hyperlink"/>
                <w:noProof/>
              </w:rPr>
              <w:t>2.1.1.</w:t>
            </w:r>
            <w:r>
              <w:rPr>
                <w:rFonts w:asciiTheme="minorHAnsi" w:hAnsiTheme="minorHAnsi" w:cstheme="minorBidi"/>
                <w:noProof/>
                <w:kern w:val="2"/>
                <w:sz w:val="24"/>
                <w:szCs w:val="24"/>
                <w14:ligatures w14:val="standardContextual"/>
              </w:rPr>
              <w:tab/>
            </w:r>
            <w:r w:rsidRPr="00C8637D">
              <w:rPr>
                <w:rStyle w:val="Hyperlink"/>
                <w:noProof/>
              </w:rPr>
              <w:t>Party Comments</w:t>
            </w:r>
            <w:r>
              <w:rPr>
                <w:noProof/>
                <w:webHidden/>
              </w:rPr>
              <w:tab/>
            </w:r>
            <w:r>
              <w:rPr>
                <w:noProof/>
                <w:webHidden/>
              </w:rPr>
              <w:fldChar w:fldCharType="begin"/>
            </w:r>
            <w:r>
              <w:rPr>
                <w:noProof/>
                <w:webHidden/>
              </w:rPr>
              <w:instrText xml:space="preserve"> PAGEREF _Toc233626464 \h </w:instrText>
            </w:r>
            <w:r>
              <w:rPr>
                <w:noProof/>
                <w:webHidden/>
              </w:rPr>
            </w:r>
            <w:r>
              <w:rPr>
                <w:noProof/>
                <w:webHidden/>
              </w:rPr>
              <w:fldChar w:fldCharType="separate"/>
            </w:r>
            <w:r>
              <w:rPr>
                <w:noProof/>
                <w:webHidden/>
              </w:rPr>
              <w:t>9</w:t>
            </w:r>
            <w:r>
              <w:rPr>
                <w:noProof/>
                <w:webHidden/>
              </w:rPr>
              <w:fldChar w:fldCharType="end"/>
            </w:r>
          </w:hyperlink>
        </w:p>
        <w:p w:rsidR="00D6367C" w:rsidRDefault="00D6367C" w14:paraId="0F849678" w14:textId="09F4BC6E">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3626465">
            <w:r w:rsidRPr="00C8637D">
              <w:rPr>
                <w:rStyle w:val="Hyperlink"/>
                <w:noProof/>
              </w:rPr>
              <w:t>2.1.2.</w:t>
            </w:r>
            <w:r>
              <w:rPr>
                <w:rFonts w:asciiTheme="minorHAnsi" w:hAnsiTheme="minorHAnsi" w:cstheme="minorBidi"/>
                <w:noProof/>
                <w:kern w:val="2"/>
                <w:sz w:val="24"/>
                <w:szCs w:val="24"/>
                <w14:ligatures w14:val="standardContextual"/>
              </w:rPr>
              <w:tab/>
            </w:r>
            <w:r w:rsidRPr="00C8637D">
              <w:rPr>
                <w:rStyle w:val="Hyperlink"/>
                <w:noProof/>
              </w:rPr>
              <w:t>Discussion</w:t>
            </w:r>
            <w:r>
              <w:rPr>
                <w:noProof/>
                <w:webHidden/>
              </w:rPr>
              <w:tab/>
            </w:r>
            <w:r>
              <w:rPr>
                <w:noProof/>
                <w:webHidden/>
              </w:rPr>
              <w:fldChar w:fldCharType="begin"/>
            </w:r>
            <w:r>
              <w:rPr>
                <w:noProof/>
                <w:webHidden/>
              </w:rPr>
              <w:instrText xml:space="preserve"> PAGEREF _Toc233626465 \h </w:instrText>
            </w:r>
            <w:r>
              <w:rPr>
                <w:noProof/>
                <w:webHidden/>
              </w:rPr>
            </w:r>
            <w:r>
              <w:rPr>
                <w:noProof/>
                <w:webHidden/>
              </w:rPr>
              <w:fldChar w:fldCharType="separate"/>
            </w:r>
            <w:r>
              <w:rPr>
                <w:noProof/>
                <w:webHidden/>
              </w:rPr>
              <w:t>10</w:t>
            </w:r>
            <w:r>
              <w:rPr>
                <w:noProof/>
                <w:webHidden/>
              </w:rPr>
              <w:fldChar w:fldCharType="end"/>
            </w:r>
          </w:hyperlink>
        </w:p>
        <w:p w:rsidR="00D6367C" w:rsidRDefault="00D6367C" w14:paraId="6C8D4246" w14:textId="1062A9CF">
          <w:pPr>
            <w:pStyle w:val="TOC2"/>
            <w:tabs>
              <w:tab w:val="right" w:leader="dot" w:pos="9350"/>
            </w:tabs>
            <w:rPr>
              <w:rFonts w:asciiTheme="minorHAnsi" w:hAnsiTheme="minorHAnsi" w:cstheme="minorBidi"/>
              <w:noProof/>
              <w:kern w:val="2"/>
              <w:sz w:val="24"/>
              <w:szCs w:val="24"/>
              <w14:ligatures w14:val="standardContextual"/>
            </w:rPr>
          </w:pPr>
          <w:hyperlink w:history="1" w:anchor="_Toc233626466">
            <w:r w:rsidRPr="00C8637D">
              <w:rPr>
                <w:rStyle w:val="Hyperlink"/>
                <w:noProof/>
              </w:rPr>
              <w:t>2.2.</w:t>
            </w:r>
            <w:r>
              <w:rPr>
                <w:rFonts w:asciiTheme="minorHAnsi" w:hAnsiTheme="minorHAnsi" w:cstheme="minorBidi"/>
                <w:noProof/>
                <w:kern w:val="2"/>
                <w:sz w:val="24"/>
                <w:szCs w:val="24"/>
                <w14:ligatures w14:val="standardContextual"/>
              </w:rPr>
              <w:tab/>
            </w:r>
            <w:r w:rsidRPr="00C8637D">
              <w:rPr>
                <w:rStyle w:val="Hyperlink"/>
                <w:noProof/>
              </w:rPr>
              <w:t>Affordability and Administrative  Policy Concerns</w:t>
            </w:r>
            <w:r>
              <w:rPr>
                <w:noProof/>
                <w:webHidden/>
              </w:rPr>
              <w:tab/>
            </w:r>
            <w:r>
              <w:rPr>
                <w:noProof/>
                <w:webHidden/>
              </w:rPr>
              <w:fldChar w:fldCharType="begin"/>
            </w:r>
            <w:r>
              <w:rPr>
                <w:noProof/>
                <w:webHidden/>
              </w:rPr>
              <w:instrText xml:space="preserve"> PAGEREF _Toc233626466 \h </w:instrText>
            </w:r>
            <w:r>
              <w:rPr>
                <w:noProof/>
                <w:webHidden/>
              </w:rPr>
            </w:r>
            <w:r>
              <w:rPr>
                <w:noProof/>
                <w:webHidden/>
              </w:rPr>
              <w:fldChar w:fldCharType="separate"/>
            </w:r>
            <w:r>
              <w:rPr>
                <w:noProof/>
                <w:webHidden/>
              </w:rPr>
              <w:t>11</w:t>
            </w:r>
            <w:r>
              <w:rPr>
                <w:noProof/>
                <w:webHidden/>
              </w:rPr>
              <w:fldChar w:fldCharType="end"/>
            </w:r>
          </w:hyperlink>
        </w:p>
        <w:p w:rsidR="00D6367C" w:rsidRDefault="00D6367C" w14:paraId="0234589E" w14:textId="414C9643">
          <w:pPr>
            <w:pStyle w:val="TOC1"/>
            <w:tabs>
              <w:tab w:val="right" w:leader="dot" w:pos="9350"/>
            </w:tabs>
            <w:rPr>
              <w:rFonts w:asciiTheme="minorHAnsi" w:hAnsiTheme="minorHAnsi" w:cstheme="minorBidi"/>
              <w:noProof/>
              <w:kern w:val="2"/>
              <w:sz w:val="24"/>
              <w:szCs w:val="24"/>
              <w14:ligatures w14:val="standardContextual"/>
            </w:rPr>
          </w:pPr>
          <w:hyperlink w:history="1" w:anchor="_Toc233626467">
            <w:r w:rsidRPr="00C8637D">
              <w:rPr>
                <w:rStyle w:val="Hyperlink"/>
                <w:noProof/>
              </w:rPr>
              <w:t>3.</w:t>
            </w:r>
            <w:r>
              <w:rPr>
                <w:rFonts w:asciiTheme="minorHAnsi" w:hAnsiTheme="minorHAnsi" w:cstheme="minorBidi"/>
                <w:noProof/>
                <w:kern w:val="2"/>
                <w:sz w:val="24"/>
                <w:szCs w:val="24"/>
                <w14:ligatures w14:val="standardContextual"/>
              </w:rPr>
              <w:tab/>
            </w:r>
            <w:r w:rsidRPr="00C8637D">
              <w:rPr>
                <w:rStyle w:val="Hyperlink"/>
                <w:noProof/>
              </w:rPr>
              <w:t>Master-Metered Affordable  Multifamily Properties</w:t>
            </w:r>
            <w:r>
              <w:rPr>
                <w:noProof/>
                <w:webHidden/>
              </w:rPr>
              <w:tab/>
            </w:r>
            <w:r>
              <w:rPr>
                <w:noProof/>
                <w:webHidden/>
              </w:rPr>
              <w:fldChar w:fldCharType="begin"/>
            </w:r>
            <w:r>
              <w:rPr>
                <w:noProof/>
                <w:webHidden/>
              </w:rPr>
              <w:instrText xml:space="preserve"> PAGEREF _Toc233626467 \h </w:instrText>
            </w:r>
            <w:r>
              <w:rPr>
                <w:noProof/>
                <w:webHidden/>
              </w:rPr>
            </w:r>
            <w:r>
              <w:rPr>
                <w:noProof/>
                <w:webHidden/>
              </w:rPr>
              <w:fldChar w:fldCharType="separate"/>
            </w:r>
            <w:r>
              <w:rPr>
                <w:noProof/>
                <w:webHidden/>
              </w:rPr>
              <w:t>19</w:t>
            </w:r>
            <w:r>
              <w:rPr>
                <w:noProof/>
                <w:webHidden/>
              </w:rPr>
              <w:fldChar w:fldCharType="end"/>
            </w:r>
          </w:hyperlink>
        </w:p>
        <w:p w:rsidR="00D6367C" w:rsidRDefault="00D6367C" w14:paraId="2D384924" w14:textId="137540DE">
          <w:pPr>
            <w:pStyle w:val="TOC2"/>
            <w:tabs>
              <w:tab w:val="right" w:leader="dot" w:pos="9350"/>
            </w:tabs>
            <w:rPr>
              <w:rFonts w:asciiTheme="minorHAnsi" w:hAnsiTheme="minorHAnsi" w:cstheme="minorBidi"/>
              <w:noProof/>
              <w:kern w:val="2"/>
              <w:sz w:val="24"/>
              <w:szCs w:val="24"/>
              <w14:ligatures w14:val="standardContextual"/>
            </w:rPr>
          </w:pPr>
          <w:hyperlink w:history="1" w:anchor="_Toc233626468">
            <w:r w:rsidRPr="00C8637D">
              <w:rPr>
                <w:rStyle w:val="Hyperlink"/>
                <w:noProof/>
              </w:rPr>
              <w:t>3.1.</w:t>
            </w:r>
            <w:r>
              <w:rPr>
                <w:rFonts w:asciiTheme="minorHAnsi" w:hAnsiTheme="minorHAnsi" w:cstheme="minorBidi"/>
                <w:noProof/>
                <w:kern w:val="2"/>
                <w:sz w:val="24"/>
                <w:szCs w:val="24"/>
                <w14:ligatures w14:val="standardContextual"/>
              </w:rPr>
              <w:tab/>
            </w:r>
            <w:r w:rsidRPr="00C8637D">
              <w:rPr>
                <w:rStyle w:val="Hyperlink"/>
                <w:noProof/>
              </w:rPr>
              <w:t>Statutory Interpretation  of Section 2870(g)(2)</w:t>
            </w:r>
            <w:r>
              <w:rPr>
                <w:noProof/>
                <w:webHidden/>
              </w:rPr>
              <w:tab/>
            </w:r>
            <w:r>
              <w:rPr>
                <w:noProof/>
                <w:webHidden/>
              </w:rPr>
              <w:fldChar w:fldCharType="begin"/>
            </w:r>
            <w:r>
              <w:rPr>
                <w:noProof/>
                <w:webHidden/>
              </w:rPr>
              <w:instrText xml:space="preserve"> PAGEREF _Toc233626468 \h </w:instrText>
            </w:r>
            <w:r>
              <w:rPr>
                <w:noProof/>
                <w:webHidden/>
              </w:rPr>
            </w:r>
            <w:r>
              <w:rPr>
                <w:noProof/>
                <w:webHidden/>
              </w:rPr>
              <w:fldChar w:fldCharType="separate"/>
            </w:r>
            <w:r>
              <w:rPr>
                <w:noProof/>
                <w:webHidden/>
              </w:rPr>
              <w:t>20</w:t>
            </w:r>
            <w:r>
              <w:rPr>
                <w:noProof/>
                <w:webHidden/>
              </w:rPr>
              <w:fldChar w:fldCharType="end"/>
            </w:r>
          </w:hyperlink>
        </w:p>
        <w:p w:rsidR="00D6367C" w:rsidRDefault="00D6367C" w14:paraId="635AB635" w14:textId="6573AED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3626469">
            <w:r w:rsidRPr="00C8637D">
              <w:rPr>
                <w:rStyle w:val="Hyperlink"/>
                <w:noProof/>
              </w:rPr>
              <w:t>3.1.1.</w:t>
            </w:r>
            <w:r>
              <w:rPr>
                <w:rFonts w:asciiTheme="minorHAnsi" w:hAnsiTheme="minorHAnsi" w:cstheme="minorBidi"/>
                <w:noProof/>
                <w:kern w:val="2"/>
                <w:sz w:val="24"/>
                <w:szCs w:val="24"/>
                <w14:ligatures w14:val="standardContextual"/>
              </w:rPr>
              <w:tab/>
            </w:r>
            <w:r w:rsidRPr="00C8637D">
              <w:rPr>
                <w:rStyle w:val="Hyperlink"/>
                <w:noProof/>
              </w:rPr>
              <w:t>Party Comments</w:t>
            </w:r>
            <w:r>
              <w:rPr>
                <w:noProof/>
                <w:webHidden/>
              </w:rPr>
              <w:tab/>
            </w:r>
            <w:r>
              <w:rPr>
                <w:noProof/>
                <w:webHidden/>
              </w:rPr>
              <w:fldChar w:fldCharType="begin"/>
            </w:r>
            <w:r>
              <w:rPr>
                <w:noProof/>
                <w:webHidden/>
              </w:rPr>
              <w:instrText xml:space="preserve"> PAGEREF _Toc233626469 \h </w:instrText>
            </w:r>
            <w:r>
              <w:rPr>
                <w:noProof/>
                <w:webHidden/>
              </w:rPr>
            </w:r>
            <w:r>
              <w:rPr>
                <w:noProof/>
                <w:webHidden/>
              </w:rPr>
              <w:fldChar w:fldCharType="separate"/>
            </w:r>
            <w:r>
              <w:rPr>
                <w:noProof/>
                <w:webHidden/>
              </w:rPr>
              <w:t>20</w:t>
            </w:r>
            <w:r>
              <w:rPr>
                <w:noProof/>
                <w:webHidden/>
              </w:rPr>
              <w:fldChar w:fldCharType="end"/>
            </w:r>
          </w:hyperlink>
        </w:p>
        <w:p w:rsidR="00D6367C" w:rsidRDefault="00D6367C" w14:paraId="2A0CEEB7" w14:textId="7EACFE5C">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3626470">
            <w:r w:rsidRPr="00C8637D">
              <w:rPr>
                <w:rStyle w:val="Hyperlink"/>
                <w:noProof/>
              </w:rPr>
              <w:t>3.1.2.</w:t>
            </w:r>
            <w:r>
              <w:rPr>
                <w:rFonts w:asciiTheme="minorHAnsi" w:hAnsiTheme="minorHAnsi" w:cstheme="minorBidi"/>
                <w:noProof/>
                <w:kern w:val="2"/>
                <w:sz w:val="24"/>
                <w:szCs w:val="24"/>
                <w14:ligatures w14:val="standardContextual"/>
              </w:rPr>
              <w:tab/>
            </w:r>
            <w:r w:rsidRPr="00C8637D">
              <w:rPr>
                <w:rStyle w:val="Hyperlink"/>
                <w:noProof/>
              </w:rPr>
              <w:t>Discussion</w:t>
            </w:r>
            <w:r>
              <w:rPr>
                <w:noProof/>
                <w:webHidden/>
              </w:rPr>
              <w:tab/>
            </w:r>
            <w:r>
              <w:rPr>
                <w:noProof/>
                <w:webHidden/>
              </w:rPr>
              <w:fldChar w:fldCharType="begin"/>
            </w:r>
            <w:r>
              <w:rPr>
                <w:noProof/>
                <w:webHidden/>
              </w:rPr>
              <w:instrText xml:space="preserve"> PAGEREF _Toc233626470 \h </w:instrText>
            </w:r>
            <w:r>
              <w:rPr>
                <w:noProof/>
                <w:webHidden/>
              </w:rPr>
            </w:r>
            <w:r>
              <w:rPr>
                <w:noProof/>
                <w:webHidden/>
              </w:rPr>
              <w:fldChar w:fldCharType="separate"/>
            </w:r>
            <w:r>
              <w:rPr>
                <w:noProof/>
                <w:webHidden/>
              </w:rPr>
              <w:t>21</w:t>
            </w:r>
            <w:r>
              <w:rPr>
                <w:noProof/>
                <w:webHidden/>
              </w:rPr>
              <w:fldChar w:fldCharType="end"/>
            </w:r>
          </w:hyperlink>
        </w:p>
        <w:p w:rsidR="00D6367C" w:rsidRDefault="00D6367C" w14:paraId="4D2EA5B1" w14:textId="1D4E7C07">
          <w:pPr>
            <w:pStyle w:val="TOC2"/>
            <w:tabs>
              <w:tab w:val="right" w:leader="dot" w:pos="9350"/>
            </w:tabs>
            <w:rPr>
              <w:rFonts w:asciiTheme="minorHAnsi" w:hAnsiTheme="minorHAnsi" w:cstheme="minorBidi"/>
              <w:noProof/>
              <w:kern w:val="2"/>
              <w:sz w:val="24"/>
              <w:szCs w:val="24"/>
              <w14:ligatures w14:val="standardContextual"/>
            </w:rPr>
          </w:pPr>
          <w:hyperlink w:history="1" w:anchor="_Toc233626471">
            <w:r w:rsidRPr="00C8637D">
              <w:rPr>
                <w:rStyle w:val="Hyperlink"/>
                <w:noProof/>
              </w:rPr>
              <w:t>3.2.</w:t>
            </w:r>
            <w:r>
              <w:rPr>
                <w:rFonts w:asciiTheme="minorHAnsi" w:hAnsiTheme="minorHAnsi" w:cstheme="minorBidi"/>
                <w:noProof/>
                <w:kern w:val="2"/>
                <w:sz w:val="24"/>
                <w:szCs w:val="24"/>
                <w14:ligatures w14:val="standardContextual"/>
              </w:rPr>
              <w:tab/>
            </w:r>
            <w:r w:rsidRPr="00C8637D">
              <w:rPr>
                <w:rStyle w:val="Hyperlink"/>
                <w:noProof/>
              </w:rPr>
              <w:t>Implementation and Feasibility</w:t>
            </w:r>
            <w:r>
              <w:rPr>
                <w:noProof/>
                <w:webHidden/>
              </w:rPr>
              <w:tab/>
            </w:r>
            <w:r>
              <w:rPr>
                <w:noProof/>
                <w:webHidden/>
              </w:rPr>
              <w:fldChar w:fldCharType="begin"/>
            </w:r>
            <w:r>
              <w:rPr>
                <w:noProof/>
                <w:webHidden/>
              </w:rPr>
              <w:instrText xml:space="preserve"> PAGEREF _Toc233626471 \h </w:instrText>
            </w:r>
            <w:r>
              <w:rPr>
                <w:noProof/>
                <w:webHidden/>
              </w:rPr>
            </w:r>
            <w:r>
              <w:rPr>
                <w:noProof/>
                <w:webHidden/>
              </w:rPr>
              <w:fldChar w:fldCharType="separate"/>
            </w:r>
            <w:r>
              <w:rPr>
                <w:noProof/>
                <w:webHidden/>
              </w:rPr>
              <w:t>21</w:t>
            </w:r>
            <w:r>
              <w:rPr>
                <w:noProof/>
                <w:webHidden/>
              </w:rPr>
              <w:fldChar w:fldCharType="end"/>
            </w:r>
          </w:hyperlink>
        </w:p>
        <w:p w:rsidR="00D6367C" w:rsidRDefault="00D6367C" w14:paraId="11974E85" w14:textId="765AD813">
          <w:pPr>
            <w:pStyle w:val="TOC1"/>
            <w:tabs>
              <w:tab w:val="right" w:leader="dot" w:pos="9350"/>
            </w:tabs>
            <w:rPr>
              <w:rFonts w:asciiTheme="minorHAnsi" w:hAnsiTheme="minorHAnsi" w:cstheme="minorBidi"/>
              <w:noProof/>
              <w:kern w:val="2"/>
              <w:sz w:val="24"/>
              <w:szCs w:val="24"/>
              <w14:ligatures w14:val="standardContextual"/>
            </w:rPr>
          </w:pPr>
          <w:hyperlink w:history="1" w:anchor="_Toc233626472">
            <w:r w:rsidRPr="00C8637D">
              <w:rPr>
                <w:rStyle w:val="Hyperlink"/>
                <w:noProof/>
              </w:rPr>
              <w:t>4.</w:t>
            </w:r>
            <w:r>
              <w:rPr>
                <w:rFonts w:asciiTheme="minorHAnsi" w:hAnsiTheme="minorHAnsi" w:cstheme="minorBidi"/>
                <w:noProof/>
                <w:kern w:val="2"/>
                <w:sz w:val="24"/>
                <w:szCs w:val="24"/>
                <w14:ligatures w14:val="standardContextual"/>
              </w:rPr>
              <w:tab/>
            </w:r>
            <w:r w:rsidRPr="00C8637D">
              <w:rPr>
                <w:rStyle w:val="Hyperlink"/>
                <w:noProof/>
              </w:rPr>
              <w:t>SOMAH Reporting and Funding Proposals</w:t>
            </w:r>
            <w:r>
              <w:rPr>
                <w:noProof/>
                <w:webHidden/>
              </w:rPr>
              <w:tab/>
            </w:r>
            <w:r>
              <w:rPr>
                <w:noProof/>
                <w:webHidden/>
              </w:rPr>
              <w:fldChar w:fldCharType="begin"/>
            </w:r>
            <w:r>
              <w:rPr>
                <w:noProof/>
                <w:webHidden/>
              </w:rPr>
              <w:instrText xml:space="preserve"> PAGEREF _Toc233626472 \h </w:instrText>
            </w:r>
            <w:r>
              <w:rPr>
                <w:noProof/>
                <w:webHidden/>
              </w:rPr>
            </w:r>
            <w:r>
              <w:rPr>
                <w:noProof/>
                <w:webHidden/>
              </w:rPr>
              <w:fldChar w:fldCharType="separate"/>
            </w:r>
            <w:r>
              <w:rPr>
                <w:noProof/>
                <w:webHidden/>
              </w:rPr>
              <w:t>25</w:t>
            </w:r>
            <w:r>
              <w:rPr>
                <w:noProof/>
                <w:webHidden/>
              </w:rPr>
              <w:fldChar w:fldCharType="end"/>
            </w:r>
          </w:hyperlink>
        </w:p>
        <w:p w:rsidR="00D6367C" w:rsidRDefault="00D6367C" w14:paraId="74AC0846" w14:textId="6EA98396">
          <w:pPr>
            <w:pStyle w:val="TOC2"/>
            <w:tabs>
              <w:tab w:val="right" w:leader="dot" w:pos="9350"/>
            </w:tabs>
            <w:rPr>
              <w:rFonts w:asciiTheme="minorHAnsi" w:hAnsiTheme="minorHAnsi" w:cstheme="minorBidi"/>
              <w:noProof/>
              <w:kern w:val="2"/>
              <w:sz w:val="24"/>
              <w:szCs w:val="24"/>
              <w14:ligatures w14:val="standardContextual"/>
            </w:rPr>
          </w:pPr>
          <w:hyperlink w:history="1" w:anchor="_Toc233626473">
            <w:r w:rsidRPr="00C8637D">
              <w:rPr>
                <w:rStyle w:val="Hyperlink"/>
                <w:noProof/>
              </w:rPr>
              <w:t>4.1.</w:t>
            </w:r>
            <w:r>
              <w:rPr>
                <w:rFonts w:asciiTheme="minorHAnsi" w:hAnsiTheme="minorHAnsi" w:cstheme="minorBidi"/>
                <w:noProof/>
                <w:kern w:val="2"/>
                <w:sz w:val="24"/>
                <w:szCs w:val="24"/>
                <w14:ligatures w14:val="standardContextual"/>
              </w:rPr>
              <w:tab/>
            </w:r>
            <w:r w:rsidRPr="00C8637D">
              <w:rPr>
                <w:rStyle w:val="Hyperlink"/>
                <w:noProof/>
              </w:rPr>
              <w:t>SOMAH True-Up</w:t>
            </w:r>
            <w:r>
              <w:rPr>
                <w:noProof/>
                <w:webHidden/>
              </w:rPr>
              <w:tab/>
            </w:r>
            <w:r>
              <w:rPr>
                <w:noProof/>
                <w:webHidden/>
              </w:rPr>
              <w:fldChar w:fldCharType="begin"/>
            </w:r>
            <w:r>
              <w:rPr>
                <w:noProof/>
                <w:webHidden/>
              </w:rPr>
              <w:instrText xml:space="preserve"> PAGEREF _Toc233626473 \h </w:instrText>
            </w:r>
            <w:r>
              <w:rPr>
                <w:noProof/>
                <w:webHidden/>
              </w:rPr>
            </w:r>
            <w:r>
              <w:rPr>
                <w:noProof/>
                <w:webHidden/>
              </w:rPr>
              <w:fldChar w:fldCharType="separate"/>
            </w:r>
            <w:r>
              <w:rPr>
                <w:noProof/>
                <w:webHidden/>
              </w:rPr>
              <w:t>26</w:t>
            </w:r>
            <w:r>
              <w:rPr>
                <w:noProof/>
                <w:webHidden/>
              </w:rPr>
              <w:fldChar w:fldCharType="end"/>
            </w:r>
          </w:hyperlink>
        </w:p>
        <w:p w:rsidR="00D6367C" w:rsidRDefault="00D6367C" w14:paraId="06C65BF8" w14:textId="017145EE">
          <w:pPr>
            <w:pStyle w:val="TOC2"/>
            <w:tabs>
              <w:tab w:val="right" w:leader="dot" w:pos="9350"/>
            </w:tabs>
            <w:rPr>
              <w:rFonts w:asciiTheme="minorHAnsi" w:hAnsiTheme="minorHAnsi" w:cstheme="minorBidi"/>
              <w:noProof/>
              <w:kern w:val="2"/>
              <w:sz w:val="24"/>
              <w:szCs w:val="24"/>
              <w14:ligatures w14:val="standardContextual"/>
            </w:rPr>
          </w:pPr>
          <w:hyperlink w:history="1" w:anchor="_Toc233626474">
            <w:r w:rsidRPr="00C8637D">
              <w:rPr>
                <w:rStyle w:val="Hyperlink"/>
                <w:noProof/>
              </w:rPr>
              <w:t>4.2.</w:t>
            </w:r>
            <w:r>
              <w:rPr>
                <w:rFonts w:asciiTheme="minorHAnsi" w:hAnsiTheme="minorHAnsi" w:cstheme="minorBidi"/>
                <w:noProof/>
                <w:kern w:val="2"/>
                <w:sz w:val="24"/>
                <w:szCs w:val="24"/>
                <w14:ligatures w14:val="standardContextual"/>
              </w:rPr>
              <w:tab/>
            </w:r>
            <w:r w:rsidRPr="00C8637D">
              <w:rPr>
                <w:rStyle w:val="Hyperlink"/>
                <w:noProof/>
              </w:rPr>
              <w:t>Reporting Requirements</w:t>
            </w:r>
            <w:r>
              <w:rPr>
                <w:noProof/>
                <w:webHidden/>
              </w:rPr>
              <w:tab/>
            </w:r>
            <w:r>
              <w:rPr>
                <w:noProof/>
                <w:webHidden/>
              </w:rPr>
              <w:fldChar w:fldCharType="begin"/>
            </w:r>
            <w:r>
              <w:rPr>
                <w:noProof/>
                <w:webHidden/>
              </w:rPr>
              <w:instrText xml:space="preserve"> PAGEREF _Toc233626474 \h </w:instrText>
            </w:r>
            <w:r>
              <w:rPr>
                <w:noProof/>
                <w:webHidden/>
              </w:rPr>
            </w:r>
            <w:r>
              <w:rPr>
                <w:noProof/>
                <w:webHidden/>
              </w:rPr>
              <w:fldChar w:fldCharType="separate"/>
            </w:r>
            <w:r>
              <w:rPr>
                <w:noProof/>
                <w:webHidden/>
              </w:rPr>
              <w:t>27</w:t>
            </w:r>
            <w:r>
              <w:rPr>
                <w:noProof/>
                <w:webHidden/>
              </w:rPr>
              <w:fldChar w:fldCharType="end"/>
            </w:r>
          </w:hyperlink>
        </w:p>
        <w:p w:rsidR="00D6367C" w:rsidRDefault="00D6367C" w14:paraId="02C2FA5C" w14:textId="64E9D072">
          <w:pPr>
            <w:pStyle w:val="TOC2"/>
            <w:tabs>
              <w:tab w:val="right" w:leader="dot" w:pos="9350"/>
            </w:tabs>
            <w:rPr>
              <w:rFonts w:asciiTheme="minorHAnsi" w:hAnsiTheme="minorHAnsi" w:cstheme="minorBidi"/>
              <w:noProof/>
              <w:kern w:val="2"/>
              <w:sz w:val="24"/>
              <w:szCs w:val="24"/>
              <w14:ligatures w14:val="standardContextual"/>
            </w:rPr>
          </w:pPr>
          <w:hyperlink w:history="1" w:anchor="_Toc233626475">
            <w:r w:rsidRPr="00C8637D">
              <w:rPr>
                <w:rStyle w:val="Hyperlink"/>
                <w:noProof/>
              </w:rPr>
              <w:t>4.3.</w:t>
            </w:r>
            <w:r>
              <w:rPr>
                <w:rFonts w:asciiTheme="minorHAnsi" w:hAnsiTheme="minorHAnsi" w:cstheme="minorBidi"/>
                <w:noProof/>
                <w:kern w:val="2"/>
                <w:sz w:val="24"/>
                <w:szCs w:val="24"/>
                <w14:ligatures w14:val="standardContextual"/>
              </w:rPr>
              <w:tab/>
            </w:r>
            <w:r w:rsidRPr="00C8637D">
              <w:rPr>
                <w:rStyle w:val="Hyperlink"/>
                <w:noProof/>
              </w:rPr>
              <w:t>Liberty and PacifiCorp SOMAH  Allocations for 2025 and 2026</w:t>
            </w:r>
            <w:r>
              <w:rPr>
                <w:noProof/>
                <w:webHidden/>
              </w:rPr>
              <w:tab/>
            </w:r>
            <w:r>
              <w:rPr>
                <w:noProof/>
                <w:webHidden/>
              </w:rPr>
              <w:fldChar w:fldCharType="begin"/>
            </w:r>
            <w:r>
              <w:rPr>
                <w:noProof/>
                <w:webHidden/>
              </w:rPr>
              <w:instrText xml:space="preserve"> PAGEREF _Toc233626475 \h </w:instrText>
            </w:r>
            <w:r>
              <w:rPr>
                <w:noProof/>
                <w:webHidden/>
              </w:rPr>
            </w:r>
            <w:r>
              <w:rPr>
                <w:noProof/>
                <w:webHidden/>
              </w:rPr>
              <w:fldChar w:fldCharType="separate"/>
            </w:r>
            <w:r>
              <w:rPr>
                <w:noProof/>
                <w:webHidden/>
              </w:rPr>
              <w:t>29</w:t>
            </w:r>
            <w:r>
              <w:rPr>
                <w:noProof/>
                <w:webHidden/>
              </w:rPr>
              <w:fldChar w:fldCharType="end"/>
            </w:r>
          </w:hyperlink>
        </w:p>
        <w:p w:rsidR="00D6367C" w:rsidRDefault="00D6367C" w14:paraId="0D0B56EB" w14:textId="75BEF6CB">
          <w:pPr>
            <w:pStyle w:val="TOC2"/>
            <w:tabs>
              <w:tab w:val="right" w:leader="dot" w:pos="9350"/>
            </w:tabs>
            <w:rPr>
              <w:rFonts w:asciiTheme="minorHAnsi" w:hAnsiTheme="minorHAnsi" w:cstheme="minorBidi"/>
              <w:noProof/>
              <w:kern w:val="2"/>
              <w:sz w:val="24"/>
              <w:szCs w:val="24"/>
              <w14:ligatures w14:val="standardContextual"/>
            </w:rPr>
          </w:pPr>
          <w:hyperlink w:history="1" w:anchor="_Toc233626476">
            <w:r w:rsidRPr="00C8637D">
              <w:rPr>
                <w:rStyle w:val="Hyperlink"/>
                <w:noProof/>
              </w:rPr>
              <w:t>4.4.</w:t>
            </w:r>
            <w:r>
              <w:rPr>
                <w:rFonts w:asciiTheme="minorHAnsi" w:hAnsiTheme="minorHAnsi" w:cstheme="minorBidi"/>
                <w:noProof/>
                <w:kern w:val="2"/>
                <w:sz w:val="24"/>
                <w:szCs w:val="24"/>
                <w14:ligatures w14:val="standardContextual"/>
              </w:rPr>
              <w:tab/>
            </w:r>
            <w:r w:rsidRPr="00C8637D">
              <w:rPr>
                <w:rStyle w:val="Hyperlink"/>
                <w:noProof/>
              </w:rPr>
              <w:t>Unused Funds and Accrued Interest</w:t>
            </w:r>
            <w:r>
              <w:rPr>
                <w:noProof/>
                <w:webHidden/>
              </w:rPr>
              <w:tab/>
            </w:r>
            <w:r>
              <w:rPr>
                <w:noProof/>
                <w:webHidden/>
              </w:rPr>
              <w:fldChar w:fldCharType="begin"/>
            </w:r>
            <w:r>
              <w:rPr>
                <w:noProof/>
                <w:webHidden/>
              </w:rPr>
              <w:instrText xml:space="preserve"> PAGEREF _Toc233626476 \h </w:instrText>
            </w:r>
            <w:r>
              <w:rPr>
                <w:noProof/>
                <w:webHidden/>
              </w:rPr>
            </w:r>
            <w:r>
              <w:rPr>
                <w:noProof/>
                <w:webHidden/>
              </w:rPr>
              <w:fldChar w:fldCharType="separate"/>
            </w:r>
            <w:r>
              <w:rPr>
                <w:noProof/>
                <w:webHidden/>
              </w:rPr>
              <w:t>33</w:t>
            </w:r>
            <w:r>
              <w:rPr>
                <w:noProof/>
                <w:webHidden/>
              </w:rPr>
              <w:fldChar w:fldCharType="end"/>
            </w:r>
          </w:hyperlink>
        </w:p>
        <w:p w:rsidR="00D6367C" w:rsidRDefault="00D6367C" w14:paraId="07123165" w14:textId="61F95CF5">
          <w:pPr>
            <w:pStyle w:val="TOC1"/>
            <w:tabs>
              <w:tab w:val="right" w:leader="dot" w:pos="9350"/>
            </w:tabs>
            <w:rPr>
              <w:rFonts w:asciiTheme="minorHAnsi" w:hAnsiTheme="minorHAnsi" w:cstheme="minorBidi"/>
              <w:noProof/>
              <w:kern w:val="2"/>
              <w:sz w:val="24"/>
              <w:szCs w:val="24"/>
              <w14:ligatures w14:val="standardContextual"/>
            </w:rPr>
          </w:pPr>
          <w:hyperlink w:history="1" w:anchor="_Toc233626477">
            <w:r w:rsidRPr="00C8637D">
              <w:rPr>
                <w:rStyle w:val="Hyperlink"/>
                <w:noProof/>
              </w:rPr>
              <w:t>5.</w:t>
            </w:r>
            <w:r>
              <w:rPr>
                <w:rFonts w:asciiTheme="minorHAnsi" w:hAnsiTheme="minorHAnsi" w:cstheme="minorBidi"/>
                <w:noProof/>
                <w:kern w:val="2"/>
                <w:sz w:val="24"/>
                <w:szCs w:val="24"/>
                <w14:ligatures w14:val="standardContextual"/>
              </w:rPr>
              <w:tab/>
            </w:r>
            <w:r w:rsidRPr="00C8637D">
              <w:rPr>
                <w:rStyle w:val="Hyperlink"/>
                <w:noProof/>
              </w:rPr>
              <w:t>Summary of Public Comment</w:t>
            </w:r>
            <w:r>
              <w:rPr>
                <w:noProof/>
                <w:webHidden/>
              </w:rPr>
              <w:tab/>
            </w:r>
            <w:r>
              <w:rPr>
                <w:noProof/>
                <w:webHidden/>
              </w:rPr>
              <w:fldChar w:fldCharType="begin"/>
            </w:r>
            <w:r>
              <w:rPr>
                <w:noProof/>
                <w:webHidden/>
              </w:rPr>
              <w:instrText xml:space="preserve"> PAGEREF _Toc233626477 \h </w:instrText>
            </w:r>
            <w:r>
              <w:rPr>
                <w:noProof/>
                <w:webHidden/>
              </w:rPr>
            </w:r>
            <w:r>
              <w:rPr>
                <w:noProof/>
                <w:webHidden/>
              </w:rPr>
              <w:fldChar w:fldCharType="separate"/>
            </w:r>
            <w:r>
              <w:rPr>
                <w:noProof/>
                <w:webHidden/>
              </w:rPr>
              <w:t>36</w:t>
            </w:r>
            <w:r>
              <w:rPr>
                <w:noProof/>
                <w:webHidden/>
              </w:rPr>
              <w:fldChar w:fldCharType="end"/>
            </w:r>
          </w:hyperlink>
        </w:p>
        <w:p w:rsidR="00D6367C" w:rsidRDefault="00D6367C" w14:paraId="5FFDA6C1" w14:textId="0368C372">
          <w:pPr>
            <w:pStyle w:val="TOC1"/>
            <w:tabs>
              <w:tab w:val="right" w:leader="dot" w:pos="9350"/>
            </w:tabs>
            <w:rPr>
              <w:rFonts w:asciiTheme="minorHAnsi" w:hAnsiTheme="minorHAnsi" w:cstheme="minorBidi"/>
              <w:noProof/>
              <w:kern w:val="2"/>
              <w:sz w:val="24"/>
              <w:szCs w:val="24"/>
              <w14:ligatures w14:val="standardContextual"/>
            </w:rPr>
          </w:pPr>
          <w:hyperlink w:history="1" w:anchor="_Toc233626478">
            <w:r w:rsidRPr="00C8637D">
              <w:rPr>
                <w:rStyle w:val="Hyperlink"/>
                <w:noProof/>
              </w:rPr>
              <w:t>6.</w:t>
            </w:r>
            <w:r>
              <w:rPr>
                <w:rFonts w:asciiTheme="minorHAnsi" w:hAnsiTheme="minorHAnsi" w:cstheme="minorBidi"/>
                <w:noProof/>
                <w:kern w:val="2"/>
                <w:sz w:val="24"/>
                <w:szCs w:val="24"/>
                <w14:ligatures w14:val="standardContextual"/>
              </w:rPr>
              <w:tab/>
            </w:r>
            <w:r w:rsidRPr="00C8637D">
              <w:rPr>
                <w:rStyle w:val="Hyperlink"/>
                <w:noProof/>
              </w:rPr>
              <w:t>Comments on Proposed Decision</w:t>
            </w:r>
            <w:r>
              <w:rPr>
                <w:noProof/>
                <w:webHidden/>
              </w:rPr>
              <w:tab/>
            </w:r>
            <w:r>
              <w:rPr>
                <w:noProof/>
                <w:webHidden/>
              </w:rPr>
              <w:fldChar w:fldCharType="begin"/>
            </w:r>
            <w:r>
              <w:rPr>
                <w:noProof/>
                <w:webHidden/>
              </w:rPr>
              <w:instrText xml:space="preserve"> PAGEREF _Toc233626478 \h </w:instrText>
            </w:r>
            <w:r>
              <w:rPr>
                <w:noProof/>
                <w:webHidden/>
              </w:rPr>
            </w:r>
            <w:r>
              <w:rPr>
                <w:noProof/>
                <w:webHidden/>
              </w:rPr>
              <w:fldChar w:fldCharType="separate"/>
            </w:r>
            <w:r>
              <w:rPr>
                <w:noProof/>
                <w:webHidden/>
              </w:rPr>
              <w:t>36</w:t>
            </w:r>
            <w:r>
              <w:rPr>
                <w:noProof/>
                <w:webHidden/>
              </w:rPr>
              <w:fldChar w:fldCharType="end"/>
            </w:r>
          </w:hyperlink>
        </w:p>
        <w:p w:rsidR="00D6367C" w:rsidRDefault="00D6367C" w14:paraId="20F3181B" w14:textId="5FDDC28C">
          <w:pPr>
            <w:pStyle w:val="TOC1"/>
            <w:tabs>
              <w:tab w:val="right" w:leader="dot" w:pos="9350"/>
            </w:tabs>
            <w:rPr>
              <w:rFonts w:asciiTheme="minorHAnsi" w:hAnsiTheme="minorHAnsi" w:cstheme="minorBidi"/>
              <w:noProof/>
              <w:kern w:val="2"/>
              <w:sz w:val="24"/>
              <w:szCs w:val="24"/>
              <w14:ligatures w14:val="standardContextual"/>
            </w:rPr>
          </w:pPr>
          <w:hyperlink w:history="1" w:anchor="_Toc233626479">
            <w:r w:rsidRPr="00C8637D">
              <w:rPr>
                <w:rStyle w:val="Hyperlink"/>
                <w:noProof/>
              </w:rPr>
              <w:t>7.</w:t>
            </w:r>
            <w:r>
              <w:rPr>
                <w:rFonts w:asciiTheme="minorHAnsi" w:hAnsiTheme="minorHAnsi" w:cstheme="minorBidi"/>
                <w:noProof/>
                <w:kern w:val="2"/>
                <w:sz w:val="24"/>
                <w:szCs w:val="24"/>
                <w14:ligatures w14:val="standardContextual"/>
              </w:rPr>
              <w:tab/>
            </w:r>
            <w:r w:rsidRPr="00C8637D">
              <w:rPr>
                <w:rStyle w:val="Hyperlink"/>
                <w:noProof/>
              </w:rPr>
              <w:t>Assignment of Proceeding</w:t>
            </w:r>
            <w:r>
              <w:rPr>
                <w:noProof/>
                <w:webHidden/>
              </w:rPr>
              <w:tab/>
            </w:r>
            <w:r>
              <w:rPr>
                <w:noProof/>
                <w:webHidden/>
              </w:rPr>
              <w:fldChar w:fldCharType="begin"/>
            </w:r>
            <w:r>
              <w:rPr>
                <w:noProof/>
                <w:webHidden/>
              </w:rPr>
              <w:instrText xml:space="preserve"> PAGEREF _Toc233626479 \h </w:instrText>
            </w:r>
            <w:r>
              <w:rPr>
                <w:noProof/>
                <w:webHidden/>
              </w:rPr>
            </w:r>
            <w:r>
              <w:rPr>
                <w:noProof/>
                <w:webHidden/>
              </w:rPr>
              <w:fldChar w:fldCharType="separate"/>
            </w:r>
            <w:r>
              <w:rPr>
                <w:noProof/>
                <w:webHidden/>
              </w:rPr>
              <w:t>42</w:t>
            </w:r>
            <w:r>
              <w:rPr>
                <w:noProof/>
                <w:webHidden/>
              </w:rPr>
              <w:fldChar w:fldCharType="end"/>
            </w:r>
          </w:hyperlink>
        </w:p>
        <w:p w:rsidR="00D6367C" w:rsidRDefault="00D6367C" w14:paraId="28F0762A" w14:textId="37D3941B">
          <w:pPr>
            <w:pStyle w:val="TOC1"/>
            <w:tabs>
              <w:tab w:val="right" w:leader="dot" w:pos="9350"/>
            </w:tabs>
            <w:rPr>
              <w:rFonts w:asciiTheme="minorHAnsi" w:hAnsiTheme="minorHAnsi" w:cstheme="minorBidi"/>
              <w:noProof/>
              <w:kern w:val="2"/>
              <w:sz w:val="24"/>
              <w:szCs w:val="24"/>
              <w14:ligatures w14:val="standardContextual"/>
            </w:rPr>
          </w:pPr>
          <w:hyperlink w:history="1" w:anchor="_Toc233626480">
            <w:r w:rsidRPr="00C8637D">
              <w:rPr>
                <w:rStyle w:val="Hyperlink"/>
                <w:noProof/>
              </w:rPr>
              <w:t>Findings of Fact</w:t>
            </w:r>
            <w:r>
              <w:rPr>
                <w:noProof/>
                <w:webHidden/>
              </w:rPr>
              <w:tab/>
            </w:r>
            <w:r>
              <w:rPr>
                <w:noProof/>
                <w:webHidden/>
              </w:rPr>
              <w:fldChar w:fldCharType="begin"/>
            </w:r>
            <w:r>
              <w:rPr>
                <w:noProof/>
                <w:webHidden/>
              </w:rPr>
              <w:instrText xml:space="preserve"> PAGEREF _Toc233626480 \h </w:instrText>
            </w:r>
            <w:r>
              <w:rPr>
                <w:noProof/>
                <w:webHidden/>
              </w:rPr>
            </w:r>
            <w:r>
              <w:rPr>
                <w:noProof/>
                <w:webHidden/>
              </w:rPr>
              <w:fldChar w:fldCharType="separate"/>
            </w:r>
            <w:r>
              <w:rPr>
                <w:noProof/>
                <w:webHidden/>
              </w:rPr>
              <w:t>42</w:t>
            </w:r>
            <w:r>
              <w:rPr>
                <w:noProof/>
                <w:webHidden/>
              </w:rPr>
              <w:fldChar w:fldCharType="end"/>
            </w:r>
          </w:hyperlink>
        </w:p>
        <w:p w:rsidR="00D6367C" w:rsidRDefault="00D6367C" w14:paraId="2BF1DF22" w14:textId="64D8976F">
          <w:pPr>
            <w:pStyle w:val="TOC1"/>
            <w:tabs>
              <w:tab w:val="right" w:leader="dot" w:pos="9350"/>
            </w:tabs>
            <w:rPr>
              <w:rFonts w:asciiTheme="minorHAnsi" w:hAnsiTheme="minorHAnsi" w:cstheme="minorBidi"/>
              <w:noProof/>
              <w:kern w:val="2"/>
              <w:sz w:val="24"/>
              <w:szCs w:val="24"/>
              <w14:ligatures w14:val="standardContextual"/>
            </w:rPr>
          </w:pPr>
          <w:hyperlink w:history="1" w:anchor="_Toc233626481">
            <w:r w:rsidRPr="00C8637D">
              <w:rPr>
                <w:rStyle w:val="Hyperlink"/>
                <w:noProof/>
              </w:rPr>
              <w:t>Conclusions of Law</w:t>
            </w:r>
            <w:r>
              <w:rPr>
                <w:noProof/>
                <w:webHidden/>
              </w:rPr>
              <w:tab/>
            </w:r>
            <w:r>
              <w:rPr>
                <w:noProof/>
                <w:webHidden/>
              </w:rPr>
              <w:fldChar w:fldCharType="begin"/>
            </w:r>
            <w:r>
              <w:rPr>
                <w:noProof/>
                <w:webHidden/>
              </w:rPr>
              <w:instrText xml:space="preserve"> PAGEREF _Toc233626481 \h </w:instrText>
            </w:r>
            <w:r>
              <w:rPr>
                <w:noProof/>
                <w:webHidden/>
              </w:rPr>
            </w:r>
            <w:r>
              <w:rPr>
                <w:noProof/>
                <w:webHidden/>
              </w:rPr>
              <w:fldChar w:fldCharType="separate"/>
            </w:r>
            <w:r>
              <w:rPr>
                <w:noProof/>
                <w:webHidden/>
              </w:rPr>
              <w:t>44</w:t>
            </w:r>
            <w:r>
              <w:rPr>
                <w:noProof/>
                <w:webHidden/>
              </w:rPr>
              <w:fldChar w:fldCharType="end"/>
            </w:r>
          </w:hyperlink>
        </w:p>
        <w:p w:rsidR="00D6367C" w:rsidRDefault="00D6367C" w14:paraId="7909E5D4" w14:textId="193298F3">
          <w:pPr>
            <w:pStyle w:val="TOC1"/>
            <w:tabs>
              <w:tab w:val="right" w:leader="dot" w:pos="9350"/>
            </w:tabs>
            <w:rPr>
              <w:rFonts w:asciiTheme="minorHAnsi" w:hAnsiTheme="minorHAnsi" w:cstheme="minorBidi"/>
              <w:noProof/>
              <w:kern w:val="2"/>
              <w:sz w:val="24"/>
              <w:szCs w:val="24"/>
              <w14:ligatures w14:val="standardContextual"/>
            </w:rPr>
          </w:pPr>
          <w:hyperlink w:history="1" w:anchor="_Toc233626482">
            <w:r w:rsidRPr="00C8637D">
              <w:rPr>
                <w:rStyle w:val="Hyperlink"/>
                <w:noProof/>
              </w:rPr>
              <w:t>ORDER</w:t>
            </w:r>
            <w:r>
              <w:rPr>
                <w:noProof/>
                <w:webHidden/>
              </w:rPr>
              <w:tab/>
            </w:r>
            <w:r>
              <w:rPr>
                <w:noProof/>
                <w:webHidden/>
              </w:rPr>
              <w:fldChar w:fldCharType="begin"/>
            </w:r>
            <w:r>
              <w:rPr>
                <w:noProof/>
                <w:webHidden/>
              </w:rPr>
              <w:instrText xml:space="preserve"> PAGEREF _Toc233626482 \h </w:instrText>
            </w:r>
            <w:r>
              <w:rPr>
                <w:noProof/>
                <w:webHidden/>
              </w:rPr>
            </w:r>
            <w:r>
              <w:rPr>
                <w:noProof/>
                <w:webHidden/>
              </w:rPr>
              <w:fldChar w:fldCharType="separate"/>
            </w:r>
            <w:r>
              <w:rPr>
                <w:noProof/>
                <w:webHidden/>
              </w:rPr>
              <w:t>45</w:t>
            </w:r>
            <w:r>
              <w:rPr>
                <w:noProof/>
                <w:webHidden/>
              </w:rPr>
              <w:fldChar w:fldCharType="end"/>
            </w:r>
          </w:hyperlink>
        </w:p>
        <w:p w:rsidR="00D82A43" w:rsidP="008C7413" w:rsidRDefault="008C7413" w14:paraId="429CD3F1" w14:textId="7B9B8AEE">
          <w:pPr>
            <w:pStyle w:val="TOC1"/>
            <w:tabs>
              <w:tab w:val="right" w:leader="dot" w:pos="9350"/>
            </w:tabs>
          </w:pPr>
          <w:r>
            <w:rPr>
              <w:rFonts w:asciiTheme="minorHAnsi" w:hAnsiTheme="minorHAnsi"/>
              <w:sz w:val="22"/>
            </w:rPr>
            <w:fldChar w:fldCharType="end"/>
          </w:r>
        </w:p>
      </w:sdtContent>
    </w:sdt>
    <w:p w:rsidR="00D44DB6" w:rsidP="00D44DB6" w:rsidRDefault="00D44DB6" w14:paraId="1B3164EB" w14:textId="77777777">
      <w:pPr>
        <w:spacing w:line="240" w:lineRule="auto"/>
        <w:ind w:firstLine="0"/>
        <w:rPr>
          <w:rFonts w:cs="Arial"/>
          <w:szCs w:val="26"/>
        </w:rPr>
      </w:pPr>
    </w:p>
    <w:p w:rsidRPr="00D44DB6" w:rsidR="00D44DB6" w:rsidP="00D44DB6" w:rsidRDefault="00D44DB6" w14:paraId="50F95B78" w14:textId="727E9169">
      <w:pPr>
        <w:spacing w:line="240" w:lineRule="auto"/>
        <w:ind w:firstLine="0"/>
        <w:rPr>
          <w:rFonts w:cs="Arial"/>
          <w:i/>
          <w:szCs w:val="26"/>
        </w:rPr>
        <w:sectPr w:rsidRPr="00D44DB6" w:rsidR="00D44DB6" w:rsidSect="00D44DB6">
          <w:headerReference w:type="default" r:id="rId15"/>
          <w:footerReference w:type="default" r:id="rId16"/>
          <w:pgSz w:w="12240" w:h="15840"/>
          <w:pgMar w:top="1728" w:right="1440" w:bottom="1440" w:left="1440" w:header="720" w:footer="720" w:gutter="0"/>
          <w:pgNumType w:fmt="lowerRoman" w:start="1"/>
          <w:cols w:space="720"/>
          <w:docGrid w:linePitch="360"/>
        </w:sectPr>
      </w:pPr>
    </w:p>
    <w:p w:rsidR="0098655A" w:rsidP="00D82A43" w:rsidRDefault="00005A2D" w14:paraId="0936EB1B" w14:textId="4ED4411C">
      <w:pPr>
        <w:pStyle w:val="Main"/>
        <w:spacing w:after="240"/>
      </w:pPr>
      <w:r>
        <w:lastRenderedPageBreak/>
        <w:t xml:space="preserve">DECISION MODIFYING THE SOLAR ON MULTIFAMILY </w:t>
      </w:r>
      <w:r w:rsidR="00344579">
        <w:br/>
      </w:r>
      <w:r>
        <w:t>AFFORDABLE HOUSING PROGRAM</w:t>
      </w:r>
    </w:p>
    <w:p w:rsidR="005A148C" w:rsidP="005A148C" w:rsidRDefault="005A148C" w14:paraId="1AE61C7D" w14:textId="77777777">
      <w:pPr>
        <w:pStyle w:val="Dummy"/>
      </w:pPr>
      <w:bookmarkStart w:name="_Toc8123714" w:id="1"/>
      <w:bookmarkStart w:name="_Toc233626458" w:id="2"/>
      <w:r>
        <w:t>Summary</w:t>
      </w:r>
      <w:bookmarkEnd w:id="1"/>
      <w:bookmarkEnd w:id="2"/>
    </w:p>
    <w:p w:rsidR="00FB33FE" w:rsidP="006E6574" w:rsidRDefault="00BD0C46" w14:paraId="005F5CF5" w14:textId="32D356ED">
      <w:pPr>
        <w:pStyle w:val="Standard"/>
      </w:pPr>
      <w:r>
        <w:t xml:space="preserve">This decision addresses proposals to modify the Solar on Multifamily Affordable Housing (SOMAH) program and institute reporting and remaining funds requirements for the program’s statutorily mandated conclusion in 2032. </w:t>
      </w:r>
      <w:r w:rsidR="00235A22">
        <w:t>This decision</w:t>
      </w:r>
      <w:r w:rsidR="003C0768">
        <w:t xml:space="preserve"> </w:t>
      </w:r>
      <w:r w:rsidR="0082744B">
        <w:t xml:space="preserve">orders </w:t>
      </w:r>
      <w:r w:rsidR="00FB33FE">
        <w:t>Pacific Gas and Electric Company, San Diego Gas &amp; Electric Company, Southern California Edison Company, Liberty Utilities</w:t>
      </w:r>
      <w:r w:rsidR="5482343A">
        <w:t>,</w:t>
      </w:r>
      <w:r w:rsidR="00FE43F8">
        <w:t xml:space="preserve"> LLC</w:t>
      </w:r>
      <w:r w:rsidR="00FB33FE">
        <w:t xml:space="preserve"> (Liberty), and PacifiCorp (collectively</w:t>
      </w:r>
      <w:r w:rsidR="3D739D62">
        <w:t>,</w:t>
      </w:r>
      <w:r w:rsidR="00FB33FE">
        <w:t xml:space="preserve"> the IOUs) to </w:t>
      </w:r>
      <w:r w:rsidR="00255D49">
        <w:t>include in their January 2027 Joint Semi-annual Administrative Expense Report the six-month interest rate and to</w:t>
      </w:r>
      <w:r w:rsidR="009D20E3">
        <w:t>t</w:t>
      </w:r>
      <w:r w:rsidR="00255D49">
        <w:t>al accrued interest in their SOMAH balancing accounts</w:t>
      </w:r>
      <w:r w:rsidR="00FB33FE">
        <w:t xml:space="preserve">. This decision also orders the IOUs </w:t>
      </w:r>
      <w:r w:rsidR="00235A22">
        <w:t xml:space="preserve">to </w:t>
      </w:r>
      <w:r w:rsidR="00A562A2">
        <w:t xml:space="preserve">submit a Tier 2 </w:t>
      </w:r>
      <w:r w:rsidR="36D650FB">
        <w:t>a</w:t>
      </w:r>
      <w:r w:rsidR="00A562A2">
        <w:t xml:space="preserve">dvice </w:t>
      </w:r>
      <w:r w:rsidR="467AEB4C">
        <w:t>l</w:t>
      </w:r>
      <w:r w:rsidR="00A562A2">
        <w:t>etter by December 31, 2033</w:t>
      </w:r>
      <w:r w:rsidR="14B43045">
        <w:t>,</w:t>
      </w:r>
      <w:r w:rsidR="00A562A2">
        <w:t xml:space="preserve"> with </w:t>
      </w:r>
      <w:r w:rsidR="00235A22">
        <w:t xml:space="preserve">a final </w:t>
      </w:r>
      <w:r w:rsidR="00255D49">
        <w:t>SOMAH budget</w:t>
      </w:r>
      <w:r w:rsidR="00235A22">
        <w:t xml:space="preserve"> </w:t>
      </w:r>
      <w:r w:rsidR="00303288">
        <w:t xml:space="preserve">expenditure </w:t>
      </w:r>
      <w:r w:rsidRPr="00242854" w:rsidR="00235A22">
        <w:t>report</w:t>
      </w:r>
      <w:r w:rsidR="00255D49">
        <w:t xml:space="preserve"> including data from their Joint Semi-annual Administrative Expense Report </w:t>
      </w:r>
      <w:r w:rsidR="00450C2D">
        <w:rPr>
          <w:rStyle w:val="FootnoteReference"/>
        </w:rPr>
        <w:footnoteReference w:id="2"/>
      </w:r>
      <w:r w:rsidR="00235A22">
        <w:t>.</w:t>
      </w:r>
      <w:r w:rsidR="002B2903">
        <w:t xml:space="preserve"> Energy Division staff may propose modifications to the final budget expenditure report </w:t>
      </w:r>
      <w:r w:rsidR="00B34419">
        <w:t xml:space="preserve">content </w:t>
      </w:r>
      <w:r w:rsidR="006163B8">
        <w:t>and</w:t>
      </w:r>
      <w:r w:rsidR="00B34419">
        <w:t xml:space="preserve"> timeline requirements </w:t>
      </w:r>
      <w:r w:rsidR="002B2903">
        <w:t xml:space="preserve">via </w:t>
      </w:r>
      <w:r w:rsidR="006163B8">
        <w:t>r</w:t>
      </w:r>
      <w:r w:rsidR="002B2903">
        <w:t>esolution in response to regulatory or legislative changes.</w:t>
      </w:r>
    </w:p>
    <w:p w:rsidR="00FB33FE" w:rsidP="00FB33FE" w:rsidRDefault="00235A22" w14:paraId="7B5310F4" w14:textId="4D4F23A6">
      <w:pPr>
        <w:pStyle w:val="OP"/>
        <w:numPr>
          <w:ilvl w:val="0"/>
          <w:numId w:val="0"/>
        </w:numPr>
        <w:ind w:firstLine="540"/>
      </w:pPr>
      <w:r>
        <w:t xml:space="preserve">This decision </w:t>
      </w:r>
      <w:r w:rsidR="0082744B">
        <w:t>a</w:t>
      </w:r>
      <w:r w:rsidR="00FB33FE">
        <w:t>uthorize</w:t>
      </w:r>
      <w:r w:rsidR="0082744B">
        <w:t>s Liberty and PacifiCorp to</w:t>
      </w:r>
      <w:r w:rsidR="00FB33FE">
        <w:t xml:space="preserve"> </w:t>
      </w:r>
      <w:r w:rsidR="00255D49">
        <w:t xml:space="preserve">propose the </w:t>
      </w:r>
      <w:r w:rsidR="00FB33FE">
        <w:t>return</w:t>
      </w:r>
      <w:r w:rsidR="00255D49">
        <w:t xml:space="preserve"> of</w:t>
      </w:r>
      <w:r w:rsidR="00A64450">
        <w:t>,</w:t>
      </w:r>
      <w:r w:rsidR="00255D49">
        <w:t xml:space="preserve"> at a minimum</w:t>
      </w:r>
      <w:r w:rsidR="00A64450">
        <w:t>,</w:t>
      </w:r>
      <w:r w:rsidR="00FB33FE">
        <w:t xml:space="preserve"> unused SOMAH funds collected in 2025 and the first half of 2026 to customers </w:t>
      </w:r>
      <w:r w:rsidR="00255D49">
        <w:t xml:space="preserve">via </w:t>
      </w:r>
      <w:r w:rsidRPr="00255D49" w:rsidR="00255D49">
        <w:t>the Residential and Small Business Climate Credi</w:t>
      </w:r>
      <w:r w:rsidR="00255D49">
        <w:t>t as part of their 2027 Energy Cost Adjustment Clause</w:t>
      </w:r>
      <w:r w:rsidRPr="00255D49" w:rsidDel="00255D49" w:rsidR="00255D49">
        <w:t xml:space="preserve"> </w:t>
      </w:r>
      <w:r w:rsidR="00255D49">
        <w:t>application. The decision authorizes Liberty and PacifiCorp to propose the return of additional SOMAH funds in future Energy Cost Adjustment Clause applications</w:t>
      </w:r>
      <w:r w:rsidR="002B2903">
        <w:t xml:space="preserve"> </w:t>
      </w:r>
      <w:r w:rsidR="006163B8">
        <w:t xml:space="preserve">at </w:t>
      </w:r>
      <w:r w:rsidR="00E10013">
        <w:t>annual</w:t>
      </w:r>
      <w:r w:rsidR="002B2903">
        <w:t xml:space="preserve"> amount</w:t>
      </w:r>
      <w:r w:rsidR="00980CBF">
        <w:t>s</w:t>
      </w:r>
      <w:r w:rsidR="002B2903">
        <w:t xml:space="preserve"> </w:t>
      </w:r>
      <w:r w:rsidR="006163B8">
        <w:t xml:space="preserve">of </w:t>
      </w:r>
      <w:r w:rsidR="002B2903">
        <w:t xml:space="preserve">up </w:t>
      </w:r>
      <w:r w:rsidR="29F8CFE8">
        <w:t>to</w:t>
      </w:r>
      <w:r w:rsidR="00A51956">
        <w:t xml:space="preserve"> $0.</w:t>
      </w:r>
      <w:r w:rsidR="000848F3">
        <w:t>38</w:t>
      </w:r>
      <w:r w:rsidR="00A51956">
        <w:t xml:space="preserve"> million and $1.84 million, for Liberty and PacifiCorp respectively, in their </w:t>
      </w:r>
      <w:r w:rsidR="00A51956">
        <w:lastRenderedPageBreak/>
        <w:t xml:space="preserve">2028 </w:t>
      </w:r>
      <w:r w:rsidRPr="004F122B" w:rsidR="00A51956">
        <w:t>Energy Cost Adjustment Clause</w:t>
      </w:r>
      <w:r w:rsidR="00A51956">
        <w:t xml:space="preserve"> applications and </w:t>
      </w:r>
      <w:r w:rsidRPr="004F122B" w:rsidR="00A51956">
        <w:t xml:space="preserve">in </w:t>
      </w:r>
      <w:r w:rsidR="00A51956">
        <w:t xml:space="preserve">subsequent year </w:t>
      </w:r>
      <w:r w:rsidRPr="004F122B" w:rsidR="00A51956">
        <w:t>applications</w:t>
      </w:r>
      <w:r w:rsidR="00255D49">
        <w:t xml:space="preserve">. </w:t>
      </w:r>
    </w:p>
    <w:p w:rsidR="00190D05" w:rsidP="00FB33FE" w:rsidRDefault="00190D05" w14:paraId="6D297622" w14:textId="2A0750CD">
      <w:pPr>
        <w:pStyle w:val="OP"/>
        <w:numPr>
          <w:ilvl w:val="0"/>
          <w:numId w:val="0"/>
        </w:numPr>
        <w:ind w:firstLine="540"/>
      </w:pPr>
      <w:r>
        <w:t>This decision allows the SOMAH program administrator</w:t>
      </w:r>
      <w:r w:rsidR="00F17F13">
        <w:t xml:space="preserve"> and IOUs</w:t>
      </w:r>
      <w:r w:rsidR="004A2A60">
        <w:t>, via Tier 2 Advice Letter,</w:t>
      </w:r>
      <w:r>
        <w:t xml:space="preserve"> to </w:t>
      </w:r>
      <w:r w:rsidR="004A2A60">
        <w:t>seek approval</w:t>
      </w:r>
      <w:r w:rsidR="00BD0C46">
        <w:t xml:space="preserve"> </w:t>
      </w:r>
      <w:r>
        <w:t xml:space="preserve">to extend SOMAH administrative spending beyond </w:t>
      </w:r>
      <w:r w:rsidR="00BD0B0D">
        <w:t xml:space="preserve">December 31, </w:t>
      </w:r>
      <w:r>
        <w:t>2032</w:t>
      </w:r>
      <w:r w:rsidR="00A64450">
        <w:t>,</w:t>
      </w:r>
      <w:r>
        <w:t xml:space="preserve"> exclusively for program close-out tasks, application processing, and utility support in reviewing final incentive requests</w:t>
      </w:r>
      <w:r w:rsidR="7CFAEB13">
        <w:t>.</w:t>
      </w:r>
      <w:r>
        <w:t xml:space="preserve"> </w:t>
      </w:r>
      <w:r w:rsidR="40248295">
        <w:t>A</w:t>
      </w:r>
      <w:r>
        <w:t xml:space="preserve">ll such tasks </w:t>
      </w:r>
      <w:r w:rsidR="69288CA1">
        <w:t xml:space="preserve">must </w:t>
      </w:r>
      <w:proofErr w:type="gramStart"/>
      <w:r>
        <w:t>conclude</w:t>
      </w:r>
      <w:proofErr w:type="gramEnd"/>
      <w:r>
        <w:t xml:space="preserve"> by the filing of the SOMAH </w:t>
      </w:r>
      <w:r w:rsidR="00303288">
        <w:t>budget expenditure</w:t>
      </w:r>
      <w:r>
        <w:t xml:space="preserve"> report Tier 2 </w:t>
      </w:r>
      <w:r w:rsidR="69BF78EB">
        <w:t>a</w:t>
      </w:r>
      <w:r>
        <w:t xml:space="preserve">dvice </w:t>
      </w:r>
      <w:r w:rsidR="40763B49">
        <w:t>l</w:t>
      </w:r>
      <w:r>
        <w:t>etters ordered in this decision.</w:t>
      </w:r>
    </w:p>
    <w:p w:rsidR="00FB33FE" w:rsidP="00FB33FE" w:rsidRDefault="00FB33FE" w14:paraId="419B08AB" w14:textId="4FC2BB47">
      <w:pPr>
        <w:pStyle w:val="Standard"/>
        <w:ind w:firstLine="540"/>
      </w:pPr>
      <w:r>
        <w:t xml:space="preserve">This decision directs the IOUs to use accrued interest on SOMAH funds to offset </w:t>
      </w:r>
      <w:r w:rsidR="00FE43F8">
        <w:t xml:space="preserve">the </w:t>
      </w:r>
      <w:r>
        <w:t>SOMAH budget allocations</w:t>
      </w:r>
      <w:r w:rsidR="00FE43F8">
        <w:t xml:space="preserve"> scheduled for the first half of 2026</w:t>
      </w:r>
      <w:r>
        <w:t>.</w:t>
      </w:r>
    </w:p>
    <w:p w:rsidR="00FB33FE" w:rsidP="00FB33FE" w:rsidRDefault="00FB33FE" w14:paraId="27A3900F" w14:textId="0477375E">
      <w:pPr>
        <w:pStyle w:val="Standard"/>
        <w:ind w:firstLine="540"/>
      </w:pPr>
      <w:r>
        <w:t>Finally, t</w:t>
      </w:r>
      <w:r w:rsidR="0082744B">
        <w:t>h</w:t>
      </w:r>
      <w:r>
        <w:t>e</w:t>
      </w:r>
      <w:r w:rsidR="0082744B">
        <w:t xml:space="preserve"> decision</w:t>
      </w:r>
      <w:r>
        <w:t xml:space="preserve"> orders</w:t>
      </w:r>
      <w:r w:rsidR="0082744B">
        <w:t xml:space="preserve"> the IOUs to return unused SOMAH funds</w:t>
      </w:r>
      <w:r w:rsidR="18465E86">
        <w:t>, including accrued interest,</w:t>
      </w:r>
      <w:r w:rsidR="0082744B">
        <w:t xml:space="preserve"> to their greenhouse gas revenue accounts upon the disposition of their final </w:t>
      </w:r>
      <w:r w:rsidR="00303288">
        <w:t>budget expenditure</w:t>
      </w:r>
      <w:r w:rsidR="0082744B">
        <w:t xml:space="preserve"> report Tier 2 </w:t>
      </w:r>
      <w:r w:rsidR="728F6AA6">
        <w:t>a</w:t>
      </w:r>
      <w:r w:rsidR="0082744B">
        <w:t xml:space="preserve">dvice </w:t>
      </w:r>
      <w:r w:rsidR="37843FC4">
        <w:t>l</w:t>
      </w:r>
      <w:r w:rsidR="0082744B">
        <w:t>etter</w:t>
      </w:r>
      <w:r w:rsidR="005C7581">
        <w:t>s</w:t>
      </w:r>
      <w:r w:rsidR="0082744B">
        <w:t xml:space="preserve"> at program</w:t>
      </w:r>
      <w:r w:rsidR="002F5470">
        <w:t xml:space="preserve"> close</w:t>
      </w:r>
      <w:r w:rsidR="0082744B">
        <w:t xml:space="preserve">. </w:t>
      </w:r>
    </w:p>
    <w:p w:rsidR="00A02333" w:rsidP="0082744B" w:rsidRDefault="0082744B" w14:paraId="7B75632F" w14:textId="77777777">
      <w:pPr>
        <w:pStyle w:val="Standard"/>
      </w:pPr>
      <w:r>
        <w:t xml:space="preserve">This decision does not add property types to those </w:t>
      </w:r>
      <w:r w:rsidR="00FE43F8">
        <w:t xml:space="preserve">property types </w:t>
      </w:r>
      <w:r>
        <w:t>eligible to receive SOMAH incentives.</w:t>
      </w:r>
    </w:p>
    <w:p w:rsidR="0073353F" w:rsidP="0082744B" w:rsidRDefault="002F5470" w14:paraId="37585629" w14:textId="57192A37">
      <w:pPr>
        <w:pStyle w:val="Standard"/>
      </w:pPr>
      <w:r>
        <w:t>The proceeding remains open.</w:t>
      </w:r>
    </w:p>
    <w:p w:rsidRPr="00121089" w:rsidR="005A148C" w:rsidP="00A55ACD" w:rsidRDefault="002C7FE9" w14:paraId="52EE3670" w14:textId="77777777">
      <w:pPr>
        <w:pStyle w:val="Heading1"/>
        <w:numPr>
          <w:ilvl w:val="0"/>
          <w:numId w:val="1"/>
        </w:numPr>
      </w:pPr>
      <w:bookmarkStart w:name="_Toc8123715" w:id="3"/>
      <w:bookmarkStart w:name="_Toc233626459" w:id="4"/>
      <w:r w:rsidRPr="00121089">
        <w:t>Background</w:t>
      </w:r>
      <w:bookmarkEnd w:id="3"/>
      <w:bookmarkEnd w:id="4"/>
    </w:p>
    <w:p w:rsidRPr="005708E9" w:rsidR="005708E9" w:rsidP="005708E9" w:rsidRDefault="00AF489A" w14:paraId="2AB7B674" w14:textId="09A61C2E">
      <w:pPr>
        <w:pStyle w:val="Standard"/>
      </w:pPr>
      <w:r>
        <w:t xml:space="preserve">In 2007, the Commission launched the California Solar Initiative as part of a statewide campaign to install 3,000 megawatts (MW) of new distributed solar </w:t>
      </w:r>
      <w:r w:rsidR="00EB7CB4">
        <w:t xml:space="preserve">generation </w:t>
      </w:r>
      <w:r>
        <w:t xml:space="preserve">and transform the market for solar energy by reducing the cost of solar generating equipment. Over a 10-year period, the Commission authorized $2.5 billion </w:t>
      </w:r>
      <w:r w:rsidR="3948B3FB">
        <w:t>in</w:t>
      </w:r>
      <w:r>
        <w:t xml:space="preserve"> ratepayer funds for payments to incentivize solar system installations, with </w:t>
      </w:r>
      <w:r w:rsidR="00A02333">
        <w:t>10</w:t>
      </w:r>
      <w:r>
        <w:t xml:space="preserve"> percent dedicated to low-income residential customers and affordable housing projects through two programs: the Single Family Affordable </w:t>
      </w:r>
      <w:r>
        <w:lastRenderedPageBreak/>
        <w:t xml:space="preserve">Solar Homes </w:t>
      </w:r>
      <w:r w:rsidR="001977EE">
        <w:t>(SASH)</w:t>
      </w:r>
      <w:r>
        <w:t xml:space="preserve"> program and the Multifamily Affordable Solar </w:t>
      </w:r>
      <w:r w:rsidRPr="007F1BC6" w:rsidR="007F1BC6">
        <w:t>Housing</w:t>
      </w:r>
      <w:r>
        <w:t xml:space="preserve"> (MASH) program. </w:t>
      </w:r>
    </w:p>
    <w:p w:rsidR="00115EE9" w:rsidP="005708E9" w:rsidRDefault="00AF489A" w14:paraId="3B98177F" w14:textId="3C306DBC">
      <w:pPr>
        <w:pStyle w:val="Standard"/>
      </w:pPr>
      <w:r>
        <w:t>A</w:t>
      </w:r>
      <w:r w:rsidR="00A02333">
        <w:t xml:space="preserve">ssembly </w:t>
      </w:r>
      <w:r>
        <w:t>B</w:t>
      </w:r>
      <w:r w:rsidR="00A02333">
        <w:t>ill (AB)</w:t>
      </w:r>
      <w:r>
        <w:t xml:space="preserve"> 693 (Stats. 2015, Ch. 582) adopted a successor to the MASH program</w:t>
      </w:r>
      <w:r w:rsidR="007D2789">
        <w:t>,</w:t>
      </w:r>
      <w:r>
        <w:t xml:space="preserve"> </w:t>
      </w:r>
      <w:r w:rsidR="00115EE9">
        <w:t xml:space="preserve">the Solar on Multifamily Affordable Housing (SOMAH) program. </w:t>
      </w:r>
      <w:r w:rsidR="00066254">
        <w:t>In the legislative findings, t</w:t>
      </w:r>
      <w:r w:rsidR="00BD0C46">
        <w:t>he bill specifically stated that “[</w:t>
      </w:r>
      <w:proofErr w:type="spellStart"/>
      <w:r w:rsidR="00BD0C46">
        <w:t>i</w:t>
      </w:r>
      <w:proofErr w:type="spellEnd"/>
      <w:r w:rsidR="00BD0C46">
        <w:t>]</w:t>
      </w:r>
      <w:r w:rsidRPr="00BD0C46" w:rsidR="00BD0C46">
        <w:t>t is necessary to provide assistance to low-income utility customers to make sure they can afford to pay their energy bills</w:t>
      </w:r>
      <w:r w:rsidR="00BD0C46">
        <w:t>” and “[</w:t>
      </w:r>
      <w:proofErr w:type="spellStart"/>
      <w:r w:rsidR="00BD0C46">
        <w:t>i</w:t>
      </w:r>
      <w:proofErr w:type="spellEnd"/>
      <w:r w:rsidR="00BD0C46">
        <w:t>]t</w:t>
      </w:r>
      <w:r w:rsidRPr="00BD0C46" w:rsidR="00BD0C46">
        <w:t> is the goal of the state to make qualifying solar energy systems more accessible to low-income and disadvantaged communities and, as in the case of the Multifamily Affordable Housing Solar Roofs Program, to install those systems in a manner that represents the geographic diversity of the state.</w:t>
      </w:r>
      <w:r w:rsidR="00BD0C46">
        <w:t>”</w:t>
      </w:r>
      <w:r w:rsidR="00BD0C46">
        <w:rPr>
          <w:rStyle w:val="FootnoteReference"/>
        </w:rPr>
        <w:footnoteReference w:id="3"/>
      </w:r>
      <w:r w:rsidR="00BD0C46">
        <w:t xml:space="preserve"> </w:t>
      </w:r>
      <w:r w:rsidR="00115EE9">
        <w:t xml:space="preserve">The SOMAH program provides </w:t>
      </w:r>
      <w:r w:rsidR="005708E9">
        <w:t>incentive</w:t>
      </w:r>
      <w:r w:rsidR="00115EE9">
        <w:t>s</w:t>
      </w:r>
      <w:r w:rsidR="005708E9">
        <w:t xml:space="preserve"> to encourage solar energy systems to serve multifamily affordable housing with up to $100</w:t>
      </w:r>
      <w:r w:rsidR="00A02333">
        <w:t xml:space="preserve"> million</w:t>
      </w:r>
      <w:r w:rsidR="005708E9">
        <w:t xml:space="preserve"> annually (from 2016 to June 2026) in funding from Pacific Gas and Electric Company’s</w:t>
      </w:r>
      <w:r w:rsidR="001C23DB">
        <w:t xml:space="preserve"> (PG&amp;E)</w:t>
      </w:r>
      <w:r w:rsidR="005708E9">
        <w:t>, San Diego Gas &amp; Electric Company’s</w:t>
      </w:r>
      <w:r w:rsidR="001C23DB">
        <w:t xml:space="preserve"> (SDG&amp;E)</w:t>
      </w:r>
      <w:r w:rsidR="005708E9">
        <w:t>, Southern California Edison Company’s</w:t>
      </w:r>
      <w:r w:rsidR="001C23DB">
        <w:t xml:space="preserve"> (SCE)</w:t>
      </w:r>
      <w:r w:rsidR="005708E9">
        <w:t>, Liberty Utilities</w:t>
      </w:r>
      <w:r w:rsidR="00A02333">
        <w:t xml:space="preserve"> LLC</w:t>
      </w:r>
      <w:r w:rsidR="005708E9">
        <w:t>’</w:t>
      </w:r>
      <w:r w:rsidR="00A02333">
        <w:t>s</w:t>
      </w:r>
      <w:r w:rsidR="001C23DB">
        <w:t xml:space="preserve"> (Liberty)</w:t>
      </w:r>
      <w:r w:rsidR="005708E9">
        <w:t>, and PacifiCorp’s (collectively</w:t>
      </w:r>
      <w:r w:rsidR="131ED013">
        <w:t>,</w:t>
      </w:r>
      <w:r w:rsidR="005708E9">
        <w:t xml:space="preserve"> the IOUs) share of greenhouse gas (GHG) allowance auction proceeds. </w:t>
      </w:r>
    </w:p>
    <w:p w:rsidRPr="005708E9" w:rsidR="005708E9" w:rsidP="005708E9" w:rsidRDefault="00027C96" w14:paraId="06582B3F" w14:textId="087A96FB">
      <w:pPr>
        <w:pStyle w:val="Standard"/>
      </w:pPr>
      <w:r>
        <w:t xml:space="preserve">Among other things, </w:t>
      </w:r>
      <w:r w:rsidR="00C5680C">
        <w:t xml:space="preserve">Senate Bill (SB) 355 (Stats. 2023, Ch. 393) later </w:t>
      </w:r>
      <w:r w:rsidR="62AE09C4">
        <w:t>extended</w:t>
      </w:r>
      <w:r w:rsidR="00C5680C">
        <w:t xml:space="preserve"> </w:t>
      </w:r>
      <w:r w:rsidR="00C447E2">
        <w:t>the</w:t>
      </w:r>
      <w:r w:rsidR="00C5680C">
        <w:t xml:space="preserve"> SOMAH </w:t>
      </w:r>
      <w:r w:rsidR="00C447E2">
        <w:t xml:space="preserve">program </w:t>
      </w:r>
      <w:r w:rsidR="3974A544">
        <w:t>and its</w:t>
      </w:r>
      <w:r w:rsidR="00C5680C">
        <w:t xml:space="preserve"> </w:t>
      </w:r>
      <w:r w:rsidR="00C447E2">
        <w:t xml:space="preserve">target </w:t>
      </w:r>
      <w:r w:rsidR="00C5680C">
        <w:t>install</w:t>
      </w:r>
      <w:r w:rsidR="00C447E2">
        <w:t>ation of</w:t>
      </w:r>
      <w:r w:rsidR="00C5680C">
        <w:t xml:space="preserve"> a</w:t>
      </w:r>
      <w:r w:rsidR="00834AB8">
        <w:t xml:space="preserve"> </w:t>
      </w:r>
      <w:r w:rsidR="00C5680C">
        <w:t xml:space="preserve">combined generating capacity of at least 300 MW on qualified properties </w:t>
      </w:r>
      <w:r w:rsidR="0A586D30">
        <w:t>to</w:t>
      </w:r>
      <w:r w:rsidR="00C5680C">
        <w:t xml:space="preserve"> </w:t>
      </w:r>
      <w:r w:rsidR="0A586D30">
        <w:t>December 31,</w:t>
      </w:r>
      <w:r w:rsidR="00C5680C">
        <w:t xml:space="preserve"> 2032</w:t>
      </w:r>
      <w:r w:rsidR="00115EE9">
        <w:t>.</w:t>
      </w:r>
      <w:r w:rsidR="00C5680C">
        <w:t xml:space="preserve"> </w:t>
      </w:r>
      <w:r w:rsidR="00115EE9">
        <w:t xml:space="preserve">It also </w:t>
      </w:r>
      <w:r w:rsidR="00C5680C">
        <w:t>directed the Commission to triennially evaluate program expenditures and performance metrics</w:t>
      </w:r>
      <w:r w:rsidR="00115EE9">
        <w:t>,</w:t>
      </w:r>
      <w:r w:rsidR="00C5680C">
        <w:t xml:space="preserve"> and to make any adjustments necessary to ensure progress toward program goals.</w:t>
      </w:r>
      <w:r w:rsidR="00AC3DC9">
        <w:t xml:space="preserve"> SB 355 expanded the types of </w:t>
      </w:r>
      <w:r w:rsidR="00AC3DC9">
        <w:lastRenderedPageBreak/>
        <w:t>properties eligible to participate in SOMAH</w:t>
      </w:r>
      <w:r w:rsidR="00841A11">
        <w:t>,</w:t>
      </w:r>
      <w:r w:rsidR="006E638B">
        <w:t xml:space="preserve"> such as</w:t>
      </w:r>
      <w:r w:rsidR="00355702">
        <w:t xml:space="preserve"> </w:t>
      </w:r>
      <w:r w:rsidR="00AC3DC9">
        <w:t xml:space="preserve">properties owned by a </w:t>
      </w:r>
      <w:r w:rsidRPr="00AC3DC9" w:rsidR="00AC3DC9">
        <w:t>California Native American tribe</w:t>
      </w:r>
      <w:r w:rsidR="00115EE9">
        <w:t>.</w:t>
      </w:r>
      <w:r w:rsidR="00A26A48">
        <w:rPr>
          <w:rStyle w:val="FootnoteReference"/>
        </w:rPr>
        <w:footnoteReference w:id="4"/>
      </w:r>
    </w:p>
    <w:p w:rsidRPr="005708E9" w:rsidR="005708E9" w:rsidP="005708E9" w:rsidRDefault="005708E9" w14:paraId="5CC4A9E3" w14:textId="10347C07">
      <w:pPr>
        <w:pStyle w:val="Standard"/>
      </w:pPr>
      <w:r>
        <w:t>The Commission</w:t>
      </w:r>
      <w:r w:rsidR="5D6E6CD5">
        <w:t>,</w:t>
      </w:r>
      <w:r>
        <w:t xml:space="preserve"> in</w:t>
      </w:r>
      <w:r w:rsidR="003B5E64">
        <w:t xml:space="preserve"> Decision (</w:t>
      </w:r>
      <w:r>
        <w:t>D.</w:t>
      </w:r>
      <w:r w:rsidR="003B5E64">
        <w:t xml:space="preserve">) </w:t>
      </w:r>
      <w:r>
        <w:t>17-12-022</w:t>
      </w:r>
      <w:r w:rsidR="497621C0">
        <w:t>,</w:t>
      </w:r>
      <w:r>
        <w:t xml:space="preserve"> adopted requirements and implementation guidance for the SOMAH</w:t>
      </w:r>
      <w:r w:rsidR="7BE8E205">
        <w:t xml:space="preserve"> program</w:t>
      </w:r>
      <w:r w:rsidR="007D2789">
        <w:t>.</w:t>
      </w:r>
      <w:r>
        <w:t xml:space="preserve"> </w:t>
      </w:r>
      <w:r w:rsidR="007D2789">
        <w:t xml:space="preserve">D.17-12-022 </w:t>
      </w:r>
      <w:r>
        <w:t xml:space="preserve">built on the successes and lessons learned from the MASH program to incentivize solar photovoltaic </w:t>
      </w:r>
      <w:r w:rsidR="00487221">
        <w:t xml:space="preserve">(PV) </w:t>
      </w:r>
      <w:r>
        <w:t>systems with a focus on increasing tenant bill savings, workforce development, and</w:t>
      </w:r>
      <w:r w:rsidR="00CF5576">
        <w:t xml:space="preserve"> develop</w:t>
      </w:r>
      <w:r w:rsidR="00BA50CD">
        <w:t>ment of</w:t>
      </w:r>
      <w:r>
        <w:t xml:space="preserve"> projects in disadvantaged communities. D.17-12-022 also included program goals, eligibility requirements, program administration, program funding, program evaluation</w:t>
      </w:r>
      <w:r w:rsidR="007351EE">
        <w:t xml:space="preserve"> guidelines</w:t>
      </w:r>
      <w:r>
        <w:t xml:space="preserve">, </w:t>
      </w:r>
      <w:r w:rsidR="00A26A48">
        <w:t xml:space="preserve">the </w:t>
      </w:r>
      <w:r>
        <w:t xml:space="preserve">virtual </w:t>
      </w:r>
      <w:r w:rsidR="007823D9">
        <w:t>n</w:t>
      </w:r>
      <w:r>
        <w:t xml:space="preserve">et </w:t>
      </w:r>
      <w:r w:rsidR="007823D9">
        <w:t>e</w:t>
      </w:r>
      <w:r>
        <w:t xml:space="preserve">nergy </w:t>
      </w:r>
      <w:r w:rsidR="007823D9">
        <w:t>m</w:t>
      </w:r>
      <w:r>
        <w:t>etering (</w:t>
      </w:r>
      <w:r w:rsidR="0041582E">
        <w:t>V</w:t>
      </w:r>
      <w:r>
        <w:t xml:space="preserve">NEM) tariff, and guidance for selection of a statewide program administrator. </w:t>
      </w:r>
      <w:r w:rsidR="00406839">
        <w:t xml:space="preserve">Funding for SOMAH comes from the IOUs’ GHG allowance auction proceeds, which are largely overseen by the California Air Resources Board. SOMAH is one of the programs to which the Commission allocates funding through its authority under </w:t>
      </w:r>
      <w:r w:rsidR="003B5E64">
        <w:t>California Public Utilities (</w:t>
      </w:r>
      <w:r w:rsidR="00406839">
        <w:t>Pub. Util.</w:t>
      </w:r>
      <w:r w:rsidR="003B5E64">
        <w:t>)</w:t>
      </w:r>
      <w:r w:rsidR="00406839">
        <w:t xml:space="preserve"> Code Section 748.5</w:t>
      </w:r>
      <w:r w:rsidR="00D8304B">
        <w:t>(c)</w:t>
      </w:r>
      <w:r w:rsidR="00406839">
        <w:t>.</w:t>
      </w:r>
      <w:r w:rsidR="00E318D9">
        <w:rPr>
          <w:rStyle w:val="FootnoteReference"/>
        </w:rPr>
        <w:footnoteReference w:id="5"/>
      </w:r>
    </w:p>
    <w:p w:rsidR="00115EE9" w:rsidP="784CA886" w:rsidRDefault="005708E9" w14:paraId="227E65A7" w14:textId="221B8A0C">
      <w:pPr>
        <w:pStyle w:val="Standard"/>
      </w:pPr>
      <w:r w:rsidRPr="005708E9">
        <w:t>The Commission’s staff selected a statewide SOMAH Program Administrator (PA)</w:t>
      </w:r>
      <w:r w:rsidR="008E7A79">
        <w:t xml:space="preserve"> </w:t>
      </w:r>
      <w:r w:rsidR="00EB6B98">
        <w:softHyphen/>
      </w:r>
      <w:r w:rsidR="00693EC8">
        <w:t xml:space="preserve">team </w:t>
      </w:r>
      <w:r w:rsidR="00C23126">
        <w:t xml:space="preserve">— </w:t>
      </w:r>
      <w:r w:rsidR="00693EC8">
        <w:t xml:space="preserve">led by </w:t>
      </w:r>
      <w:r w:rsidR="004E220E">
        <w:t>the</w:t>
      </w:r>
      <w:r w:rsidR="00231A95">
        <w:t xml:space="preserve"> Center for Sustainable Energy (CSE)</w:t>
      </w:r>
      <w:r w:rsidR="00693EC8">
        <w:t xml:space="preserve"> consisting of Grid Alternatives (GRID), the California Housing Partnership Corporation</w:t>
      </w:r>
      <w:r w:rsidR="00F43C37">
        <w:t xml:space="preserve"> (CHPC)</w:t>
      </w:r>
      <w:r w:rsidR="00693EC8">
        <w:t>, and the Association for Energy Affordability</w:t>
      </w:r>
      <w:r w:rsidR="00D13F8E">
        <w:softHyphen/>
        <w:t xml:space="preserve"> </w:t>
      </w:r>
      <w:r w:rsidR="00C23126">
        <w:t>—</w:t>
      </w:r>
      <w:r w:rsidR="00C5680C">
        <w:t xml:space="preserve"> </w:t>
      </w:r>
      <w:r w:rsidRPr="005708E9">
        <w:t>via a competitive bidding process in March 2018, and the program began</w:t>
      </w:r>
      <w:r w:rsidR="00880C83">
        <w:softHyphen/>
      </w:r>
      <w:r w:rsidRPr="005708E9">
        <w:t xml:space="preserve"> accepting applications on July 1, 2019. In D.20-04-012, pursuant to Pub. Util. Code Section 2870(c), the Commission </w:t>
      </w:r>
      <w:r w:rsidR="55F528D8">
        <w:t>found</w:t>
      </w:r>
      <w:r w:rsidRPr="005708E9">
        <w:t xml:space="preserve"> that there was adequate interest in the program </w:t>
      </w:r>
      <w:r w:rsidRPr="005708E9">
        <w:lastRenderedPageBreak/>
        <w:t>and revenue available to continue funding through June 2026.</w:t>
      </w:r>
      <w:r w:rsidR="007A7040">
        <w:rPr>
          <w:rStyle w:val="FootnoteReference"/>
        </w:rPr>
        <w:footnoteReference w:id="6"/>
      </w:r>
      <w:r w:rsidRPr="005708E9">
        <w:t xml:space="preserve"> A series of Commission decisions </w:t>
      </w:r>
      <w:r w:rsidR="63900918">
        <w:t>modified</w:t>
      </w:r>
      <w:r w:rsidRPr="005708E9">
        <w:t xml:space="preserve"> the SOMAH program, most significantly </w:t>
      </w:r>
      <w:r w:rsidR="007D2789">
        <w:t>by</w:t>
      </w:r>
      <w:r w:rsidRPr="005708E9">
        <w:t xml:space="preserve"> </w:t>
      </w:r>
      <w:r w:rsidR="002869AD">
        <w:t xml:space="preserve">D.23-03-007 in March 2023, which </w:t>
      </w:r>
      <w:r w:rsidRPr="005708E9">
        <w:t>increas</w:t>
      </w:r>
      <w:r w:rsidR="002869AD">
        <w:t>ed</w:t>
      </w:r>
      <w:r w:rsidRPr="005708E9">
        <w:t xml:space="preserve"> incentive levels and eliminat</w:t>
      </w:r>
      <w:r w:rsidR="002869AD">
        <w:t>ed</w:t>
      </w:r>
      <w:r w:rsidRPr="005708E9">
        <w:t xml:space="preserve"> the annual step-down in incentives that D.17-12-022 established. </w:t>
      </w:r>
      <w:r w:rsidR="00C24885">
        <w:t>P</w:t>
      </w:r>
      <w:r w:rsidRPr="00C24885" w:rsidR="00C24885">
        <w:t>ursuant to Pub. Util. Code</w:t>
      </w:r>
      <w:r w:rsidR="0075361A">
        <w:t xml:space="preserve"> Section</w:t>
      </w:r>
      <w:r w:rsidRPr="00C24885" w:rsidR="00C24885">
        <w:t xml:space="preserve"> 2870(c)</w:t>
      </w:r>
      <w:r w:rsidR="00C24885">
        <w:t>, D.20-04-012 authorized the IOUs to continue allocating SOMAH funds</w:t>
      </w:r>
      <w:r w:rsidRPr="00C24885" w:rsidR="00C24885">
        <w:t xml:space="preserve"> through June 30, 2026</w:t>
      </w:r>
      <w:r w:rsidR="00C24885">
        <w:t>.</w:t>
      </w:r>
      <w:r w:rsidR="00C24885">
        <w:rPr>
          <w:rStyle w:val="FootnoteReference"/>
        </w:rPr>
        <w:footnoteReference w:id="7"/>
      </w:r>
      <w:r w:rsidRPr="00C24885" w:rsidR="00C24885">
        <w:t xml:space="preserve"> </w:t>
      </w:r>
    </w:p>
    <w:p w:rsidRPr="005708E9" w:rsidR="005708E9" w:rsidP="784CA886" w:rsidRDefault="005708E9" w14:paraId="5B585BA2" w14:textId="585A7D1B">
      <w:pPr>
        <w:pStyle w:val="Standard"/>
      </w:pPr>
      <w:r w:rsidRPr="005708E9">
        <w:t xml:space="preserve">In D.23-11-068, the Commission adopted modifications to the SOMAH </w:t>
      </w:r>
      <w:r w:rsidR="0041582E">
        <w:t>V</w:t>
      </w:r>
      <w:r w:rsidRPr="005708E9">
        <w:t>NEM tariff to facilitate installation of integrated battery storage for resiliency and to permit participation in demand response and emergency reliability programs.</w:t>
      </w:r>
      <w:r w:rsidR="001D6BA9">
        <w:rPr>
          <w:rStyle w:val="FootnoteReference"/>
        </w:rPr>
        <w:footnoteReference w:id="8"/>
      </w:r>
      <w:r w:rsidRPr="005708E9">
        <w:t xml:space="preserve"> The Commission also considered program modifications informed by the SOMAH Phase 2 Evaluation report completed in October 2021</w:t>
      </w:r>
      <w:r w:rsidRPr="005708E9" w:rsidR="7F7476B8">
        <w:t>.</w:t>
      </w:r>
      <w:r w:rsidRPr="005708E9">
        <w:t xml:space="preserve"> </w:t>
      </w:r>
      <w:r w:rsidRPr="005708E9" w:rsidR="0E50D7A6">
        <w:t>T</w:t>
      </w:r>
      <w:r w:rsidRPr="005708E9">
        <w:t xml:space="preserve">hose modifications were adopted in the decision closing </w:t>
      </w:r>
      <w:r w:rsidR="00531AAD">
        <w:t>Rulemaking (</w:t>
      </w:r>
      <w:r w:rsidRPr="005708E9">
        <w:t>R.</w:t>
      </w:r>
      <w:r w:rsidR="00531AAD">
        <w:t xml:space="preserve">) </w:t>
      </w:r>
      <w:r w:rsidRPr="005708E9">
        <w:t>14-07-002</w:t>
      </w:r>
      <w:r>
        <w:t>.</w:t>
      </w:r>
      <w:r w:rsidRPr="784CA886">
        <w:rPr>
          <w:rStyle w:val="FootnoteReference"/>
        </w:rPr>
        <w:footnoteReference w:id="9"/>
      </w:r>
      <w:r>
        <w:t xml:space="preserve"> </w:t>
      </w:r>
      <w:r w:rsidRPr="005708E9">
        <w:t>The July 2024 SOMAH Semi-Annual Progress report showed statewide applications for 79.86 MW of solar with an incentive budget of $169.6 million.</w:t>
      </w:r>
      <w:r w:rsidR="00B54CAA">
        <w:rPr>
          <w:rStyle w:val="FootnoteReference"/>
        </w:rPr>
        <w:footnoteReference w:id="10"/>
      </w:r>
    </w:p>
    <w:p w:rsidR="00115EE9" w:rsidP="00406839" w:rsidRDefault="00B101E2" w14:paraId="1B951664" w14:textId="1176607F">
      <w:pPr>
        <w:pStyle w:val="Standard"/>
      </w:pPr>
      <w:r>
        <w:t>SB 355</w:t>
      </w:r>
      <w:r w:rsidRPr="005708E9" w:rsidR="005708E9">
        <w:t xml:space="preserve"> extended the SOMAH program through December 31, 2032, and enacted several program modifications that require Commission deliberation to implement and remain outstanding a</w:t>
      </w:r>
      <w:r w:rsidR="00B6206E">
        <w:t>f</w:t>
      </w:r>
      <w:r w:rsidRPr="005708E9" w:rsidR="005708E9">
        <w:t>t</w:t>
      </w:r>
      <w:r w:rsidR="00B6206E">
        <w:t>er</w:t>
      </w:r>
      <w:r w:rsidRPr="005708E9" w:rsidR="005708E9">
        <w:t xml:space="preserve"> the close of R.14-07-002</w:t>
      </w:r>
      <w:r w:rsidR="005708E9">
        <w:t>.</w:t>
      </w:r>
      <w:r w:rsidR="00406839">
        <w:t xml:space="preserve"> </w:t>
      </w:r>
      <w:r w:rsidRPr="00DA6ECA" w:rsidR="00DA6ECA">
        <w:t xml:space="preserve">SB 355 </w:t>
      </w:r>
      <w:r w:rsidR="00DA6ECA">
        <w:t xml:space="preserve">also </w:t>
      </w:r>
      <w:r w:rsidRPr="00DA6ECA" w:rsidR="00DA6ECA">
        <w:t>added P</w:t>
      </w:r>
      <w:r w:rsidR="00115EE9">
        <w:t xml:space="preserve">ub. </w:t>
      </w:r>
      <w:r w:rsidRPr="00DA6ECA" w:rsidR="00DA6ECA">
        <w:t>U</w:t>
      </w:r>
      <w:r w:rsidR="00115EE9">
        <w:t xml:space="preserve">til. </w:t>
      </w:r>
      <w:r w:rsidRPr="00DA6ECA" w:rsidR="00DA6ECA">
        <w:t>C</w:t>
      </w:r>
      <w:r w:rsidR="00115EE9">
        <w:t>ode</w:t>
      </w:r>
      <w:r w:rsidRPr="00DA6ECA" w:rsidR="00DA6ECA">
        <w:t xml:space="preserve"> </w:t>
      </w:r>
      <w:r w:rsidR="00115EE9">
        <w:t>Section</w:t>
      </w:r>
      <w:r w:rsidRPr="00DA6ECA" w:rsidR="00DA6ECA">
        <w:t xml:space="preserve"> 2870(f)(8), which prohibits mon</w:t>
      </w:r>
      <w:r w:rsidR="00600877">
        <w:t>ies</w:t>
      </w:r>
      <w:r w:rsidRPr="00DA6ECA" w:rsidR="00DA6ECA">
        <w:t xml:space="preserve"> authorized through the SOMAH program from being used to meet energy efficiency requirements in the </w:t>
      </w:r>
      <w:r w:rsidR="00DA6ECA">
        <w:t xml:space="preserve">Title 24 energy code requirements </w:t>
      </w:r>
      <w:r w:rsidRPr="00DA6ECA" w:rsidR="00DA6ECA">
        <w:t xml:space="preserve">for new construction. </w:t>
      </w:r>
    </w:p>
    <w:p w:rsidR="00115EE9" w:rsidP="00406839" w:rsidRDefault="00231A95" w14:paraId="5D0DC730" w14:textId="2477E120">
      <w:pPr>
        <w:pStyle w:val="Standard"/>
      </w:pPr>
      <w:r>
        <w:lastRenderedPageBreak/>
        <w:t xml:space="preserve">The Commission partially </w:t>
      </w:r>
      <w:r w:rsidR="006C11F0">
        <w:t>implemented</w:t>
      </w:r>
      <w:r>
        <w:t xml:space="preserve"> SB 355 through CSE Advice Letter 147-E in February 2024</w:t>
      </w:r>
      <w:r w:rsidR="007D2789">
        <w:t>,</w:t>
      </w:r>
      <w:r w:rsidR="00DA6ECA">
        <w:t xml:space="preserve"> updating SOMAH’s Program Implementation Plan and Program Handbook to reflect new program timelines, income </w:t>
      </w:r>
      <w:r w:rsidR="009D20E3">
        <w:t>eligibility</w:t>
      </w:r>
      <w:r w:rsidR="00DA6ECA">
        <w:t xml:space="preserve"> pathways, and other details</w:t>
      </w:r>
      <w:r>
        <w:t>. In D.24-11-006, the Commission also adopted goals, metrics, and key performance indicators for the program.</w:t>
      </w:r>
      <w:r>
        <w:rPr>
          <w:rStyle w:val="FootnoteReference"/>
        </w:rPr>
        <w:footnoteReference w:id="11"/>
      </w:r>
      <w:r>
        <w:t xml:space="preserve"> </w:t>
      </w:r>
    </w:p>
    <w:p w:rsidRPr="005708E9" w:rsidR="005708E9" w:rsidP="00406839" w:rsidRDefault="00406839" w14:paraId="253F1491" w14:textId="0560A043">
      <w:pPr>
        <w:pStyle w:val="Standard"/>
      </w:pPr>
      <w:r>
        <w:t xml:space="preserve">AB 1207 (Stats. 2025, Ch. 748) made </w:t>
      </w:r>
      <w:r w:rsidRPr="00406839">
        <w:t xml:space="preserve">the </w:t>
      </w:r>
      <w:r>
        <w:t xml:space="preserve">state’s </w:t>
      </w:r>
      <w:r w:rsidRPr="00406839">
        <w:t>15</w:t>
      </w:r>
      <w:r>
        <w:t xml:space="preserve"> percent</w:t>
      </w:r>
      <w:r w:rsidRPr="00406839">
        <w:t xml:space="preserve"> allocation </w:t>
      </w:r>
      <w:r w:rsidR="000A0289">
        <w:t xml:space="preserve">of </w:t>
      </w:r>
      <w:r w:rsidR="00115EE9">
        <w:t>GHG</w:t>
      </w:r>
      <w:r w:rsidR="00B6454D">
        <w:t xml:space="preserve"> revenues </w:t>
      </w:r>
      <w:r w:rsidR="005E2DD5">
        <w:t xml:space="preserve">in </w:t>
      </w:r>
      <w:r w:rsidR="000A0289">
        <w:t>the California Transmission Accelerator Revolving Fund Program</w:t>
      </w:r>
      <w:r w:rsidRPr="00406839">
        <w:t xml:space="preserve"> for clean energy and energy efficiency projects inoperative on July 1, 2026.</w:t>
      </w:r>
    </w:p>
    <w:p w:rsidR="0063491C" w:rsidP="0063491C" w:rsidRDefault="0063491C" w14:paraId="17FCDD30" w14:textId="77777777">
      <w:pPr>
        <w:pStyle w:val="Heading2"/>
      </w:pPr>
      <w:bookmarkStart w:name="_Toc8123717" w:id="5"/>
      <w:bookmarkStart w:name="_Toc233626460" w:id="6"/>
      <w:r>
        <w:t>Procedural Background</w:t>
      </w:r>
      <w:bookmarkEnd w:id="5"/>
      <w:bookmarkEnd w:id="6"/>
    </w:p>
    <w:p w:rsidR="00552210" w:rsidP="00982F4F" w:rsidRDefault="00552210" w14:paraId="3AF90BD4" w14:textId="2604586D">
      <w:pPr>
        <w:pStyle w:val="Standard"/>
      </w:pPr>
      <w:r>
        <w:t>The Commission opened R.25-01-005 on January 16, 2025</w:t>
      </w:r>
      <w:r w:rsidR="034F5544">
        <w:t>,</w:t>
      </w:r>
      <w:r>
        <w:t xml:space="preserve"> </w:t>
      </w:r>
      <w:r w:rsidR="00FB0521">
        <w:t xml:space="preserve">in part, </w:t>
      </w:r>
      <w:r>
        <w:t>to implement SB 355 and consider other modifications to the SOMAH Program.</w:t>
      </w:r>
      <w:r>
        <w:rPr>
          <w:rStyle w:val="FootnoteReference"/>
        </w:rPr>
        <w:footnoteReference w:id="12"/>
      </w:r>
      <w:r>
        <w:t xml:space="preserve"> A prehearing conference was held on April 7, 2025, and an </w:t>
      </w:r>
      <w:r w:rsidR="00982F4F">
        <w:t>A</w:t>
      </w:r>
      <w:r>
        <w:t>ssigned Commissioner’s Scoping Memo and Ruling was issued on May 1, 2025</w:t>
      </w:r>
      <w:r w:rsidR="004B319F">
        <w:t>.</w:t>
      </w:r>
    </w:p>
    <w:p w:rsidR="00EE3060" w:rsidP="006E6574" w:rsidRDefault="00FB0521" w14:paraId="5ABE4AE9" w14:textId="0FC1123C">
      <w:pPr>
        <w:pStyle w:val="Standard"/>
      </w:pPr>
      <w:r>
        <w:t>On</w:t>
      </w:r>
      <w:r w:rsidR="00231A95">
        <w:t xml:space="preserve"> June 20, 2025</w:t>
      </w:r>
      <w:r>
        <w:t>, the</w:t>
      </w:r>
      <w:r w:rsidR="00231A95">
        <w:t xml:space="preserve"> assigned Administrative Law Judge </w:t>
      </w:r>
      <w:r w:rsidR="00125C6B">
        <w:t xml:space="preserve">(ALJ) </w:t>
      </w:r>
      <w:r>
        <w:t xml:space="preserve">issued a </w:t>
      </w:r>
      <w:r w:rsidR="00231A95">
        <w:t>ruling s</w:t>
      </w:r>
      <w:r>
        <w:t>eeking</w:t>
      </w:r>
      <w:r w:rsidR="00231A95">
        <w:t xml:space="preserve"> party comments on SB 355</w:t>
      </w:r>
      <w:r w:rsidR="59844601">
        <w:t>,</w:t>
      </w:r>
      <w:r w:rsidR="00C24885">
        <w:t xml:space="preserve"> including whether to expand the SOMAH program’s eligibility to new construction or under-construction affordable multifamily housing</w:t>
      </w:r>
      <w:r w:rsidR="200D6A41">
        <w:t xml:space="preserve"> (June 20 ALJ Ruling)</w:t>
      </w:r>
      <w:r w:rsidR="00C24885">
        <w:t>. As the ruling states, SB 355 “</w:t>
      </w:r>
      <w:r w:rsidRPr="00C24885" w:rsidR="00C24885">
        <w:t>gives the Commission the option to further expand the SOMAH program’s eligibility to include new properties or properties undergoing construction.</w:t>
      </w:r>
      <w:r w:rsidR="00C24885">
        <w:t>”</w:t>
      </w:r>
      <w:r w:rsidR="00C24885">
        <w:rPr>
          <w:rStyle w:val="FootnoteReference"/>
        </w:rPr>
        <w:footnoteReference w:id="13"/>
      </w:r>
      <w:r w:rsidR="00FC56E4">
        <w:t xml:space="preserve"> The ruling </w:t>
      </w:r>
      <w:r w:rsidR="55EE769F">
        <w:t>asks parties</w:t>
      </w:r>
      <w:r w:rsidR="00FC56E4">
        <w:t xml:space="preserve"> whether expanding the SOMAH program’s </w:t>
      </w:r>
      <w:r w:rsidR="006C11F0">
        <w:t>eligibility</w:t>
      </w:r>
      <w:r w:rsidR="00FC56E4">
        <w:t xml:space="preserve"> to include new and under-construction affordable multifamily properties is </w:t>
      </w:r>
      <w:r w:rsidR="00FC56E4">
        <w:lastRenderedPageBreak/>
        <w:t>consistent with the program’s statutory deployment target and the Governor’s stated affordability objectives</w:t>
      </w:r>
      <w:r w:rsidR="00531AAD">
        <w:t>.</w:t>
      </w:r>
      <w:r w:rsidR="00531AAD">
        <w:rPr>
          <w:rStyle w:val="FootnoteReference"/>
        </w:rPr>
        <w:footnoteReference w:id="14"/>
      </w:r>
      <w:r w:rsidR="00531AAD">
        <w:t xml:space="preserve"> </w:t>
      </w:r>
      <w:r w:rsidR="7F44FD17">
        <w:t xml:space="preserve">If such a change is made, </w:t>
      </w:r>
      <w:r w:rsidR="1FF2118A">
        <w:t>t</w:t>
      </w:r>
      <w:r w:rsidR="00531AAD">
        <w:t>he ruling also ask</w:t>
      </w:r>
      <w:r w:rsidR="4AD28B90">
        <w:t>s</w:t>
      </w:r>
      <w:r w:rsidR="00FC56E4">
        <w:t xml:space="preserve"> how to allow newly constructed or under-construction affordable </w:t>
      </w:r>
      <w:r w:rsidR="006C11F0">
        <w:t>multifamily</w:t>
      </w:r>
      <w:r w:rsidR="00FC56E4">
        <w:t xml:space="preserve"> housing</w:t>
      </w:r>
      <w:r w:rsidR="00531AAD">
        <w:t xml:space="preserve"> into SOMAH</w:t>
      </w:r>
      <w:r w:rsidR="00FC56E4">
        <w:t>.</w:t>
      </w:r>
      <w:r w:rsidR="00FC56E4">
        <w:rPr>
          <w:rStyle w:val="FootnoteReference"/>
        </w:rPr>
        <w:footnoteReference w:id="15"/>
      </w:r>
      <w:r w:rsidR="00FC56E4">
        <w:t xml:space="preserve"> </w:t>
      </w:r>
      <w:r w:rsidR="25A6CE24">
        <w:t xml:space="preserve">Finally, </w:t>
      </w:r>
      <w:r w:rsidR="317C3BF0">
        <w:t>t</w:t>
      </w:r>
      <w:r w:rsidR="00FC56E4">
        <w:t xml:space="preserve">he </w:t>
      </w:r>
      <w:r w:rsidR="61A96E83">
        <w:t xml:space="preserve">June 20 </w:t>
      </w:r>
      <w:r w:rsidR="00FC56E4">
        <w:t xml:space="preserve">ALJ Ruling </w:t>
      </w:r>
      <w:r>
        <w:t>s</w:t>
      </w:r>
      <w:r w:rsidR="00BD0C46">
        <w:t>eeks</w:t>
      </w:r>
      <w:r>
        <w:t xml:space="preserve"> party comments on</w:t>
      </w:r>
      <w:r w:rsidR="00FC56E4">
        <w:t xml:space="preserve"> expanding the SOMAH program’s </w:t>
      </w:r>
      <w:r w:rsidR="006C11F0">
        <w:t>eligibility</w:t>
      </w:r>
      <w:r w:rsidR="00FC56E4">
        <w:t xml:space="preserve"> to include master-metered affordable multifamily properties</w:t>
      </w:r>
      <w:r w:rsidR="3E77A1B4">
        <w:t>,</w:t>
      </w:r>
      <w:r w:rsidR="00FC56E4">
        <w:t xml:space="preserve"> and how to pass bill benefits </w:t>
      </w:r>
      <w:r>
        <w:t xml:space="preserve">on </w:t>
      </w:r>
      <w:r w:rsidR="00FC56E4">
        <w:t xml:space="preserve">to tenants of master-metered affordable </w:t>
      </w:r>
      <w:r w:rsidR="006C11F0">
        <w:t>multifamily</w:t>
      </w:r>
      <w:r w:rsidR="00FC56E4">
        <w:t xml:space="preserve"> properties.</w:t>
      </w:r>
      <w:r w:rsidR="00FC56E4">
        <w:rPr>
          <w:rStyle w:val="FootnoteReference"/>
        </w:rPr>
        <w:footnoteReference w:id="16"/>
      </w:r>
    </w:p>
    <w:p w:rsidR="00552210" w:rsidP="006E6574" w:rsidRDefault="00552210" w14:paraId="3F3670B1" w14:textId="3B5200C8">
      <w:pPr>
        <w:pStyle w:val="Standard"/>
      </w:pPr>
      <w:proofErr w:type="gramStart"/>
      <w:r>
        <w:t>GRID  filed</w:t>
      </w:r>
      <w:proofErr w:type="gramEnd"/>
      <w:r>
        <w:t xml:space="preserve"> opening comments responding to the ruling on July 17, 2025</w:t>
      </w:r>
      <w:r w:rsidR="120E1173">
        <w:t>.</w:t>
      </w:r>
      <w:r>
        <w:t xml:space="preserve"> </w:t>
      </w:r>
      <w:r w:rsidR="171AEEF2">
        <w:t xml:space="preserve">On July 18, 2025, </w:t>
      </w:r>
      <w:r w:rsidR="00FB0521">
        <w:t xml:space="preserve">the following parties filed opening comments: </w:t>
      </w:r>
      <w:r w:rsidR="001C23DB">
        <w:t>Liberty</w:t>
      </w:r>
      <w:r>
        <w:t xml:space="preserve"> and PacificCorp</w:t>
      </w:r>
      <w:r w:rsidR="00531AAD">
        <w:t xml:space="preserve">, writing </w:t>
      </w:r>
      <w:r w:rsidR="00ED4110">
        <w:t>jointly</w:t>
      </w:r>
      <w:r w:rsidR="5FB61AB8">
        <w:t>;</w:t>
      </w:r>
      <w:r>
        <w:t xml:space="preserve"> CSE</w:t>
      </w:r>
      <w:r w:rsidR="05AE573A">
        <w:t>;</w:t>
      </w:r>
      <w:r>
        <w:t xml:space="preserve"> Sunrun</w:t>
      </w:r>
      <w:r w:rsidR="6E68359F">
        <w:t>;</w:t>
      </w:r>
      <w:r>
        <w:t xml:space="preserve"> SCE</w:t>
      </w:r>
      <w:r w:rsidR="79BB30B1">
        <w:t>;</w:t>
      </w:r>
      <w:r>
        <w:t xml:space="preserve"> SDG&amp;E</w:t>
      </w:r>
      <w:r w:rsidR="4758A546">
        <w:t>;</w:t>
      </w:r>
      <w:r>
        <w:t xml:space="preserve"> PG&amp;E</w:t>
      </w:r>
      <w:r w:rsidR="30E31E2A">
        <w:t>;</w:t>
      </w:r>
      <w:r w:rsidR="009C2BAF">
        <w:t xml:space="preserve"> the Public Advocates Office of the California Public Utilities Commission (Cal Advocates)</w:t>
      </w:r>
      <w:r w:rsidR="5A347AA0">
        <w:t>;</w:t>
      </w:r>
      <w:r w:rsidR="009C2BAF">
        <w:t xml:space="preserve"> </w:t>
      </w:r>
      <w:r w:rsidR="00ED4110">
        <w:t xml:space="preserve">and </w:t>
      </w:r>
      <w:r w:rsidR="009C2BAF">
        <w:t xml:space="preserve">the Solar Energy Industries Association (SEIA). </w:t>
      </w:r>
      <w:r w:rsidR="00ED4110">
        <w:t>CHP</w:t>
      </w:r>
      <w:r w:rsidR="003A4757">
        <w:t>C</w:t>
      </w:r>
      <w:r w:rsidR="00FC0B84">
        <w:t xml:space="preserve"> filed a motion on July 24, 2025</w:t>
      </w:r>
      <w:r w:rsidR="68CDFB18">
        <w:t>,</w:t>
      </w:r>
      <w:r w:rsidR="00FC0B84">
        <w:t xml:space="preserve"> for the Commission to accept the late filing of comments responding to the June 20</w:t>
      </w:r>
      <w:r w:rsidR="4A2D1BA0">
        <w:t xml:space="preserve"> ALJ</w:t>
      </w:r>
      <w:r w:rsidR="00FC0B84">
        <w:t xml:space="preserve"> Ruling. The motion was granted on July 28, 2025. On August 8, 2025, </w:t>
      </w:r>
      <w:r w:rsidR="00FB0521">
        <w:t xml:space="preserve">the following parties filed reply comments: </w:t>
      </w:r>
      <w:r w:rsidR="00ED4110">
        <w:t>PG&amp;E</w:t>
      </w:r>
      <w:r w:rsidR="5A87E9C3">
        <w:t>;</w:t>
      </w:r>
      <w:r w:rsidR="00ED4110">
        <w:t xml:space="preserve"> Sunrun</w:t>
      </w:r>
      <w:r w:rsidR="623C53A3">
        <w:t>;</w:t>
      </w:r>
      <w:r w:rsidR="00ED4110">
        <w:t xml:space="preserve"> </w:t>
      </w:r>
      <w:r w:rsidR="006964FF">
        <w:t xml:space="preserve">SEIA; </w:t>
      </w:r>
      <w:r w:rsidR="001C23DB">
        <w:t>Liberty</w:t>
      </w:r>
      <w:r w:rsidR="00ED4110">
        <w:t xml:space="preserve"> and PacifiCorp</w:t>
      </w:r>
      <w:r w:rsidR="6666B368">
        <w:t>,</w:t>
      </w:r>
      <w:r w:rsidR="00ED4110">
        <w:t xml:space="preserve"> </w:t>
      </w:r>
      <w:r w:rsidR="00531AAD">
        <w:t xml:space="preserve">writing </w:t>
      </w:r>
      <w:r w:rsidR="00ED4110">
        <w:t>jointly</w:t>
      </w:r>
      <w:r w:rsidR="1EAD35BA">
        <w:t>;</w:t>
      </w:r>
      <w:r w:rsidR="00ED4110">
        <w:t xml:space="preserve"> Center for Biological Diversity (CBD) and California Environmental Justice Alliance (CEJA)</w:t>
      </w:r>
      <w:r w:rsidR="7B4A895A">
        <w:t>,</w:t>
      </w:r>
      <w:r w:rsidR="00ED4110">
        <w:t xml:space="preserve"> </w:t>
      </w:r>
      <w:r w:rsidR="00531AAD">
        <w:t xml:space="preserve">writing </w:t>
      </w:r>
      <w:r w:rsidR="00ED4110">
        <w:t>jointly</w:t>
      </w:r>
      <w:r w:rsidR="6849F96D">
        <w:t>;</w:t>
      </w:r>
      <w:r w:rsidR="00ED4110">
        <w:t xml:space="preserve"> SCE</w:t>
      </w:r>
      <w:r w:rsidR="1FD505BE">
        <w:t>;</w:t>
      </w:r>
      <w:r w:rsidR="00ED4110">
        <w:t xml:space="preserve"> CSE</w:t>
      </w:r>
      <w:r w:rsidR="366E46B8">
        <w:t>;</w:t>
      </w:r>
      <w:r w:rsidR="00ED4110">
        <w:t xml:space="preserve"> California Solar &amp; Storage Association (</w:t>
      </w:r>
      <w:r w:rsidR="00C53855">
        <w:t>CALSSA</w:t>
      </w:r>
      <w:r w:rsidR="00ED4110">
        <w:t>)</w:t>
      </w:r>
      <w:r w:rsidR="46632C37">
        <w:t>;</w:t>
      </w:r>
      <w:r w:rsidR="00ED4110">
        <w:t xml:space="preserve"> SDG&amp;E</w:t>
      </w:r>
      <w:r w:rsidR="0E594E6B">
        <w:t>;</w:t>
      </w:r>
      <w:r w:rsidR="00ED4110">
        <w:t xml:space="preserve"> and GRID Alternatives.</w:t>
      </w:r>
    </w:p>
    <w:p w:rsidR="006F3871" w:rsidP="001C23DB" w:rsidRDefault="65F0F641" w14:paraId="14D7C872" w14:textId="035324C2">
      <w:pPr>
        <w:pStyle w:val="Standard"/>
      </w:pPr>
      <w:r>
        <w:t>On</w:t>
      </w:r>
      <w:r w:rsidR="00552210">
        <w:t xml:space="preserve"> October 20, 2025</w:t>
      </w:r>
      <w:r w:rsidR="550C7A89">
        <w:t>, the</w:t>
      </w:r>
      <w:r w:rsidR="00552210">
        <w:t xml:space="preserve"> </w:t>
      </w:r>
      <w:r w:rsidR="00D14851">
        <w:t xml:space="preserve">assigned </w:t>
      </w:r>
      <w:r w:rsidR="00552210">
        <w:t xml:space="preserve">ALJ issued </w:t>
      </w:r>
      <w:r w:rsidR="5DB57575">
        <w:t>a</w:t>
      </w:r>
      <w:r w:rsidR="007F7696">
        <w:t>nother</w:t>
      </w:r>
      <w:r w:rsidR="5DB57575">
        <w:t xml:space="preserve"> ruling </w:t>
      </w:r>
      <w:r w:rsidR="00552210">
        <w:t>seeking comments on SOMAH modifications in response to AB 1207</w:t>
      </w:r>
      <w:r w:rsidR="7E9D4711">
        <w:t>,</w:t>
      </w:r>
      <w:r w:rsidR="00552210">
        <w:t xml:space="preserve"> including questions about dollar amounts in the IOUs’ forecasts for SOMAH in their respective Energy Resource Recovery Account (ERRA) and Energy Cost Adjustment Clause </w:t>
      </w:r>
      <w:r w:rsidR="00552210">
        <w:lastRenderedPageBreak/>
        <w:t>(ECAC) forecast applications, steps the Commission should take to comply with AB 1207’s</w:t>
      </w:r>
      <w:r w:rsidR="00531AAD">
        <w:t xml:space="preserve"> potential</w:t>
      </w:r>
      <w:r w:rsidR="00552210">
        <w:t xml:space="preserve"> impact to SOMAH’s funding, whether to use funding allocations adopted in Table 2 of D.22-09-009 to allocate SOMAH funding for 2025 and 2026, how to address potential over- or under-collections of SOMAH funds, and whether to amend the SOMAH true-up process for 2025 and 2026</w:t>
      </w:r>
      <w:r w:rsidR="1CCD9A3D">
        <w:t xml:space="preserve"> (October 20 ALJ Ruling)</w:t>
      </w:r>
      <w:r w:rsidR="00552210">
        <w:t>.</w:t>
      </w:r>
      <w:r w:rsidR="00986706">
        <w:t xml:space="preserve"> On November 24, 2025, opening comments were filed by SDG&amp;E</w:t>
      </w:r>
      <w:r w:rsidR="4D58CD16">
        <w:t>;</w:t>
      </w:r>
      <w:r w:rsidR="00986706">
        <w:t xml:space="preserve"> CSE</w:t>
      </w:r>
      <w:r w:rsidR="3652D123">
        <w:t>;</w:t>
      </w:r>
      <w:r w:rsidR="00986706">
        <w:t xml:space="preserve"> DAC E</w:t>
      </w:r>
      <w:r w:rsidR="00274DE0">
        <w:t>nergy and Steller Enterprises (Steller)</w:t>
      </w:r>
      <w:r w:rsidR="003A13FD">
        <w:t>, writing jointly</w:t>
      </w:r>
      <w:r w:rsidR="56F2FFE7">
        <w:t>;</w:t>
      </w:r>
      <w:r w:rsidR="00986706">
        <w:t xml:space="preserve"> PG&amp;E</w:t>
      </w:r>
      <w:r w:rsidR="4466C1AA">
        <w:t>;</w:t>
      </w:r>
      <w:r w:rsidR="00986706">
        <w:t xml:space="preserve"> SCE</w:t>
      </w:r>
      <w:r w:rsidR="16F764F8">
        <w:t>;</w:t>
      </w:r>
      <w:r w:rsidR="00986706">
        <w:t xml:space="preserve"> Cal Advocates</w:t>
      </w:r>
      <w:r w:rsidR="18417AD7">
        <w:t>;</w:t>
      </w:r>
      <w:r w:rsidR="00986706">
        <w:t xml:space="preserve"> Sunrun</w:t>
      </w:r>
      <w:r w:rsidR="210C3188">
        <w:t>;</w:t>
      </w:r>
      <w:r w:rsidR="00986706">
        <w:t xml:space="preserve"> </w:t>
      </w:r>
      <w:r w:rsidR="00C53855">
        <w:t>CALSSA</w:t>
      </w:r>
      <w:r w:rsidR="73D8D1AA">
        <w:t>;</w:t>
      </w:r>
      <w:r w:rsidR="00986706">
        <w:t xml:space="preserve"> and Liberty and PacifiCorp</w:t>
      </w:r>
      <w:r w:rsidR="6D75DEDB">
        <w:t>,</w:t>
      </w:r>
      <w:r w:rsidR="00986706">
        <w:t xml:space="preserve"> </w:t>
      </w:r>
      <w:r w:rsidR="00531AAD">
        <w:t xml:space="preserve">writing </w:t>
      </w:r>
      <w:r w:rsidR="00986706">
        <w:t xml:space="preserve">jointly. </w:t>
      </w:r>
    </w:p>
    <w:p w:rsidR="00552210" w:rsidP="001C23DB" w:rsidRDefault="00986706" w14:paraId="4C0360A1" w14:textId="532C5D80">
      <w:pPr>
        <w:pStyle w:val="Standard"/>
      </w:pPr>
      <w:r>
        <w:t>On December 15, 2025, reply comments were filed by Cal Advocates</w:t>
      </w:r>
      <w:r w:rsidR="7247A8FA">
        <w:t>;</w:t>
      </w:r>
      <w:r>
        <w:t xml:space="preserve"> SDG&amp;E</w:t>
      </w:r>
      <w:r w:rsidR="30C1BDAF">
        <w:t>;</w:t>
      </w:r>
      <w:r>
        <w:t xml:space="preserve"> CSE</w:t>
      </w:r>
      <w:r w:rsidR="1C5840CC">
        <w:t>;</w:t>
      </w:r>
      <w:r>
        <w:t xml:space="preserve"> Sunrun</w:t>
      </w:r>
      <w:r w:rsidR="69377F2B">
        <w:t>;</w:t>
      </w:r>
      <w:r>
        <w:t xml:space="preserve"> and CBD and CEJA</w:t>
      </w:r>
      <w:r w:rsidR="0C1D62D3">
        <w:t>,</w:t>
      </w:r>
      <w:r w:rsidR="00531AAD">
        <w:t xml:space="preserve"> writing</w:t>
      </w:r>
      <w:r>
        <w:t xml:space="preserve"> jointly.</w:t>
      </w:r>
    </w:p>
    <w:p w:rsidR="00683B2C" w:rsidP="00683B2C" w:rsidRDefault="00986706" w14:paraId="514CA9A1" w14:textId="54B2F39D">
      <w:pPr>
        <w:pStyle w:val="Heading2"/>
      </w:pPr>
      <w:bookmarkStart w:name="_Toc233626461" w:id="7"/>
      <w:r>
        <w:t>Issues Before the Commission</w:t>
      </w:r>
      <w:bookmarkEnd w:id="7"/>
    </w:p>
    <w:p w:rsidR="00D64F48" w:rsidP="006E6574" w:rsidRDefault="00683B2C" w14:paraId="03084DD1" w14:textId="367E1836">
      <w:pPr>
        <w:pStyle w:val="Standard"/>
      </w:pPr>
      <w:r>
        <w:t>Th</w:t>
      </w:r>
      <w:r w:rsidR="00986706">
        <w:t>e Commission must consider whether to make any adjustments to the SOMAH program in response to SB 355 and AB 1207</w:t>
      </w:r>
      <w:r w:rsidR="02AA8D37">
        <w:t>,</w:t>
      </w:r>
      <w:r w:rsidR="00986706">
        <w:t xml:space="preserve"> as well as make any</w:t>
      </w:r>
      <w:r w:rsidR="009B4425">
        <w:t xml:space="preserve"> preparations for the program’s statutorily determined closure on December 31, 2032</w:t>
      </w:r>
      <w:r>
        <w:t>.</w:t>
      </w:r>
      <w:r w:rsidR="00D64F48">
        <w:t xml:space="preserve"> </w:t>
      </w:r>
      <w:r w:rsidR="3405565D">
        <w:t xml:space="preserve">These questions are relevant to the following Scoping Memo and Ruling issues: </w:t>
      </w:r>
    </w:p>
    <w:p w:rsidR="00552210" w:rsidP="00982F4F" w:rsidRDefault="3405565D" w14:paraId="65BB3D8D" w14:textId="238F414B">
      <w:pPr>
        <w:pStyle w:val="Standard"/>
        <w:numPr>
          <w:ilvl w:val="0"/>
          <w:numId w:val="20"/>
        </w:numPr>
      </w:pPr>
      <w:r>
        <w:t>How should the Commission modify SOMAH to implement SB 355?</w:t>
      </w:r>
    </w:p>
    <w:p w:rsidR="3405565D" w:rsidP="784CA886" w:rsidRDefault="3405565D" w14:paraId="17FF75F5" w14:textId="63A71BC9">
      <w:pPr>
        <w:pStyle w:val="Standard"/>
        <w:numPr>
          <w:ilvl w:val="0"/>
          <w:numId w:val="20"/>
        </w:numPr>
      </w:pPr>
      <w:r>
        <w:t>Should the Commission modify other aspects of SOMAH? If so, how?</w:t>
      </w:r>
    </w:p>
    <w:p w:rsidR="784CA886" w:rsidP="008B0716" w:rsidRDefault="3405565D" w14:paraId="1E43D9D0" w14:textId="542A8490">
      <w:pPr>
        <w:pStyle w:val="Standard"/>
        <w:numPr>
          <w:ilvl w:val="0"/>
          <w:numId w:val="20"/>
        </w:numPr>
      </w:pPr>
      <w:r>
        <w:t>Are the modifications and elements proposed in Track 1 consistent with the Commission’s Environmental and Social Justice (ESJ) Action Plan and in furtherance objectives of the Governor’s Executive Order N-5-24 issued on October 30, 2024?</w:t>
      </w:r>
      <w:r w:rsidRPr="784CA886">
        <w:rPr>
          <w:rStyle w:val="FootnoteReference"/>
        </w:rPr>
        <w:footnoteReference w:id="17"/>
      </w:r>
    </w:p>
    <w:p w:rsidR="005939A5" w:rsidP="005939A5" w:rsidRDefault="008B0716" w14:paraId="1DC518D5" w14:textId="43EB30B0">
      <w:pPr>
        <w:pStyle w:val="Heading1"/>
      </w:pPr>
      <w:bookmarkStart w:name="_Toc233626462" w:id="8"/>
      <w:r>
        <w:lastRenderedPageBreak/>
        <w:t>Newly Constructed</w:t>
      </w:r>
      <w:r w:rsidR="00D64F48">
        <w:t xml:space="preserve"> or Under</w:t>
      </w:r>
      <w:r w:rsidR="60E0A4E2">
        <w:t>-</w:t>
      </w:r>
      <w:r w:rsidR="00D64F48">
        <w:t xml:space="preserve">Construction Affordable </w:t>
      </w:r>
      <w:r w:rsidR="009D20E3">
        <w:t>Multifamily</w:t>
      </w:r>
      <w:r w:rsidR="00D64F48">
        <w:t xml:space="preserve"> Properties</w:t>
      </w:r>
      <w:bookmarkEnd w:id="8"/>
    </w:p>
    <w:p w:rsidR="008B0716" w:rsidP="008B0716" w:rsidRDefault="00123403" w14:paraId="091CF411" w14:textId="54D2DBFA">
      <w:pPr>
        <w:pStyle w:val="Standard"/>
      </w:pPr>
      <w:r>
        <w:t>Th</w:t>
      </w:r>
      <w:r w:rsidR="00CF1562">
        <w:t>e Commission</w:t>
      </w:r>
      <w:r>
        <w:t xml:space="preserve"> d</w:t>
      </w:r>
      <w:r w:rsidR="00F07748">
        <w:t>eclines to</w:t>
      </w:r>
      <w:r>
        <w:t xml:space="preserve"> expand SOMAH incentives to include newly constructed or under</w:t>
      </w:r>
      <w:r w:rsidR="001221EB">
        <w:t>-</w:t>
      </w:r>
      <w:r>
        <w:t xml:space="preserve">construction multifamily </w:t>
      </w:r>
      <w:r w:rsidR="00F07748">
        <w:t xml:space="preserve">affordable housing </w:t>
      </w:r>
      <w:r>
        <w:t xml:space="preserve">properties. </w:t>
      </w:r>
    </w:p>
    <w:p w:rsidR="007F5722" w:rsidP="008B0716" w:rsidRDefault="0059188C" w14:paraId="172EA54E" w14:textId="31F0C14F">
      <w:pPr>
        <w:pStyle w:val="Heading2"/>
      </w:pPr>
      <w:bookmarkStart w:name="_Toc233626463" w:id="9"/>
      <w:r>
        <w:t xml:space="preserve">Statutory </w:t>
      </w:r>
      <w:r w:rsidR="005A1432">
        <w:t xml:space="preserve">Interpretation </w:t>
      </w:r>
      <w:r w:rsidR="00344579">
        <w:br/>
      </w:r>
      <w:r w:rsidR="005A1432">
        <w:t>of Section 2870(a)(3)</w:t>
      </w:r>
      <w:r w:rsidR="00BF7B6E">
        <w:t xml:space="preserve"> and (f)(8)</w:t>
      </w:r>
      <w:bookmarkEnd w:id="9"/>
    </w:p>
    <w:p w:rsidR="00E175A2" w:rsidP="784CA886" w:rsidRDefault="5E0E1E5C" w14:paraId="6EFC9D49" w14:textId="0B9F80F9">
      <w:pPr>
        <w:pStyle w:val="Standard"/>
      </w:pPr>
      <w:r>
        <w:t xml:space="preserve">SB 355 revised Pub. Util. Code Section 2870(a)(3) to define “Qualified multifamily affordable housing property” as “of at least five rental housing units that is, </w:t>
      </w:r>
      <w:r w:rsidRPr="15114F77">
        <w:rPr>
          <w:i/>
          <w:iCs/>
        </w:rPr>
        <w:t>or will be</w:t>
      </w:r>
      <w:r>
        <w:t>, operated to provide deed-restricted low-income reside</w:t>
      </w:r>
      <w:r w:rsidR="092C9429">
        <w:t>ntial housing” and meets certain statutory requirements.</w:t>
      </w:r>
      <w:r w:rsidRPr="784CA886" w:rsidR="00572816">
        <w:rPr>
          <w:rStyle w:val="FootnoteReference"/>
        </w:rPr>
        <w:footnoteReference w:id="18"/>
      </w:r>
      <w:r w:rsidR="092C9429">
        <w:t xml:space="preserve"> SB 355 also added Pub. Util. Code Section 2870(f</w:t>
      </w:r>
      <w:r w:rsidR="6DFB07A1">
        <w:t>)</w:t>
      </w:r>
      <w:r w:rsidR="007007EB">
        <w:t>(</w:t>
      </w:r>
      <w:r w:rsidR="6DFB07A1">
        <w:t>8): ”For purposes of the new construction of qualified multifamily affordable housing property, moneys authorized through the program shall not be used to meet the requirements of Part 6 (commencing with Section 100) of Title 24 of th</w:t>
      </w:r>
      <w:r w:rsidR="3108165D">
        <w:t>e</w:t>
      </w:r>
      <w:r w:rsidR="6DFB07A1">
        <w:t xml:space="preserve"> California Code of Regulations.“ </w:t>
      </w:r>
    </w:p>
    <w:p w:rsidR="00E175A2" w:rsidP="002B2903" w:rsidRDefault="00E175A2" w14:paraId="4748D998" w14:textId="3EE8F31F">
      <w:pPr>
        <w:pStyle w:val="Heading3"/>
      </w:pPr>
      <w:bookmarkStart w:name="_Toc233626464" w:id="10"/>
      <w:r>
        <w:t>Party Comments</w:t>
      </w:r>
      <w:bookmarkEnd w:id="10"/>
    </w:p>
    <w:p w:rsidR="00572816" w:rsidP="784CA886" w:rsidRDefault="4E5D769A" w14:paraId="72481E47" w14:textId="0899B077">
      <w:pPr>
        <w:pStyle w:val="Standard"/>
      </w:pPr>
      <w:r>
        <w:t>Given SB 355’s modifications to the Pub. Util. Code, the June 20 ALJ Ruling ask</w:t>
      </w:r>
      <w:r w:rsidR="00E175A2">
        <w:t>ed</w:t>
      </w:r>
      <w:r>
        <w:t xml:space="preserve"> parties</w:t>
      </w:r>
      <w:r w:rsidR="61FAAF87">
        <w:t xml:space="preserve"> about expanding the SOMAH program</w:t>
      </w:r>
      <w:r w:rsidR="001221EB">
        <w:t>’</w:t>
      </w:r>
      <w:r w:rsidR="61FAAF87">
        <w:t xml:space="preserve">s eligibility to include new construction or under-construction affordable housing. </w:t>
      </w:r>
      <w:r>
        <w:t xml:space="preserve"> </w:t>
      </w:r>
    </w:p>
    <w:p w:rsidR="00572816" w:rsidP="005921E8" w:rsidRDefault="7E74CA40" w14:paraId="42F60450" w14:textId="27B5D78E">
      <w:pPr>
        <w:pStyle w:val="Standard"/>
      </w:pPr>
      <w:r>
        <w:t>SCE, PG&amp;E, SEIA, CHP</w:t>
      </w:r>
      <w:r w:rsidR="00E175A2">
        <w:t>C</w:t>
      </w:r>
      <w:r>
        <w:t xml:space="preserve">, </w:t>
      </w:r>
      <w:r w:rsidR="00C53855">
        <w:t>CALSSA</w:t>
      </w:r>
      <w:r>
        <w:t>, Sunrun, GRID Alternatives, CBD,</w:t>
      </w:r>
      <w:r w:rsidR="00F07748">
        <w:t xml:space="preserve"> CEJA,</w:t>
      </w:r>
      <w:r>
        <w:t xml:space="preserve"> and CSE support expanding SOMAH incentives to new-construction or under-construction affordable multifamily housing properties, while Liberty, PacifiCorp, SDG&amp;E, and Cal Advocates oppose </w:t>
      </w:r>
      <w:r w:rsidR="00F46A97">
        <w:t xml:space="preserve">such </w:t>
      </w:r>
      <w:r>
        <w:t xml:space="preserve">an expansion.  </w:t>
      </w:r>
    </w:p>
    <w:p w:rsidR="00572816" w:rsidP="005921E8" w:rsidRDefault="3AE8C669" w14:paraId="3B531A0A" w14:textId="4D3F4FF0">
      <w:pPr>
        <w:pStyle w:val="Standard"/>
      </w:pPr>
      <w:r>
        <w:t xml:space="preserve">In their comments, </w:t>
      </w:r>
      <w:r w:rsidR="51247B62">
        <w:t>s</w:t>
      </w:r>
      <w:r w:rsidR="005921E8">
        <w:t xml:space="preserve">everal parties state that </w:t>
      </w:r>
      <w:r w:rsidR="5057FDEB">
        <w:t>SB 355</w:t>
      </w:r>
      <w:r w:rsidR="005921E8">
        <w:t xml:space="preserve"> requires </w:t>
      </w:r>
      <w:r w:rsidR="004A1FE0">
        <w:t>newly constructed</w:t>
      </w:r>
      <w:r w:rsidR="005921E8">
        <w:t xml:space="preserve"> or </w:t>
      </w:r>
      <w:r w:rsidR="002556C9">
        <w:t>multifamily</w:t>
      </w:r>
      <w:r w:rsidR="00F07748">
        <w:t xml:space="preserve"> affordable</w:t>
      </w:r>
      <w:r w:rsidR="002556C9">
        <w:t xml:space="preserve"> properties </w:t>
      </w:r>
      <w:r w:rsidR="005921E8">
        <w:t>under</w:t>
      </w:r>
      <w:r w:rsidR="002556C9">
        <w:t xml:space="preserve">going </w:t>
      </w:r>
      <w:r w:rsidR="005921E8">
        <w:t>construct</w:t>
      </w:r>
      <w:r w:rsidR="002556C9">
        <w:t>ion</w:t>
      </w:r>
      <w:r w:rsidR="005921E8">
        <w:t xml:space="preserve"> to be included in SOMAH. </w:t>
      </w:r>
      <w:r w:rsidR="00E175A2">
        <w:t xml:space="preserve">Specifically, </w:t>
      </w:r>
      <w:r w:rsidR="005921E8">
        <w:t>SE</w:t>
      </w:r>
      <w:r w:rsidR="00572816">
        <w:t>IA states</w:t>
      </w:r>
      <w:r w:rsidR="00E175A2">
        <w:t>,</w:t>
      </w:r>
      <w:r w:rsidR="00572816">
        <w:t xml:space="preserve"> “SB </w:t>
      </w:r>
      <w:r w:rsidRPr="00572816" w:rsidR="00572816">
        <w:t xml:space="preserve">355 modified the SOMAH </w:t>
      </w:r>
      <w:r w:rsidRPr="00572816" w:rsidR="00572816">
        <w:lastRenderedPageBreak/>
        <w:t>program to provide access to new properties and</w:t>
      </w:r>
      <w:r w:rsidR="00572816">
        <w:t xml:space="preserve"> </w:t>
      </w:r>
      <w:r w:rsidRPr="00572816" w:rsidR="00572816">
        <w:t>properties under construction as well as to properties comprised of units that do not have</w:t>
      </w:r>
      <w:r w:rsidR="00572816">
        <w:t xml:space="preserve"> </w:t>
      </w:r>
      <w:r w:rsidRPr="00572816" w:rsidR="00572816">
        <w:t>individual utility accounts.</w:t>
      </w:r>
      <w:r w:rsidR="00572816">
        <w:t>”</w:t>
      </w:r>
      <w:r w:rsidR="00572816">
        <w:rPr>
          <w:rStyle w:val="FootnoteReference"/>
        </w:rPr>
        <w:footnoteReference w:id="19"/>
      </w:r>
      <w:r w:rsidR="00432A61">
        <w:t xml:space="preserve"> CBD and CEJA point to</w:t>
      </w:r>
      <w:r w:rsidR="00D261B9">
        <w:t xml:space="preserve"> </w:t>
      </w:r>
      <w:r w:rsidR="64FADFE6">
        <w:t xml:space="preserve">the </w:t>
      </w:r>
      <w:r w:rsidR="00432A61">
        <w:t>Assembly Bill Analysis from September 8, 2023</w:t>
      </w:r>
      <w:r w:rsidR="678391CE">
        <w:t>,</w:t>
      </w:r>
      <w:r w:rsidR="00432A61">
        <w:t xml:space="preserve"> </w:t>
      </w:r>
      <w:r w:rsidR="56C212C0">
        <w:t>which</w:t>
      </w:r>
      <w:r w:rsidR="00432A61">
        <w:t xml:space="preserve"> states SB 355 “</w:t>
      </w:r>
      <w:r w:rsidRPr="00432A61" w:rsidR="00432A61">
        <w:t>also loosens program income requirements and expands program eligibility to include new construction, with some limitation</w:t>
      </w:r>
      <w:r w:rsidR="00432A61">
        <w:t>.”</w:t>
      </w:r>
      <w:r w:rsidR="00432A61">
        <w:rPr>
          <w:rStyle w:val="FootnoteReference"/>
        </w:rPr>
        <w:footnoteReference w:id="20"/>
      </w:r>
      <w:r w:rsidR="00432A61">
        <w:t xml:space="preserve"> CBD and CEJA cite this language </w:t>
      </w:r>
      <w:r w:rsidR="00D261B9">
        <w:t>while</w:t>
      </w:r>
      <w:r w:rsidR="00432A61">
        <w:t xml:space="preserve"> </w:t>
      </w:r>
      <w:r w:rsidR="4DAE2E65">
        <w:t>asserting</w:t>
      </w:r>
      <w:r w:rsidR="00432A61">
        <w:t xml:space="preserve"> “</w:t>
      </w:r>
      <w:r w:rsidR="12FD9D36">
        <w:t>[a]</w:t>
      </w:r>
      <w:proofErr w:type="spellStart"/>
      <w:r w:rsidRPr="00432A61" w:rsidR="00432A61">
        <w:t>ny</w:t>
      </w:r>
      <w:proofErr w:type="spellEnd"/>
      <w:r w:rsidRPr="00432A61" w:rsidR="00432A61">
        <w:t xml:space="preserve"> current pushback on the inclusion of new buildings is invalid, as the law requires the expansion of SOMAH’s eligibility requirements.</w:t>
      </w:r>
      <w:r w:rsidR="00432A61">
        <w:t>”</w:t>
      </w:r>
      <w:r w:rsidR="00432A61">
        <w:rPr>
          <w:rStyle w:val="FootnoteReference"/>
        </w:rPr>
        <w:footnoteReference w:id="21"/>
      </w:r>
      <w:r w:rsidR="005921E8">
        <w:t xml:space="preserve"> GRID Alternatives states that “[t]</w:t>
      </w:r>
      <w:r w:rsidRPr="005921E8" w:rsidR="005921E8">
        <w:t xml:space="preserve">he statutory text explicitly incorporates new construction into the program eligibility criteria, and the </w:t>
      </w:r>
      <w:r w:rsidR="34D82D16">
        <w:t>[</w:t>
      </w:r>
      <w:r w:rsidRPr="005921E8" w:rsidR="005921E8">
        <w:t>Commission</w:t>
      </w:r>
      <w:r w:rsidR="542E9BD1">
        <w:t>]</w:t>
      </w:r>
      <w:r w:rsidRPr="005921E8" w:rsidR="005921E8">
        <w:t xml:space="preserve"> has already correctly determined that SB 355 </w:t>
      </w:r>
      <w:r w:rsidR="005921E8">
        <w:t>‘</w:t>
      </w:r>
      <w:r w:rsidRPr="005921E8" w:rsidR="005921E8">
        <w:t>permits that if residential properties are new construction, then incentives can be used for the portion of a system that goes beyond building energy code requirements.</w:t>
      </w:r>
      <w:r w:rsidR="005921E8">
        <w:t>’”</w:t>
      </w:r>
      <w:r w:rsidR="005921E8">
        <w:rPr>
          <w:rStyle w:val="FootnoteReference"/>
        </w:rPr>
        <w:footnoteReference w:id="22"/>
      </w:r>
    </w:p>
    <w:p w:rsidR="00E175A2" w:rsidP="002B2903" w:rsidRDefault="005A1432" w14:paraId="00C4946A" w14:textId="5D2F5201">
      <w:pPr>
        <w:pStyle w:val="Heading3"/>
      </w:pPr>
      <w:bookmarkStart w:name="_Toc233626465" w:id="11"/>
      <w:r>
        <w:t>Discussion</w:t>
      </w:r>
      <w:bookmarkEnd w:id="11"/>
    </w:p>
    <w:p w:rsidRPr="00344579" w:rsidR="57D56E02" w:rsidP="784CA886" w:rsidRDefault="57D56E02" w14:paraId="676F0367" w14:textId="24D1CBC8">
      <w:pPr>
        <w:pStyle w:val="Standard"/>
        <w:rPr>
          <w:rStyle w:val="FootnoteReference"/>
          <w:lang w:val="it-IT"/>
        </w:rPr>
      </w:pPr>
      <w:r>
        <w:t>When interpreting statutes</w:t>
      </w:r>
      <w:r w:rsidR="1E646639">
        <w:t xml:space="preserve">, the Commission typically begins with the </w:t>
      </w:r>
      <w:r w:rsidR="717D0C8E">
        <w:t>statute’s</w:t>
      </w:r>
      <w:r w:rsidR="1E646639">
        <w:t xml:space="preserve"> plain language.</w:t>
      </w:r>
      <w:r w:rsidRPr="784CA886">
        <w:rPr>
          <w:rStyle w:val="FootnoteReference"/>
        </w:rPr>
        <w:footnoteReference w:id="23"/>
      </w:r>
      <w:r w:rsidRPr="784CA886" w:rsidR="1945E852">
        <w:rPr>
          <w:rStyle w:val="FootnoteReference"/>
        </w:rPr>
        <w:t xml:space="preserve"> </w:t>
      </w:r>
      <w:r w:rsidRPr="784CA886" w:rsidR="1945E852">
        <w:rPr>
          <w:rStyle w:val="FootnoteReference"/>
          <w:vertAlign w:val="baseline"/>
        </w:rPr>
        <w:t xml:space="preserve">The Commission also gives </w:t>
      </w:r>
      <w:proofErr w:type="spellStart"/>
      <w:r w:rsidRPr="784CA886" w:rsidR="1945E852">
        <w:rPr>
          <w:rStyle w:val="FootnoteReference"/>
          <w:vertAlign w:val="baseline"/>
        </w:rPr>
        <w:t>significan</w:t>
      </w:r>
      <w:proofErr w:type="spellEnd"/>
      <w:r w:rsidRPr="00344579" w:rsidR="00FF0AB1">
        <w:rPr>
          <w:lang w:val="it-IT"/>
        </w:rPr>
        <w:t>ce</w:t>
      </w:r>
      <w:r w:rsidRPr="00344579" w:rsidR="1945E852">
        <w:rPr>
          <w:rStyle w:val="FootnoteReference"/>
          <w:vertAlign w:val="baseline"/>
          <w:lang w:val="it-IT"/>
        </w:rPr>
        <w:t>, if possible, to every word or part, and harmonizes the parts by considering a particular clause or section in the context of the whole.</w:t>
      </w:r>
      <w:r w:rsidRPr="784CA886">
        <w:rPr>
          <w:rStyle w:val="FootnoteReference"/>
        </w:rPr>
        <w:footnoteReference w:id="24"/>
      </w:r>
      <w:r w:rsidRPr="00344579" w:rsidR="1945E852">
        <w:rPr>
          <w:rStyle w:val="FootnoteReference"/>
          <w:lang w:val="it-IT"/>
        </w:rPr>
        <w:t xml:space="preserve"> </w:t>
      </w:r>
    </w:p>
    <w:p w:rsidR="00E175A2" w:rsidP="00572816" w:rsidRDefault="6D0EA5FC" w14:paraId="70D6BDAA" w14:textId="10EA7CB0">
      <w:pPr>
        <w:pStyle w:val="Standard"/>
      </w:pPr>
      <w:r>
        <w:t>Here</w:t>
      </w:r>
      <w:r w:rsidR="001C23DB">
        <w:t xml:space="preserve">, </w:t>
      </w:r>
      <w:r w:rsidR="7C9CAFCB">
        <w:t xml:space="preserve">we find that </w:t>
      </w:r>
      <w:r w:rsidR="3360D89A">
        <w:t xml:space="preserve">the plain language of SB 355 does not </w:t>
      </w:r>
      <w:r w:rsidRPr="009D20E3" w:rsidR="3360D89A">
        <w:rPr>
          <w:i/>
          <w:iCs/>
        </w:rPr>
        <w:t>require</w:t>
      </w:r>
      <w:r w:rsidR="3360D89A">
        <w:t xml:space="preserve"> SOMAH to provide incentives to newly constructed or under</w:t>
      </w:r>
      <w:r w:rsidR="00CB4946">
        <w:t>-</w:t>
      </w:r>
      <w:r w:rsidR="3360D89A">
        <w:t xml:space="preserve">construction affordable </w:t>
      </w:r>
      <w:r w:rsidR="3360D89A">
        <w:lastRenderedPageBreak/>
        <w:t xml:space="preserve">multifamily properties. </w:t>
      </w:r>
      <w:r w:rsidR="7A8541FF">
        <w:t>Instead</w:t>
      </w:r>
      <w:r w:rsidR="3360D89A">
        <w:t xml:space="preserve">, SB 355 states that </w:t>
      </w:r>
      <w:r w:rsidR="001776A1">
        <w:t>“[</w:t>
      </w:r>
      <w:r w:rsidR="5E733EEC">
        <w:t>f</w:t>
      </w:r>
      <w:r w:rsidR="001776A1">
        <w:t xml:space="preserve">]or purposes of the new construction of qualified multifamily affordable housing property, </w:t>
      </w:r>
      <w:r w:rsidR="3360D89A">
        <w:t>moneys authorized through the program shall not be used to meet the requirements of Part 6 (commencing with Section 100) of Title 24 of the California Code of Regulations.”</w:t>
      </w:r>
      <w:r w:rsidRPr="784CA886" w:rsidR="004675B1">
        <w:rPr>
          <w:rStyle w:val="FootnoteReference"/>
        </w:rPr>
        <w:footnoteReference w:id="25"/>
      </w:r>
      <w:r w:rsidR="3360D89A">
        <w:t xml:space="preserve"> As such, the statute refers to new construction of qualified multifamily affordable housing property as a possible option for SOMAH program expansion</w:t>
      </w:r>
      <w:r w:rsidR="00F1054E">
        <w:t>, not as a requirement</w:t>
      </w:r>
      <w:r w:rsidR="05483BF7">
        <w:t xml:space="preserve">. </w:t>
      </w:r>
    </w:p>
    <w:p w:rsidR="00123403" w:rsidP="00572816" w:rsidRDefault="00E175A2" w14:paraId="4F8EFD01" w14:textId="2D97B99F">
      <w:pPr>
        <w:pStyle w:val="Standard"/>
      </w:pPr>
      <w:r>
        <w:t>Moreover, t</w:t>
      </w:r>
      <w:r w:rsidR="05483BF7">
        <w:t xml:space="preserve">he </w:t>
      </w:r>
      <w:r w:rsidR="00F1054E">
        <w:t xml:space="preserve">revised </w:t>
      </w:r>
      <w:r>
        <w:t>s</w:t>
      </w:r>
      <w:r w:rsidR="00F1054E">
        <w:t>ection</w:t>
      </w:r>
      <w:r w:rsidR="05483BF7">
        <w:t xml:space="preserve"> does not use the word </w:t>
      </w:r>
      <w:r w:rsidR="00E21647">
        <w:t>“</w:t>
      </w:r>
      <w:r w:rsidR="05483BF7">
        <w:t>shall,</w:t>
      </w:r>
      <w:r w:rsidR="00E21647">
        <w:t>”</w:t>
      </w:r>
      <w:r w:rsidR="05483BF7">
        <w:t xml:space="preserve"> “</w:t>
      </w:r>
      <w:proofErr w:type="gramStart"/>
      <w:r w:rsidR="05483BF7">
        <w:t>require,“</w:t>
      </w:r>
      <w:proofErr w:type="gramEnd"/>
      <w:r w:rsidR="05483BF7">
        <w:t xml:space="preserve"> or similar language to mandate that the Commission</w:t>
      </w:r>
      <w:r w:rsidR="3360D89A">
        <w:t xml:space="preserve"> offer SOMAH incentives to </w:t>
      </w:r>
      <w:r w:rsidR="005A6D2E">
        <w:t>newly constructed</w:t>
      </w:r>
      <w:r w:rsidR="3360D89A">
        <w:t xml:space="preserve"> or under-construction </w:t>
      </w:r>
      <w:r w:rsidR="00F07748">
        <w:t xml:space="preserve">multifamily </w:t>
      </w:r>
      <w:r w:rsidR="002B2903">
        <w:t>affordable properties</w:t>
      </w:r>
      <w:r w:rsidR="3360D89A">
        <w:t xml:space="preserve">. </w:t>
      </w:r>
      <w:r w:rsidR="00F1054E">
        <w:t xml:space="preserve">Instead, the </w:t>
      </w:r>
      <w:r w:rsidRPr="00F07748" w:rsidR="00F07748">
        <w:t xml:space="preserve">Legislature </w:t>
      </w:r>
      <w:r w:rsidR="002239DE">
        <w:t>focuses its mandate on the requirement</w:t>
      </w:r>
      <w:r w:rsidR="00F1054E">
        <w:t xml:space="preserve"> that “moneys authorized through the program </w:t>
      </w:r>
      <w:r w:rsidR="00F1054E">
        <w:rPr>
          <w:i/>
          <w:iCs/>
        </w:rPr>
        <w:t>shall</w:t>
      </w:r>
      <w:r w:rsidR="00F1054E">
        <w:t xml:space="preserve"> not be used to meet” the state’s Title 24 requirements.</w:t>
      </w:r>
      <w:r w:rsidRPr="00F07748" w:rsidR="00F07748">
        <w:t xml:space="preserve"> No such language </w:t>
      </w:r>
      <w:r w:rsidR="00F1054E">
        <w:t>mandate</w:t>
      </w:r>
      <w:r w:rsidR="002239DE">
        <w:t>s</w:t>
      </w:r>
      <w:r w:rsidR="00F1054E">
        <w:t xml:space="preserve"> the incentives</w:t>
      </w:r>
      <w:r w:rsidRPr="00F07748" w:rsidR="00F07748">
        <w:t>.</w:t>
      </w:r>
    </w:p>
    <w:p w:rsidR="00123403" w:rsidP="00572816" w:rsidRDefault="00F07748" w14:paraId="5AF35CF8" w14:textId="7161ADA2">
      <w:pPr>
        <w:pStyle w:val="Standard"/>
      </w:pPr>
      <w:r w:rsidRPr="00F07748">
        <w:t xml:space="preserve">Accordingly, the Commission </w:t>
      </w:r>
      <w:r w:rsidR="00490825">
        <w:t>finds that there is no statutory obligation to</w:t>
      </w:r>
      <w:r w:rsidRPr="00F07748">
        <w:t xml:space="preserve"> expand SOMAH to include newly constructed or under</w:t>
      </w:r>
      <w:r w:rsidR="00490825">
        <w:t>-</w:t>
      </w:r>
      <w:r w:rsidRPr="00F07748">
        <w:t xml:space="preserve"> construction mult</w:t>
      </w:r>
      <w:r w:rsidR="00764D31">
        <w:t>i</w:t>
      </w:r>
      <w:r w:rsidRPr="00F07748">
        <w:t xml:space="preserve">family </w:t>
      </w:r>
      <w:r>
        <w:t xml:space="preserve">affordable </w:t>
      </w:r>
      <w:r w:rsidRPr="00F07748">
        <w:t>properties</w:t>
      </w:r>
      <w:r>
        <w:t>.</w:t>
      </w:r>
      <w:r w:rsidRPr="00F07748">
        <w:t xml:space="preserve"> </w:t>
      </w:r>
    </w:p>
    <w:p w:rsidR="005F3F07" w:rsidP="00982F4F" w:rsidRDefault="005F3F07" w14:paraId="506998E5" w14:textId="0FA7C9E5">
      <w:pPr>
        <w:pStyle w:val="Heading2"/>
      </w:pPr>
      <w:bookmarkStart w:name="_Toc233626466" w:id="12"/>
      <w:r>
        <w:t xml:space="preserve">Affordability and Administrative </w:t>
      </w:r>
      <w:r w:rsidR="00344579">
        <w:br/>
      </w:r>
      <w:r w:rsidR="002239DE">
        <w:t xml:space="preserve">Policy </w:t>
      </w:r>
      <w:r>
        <w:t>Concerns</w:t>
      </w:r>
      <w:bookmarkEnd w:id="12"/>
    </w:p>
    <w:p w:rsidR="00541FC4" w:rsidP="0057104C" w:rsidRDefault="00FA22F4" w14:paraId="03868C93" w14:textId="37F9EF15">
      <w:pPr>
        <w:pStyle w:val="Standard"/>
      </w:pPr>
      <w:r>
        <w:t xml:space="preserve">Liberty, PacifiCorp, </w:t>
      </w:r>
      <w:r w:rsidR="002C1CDE">
        <w:t>and Cal Advocates</w:t>
      </w:r>
      <w:r w:rsidR="00CC2D36">
        <w:t xml:space="preserve"> argue that the Commission should</w:t>
      </w:r>
      <w:r w:rsidR="00A706F4">
        <w:t xml:space="preserve"> consider affordability concerns when deciding whether</w:t>
      </w:r>
      <w:r w:rsidR="0099368A">
        <w:t xml:space="preserve"> </w:t>
      </w:r>
      <w:r w:rsidR="00A706F4">
        <w:t>to</w:t>
      </w:r>
      <w:r w:rsidR="00CC2D36">
        <w:t xml:space="preserve"> expand SOMAH to </w:t>
      </w:r>
      <w:r w:rsidR="005A6D2E">
        <w:t>newly constructed</w:t>
      </w:r>
      <w:r w:rsidR="00CC2D36">
        <w:t xml:space="preserve"> or under</w:t>
      </w:r>
      <w:r w:rsidR="24540CC7">
        <w:t>-</w:t>
      </w:r>
      <w:r w:rsidR="00CC2D36">
        <w:t>construction mul</w:t>
      </w:r>
      <w:r w:rsidR="5F49E527">
        <w:t>ti</w:t>
      </w:r>
      <w:r w:rsidR="00CC2D36">
        <w:t xml:space="preserve">family affordable </w:t>
      </w:r>
      <w:r w:rsidR="001C6C92">
        <w:t>properties. Liberty</w:t>
      </w:r>
      <w:r w:rsidR="001C23DB">
        <w:t xml:space="preserve"> and PacifiCorp note that Governor Gavin Newsom’s Executive Order N-5-24 </w:t>
      </w:r>
      <w:r w:rsidRPr="001C23DB" w:rsidR="001C23DB">
        <w:t xml:space="preserve">directs the Commission </w:t>
      </w:r>
      <w:r w:rsidR="00145F01">
        <w:t>“</w:t>
      </w:r>
      <w:r w:rsidRPr="001C23DB" w:rsidR="001C23DB">
        <w:t>to examine the benefits and costs to electric ratepayers of programs it oversees</w:t>
      </w:r>
      <w:r w:rsidR="00145F01">
        <w:t>”</w:t>
      </w:r>
      <w:r w:rsidR="009E3EDE">
        <w:t xml:space="preserve"> and</w:t>
      </w:r>
      <w:r w:rsidRPr="001C23DB" w:rsidR="001C23DB">
        <w:t xml:space="preserve"> </w:t>
      </w:r>
      <w:r w:rsidR="00145F01">
        <w:t>“</w:t>
      </w:r>
      <w:r w:rsidRPr="001C23DB" w:rsidR="001C23DB">
        <w:t>reduce costs to electric ratepayers</w:t>
      </w:r>
      <w:r w:rsidR="00494015">
        <w:t>.</w:t>
      </w:r>
      <w:r w:rsidRPr="001C23DB" w:rsidR="001C23DB">
        <w:t>”</w:t>
      </w:r>
      <w:r w:rsidR="001C23DB">
        <w:rPr>
          <w:rStyle w:val="FootnoteReference"/>
        </w:rPr>
        <w:footnoteReference w:id="26"/>
      </w:r>
      <w:r w:rsidR="001C23DB">
        <w:t xml:space="preserve"> </w:t>
      </w:r>
      <w:r w:rsidR="001C23DB">
        <w:lastRenderedPageBreak/>
        <w:t>Liberty and PacifiCorp state that “</w:t>
      </w:r>
      <w:r w:rsidRPr="001C23DB" w:rsidR="001C23DB">
        <w:t>changes to the program will result in additional administrative costs, which are disproportionately felt by the more limited number of Liberty and PacifiCorp customers, and potentially divert funds that would otherwise be returned to customers at the expiration of the program</w:t>
      </w:r>
      <w:r w:rsidR="001C23DB">
        <w:t>.”</w:t>
      </w:r>
      <w:r w:rsidR="001C23DB">
        <w:rPr>
          <w:rStyle w:val="FootnoteReference"/>
        </w:rPr>
        <w:footnoteReference w:id="27"/>
      </w:r>
      <w:r w:rsidR="00572816">
        <w:t xml:space="preserve"> </w:t>
      </w:r>
    </w:p>
    <w:p w:rsidR="005A1432" w:rsidP="0057104C" w:rsidRDefault="00584758" w14:paraId="3599F63F" w14:textId="0B5D6989">
      <w:pPr>
        <w:pStyle w:val="Standard"/>
      </w:pPr>
      <w:r>
        <w:t xml:space="preserve">Similarly, Cal Advocates </w:t>
      </w:r>
      <w:r w:rsidR="005322F7">
        <w:t>argue</w:t>
      </w:r>
      <w:r>
        <w:t xml:space="preserve">s: </w:t>
      </w:r>
    </w:p>
    <w:p w:rsidR="005A1432" w:rsidP="00344579" w:rsidRDefault="00584758" w14:paraId="14F0E3F0" w14:textId="19A65143">
      <w:pPr>
        <w:pStyle w:val="Standard"/>
        <w:spacing w:after="120" w:line="240" w:lineRule="auto"/>
        <w:ind w:left="720" w:right="1440" w:firstLine="0"/>
      </w:pPr>
      <w:r>
        <w:t>[E]</w:t>
      </w:r>
      <w:proofErr w:type="spellStart"/>
      <w:r w:rsidRPr="00584758">
        <w:t>xpanding</w:t>
      </w:r>
      <w:proofErr w:type="spellEnd"/>
      <w:r w:rsidRPr="00584758">
        <w:t xml:space="preserve"> eligibility to </w:t>
      </w:r>
      <w:proofErr w:type="gramStart"/>
      <w:r w:rsidRPr="00584758">
        <w:t>newly</w:t>
      </w:r>
      <w:r w:rsidR="244A74BB">
        <w:t>-</w:t>
      </w:r>
      <w:r w:rsidRPr="00584758">
        <w:t>constructed</w:t>
      </w:r>
      <w:proofErr w:type="gramEnd"/>
      <w:r w:rsidRPr="00584758">
        <w:t xml:space="preserve"> or under-construction affordable multifamily housing and master-metered properties risks diluting ratepayer funds, increasing administrative burden, and undermining the program’s core purpose of delivering savings to low-income tenants in existing, disadvantaged housing</w:t>
      </w:r>
      <w:r>
        <w:t>.</w:t>
      </w:r>
      <w:r>
        <w:rPr>
          <w:rStyle w:val="FootnoteReference"/>
        </w:rPr>
        <w:footnoteReference w:id="28"/>
      </w:r>
      <w:r w:rsidR="004659D9">
        <w:t xml:space="preserve"> </w:t>
      </w:r>
    </w:p>
    <w:p w:rsidR="00541FC4" w:rsidP="002B2903" w:rsidRDefault="004659D9" w14:paraId="3F94950B" w14:textId="5DC4ABF4">
      <w:pPr>
        <w:pStyle w:val="Standard"/>
        <w:ind w:firstLine="0"/>
      </w:pPr>
      <w:proofErr w:type="gramStart"/>
      <w:r>
        <w:t>In particular, Cal</w:t>
      </w:r>
      <w:proofErr w:type="gramEnd"/>
      <w:r>
        <w:t xml:space="preserve"> Advocates states that expanding SOMAH to newly constructed or </w:t>
      </w:r>
      <w:r w:rsidR="0067771F">
        <w:t>under-</w:t>
      </w:r>
      <w:r>
        <w:t xml:space="preserve">construction affordable multifamily properties would require the </w:t>
      </w:r>
      <w:r w:rsidR="00F740C9">
        <w:t>PA</w:t>
      </w:r>
      <w:r>
        <w:t xml:space="preserve"> to first determine how much of the proposed</w:t>
      </w:r>
      <w:r w:rsidR="004435A6">
        <w:t xml:space="preserve"> solar PV</w:t>
      </w:r>
      <w:r>
        <w:t xml:space="preserve"> system is required under Title 24 building codes</w:t>
      </w:r>
      <w:r w:rsidR="004435A6">
        <w:t>, which</w:t>
      </w:r>
      <w:r>
        <w:t xml:space="preserve"> mandat</w:t>
      </w:r>
      <w:r w:rsidR="006673C0">
        <w:t>e</w:t>
      </w:r>
      <w:r>
        <w:t xml:space="preserve"> new construction </w:t>
      </w:r>
      <w:proofErr w:type="gramStart"/>
      <w:r>
        <w:t>include</w:t>
      </w:r>
      <w:proofErr w:type="gramEnd"/>
      <w:r>
        <w:t xml:space="preserve"> a certain amount of solar </w:t>
      </w:r>
      <w:r w:rsidR="001054B5">
        <w:t>capacity</w:t>
      </w:r>
      <w:r>
        <w:t xml:space="preserve">. Cal Advocates </w:t>
      </w:r>
      <w:r w:rsidR="005322F7">
        <w:t>explain</w:t>
      </w:r>
      <w:r>
        <w:t>s that “</w:t>
      </w:r>
      <w:r w:rsidRPr="004659D9">
        <w:t xml:space="preserve">identifying the </w:t>
      </w:r>
      <w:r>
        <w:t>‘</w:t>
      </w:r>
      <w:r w:rsidRPr="004659D9">
        <w:t>above-code</w:t>
      </w:r>
      <w:r>
        <w:t>’</w:t>
      </w:r>
      <w:r w:rsidRPr="004659D9">
        <w:t xml:space="preserve"> portion of a proposed </w:t>
      </w:r>
      <w:r w:rsidRPr="004659D9" w:rsidR="7F9D2C5F">
        <w:t>[PV]</w:t>
      </w:r>
      <w:r w:rsidRPr="004659D9">
        <w:t xml:space="preserve"> system is technically complex and administratively burdensome.</w:t>
      </w:r>
      <w:r>
        <w:t>”</w:t>
      </w:r>
      <w:r>
        <w:rPr>
          <w:rStyle w:val="FootnoteReference"/>
        </w:rPr>
        <w:footnoteReference w:id="29"/>
      </w:r>
      <w:r>
        <w:t xml:space="preserve"> </w:t>
      </w:r>
      <w:r w:rsidR="0057104C">
        <w:t>Similar</w:t>
      </w:r>
      <w:r w:rsidR="004F24BB">
        <w:t>ly</w:t>
      </w:r>
      <w:r w:rsidR="0057104C">
        <w:t xml:space="preserve">, Liberty and PacifiCorp point to the “administratively burdensome” challenge of calculating installed solar generation above the Title 24 requirement and </w:t>
      </w:r>
      <w:r w:rsidR="00F740C9">
        <w:t>assert</w:t>
      </w:r>
      <w:r w:rsidR="0057104C">
        <w:t xml:space="preserve"> that “</w:t>
      </w:r>
      <w:r w:rsidRPr="0057104C" w:rsidR="0057104C">
        <w:t xml:space="preserve">Commission affordability objectives, as well as those outlined by the Governor in Executive </w:t>
      </w:r>
      <w:r w:rsidRPr="0057104C" w:rsidR="0057104C">
        <w:lastRenderedPageBreak/>
        <w:t>Order N-5-24, would avoid the incurrence of such additional administrative costs</w:t>
      </w:r>
      <w:r w:rsidR="005F3EE9">
        <w:t>.</w:t>
      </w:r>
      <w:r w:rsidR="0057104C">
        <w:t>”</w:t>
      </w:r>
      <w:r w:rsidR="0057104C">
        <w:rPr>
          <w:rStyle w:val="FootnoteReference"/>
        </w:rPr>
        <w:footnoteReference w:id="30"/>
      </w:r>
    </w:p>
    <w:p w:rsidR="0037333A" w:rsidP="0037333A" w:rsidRDefault="0037333A" w14:paraId="1344C93B" w14:textId="05ECAC48">
      <w:pPr>
        <w:pStyle w:val="Standard"/>
      </w:pPr>
      <w:r>
        <w:t>CSE and SEIA address the challenge of calculating the amount of solar generation installed above Title 24 requirements by suggesting that any solar generation system producing more than the minimum mandated capacity could qualify as new construction or under</w:t>
      </w:r>
      <w:r w:rsidR="00F740C9">
        <w:t>-</w:t>
      </w:r>
      <w:r>
        <w:t>construction affordable multifamily housing property for SOMAH.</w:t>
      </w:r>
      <w:r>
        <w:rPr>
          <w:rStyle w:val="FootnoteReference"/>
        </w:rPr>
        <w:footnoteReference w:id="31"/>
      </w:r>
      <w:r>
        <w:t xml:space="preserve"> CHPC, however, states that SOMAH should only incentivize solar generation above the amount required to comply with Title 24.</w:t>
      </w:r>
      <w:r>
        <w:rPr>
          <w:rStyle w:val="FootnoteReference"/>
        </w:rPr>
        <w:footnoteReference w:id="32"/>
      </w:r>
      <w:r>
        <w:t xml:space="preserve"> Similarly, Sunrun suggests that 51 percent of solar production above the minimum amount of solar required by Title 24</w:t>
      </w:r>
      <w:r w:rsidRPr="00D8369A">
        <w:t xml:space="preserve"> must</w:t>
      </w:r>
      <w:r>
        <w:t xml:space="preserve"> </w:t>
      </w:r>
      <w:r w:rsidRPr="00D8369A">
        <w:t>be provided to the tenants for SOMAH</w:t>
      </w:r>
      <w:r>
        <w:t>’</w:t>
      </w:r>
      <w:r w:rsidRPr="00D8369A">
        <w:t>s minimum threshold purposes.</w:t>
      </w:r>
      <w:r>
        <w:rPr>
          <w:rStyle w:val="FootnoteReference"/>
        </w:rPr>
        <w:footnoteReference w:id="33"/>
      </w:r>
      <w:r>
        <w:t xml:space="preserve"> Sunrun suggests having “</w:t>
      </w:r>
      <w:r w:rsidRPr="009B0587">
        <w:t>third-party, professionally certified Title 24 energy</w:t>
      </w:r>
      <w:r>
        <w:t xml:space="preserve"> </w:t>
      </w:r>
      <w:r w:rsidRPr="009B0587">
        <w:t>consultants produce a hypothetical compliant energy report to establish the</w:t>
      </w:r>
      <w:r>
        <w:t xml:space="preserve"> </w:t>
      </w:r>
      <w:r w:rsidRPr="009B0587">
        <w:t>minimum quantity of solar required for Energy Code purposes</w:t>
      </w:r>
      <w:r>
        <w:t>.”</w:t>
      </w:r>
      <w:r>
        <w:rPr>
          <w:rStyle w:val="FootnoteReference"/>
        </w:rPr>
        <w:footnoteReference w:id="34"/>
      </w:r>
    </w:p>
    <w:p w:rsidR="00EA3482" w:rsidP="00541FC4" w:rsidRDefault="00602161" w14:paraId="7D92E47C" w14:textId="5D058F2C">
      <w:pPr>
        <w:pStyle w:val="Standard"/>
      </w:pPr>
      <w:r>
        <w:t>Advocate</w:t>
      </w:r>
      <w:r w:rsidR="00AB04D3">
        <w:t>s</w:t>
      </w:r>
      <w:r>
        <w:t xml:space="preserve"> for expanding SOMAH </w:t>
      </w:r>
      <w:r w:rsidR="009E3A84">
        <w:t xml:space="preserve">incentives </w:t>
      </w:r>
      <w:r>
        <w:t>to newly constructed or under</w:t>
      </w:r>
      <w:r w:rsidR="00F740C9">
        <w:t>-</w:t>
      </w:r>
      <w:r>
        <w:t xml:space="preserve">construction affordable multifamily properties argue that </w:t>
      </w:r>
      <w:r w:rsidR="0051370D">
        <w:t>doing so would al</w:t>
      </w:r>
      <w:r w:rsidR="14259F36">
        <w:t>l</w:t>
      </w:r>
      <w:r w:rsidR="0051370D">
        <w:t>ev</w:t>
      </w:r>
      <w:r w:rsidR="30F80A60">
        <w:t>iate</w:t>
      </w:r>
      <w:r w:rsidR="0051370D">
        <w:t xml:space="preserve"> cost pressures by helping </w:t>
      </w:r>
      <w:r w:rsidR="00D26B2B">
        <w:t xml:space="preserve">certain </w:t>
      </w:r>
      <w:r w:rsidR="0051370D">
        <w:t>low-income households access</w:t>
      </w:r>
      <w:r w:rsidR="00850E6F">
        <w:t xml:space="preserve"> renewable generation.</w:t>
      </w:r>
      <w:r w:rsidR="0051370D">
        <w:t xml:space="preserve"> </w:t>
      </w:r>
      <w:r w:rsidR="00541FC4">
        <w:t>CSE states that expanding SOMAH</w:t>
      </w:r>
      <w:r w:rsidR="00C76970">
        <w:t xml:space="preserve"> meets the goals of Executive Order N-5-24 because it</w:t>
      </w:r>
      <w:r w:rsidR="00541FC4">
        <w:t xml:space="preserve"> “</w:t>
      </w:r>
      <w:r w:rsidRPr="00541FC4" w:rsidR="00541FC4">
        <w:t>saves low-income families on their energy costs every month, year after year</w:t>
      </w:r>
      <w:r w:rsidR="00541FC4">
        <w:t xml:space="preserve">” </w:t>
      </w:r>
      <w:r w:rsidR="00C76970">
        <w:t>while low</w:t>
      </w:r>
      <w:r w:rsidR="00B75AF7">
        <w:t>er</w:t>
      </w:r>
      <w:r w:rsidR="00C76970">
        <w:t xml:space="preserve">ing </w:t>
      </w:r>
      <w:r w:rsidR="006673C0">
        <w:t xml:space="preserve">overall </w:t>
      </w:r>
      <w:r w:rsidR="00C76970">
        <w:t xml:space="preserve">ratepayer bills by </w:t>
      </w:r>
      <w:r w:rsidR="00C76970">
        <w:lastRenderedPageBreak/>
        <w:t>reducing reliance on the California Alternative Rates for Energy (CARE) ratepayer assistance program.</w:t>
      </w:r>
      <w:r w:rsidR="00C76970">
        <w:rPr>
          <w:rStyle w:val="FootnoteReference"/>
        </w:rPr>
        <w:footnoteReference w:id="35"/>
      </w:r>
      <w:r w:rsidR="00EA3482">
        <w:t xml:space="preserve"> </w:t>
      </w:r>
      <w:r w:rsidR="00C76970">
        <w:t xml:space="preserve"> </w:t>
      </w:r>
    </w:p>
    <w:p w:rsidR="00F967CF" w:rsidP="00F967CF" w:rsidRDefault="00EA3482" w14:paraId="23CDC2E2" w14:textId="5D870899">
      <w:pPr>
        <w:pStyle w:val="Standard"/>
      </w:pPr>
      <w:r>
        <w:t>Sunrun also points to potential CARE savings through SOMAH expansion, stating that “[t]</w:t>
      </w:r>
      <w:proofErr w:type="spellStart"/>
      <w:r>
        <w:t>hrough</w:t>
      </w:r>
      <w:proofErr w:type="spellEnd"/>
      <w:r>
        <w:t xml:space="preserve"> SOMAH and the cap-and-trade program, polluter dollars are invested in long-term clean energy production.”</w:t>
      </w:r>
      <w:r>
        <w:rPr>
          <w:rStyle w:val="FootnoteReference"/>
        </w:rPr>
        <w:footnoteReference w:id="36"/>
      </w:r>
      <w:r w:rsidR="0007292C">
        <w:t xml:space="preserve"> SEIA </w:t>
      </w:r>
      <w:r w:rsidR="00850E6F">
        <w:t>write</w:t>
      </w:r>
      <w:r w:rsidR="0007292C">
        <w:t xml:space="preserve">s that </w:t>
      </w:r>
      <w:r w:rsidR="003C6671">
        <w:t xml:space="preserve">expanding SOMAH meets the goals of Executive Order N-5-24 because </w:t>
      </w:r>
      <w:r w:rsidRPr="00541FC4" w:rsidR="00541FC4">
        <w:t>the SOMAH program is not ratepayer-funded</w:t>
      </w:r>
      <w:r w:rsidR="00AB04D3">
        <w:t xml:space="preserve"> </w:t>
      </w:r>
      <w:r w:rsidR="00CB4946">
        <w:t>but</w:t>
      </w:r>
      <w:r w:rsidR="00AB04D3">
        <w:t xml:space="preserve"> is instead </w:t>
      </w:r>
      <w:r w:rsidRPr="00541FC4" w:rsidR="00541FC4">
        <w:t>funded via cap-and-trade climate credits.</w:t>
      </w:r>
      <w:r w:rsidR="003C6671">
        <w:rPr>
          <w:rStyle w:val="FootnoteReference"/>
        </w:rPr>
        <w:footnoteReference w:id="37"/>
      </w:r>
      <w:r w:rsidR="000D2C4A">
        <w:t xml:space="preserve">  GRID Alternatives </w:t>
      </w:r>
      <w:r w:rsidR="00AB04D3">
        <w:t xml:space="preserve">makes a similar argument </w:t>
      </w:r>
      <w:r w:rsidR="00CB4946">
        <w:t>that</w:t>
      </w:r>
      <w:r w:rsidR="00AB04D3">
        <w:t xml:space="preserve"> SOMAH </w:t>
      </w:r>
      <w:r w:rsidR="00CB4946">
        <w:t>is</w:t>
      </w:r>
      <w:r w:rsidR="00AB04D3">
        <w:t xml:space="preserve"> funded by</w:t>
      </w:r>
      <w:r w:rsidR="00613D5C">
        <w:t xml:space="preserve"> the GHG allowance auction process and providing ratepayer savings in the form of reduced CARE program costs.</w:t>
      </w:r>
      <w:r w:rsidR="000D2C4A">
        <w:rPr>
          <w:rStyle w:val="FootnoteReference"/>
        </w:rPr>
        <w:footnoteReference w:id="38"/>
      </w:r>
    </w:p>
    <w:p w:rsidR="00CB4946" w:rsidP="00F967CF" w:rsidRDefault="000D2C4A" w14:paraId="79551014" w14:textId="11FD459F">
      <w:pPr>
        <w:pStyle w:val="Standard"/>
      </w:pPr>
      <w:r>
        <w:t xml:space="preserve">SCE counters </w:t>
      </w:r>
      <w:r w:rsidR="00941708">
        <w:t xml:space="preserve">GRID Alternative’s argument by </w:t>
      </w:r>
      <w:r>
        <w:t>stating</w:t>
      </w:r>
      <w:r w:rsidR="00F740C9">
        <w:t xml:space="preserve"> that</w:t>
      </w:r>
      <w:r w:rsidR="001F7C69">
        <w:t>:</w:t>
      </w:r>
      <w:r>
        <w:t xml:space="preserve"> </w:t>
      </w:r>
    </w:p>
    <w:p w:rsidR="00572816" w:rsidP="00344579" w:rsidRDefault="000D2C4A" w14:paraId="03570ED2" w14:textId="3924D748">
      <w:pPr>
        <w:pStyle w:val="Standard"/>
        <w:spacing w:after="120" w:line="240" w:lineRule="auto"/>
        <w:ind w:left="720" w:right="1440" w:firstLine="0"/>
      </w:pPr>
      <w:r>
        <w:t xml:space="preserve">GHG allowance </w:t>
      </w:r>
      <w:r w:rsidRPr="000D2C4A">
        <w:t xml:space="preserve">revenues are intended to benefit customers directly, and in practice, they do—through </w:t>
      </w:r>
      <w:r w:rsidRPr="000D2C4A" w:rsidR="001C6C92">
        <w:t>the California</w:t>
      </w:r>
      <w:r w:rsidRPr="000D2C4A">
        <w:t xml:space="preserve"> Climate Credit. Redirecting those funds to SOMAH reduces the amount available for</w:t>
      </w:r>
      <w:r>
        <w:t xml:space="preserve"> </w:t>
      </w:r>
      <w:r w:rsidRPr="000D2C4A">
        <w:t>bill relief. That may be a valid policy choice, but it is not cost-free to IOU customers.</w:t>
      </w:r>
      <w:r>
        <w:rPr>
          <w:rStyle w:val="FootnoteReference"/>
        </w:rPr>
        <w:footnoteReference w:id="39"/>
      </w:r>
      <w:r w:rsidR="009B0587">
        <w:t xml:space="preserve"> </w:t>
      </w:r>
    </w:p>
    <w:p w:rsidR="000D2C4A" w:rsidP="000D2C4A" w:rsidRDefault="00911C5C" w14:paraId="462D1EFD" w14:textId="625FB7AE">
      <w:pPr>
        <w:pStyle w:val="Standard"/>
      </w:pPr>
      <w:r>
        <w:t xml:space="preserve">Finally, CBD and CEJA </w:t>
      </w:r>
      <w:r w:rsidR="00CC7C8A">
        <w:t>argue</w:t>
      </w:r>
      <w:r>
        <w:t xml:space="preserve"> that the Commission must expand SOMAH to </w:t>
      </w:r>
      <w:r w:rsidR="005A6D2E">
        <w:t>newly constructed</w:t>
      </w:r>
      <w:r>
        <w:t xml:space="preserve"> or under</w:t>
      </w:r>
      <w:r w:rsidR="0828216A">
        <w:t>-</w:t>
      </w:r>
      <w:r>
        <w:t>construction affordable multifamily properties regardless of Executive Order N-5-24. They state that “t</w:t>
      </w:r>
      <w:r w:rsidRPr="00911C5C">
        <w:t>he Commission lacks the legal authority to ignore statutorily mandated actions by solely relying on the justifications laid out in</w:t>
      </w:r>
      <w:r>
        <w:t xml:space="preserve"> the</w:t>
      </w:r>
      <w:r w:rsidRPr="00911C5C">
        <w:t xml:space="preserve"> </w:t>
      </w:r>
      <w:r>
        <w:t>[Executive Order]</w:t>
      </w:r>
      <w:r w:rsidRPr="00911C5C">
        <w:t>.</w:t>
      </w:r>
      <w:r>
        <w:t>”</w:t>
      </w:r>
      <w:r>
        <w:rPr>
          <w:rStyle w:val="FootnoteReference"/>
        </w:rPr>
        <w:footnoteReference w:id="40"/>
      </w:r>
    </w:p>
    <w:p w:rsidR="00E002FF" w:rsidRDefault="449E4041" w14:paraId="3790BB60" w14:textId="09B9D26B">
      <w:pPr>
        <w:pStyle w:val="Standard"/>
      </w:pPr>
      <w:r>
        <w:lastRenderedPageBreak/>
        <w:t xml:space="preserve">Given </w:t>
      </w:r>
      <w:r w:rsidR="00F740C9">
        <w:t xml:space="preserve">that </w:t>
      </w:r>
      <w:r>
        <w:t>SB 355</w:t>
      </w:r>
      <w:r w:rsidR="0037333A">
        <w:t xml:space="preserve"> </w:t>
      </w:r>
      <w:r w:rsidR="00F740C9">
        <w:t xml:space="preserve">does </w:t>
      </w:r>
      <w:r w:rsidR="0037333A">
        <w:t>not mandat</w:t>
      </w:r>
      <w:r w:rsidR="00F740C9">
        <w:t>e</w:t>
      </w:r>
      <w:r w:rsidR="0037333A">
        <w:t xml:space="preserve"> the expansion of SOMAH incentives to newly constructed or under</w:t>
      </w:r>
      <w:r w:rsidR="00E002FF">
        <w:t>-</w:t>
      </w:r>
      <w:r w:rsidR="0037333A">
        <w:t>construction multifamily affordable properties</w:t>
      </w:r>
      <w:r>
        <w:t>,</w:t>
      </w:r>
      <w:r w:rsidR="000D2C7D">
        <w:t xml:space="preserve"> </w:t>
      </w:r>
      <w:r w:rsidR="63716DB2">
        <w:t>t</w:t>
      </w:r>
      <w:r w:rsidR="009B0587">
        <w:t>he Commission has the discretion to decide whether to expand the program</w:t>
      </w:r>
      <w:r w:rsidR="00E002FF">
        <w:t>.  That discretion may be</w:t>
      </w:r>
      <w:r w:rsidR="009B0587">
        <w:t xml:space="preserve"> based on </w:t>
      </w:r>
      <w:proofErr w:type="gramStart"/>
      <w:r w:rsidR="00E002FF">
        <w:t>a consideration</w:t>
      </w:r>
      <w:proofErr w:type="gramEnd"/>
      <w:r w:rsidR="00E002FF">
        <w:t xml:space="preserve"> of various </w:t>
      </w:r>
      <w:r w:rsidR="009B0587">
        <w:t>factors</w:t>
      </w:r>
      <w:r w:rsidR="00E002FF">
        <w:t>,</w:t>
      </w:r>
      <w:r w:rsidR="009B0587">
        <w:t xml:space="preserve"> such as affordability</w:t>
      </w:r>
      <w:r w:rsidR="00554FB2">
        <w:t xml:space="preserve"> impacts</w:t>
      </w:r>
      <w:r w:rsidR="009B0587">
        <w:t xml:space="preserve">, administrative burden, and </w:t>
      </w:r>
      <w:r w:rsidR="005331C8">
        <w:t xml:space="preserve">need to </w:t>
      </w:r>
      <w:r w:rsidR="005E5B90">
        <w:t>meet</w:t>
      </w:r>
      <w:r w:rsidR="00B74963">
        <w:t xml:space="preserve"> </w:t>
      </w:r>
      <w:r w:rsidR="005331C8">
        <w:t xml:space="preserve">the program’s statutory </w:t>
      </w:r>
      <w:r w:rsidR="003053B4">
        <w:t xml:space="preserve">deployment </w:t>
      </w:r>
      <w:r w:rsidR="005331C8">
        <w:t>goal</w:t>
      </w:r>
      <w:r w:rsidR="009B0587">
        <w:t xml:space="preserve">. </w:t>
      </w:r>
    </w:p>
    <w:p w:rsidR="003E1E2E" w:rsidRDefault="009B0587" w14:paraId="0A5C3934" w14:textId="26D4C145">
      <w:pPr>
        <w:pStyle w:val="Standard"/>
      </w:pPr>
      <w:proofErr w:type="gramStart"/>
      <w:r>
        <w:t>In light of</w:t>
      </w:r>
      <w:proofErr w:type="gramEnd"/>
      <w:r>
        <w:t xml:space="preserve"> such </w:t>
      </w:r>
      <w:r w:rsidR="00E002FF">
        <w:t>discretion</w:t>
      </w:r>
      <w:r>
        <w:t>, the Commission agrees with Liberty, PacifiCorp</w:t>
      </w:r>
      <w:r w:rsidR="7DE3F0AA">
        <w:t>,</w:t>
      </w:r>
      <w:r>
        <w:t xml:space="preserve"> and Cal Advocates</w:t>
      </w:r>
      <w:r w:rsidR="00E002FF">
        <w:t>.</w:t>
      </w:r>
      <w:r>
        <w:t xml:space="preserve"> </w:t>
      </w:r>
      <w:r w:rsidR="00E002FF">
        <w:t>E</w:t>
      </w:r>
      <w:r>
        <w:t xml:space="preserve">xpanding SOMAH incentives to </w:t>
      </w:r>
      <w:r w:rsidR="005A6D2E">
        <w:t>newly constructed</w:t>
      </w:r>
      <w:r>
        <w:t xml:space="preserve"> or under</w:t>
      </w:r>
      <w:r w:rsidR="4BA55F3A">
        <w:t>-</w:t>
      </w:r>
      <w:r>
        <w:t xml:space="preserve">construction affordable multifamily properties will </w:t>
      </w:r>
      <w:r w:rsidR="006C11F0">
        <w:t>likely</w:t>
      </w:r>
      <w:r>
        <w:t xml:space="preserve"> be administratively burdensome and add costs to the program. The solutions proposed by parties to calculate the amount of solar generation installed above the amount required by Title 24</w:t>
      </w:r>
      <w:r w:rsidR="006E21FC">
        <w:t xml:space="preserve"> would require additional</w:t>
      </w:r>
      <w:r w:rsidR="005D2EF5">
        <w:t xml:space="preserve"> resources</w:t>
      </w:r>
      <w:r w:rsidR="00AF6AF5">
        <w:t xml:space="preserve"> and </w:t>
      </w:r>
      <w:r w:rsidR="00F27CC8">
        <w:t>new program rules</w:t>
      </w:r>
      <w:r w:rsidR="00BD0C46">
        <w:t>.</w:t>
      </w:r>
      <w:r w:rsidR="00C553F0">
        <w:t xml:space="preserve"> </w:t>
      </w:r>
    </w:p>
    <w:p w:rsidR="000A1CFB" w:rsidP="000A1CFB" w:rsidRDefault="000A1CFB" w14:paraId="0A45E42E" w14:textId="404716B2">
      <w:pPr>
        <w:pStyle w:val="Standard"/>
      </w:pPr>
      <w:r>
        <w:t xml:space="preserve">As noted in its </w:t>
      </w:r>
      <w:r w:rsidRPr="000D6C32">
        <w:t xml:space="preserve">July 30, 2025 </w:t>
      </w:r>
      <w:r>
        <w:t xml:space="preserve">and January 1, 2026 Semiannual Progress </w:t>
      </w:r>
      <w:r w:rsidRPr="000D6C32">
        <w:t>Report</w:t>
      </w:r>
      <w:r>
        <w:t xml:space="preserve">s, the SOMAH PA is still in the midst of implementing </w:t>
      </w:r>
      <w:r w:rsidRPr="008701CD">
        <w:t>updates</w:t>
      </w:r>
      <w:r>
        <w:t xml:space="preserve"> to the program stemming from direction provided in D.24-11-006.</w:t>
      </w:r>
      <w:r>
        <w:rPr>
          <w:rStyle w:val="FootnoteReference"/>
        </w:rPr>
        <w:footnoteReference w:id="41"/>
      </w:r>
      <w:r>
        <w:t xml:space="preserve">  As stated in that Decision, regarding these program modifications, “[o]</w:t>
      </w:r>
      <w:proofErr w:type="spellStart"/>
      <w:r w:rsidRPr="0062610F">
        <w:t>verall</w:t>
      </w:r>
      <w:proofErr w:type="spellEnd"/>
      <w:r w:rsidRPr="0062610F">
        <w:t>, we expect the</w:t>
      </w:r>
      <w:r>
        <w:t>[se]</w:t>
      </w:r>
      <w:r w:rsidRPr="0062610F">
        <w:t xml:space="preserve"> changes</w:t>
      </w:r>
      <w:r>
        <w:t>…</w:t>
      </w:r>
      <w:r w:rsidRPr="0062610F">
        <w:t xml:space="preserve"> to greatly streamline and optimize the program, reduce administrative costs, and focus the SOMAH PA on the most impactful activities for improving participation. We expect that eliminating the barriers </w:t>
      </w:r>
      <w:proofErr w:type="gramStart"/>
      <w:r w:rsidRPr="0062610F">
        <w:t xml:space="preserve">most </w:t>
      </w:r>
      <w:r w:rsidRPr="0062610F">
        <w:lastRenderedPageBreak/>
        <w:t>commonly noted</w:t>
      </w:r>
      <w:proofErr w:type="gramEnd"/>
      <w:r w:rsidRPr="0062610F">
        <w:t xml:space="preserve"> by prior participants will support expanded and repeat participation to help the program reach its goals.</w:t>
      </w:r>
      <w:r>
        <w:t>”</w:t>
      </w:r>
      <w:r>
        <w:rPr>
          <w:rStyle w:val="FootnoteReference"/>
        </w:rPr>
        <w:footnoteReference w:id="42"/>
      </w:r>
      <w:r w:rsidRPr="0062610F">
        <w:t xml:space="preserve"> </w:t>
      </w:r>
      <w:r>
        <w:t xml:space="preserve">Expanding the eligible property types at this juncture in the program’s implementation </w:t>
      </w:r>
      <w:proofErr w:type="gramStart"/>
      <w:r>
        <w:t>would  shift</w:t>
      </w:r>
      <w:proofErr w:type="gramEnd"/>
      <w:r>
        <w:t xml:space="preserve"> the SOMAH PA’s attention and resources from these ongoing and necessary improvement efforts. </w:t>
      </w:r>
    </w:p>
    <w:p w:rsidR="001C1599" w:rsidRDefault="003E1E2E" w14:paraId="3206B7E9" w14:textId="3CDFB000">
      <w:pPr>
        <w:pStyle w:val="Standard"/>
      </w:pPr>
      <w:r>
        <w:t>Claims that GHG revenue-funded programs should be considered separately and distinctly from ratepayer-funded programs are inconsistent with previous program management determinations. Resolution E-5054, which approved several changes to the SOMAH Program Handbook in May 2020, stated clearly:</w:t>
      </w:r>
      <w:r w:rsidRPr="00FE424F">
        <w:t xml:space="preserve"> “</w:t>
      </w:r>
      <w:r>
        <w:t>…</w:t>
      </w:r>
      <w:r w:rsidRPr="008D59D3">
        <w:t xml:space="preserve">the ultimate beneficiaries of these GHG funds </w:t>
      </w:r>
      <w:r w:rsidRPr="00FE424F">
        <w:rPr>
          <w:i/>
          <w:iCs/>
        </w:rPr>
        <w:t>are</w:t>
      </w:r>
      <w:r w:rsidRPr="008D59D3">
        <w:t xml:space="preserve"> ratepayers. Therefore, the treatment of these funds must be </w:t>
      </w:r>
      <w:proofErr w:type="gramStart"/>
      <w:r w:rsidRPr="008D59D3">
        <w:t>similar to</w:t>
      </w:r>
      <w:proofErr w:type="gramEnd"/>
      <w:r w:rsidRPr="008D59D3">
        <w:t xml:space="preserve"> the treatment of other ratepayer dollars. We therefore reject comments seeking to differentiate these funding sources as irrelevant.</w:t>
      </w:r>
      <w:r w:rsidR="00C43179">
        <w:t>”</w:t>
      </w:r>
      <w:r w:rsidR="00C43179">
        <w:rPr>
          <w:rStyle w:val="FootnoteReference"/>
        </w:rPr>
        <w:footnoteReference w:id="43"/>
      </w:r>
      <w:r w:rsidR="00C67B90">
        <w:t xml:space="preserve"> </w:t>
      </w:r>
      <w:r w:rsidR="00435C75">
        <w:t>A</w:t>
      </w:r>
      <w:r w:rsidR="00C553F0">
        <w:t xml:space="preserve">s SCE states, resources used to expand SOMAH to </w:t>
      </w:r>
      <w:r w:rsidR="005A6D2E">
        <w:t>newly constructed</w:t>
      </w:r>
      <w:r w:rsidR="00C553F0">
        <w:t xml:space="preserve"> and under</w:t>
      </w:r>
      <w:r w:rsidR="532F7E16">
        <w:t>-</w:t>
      </w:r>
      <w:r w:rsidR="00C553F0">
        <w:t xml:space="preserve">construction affordable multifamily properties </w:t>
      </w:r>
      <w:r w:rsidR="00435C75">
        <w:t xml:space="preserve">are not </w:t>
      </w:r>
      <w:r w:rsidR="00D72DBA">
        <w:t xml:space="preserve">inherently </w:t>
      </w:r>
      <w:r w:rsidR="00435C75">
        <w:t>cost free because</w:t>
      </w:r>
      <w:r w:rsidR="00124B6B">
        <w:t xml:space="preserve"> unexpended funds</w:t>
      </w:r>
      <w:r w:rsidR="00C553F0">
        <w:t xml:space="preserve"> could otherwise </w:t>
      </w:r>
      <w:r w:rsidR="001C1599">
        <w:t xml:space="preserve">be </w:t>
      </w:r>
      <w:r w:rsidR="009A4EBA">
        <w:t xml:space="preserve">directed </w:t>
      </w:r>
      <w:r w:rsidR="00CE203F">
        <w:t xml:space="preserve">to ratepayer </w:t>
      </w:r>
      <w:r w:rsidR="00C553F0">
        <w:t>bill relief.</w:t>
      </w:r>
      <w:r w:rsidR="00A80104">
        <w:t xml:space="preserve"> </w:t>
      </w:r>
      <w:r w:rsidR="00CB4946">
        <w:t xml:space="preserve">Accordingly, </w:t>
      </w:r>
      <w:r w:rsidR="006E4A2E">
        <w:t>limit</w:t>
      </w:r>
      <w:r w:rsidR="004160CB">
        <w:t>ing</w:t>
      </w:r>
      <w:r w:rsidR="00CB4946">
        <w:t xml:space="preserve"> eligibility furthers the </w:t>
      </w:r>
      <w:r w:rsidR="00306E06">
        <w:t xml:space="preserve">Commission’s </w:t>
      </w:r>
      <w:r w:rsidR="00A51845">
        <w:t xml:space="preserve">affordability goals </w:t>
      </w:r>
      <w:r w:rsidR="00CB4946">
        <w:t>by</w:t>
      </w:r>
      <w:r w:rsidR="00775C0A">
        <w:t xml:space="preserve"> protecting funds that can be returned to customers</w:t>
      </w:r>
      <w:r w:rsidRPr="00730469" w:rsidR="00730469">
        <w:t xml:space="preserve"> </w:t>
      </w:r>
      <w:r w:rsidR="00730469">
        <w:t>and is consistent with Governor Newsom’s Executive Order N-5-24</w:t>
      </w:r>
      <w:r w:rsidR="00775C0A">
        <w:t>.</w:t>
      </w:r>
      <w:r w:rsidR="00390ACD">
        <w:t xml:space="preserve"> </w:t>
      </w:r>
      <w:r>
        <w:t xml:space="preserve"> </w:t>
      </w:r>
    </w:p>
    <w:p w:rsidRPr="002B2903" w:rsidR="00BC5ACC" w:rsidP="00C43179" w:rsidRDefault="001C1599" w14:paraId="6B1FC7F7" w14:textId="3F91F460">
      <w:pPr>
        <w:pStyle w:val="Standard"/>
        <w:shd w:val="clear" w:color="auto" w:fill="FFFFFF" w:themeFill="background1"/>
        <w:ind w:left="30" w:right="30"/>
        <w:rPr>
          <w:b/>
          <w:bCs/>
        </w:rPr>
      </w:pPr>
      <w:r>
        <w:t xml:space="preserve">Finally, </w:t>
      </w:r>
      <w:r w:rsidR="4095F6D6">
        <w:t xml:space="preserve">parties provided different </w:t>
      </w:r>
      <w:r w:rsidR="001A7117">
        <w:t>perspectives</w:t>
      </w:r>
      <w:r w:rsidR="4095F6D6">
        <w:t xml:space="preserve"> on how </w:t>
      </w:r>
      <w:proofErr w:type="gramStart"/>
      <w:r>
        <w:t>expanding</w:t>
      </w:r>
      <w:proofErr w:type="gramEnd"/>
      <w:r>
        <w:t xml:space="preserve"> SOMAH to </w:t>
      </w:r>
      <w:r w:rsidR="005A6D2E">
        <w:t>newly constructed</w:t>
      </w:r>
      <w:r>
        <w:t xml:space="preserve"> and under</w:t>
      </w:r>
      <w:r w:rsidR="54CBBA28">
        <w:t>-</w:t>
      </w:r>
      <w:r>
        <w:t xml:space="preserve">construction affordable multifamily properties </w:t>
      </w:r>
      <w:r w:rsidR="1792956C">
        <w:t>related to</w:t>
      </w:r>
      <w:r>
        <w:t xml:space="preserve"> SOMAH’s 300 MW combined generation capacity installation goal. </w:t>
      </w:r>
      <w:r w:rsidR="00E002FF">
        <w:t>CSE’s comments reference t</w:t>
      </w:r>
      <w:r>
        <w:t xml:space="preserve">he SOMAH Second Triennial </w:t>
      </w:r>
      <w:r>
        <w:lastRenderedPageBreak/>
        <w:t>Evaluation Report</w:t>
      </w:r>
      <w:r w:rsidR="45AFF24F">
        <w:t>,</w:t>
      </w:r>
      <w:r>
        <w:t xml:space="preserve"> </w:t>
      </w:r>
      <w:r w:rsidR="00E002FF">
        <w:t xml:space="preserve">which </w:t>
      </w:r>
      <w:r>
        <w:t xml:space="preserve">stated that </w:t>
      </w:r>
      <w:r w:rsidR="000452FF">
        <w:t>t</w:t>
      </w:r>
      <w:r>
        <w:t>he SOMAH Program appear</w:t>
      </w:r>
      <w:r w:rsidR="000452FF">
        <w:t>s</w:t>
      </w:r>
      <w:r>
        <w:t xml:space="preserve"> capable of achieving its 10-year goal of installing 30</w:t>
      </w:r>
      <w:r w:rsidR="3DDC510E">
        <w:t>0</w:t>
      </w:r>
      <w:r>
        <w:t xml:space="preserve"> MW </w:t>
      </w:r>
      <w:r w:rsidR="000452FF">
        <w:t>but “[a]</w:t>
      </w:r>
      <w:proofErr w:type="spellStart"/>
      <w:r>
        <w:t>chieving</w:t>
      </w:r>
      <w:proofErr w:type="spellEnd"/>
      <w:r>
        <w:t xml:space="preserve"> this goal will require new strategies and outreach efforts to build a pipeline of future projects, while continuing to address participation barriers faced by property contractors.”</w:t>
      </w:r>
      <w:r>
        <w:rPr>
          <w:rStyle w:val="FootnoteReference"/>
        </w:rPr>
        <w:footnoteReference w:id="44"/>
      </w:r>
      <w:r w:rsidR="00CE203F">
        <w:t xml:space="preserve"> </w:t>
      </w:r>
      <w:r w:rsidR="00BC5ACC">
        <w:t>CSE and Sunrun argue that e</w:t>
      </w:r>
      <w:r w:rsidRPr="00A80104" w:rsidR="00BC5ACC">
        <w:t xml:space="preserve">xpanding the SOMAH program’s eligibility to include new construction and under-construction multifamily affordable housing properties </w:t>
      </w:r>
      <w:r w:rsidR="00BC5ACC">
        <w:t xml:space="preserve">will </w:t>
      </w:r>
      <w:r w:rsidRPr="00A80104" w:rsidR="00BC5ACC">
        <w:t>address participation barriers faced by property owners and contractors</w:t>
      </w:r>
      <w:r w:rsidR="00BC5ACC">
        <w:t>,</w:t>
      </w:r>
      <w:r w:rsidRPr="00A80104" w:rsidR="00BC5ACC">
        <w:t xml:space="preserve"> build a pipeline of future projects</w:t>
      </w:r>
      <w:r w:rsidR="00BC5ACC">
        <w:t>, and support the program’s statutory deployment target.</w:t>
      </w:r>
      <w:r w:rsidR="00BC5ACC">
        <w:rPr>
          <w:rStyle w:val="FootnoteReference"/>
        </w:rPr>
        <w:footnoteReference w:id="45"/>
      </w:r>
      <w:r w:rsidR="00BC5ACC">
        <w:t xml:space="preserve"> </w:t>
      </w:r>
    </w:p>
    <w:p w:rsidR="00BC5ACC" w:rsidP="00BC5ACC" w:rsidRDefault="00BC5ACC" w14:paraId="5F53DC0A" w14:textId="0399B230">
      <w:pPr>
        <w:pStyle w:val="Standard"/>
      </w:pPr>
      <w:r>
        <w:t>However, a</w:t>
      </w:r>
      <w:r w:rsidR="001C1599">
        <w:t>s Cal Advocates states, participation has been picking up since th</w:t>
      </w:r>
      <w:r>
        <w:t>e</w:t>
      </w:r>
      <w:r w:rsidR="001C1599">
        <w:t xml:space="preserve"> </w:t>
      </w:r>
      <w:r>
        <w:t xml:space="preserve">SOMAH Second Triennial Evaluation Report was published on June 9, 2023, </w:t>
      </w:r>
      <w:r w:rsidR="00CB4229">
        <w:t xml:space="preserve">and is </w:t>
      </w:r>
      <w:r w:rsidRPr="001C1599" w:rsidR="001C1599">
        <w:t>close to achieving a third of the 300 MW goal</w:t>
      </w:r>
      <w:r w:rsidR="006342C7">
        <w:t>.</w:t>
      </w:r>
      <w:r w:rsidR="00D52BCF">
        <w:rPr>
          <w:rStyle w:val="FootnoteReference"/>
        </w:rPr>
        <w:footnoteReference w:id="46"/>
      </w:r>
      <w:r w:rsidR="006342C7">
        <w:t xml:space="preserve"> </w:t>
      </w:r>
      <w:r w:rsidR="00892490">
        <w:t xml:space="preserve">Additionally, Cal Advocates writes that </w:t>
      </w:r>
      <w:r w:rsidRPr="001C1599" w:rsidR="001C1599">
        <w:t>the SOMAH program</w:t>
      </w:r>
      <w:r w:rsidR="001C1599">
        <w:t xml:space="preserve"> added 17.95 </w:t>
      </w:r>
      <w:r w:rsidRPr="001C1599" w:rsidR="001C1599">
        <w:t xml:space="preserve">MW of capacity </w:t>
      </w:r>
      <w:r w:rsidR="00892490">
        <w:t>in the second half of 2024</w:t>
      </w:r>
      <w:r w:rsidR="00E002FF">
        <w:t>,</w:t>
      </w:r>
      <w:r w:rsidR="00892490">
        <w:t xml:space="preserve"> with </w:t>
      </w:r>
      <w:r w:rsidR="00B776E1">
        <w:t>a</w:t>
      </w:r>
      <w:r w:rsidRPr="001C1599" w:rsidR="001C1599">
        <w:t xml:space="preserve"> 131</w:t>
      </w:r>
      <w:r w:rsidR="00B776E1">
        <w:t xml:space="preserve"> percent</w:t>
      </w:r>
      <w:r w:rsidRPr="001C1599" w:rsidR="001C1599">
        <w:t xml:space="preserve"> increase in active applications between the first</w:t>
      </w:r>
      <w:r w:rsidR="00E002FF">
        <w:t xml:space="preserve"> and last</w:t>
      </w:r>
      <w:r w:rsidRPr="001C1599" w:rsidR="001C1599">
        <w:t xml:space="preserve"> six months of the year</w:t>
      </w:r>
      <w:r w:rsidRPr="00583297" w:rsidR="001C1599">
        <w:t>.</w:t>
      </w:r>
      <w:r w:rsidRPr="0009650C" w:rsidR="00D52BCF">
        <w:rPr>
          <w:rStyle w:val="FootnoteReference"/>
        </w:rPr>
        <w:footnoteReference w:id="47"/>
      </w:r>
      <w:r w:rsidRPr="15114F77" w:rsidR="00AD22B6">
        <w:rPr>
          <w:b/>
          <w:bCs/>
        </w:rPr>
        <w:t xml:space="preserve"> </w:t>
      </w:r>
      <w:r w:rsidR="00EC2849">
        <w:t xml:space="preserve">Cal Advocates </w:t>
      </w:r>
      <w:r w:rsidR="00E002FF">
        <w:t>asserts that</w:t>
      </w:r>
      <w:r w:rsidR="00EC2849">
        <w:t xml:space="preserve"> </w:t>
      </w:r>
      <w:r w:rsidRPr="15114F77" w:rsidR="00EC2849">
        <w:rPr>
          <w:b/>
          <w:bCs/>
        </w:rPr>
        <w:t>“</w:t>
      </w:r>
      <w:r w:rsidR="00E002FF">
        <w:t>[b]</w:t>
      </w:r>
      <w:proofErr w:type="spellStart"/>
      <w:r w:rsidRPr="001C1599" w:rsidR="001C1599">
        <w:t>ased</w:t>
      </w:r>
      <w:proofErr w:type="spellEnd"/>
      <w:r w:rsidRPr="001C1599" w:rsidR="001C1599">
        <w:t xml:space="preserve"> on the program’s progress so far, it is reasonable to conclude that SOMAH will meet its 300 MW goal by 2032 with the properties that are already eligible for SOMAH.</w:t>
      </w:r>
      <w:r w:rsidR="001C1599">
        <w:t>”</w:t>
      </w:r>
      <w:r w:rsidR="001C1599">
        <w:rPr>
          <w:rStyle w:val="FootnoteReference"/>
        </w:rPr>
        <w:footnoteReference w:id="48"/>
      </w:r>
      <w:r w:rsidRPr="001C1599" w:rsidR="001C1599">
        <w:rPr>
          <w:b/>
          <w:bCs/>
        </w:rPr>
        <w:t xml:space="preserve"> </w:t>
      </w:r>
      <w:r w:rsidR="00816CC2">
        <w:t>Similarly, PG&amp;E states</w:t>
      </w:r>
      <w:r w:rsidR="00EC2849">
        <w:t xml:space="preserve"> that </w:t>
      </w:r>
      <w:r w:rsidR="00E61261">
        <w:t>the program should achieve its 300 MW goal under exi</w:t>
      </w:r>
      <w:r w:rsidR="00145CC1">
        <w:t>s</w:t>
      </w:r>
      <w:r w:rsidR="00E61261">
        <w:t>ting program rules.</w:t>
      </w:r>
      <w:r w:rsidR="00816CC2">
        <w:rPr>
          <w:rStyle w:val="FootnoteReference"/>
        </w:rPr>
        <w:footnoteReference w:id="49"/>
      </w:r>
      <w:r w:rsidR="00A80104">
        <w:t xml:space="preserve"> </w:t>
      </w:r>
    </w:p>
    <w:p w:rsidR="004E277C" w:rsidP="00A80104" w:rsidRDefault="03AC5F78" w14:paraId="23B5F509" w14:textId="27EFD16C">
      <w:pPr>
        <w:pStyle w:val="Standard"/>
      </w:pPr>
      <w:r>
        <w:lastRenderedPageBreak/>
        <w:t xml:space="preserve">We agree with Cal Advocates that expanding SOMAH to newly constructed and under-construction affordable multifamily properties is not needed to meet SOMAH’s 300 MW installation goal. </w:t>
      </w:r>
      <w:r w:rsidR="00A80104">
        <w:t>No party provided clear evidence that the 300 MW target cannot be met under existing eligibility for SOMAH incentives. Several parties acknowledged that participation in the program is increasing, further support</w:t>
      </w:r>
      <w:r w:rsidR="00775C0A">
        <w:t>ing the</w:t>
      </w:r>
      <w:r w:rsidR="00A80104">
        <w:t xml:space="preserve"> maint</w:t>
      </w:r>
      <w:r w:rsidR="00775C0A">
        <w:t>enance of</w:t>
      </w:r>
      <w:r w:rsidR="00A80104">
        <w:t xml:space="preserve"> the current structure.</w:t>
      </w:r>
      <w:r w:rsidR="006C6C0D">
        <w:rPr>
          <w:rStyle w:val="FootnoteReference"/>
        </w:rPr>
        <w:footnoteReference w:id="50"/>
      </w:r>
      <w:r w:rsidR="00A80104">
        <w:t xml:space="preserve"> </w:t>
      </w:r>
      <w:r w:rsidR="000A6E65">
        <w:t>The r</w:t>
      </w:r>
      <w:r w:rsidR="005B2616">
        <w:t xml:space="preserve">ecent increase in program participation </w:t>
      </w:r>
      <w:r w:rsidR="000A6E65">
        <w:t xml:space="preserve">correlates </w:t>
      </w:r>
      <w:r w:rsidR="005B2616">
        <w:t xml:space="preserve">with </w:t>
      </w:r>
      <w:r w:rsidR="006C6C0D">
        <w:t xml:space="preserve">the </w:t>
      </w:r>
      <w:r w:rsidR="000A6E65">
        <w:t>Commission’s decision</w:t>
      </w:r>
      <w:r w:rsidR="00125759">
        <w:t xml:space="preserve"> </w:t>
      </w:r>
      <w:r w:rsidR="000A6E65">
        <w:t xml:space="preserve">to increase </w:t>
      </w:r>
      <w:r w:rsidR="005B2616">
        <w:t>SOMAH incentive levels in March 2023.</w:t>
      </w:r>
      <w:r w:rsidRPr="5041AA49">
        <w:rPr>
          <w:rStyle w:val="FootnoteReference"/>
        </w:rPr>
        <w:footnoteReference w:id="51"/>
      </w:r>
      <w:r w:rsidR="005B2616">
        <w:t xml:space="preserve"> </w:t>
      </w:r>
      <w:r w:rsidR="365CBE7C">
        <w:t>A</w:t>
      </w:r>
      <w:r w:rsidR="00A80104">
        <w:t xml:space="preserve">dding new property categories </w:t>
      </w:r>
      <w:r w:rsidR="00B859E9">
        <w:t xml:space="preserve">at this late stage </w:t>
      </w:r>
      <w:r w:rsidR="00A80104">
        <w:t>could divert administrative and financial resources from completing existing projects that already contribute toward the 300 MW target.</w:t>
      </w:r>
    </w:p>
    <w:p w:rsidR="00EA3FBC" w:rsidP="15114F77" w:rsidRDefault="00867A8C" w14:paraId="735A737A" w14:textId="0D02CB56">
      <w:pPr>
        <w:pStyle w:val="Standard"/>
      </w:pPr>
      <w:r>
        <w:t xml:space="preserve">SOMAH included a statutory goal </w:t>
      </w:r>
      <w:r w:rsidR="00F931C7">
        <w:t>with a</w:t>
      </w:r>
      <w:r>
        <w:t xml:space="preserve"> </w:t>
      </w:r>
      <w:r w:rsidR="005F0B1D">
        <w:t xml:space="preserve">primary </w:t>
      </w:r>
      <w:r>
        <w:t>purpose of i</w:t>
      </w:r>
      <w:r w:rsidR="006C39CB">
        <w:t>nstalli</w:t>
      </w:r>
      <w:r>
        <w:t>ng</w:t>
      </w:r>
      <w:r w:rsidR="006C39CB">
        <w:t xml:space="preserve"> 300 MW of </w:t>
      </w:r>
      <w:r w:rsidR="513F4FC2">
        <w:t>clean, distributed power</w:t>
      </w:r>
      <w:r w:rsidR="006C39CB">
        <w:t xml:space="preserve">. </w:t>
      </w:r>
      <w:r w:rsidR="000868F3">
        <w:t>Beyond SOMAH's installation targets</w:t>
      </w:r>
      <w:r w:rsidRPr="009D20E3" w:rsidR="43B311F1">
        <w:t>, PG</w:t>
      </w:r>
      <w:r w:rsidR="43B311F1">
        <w:t xml:space="preserve">&amp;E, SCE, and SDG&amp;E have reported that large numbers of residential solar installations have already occurred in </w:t>
      </w:r>
      <w:r w:rsidR="002E3AD7">
        <w:t>d</w:t>
      </w:r>
      <w:r w:rsidR="7F5C5C86">
        <w:t xml:space="preserve">isadvantaged </w:t>
      </w:r>
      <w:r w:rsidR="002E3AD7">
        <w:t>c</w:t>
      </w:r>
      <w:r w:rsidR="7F5C5C86">
        <w:t>ommunities (</w:t>
      </w:r>
      <w:r w:rsidR="43B311F1">
        <w:t>DACs</w:t>
      </w:r>
      <w:r w:rsidR="7F5C5C86">
        <w:t>)</w:t>
      </w:r>
      <w:r w:rsidR="43B311F1">
        <w:t xml:space="preserve"> since 2019 without receiving </w:t>
      </w:r>
      <w:r w:rsidR="12C48DB9">
        <w:t>incentives</w:t>
      </w:r>
      <w:r w:rsidR="43B311F1">
        <w:t xml:space="preserve">. SCE writes that </w:t>
      </w:r>
      <w:r w:rsidR="7F5C5C86">
        <w:t xml:space="preserve">from 2019 to 2025, </w:t>
      </w:r>
      <w:r w:rsidR="43B311F1">
        <w:t xml:space="preserve">104,067 residential solar installations occurred within DACs in </w:t>
      </w:r>
      <w:r w:rsidR="6DE7AE8F">
        <w:t>its</w:t>
      </w:r>
      <w:r w:rsidR="43B311F1">
        <w:t xml:space="preserve"> service territory that did not participate in Commission-administered programs or </w:t>
      </w:r>
      <w:r w:rsidR="5F415951">
        <w:t>receive installations</w:t>
      </w:r>
      <w:r w:rsidR="7F5C5C86">
        <w:t>,</w:t>
      </w:r>
      <w:r w:rsidR="43B311F1">
        <w:t xml:space="preserve"> compared to 100 residential solar installations that received SOMAH benefits and 482,443 residential solar installations that participated in </w:t>
      </w:r>
      <w:r w:rsidR="5F415951">
        <w:t>Net Energy Metering (</w:t>
      </w:r>
      <w:r w:rsidR="43B311F1">
        <w:t>NEM</w:t>
      </w:r>
      <w:r w:rsidR="5F415951">
        <w:t>)</w:t>
      </w:r>
      <w:r w:rsidR="43B311F1">
        <w:t>/</w:t>
      </w:r>
      <w:r w:rsidR="5F415951">
        <w:t>Net Billing Tariff (</w:t>
      </w:r>
      <w:r w:rsidR="43B311F1">
        <w:t>NBT</w:t>
      </w:r>
      <w:r w:rsidR="723A6E20">
        <w:t>)</w:t>
      </w:r>
      <w:r w:rsidR="1668EB5D">
        <w:t>.</w:t>
      </w:r>
      <w:r w:rsidR="00A80104">
        <w:rPr>
          <w:rStyle w:val="FootnoteReference"/>
        </w:rPr>
        <w:footnoteReference w:id="52"/>
      </w:r>
      <w:r w:rsidR="43B311F1">
        <w:t xml:space="preserve"> PG&amp;E </w:t>
      </w:r>
      <w:r w:rsidR="6DE7AE8F">
        <w:t>states</w:t>
      </w:r>
      <w:r w:rsidR="43B311F1">
        <w:t xml:space="preserve"> that </w:t>
      </w:r>
      <w:r w:rsidR="6DE7AE8F">
        <w:t xml:space="preserve">from 2019 to 2025, </w:t>
      </w:r>
      <w:r w:rsidR="43B311F1">
        <w:t xml:space="preserve">approximately 96,000 residents in DACs in </w:t>
      </w:r>
      <w:r w:rsidR="6DE7AE8F">
        <w:t xml:space="preserve">its service </w:t>
      </w:r>
      <w:r w:rsidR="050F7228">
        <w:t>area installed</w:t>
      </w:r>
      <w:r w:rsidR="43B311F1">
        <w:t xml:space="preserve"> </w:t>
      </w:r>
      <w:r w:rsidR="43B311F1">
        <w:lastRenderedPageBreak/>
        <w:t>solar</w:t>
      </w:r>
      <w:r w:rsidR="7E445926">
        <w:t xml:space="preserve"> </w:t>
      </w:r>
      <w:r w:rsidR="43B311F1">
        <w:t>without participating in a Commission-administered incentive program, while 34,000 residents lived in buildings that participated in the SOMAH program.</w:t>
      </w:r>
      <w:r w:rsidR="00A80104">
        <w:rPr>
          <w:rStyle w:val="FootnoteReference"/>
        </w:rPr>
        <w:footnoteReference w:id="53"/>
      </w:r>
      <w:r w:rsidR="43B311F1">
        <w:t xml:space="preserve"> </w:t>
      </w:r>
      <w:r w:rsidR="5F415951">
        <w:t xml:space="preserve">SDG&amp;E </w:t>
      </w:r>
      <w:r w:rsidR="6DE7AE8F">
        <w:t>explains</w:t>
      </w:r>
      <w:r w:rsidR="5F415951">
        <w:t xml:space="preserve"> that 5,419 solar installations occurred in </w:t>
      </w:r>
      <w:r w:rsidR="4D271BEA">
        <w:t xml:space="preserve">DACs in </w:t>
      </w:r>
      <w:r w:rsidR="5F415951">
        <w:t>its service territory from 2019 to 2025 without participating in any Commission programs or receiving incentives.</w:t>
      </w:r>
      <w:r w:rsidR="0068363B">
        <w:rPr>
          <w:rStyle w:val="FootnoteReference"/>
        </w:rPr>
        <w:footnoteReference w:id="54"/>
      </w:r>
      <w:r w:rsidR="5F415951">
        <w:t xml:space="preserve"> However, SDG&amp;E did not deduct SOMAH installations from the total number of solar installations during that time period.</w:t>
      </w:r>
      <w:r w:rsidR="0068363B">
        <w:rPr>
          <w:rStyle w:val="FootnoteReference"/>
        </w:rPr>
        <w:footnoteReference w:id="55"/>
      </w:r>
      <w:r w:rsidR="5F415951">
        <w:t xml:space="preserve"> </w:t>
      </w:r>
      <w:r w:rsidR="000868F3">
        <w:t xml:space="preserve">These statistics show that </w:t>
      </w:r>
      <w:r w:rsidR="3880C5B6">
        <w:t>residential</w:t>
      </w:r>
      <w:r w:rsidR="000868F3">
        <w:t xml:space="preserve"> solar installations are growing independent of statutory incentives.</w:t>
      </w:r>
    </w:p>
    <w:p w:rsidR="15114F77" w:rsidP="15114F77" w:rsidRDefault="0068363B" w14:paraId="5611770F" w14:textId="16C6F4A7">
      <w:pPr>
        <w:pStyle w:val="Standard"/>
      </w:pPr>
      <w:r>
        <w:t xml:space="preserve">The figures </w:t>
      </w:r>
      <w:r w:rsidR="00EA3FBC">
        <w:t>provided by SCE, PG&amp;E, and SDG&amp;E indicate</w:t>
      </w:r>
      <w:r>
        <w:t xml:space="preserve"> broad adoption of residential solar in DACs </w:t>
      </w:r>
      <w:r w:rsidR="00F3025F">
        <w:t>outside of</w:t>
      </w:r>
      <w:r>
        <w:t xml:space="preserve"> SOMAH and other Commission-coordinated incentive programs.</w:t>
      </w:r>
    </w:p>
    <w:p w:rsidRPr="00816CC2" w:rsidR="00CE203F" w:rsidP="001C1599" w:rsidRDefault="4E6CEF2E" w14:paraId="28FFE65F" w14:textId="799D7C52">
      <w:pPr>
        <w:pStyle w:val="Standard"/>
      </w:pPr>
      <w:r>
        <w:t xml:space="preserve"> Because SOMAH is on track to meet its statutory goals, and in support of the Commission’s affordability objectives</w:t>
      </w:r>
      <w:r w:rsidR="00CE203F">
        <w:t xml:space="preserve">, the Commission </w:t>
      </w:r>
      <w:r>
        <w:t>declines to expand SOMAH to include newly constructed and under-construction affordable multifamily properties.</w:t>
      </w:r>
    </w:p>
    <w:p w:rsidR="00EA36C6" w:rsidP="001C1599" w:rsidRDefault="001C1599" w14:paraId="64DBBAE4" w14:textId="01268463">
      <w:pPr>
        <w:pStyle w:val="Heading1"/>
      </w:pPr>
      <w:bookmarkStart w:name="_Toc233626467" w:id="13"/>
      <w:r>
        <w:t xml:space="preserve">Master-Metered Affordable </w:t>
      </w:r>
      <w:r w:rsidR="00344579">
        <w:br/>
      </w:r>
      <w:r>
        <w:t>Multi</w:t>
      </w:r>
      <w:r w:rsidR="00A93514">
        <w:t>f</w:t>
      </w:r>
      <w:r>
        <w:t>amily Properties</w:t>
      </w:r>
      <w:bookmarkEnd w:id="13"/>
    </w:p>
    <w:p w:rsidR="00F967CF" w:rsidP="00F967CF" w:rsidRDefault="001C1599" w14:paraId="28973037" w14:textId="0DF74466">
      <w:pPr>
        <w:pStyle w:val="Standard"/>
      </w:pPr>
      <w:r>
        <w:t>Th</w:t>
      </w:r>
      <w:r w:rsidR="00F751F7">
        <w:t>e Commission</w:t>
      </w:r>
      <w:r>
        <w:t xml:space="preserve"> does not expand the SOMAH program to include</w:t>
      </w:r>
      <w:r w:rsidR="00CE203F">
        <w:t xml:space="preserve"> affordable</w:t>
      </w:r>
      <w:r>
        <w:t xml:space="preserve"> master-metered properties</w:t>
      </w:r>
      <w:r w:rsidR="00CE203F">
        <w:t xml:space="preserve">, </w:t>
      </w:r>
      <w:proofErr w:type="gramStart"/>
      <w:r w:rsidR="00CE203F">
        <w:t>whether or not</w:t>
      </w:r>
      <w:proofErr w:type="gramEnd"/>
      <w:r w:rsidR="00CE203F">
        <w:t xml:space="preserve"> the units are separately metered</w:t>
      </w:r>
      <w:r w:rsidR="00D50A3F">
        <w:t xml:space="preserve"> for reasons explained below</w:t>
      </w:r>
      <w:r w:rsidR="006937E2">
        <w:t xml:space="preserve">. </w:t>
      </w:r>
    </w:p>
    <w:p w:rsidRPr="00F967CF" w:rsidR="00F751F7" w:rsidP="00F967CF" w:rsidRDefault="00F751F7" w14:paraId="1A546CBF" w14:textId="3DB17B45">
      <w:pPr>
        <w:pStyle w:val="Heading2"/>
      </w:pPr>
      <w:bookmarkStart w:name="_Toc233626468" w:id="14"/>
      <w:r w:rsidRPr="00F967CF">
        <w:lastRenderedPageBreak/>
        <w:t xml:space="preserve">Statutory </w:t>
      </w:r>
      <w:r w:rsidR="00490825">
        <w:t xml:space="preserve">Interpretation </w:t>
      </w:r>
      <w:r w:rsidR="00344579">
        <w:br/>
      </w:r>
      <w:r w:rsidR="00490825">
        <w:t>of Section 2870(g)(2)</w:t>
      </w:r>
      <w:bookmarkEnd w:id="14"/>
    </w:p>
    <w:p w:rsidR="007F314E" w:rsidP="00AC68EE" w:rsidRDefault="007F314E" w14:paraId="066F0C37" w14:textId="595A7955">
      <w:r>
        <w:t xml:space="preserve">SB 355 </w:t>
      </w:r>
      <w:r w:rsidR="00490825">
        <w:t>revised Pub. Util. Code Section 2870(g)(2) to state</w:t>
      </w:r>
      <w:r>
        <w:t>: “</w:t>
      </w:r>
      <w:r w:rsidRPr="007F314E">
        <w:t>If units are separately metered, low-income tenants who participate in the program shall receive credits on utility bills from the program.</w:t>
      </w:r>
      <w:r>
        <w:t>”</w:t>
      </w:r>
      <w:r>
        <w:rPr>
          <w:rStyle w:val="FootnoteReference"/>
        </w:rPr>
        <w:footnoteReference w:id="56"/>
      </w:r>
      <w:r>
        <w:t xml:space="preserve"> </w:t>
      </w:r>
    </w:p>
    <w:p w:rsidR="00490825" w:rsidP="002B2903" w:rsidRDefault="00490825" w14:paraId="59F104BA" w14:textId="73CD2E48">
      <w:pPr>
        <w:pStyle w:val="Heading3"/>
      </w:pPr>
      <w:bookmarkStart w:name="_Toc233626469" w:id="15"/>
      <w:r>
        <w:t>Party Comments</w:t>
      </w:r>
      <w:bookmarkEnd w:id="15"/>
    </w:p>
    <w:p w:rsidR="00892444" w:rsidP="00AC68EE" w:rsidRDefault="00892444" w14:paraId="343C7231" w14:textId="3FCCED75">
      <w:r>
        <w:t>Sunrun states that the statutory language “allows the Commission to expand eligibility to all affordable housing with owner-provided electric service.”</w:t>
      </w:r>
      <w:r>
        <w:rPr>
          <w:rStyle w:val="FootnoteReference"/>
        </w:rPr>
        <w:footnoteReference w:id="57"/>
      </w:r>
      <w:r>
        <w:t xml:space="preserve"> SEIA also argues that “the additional program eligibility afforded under PU Code Section 2870(g)(2) … extends to affordable multifamily properties where the tenants do not have separate utility meters or it is infeasible to distribute program benefits via </w:t>
      </w:r>
      <w:r w:rsidR="00F46095">
        <w:t>individual</w:t>
      </w:r>
      <w:r>
        <w:t xml:space="preserve"> discounts on tenants’ electricity bills.”</w:t>
      </w:r>
      <w:r>
        <w:rPr>
          <w:rStyle w:val="FootnoteReference"/>
        </w:rPr>
        <w:footnoteReference w:id="58"/>
      </w:r>
      <w:r>
        <w:t xml:space="preserve"> </w:t>
      </w:r>
    </w:p>
    <w:p w:rsidR="00490825" w:rsidP="00AC68EE" w:rsidRDefault="008A3048" w14:paraId="6FDC5AE0" w14:textId="30EDF77E">
      <w:r>
        <w:t>CBD and CEJA state that</w:t>
      </w:r>
      <w:r w:rsidR="00044514">
        <w:t xml:space="preserve"> it is clear that</w:t>
      </w:r>
      <w:r>
        <w:t xml:space="preserve"> SB 355</w:t>
      </w:r>
      <w:r w:rsidR="00044514">
        <w:t xml:space="preserve"> intended</w:t>
      </w:r>
      <w:r w:rsidR="00E97F64">
        <w:t xml:space="preserve"> to include</w:t>
      </w:r>
      <w:r>
        <w:t xml:space="preserve"> master-metered properties in SOMAH in the context of earlier legislation, </w:t>
      </w:r>
      <w:r w:rsidR="00E806D6">
        <w:t xml:space="preserve">AB </w:t>
      </w:r>
      <w:r>
        <w:t>693, which stated that “[l]</w:t>
      </w:r>
      <w:r w:rsidRPr="008A3048">
        <w:t xml:space="preserve">ow-income tenants who participate in the </w:t>
      </w:r>
      <w:r>
        <w:t xml:space="preserve">(MASH) </w:t>
      </w:r>
      <w:r w:rsidRPr="008A3048">
        <w:t>program shall receive credits on utility bills from the program</w:t>
      </w:r>
      <w:r>
        <w:t>.”</w:t>
      </w:r>
      <w:r>
        <w:rPr>
          <w:rStyle w:val="FootnoteReference"/>
        </w:rPr>
        <w:footnoteReference w:id="59"/>
      </w:r>
      <w:r w:rsidR="00E97F64">
        <w:t xml:space="preserve"> </w:t>
      </w:r>
      <w:r w:rsidR="00464ADB">
        <w:t xml:space="preserve">CBD and CEJA </w:t>
      </w:r>
      <w:r w:rsidR="00892444">
        <w:t xml:space="preserve">also note </w:t>
      </w:r>
      <w:r w:rsidR="00464ADB">
        <w:t xml:space="preserve">that </w:t>
      </w:r>
      <w:r w:rsidR="00E97F64">
        <w:t xml:space="preserve">SB 355 states </w:t>
      </w:r>
      <w:r w:rsidR="00044514">
        <w:t>that “[t]</w:t>
      </w:r>
      <w:r w:rsidRPr="00044514" w:rsidR="00044514">
        <w:t>he commission shall ensure that electrical corporation tariff structures affecting the low-income tenants participating in the program continue to provide a direct economic benefit from the qualifying solar energy system</w:t>
      </w:r>
      <w:r w:rsidR="00464ADB">
        <w:t>.</w:t>
      </w:r>
      <w:r w:rsidR="00E97F64">
        <w:t>”</w:t>
      </w:r>
      <w:r w:rsidR="0064440D">
        <w:rPr>
          <w:rStyle w:val="FootnoteReference"/>
        </w:rPr>
        <w:footnoteReference w:id="60"/>
      </w:r>
      <w:r w:rsidR="00E97F64">
        <w:t xml:space="preserve"> </w:t>
      </w:r>
      <w:r w:rsidR="00ED4D4B">
        <w:t xml:space="preserve">Taking into account the two pieces of legislation, </w:t>
      </w:r>
      <w:r w:rsidR="00E97F64">
        <w:t>CBD and CEJA state that</w:t>
      </w:r>
      <w:r w:rsidR="009D745A">
        <w:t>:</w:t>
      </w:r>
      <w:r w:rsidR="00E97F64">
        <w:t xml:space="preserve"> </w:t>
      </w:r>
    </w:p>
    <w:p w:rsidR="00892444" w:rsidP="00892444" w:rsidRDefault="00490825" w14:paraId="6365C5D4" w14:textId="46655BB7">
      <w:pPr>
        <w:spacing w:after="120" w:line="240" w:lineRule="auto"/>
        <w:ind w:left="720" w:right="1440" w:firstLine="0"/>
      </w:pPr>
      <w:r>
        <w:lastRenderedPageBreak/>
        <w:t>H</w:t>
      </w:r>
      <w:r w:rsidRPr="008A3048" w:rsidR="008A3048">
        <w:t xml:space="preserve">armonizing </w:t>
      </w:r>
      <w:r w:rsidR="006D7252">
        <w:t>A</w:t>
      </w:r>
      <w:r w:rsidRPr="008A3048" w:rsidR="006D7252">
        <w:t xml:space="preserve">B </w:t>
      </w:r>
      <w:r w:rsidRPr="008A3048" w:rsidR="008A3048">
        <w:t>693 and SB 355 and prior and current versions of Public Utilities Code § 2870(g)(1) and (2) can only lead to one reasonable interpretation: master-metered properties must be eligible for the SOMAH program because the barrier to allocating credits for master-metered property tenants is resolved by SB 355.</w:t>
      </w:r>
      <w:r w:rsidR="00E97F64">
        <w:rPr>
          <w:rStyle w:val="FootnoteReference"/>
        </w:rPr>
        <w:footnoteReference w:id="61"/>
      </w:r>
    </w:p>
    <w:p w:rsidR="00490825" w:rsidP="002B2903" w:rsidRDefault="00490825" w14:paraId="0E60828A" w14:textId="429BD919">
      <w:pPr>
        <w:pStyle w:val="Heading3"/>
      </w:pPr>
      <w:bookmarkStart w:name="_Toc233626470" w:id="16"/>
      <w:r>
        <w:t>Discussion</w:t>
      </w:r>
      <w:bookmarkEnd w:id="16"/>
    </w:p>
    <w:p w:rsidR="00490825" w:rsidP="009034E8" w:rsidRDefault="009034E8" w14:paraId="716DBEAD" w14:textId="5527A910">
      <w:r>
        <w:t xml:space="preserve">The plain language of SB 355 </w:t>
      </w:r>
      <w:r w:rsidR="003B74AD">
        <w:t xml:space="preserve">does not require that </w:t>
      </w:r>
      <w:r w:rsidR="00A80104">
        <w:t>master</w:t>
      </w:r>
      <w:r w:rsidR="003B74AD">
        <w:t xml:space="preserve">-metered multifamily affordable properties be included in the SOMAH program. </w:t>
      </w:r>
      <w:r w:rsidR="00211F29">
        <w:t xml:space="preserve">No part of </w:t>
      </w:r>
      <w:r w:rsidR="00E2761E">
        <w:t>the current statute</w:t>
      </w:r>
      <w:r w:rsidR="00211F29">
        <w:t xml:space="preserve"> clearly</w:t>
      </w:r>
      <w:r w:rsidR="00C443C0">
        <w:t xml:space="preserve"> state</w:t>
      </w:r>
      <w:r w:rsidR="00211F29">
        <w:t>s</w:t>
      </w:r>
      <w:r w:rsidR="00C443C0">
        <w:t xml:space="preserve"> that the “direct economic benefit” for low-income tenants replaces the </w:t>
      </w:r>
      <w:r w:rsidR="00211F29">
        <w:t xml:space="preserve">“credits on utility bills” referred to in </w:t>
      </w:r>
      <w:r w:rsidR="006D7252">
        <w:t xml:space="preserve">AB </w:t>
      </w:r>
      <w:r w:rsidR="00211F29">
        <w:t>693</w:t>
      </w:r>
      <w:r w:rsidR="00FA6889">
        <w:t xml:space="preserve">, or that </w:t>
      </w:r>
      <w:r w:rsidR="00CE39E4">
        <w:t>master-metered affordable multifamily properties must be included in SOMAH</w:t>
      </w:r>
      <w:r w:rsidR="00211F29">
        <w:t xml:space="preserve">. </w:t>
      </w:r>
      <w:r w:rsidR="00AC3F5E">
        <w:t>Additionally, SB 355 only references units that are separately metered and not master-metered</w:t>
      </w:r>
      <w:r w:rsidR="00892444">
        <w:t>, as noted by Cal Advocates</w:t>
      </w:r>
      <w:r w:rsidR="00AC3F5E">
        <w:t>.</w:t>
      </w:r>
      <w:r w:rsidR="00AC3F5E">
        <w:rPr>
          <w:rStyle w:val="FootnoteReference"/>
        </w:rPr>
        <w:footnoteReference w:id="62"/>
      </w:r>
      <w:r w:rsidR="00AC3F5E">
        <w:t xml:space="preserve"> </w:t>
      </w:r>
    </w:p>
    <w:p w:rsidR="003B74AD" w:rsidP="009034E8" w:rsidRDefault="009034E8" w14:paraId="2F73B217" w14:textId="5540BC20">
      <w:r>
        <w:t>As such</w:t>
      </w:r>
      <w:r w:rsidR="003B74AD">
        <w:t xml:space="preserve">, the Commission </w:t>
      </w:r>
      <w:r w:rsidR="0033013B">
        <w:t xml:space="preserve">finds there is no statutory obligation to extend the SOMAH program to master-metered multifamily affordable properties.  Instead, the Commission </w:t>
      </w:r>
      <w:r w:rsidR="003B74AD">
        <w:t xml:space="preserve">has the discretion to determine </w:t>
      </w:r>
      <w:r w:rsidR="002B2903">
        <w:t>whether to</w:t>
      </w:r>
      <w:r w:rsidR="003B74AD">
        <w:t xml:space="preserve"> include sub-metered or master-metered multifamily affordable properties in the SOMAH program based on criteria such as </w:t>
      </w:r>
      <w:r w:rsidR="0033013B">
        <w:t xml:space="preserve">the cost of </w:t>
      </w:r>
      <w:r w:rsidR="003B74AD">
        <w:t>implementation and feasibility.</w:t>
      </w:r>
    </w:p>
    <w:p w:rsidR="00AF518B" w:rsidP="00982F4F" w:rsidRDefault="00AF518B" w14:paraId="5F21600F" w14:textId="5D8F66D1">
      <w:pPr>
        <w:pStyle w:val="Heading2"/>
      </w:pPr>
      <w:bookmarkStart w:name="_Toc233626471" w:id="17"/>
      <w:r>
        <w:t>Implementation</w:t>
      </w:r>
      <w:r w:rsidR="0033013B">
        <w:t xml:space="preserve"> and Feasibility</w:t>
      </w:r>
      <w:bookmarkEnd w:id="17"/>
    </w:p>
    <w:p w:rsidR="006937E2" w:rsidP="00AC68EE" w:rsidRDefault="0033013B" w14:paraId="230A8C8C" w14:textId="795BB850">
      <w:r>
        <w:t>T</w:t>
      </w:r>
      <w:r w:rsidR="00646F4B">
        <w:t xml:space="preserve">he IOUs </w:t>
      </w:r>
      <w:r>
        <w:t>assert that they</w:t>
      </w:r>
      <w:r w:rsidR="005E62A8">
        <w:t xml:space="preserve"> would face </w:t>
      </w:r>
      <w:r>
        <w:t xml:space="preserve">difficulties </w:t>
      </w:r>
      <w:r w:rsidR="005E62A8">
        <w:t>in</w:t>
      </w:r>
      <w:r w:rsidR="00B86471">
        <w:t xml:space="preserve"> allocating generation credits to tenants </w:t>
      </w:r>
      <w:r w:rsidR="005E62A8">
        <w:t>of</w:t>
      </w:r>
      <w:r w:rsidR="00B86471">
        <w:t xml:space="preserve"> master-metered properties. </w:t>
      </w:r>
      <w:r w:rsidR="00816CC2">
        <w:t xml:space="preserve">PG&amp;E </w:t>
      </w:r>
      <w:r w:rsidR="003269E8">
        <w:t>states that</w:t>
      </w:r>
      <w:r w:rsidR="00816CC2">
        <w:t xml:space="preserve"> </w:t>
      </w:r>
      <w:r w:rsidR="00877E08">
        <w:t xml:space="preserve">expanding SOMAH to include master-metered properties </w:t>
      </w:r>
      <w:r w:rsidRPr="00877E08" w:rsidR="00877E08">
        <w:t xml:space="preserve">would require </w:t>
      </w:r>
      <w:r>
        <w:t>that</w:t>
      </w:r>
      <w:r w:rsidRPr="00877E08" w:rsidR="00877E08">
        <w:t xml:space="preserve"> the master-metered customer incorporate allocated generation credits in</w:t>
      </w:r>
      <w:r w:rsidR="00AC3F5E">
        <w:t>to</w:t>
      </w:r>
      <w:r w:rsidRPr="00877E08" w:rsidR="00877E08">
        <w:t xml:space="preserve"> the cost of </w:t>
      </w:r>
      <w:r w:rsidRPr="00877E08" w:rsidR="00877E08">
        <w:lastRenderedPageBreak/>
        <w:t xml:space="preserve">electricity </w:t>
      </w:r>
      <w:r w:rsidR="00AC3F5E">
        <w:t>included</w:t>
      </w:r>
      <w:r w:rsidRPr="00877E08" w:rsidR="00877E08">
        <w:t xml:space="preserve"> </w:t>
      </w:r>
      <w:r>
        <w:t xml:space="preserve">in </w:t>
      </w:r>
      <w:r w:rsidRPr="00877E08" w:rsidR="00877E08">
        <w:t>the rent for individual dwelling units</w:t>
      </w:r>
      <w:r w:rsidR="0068113A">
        <w:t>,</w:t>
      </w:r>
      <w:r w:rsidRPr="00877E08" w:rsidR="00877E08">
        <w:t xml:space="preserve"> or for sub-metered properties in tenant billing, as required by Rule 18.4</w:t>
      </w:r>
      <w:r w:rsidR="00877E08">
        <w:t>.</w:t>
      </w:r>
      <w:r w:rsidR="00877E08">
        <w:rPr>
          <w:rStyle w:val="FootnoteReference"/>
        </w:rPr>
        <w:footnoteReference w:id="63"/>
      </w:r>
      <w:r w:rsidR="00877E08">
        <w:t xml:space="preserve"> </w:t>
      </w:r>
      <w:r w:rsidR="006937E2">
        <w:t xml:space="preserve">PG&amp;E </w:t>
      </w:r>
      <w:r w:rsidR="005E62A8">
        <w:t>explains that r</w:t>
      </w:r>
      <w:r w:rsidRPr="006937E2" w:rsidR="006937E2">
        <w:t xml:space="preserve">equiring </w:t>
      </w:r>
      <w:r w:rsidR="005E62A8">
        <w:t xml:space="preserve">the </w:t>
      </w:r>
      <w:r w:rsidRPr="006937E2" w:rsidR="006937E2">
        <w:t>installation of sub-meters for each tenant unit would result in significant costs for the property</w:t>
      </w:r>
      <w:r w:rsidRPr="006937E2" w:rsidR="006937E2">
        <w:rPr>
          <w:rFonts w:ascii="Times New Roman" w:hAnsi="Times New Roman" w:cs="Times New Roman"/>
          <w:color w:val="000000"/>
          <w:sz w:val="23"/>
          <w:szCs w:val="23"/>
        </w:rPr>
        <w:t xml:space="preserve"> </w:t>
      </w:r>
      <w:r w:rsidRPr="006937E2" w:rsidR="006937E2">
        <w:t>owner.</w:t>
      </w:r>
      <w:r w:rsidR="006937E2">
        <w:rPr>
          <w:rStyle w:val="FootnoteReference"/>
        </w:rPr>
        <w:footnoteReference w:id="64"/>
      </w:r>
      <w:r w:rsidR="006937E2">
        <w:t xml:space="preserve"> SCE </w:t>
      </w:r>
      <w:r w:rsidR="00C658BF">
        <w:t>cites D.17-12-022 in explaining</w:t>
      </w:r>
      <w:r w:rsidR="006937E2">
        <w:t xml:space="preserve"> that </w:t>
      </w:r>
      <w:r w:rsidR="00EC3D5A">
        <w:t xml:space="preserve">tenants of </w:t>
      </w:r>
      <w:r w:rsidR="00BC598D">
        <w:t xml:space="preserve">master-metered </w:t>
      </w:r>
      <w:r w:rsidR="00627287">
        <w:t>propert</w:t>
      </w:r>
      <w:r w:rsidR="00EC3D5A">
        <w:t>ies</w:t>
      </w:r>
      <w:r w:rsidR="00C658BF">
        <w:t xml:space="preserve"> </w:t>
      </w:r>
      <w:r w:rsidRPr="006937E2" w:rsidR="006937E2">
        <w:t xml:space="preserve">are not direct customers of a utility and, as a result, </w:t>
      </w:r>
      <w:r w:rsidR="00C658BF">
        <w:t>“</w:t>
      </w:r>
      <w:r w:rsidRPr="006937E2" w:rsidR="006937E2">
        <w:t xml:space="preserve">the </w:t>
      </w:r>
      <w:r w:rsidR="006937E2">
        <w:t>‘</w:t>
      </w:r>
      <w:r w:rsidRPr="006937E2" w:rsidR="006937E2">
        <w:t>Commission cannot</w:t>
      </w:r>
      <w:r w:rsidR="006937E2">
        <w:t xml:space="preserve"> </w:t>
      </w:r>
      <w:r w:rsidRPr="006937E2" w:rsidR="006937E2">
        <w:t xml:space="preserve">ensure that </w:t>
      </w:r>
      <w:r w:rsidR="000C666F">
        <w:t>[</w:t>
      </w:r>
      <w:r w:rsidR="00D73119">
        <w:t>SOMAH V</w:t>
      </w:r>
      <w:r w:rsidR="22141DDF">
        <w:t>NEM</w:t>
      </w:r>
      <w:r w:rsidR="000C666F">
        <w:t xml:space="preserve">] </w:t>
      </w:r>
      <w:r w:rsidRPr="006937E2" w:rsidR="006937E2">
        <w:t>discounts provided to the master meter account would be passed through to</w:t>
      </w:r>
      <w:r w:rsidR="006937E2">
        <w:t xml:space="preserve"> </w:t>
      </w:r>
      <w:r w:rsidR="003273EA">
        <w:t>low-income tenants.’”</w:t>
      </w:r>
      <w:r w:rsidR="006937E2">
        <w:rPr>
          <w:rStyle w:val="FootnoteReference"/>
        </w:rPr>
        <w:footnoteReference w:id="65"/>
      </w:r>
      <w:r w:rsidR="00716270">
        <w:t xml:space="preserve"> Similarly, Liberty and PacifiCorp state that </w:t>
      </w:r>
      <w:r w:rsidR="00C658BF">
        <w:t>”[w]</w:t>
      </w:r>
      <w:proofErr w:type="spellStart"/>
      <w:r w:rsidRPr="00716270" w:rsidR="00716270">
        <w:t>ithout</w:t>
      </w:r>
      <w:proofErr w:type="spellEnd"/>
      <w:r w:rsidR="00823CDA">
        <w:t xml:space="preserve"> </w:t>
      </w:r>
      <w:r w:rsidRPr="00823CDA" w:rsidR="00823CDA">
        <w:t>submeters, there is no guarantee property owners will pass on the benefits to tenants.</w:t>
      </w:r>
      <w:r w:rsidR="00823CDA">
        <w:t>”</w:t>
      </w:r>
      <w:r w:rsidR="00716270">
        <w:rPr>
          <w:rStyle w:val="FootnoteReference"/>
        </w:rPr>
        <w:footnoteReference w:id="66"/>
      </w:r>
      <w:r w:rsidR="00320B3F">
        <w:t xml:space="preserve"> </w:t>
      </w:r>
      <w:r w:rsidR="00232F3E">
        <w:t xml:space="preserve">Cal Advocates also </w:t>
      </w:r>
      <w:r w:rsidR="000D7AB8">
        <w:t xml:space="preserve">expresses transparency concerns </w:t>
      </w:r>
      <w:r w:rsidR="00627287">
        <w:t>leading it</w:t>
      </w:r>
      <w:r w:rsidR="000D7AB8">
        <w:t xml:space="preserve"> </w:t>
      </w:r>
      <w:r w:rsidR="00232F3E">
        <w:t xml:space="preserve">to oppose </w:t>
      </w:r>
      <w:r w:rsidR="000D7AB8">
        <w:t>expansion.</w:t>
      </w:r>
      <w:r w:rsidR="000D7AB8">
        <w:rPr>
          <w:rStyle w:val="FootnoteReference"/>
        </w:rPr>
        <w:footnoteReference w:id="67"/>
      </w:r>
    </w:p>
    <w:p w:rsidR="006937E2" w:rsidP="00EF604B" w:rsidRDefault="006937E2" w14:paraId="20C59EB6" w14:textId="6935182A">
      <w:r>
        <w:t xml:space="preserve">Other parties suggest alternative ways to ensure that the property owner distributes SOMAH incentives to tenants in a master-metered </w:t>
      </w:r>
      <w:r w:rsidR="00DA0211">
        <w:t xml:space="preserve">affordable </w:t>
      </w:r>
      <w:r>
        <w:t>multifamily property. For example, SEIA, Sunrun, and CSE separately suggest using</w:t>
      </w:r>
      <w:r w:rsidR="00EF604B">
        <w:t xml:space="preserve"> U.S. Housing and Urban Development (</w:t>
      </w:r>
      <w:r>
        <w:t>HUD</w:t>
      </w:r>
      <w:r w:rsidR="00EF604B">
        <w:t>)</w:t>
      </w:r>
      <w:r>
        <w:t xml:space="preserve"> alternative d</w:t>
      </w:r>
      <w:r w:rsidR="00EF604B">
        <w:t>e</w:t>
      </w:r>
      <w:r>
        <w:t>livery models to distribute indirect financial benefits to tenants in master-metered HUD-assisted housing.</w:t>
      </w:r>
      <w:r w:rsidR="00716270">
        <w:rPr>
          <w:rStyle w:val="FootnoteReference"/>
        </w:rPr>
        <w:footnoteReference w:id="68"/>
      </w:r>
      <w:r>
        <w:t xml:space="preserve"> </w:t>
      </w:r>
      <w:r w:rsidR="00EF604B">
        <w:t xml:space="preserve">CSE states that examples of acceptable </w:t>
      </w:r>
      <w:r w:rsidR="00DA0211">
        <w:t xml:space="preserve">HUD </w:t>
      </w:r>
      <w:r w:rsidR="0033013B">
        <w:t>alternatives</w:t>
      </w:r>
      <w:r w:rsidR="00DA0211">
        <w:t xml:space="preserve"> </w:t>
      </w:r>
      <w:r w:rsidR="00EF604B">
        <w:t>include job tra</w:t>
      </w:r>
      <w:r w:rsidR="00DA0211">
        <w:t>i</w:t>
      </w:r>
      <w:r w:rsidR="00EF604B">
        <w:t>ning and workforce development, hiring additional staff to serve residents an</w:t>
      </w:r>
      <w:r w:rsidR="004B6534">
        <w:t>d</w:t>
      </w:r>
      <w:r w:rsidR="00EF604B">
        <w:t xml:space="preserve"> building needs, facility upgrades, free or reduced cost high-speed </w:t>
      </w:r>
      <w:r w:rsidR="00D11542">
        <w:lastRenderedPageBreak/>
        <w:t xml:space="preserve">internet </w:t>
      </w:r>
      <w:r w:rsidR="00EF604B">
        <w:t>service, and financial literacy programs and services.</w:t>
      </w:r>
      <w:r w:rsidR="00EF604B">
        <w:rPr>
          <w:rStyle w:val="FootnoteReference"/>
        </w:rPr>
        <w:footnoteReference w:id="69"/>
      </w:r>
      <w:r w:rsidR="00EF604B">
        <w:t xml:space="preserve"> CSE states that </w:t>
      </w:r>
      <w:r w:rsidR="00A57ED2">
        <w:t>o</w:t>
      </w:r>
      <w:r w:rsidR="00EF604B">
        <w:t>w</w:t>
      </w:r>
      <w:r w:rsidRPr="00EF604B" w:rsidR="00EF604B">
        <w:t xml:space="preserve">ners can also use widely available software </w:t>
      </w:r>
      <w:r w:rsidR="00A57ED2">
        <w:t>tools</w:t>
      </w:r>
      <w:r w:rsidRPr="00EF604B" w:rsidR="00EF604B">
        <w:t xml:space="preserve"> to track building-level utility savings</w:t>
      </w:r>
      <w:r w:rsidR="00EF604B">
        <w:t xml:space="preserve"> </w:t>
      </w:r>
      <w:r w:rsidRPr="00EF604B" w:rsidR="00EF604B">
        <w:t>and support documentation of how savings are reinvested.</w:t>
      </w:r>
      <w:r w:rsidR="00A57ED2">
        <w:t xml:space="preserve"> CSE </w:t>
      </w:r>
      <w:r w:rsidR="0033013B">
        <w:t>asserts that</w:t>
      </w:r>
      <w:r w:rsidR="00A57ED2">
        <w:t xml:space="preserve"> “</w:t>
      </w:r>
      <w:r w:rsidR="0033013B">
        <w:t>[t]</w:t>
      </w:r>
      <w:proofErr w:type="spellStart"/>
      <w:r w:rsidRPr="00EF604B" w:rsidR="00EF604B">
        <w:t>hese</w:t>
      </w:r>
      <w:proofErr w:type="spellEnd"/>
      <w:r w:rsidRPr="00EF604B" w:rsidR="00EF604B">
        <w:t xml:space="preserve"> tools are familiar to many affordable housing providers and can provide a clear, auditable way to demonstrate the flow of benefits to tenants as required by SOMAH rules.</w:t>
      </w:r>
      <w:r w:rsidR="00EF604B">
        <w:t>”</w:t>
      </w:r>
      <w:r w:rsidR="00EF604B">
        <w:rPr>
          <w:rStyle w:val="FootnoteReference"/>
        </w:rPr>
        <w:footnoteReference w:id="70"/>
      </w:r>
      <w:r w:rsidR="00EF604B">
        <w:t xml:space="preserve"> Sunrun supports CSE’s </w:t>
      </w:r>
      <w:r w:rsidR="005A6D2E">
        <w:t xml:space="preserve">proposal </w:t>
      </w:r>
      <w:r w:rsidR="00775A48">
        <w:t>for a Benefit Distribution Plan</w:t>
      </w:r>
      <w:r w:rsidR="00CE6C14">
        <w:t xml:space="preserve"> for master-metered affordable multifamily properties</w:t>
      </w:r>
      <w:r w:rsidR="00775A48">
        <w:t xml:space="preserve">, which Sunrun </w:t>
      </w:r>
      <w:r w:rsidR="00CE6C14">
        <w:t xml:space="preserve">says is a </w:t>
      </w:r>
      <w:r w:rsidR="005A6D2E">
        <w:t>“</w:t>
      </w:r>
      <w:r w:rsidRPr="00EF604B" w:rsidR="00EF604B">
        <w:t>well-established national standard</w:t>
      </w:r>
      <w:r w:rsidR="00202D31">
        <w:t>.”</w:t>
      </w:r>
      <w:r w:rsidR="00EF604B">
        <w:rPr>
          <w:rStyle w:val="FootnoteReference"/>
        </w:rPr>
        <w:footnoteReference w:id="71"/>
      </w:r>
    </w:p>
    <w:p w:rsidR="00EA36C6" w:rsidP="00B862F9" w:rsidRDefault="007F314E" w14:paraId="5C9DB277" w14:textId="12F9DA80">
      <w:r>
        <w:t>SCE, PG&amp;E,</w:t>
      </w:r>
      <w:r w:rsidR="007D708D">
        <w:t xml:space="preserve"> SDG&amp;E, Liberty</w:t>
      </w:r>
      <w:r w:rsidR="00B862F9">
        <w:t>,</w:t>
      </w:r>
      <w:r w:rsidR="007D708D">
        <w:t xml:space="preserve"> and PacifiCorp all point to what they say are possibly insurmountable difficulties the Commission would face attempting to implement and enforce </w:t>
      </w:r>
      <w:r w:rsidR="0033013B">
        <w:t xml:space="preserve">alternative benefits, such as those listed by </w:t>
      </w:r>
      <w:r w:rsidR="007D708D">
        <w:t>HUD. SCE states</w:t>
      </w:r>
      <w:r w:rsidR="0033013B">
        <w:t xml:space="preserve"> that</w:t>
      </w:r>
      <w:r w:rsidR="007D708D">
        <w:t xml:space="preserve"> “</w:t>
      </w:r>
      <w:r w:rsidRPr="007F314E">
        <w:t>HUD cannot reasonably replace the Commission’s responsibility to oversee SOMAH</w:t>
      </w:r>
      <w:r w:rsidRPr="00B862F9" w:rsidR="00B862F9">
        <w:t>.</w:t>
      </w:r>
      <w:r w:rsidR="00B862F9">
        <w:t>”</w:t>
      </w:r>
      <w:r w:rsidR="007D708D">
        <w:rPr>
          <w:rStyle w:val="FootnoteReference"/>
        </w:rPr>
        <w:footnoteReference w:id="72"/>
      </w:r>
      <w:r w:rsidR="009A44DE">
        <w:t xml:space="preserve"> SDG&amp;E </w:t>
      </w:r>
      <w:r w:rsidR="0033013B">
        <w:t>argues</w:t>
      </w:r>
      <w:r w:rsidR="009A44DE">
        <w:t xml:space="preserve"> that employing the HUD alternative benefits risks allowing property owners to collect all the SOMAH incentives</w:t>
      </w:r>
      <w:r w:rsidR="00490436">
        <w:t xml:space="preserve"> rather than distributing them to tenants</w:t>
      </w:r>
      <w:r w:rsidR="0037155D">
        <w:t xml:space="preserve">. </w:t>
      </w:r>
      <w:r w:rsidR="00286EEA">
        <w:t xml:space="preserve">SDG&amp;E </w:t>
      </w:r>
      <w:r w:rsidR="0033013B">
        <w:t>asserts that</w:t>
      </w:r>
      <w:r w:rsidR="00286EEA">
        <w:t xml:space="preserve"> “</w:t>
      </w:r>
      <w:r w:rsidR="0033013B">
        <w:t>[w]</w:t>
      </w:r>
      <w:proofErr w:type="spellStart"/>
      <w:r w:rsidRPr="009A44DE" w:rsidR="009A44DE">
        <w:t>ithout</w:t>
      </w:r>
      <w:proofErr w:type="spellEnd"/>
      <w:r w:rsidRPr="009A44DE" w:rsidR="009A44DE">
        <w:t xml:space="preserve"> direct utility billing relationships or transparent oversight, tenants may be</w:t>
      </w:r>
      <w:r w:rsidR="009A44DE">
        <w:t xml:space="preserve"> </w:t>
      </w:r>
      <w:r w:rsidRPr="009A44DE" w:rsidR="009A44DE">
        <w:t>unaware of the benefits they are entitled to, and property owners lack the incentive or</w:t>
      </w:r>
      <w:r w:rsidR="009A44DE">
        <w:t xml:space="preserve"> </w:t>
      </w:r>
      <w:r w:rsidRPr="009A44DE" w:rsidR="009A44DE">
        <w:t>accountability to distribute those benefits fairly.</w:t>
      </w:r>
      <w:r w:rsidR="0037155D">
        <w:t>”</w:t>
      </w:r>
      <w:r w:rsidR="009A44DE">
        <w:rPr>
          <w:rStyle w:val="FootnoteReference"/>
        </w:rPr>
        <w:footnoteReference w:id="73"/>
      </w:r>
      <w:r w:rsidR="00320B3F">
        <w:t xml:space="preserve"> </w:t>
      </w:r>
    </w:p>
    <w:p w:rsidR="00DA3317" w:rsidP="00B862F9" w:rsidRDefault="00100D5D" w14:paraId="5293DF29" w14:textId="654914B2">
      <w:r>
        <w:t>We</w:t>
      </w:r>
      <w:r w:rsidR="009A44DE">
        <w:t xml:space="preserve"> </w:t>
      </w:r>
      <w:r w:rsidR="00E97DAD">
        <w:t xml:space="preserve">find merit in </w:t>
      </w:r>
      <w:r w:rsidR="00BE09D7">
        <w:t>Cal Advocates</w:t>
      </w:r>
      <w:r w:rsidR="0000661F">
        <w:t>’</w:t>
      </w:r>
      <w:r w:rsidR="00BE09D7">
        <w:t xml:space="preserve"> and</w:t>
      </w:r>
      <w:r w:rsidR="00E97DAD">
        <w:t xml:space="preserve"> </w:t>
      </w:r>
      <w:r w:rsidR="009A44DE">
        <w:t xml:space="preserve">the </w:t>
      </w:r>
      <w:r w:rsidR="79D07659">
        <w:t>IOU</w:t>
      </w:r>
      <w:r w:rsidR="009A44DE">
        <w:t xml:space="preserve">s’ arguments </w:t>
      </w:r>
      <w:r w:rsidR="003269E8">
        <w:t>highlight</w:t>
      </w:r>
      <w:r w:rsidR="0033013B">
        <w:t>ing</w:t>
      </w:r>
      <w:r w:rsidR="009A44DE">
        <w:t xml:space="preserve"> the difficulty of ensuring</w:t>
      </w:r>
      <w:r w:rsidR="00E97DAD">
        <w:t xml:space="preserve"> </w:t>
      </w:r>
      <w:r w:rsidR="009A44DE">
        <w:t>tenants in master-metered buildings receive their appropriate share of SOMAH benefits</w:t>
      </w:r>
      <w:r w:rsidR="00FA1055">
        <w:t xml:space="preserve">. </w:t>
      </w:r>
      <w:r w:rsidR="00B51535">
        <w:t xml:space="preserve">Requiring the PA to develop a </w:t>
      </w:r>
      <w:r w:rsidR="00B51535">
        <w:lastRenderedPageBreak/>
        <w:t xml:space="preserve">methodology </w:t>
      </w:r>
      <w:r w:rsidR="0069546D">
        <w:t xml:space="preserve">or process </w:t>
      </w:r>
      <w:r w:rsidR="00B51535">
        <w:t>to ensure owner</w:t>
      </w:r>
      <w:r w:rsidR="00775C0A">
        <w:t>s</w:t>
      </w:r>
      <w:r w:rsidR="00B51535">
        <w:t xml:space="preserve"> of master-metered buildings appropriately distribute bill credits </w:t>
      </w:r>
      <w:r w:rsidR="0069546D">
        <w:t xml:space="preserve">or alternative benefits, such as those listed by HUD, </w:t>
      </w:r>
      <w:r w:rsidR="00B51535">
        <w:t xml:space="preserve">to tenants would add </w:t>
      </w:r>
      <w:r w:rsidR="0033013B">
        <w:t xml:space="preserve">a </w:t>
      </w:r>
      <w:r w:rsidR="00B51535">
        <w:t xml:space="preserve">significant administrative burden and cost </w:t>
      </w:r>
      <w:r w:rsidR="0033013B">
        <w:t>on</w:t>
      </w:r>
      <w:r w:rsidR="00B51535">
        <w:t xml:space="preserve"> the PA. </w:t>
      </w:r>
      <w:r w:rsidR="0069546D">
        <w:t>W</w:t>
      </w:r>
      <w:r>
        <w:t xml:space="preserve">e </w:t>
      </w:r>
      <w:r w:rsidR="0069546D">
        <w:t xml:space="preserve">also </w:t>
      </w:r>
      <w:r>
        <w:t>agree with</w:t>
      </w:r>
      <w:r w:rsidR="00385A8E">
        <w:t xml:space="preserve"> </w:t>
      </w:r>
      <w:r w:rsidR="00E97DAD">
        <w:t>PG&amp;E</w:t>
      </w:r>
      <w:r>
        <w:t xml:space="preserve">’s arguments </w:t>
      </w:r>
      <w:r w:rsidR="009A44DE">
        <w:t>cit</w:t>
      </w:r>
      <w:r>
        <w:t>ing</w:t>
      </w:r>
      <w:r w:rsidR="009A44DE">
        <w:t xml:space="preserve"> SB 355</w:t>
      </w:r>
      <w:r w:rsidR="00E97DAD">
        <w:t>’s requirement</w:t>
      </w:r>
      <w:r w:rsidR="009A44DE">
        <w:t xml:space="preserve"> that tenants receive “direct economic benefits from the qualifying solar energy system</w:t>
      </w:r>
      <w:r w:rsidR="0069546D">
        <w:t>.</w:t>
      </w:r>
      <w:r w:rsidR="009A44DE">
        <w:t>”</w:t>
      </w:r>
      <w:r w:rsidR="00E97DAD">
        <w:t xml:space="preserve"> </w:t>
      </w:r>
      <w:r w:rsidR="0069546D">
        <w:t>The alternative benefits listed by</w:t>
      </w:r>
      <w:r w:rsidR="00E97DAD">
        <w:t xml:space="preserve"> HUD</w:t>
      </w:r>
      <w:r w:rsidR="6525AEBB">
        <w:t>,</w:t>
      </w:r>
      <w:r w:rsidR="00E97DAD">
        <w:t xml:space="preserve"> such as facility upgrades or high-speed </w:t>
      </w:r>
      <w:r w:rsidR="013AB07C">
        <w:t>i</w:t>
      </w:r>
      <w:r w:rsidR="00E97DAD">
        <w:t>nternet</w:t>
      </w:r>
      <w:r w:rsidR="25DEF359">
        <w:t>,</w:t>
      </w:r>
      <w:r w:rsidR="00E97DAD">
        <w:t xml:space="preserve"> </w:t>
      </w:r>
      <w:r w:rsidR="0069546D">
        <w:t xml:space="preserve">may not </w:t>
      </w:r>
      <w:r w:rsidR="00E97DAD">
        <w:t>qualify as “direct economic benefits.”</w:t>
      </w:r>
      <w:r w:rsidR="00490436">
        <w:rPr>
          <w:rStyle w:val="FootnoteReference"/>
        </w:rPr>
        <w:footnoteReference w:id="74"/>
      </w:r>
    </w:p>
    <w:p w:rsidR="00DA3317" w:rsidP="00DA3317" w:rsidRDefault="00DA3317" w14:paraId="6C3EF599" w14:textId="0B79A839">
      <w:pPr>
        <w:rPr>
          <w:rFonts w:eastAsia="Calibri" w:cs="Calibri"/>
        </w:rPr>
      </w:pPr>
      <w:r>
        <w:t>Additiona</w:t>
      </w:r>
      <w:r w:rsidR="006F3871">
        <w:t>lly,</w:t>
      </w:r>
      <w:r w:rsidR="00FA1055">
        <w:t xml:space="preserve"> </w:t>
      </w:r>
      <w:r w:rsidR="00DD09A5">
        <w:t xml:space="preserve">we find merit in </w:t>
      </w:r>
      <w:r w:rsidR="00FA1055">
        <w:t>SCE</w:t>
      </w:r>
      <w:r w:rsidR="00DD09A5">
        <w:t xml:space="preserve">’s argument that </w:t>
      </w:r>
      <w:r w:rsidR="006F3871">
        <w:t xml:space="preserve">the SOMAH </w:t>
      </w:r>
      <w:r w:rsidR="00E53451">
        <w:t>V</w:t>
      </w:r>
      <w:r w:rsidR="006F3871">
        <w:t>NEM tariff cannot accommodate master-metered properties where there is only one utility customer</w:t>
      </w:r>
      <w:r w:rsidR="00FA1055">
        <w:t>. T</w:t>
      </w:r>
      <w:r w:rsidR="00DD09A5">
        <w:t>he Commission</w:t>
      </w:r>
      <w:r w:rsidRPr="006F3871" w:rsidR="006F3871">
        <w:rPr>
          <w:rFonts w:eastAsia="Calibri" w:cs="Calibri"/>
        </w:rPr>
        <w:t xml:space="preserve"> would have to establish a new SOMAH customer</w:t>
      </w:r>
      <w:r w:rsidR="0069546D">
        <w:rPr>
          <w:rFonts w:eastAsia="Calibri" w:cs="Calibri"/>
        </w:rPr>
        <w:t>-</w:t>
      </w:r>
      <w:r w:rsidRPr="006F3871" w:rsidR="006F3871">
        <w:rPr>
          <w:rFonts w:eastAsia="Calibri" w:cs="Calibri"/>
        </w:rPr>
        <w:t>generation NEM tariff to accommodate such participants</w:t>
      </w:r>
      <w:r w:rsidRPr="006F3871" w:rsidR="45AA802E">
        <w:rPr>
          <w:rFonts w:eastAsia="Calibri" w:cs="Calibri"/>
        </w:rPr>
        <w:t>,</w:t>
      </w:r>
      <w:r w:rsidRPr="006F3871" w:rsidR="006F3871">
        <w:rPr>
          <w:rFonts w:eastAsia="Calibri" w:cs="Calibri"/>
        </w:rPr>
        <w:t xml:space="preserve"> which the </w:t>
      </w:r>
      <w:r w:rsidRPr="006F3871" w:rsidR="65B66847">
        <w:rPr>
          <w:rFonts w:eastAsia="Calibri" w:cs="Calibri"/>
        </w:rPr>
        <w:t>IOUs</w:t>
      </w:r>
      <w:r w:rsidRPr="006F3871" w:rsidR="006F3871">
        <w:rPr>
          <w:rFonts w:eastAsia="Calibri" w:cs="Calibri"/>
        </w:rPr>
        <w:t xml:space="preserve"> would need to implement at a cost to ratepayers for its development, implementation, and billing system origination.</w:t>
      </w:r>
      <w:r w:rsidR="00B862F9">
        <w:rPr>
          <w:rFonts w:eastAsia="Calibri" w:cs="Calibri"/>
        </w:rPr>
        <w:t xml:space="preserve"> </w:t>
      </w:r>
    </w:p>
    <w:p w:rsidR="00B862F9" w:rsidP="00DA3317" w:rsidRDefault="00B862F9" w14:paraId="5567D585" w14:textId="5B1914C7">
      <w:r>
        <w:rPr>
          <w:rFonts w:eastAsia="Calibri" w:cs="Calibri"/>
        </w:rPr>
        <w:t xml:space="preserve">Finally, </w:t>
      </w:r>
      <w:r w:rsidR="000D4AD4">
        <w:rPr>
          <w:rFonts w:eastAsia="Calibri" w:cs="Calibri"/>
        </w:rPr>
        <w:t xml:space="preserve">we are persuaded by </w:t>
      </w:r>
      <w:r>
        <w:rPr>
          <w:rFonts w:eastAsia="Calibri" w:cs="Calibri"/>
        </w:rPr>
        <w:t>PG&amp;E</w:t>
      </w:r>
      <w:r w:rsidR="000D4AD4">
        <w:rPr>
          <w:rFonts w:eastAsia="Calibri" w:cs="Calibri"/>
        </w:rPr>
        <w:t xml:space="preserve">’s argument stating that </w:t>
      </w:r>
      <w:r>
        <w:rPr>
          <w:rFonts w:eastAsia="Calibri" w:cs="Calibri"/>
        </w:rPr>
        <w:t>adding private sub-meters to units in such multifamily properties is costly, and that sub-meter data is reported to the property owner</w:t>
      </w:r>
      <w:r w:rsidR="61B6523E">
        <w:rPr>
          <w:rFonts w:eastAsia="Calibri" w:cs="Calibri"/>
        </w:rPr>
        <w:t>,</w:t>
      </w:r>
      <w:r>
        <w:rPr>
          <w:rFonts w:eastAsia="Calibri" w:cs="Calibri"/>
        </w:rPr>
        <w:t xml:space="preserve"> not the utility.</w:t>
      </w:r>
      <w:r>
        <w:rPr>
          <w:rStyle w:val="FootnoteReference"/>
          <w:rFonts w:eastAsia="Calibri" w:cs="Calibri"/>
        </w:rPr>
        <w:footnoteReference w:id="75"/>
      </w:r>
      <w:r w:rsidRPr="00B862F9">
        <w:t xml:space="preserve"> </w:t>
      </w:r>
    </w:p>
    <w:p w:rsidR="004019E2" w:rsidP="00E52895" w:rsidRDefault="004D560C" w14:paraId="59E716CA" w14:textId="1B5D8DD9">
      <w:pPr>
        <w:rPr>
          <w:rFonts w:eastAsia="Calibri" w:cs="Calibri"/>
        </w:rPr>
      </w:pPr>
      <w:r w:rsidRPr="5041AA49">
        <w:rPr>
          <w:rFonts w:eastAsia="Calibri" w:cs="Calibri"/>
        </w:rPr>
        <w:t xml:space="preserve">Further, as we found in our determination </w:t>
      </w:r>
      <w:r w:rsidRPr="5041AA49" w:rsidR="00334B7C">
        <w:rPr>
          <w:rFonts w:eastAsia="Calibri" w:cs="Calibri"/>
        </w:rPr>
        <w:t xml:space="preserve">that </w:t>
      </w:r>
      <w:r w:rsidRPr="5041AA49">
        <w:rPr>
          <w:rFonts w:eastAsia="Calibri" w:cs="Calibri"/>
        </w:rPr>
        <w:t>reject</w:t>
      </w:r>
      <w:r w:rsidRPr="5041AA49" w:rsidR="00334B7C">
        <w:rPr>
          <w:rFonts w:eastAsia="Calibri" w:cs="Calibri"/>
        </w:rPr>
        <w:t>ed</w:t>
      </w:r>
      <w:r w:rsidRPr="5041AA49">
        <w:rPr>
          <w:rFonts w:eastAsia="Calibri" w:cs="Calibri"/>
        </w:rPr>
        <w:t xml:space="preserve"> new construction </w:t>
      </w:r>
      <w:r w:rsidRPr="5041AA49" w:rsidR="00334B7C">
        <w:rPr>
          <w:rFonts w:eastAsia="Calibri" w:cs="Calibri"/>
        </w:rPr>
        <w:t xml:space="preserve">properties </w:t>
      </w:r>
      <w:r w:rsidRPr="5041AA49">
        <w:rPr>
          <w:rFonts w:eastAsia="Calibri" w:cs="Calibri"/>
        </w:rPr>
        <w:t>into the program</w:t>
      </w:r>
      <w:r w:rsidRPr="5041AA49" w:rsidR="00AD7B84">
        <w:rPr>
          <w:rFonts w:eastAsia="Calibri" w:cs="Calibri"/>
        </w:rPr>
        <w:t xml:space="preserve">, introducing new </w:t>
      </w:r>
      <w:r w:rsidRPr="5041AA49">
        <w:rPr>
          <w:rFonts w:eastAsia="Calibri" w:cs="Calibri"/>
        </w:rPr>
        <w:t xml:space="preserve">programmatic elements </w:t>
      </w:r>
      <w:r w:rsidRPr="5041AA49" w:rsidR="00AB19B2">
        <w:rPr>
          <w:rFonts w:eastAsia="Calibri" w:cs="Calibri"/>
        </w:rPr>
        <w:t>for master</w:t>
      </w:r>
      <w:r w:rsidRPr="5041AA49" w:rsidR="0000661F">
        <w:rPr>
          <w:rFonts w:eastAsia="Calibri" w:cs="Calibri"/>
        </w:rPr>
        <w:t>-</w:t>
      </w:r>
      <w:r w:rsidRPr="5041AA49" w:rsidR="00AB19B2">
        <w:rPr>
          <w:rFonts w:eastAsia="Calibri" w:cs="Calibri"/>
        </w:rPr>
        <w:t>meter</w:t>
      </w:r>
      <w:r w:rsidRPr="5041AA49" w:rsidR="0000661F">
        <w:rPr>
          <w:rFonts w:eastAsia="Calibri" w:cs="Calibri"/>
        </w:rPr>
        <w:t>ed</w:t>
      </w:r>
      <w:r w:rsidRPr="5041AA49" w:rsidR="00AB19B2">
        <w:rPr>
          <w:rFonts w:eastAsia="Calibri" w:cs="Calibri"/>
        </w:rPr>
        <w:t xml:space="preserve"> properties </w:t>
      </w:r>
      <w:r w:rsidRPr="5041AA49">
        <w:rPr>
          <w:rFonts w:eastAsia="Calibri" w:cs="Calibri"/>
        </w:rPr>
        <w:t xml:space="preserve">into the SOMAH program </w:t>
      </w:r>
      <w:r w:rsidRPr="5041AA49" w:rsidR="00AA282B">
        <w:rPr>
          <w:rFonts w:eastAsia="Calibri" w:cs="Calibri"/>
        </w:rPr>
        <w:t xml:space="preserve">now </w:t>
      </w:r>
      <w:r w:rsidRPr="5041AA49" w:rsidR="00AB19B2">
        <w:rPr>
          <w:rFonts w:eastAsia="Calibri" w:cs="Calibri"/>
        </w:rPr>
        <w:t>would</w:t>
      </w:r>
      <w:r w:rsidRPr="5041AA49" w:rsidR="00964817">
        <w:rPr>
          <w:rFonts w:eastAsia="Calibri" w:cs="Calibri"/>
        </w:rPr>
        <w:t xml:space="preserve"> </w:t>
      </w:r>
      <w:r w:rsidRPr="5041AA49" w:rsidR="00C55B54">
        <w:rPr>
          <w:rFonts w:eastAsia="Calibri" w:cs="Calibri"/>
        </w:rPr>
        <w:t>divert</w:t>
      </w:r>
      <w:r w:rsidR="004652A6">
        <w:rPr>
          <w:rFonts w:eastAsia="Calibri" w:cs="Calibri"/>
        </w:rPr>
        <w:t xml:space="preserve"> </w:t>
      </w:r>
      <w:r w:rsidRPr="5041AA49" w:rsidR="00334B7C">
        <w:rPr>
          <w:rFonts w:eastAsia="Calibri" w:cs="Calibri"/>
        </w:rPr>
        <w:t>the SOMAH PA’s</w:t>
      </w:r>
      <w:r w:rsidRPr="5041AA49">
        <w:rPr>
          <w:rFonts w:eastAsia="Calibri" w:cs="Calibri"/>
        </w:rPr>
        <w:t xml:space="preserve"> </w:t>
      </w:r>
      <w:r w:rsidRPr="5041AA49" w:rsidR="00CD36C7">
        <w:rPr>
          <w:rFonts w:eastAsia="Calibri" w:cs="Calibri"/>
        </w:rPr>
        <w:t>ongoing</w:t>
      </w:r>
      <w:r w:rsidRPr="5041AA49" w:rsidR="00334B7C">
        <w:rPr>
          <w:rFonts w:eastAsia="Calibri" w:cs="Calibri"/>
        </w:rPr>
        <w:t xml:space="preserve"> efforts</w:t>
      </w:r>
      <w:r w:rsidRPr="5041AA49">
        <w:rPr>
          <w:rFonts w:eastAsia="Calibri" w:cs="Calibri"/>
        </w:rPr>
        <w:t xml:space="preserve"> </w:t>
      </w:r>
      <w:r w:rsidRPr="5041AA49" w:rsidR="00AA282B">
        <w:rPr>
          <w:rFonts w:eastAsia="Calibri" w:cs="Calibri"/>
        </w:rPr>
        <w:t xml:space="preserve">and focus to </w:t>
      </w:r>
      <w:r w:rsidRPr="5041AA49">
        <w:rPr>
          <w:rFonts w:eastAsia="Calibri" w:cs="Calibri"/>
        </w:rPr>
        <w:t>implement</w:t>
      </w:r>
      <w:r w:rsidRPr="5041AA49" w:rsidR="00AA282B">
        <w:rPr>
          <w:rFonts w:eastAsia="Calibri" w:cs="Calibri"/>
        </w:rPr>
        <w:t xml:space="preserve"> key</w:t>
      </w:r>
      <w:r w:rsidRPr="5041AA49">
        <w:rPr>
          <w:rFonts w:eastAsia="Calibri" w:cs="Calibri"/>
        </w:rPr>
        <w:t xml:space="preserve"> process improvements </w:t>
      </w:r>
      <w:r w:rsidRPr="5041AA49" w:rsidR="00E02A03">
        <w:rPr>
          <w:rFonts w:eastAsia="Calibri" w:cs="Calibri"/>
        </w:rPr>
        <w:t>ordered in</w:t>
      </w:r>
      <w:r w:rsidRPr="5041AA49">
        <w:rPr>
          <w:rFonts w:eastAsia="Calibri" w:cs="Calibri"/>
        </w:rPr>
        <w:t xml:space="preserve"> D.24</w:t>
      </w:r>
      <w:r w:rsidRPr="5041AA49" w:rsidR="00620BF3">
        <w:rPr>
          <w:rFonts w:eastAsia="Calibri" w:cs="Calibri"/>
        </w:rPr>
        <w:t>-11-006.</w:t>
      </w:r>
      <w:r w:rsidRPr="5041AA49" w:rsidR="00AD7B84">
        <w:rPr>
          <w:rFonts w:eastAsia="Calibri" w:cs="Calibri"/>
        </w:rPr>
        <w:t xml:space="preserve"> </w:t>
      </w:r>
      <w:r w:rsidRPr="5041AA49" w:rsidR="002A5F4D">
        <w:rPr>
          <w:rFonts w:eastAsia="Calibri" w:cs="Calibri"/>
        </w:rPr>
        <w:t>Projects at m</w:t>
      </w:r>
      <w:r w:rsidRPr="5041AA49" w:rsidR="00A8331D">
        <w:rPr>
          <w:rFonts w:eastAsia="Calibri" w:cs="Calibri"/>
        </w:rPr>
        <w:t>aster</w:t>
      </w:r>
      <w:r w:rsidRPr="5041AA49" w:rsidR="0000661F">
        <w:rPr>
          <w:rFonts w:eastAsia="Calibri" w:cs="Calibri"/>
        </w:rPr>
        <w:t>-</w:t>
      </w:r>
      <w:r w:rsidRPr="5041AA49" w:rsidR="00A8331D">
        <w:rPr>
          <w:rFonts w:eastAsia="Calibri" w:cs="Calibri"/>
        </w:rPr>
        <w:t>meter</w:t>
      </w:r>
      <w:r w:rsidRPr="5041AA49" w:rsidR="0000661F">
        <w:rPr>
          <w:rFonts w:eastAsia="Calibri" w:cs="Calibri"/>
        </w:rPr>
        <w:t>ed</w:t>
      </w:r>
      <w:r w:rsidRPr="5041AA49" w:rsidR="00A8331D">
        <w:rPr>
          <w:rFonts w:eastAsia="Calibri" w:cs="Calibri"/>
        </w:rPr>
        <w:t xml:space="preserve"> </w:t>
      </w:r>
      <w:r w:rsidRPr="5041AA49" w:rsidR="002A5F4D">
        <w:rPr>
          <w:rFonts w:eastAsia="Calibri" w:cs="Calibri"/>
        </w:rPr>
        <w:t>properties</w:t>
      </w:r>
      <w:r w:rsidRPr="5041AA49" w:rsidR="00C17B7D">
        <w:rPr>
          <w:rFonts w:eastAsia="Calibri" w:cs="Calibri"/>
        </w:rPr>
        <w:t xml:space="preserve"> would </w:t>
      </w:r>
      <w:r w:rsidRPr="5041AA49" w:rsidR="00A9066D">
        <w:rPr>
          <w:rFonts w:eastAsia="Calibri" w:cs="Calibri"/>
        </w:rPr>
        <w:t xml:space="preserve">rely on landlords and property owners to </w:t>
      </w:r>
      <w:r w:rsidRPr="5041AA49" w:rsidR="00C17B7D">
        <w:rPr>
          <w:rFonts w:eastAsia="Calibri" w:cs="Calibri"/>
        </w:rPr>
        <w:t xml:space="preserve">deliver bill credits to </w:t>
      </w:r>
      <w:r w:rsidRPr="5041AA49" w:rsidR="00A9066D">
        <w:rPr>
          <w:rFonts w:eastAsia="Calibri" w:cs="Calibri"/>
        </w:rPr>
        <w:t>their tenants</w:t>
      </w:r>
      <w:r w:rsidRPr="5041AA49" w:rsidR="0095240E">
        <w:rPr>
          <w:rFonts w:eastAsia="Calibri" w:cs="Calibri"/>
        </w:rPr>
        <w:t xml:space="preserve">, with less transparency </w:t>
      </w:r>
      <w:r w:rsidRPr="5041AA49" w:rsidR="008D44BB">
        <w:rPr>
          <w:rFonts w:eastAsia="Calibri" w:cs="Calibri"/>
        </w:rPr>
        <w:t xml:space="preserve">and accountability </w:t>
      </w:r>
      <w:r w:rsidRPr="5041AA49" w:rsidR="0095240E">
        <w:rPr>
          <w:rFonts w:eastAsia="Calibri" w:cs="Calibri"/>
        </w:rPr>
        <w:t xml:space="preserve">than the current universe of </w:t>
      </w:r>
      <w:r w:rsidRPr="5041AA49" w:rsidR="0095240E">
        <w:rPr>
          <w:rFonts w:eastAsia="Calibri" w:cs="Calibri"/>
        </w:rPr>
        <w:lastRenderedPageBreak/>
        <w:t>eligible projects</w:t>
      </w:r>
      <w:r w:rsidRPr="5041AA49" w:rsidR="00771274">
        <w:rPr>
          <w:rFonts w:eastAsia="Calibri" w:cs="Calibri"/>
        </w:rPr>
        <w:t>.</w:t>
      </w:r>
      <w:r w:rsidRPr="5041AA49" w:rsidR="009209C7">
        <w:rPr>
          <w:rFonts w:eastAsia="Calibri" w:cs="Calibri"/>
        </w:rPr>
        <w:t xml:space="preserve"> Thi</w:t>
      </w:r>
      <w:r w:rsidRPr="5041AA49" w:rsidR="006D0A2E">
        <w:rPr>
          <w:rFonts w:eastAsia="Calibri" w:cs="Calibri"/>
        </w:rPr>
        <w:t xml:space="preserve">s would be in conflict with </w:t>
      </w:r>
      <w:r w:rsidRPr="5041AA49" w:rsidR="006C6E37">
        <w:rPr>
          <w:rFonts w:eastAsia="Calibri" w:cs="Calibri"/>
        </w:rPr>
        <w:t xml:space="preserve">one of the SOMAH </w:t>
      </w:r>
      <w:r w:rsidRPr="5041AA49" w:rsidR="006C317B">
        <w:rPr>
          <w:rFonts w:eastAsia="Calibri" w:cs="Calibri"/>
        </w:rPr>
        <w:t>goal</w:t>
      </w:r>
      <w:r w:rsidRPr="5041AA49" w:rsidR="006C6E37">
        <w:rPr>
          <w:rFonts w:eastAsia="Calibri" w:cs="Calibri"/>
        </w:rPr>
        <w:t>s</w:t>
      </w:r>
      <w:r w:rsidRPr="5041AA49" w:rsidR="006C317B">
        <w:rPr>
          <w:rFonts w:eastAsia="Calibri" w:cs="Calibri"/>
        </w:rPr>
        <w:t xml:space="preserve"> </w:t>
      </w:r>
      <w:r w:rsidRPr="5041AA49" w:rsidR="006C6E37">
        <w:rPr>
          <w:rFonts w:eastAsia="Calibri" w:cs="Calibri"/>
        </w:rPr>
        <w:t>that the Commission adopted in D.24-11-006</w:t>
      </w:r>
      <w:r w:rsidRPr="5041AA49" w:rsidR="00F65691">
        <w:rPr>
          <w:rFonts w:eastAsia="Calibri" w:cs="Calibri"/>
        </w:rPr>
        <w:t>: “Ensuring financial benefits accrue primarily and directly to tenants, and are not recaptured by other means</w:t>
      </w:r>
      <w:r w:rsidRPr="5041AA49" w:rsidR="00A15517">
        <w:rPr>
          <w:rFonts w:eastAsia="Calibri" w:cs="Calibri"/>
        </w:rPr>
        <w:t>.</w:t>
      </w:r>
      <w:r w:rsidRPr="5041AA49" w:rsidR="00F65691">
        <w:rPr>
          <w:rFonts w:eastAsia="Calibri" w:cs="Calibri"/>
        </w:rPr>
        <w:t>”</w:t>
      </w:r>
      <w:r w:rsidR="009770DE">
        <w:rPr>
          <w:rStyle w:val="FootnoteReference"/>
          <w:rFonts w:eastAsia="Calibri" w:cs="Calibri"/>
        </w:rPr>
        <w:footnoteReference w:id="76"/>
      </w:r>
      <w:r w:rsidRPr="5041AA49" w:rsidR="006C6E37">
        <w:rPr>
          <w:rFonts w:eastAsia="Calibri" w:cs="Calibri"/>
        </w:rPr>
        <w:t xml:space="preserve"> </w:t>
      </w:r>
      <w:r w:rsidR="00B862F9">
        <w:rPr>
          <w:rFonts w:eastAsia="Calibri" w:cs="Calibri"/>
        </w:rPr>
        <w:t>For these reasons, the Commission does not expand SOMAH to include master-metered affordable multifamily properties, with or without submeters.</w:t>
      </w:r>
      <w:r w:rsidRPr="5041AA49" w:rsidR="00833FDF">
        <w:rPr>
          <w:rFonts w:eastAsia="Calibri" w:cs="Calibri"/>
        </w:rPr>
        <w:t xml:space="preserve"> </w:t>
      </w:r>
      <w:r w:rsidRPr="5041AA49" w:rsidR="002711A7">
        <w:rPr>
          <w:rFonts w:eastAsia="Calibri" w:cs="Calibri"/>
        </w:rPr>
        <w:t>T</w:t>
      </w:r>
      <w:r w:rsidRPr="5041AA49" w:rsidR="00AE0670">
        <w:rPr>
          <w:rFonts w:eastAsia="Calibri" w:cs="Calibri"/>
        </w:rPr>
        <w:t xml:space="preserve">he SOMAH program has a fixed </w:t>
      </w:r>
      <w:r w:rsidRPr="5041AA49" w:rsidR="007D30D9">
        <w:rPr>
          <w:rFonts w:eastAsia="Calibri" w:cs="Calibri"/>
        </w:rPr>
        <w:t>budget,</w:t>
      </w:r>
      <w:r w:rsidRPr="5041AA49" w:rsidR="00AE0670">
        <w:rPr>
          <w:rFonts w:eastAsia="Calibri" w:cs="Calibri"/>
        </w:rPr>
        <w:t xml:space="preserve"> and parties showed no evidence that it is unlikely to meet its 300 MW goal with currently eligible property types.</w:t>
      </w:r>
      <w:r w:rsidRPr="5041AA49" w:rsidR="00375896">
        <w:rPr>
          <w:rFonts w:eastAsia="Calibri" w:cs="Calibri"/>
        </w:rPr>
        <w:t xml:space="preserve"> Therefore, expanding the program to less desirable and higher-risk property types </w:t>
      </w:r>
      <w:r w:rsidRPr="5041AA49" w:rsidR="002711A7">
        <w:rPr>
          <w:rFonts w:eastAsia="Calibri" w:cs="Calibri"/>
        </w:rPr>
        <w:t>would</w:t>
      </w:r>
      <w:r w:rsidRPr="5041AA49" w:rsidR="00375896">
        <w:rPr>
          <w:rFonts w:eastAsia="Calibri" w:cs="Calibri"/>
        </w:rPr>
        <w:t xml:space="preserve"> crowd out resources for</w:t>
      </w:r>
      <w:r w:rsidRPr="5041AA49" w:rsidR="000D2D86">
        <w:rPr>
          <w:rFonts w:eastAsia="Calibri" w:cs="Calibri"/>
        </w:rPr>
        <w:t xml:space="preserve"> investments</w:t>
      </w:r>
      <w:r w:rsidRPr="5041AA49" w:rsidR="005B2AC2">
        <w:rPr>
          <w:rFonts w:eastAsia="Calibri" w:cs="Calibri"/>
        </w:rPr>
        <w:t xml:space="preserve"> that deliver more certain </w:t>
      </w:r>
      <w:r w:rsidRPr="5041AA49" w:rsidR="00481212">
        <w:rPr>
          <w:rFonts w:eastAsia="Calibri" w:cs="Calibri"/>
        </w:rPr>
        <w:t>customer benefits</w:t>
      </w:r>
      <w:r w:rsidRPr="5041AA49" w:rsidR="000D2D86">
        <w:rPr>
          <w:rFonts w:eastAsia="Calibri" w:cs="Calibri"/>
        </w:rPr>
        <w:t>.</w:t>
      </w:r>
    </w:p>
    <w:p w:rsidR="00FA1055" w:rsidP="00FA1055" w:rsidRDefault="00FA1055" w14:paraId="0B6865A8" w14:textId="1D400122">
      <w:pPr>
        <w:pStyle w:val="Heading1"/>
      </w:pPr>
      <w:bookmarkStart w:name="_Toc233626472" w:id="18"/>
      <w:r>
        <w:t xml:space="preserve">SOMAH </w:t>
      </w:r>
      <w:r w:rsidR="00907064">
        <w:t xml:space="preserve">Reporting and Funding </w:t>
      </w:r>
      <w:r w:rsidR="00CB1F63">
        <w:t>Proposals</w:t>
      </w:r>
      <w:bookmarkEnd w:id="18"/>
    </w:p>
    <w:p w:rsidR="00260125" w:rsidP="00E65D47" w:rsidRDefault="17DD61C6" w14:paraId="4EE7CD12" w14:textId="0CE571A1">
      <w:pPr>
        <w:pStyle w:val="Standard"/>
      </w:pPr>
      <w:r>
        <w:t>The October 20 ALJ Ruling sought party</w:t>
      </w:r>
      <w:r w:rsidR="00E65D47">
        <w:t xml:space="preserve"> comments on </w:t>
      </w:r>
      <w:r w:rsidR="00AB0DD5">
        <w:t xml:space="preserve">potential </w:t>
      </w:r>
      <w:r w:rsidR="00E65D47">
        <w:t>modifications to SOMAH in response to AB 1207</w:t>
      </w:r>
      <w:r w:rsidR="00135F8D">
        <w:t xml:space="preserve">, which </w:t>
      </w:r>
      <w:r w:rsidR="00EE03D8">
        <w:t>made the state’s 15 percent allocation for clean energy and energy efficiency projects inoperative on July 1, 2026</w:t>
      </w:r>
      <w:r w:rsidR="00E65D47">
        <w:t xml:space="preserve">. Among the questions asked were how to address potential over- or under-collections of SOMAH funds and whether to amend the SOMAH true-up process for 2025 and 2026. </w:t>
      </w:r>
    </w:p>
    <w:p w:rsidR="00260125" w:rsidP="00E65D47" w:rsidRDefault="00A370A4" w14:paraId="6B5F06BC" w14:textId="7482DCD9">
      <w:pPr>
        <w:pStyle w:val="Standard"/>
      </w:pPr>
      <w:r>
        <w:t xml:space="preserve">CSE, Sunrun, and </w:t>
      </w:r>
      <w:r w:rsidR="00C53855">
        <w:t>CALSSA</w:t>
      </w:r>
      <w:r w:rsidR="00423B5C">
        <w:t xml:space="preserve"> </w:t>
      </w:r>
      <w:r w:rsidR="0069546D">
        <w:t>argue</w:t>
      </w:r>
      <w:r w:rsidR="00882BA9">
        <w:t xml:space="preserve"> </w:t>
      </w:r>
      <w:r w:rsidR="00423B5C">
        <w:t>that AB 1207 d</w:t>
      </w:r>
      <w:r w:rsidR="0069546D">
        <w:t>oes</w:t>
      </w:r>
      <w:r w:rsidR="00423B5C">
        <w:t xml:space="preserve"> not impact SOMAH funding </w:t>
      </w:r>
      <w:r w:rsidR="278E0E50">
        <w:t>because</w:t>
      </w:r>
      <w:r w:rsidR="00423B5C">
        <w:t xml:space="preserve"> </w:t>
      </w:r>
      <w:r w:rsidR="00B46DC6">
        <w:t>AB 1207</w:t>
      </w:r>
      <w:r w:rsidR="00423B5C">
        <w:t xml:space="preserve"> ma</w:t>
      </w:r>
      <w:r w:rsidR="004B2832">
        <w:t>de</w:t>
      </w:r>
      <w:r w:rsidR="00423B5C">
        <w:t xml:space="preserve"> the state’s 15 percent clean energy and energy efficiency project allocation</w:t>
      </w:r>
      <w:r w:rsidR="00B46DC6">
        <w:t>s</w:t>
      </w:r>
      <w:r w:rsidR="00423B5C">
        <w:t xml:space="preserve"> inoperative one day after</w:t>
      </w:r>
      <w:r w:rsidR="00CF120B">
        <w:t xml:space="preserve"> </w:t>
      </w:r>
      <w:r w:rsidR="00423B5C">
        <w:t xml:space="preserve">SOMAH’s </w:t>
      </w:r>
      <w:r w:rsidR="00036862">
        <w:t xml:space="preserve">funding allocations </w:t>
      </w:r>
      <w:r w:rsidR="00DA3317">
        <w:t xml:space="preserve">are already scheduled to </w:t>
      </w:r>
      <w:r w:rsidR="00036862">
        <w:t>end, as ordered by D.20-04-012</w:t>
      </w:r>
      <w:r w:rsidR="00423B5C">
        <w:t>.</w:t>
      </w:r>
      <w:r w:rsidR="007A349E">
        <w:rPr>
          <w:rStyle w:val="FootnoteReference"/>
        </w:rPr>
        <w:footnoteReference w:id="77"/>
      </w:r>
      <w:r w:rsidR="004B2832">
        <w:t xml:space="preserve"> </w:t>
      </w:r>
    </w:p>
    <w:p w:rsidR="00260125" w:rsidP="00E65D47" w:rsidRDefault="00F13041" w14:paraId="650817BD" w14:textId="5B5F72D5">
      <w:pPr>
        <w:pStyle w:val="Standard"/>
      </w:pPr>
      <w:r>
        <w:t>T</w:t>
      </w:r>
      <w:r w:rsidR="00CF120B">
        <w:t xml:space="preserve">he Commission agrees with </w:t>
      </w:r>
      <w:r w:rsidR="00B77851">
        <w:t xml:space="preserve">CSE, Sunrun, and </w:t>
      </w:r>
      <w:r w:rsidR="00C53855">
        <w:t>CALSSA</w:t>
      </w:r>
      <w:r w:rsidR="00B77851">
        <w:t xml:space="preserve"> that AB 1207 does not impact SOMAH funding</w:t>
      </w:r>
      <w:r>
        <w:t>. However</w:t>
      </w:r>
      <w:r w:rsidR="00B77851">
        <w:t>,</w:t>
      </w:r>
      <w:r w:rsidR="004B2832">
        <w:t xml:space="preserve"> party responses to the October 20 </w:t>
      </w:r>
      <w:r w:rsidR="004B2832">
        <w:lastRenderedPageBreak/>
        <w:t xml:space="preserve">ALJ Ruling include proposals </w:t>
      </w:r>
      <w:r w:rsidR="00036862">
        <w:t xml:space="preserve">on </w:t>
      </w:r>
      <w:r w:rsidR="00B77851">
        <w:t xml:space="preserve">other </w:t>
      </w:r>
      <w:r w:rsidR="00AC7337">
        <w:t xml:space="preserve">SOMAH funding and reporting issues that the Commission addresses below. Those issues </w:t>
      </w:r>
      <w:r w:rsidR="00081AD9">
        <w:t>address</w:t>
      </w:r>
      <w:r w:rsidR="00AC7337">
        <w:t xml:space="preserve"> </w:t>
      </w:r>
      <w:r>
        <w:t xml:space="preserve">(1) </w:t>
      </w:r>
      <w:r w:rsidR="00D86054">
        <w:t xml:space="preserve">possible revisions to </w:t>
      </w:r>
      <w:r w:rsidR="00AC7337">
        <w:t xml:space="preserve">the </w:t>
      </w:r>
      <w:r w:rsidR="00B46DC6">
        <w:t xml:space="preserve">true-up </w:t>
      </w:r>
      <w:r w:rsidR="00AC7337">
        <w:t>process for</w:t>
      </w:r>
      <w:r w:rsidR="00B46DC6">
        <w:t xml:space="preserve"> SOMAH funds, </w:t>
      </w:r>
      <w:r>
        <w:t xml:space="preserve">(2) </w:t>
      </w:r>
      <w:r w:rsidR="00B46DC6">
        <w:t>S</w:t>
      </w:r>
      <w:r w:rsidR="00036862">
        <w:t>OMAH funding</w:t>
      </w:r>
      <w:r w:rsidR="00D86054">
        <w:t xml:space="preserve"> and program</w:t>
      </w:r>
      <w:r w:rsidR="00036862">
        <w:t xml:space="preserve"> reporting, </w:t>
      </w:r>
      <w:r>
        <w:t xml:space="preserve">(3) </w:t>
      </w:r>
      <w:r w:rsidR="00AC7337">
        <w:t>the return of</w:t>
      </w:r>
      <w:r w:rsidR="00186F50">
        <w:t xml:space="preserve"> </w:t>
      </w:r>
      <w:r w:rsidR="00036862">
        <w:t>accrued interest</w:t>
      </w:r>
      <w:r w:rsidR="00B46DC6">
        <w:t xml:space="preserve"> </w:t>
      </w:r>
      <w:r w:rsidR="00907064">
        <w:t xml:space="preserve">on SOMAH funds </w:t>
      </w:r>
      <w:r w:rsidR="00186F50">
        <w:t>a</w:t>
      </w:r>
      <w:r w:rsidR="00D86054">
        <w:t xml:space="preserve">nd other unused SOMAH funds </w:t>
      </w:r>
      <w:r w:rsidR="00AC7337">
        <w:t>to ratepayers</w:t>
      </w:r>
      <w:r w:rsidR="00D86054">
        <w:t xml:space="preserve">, </w:t>
      </w:r>
      <w:r w:rsidR="00036862">
        <w:t xml:space="preserve">and </w:t>
      </w:r>
      <w:r>
        <w:t xml:space="preserve">(4) </w:t>
      </w:r>
      <w:r w:rsidR="00BF2A19">
        <w:t>SOMAH wind-down tasks</w:t>
      </w:r>
      <w:r w:rsidR="00B46DC6">
        <w:t>.</w:t>
      </w:r>
    </w:p>
    <w:p w:rsidRPr="00E304A7" w:rsidR="00E304A7" w:rsidP="00982F4F" w:rsidRDefault="00907064" w14:paraId="2CC0681E" w14:textId="67C4CCEC">
      <w:pPr>
        <w:pStyle w:val="Heading2"/>
      </w:pPr>
      <w:bookmarkStart w:name="_Toc233626473" w:id="19"/>
      <w:r>
        <w:t>SOMAH True-Up</w:t>
      </w:r>
      <w:bookmarkEnd w:id="19"/>
    </w:p>
    <w:p w:rsidR="002519D7" w:rsidP="002C4727" w:rsidRDefault="000A70EC" w14:paraId="58FDA98A" w14:textId="113F8D15">
      <w:pPr>
        <w:pStyle w:val="Standard"/>
      </w:pPr>
      <w:r>
        <w:t>D.20</w:t>
      </w:r>
      <w:r w:rsidR="008E1034">
        <w:t>-04-012 establishe</w:t>
      </w:r>
      <w:r w:rsidR="00DE32B1">
        <w:t>d</w:t>
      </w:r>
      <w:r w:rsidR="008E1034">
        <w:t xml:space="preserve"> a</w:t>
      </w:r>
      <w:r w:rsidR="00C718D3">
        <w:t>n annual</w:t>
      </w:r>
      <w:r w:rsidR="008E1034">
        <w:t xml:space="preserve"> SOMAH </w:t>
      </w:r>
      <w:r w:rsidR="00C718D3">
        <w:t>funding</w:t>
      </w:r>
      <w:r w:rsidR="008E1034">
        <w:t xml:space="preserve"> true-up process for </w:t>
      </w:r>
      <w:r w:rsidR="00CF47F0">
        <w:t xml:space="preserve">reconciling </w:t>
      </w:r>
      <w:r w:rsidR="00217E3A">
        <w:t>the IOU</w:t>
      </w:r>
      <w:r w:rsidR="00D50204">
        <w:t>s</w:t>
      </w:r>
      <w:r w:rsidR="00217E3A">
        <w:t xml:space="preserve">’ </w:t>
      </w:r>
      <w:r w:rsidR="00CF47F0">
        <w:t xml:space="preserve">forecasted SOMAH </w:t>
      </w:r>
      <w:r w:rsidR="00D50204">
        <w:t>annua</w:t>
      </w:r>
      <w:r w:rsidR="00585901">
        <w:t>l</w:t>
      </w:r>
      <w:r w:rsidR="00D50204">
        <w:t xml:space="preserve"> </w:t>
      </w:r>
      <w:r w:rsidR="00CF47F0">
        <w:t xml:space="preserve">set-aside amounts with </w:t>
      </w:r>
      <w:r w:rsidR="00217E3A">
        <w:t>actual GHG auction revenues</w:t>
      </w:r>
      <w:r w:rsidR="00D50204">
        <w:t>.</w:t>
      </w:r>
      <w:r w:rsidR="00D50204">
        <w:rPr>
          <w:rStyle w:val="FootnoteReference"/>
        </w:rPr>
        <w:footnoteReference w:id="78"/>
      </w:r>
      <w:r w:rsidR="00D50204">
        <w:t xml:space="preserve"> D.20-04-012 </w:t>
      </w:r>
      <w:r w:rsidR="00585901">
        <w:t>ordered the IOUs to file Tier 1 advice letter</w:t>
      </w:r>
      <w:r w:rsidR="00AC197F">
        <w:t>s</w:t>
      </w:r>
      <w:r w:rsidR="00585901">
        <w:t xml:space="preserve"> </w:t>
      </w:r>
      <w:r w:rsidR="00AF433C">
        <w:t xml:space="preserve">adjusting the set-aside amounts </w:t>
      </w:r>
      <w:r w:rsidR="00585901">
        <w:t xml:space="preserve">no later than March 1 following </w:t>
      </w:r>
      <w:r w:rsidR="00AC197F">
        <w:t>each</w:t>
      </w:r>
      <w:r w:rsidR="00585901">
        <w:t xml:space="preserve"> year</w:t>
      </w:r>
      <w:r w:rsidR="00AC197F">
        <w:t xml:space="preserve"> in which SOMAH set-aside funds were forecasted. </w:t>
      </w:r>
      <w:r w:rsidR="002C4727">
        <w:t>T</w:t>
      </w:r>
      <w:r w:rsidR="002519D7">
        <w:t>he October 20 ALJ Ruling</w:t>
      </w:r>
      <w:r w:rsidR="002C4727">
        <w:t xml:space="preserve"> asked for party comments on whether the SOMAH true-up process for 2025 and 2026 should be amended and </w:t>
      </w:r>
      <w:r w:rsidR="007E39D7">
        <w:t xml:space="preserve">about </w:t>
      </w:r>
      <w:r w:rsidR="002C4727">
        <w:t>the risk</w:t>
      </w:r>
      <w:r w:rsidR="00F13041">
        <w:t>s</w:t>
      </w:r>
      <w:r w:rsidR="002C4727">
        <w:t xml:space="preserve"> and/or opportunities associated with repealing the SOMAH true-up process.</w:t>
      </w:r>
      <w:r w:rsidR="002C4727">
        <w:rPr>
          <w:rStyle w:val="FootnoteReference"/>
        </w:rPr>
        <w:footnoteReference w:id="79"/>
      </w:r>
    </w:p>
    <w:p w:rsidR="00F13041" w:rsidP="00E65D47" w:rsidRDefault="00916479" w14:paraId="04BC9FB4" w14:textId="37217A37">
      <w:pPr>
        <w:pStyle w:val="Standard"/>
      </w:pPr>
      <w:r>
        <w:t xml:space="preserve">CSE </w:t>
      </w:r>
      <w:r w:rsidR="003879E2">
        <w:t>suggest</w:t>
      </w:r>
      <w:r w:rsidR="006E6F36">
        <w:t>s</w:t>
      </w:r>
      <w:r w:rsidR="00AF433C">
        <w:t xml:space="preserve"> </w:t>
      </w:r>
      <w:r w:rsidR="00E65D47">
        <w:t>amending the SOMAH true-up process for 2026</w:t>
      </w:r>
      <w:r>
        <w:t xml:space="preserve"> by moving the April-June 2026 true-up to occur via a Tier 1 </w:t>
      </w:r>
      <w:r w:rsidR="24811879">
        <w:t>a</w:t>
      </w:r>
      <w:r>
        <w:t xml:space="preserve">dvice </w:t>
      </w:r>
      <w:r w:rsidR="3E35900E">
        <w:t>l</w:t>
      </w:r>
      <w:r>
        <w:t>etter no later than September 1, 2026</w:t>
      </w:r>
      <w:r w:rsidR="00F13041">
        <w:t>. According to CSE, the change would</w:t>
      </w:r>
      <w:r w:rsidR="00D23854">
        <w:t xml:space="preserve"> “allow for this true-up to occur more closely to when recorded GHG revenue information becomes available and ensure timely disbursement of SOMAH program funds.”</w:t>
      </w:r>
      <w:r w:rsidR="00D23854">
        <w:rPr>
          <w:rStyle w:val="FootnoteReference"/>
        </w:rPr>
        <w:footnoteReference w:id="80"/>
      </w:r>
      <w:r w:rsidR="00E65D47">
        <w:t xml:space="preserve"> </w:t>
      </w:r>
    </w:p>
    <w:p w:rsidR="00E65D47" w:rsidP="00E65D47" w:rsidRDefault="00916479" w14:paraId="6C7DCBEE" w14:textId="023451D9">
      <w:pPr>
        <w:pStyle w:val="Standard"/>
      </w:pPr>
      <w:r>
        <w:t xml:space="preserve">All other parties support keeping the existing true-up process without modification. </w:t>
      </w:r>
      <w:r w:rsidR="008D2751">
        <w:t>For example, PG&amp;E writes</w:t>
      </w:r>
      <w:r w:rsidR="00F13041">
        <w:t xml:space="preserve"> that</w:t>
      </w:r>
      <w:r w:rsidR="008D2751">
        <w:t xml:space="preserve"> “</w:t>
      </w:r>
      <w:r w:rsidR="00F13041">
        <w:t>[</w:t>
      </w:r>
      <w:proofErr w:type="spellStart"/>
      <w:r w:rsidR="00F13041">
        <w:t>i</w:t>
      </w:r>
      <w:proofErr w:type="spellEnd"/>
      <w:r w:rsidR="00F13041">
        <w:t>]</w:t>
      </w:r>
      <w:r w:rsidR="008D2751">
        <w:t xml:space="preserve">f the true-up process were repealed now, there likely would not be a clear understanding of how much credit should be returned to the GHG funding account from the calendar year’s </w:t>
      </w:r>
      <w:r w:rsidR="008D2751">
        <w:lastRenderedPageBreak/>
        <w:t>SOMAH funding.”</w:t>
      </w:r>
      <w:r w:rsidR="009C31C8">
        <w:rPr>
          <w:rStyle w:val="FootnoteReference"/>
        </w:rPr>
        <w:footnoteReference w:id="81"/>
      </w:r>
      <w:r w:rsidR="00BB4AD2">
        <w:t xml:space="preserve"> Similarly, Cal Advocates </w:t>
      </w:r>
      <w:r w:rsidR="00F13041">
        <w:t>asserts that</w:t>
      </w:r>
      <w:r w:rsidR="008F772B">
        <w:t xml:space="preserve"> keeping</w:t>
      </w:r>
      <w:r w:rsidR="00BB4AD2">
        <w:t xml:space="preserve"> “the established procedure ensures stability during the program’s final funding years and preserves alignment with prior Commission decisions governing GHG allowance revenue reconciliatio</w:t>
      </w:r>
      <w:r w:rsidR="000568E3">
        <w:t>n.”</w:t>
      </w:r>
      <w:r w:rsidR="000568E3">
        <w:rPr>
          <w:rStyle w:val="FootnoteReference"/>
        </w:rPr>
        <w:footnoteReference w:id="82"/>
      </w:r>
    </w:p>
    <w:p w:rsidR="00AB0DD5" w:rsidP="00E65D47" w:rsidRDefault="00F904E8" w14:paraId="306733B5" w14:textId="58F69E9F">
      <w:pPr>
        <w:pStyle w:val="Standard"/>
      </w:pPr>
      <w:r>
        <w:t xml:space="preserve">The Commission agrees with PG&amp;E, Cal Advocates, and other parties that </w:t>
      </w:r>
      <w:r w:rsidR="00D15E65">
        <w:t xml:space="preserve">maintaining </w:t>
      </w:r>
      <w:r>
        <w:t xml:space="preserve">the existing true-up process </w:t>
      </w:r>
      <w:r w:rsidR="00D15E65">
        <w:t xml:space="preserve">ensures stability </w:t>
      </w:r>
      <w:r w:rsidR="008F772B">
        <w:t xml:space="preserve">for </w:t>
      </w:r>
      <w:r w:rsidR="00D15E65">
        <w:t>the remaining life of the program</w:t>
      </w:r>
      <w:r w:rsidR="008F772B">
        <w:t>,</w:t>
      </w:r>
      <w:r w:rsidR="00D15E65">
        <w:t xml:space="preserve"> and </w:t>
      </w:r>
      <w:r w:rsidR="00037B3B">
        <w:t xml:space="preserve">the process </w:t>
      </w:r>
      <w:r w:rsidR="00D15E65">
        <w:t>does not need modi</w:t>
      </w:r>
      <w:r w:rsidR="635DF90E">
        <w:t>fi</w:t>
      </w:r>
      <w:r w:rsidR="00D15E65">
        <w:t xml:space="preserve">cation. </w:t>
      </w:r>
      <w:r w:rsidR="003D608A">
        <w:t xml:space="preserve">Considering the large </w:t>
      </w:r>
      <w:r w:rsidR="00E304A7">
        <w:t>amount of SOMAH funds already in reserve, the Commission does not see any compelling reason to move up the 2026 true-up date</w:t>
      </w:r>
      <w:r w:rsidR="0026773F">
        <w:t xml:space="preserve"> to </w:t>
      </w:r>
      <w:r w:rsidR="002E7972">
        <w:t>disburse SOMAH program funds</w:t>
      </w:r>
      <w:r w:rsidR="008F772B">
        <w:t xml:space="preserve"> more quickly</w:t>
      </w:r>
      <w:r w:rsidR="00E304A7">
        <w:t xml:space="preserve">, as suggested by CSE. </w:t>
      </w:r>
      <w:r w:rsidR="00AB0DD5">
        <w:t>Accordingly, this decision does not alter the existing SOMAH fund true-up process.</w:t>
      </w:r>
    </w:p>
    <w:p w:rsidRPr="00E65D47" w:rsidR="00E65D47" w:rsidP="00E65D47" w:rsidRDefault="00E65D47" w14:paraId="029857FF" w14:textId="48593FBB">
      <w:pPr>
        <w:pStyle w:val="Heading2"/>
      </w:pPr>
      <w:bookmarkStart w:name="_Toc233626474" w:id="20"/>
      <w:r>
        <w:t>Reporting Requirements</w:t>
      </w:r>
      <w:bookmarkEnd w:id="20"/>
    </w:p>
    <w:p w:rsidR="008F772B" w:rsidP="00494479" w:rsidRDefault="00F728D8" w14:paraId="59D825A4" w14:textId="77C534E9">
      <w:pPr>
        <w:pStyle w:val="Standard"/>
      </w:pPr>
      <w:r>
        <w:t>Several parties suggest</w:t>
      </w:r>
      <w:r w:rsidR="00130656">
        <w:t xml:space="preserve"> </w:t>
      </w:r>
      <w:r>
        <w:t>modifications to SOMAH funding and reporting</w:t>
      </w:r>
      <w:r w:rsidR="00130656">
        <w:t xml:space="preserve"> in preparation for</w:t>
      </w:r>
      <w:r w:rsidR="72244BF8">
        <w:t xml:space="preserve"> the end of SOMAH funding allocations by </w:t>
      </w:r>
      <w:r>
        <w:t>June 30, 2026</w:t>
      </w:r>
      <w:r w:rsidR="15283AF8">
        <w:t>,</w:t>
      </w:r>
      <w:r>
        <w:t xml:space="preserve"> </w:t>
      </w:r>
      <w:r w:rsidR="008F772B">
        <w:t>and</w:t>
      </w:r>
      <w:r w:rsidR="00130656">
        <w:t xml:space="preserve"> the </w:t>
      </w:r>
      <w:r w:rsidR="00C51154">
        <w:t xml:space="preserve">statutorily mandated </w:t>
      </w:r>
      <w:r w:rsidR="00130656">
        <w:t xml:space="preserve">conclusion of the SOMAH program </w:t>
      </w:r>
      <w:r w:rsidR="390F6E62">
        <w:t>by December 31, 2032</w:t>
      </w:r>
      <w:r w:rsidR="00130656">
        <w:t>.</w:t>
      </w:r>
      <w:r w:rsidR="00130656">
        <w:rPr>
          <w:rStyle w:val="FootnoteReference"/>
        </w:rPr>
        <w:footnoteReference w:id="83"/>
      </w:r>
      <w:r w:rsidR="00130656">
        <w:t xml:space="preserve"> Cal Advocates suggest</w:t>
      </w:r>
      <w:r w:rsidR="1A6D7049">
        <w:t>s</w:t>
      </w:r>
      <w:r w:rsidR="00494479">
        <w:t xml:space="preserve"> that</w:t>
      </w:r>
      <w:r w:rsidR="00130656">
        <w:t xml:space="preserve"> the IOUs </w:t>
      </w:r>
      <w:r w:rsidR="00494479">
        <w:t xml:space="preserve">be required </w:t>
      </w:r>
      <w:r w:rsidR="00130656">
        <w:t>to file a</w:t>
      </w:r>
      <w:r w:rsidR="00494479">
        <w:t xml:space="preserve"> funding status </w:t>
      </w:r>
      <w:r w:rsidR="00837963">
        <w:t xml:space="preserve">update </w:t>
      </w:r>
      <w:r w:rsidR="00494479">
        <w:t>by the third quarter of 2026 detailing each utility’s SOMAH balancing account</w:t>
      </w:r>
      <w:r w:rsidR="005B7362">
        <w:t>, including principal and accrued interest, and the projected disbursement schedule through the program</w:t>
      </w:r>
      <w:r w:rsidR="0B412DAA">
        <w:t>’s</w:t>
      </w:r>
      <w:r w:rsidR="005B7362">
        <w:t xml:space="preserve"> sunset</w:t>
      </w:r>
      <w:r w:rsidR="76682F4A">
        <w:t xml:space="preserve"> in 2032</w:t>
      </w:r>
      <w:r w:rsidR="005B7362">
        <w:t>.</w:t>
      </w:r>
      <w:r w:rsidR="005B7362">
        <w:rPr>
          <w:rStyle w:val="FootnoteReference"/>
        </w:rPr>
        <w:footnoteReference w:id="84"/>
      </w:r>
      <w:r w:rsidR="00494479">
        <w:t xml:space="preserve"> </w:t>
      </w:r>
      <w:r w:rsidR="005B7362">
        <w:t>Cal Advocates also propose</w:t>
      </w:r>
      <w:r w:rsidR="103CAF03">
        <w:t>s</w:t>
      </w:r>
      <w:r w:rsidR="005B7362">
        <w:t xml:space="preserve"> that the IOU</w:t>
      </w:r>
      <w:r w:rsidR="00AB0DD5">
        <w:t>s</w:t>
      </w:r>
      <w:r w:rsidR="005B7362">
        <w:t xml:space="preserve"> file </w:t>
      </w:r>
      <w:r w:rsidR="00494479">
        <w:t>a</w:t>
      </w:r>
      <w:r w:rsidR="00130656">
        <w:t xml:space="preserve"> final expenditure and performance report on the SOMAH program by 2032</w:t>
      </w:r>
      <w:r w:rsidR="008F772B">
        <w:t>,</w:t>
      </w:r>
      <w:r w:rsidR="00130656">
        <w:t xml:space="preserve"> summariz</w:t>
      </w:r>
      <w:r w:rsidR="008F772B">
        <w:t>ing</w:t>
      </w:r>
      <w:r w:rsidR="00130656">
        <w:t xml:space="preserve"> all program expenditures, project </w:t>
      </w:r>
      <w:r w:rsidR="00130656">
        <w:lastRenderedPageBreak/>
        <w:t>outcomes, and remaining balances.</w:t>
      </w:r>
      <w:r w:rsidR="00494479">
        <w:rPr>
          <w:rStyle w:val="FootnoteReference"/>
        </w:rPr>
        <w:footnoteReference w:id="85"/>
      </w:r>
      <w:r w:rsidR="00494479">
        <w:t xml:space="preserve"> SDG&amp;E supports </w:t>
      </w:r>
      <w:r w:rsidR="005B7362">
        <w:t>Cal Advocates’</w:t>
      </w:r>
      <w:r w:rsidR="00494479">
        <w:t xml:space="preserve"> proposal</w:t>
      </w:r>
      <w:r w:rsidR="005B7362">
        <w:t>s</w:t>
      </w:r>
      <w:r w:rsidR="00494479">
        <w:t xml:space="preserve"> but suggests that CSE</w:t>
      </w:r>
      <w:r w:rsidR="008F772B">
        <w:t>—</w:t>
      </w:r>
      <w:r w:rsidR="00AB0DD5">
        <w:t xml:space="preserve"> not the utilities</w:t>
      </w:r>
      <w:r w:rsidR="008F772B">
        <w:t xml:space="preserve"> —</w:t>
      </w:r>
      <w:r w:rsidR="00494479">
        <w:t xml:space="preserve"> be required to file the final expenditure and performance report through a Tier 2 </w:t>
      </w:r>
      <w:r w:rsidR="2AE0EABB">
        <w:t>a</w:t>
      </w:r>
      <w:r w:rsidR="00494479">
        <w:t xml:space="preserve">dvice </w:t>
      </w:r>
      <w:r w:rsidR="0384A46C">
        <w:t>l</w:t>
      </w:r>
      <w:r w:rsidR="00494479">
        <w:t>etter.</w:t>
      </w:r>
      <w:r w:rsidR="00494479">
        <w:rPr>
          <w:rStyle w:val="FootnoteReference"/>
        </w:rPr>
        <w:footnoteReference w:id="86"/>
      </w:r>
      <w:r w:rsidR="00494479">
        <w:t xml:space="preserve"> SDG&amp;E states: </w:t>
      </w:r>
    </w:p>
    <w:p w:rsidR="00FA1055" w:rsidP="00344579" w:rsidRDefault="00494479" w14:paraId="7184573E" w14:textId="2CE33DA8">
      <w:pPr>
        <w:pStyle w:val="Standard"/>
        <w:spacing w:after="120" w:line="240" w:lineRule="auto"/>
        <w:ind w:left="720" w:right="1440" w:firstLine="0"/>
      </w:pPr>
      <w:r w:rsidRPr="00494479">
        <w:t>As fiscal agents to the</w:t>
      </w:r>
      <w:r>
        <w:t xml:space="preserve"> </w:t>
      </w:r>
      <w:r w:rsidRPr="00494479">
        <w:t>program, IOUs can provide details on principal balance and accrued interest. In contrast, CSE,</w:t>
      </w:r>
      <w:r>
        <w:t xml:space="preserve"> </w:t>
      </w:r>
      <w:r w:rsidRPr="00494479">
        <w:t>as the program administrator, is the appropriate source to report on program expenditures to date,</w:t>
      </w:r>
      <w:r>
        <w:t xml:space="preserve"> </w:t>
      </w:r>
      <w:r w:rsidRPr="00494479">
        <w:t>project outcomes, and remaining balances.</w:t>
      </w:r>
      <w:r>
        <w:rPr>
          <w:rStyle w:val="FootnoteReference"/>
        </w:rPr>
        <w:footnoteReference w:id="87"/>
      </w:r>
      <w:r>
        <w:t xml:space="preserve"> </w:t>
      </w:r>
    </w:p>
    <w:p w:rsidR="00494479" w:rsidP="00494479" w:rsidRDefault="00494479" w14:paraId="1D0F81DA" w14:textId="24C10F34">
      <w:pPr>
        <w:pStyle w:val="Standard"/>
      </w:pPr>
      <w:r>
        <w:t>Sunrun oppose</w:t>
      </w:r>
      <w:r w:rsidR="00321FD0">
        <w:t>s</w:t>
      </w:r>
      <w:r>
        <w:t xml:space="preserve"> the additional reporting requirements proposed by Cal Advocates and SDG&amp;E, stating that “[t]</w:t>
      </w:r>
      <w:proofErr w:type="spellStart"/>
      <w:r>
        <w:t>hese</w:t>
      </w:r>
      <w:proofErr w:type="spellEnd"/>
      <w:r>
        <w:t xml:space="preserve"> additional proposed </w:t>
      </w:r>
      <w:r w:rsidRPr="00494479">
        <w:t>requirements are not necessary and should be rejected.</w:t>
      </w:r>
      <w:r w:rsidR="008F772B">
        <w:t>”</w:t>
      </w:r>
      <w:r w:rsidR="008F772B">
        <w:rPr>
          <w:rStyle w:val="FootnoteReference"/>
        </w:rPr>
        <w:footnoteReference w:id="88"/>
      </w:r>
      <w:r w:rsidR="008F772B">
        <w:t xml:space="preserve"> According to Sunrun,</w:t>
      </w:r>
      <w:r w:rsidRPr="00494479">
        <w:t xml:space="preserve"> </w:t>
      </w:r>
      <w:r w:rsidR="008F772B">
        <w:t>“[t]</w:t>
      </w:r>
      <w:r w:rsidRPr="00494479">
        <w:t>here has been no change in underlying</w:t>
      </w:r>
      <w:r>
        <w:t xml:space="preserve"> </w:t>
      </w:r>
      <w:r w:rsidRPr="00494479">
        <w:t>law or procedures requiring or justifying such additional work.</w:t>
      </w:r>
      <w:r>
        <w:t>”</w:t>
      </w:r>
      <w:r>
        <w:rPr>
          <w:rStyle w:val="FootnoteReference"/>
        </w:rPr>
        <w:footnoteReference w:id="89"/>
      </w:r>
    </w:p>
    <w:p w:rsidR="00B51535" w:rsidP="00B51535" w:rsidRDefault="005B7362" w14:paraId="5DF9ED89" w14:textId="5203CF56">
      <w:pPr>
        <w:pStyle w:val="Standard"/>
      </w:pPr>
      <w:r>
        <w:t>The Commission agrees with Cal Advocates that the additional reporting requirements will help the Commission “plan for an orderly wind-down that allows continued administration using pre-2026 funds and accrued interest, with no new GHG revenues.”</w:t>
      </w:r>
      <w:r>
        <w:rPr>
          <w:rStyle w:val="FootnoteReference"/>
        </w:rPr>
        <w:footnoteReference w:id="90"/>
      </w:r>
      <w:r>
        <w:t xml:space="preserve"> </w:t>
      </w:r>
      <w:r w:rsidR="00B51535">
        <w:t xml:space="preserve">The Commission </w:t>
      </w:r>
      <w:r w:rsidR="00303288">
        <w:t>directs</w:t>
      </w:r>
      <w:r w:rsidR="00B51535">
        <w:t xml:space="preserve"> the IOUs </w:t>
      </w:r>
      <w:r w:rsidR="00303288">
        <w:t>to</w:t>
      </w:r>
      <w:r w:rsidR="00B51535">
        <w:t xml:space="preserve"> </w:t>
      </w:r>
      <w:r w:rsidR="00C9694D">
        <w:t xml:space="preserve">jointly </w:t>
      </w:r>
      <w:r w:rsidR="00B51535">
        <w:t xml:space="preserve">file </w:t>
      </w:r>
      <w:r w:rsidR="00303288">
        <w:t>a</w:t>
      </w:r>
      <w:r w:rsidR="00B51535">
        <w:t xml:space="preserve"> 2026 funding status </w:t>
      </w:r>
      <w:r w:rsidR="00837963">
        <w:t xml:space="preserve">update </w:t>
      </w:r>
      <w:r w:rsidR="00B51535">
        <w:t>within their</w:t>
      </w:r>
      <w:r w:rsidRPr="00242854" w:rsidR="00B51535">
        <w:t xml:space="preserve"> January </w:t>
      </w:r>
      <w:r w:rsidR="00B51535">
        <w:t xml:space="preserve">2027 </w:t>
      </w:r>
      <w:r w:rsidRPr="00242854" w:rsidR="00B51535">
        <w:t>Joint Semi-annual</w:t>
      </w:r>
      <w:r w:rsidR="00B51535">
        <w:t xml:space="preserve"> </w:t>
      </w:r>
      <w:r w:rsidRPr="00242854" w:rsidR="00B51535">
        <w:t>Administrative Expense Report as ordered by Ordering Paragraph 3 of D.19-03-015</w:t>
      </w:r>
      <w:r w:rsidR="00303288">
        <w:t>,</w:t>
      </w:r>
      <w:r w:rsidR="00B51535">
        <w:t xml:space="preserve"> </w:t>
      </w:r>
      <w:r w:rsidR="00303288">
        <w:t>including</w:t>
      </w:r>
      <w:r w:rsidDel="00242854" w:rsidR="00B51535">
        <w:t xml:space="preserve"> </w:t>
      </w:r>
      <w:r w:rsidR="00B51535">
        <w:t xml:space="preserve">the total accrued interest and the interest rate from the six-month </w:t>
      </w:r>
      <w:r w:rsidR="00B51535">
        <w:lastRenderedPageBreak/>
        <w:t>period</w:t>
      </w:r>
      <w:r w:rsidR="00303288">
        <w:t xml:space="preserve"> in 2026</w:t>
      </w:r>
      <w:r w:rsidR="00B51535">
        <w:t>. As SDG&amp;E notes, the IOUs themselves are best positioned to provide detail</w:t>
      </w:r>
      <w:r w:rsidR="008F772B">
        <w:t>s</w:t>
      </w:r>
      <w:r w:rsidR="00B51535">
        <w:t xml:space="preserve"> on principal balance and accrued interest in the program.</w:t>
      </w:r>
      <w:r w:rsidR="00B51535">
        <w:rPr>
          <w:rStyle w:val="FootnoteReference"/>
        </w:rPr>
        <w:footnoteReference w:id="91"/>
      </w:r>
      <w:r w:rsidR="00B51535">
        <w:t xml:space="preserve"> </w:t>
      </w:r>
    </w:p>
    <w:p w:rsidR="00B51535" w:rsidP="00B51535" w:rsidRDefault="00B51535" w14:paraId="581A8E3D" w14:textId="3FC076D9">
      <w:pPr>
        <w:pStyle w:val="Standard"/>
      </w:pPr>
      <w:r>
        <w:t>However, the Commission does not direct the utilities to forecast projected disbursements through 2032, as proposed by Cal Advocates, because total interest is based on cash</w:t>
      </w:r>
      <w:r w:rsidR="008F772B">
        <w:t xml:space="preserve"> </w:t>
      </w:r>
      <w:r>
        <w:t>flow and the amount in the SOMAH Balancing Account. Both w</w:t>
      </w:r>
      <w:r w:rsidR="00AB0FBB">
        <w:t>ould</w:t>
      </w:r>
      <w:r>
        <w:t xml:space="preserve"> be difficult to </w:t>
      </w:r>
      <w:proofErr w:type="gramStart"/>
      <w:r>
        <w:t>forecast</w:t>
      </w:r>
      <w:proofErr w:type="gramEnd"/>
      <w:r>
        <w:t xml:space="preserve">. </w:t>
      </w:r>
    </w:p>
    <w:p w:rsidR="00B51535" w:rsidP="00B51535" w:rsidRDefault="00B51535" w14:paraId="0DCFA277" w14:textId="0B78EEF9">
      <w:pPr>
        <w:pStyle w:val="Standard"/>
      </w:pPr>
      <w:r>
        <w:t>Finally, the Commission directs the IOUs to</w:t>
      </w:r>
      <w:r w:rsidR="00C9694D">
        <w:t xml:space="preserve"> each</w:t>
      </w:r>
      <w:r>
        <w:t xml:space="preserve"> file </w:t>
      </w:r>
      <w:r w:rsidR="00303288">
        <w:t>a</w:t>
      </w:r>
      <w:r>
        <w:t xml:space="preserve"> final budget expenditure report in 2033, rather than 2032</w:t>
      </w:r>
      <w:r w:rsidR="008F772B">
        <w:t>.</w:t>
      </w:r>
      <w:r>
        <w:t xml:space="preserve"> </w:t>
      </w:r>
      <w:r w:rsidR="008F772B">
        <w:t>T</w:t>
      </w:r>
      <w:r>
        <w:t xml:space="preserve">he program will have expenses until its </w:t>
      </w:r>
      <w:r w:rsidR="008F772B">
        <w:t xml:space="preserve">close on </w:t>
      </w:r>
      <w:r>
        <w:t xml:space="preserve">December 31, </w:t>
      </w:r>
      <w:proofErr w:type="gramStart"/>
      <w:r>
        <w:t>2032</w:t>
      </w:r>
      <w:proofErr w:type="gramEnd"/>
      <w:r>
        <w:t xml:space="preserve"> and the utilities may need more time to process final invoices and incentive payments after that date. The utilities should include data from their </w:t>
      </w:r>
      <w:r w:rsidRPr="00242854">
        <w:t xml:space="preserve">Joint Semi-annual Administrative Expense Report </w:t>
      </w:r>
      <w:r w:rsidRPr="009D20E3">
        <w:t>and</w:t>
      </w:r>
      <w:r>
        <w:t xml:space="preserve"> the SOMAH PA’s Semi-Annual Expense Reports and finalize the format with the Energy Division prior to their 2033 submittal. </w:t>
      </w:r>
      <w:r w:rsidR="00643DC7">
        <w:t>The report</w:t>
      </w:r>
      <w:r w:rsidR="00575F90">
        <w:t>ed</w:t>
      </w:r>
      <w:r w:rsidR="00643DC7">
        <w:t xml:space="preserve"> information will </w:t>
      </w:r>
      <w:r w:rsidR="00A70132">
        <w:t xml:space="preserve">support </w:t>
      </w:r>
      <w:r w:rsidR="00CF2743">
        <w:t xml:space="preserve">the </w:t>
      </w:r>
      <w:r w:rsidR="000E6ECE">
        <w:t xml:space="preserve">evaluation of </w:t>
      </w:r>
      <w:r w:rsidR="0055285C">
        <w:t xml:space="preserve">the program’s </w:t>
      </w:r>
      <w:r w:rsidR="00C54E25">
        <w:t xml:space="preserve">outcomes relative to its </w:t>
      </w:r>
      <w:r w:rsidR="00233011">
        <w:t xml:space="preserve">stated </w:t>
      </w:r>
      <w:r w:rsidR="00BD22B2">
        <w:t>goals</w:t>
      </w:r>
      <w:r w:rsidR="00C54E25">
        <w:t xml:space="preserve">, consistent with </w:t>
      </w:r>
      <w:r w:rsidR="00CF2743">
        <w:t xml:space="preserve">the </w:t>
      </w:r>
      <w:r w:rsidR="00C54E25">
        <w:t xml:space="preserve">Commission’s </w:t>
      </w:r>
      <w:r w:rsidR="001524A5">
        <w:t xml:space="preserve">ESJ Action Plan. </w:t>
      </w:r>
      <w:r>
        <w:t xml:space="preserve">A final budget expenditure report shall be filed as a Tier 2 advice letter by </w:t>
      </w:r>
      <w:proofErr w:type="gramStart"/>
      <w:r>
        <w:t>each utility</w:t>
      </w:r>
      <w:proofErr w:type="gramEnd"/>
      <w:r>
        <w:t xml:space="preserve"> </w:t>
      </w:r>
      <w:r w:rsidR="008F772B">
        <w:t>individually</w:t>
      </w:r>
      <w:r>
        <w:t xml:space="preserve">, not as a joint filing, by </w:t>
      </w:r>
      <w:r w:rsidRPr="00330EE8">
        <w:t>December 31, 2033.</w:t>
      </w:r>
      <w:r w:rsidR="00E913B7">
        <w:t xml:space="preserve"> Energy Division staff may propose modifications to the final budget expenditure report </w:t>
      </w:r>
      <w:r w:rsidR="00B34419">
        <w:t xml:space="preserve">content </w:t>
      </w:r>
      <w:r w:rsidR="006163B8">
        <w:t>and</w:t>
      </w:r>
      <w:r w:rsidR="00B34419">
        <w:t xml:space="preserve"> timeline requirements </w:t>
      </w:r>
      <w:r w:rsidR="00E913B7">
        <w:t xml:space="preserve">via </w:t>
      </w:r>
      <w:r w:rsidR="006163B8">
        <w:t>r</w:t>
      </w:r>
      <w:r w:rsidR="00E913B7">
        <w:t>esolution in response to regulatory or statutory changes.</w:t>
      </w:r>
    </w:p>
    <w:p w:rsidR="00E65D47" w:rsidP="00982F4F" w:rsidRDefault="00026E30" w14:paraId="2EF503F3" w14:textId="5B7976A5">
      <w:pPr>
        <w:pStyle w:val="Heading2"/>
      </w:pPr>
      <w:bookmarkStart w:name="_Toc233626475" w:id="21"/>
      <w:r>
        <w:t xml:space="preserve">Liberty and PacifiCorp SOMAH </w:t>
      </w:r>
      <w:r w:rsidR="00344579">
        <w:br/>
      </w:r>
      <w:r>
        <w:t>Allocations for 2025 and 2026</w:t>
      </w:r>
      <w:bookmarkEnd w:id="21"/>
    </w:p>
    <w:p w:rsidR="00026E30" w:rsidP="00026E30" w:rsidRDefault="001B120C" w14:paraId="0B72FA82" w14:textId="1DA7FA02">
      <w:pPr>
        <w:pStyle w:val="Standard"/>
      </w:pPr>
      <w:r>
        <w:t xml:space="preserve">Liberty and PacifiCorp suggest </w:t>
      </w:r>
      <w:r w:rsidR="003269E8">
        <w:t>t</w:t>
      </w:r>
      <w:r>
        <w:t>hat the Commission authorize them to begin returning portions of existing SOMAH funds to customers via the Climate Credit.</w:t>
      </w:r>
      <w:r>
        <w:rPr>
          <w:rStyle w:val="FootnoteReference"/>
        </w:rPr>
        <w:footnoteReference w:id="92"/>
      </w:r>
      <w:r>
        <w:t xml:space="preserve"> Liberty and PacifiCorp </w:t>
      </w:r>
      <w:r w:rsidR="008F772B">
        <w:t>explain that their proposal</w:t>
      </w:r>
      <w:r>
        <w:t xml:space="preserve"> </w:t>
      </w:r>
      <w:r w:rsidRPr="001B120C">
        <w:t>“</w:t>
      </w:r>
      <w:r>
        <w:t xml:space="preserve">will better serve </w:t>
      </w:r>
      <w:r>
        <w:lastRenderedPageBreak/>
        <w:t>customers, particularly in light of exceedingly low program participation.</w:t>
      </w:r>
      <w:r w:rsidR="001A002D">
        <w:t>”</w:t>
      </w:r>
      <w:r w:rsidR="00FA571E">
        <w:rPr>
          <w:rStyle w:val="FootnoteReference"/>
        </w:rPr>
        <w:footnoteReference w:id="93"/>
      </w:r>
      <w:r w:rsidR="001A002D">
        <w:t xml:space="preserve"> Liberty and PacifiCorp also </w:t>
      </w:r>
      <w:r w:rsidRPr="001B120C" w:rsidR="008F772B">
        <w:t>assert</w:t>
      </w:r>
      <w:r w:rsidR="001A002D">
        <w:t xml:space="preserve"> that “</w:t>
      </w:r>
      <w:r w:rsidRPr="001B120C">
        <w:t>even a significantly reduced amount of SOMAH funding should cover future projects through the program’s sunset in 203</w:t>
      </w:r>
      <w:r w:rsidR="001A002D">
        <w:t>2</w:t>
      </w:r>
      <w:r w:rsidR="00FA571E">
        <w:t>.”</w:t>
      </w:r>
      <w:r>
        <w:rPr>
          <w:rStyle w:val="FootnoteReference"/>
        </w:rPr>
        <w:footnoteReference w:id="94"/>
      </w:r>
      <w:r w:rsidR="00FA571E">
        <w:t xml:space="preserve"> </w:t>
      </w:r>
      <w:r w:rsidR="00DC7FF3">
        <w:t>Liberty and PacifiCorp state that as of November 24, 2025, SOMAH applications for Liberty amount to only 0.055 MW and $120,170 of program incentives from more than $2 million in available program funding.</w:t>
      </w:r>
      <w:r w:rsidRPr="00FA571E" w:rsidR="00FA571E">
        <w:rPr>
          <w:rStyle w:val="FootnoteReference"/>
        </w:rPr>
        <w:t xml:space="preserve"> </w:t>
      </w:r>
      <w:r w:rsidR="00FA571E">
        <w:rPr>
          <w:rStyle w:val="FootnoteReference"/>
        </w:rPr>
        <w:footnoteReference w:id="95"/>
      </w:r>
      <w:r w:rsidR="00DC7FF3">
        <w:t xml:space="preserve"> </w:t>
      </w:r>
      <w:r w:rsidR="008F772B">
        <w:t xml:space="preserve">According to </w:t>
      </w:r>
      <w:r w:rsidR="00DC7FF3">
        <w:t>Liberty and PacifiCorp</w:t>
      </w:r>
      <w:r w:rsidR="008F772B">
        <w:t>,</w:t>
      </w:r>
      <w:r w:rsidR="00DC7FF3">
        <w:t xml:space="preserve"> PacifiCorp received no SOMAH applications as of November 24, 2025 despite more than $11 million in available program funding.</w:t>
      </w:r>
      <w:r w:rsidR="00D27228">
        <w:rPr>
          <w:rStyle w:val="FootnoteReference"/>
        </w:rPr>
        <w:footnoteReference w:id="96"/>
      </w:r>
      <w:r w:rsidRPr="00C675FD" w:rsidR="00DC7FF3">
        <w:t xml:space="preserve"> </w:t>
      </w:r>
      <w:r w:rsidR="00C675FD">
        <w:t xml:space="preserve">Liberty and PacifiCorp state that the low SOMAH program usage “is largely due </w:t>
      </w:r>
      <w:r w:rsidRPr="00C675FD" w:rsidR="00C675FD">
        <w:t>to Liberty’s forested and mountainous service territory and PacifiCorp’s northern rural and relatively unpopulated service territor</w:t>
      </w:r>
      <w:r w:rsidR="00E36CB8">
        <w:t>y,” which</w:t>
      </w:r>
      <w:r w:rsidRPr="00C675FD" w:rsidR="00C675FD">
        <w:t xml:space="preserve"> </w:t>
      </w:r>
      <w:r w:rsidRPr="000D09BD" w:rsidR="000D09BD">
        <w:t>make solar installation more expensive</w:t>
      </w:r>
      <w:r w:rsidR="000D09BD">
        <w:t>.</w:t>
      </w:r>
      <w:r w:rsidR="000D09BD">
        <w:rPr>
          <w:rStyle w:val="FootnoteReference"/>
        </w:rPr>
        <w:footnoteReference w:id="97"/>
      </w:r>
    </w:p>
    <w:p w:rsidR="009930C3" w:rsidP="008510CA" w:rsidRDefault="009930C3" w14:paraId="7DD8CE58" w14:textId="322B8ED3">
      <w:pPr>
        <w:pStyle w:val="Standard"/>
      </w:pPr>
      <w:r>
        <w:t>Cal Advocates support</w:t>
      </w:r>
      <w:r w:rsidR="5559F189">
        <w:t>s</w:t>
      </w:r>
      <w:r>
        <w:t xml:space="preserve"> </w:t>
      </w:r>
      <w:r w:rsidR="008510CA">
        <w:t xml:space="preserve">making plans now </w:t>
      </w:r>
      <w:r>
        <w:t xml:space="preserve">on how </w:t>
      </w:r>
      <w:r w:rsidR="008510CA">
        <w:t xml:space="preserve">the IOUs will </w:t>
      </w:r>
      <w:r>
        <w:t xml:space="preserve">return unused SOMAH funds before </w:t>
      </w:r>
      <w:r w:rsidR="6049DB8A">
        <w:t>the</w:t>
      </w:r>
      <w:r>
        <w:t xml:space="preserve"> 2032 program end date.</w:t>
      </w:r>
      <w:r>
        <w:rPr>
          <w:rStyle w:val="FootnoteReference"/>
        </w:rPr>
        <w:footnoteReference w:id="98"/>
      </w:r>
      <w:r>
        <w:t xml:space="preserve"> Cal Advocates </w:t>
      </w:r>
      <w:r w:rsidR="00B83C62">
        <w:t>argues that</w:t>
      </w:r>
      <w:r>
        <w:t xml:space="preserve"> “</w:t>
      </w:r>
      <w:r w:rsidR="00B83C62">
        <w:t>[w]</w:t>
      </w:r>
      <w:proofErr w:type="spellStart"/>
      <w:r w:rsidRPr="009930C3">
        <w:t>ithout</w:t>
      </w:r>
      <w:proofErr w:type="spellEnd"/>
      <w:r w:rsidRPr="009930C3">
        <w:t xml:space="preserve"> proactive direction, significant funds may remain idle in the </w:t>
      </w:r>
      <w:r w:rsidR="008510CA">
        <w:t>[Balancing Account</w:t>
      </w:r>
      <w:r w:rsidRPr="009930C3">
        <w:t>s</w:t>
      </w:r>
      <w:r w:rsidR="008510CA">
        <w:t>]</w:t>
      </w:r>
      <w:r w:rsidRPr="009930C3">
        <w:t xml:space="preserve"> for many years</w:t>
      </w:r>
      <w:r w:rsidR="008510CA">
        <w:t xml:space="preserve"> </w:t>
      </w:r>
      <w:r w:rsidRPr="009930C3">
        <w:t>or exceed overall program needs, leaving ratepayer dollars stranded and delaying their</w:t>
      </w:r>
      <w:r>
        <w:t xml:space="preserve"> </w:t>
      </w:r>
      <w:r w:rsidRPr="009930C3">
        <w:t>eventual return to customers.</w:t>
      </w:r>
      <w:r>
        <w:t>”</w:t>
      </w:r>
      <w:r>
        <w:rPr>
          <w:rStyle w:val="FootnoteReference"/>
        </w:rPr>
        <w:footnoteReference w:id="99"/>
      </w:r>
    </w:p>
    <w:p w:rsidR="000D09BD" w:rsidP="000D09BD" w:rsidRDefault="005117B3" w14:paraId="27F9609E" w14:textId="77777777">
      <w:pPr>
        <w:pStyle w:val="Standard"/>
      </w:pPr>
      <w:r>
        <w:lastRenderedPageBreak/>
        <w:t>CSE oppose</w:t>
      </w:r>
      <w:r w:rsidR="7CA315CE">
        <w:t>s</w:t>
      </w:r>
      <w:r>
        <w:t xml:space="preserve"> Liberty and PacifiCorp’s proposal to return unused SOMAH funding, stating that, as the SOMAH </w:t>
      </w:r>
      <w:r w:rsidR="45660E6F">
        <w:t>PA</w:t>
      </w:r>
      <w:r>
        <w:t xml:space="preserve">, </w:t>
      </w:r>
      <w:r w:rsidR="00314F78">
        <w:t>CSE is</w:t>
      </w:r>
      <w:r>
        <w:t xml:space="preserve"> implementing program marketing, education, and outreach initiatives directed by D.24-11-006.</w:t>
      </w:r>
      <w:r>
        <w:rPr>
          <w:rStyle w:val="FootnoteReference"/>
        </w:rPr>
        <w:footnoteReference w:id="100"/>
      </w:r>
      <w:r>
        <w:t xml:space="preserve"> </w:t>
      </w:r>
      <w:r w:rsidR="00E474BA">
        <w:t xml:space="preserve">DAC </w:t>
      </w:r>
      <w:r w:rsidR="00B83C62">
        <w:t xml:space="preserve">Energy </w:t>
      </w:r>
      <w:r w:rsidR="00274DE0">
        <w:t>and Steller</w:t>
      </w:r>
      <w:r w:rsidR="00E474BA">
        <w:t xml:space="preserve"> state that the Commission should not decide how to reimburse unused funds before SOMAH’s conclusion.</w:t>
      </w:r>
      <w:r w:rsidR="00E474BA">
        <w:rPr>
          <w:rStyle w:val="FootnoteReference"/>
        </w:rPr>
        <w:footnoteReference w:id="101"/>
      </w:r>
      <w:r w:rsidR="00E474BA">
        <w:t xml:space="preserve"> </w:t>
      </w:r>
      <w:r w:rsidR="00B83C62">
        <w:t xml:space="preserve">According to </w:t>
      </w:r>
      <w:r w:rsidR="00E474BA">
        <w:t xml:space="preserve">DAC </w:t>
      </w:r>
      <w:r w:rsidR="00B83C62">
        <w:t xml:space="preserve">Energy </w:t>
      </w:r>
      <w:r w:rsidR="00274DE0">
        <w:t>and Steller</w:t>
      </w:r>
      <w:r w:rsidR="00B83C62">
        <w:t>,</w:t>
      </w:r>
      <w:r w:rsidR="00E474BA">
        <w:t xml:space="preserve"> “</w:t>
      </w:r>
      <w:r w:rsidRPr="00E474BA" w:rsidR="00E474BA">
        <w:t>SOMAH’s statutory authority continues through 2032, and</w:t>
      </w:r>
      <w:r w:rsidR="00E474BA">
        <w:t xml:space="preserve"> </w:t>
      </w:r>
      <w:r w:rsidRPr="00E474BA" w:rsidR="00E474BA">
        <w:t>only after all obligations are satisfied should the Commission evaluate any residual</w:t>
      </w:r>
      <w:r w:rsidR="00E474BA">
        <w:t xml:space="preserve"> </w:t>
      </w:r>
      <w:r w:rsidRPr="00E474BA" w:rsidR="00E474BA">
        <w:t>balances.</w:t>
      </w:r>
      <w:r w:rsidR="00E474BA">
        <w:t>”</w:t>
      </w:r>
      <w:r w:rsidR="00E474BA">
        <w:rPr>
          <w:rStyle w:val="FootnoteReference"/>
        </w:rPr>
        <w:footnoteReference w:id="102"/>
      </w:r>
      <w:r w:rsidR="00E474BA">
        <w:t xml:space="preserve"> </w:t>
      </w:r>
    </w:p>
    <w:p w:rsidR="005117B3" w:rsidP="000D09BD" w:rsidRDefault="00F756A0" w14:paraId="0C641DBA" w14:textId="7F20CA2F">
      <w:pPr>
        <w:pStyle w:val="Standard"/>
      </w:pPr>
      <w:r>
        <w:t>Sunrun suggest</w:t>
      </w:r>
      <w:r w:rsidR="4548014E">
        <w:t>s</w:t>
      </w:r>
      <w:r w:rsidR="008510CA">
        <w:t xml:space="preserve"> </w:t>
      </w:r>
      <w:r>
        <w:t>that the Commission defer consider</w:t>
      </w:r>
      <w:r w:rsidR="00B83C62">
        <w:t>ation of</w:t>
      </w:r>
      <w:r>
        <w:t xml:space="preserve"> Liberty and PacifiCorp’s proposal to the next triennial evaluation cycle beginning in 2028</w:t>
      </w:r>
      <w:r w:rsidR="00972543">
        <w:t>.</w:t>
      </w:r>
      <w:r>
        <w:rPr>
          <w:rStyle w:val="FootnoteReference"/>
        </w:rPr>
        <w:footnoteReference w:id="103"/>
      </w:r>
      <w:r>
        <w:t xml:space="preserve"> </w:t>
      </w:r>
      <w:r w:rsidR="00972543">
        <w:t>While citing what it says are “</w:t>
      </w:r>
      <w:r w:rsidRPr="00F756A0">
        <w:t>real and unique challenges to implementing the</w:t>
      </w:r>
      <w:r>
        <w:t xml:space="preserve"> </w:t>
      </w:r>
      <w:r w:rsidRPr="00F756A0">
        <w:t>SOMAH program (as it has been designed so far) in their territories</w:t>
      </w:r>
      <w:r w:rsidR="00972543">
        <w:t>,” Sunrun writes that ”[t]</w:t>
      </w:r>
      <w:r w:rsidRPr="00F756A0">
        <w:t>he Commission</w:t>
      </w:r>
      <w:r>
        <w:t xml:space="preserve"> </w:t>
      </w:r>
      <w:r w:rsidRPr="00F756A0">
        <w:t>is in the process of changing the SOMAH program in ways that may yet increase the demand for</w:t>
      </w:r>
      <w:r>
        <w:t xml:space="preserve"> </w:t>
      </w:r>
      <w:r w:rsidRPr="00F756A0">
        <w:t>SOMAH in these territories.</w:t>
      </w:r>
      <w:r w:rsidR="00AE1BF0">
        <w:t>”</w:t>
      </w:r>
      <w:r>
        <w:rPr>
          <w:rStyle w:val="FootnoteReference"/>
        </w:rPr>
        <w:footnoteReference w:id="104"/>
      </w:r>
    </w:p>
    <w:p w:rsidR="00E474BA" w:rsidP="00E474BA" w:rsidRDefault="3AD30F22" w14:paraId="7CFB38CB" w14:textId="629A6025">
      <w:pPr>
        <w:pStyle w:val="Standard"/>
      </w:pPr>
      <w:r>
        <w:t>D</w:t>
      </w:r>
      <w:r w:rsidR="44297D2A">
        <w:t xml:space="preserve">ue to the low </w:t>
      </w:r>
      <w:r w:rsidR="006905CD">
        <w:t xml:space="preserve">uptake </w:t>
      </w:r>
      <w:r w:rsidR="44297D2A">
        <w:t xml:space="preserve">of the program in their service territories, </w:t>
      </w:r>
      <w:r w:rsidR="7FEEB7D4">
        <w:t>t</w:t>
      </w:r>
      <w:r w:rsidR="000C4974">
        <w:t>he Commission</w:t>
      </w:r>
      <w:r w:rsidR="0040112B">
        <w:t xml:space="preserve"> </w:t>
      </w:r>
      <w:r w:rsidR="00C675FD">
        <w:t xml:space="preserve">grants Liberty and PacifiCorp’s request to return a portion of SOMAH funds to </w:t>
      </w:r>
      <w:r w:rsidR="66A3F51A">
        <w:t xml:space="preserve">their </w:t>
      </w:r>
      <w:r w:rsidR="00C675FD">
        <w:t xml:space="preserve">customers via </w:t>
      </w:r>
      <w:r w:rsidR="007B7DBA">
        <w:t xml:space="preserve">their respective </w:t>
      </w:r>
      <w:r w:rsidR="00C675FD">
        <w:t>Climate Credit</w:t>
      </w:r>
      <w:r w:rsidR="002A3EA7">
        <w:t>s</w:t>
      </w:r>
      <w:r w:rsidR="00A96114">
        <w:t xml:space="preserve">. </w:t>
      </w:r>
      <w:r w:rsidR="00182646">
        <w:t xml:space="preserve">We </w:t>
      </w:r>
      <w:proofErr w:type="gramStart"/>
      <w:r w:rsidR="00182646">
        <w:t>concur</w:t>
      </w:r>
      <w:proofErr w:type="gramEnd"/>
      <w:r w:rsidR="00182646">
        <w:t xml:space="preserve"> with Liberty and PacifiCorp that returning the SOMAH funds </w:t>
      </w:r>
      <w:r w:rsidR="00B83C62">
        <w:t xml:space="preserve">will </w:t>
      </w:r>
      <w:r w:rsidR="53321095">
        <w:t>benefit</w:t>
      </w:r>
      <w:r w:rsidR="008510CA">
        <w:t xml:space="preserve"> ratepayers </w:t>
      </w:r>
      <w:r w:rsidR="5981429E">
        <w:t>and address</w:t>
      </w:r>
      <w:r w:rsidR="008510CA">
        <w:t xml:space="preserve"> affordability</w:t>
      </w:r>
      <w:r w:rsidR="00F3025F">
        <w:t xml:space="preserve">, </w:t>
      </w:r>
      <w:r w:rsidR="002E490C">
        <w:t>consistent with</w:t>
      </w:r>
      <w:r w:rsidR="00F3025F">
        <w:t xml:space="preserve"> the </w:t>
      </w:r>
      <w:r w:rsidR="002E490C">
        <w:t xml:space="preserve">Commission’s affordability objectives and </w:t>
      </w:r>
      <w:r w:rsidR="00F3025F">
        <w:t>Governor’s Executive Order N-5-24</w:t>
      </w:r>
      <w:r w:rsidR="008510CA">
        <w:t xml:space="preserve">. We also </w:t>
      </w:r>
      <w:r w:rsidR="11ECE4E2">
        <w:t>find</w:t>
      </w:r>
      <w:r w:rsidR="008510CA">
        <w:t xml:space="preserve"> </w:t>
      </w:r>
      <w:r w:rsidR="006C11F0">
        <w:lastRenderedPageBreak/>
        <w:t>t</w:t>
      </w:r>
      <w:r w:rsidR="008510CA">
        <w:t xml:space="preserve">hat </w:t>
      </w:r>
      <w:r w:rsidR="00182646">
        <w:t xml:space="preserve">returning the funds will not harm customers in other service territories </w:t>
      </w:r>
      <w:r w:rsidR="4BD164AD">
        <w:t>because</w:t>
      </w:r>
      <w:r w:rsidR="00182646">
        <w:t xml:space="preserve"> incentive amounts are constrained to customers within those territories. </w:t>
      </w:r>
    </w:p>
    <w:p w:rsidR="003A553B" w:rsidP="009D20E3" w:rsidRDefault="00F90537" w14:paraId="38A844FC" w14:textId="2B883136">
      <w:pPr>
        <w:pStyle w:val="OP"/>
        <w:numPr>
          <w:ilvl w:val="0"/>
          <w:numId w:val="0"/>
        </w:numPr>
        <w:ind w:firstLine="540"/>
      </w:pPr>
      <w:r>
        <w:t>As for specific amounts of SOMAH funds to be returned, the Commission authorizes Liberty and PacifiCorp to propose the return of</w:t>
      </w:r>
      <w:r w:rsidR="00B83C62">
        <w:t>,</w:t>
      </w:r>
      <w:r>
        <w:t xml:space="preserve"> at a minimum</w:t>
      </w:r>
      <w:r w:rsidR="00B83C62">
        <w:t>,</w:t>
      </w:r>
      <w:r>
        <w:t xml:space="preserve"> unused SOMAH funds collected in 2025 and the first half of </w:t>
      </w:r>
      <w:r w:rsidR="00997393">
        <w:t>2026 via</w:t>
      </w:r>
      <w:r>
        <w:t xml:space="preserve"> </w:t>
      </w:r>
      <w:r w:rsidRPr="00255D49">
        <w:t>the Residential and Small Business Climate Credi</w:t>
      </w:r>
      <w:r>
        <w:t>t as part of their 2027 ECAC application</w:t>
      </w:r>
      <w:r w:rsidR="00B83C62">
        <w:t>s</w:t>
      </w:r>
      <w:r>
        <w:t xml:space="preserve">. </w:t>
      </w:r>
      <w:r w:rsidR="00D63478">
        <w:t xml:space="preserve">After a careful review of </w:t>
      </w:r>
      <w:r w:rsidR="0065538C">
        <w:t xml:space="preserve">PacifiCorp </w:t>
      </w:r>
      <w:r w:rsidR="00D63478">
        <w:t xml:space="preserve">and Liberty’s </w:t>
      </w:r>
      <w:r w:rsidR="0065538C">
        <w:t xml:space="preserve">SOMAH </w:t>
      </w:r>
      <w:r w:rsidR="00D63478">
        <w:t xml:space="preserve">balancing accounts, </w:t>
      </w:r>
      <w:r w:rsidR="0065538C">
        <w:t>their project pipeline</w:t>
      </w:r>
      <w:r w:rsidR="008F52BE">
        <w:t xml:space="preserve"> as </w:t>
      </w:r>
      <w:r w:rsidR="00BB1846">
        <w:t xml:space="preserve">documented in </w:t>
      </w:r>
      <w:r w:rsidR="00583297">
        <w:t>California Distributed Generation Statistics (</w:t>
      </w:r>
      <w:proofErr w:type="spellStart"/>
      <w:r w:rsidR="00BB1846">
        <w:t>DGStats</w:t>
      </w:r>
      <w:proofErr w:type="spellEnd"/>
      <w:r w:rsidR="00583297">
        <w:t>)</w:t>
      </w:r>
      <w:r w:rsidR="003E484D">
        <w:t>,</w:t>
      </w:r>
      <w:r w:rsidR="00BB1846">
        <w:rPr>
          <w:rStyle w:val="FootnoteReference"/>
        </w:rPr>
        <w:footnoteReference w:id="105"/>
      </w:r>
      <w:r w:rsidR="0065538C">
        <w:t xml:space="preserve"> and </w:t>
      </w:r>
      <w:r w:rsidR="00D63478">
        <w:t>the SOMAH Eligible Property Map</w:t>
      </w:r>
      <w:r w:rsidR="3A334E44">
        <w:t>,</w:t>
      </w:r>
      <w:r w:rsidR="00B21DDB">
        <w:t xml:space="preserve"> </w:t>
      </w:r>
      <w:r w:rsidR="00186BD6">
        <w:t xml:space="preserve">the Commission authorizes </w:t>
      </w:r>
      <w:r w:rsidR="00563BD9">
        <w:t xml:space="preserve">Liberty Utilities LLC and PacifiCorp  </w:t>
      </w:r>
      <w:r w:rsidR="00862FE3">
        <w:t>to</w:t>
      </w:r>
      <w:r w:rsidR="00563BD9">
        <w:t xml:space="preserve"> propose</w:t>
      </w:r>
      <w:r w:rsidR="65E74345">
        <w:t xml:space="preserve"> </w:t>
      </w:r>
      <w:r w:rsidR="00563BD9">
        <w:t>the return of SOMAH funds collected prior to 2025 up to $0.</w:t>
      </w:r>
      <w:r w:rsidR="000848F3">
        <w:t>38</w:t>
      </w:r>
      <w:r w:rsidR="00563BD9">
        <w:t xml:space="preserve"> million and $1.84 million each year, for Liberty Utilities LLC and PacifiCorp respectively, in their 2028 </w:t>
      </w:r>
      <w:r w:rsidR="008A3511">
        <w:t>ECAC</w:t>
      </w:r>
      <w:r w:rsidR="00563BD9">
        <w:t xml:space="preserve"> applications and in subsequent year applications.</w:t>
      </w:r>
      <w:r w:rsidR="00DC1352">
        <w:t xml:space="preserve"> </w:t>
      </w:r>
      <w:r w:rsidR="00363A53">
        <w:t>Liberty and PacifiCorp sh</w:t>
      </w:r>
      <w:r w:rsidR="003A553B">
        <w:t>all</w:t>
      </w:r>
      <w:r w:rsidR="00363A53">
        <w:t xml:space="preserve"> record the</w:t>
      </w:r>
      <w:r w:rsidR="00600877">
        <w:t xml:space="preserve"> return of SOMAH funds </w:t>
      </w:r>
      <w:r w:rsidR="00363A53">
        <w:t>u</w:t>
      </w:r>
      <w:r w:rsidR="00600877">
        <w:t>nder line 14 of Template D-1: Annual Allowance Revenue Receipts and Customer Returns (In $000)</w:t>
      </w:r>
      <w:r w:rsidR="00363A53">
        <w:t xml:space="preserve"> when submitting their GHG Revenue and Reconciliation Application</w:t>
      </w:r>
      <w:r w:rsidR="00600877">
        <w:t xml:space="preserve">. </w:t>
      </w:r>
    </w:p>
    <w:p w:rsidR="00E144C6" w:rsidP="009D20E3" w:rsidRDefault="00182646" w14:paraId="1702A0C4" w14:textId="47D2229E">
      <w:pPr>
        <w:pStyle w:val="OP"/>
        <w:numPr>
          <w:ilvl w:val="0"/>
          <w:numId w:val="0"/>
        </w:numPr>
        <w:ind w:firstLine="540"/>
      </w:pPr>
      <w:r>
        <w:t xml:space="preserve">Even without those funds, Liberty and PacifiCorp will have </w:t>
      </w:r>
      <w:r w:rsidR="007B7DBA">
        <w:t xml:space="preserve">sufficient </w:t>
      </w:r>
      <w:r>
        <w:t xml:space="preserve">SOMAH funding to </w:t>
      </w:r>
      <w:r w:rsidR="1D6674EF">
        <w:t xml:space="preserve">respond to </w:t>
      </w:r>
      <w:r w:rsidR="00C106B9">
        <w:t>customer interest</w:t>
      </w:r>
      <w:r w:rsidR="00076FCD">
        <w:t xml:space="preserve"> </w:t>
      </w:r>
      <w:r>
        <w:t>through the duration of the program</w:t>
      </w:r>
      <w:r w:rsidR="601AA2E0">
        <w:t>,</w:t>
      </w:r>
      <w:r>
        <w:t xml:space="preserve"> given the limited number of eligible properties within their service territories</w:t>
      </w:r>
      <w:r w:rsidR="675836B0">
        <w:t xml:space="preserve"> and </w:t>
      </w:r>
      <w:r w:rsidR="4EFAAB50">
        <w:t xml:space="preserve">the limited number of </w:t>
      </w:r>
      <w:r w:rsidR="675836B0">
        <w:t>applications to date</w:t>
      </w:r>
      <w:r>
        <w:t>.</w:t>
      </w:r>
      <w:r w:rsidR="008510CA">
        <w:t xml:space="preserve"> Finally, </w:t>
      </w:r>
      <w:r w:rsidR="6E2C8383">
        <w:t>because</w:t>
      </w:r>
      <w:r w:rsidR="008510CA">
        <w:t xml:space="preserve"> the Commission is not expanding SOMAH eligibility </w:t>
      </w:r>
      <w:r w:rsidR="0E7629F3">
        <w:t>in this decision</w:t>
      </w:r>
      <w:r w:rsidR="008510CA">
        <w:t>, the “major program changes” envisioned by Sunrun are not a con</w:t>
      </w:r>
      <w:r w:rsidR="12B49E9E">
        <w:t>cern</w:t>
      </w:r>
      <w:r w:rsidR="008510CA">
        <w:t xml:space="preserve"> in </w:t>
      </w:r>
      <w:r w:rsidR="31ECE542">
        <w:t>ensuring</w:t>
      </w:r>
      <w:r w:rsidR="008510CA">
        <w:t xml:space="preserve"> </w:t>
      </w:r>
      <w:r w:rsidR="303565C3">
        <w:t xml:space="preserve">the </w:t>
      </w:r>
      <w:r w:rsidR="303565C3">
        <w:lastRenderedPageBreak/>
        <w:t xml:space="preserve">sufficiency of </w:t>
      </w:r>
      <w:r w:rsidR="008510CA">
        <w:t>Liberty and PacifiCorp’s SOMAH funds for the duration of the program.</w:t>
      </w:r>
    </w:p>
    <w:p w:rsidR="007156B9" w:rsidP="00982F4F" w:rsidRDefault="004E4D8D" w14:paraId="28D45FD1" w14:textId="5FB8EE1E">
      <w:pPr>
        <w:pStyle w:val="Heading2"/>
      </w:pPr>
      <w:bookmarkStart w:name="_Toc233626476" w:id="22"/>
      <w:r>
        <w:t>Unused Funds and Accrued Interest</w:t>
      </w:r>
      <w:bookmarkEnd w:id="22"/>
    </w:p>
    <w:p w:rsidR="00F967CF" w:rsidP="00F967CF" w:rsidRDefault="00274DE0" w14:paraId="7AE9F904" w14:textId="5B767F1B">
      <w:pPr>
        <w:pStyle w:val="Standard"/>
      </w:pPr>
      <w:r>
        <w:t>Cal Advocates and t</w:t>
      </w:r>
      <w:r w:rsidR="00916479">
        <w:t xml:space="preserve">he IOUs propose returning unused SOMAH funds to consumers via </w:t>
      </w:r>
      <w:proofErr w:type="gramStart"/>
      <w:r w:rsidR="00916479">
        <w:t>the Climate</w:t>
      </w:r>
      <w:proofErr w:type="gramEnd"/>
      <w:r w:rsidR="00916479">
        <w:t xml:space="preserve"> Credit</w:t>
      </w:r>
      <w:r w:rsidR="00A66D6A">
        <w:t xml:space="preserve"> at the </w:t>
      </w:r>
      <w:proofErr w:type="gramStart"/>
      <w:r w:rsidR="00A66D6A">
        <w:t>program’s conclusion</w:t>
      </w:r>
      <w:proofErr w:type="gramEnd"/>
      <w:r w:rsidR="334771A5">
        <w:t>.</w:t>
      </w:r>
      <w:r w:rsidR="00A66D6A">
        <w:t xml:space="preserve"> </w:t>
      </w:r>
      <w:r w:rsidR="00397122">
        <w:t xml:space="preserve">Cal Advocates writes that returning </w:t>
      </w:r>
      <w:r w:rsidR="001274E7">
        <w:t xml:space="preserve">SOMAH funds and accrued interest </w:t>
      </w:r>
      <w:r w:rsidR="006A69C9">
        <w:t>“after all obligations are met</w:t>
      </w:r>
      <w:r w:rsidR="00B23877">
        <w:t>” would “</w:t>
      </w:r>
      <w:r w:rsidRPr="006A69C9" w:rsidR="006A69C9">
        <w:t>reduce energy affordability burdens for ratepayers</w:t>
      </w:r>
      <w:r w:rsidR="006A69C9">
        <w:t>.”</w:t>
      </w:r>
      <w:r w:rsidR="00BC7549">
        <w:rPr>
          <w:rStyle w:val="FootnoteReference"/>
        </w:rPr>
        <w:footnoteReference w:id="106"/>
      </w:r>
    </w:p>
    <w:p w:rsidR="00274DE0" w:rsidP="00F967CF" w:rsidRDefault="00916479" w14:paraId="3D6CB9A2" w14:textId="6386D94B">
      <w:pPr>
        <w:pStyle w:val="Standard"/>
      </w:pPr>
      <w:r>
        <w:t>Sunrun, DA</w:t>
      </w:r>
      <w:r w:rsidR="00274DE0">
        <w:t>C</w:t>
      </w:r>
      <w:r w:rsidR="003A553B">
        <w:t xml:space="preserve"> Energy</w:t>
      </w:r>
      <w:r w:rsidR="00274DE0">
        <w:t>, Stellar,</w:t>
      </w:r>
      <w:r w:rsidR="00E60CE6">
        <w:t xml:space="preserve"> and</w:t>
      </w:r>
      <w:r>
        <w:t xml:space="preserve"> CSE</w:t>
      </w:r>
      <w:r w:rsidR="00E60CE6">
        <w:t xml:space="preserve"> oppose making any de</w:t>
      </w:r>
      <w:r w:rsidR="00274DE0">
        <w:t>termination</w:t>
      </w:r>
      <w:r w:rsidR="00E60CE6">
        <w:t xml:space="preserve"> now about how unused SOMAH funds are dispensed with at the program’s conclusion. Sunrun </w:t>
      </w:r>
      <w:r w:rsidR="39EA6B54">
        <w:t>asserts</w:t>
      </w:r>
      <w:r w:rsidR="00E60CE6">
        <w:t xml:space="preserve"> </w:t>
      </w:r>
      <w:r>
        <w:t xml:space="preserve">that </w:t>
      </w:r>
      <w:r w:rsidR="6EBABF55">
        <w:t>determining the SOMAH program wind-down is</w:t>
      </w:r>
      <w:r>
        <w:t xml:space="preserve"> premature</w:t>
      </w:r>
      <w:r w:rsidR="003A553B">
        <w:t>,</w:t>
      </w:r>
      <w:r>
        <w:t xml:space="preserve"> </w:t>
      </w:r>
      <w:r w:rsidR="003A553B">
        <w:t>as</w:t>
      </w:r>
      <w:r>
        <w:t xml:space="preserve"> there </w:t>
      </w:r>
      <w:r w:rsidR="019FFE58">
        <w:t>are</w:t>
      </w:r>
      <w:r>
        <w:t xml:space="preserve"> still seven years left for the program to operate.</w:t>
      </w:r>
      <w:r>
        <w:rPr>
          <w:rStyle w:val="FootnoteReference"/>
        </w:rPr>
        <w:footnoteReference w:id="107"/>
      </w:r>
      <w:r w:rsidR="00E60CE6">
        <w:t xml:space="preserve"> </w:t>
      </w:r>
      <w:r w:rsidR="6E09BC34">
        <w:t xml:space="preserve">As the SOMAH PA, </w:t>
      </w:r>
      <w:r w:rsidR="00E60CE6">
        <w:t xml:space="preserve">CSE </w:t>
      </w:r>
      <w:r w:rsidR="4F5BE76A">
        <w:t>anticipates</w:t>
      </w:r>
      <w:r w:rsidRPr="00E60CE6" w:rsidR="00E60CE6">
        <w:t xml:space="preserve"> </w:t>
      </w:r>
      <w:r w:rsidR="007E36BD">
        <w:t>“</w:t>
      </w:r>
      <w:r w:rsidRPr="00E60CE6" w:rsidR="00E60CE6">
        <w:t>that the total funding allocation will be needed over the next seven years through 2032 to meet the SOMAH program goal of 300 MW of combined generating capacity and to achieve California’s clean energy and ESJ goals.</w:t>
      </w:r>
      <w:r w:rsidR="00C6433F">
        <w:t>”</w:t>
      </w:r>
      <w:r w:rsidR="00E60CE6">
        <w:rPr>
          <w:rStyle w:val="FootnoteReference"/>
        </w:rPr>
        <w:footnoteReference w:id="108"/>
      </w:r>
      <w:r w:rsidR="00274DE0">
        <w:t xml:space="preserve"> </w:t>
      </w:r>
    </w:p>
    <w:p w:rsidR="00916479" w:rsidP="00274DE0" w:rsidRDefault="00274DE0" w14:paraId="435DA005" w14:textId="474B008A">
      <w:pPr>
        <w:pStyle w:val="Standard"/>
      </w:pPr>
      <w:r>
        <w:t xml:space="preserve">CBD and CEJA </w:t>
      </w:r>
      <w:r w:rsidR="003A553B">
        <w:t>recommend</w:t>
      </w:r>
      <w:r>
        <w:t xml:space="preserve"> that the Commission should deploy unused SOMAH funds “</w:t>
      </w:r>
      <w:r w:rsidRPr="00274DE0">
        <w:t xml:space="preserve">to grow solar and storage resources in </w:t>
      </w:r>
      <w:r>
        <w:t>(</w:t>
      </w:r>
      <w:r w:rsidRPr="00274DE0">
        <w:t>D</w:t>
      </w:r>
      <w:r>
        <w:t>isadvantaged Communities)</w:t>
      </w:r>
      <w:r w:rsidRPr="00274DE0">
        <w:t xml:space="preserve"> and low-income communities, with proper benefits to these communities</w:t>
      </w:r>
      <w:r>
        <w:t xml:space="preserve">.” </w:t>
      </w:r>
      <w:r w:rsidR="003A553B">
        <w:t xml:space="preserve">As an alternate recommendation, </w:t>
      </w:r>
      <w:r>
        <w:t xml:space="preserve">CEJA </w:t>
      </w:r>
      <w:r w:rsidR="003A553B">
        <w:t>states that</w:t>
      </w:r>
      <w:r>
        <w:t xml:space="preserve"> “</w:t>
      </w:r>
      <w:r w:rsidRPr="00274DE0">
        <w:t>the Commission should at least maintain the Legislature’s intent to benefit SOMAH-eligible communities and direct the climate credit to those same ratepayers.</w:t>
      </w:r>
      <w:r>
        <w:t>”</w:t>
      </w:r>
      <w:r>
        <w:rPr>
          <w:rStyle w:val="FootnoteReference"/>
        </w:rPr>
        <w:footnoteReference w:id="109"/>
      </w:r>
    </w:p>
    <w:p w:rsidR="00815705" w:rsidP="00916479" w:rsidRDefault="00815705" w14:paraId="0DF873EC" w14:textId="39552C33">
      <w:pPr>
        <w:pStyle w:val="Standard"/>
        <w:ind w:firstLine="0"/>
      </w:pPr>
      <w:r>
        <w:lastRenderedPageBreak/>
        <w:tab/>
      </w:r>
      <w:r w:rsidR="00274DE0">
        <w:t xml:space="preserve">The Commission agrees with Cal Advocates and the </w:t>
      </w:r>
      <w:r w:rsidR="004C6581">
        <w:t>IOU</w:t>
      </w:r>
      <w:r w:rsidR="00274DE0">
        <w:t xml:space="preserve">s that unused SOMAH funds should be returned to </w:t>
      </w:r>
      <w:r w:rsidR="0060105D">
        <w:t xml:space="preserve">the </w:t>
      </w:r>
      <w:r w:rsidR="36B55A71">
        <w:t>IOU</w:t>
      </w:r>
      <w:r w:rsidR="0060105D">
        <w:t xml:space="preserve">s’ </w:t>
      </w:r>
      <w:r w:rsidR="6B5D8D2E">
        <w:t>GHG</w:t>
      </w:r>
      <w:r w:rsidR="0060105D">
        <w:t xml:space="preserve"> revenue accounts</w:t>
      </w:r>
      <w:r w:rsidR="00274DE0">
        <w:t xml:space="preserve">. Doing so would comply with </w:t>
      </w:r>
      <w:r w:rsidR="00F3025F">
        <w:t xml:space="preserve">the </w:t>
      </w:r>
      <w:r w:rsidR="00274DE0">
        <w:t xml:space="preserve">legislative intent that “[t]he commission shall </w:t>
      </w:r>
      <w:r w:rsidRPr="00274DE0" w:rsidR="00274DE0">
        <w:t>authorize the award of monetary incentives for qualifying solar energy systems that are installed on qualified multifamily affordable housing properties through December 31, 2032</w:t>
      </w:r>
      <w:r w:rsidR="00F3025F">
        <w:t>.</w:t>
      </w:r>
      <w:r w:rsidR="00274DE0">
        <w:t>”</w:t>
      </w:r>
      <w:r w:rsidR="00274DE0">
        <w:rPr>
          <w:rStyle w:val="FootnoteReference"/>
        </w:rPr>
        <w:footnoteReference w:id="110"/>
      </w:r>
      <w:r w:rsidR="004C6581">
        <w:t xml:space="preserve"> Dedicating the unused SOMAH funds to any other program after SOMAH’s wind-down, as CBD and CEJA suggest, would conflict with this statutory </w:t>
      </w:r>
      <w:r w:rsidR="006352A4">
        <w:t>direc</w:t>
      </w:r>
      <w:r w:rsidR="004C6581">
        <w:t>tion.</w:t>
      </w:r>
    </w:p>
    <w:p w:rsidR="004C6581" w:rsidP="00916479" w:rsidRDefault="004C6581" w14:paraId="712DD74C" w14:textId="00785A9E">
      <w:pPr>
        <w:pStyle w:val="Standard"/>
        <w:ind w:firstLine="0"/>
      </w:pPr>
      <w:r>
        <w:tab/>
        <w:t xml:space="preserve">The SOMAH </w:t>
      </w:r>
      <w:r w:rsidR="63063D1C">
        <w:t>PA</w:t>
      </w:r>
      <w:r>
        <w:t xml:space="preserve"> </w:t>
      </w:r>
      <w:r w:rsidR="00F43C37">
        <w:t xml:space="preserve">and the IOUs </w:t>
      </w:r>
      <w:r w:rsidR="02760B50">
        <w:t>may</w:t>
      </w:r>
      <w:r>
        <w:t xml:space="preserve"> request permission </w:t>
      </w:r>
      <w:r w:rsidR="009770DE">
        <w:t>via Tier 2 Advice Letter</w:t>
      </w:r>
      <w:r>
        <w:t xml:space="preserve"> from Commission staff to extend its SOMAH administrative spending beyond 2032 exclusively for program close-out tasks, application processing, and supporting utilities in reviewing final incentive requests in alignment with the utilities’ work</w:t>
      </w:r>
      <w:r w:rsidR="42ED286E">
        <w:t>.</w:t>
      </w:r>
      <w:r>
        <w:t xml:space="preserve"> </w:t>
      </w:r>
      <w:r w:rsidR="67F48522">
        <w:t xml:space="preserve">However, </w:t>
      </w:r>
      <w:r>
        <w:t xml:space="preserve">all such tasks </w:t>
      </w:r>
      <w:r w:rsidR="269C5628">
        <w:t xml:space="preserve">shall be </w:t>
      </w:r>
      <w:r>
        <w:t xml:space="preserve">concluded by the filing of the SOMAH </w:t>
      </w:r>
      <w:r w:rsidR="00303288">
        <w:t>f</w:t>
      </w:r>
      <w:r>
        <w:t xml:space="preserve">inal </w:t>
      </w:r>
      <w:r w:rsidR="00303288">
        <w:t>budget expenditure repor</w:t>
      </w:r>
      <w:r>
        <w:t xml:space="preserve">t Tier 2 </w:t>
      </w:r>
      <w:r w:rsidR="00E161B3">
        <w:t>a</w:t>
      </w:r>
      <w:r>
        <w:t xml:space="preserve">dvice </w:t>
      </w:r>
      <w:r w:rsidR="00E161B3">
        <w:t>l</w:t>
      </w:r>
      <w:r>
        <w:t>etter</w:t>
      </w:r>
      <w:r w:rsidR="006352A4">
        <w:t>s</w:t>
      </w:r>
      <w:r>
        <w:t xml:space="preserve"> ordered in this decision. </w:t>
      </w:r>
    </w:p>
    <w:p w:rsidR="00026598" w:rsidRDefault="004C6581" w14:paraId="5B48EB6C" w14:textId="11DD1803">
      <w:pPr>
        <w:pStyle w:val="Standard"/>
      </w:pPr>
      <w:r>
        <w:t xml:space="preserve">Additionally, any accrued interest from SOMAH </w:t>
      </w:r>
      <w:r w:rsidR="006C11F0">
        <w:t>funds</w:t>
      </w:r>
      <w:r>
        <w:t xml:space="preserve"> </w:t>
      </w:r>
      <w:r w:rsidR="3E8E0AEA">
        <w:t xml:space="preserve">shall </w:t>
      </w:r>
      <w:r>
        <w:t xml:space="preserve">first offset 2026 SOMAH budget allocations and then </w:t>
      </w:r>
      <w:r w:rsidR="7FC75864">
        <w:t xml:space="preserve">be returned to the IOUs’ GHG revenue accounts </w:t>
      </w:r>
      <w:r>
        <w:t>upon the</w:t>
      </w:r>
      <w:r w:rsidR="00F752C0">
        <w:t xml:space="preserve"> disposition of the SOMAH </w:t>
      </w:r>
      <w:r w:rsidR="00303288">
        <w:t>final budget expenditure report</w:t>
      </w:r>
      <w:r w:rsidR="00F752C0">
        <w:t xml:space="preserve"> Tier 2 </w:t>
      </w:r>
      <w:r w:rsidR="00E161B3">
        <w:t>a</w:t>
      </w:r>
      <w:r w:rsidR="00F752C0">
        <w:t xml:space="preserve">dvice </w:t>
      </w:r>
      <w:r w:rsidR="00E161B3">
        <w:t>l</w:t>
      </w:r>
      <w:r w:rsidR="00F752C0">
        <w:t>etter</w:t>
      </w:r>
      <w:r>
        <w:t xml:space="preserve">. The IOUs and Cal Advocates support returning accrued interest from SOMAH funds to </w:t>
      </w:r>
      <w:r w:rsidR="0060105D">
        <w:t xml:space="preserve">customers via </w:t>
      </w:r>
      <w:proofErr w:type="gramStart"/>
      <w:r w:rsidR="0060105D">
        <w:t>a Climate</w:t>
      </w:r>
      <w:proofErr w:type="gramEnd"/>
      <w:r w:rsidR="0060105D">
        <w:t xml:space="preserve"> Credit</w:t>
      </w:r>
      <w:r>
        <w:t>.</w:t>
      </w:r>
      <w:r>
        <w:rPr>
          <w:rStyle w:val="FootnoteReference"/>
        </w:rPr>
        <w:footnoteReference w:id="111"/>
      </w:r>
      <w:r>
        <w:t xml:space="preserve"> </w:t>
      </w:r>
      <w:r w:rsidR="00DF4389">
        <w:t>PG&amp;E proposes returning accrued interest upon the program’s conclusion, while SDG&amp;E, Liberty</w:t>
      </w:r>
      <w:r w:rsidR="0C6AEB80">
        <w:t>,</w:t>
      </w:r>
      <w:r w:rsidR="00DF4389">
        <w:t xml:space="preserve"> and PacifiCorp propose returning accrued interest prior to the </w:t>
      </w:r>
      <w:r w:rsidR="00DF4389">
        <w:lastRenderedPageBreak/>
        <w:t>program’s conclusion. SCE proposes returning accrued interest “</w:t>
      </w:r>
      <w:r w:rsidRPr="00DF4389" w:rsidR="00DF4389">
        <w:t>to customers via the</w:t>
      </w:r>
      <w:r w:rsidR="00F752C0">
        <w:t xml:space="preserve"> </w:t>
      </w:r>
      <w:r w:rsidRPr="00DF4389" w:rsidR="00DF4389">
        <w:t>Climate Credit in future IOU ERRA Forecast Applications.</w:t>
      </w:r>
      <w:r w:rsidR="00DF4389">
        <w:t>”</w:t>
      </w:r>
      <w:r w:rsidR="00DF4389">
        <w:rPr>
          <w:rStyle w:val="FootnoteReference"/>
        </w:rPr>
        <w:footnoteReference w:id="112"/>
      </w:r>
      <w:r w:rsidR="00F752C0">
        <w:t xml:space="preserve"> </w:t>
      </w:r>
    </w:p>
    <w:p w:rsidR="004C6581" w:rsidRDefault="00F752C0" w14:paraId="6DAE2A81" w14:textId="683FE592">
      <w:pPr>
        <w:pStyle w:val="Standard"/>
      </w:pPr>
      <w:r>
        <w:t>CSE</w:t>
      </w:r>
      <w:r w:rsidR="00594849">
        <w:t>, however,</w:t>
      </w:r>
      <w:r>
        <w:t xml:space="preserve"> states that </w:t>
      </w:r>
      <w:r w:rsidR="003A553B">
        <w:t xml:space="preserve">the </w:t>
      </w:r>
      <w:r>
        <w:t xml:space="preserve">total accrued interest of more than $100 million across all utilities’ SOMAH Balancing Accounts should be maintained through the program’s closure, with the </w:t>
      </w:r>
      <w:r w:rsidR="5A4BBAFF">
        <w:t>PA</w:t>
      </w:r>
      <w:r>
        <w:t xml:space="preserve"> allowed to access those funds for program administration and final program close-out tasks.</w:t>
      </w:r>
      <w:r>
        <w:rPr>
          <w:rStyle w:val="FootnoteReference"/>
        </w:rPr>
        <w:footnoteReference w:id="113"/>
      </w:r>
      <w:r>
        <w:t xml:space="preserve"> Additionally, CSE </w:t>
      </w:r>
      <w:r w:rsidR="4653D34F">
        <w:t>asserts</w:t>
      </w:r>
      <w:r>
        <w:t xml:space="preserve"> that </w:t>
      </w:r>
      <w:r w:rsidR="7DDB0C0C">
        <w:t xml:space="preserve">if the Commission expands </w:t>
      </w:r>
      <w:r>
        <w:t>the SOMAH program’s scope and eligibility</w:t>
      </w:r>
      <w:r w:rsidR="5EEAB7ED">
        <w:t>,</w:t>
      </w:r>
      <w:r>
        <w:t xml:space="preserve"> the SOMAH </w:t>
      </w:r>
      <w:r w:rsidR="6030E7B0">
        <w:t>PA</w:t>
      </w:r>
      <w:r>
        <w:t xml:space="preserve"> </w:t>
      </w:r>
      <w:r w:rsidR="298CCAD4">
        <w:t>should have</w:t>
      </w:r>
      <w:r>
        <w:t xml:space="preserve"> access to the fund’s total accrued interest.</w:t>
      </w:r>
      <w:r>
        <w:rPr>
          <w:rStyle w:val="FootnoteReference"/>
        </w:rPr>
        <w:footnoteReference w:id="114"/>
      </w:r>
      <w:r>
        <w:t xml:space="preserve"> Cal Advocates responds that allowing the </w:t>
      </w:r>
      <w:r w:rsidR="4C6BB44E">
        <w:t>PA</w:t>
      </w:r>
      <w:r>
        <w:t xml:space="preserve"> to use all accrued interest violates Pub. Util Code Section 784.5(a)</w:t>
      </w:r>
      <w:r w:rsidR="007F2BD8">
        <w:t>, which states</w:t>
      </w:r>
      <w:r>
        <w:t xml:space="preserve"> that</w:t>
      </w:r>
      <w:r w:rsidR="00445558">
        <w:t>, with some exceptions,</w:t>
      </w:r>
      <w:r w:rsidRPr="5041AA49">
        <w:rPr>
          <w:rFonts w:ascii="Verdana" w:hAnsi="Verdana"/>
          <w:color w:val="333333"/>
          <w:sz w:val="22"/>
          <w:shd w:val="clear" w:color="auto" w:fill="FFFFFF"/>
        </w:rPr>
        <w:t xml:space="preserve"> </w:t>
      </w:r>
      <w:r>
        <w:t xml:space="preserve">“the commission </w:t>
      </w:r>
      <w:r w:rsidRPr="00F752C0">
        <w:t>shall require revenues, including any accrued interest, received by an electrical corporation as a result of the direct allocation of greenhouse gas allowances to electric utilities</w:t>
      </w:r>
      <w:r w:rsidR="00445558">
        <w:t xml:space="preserve"> …</w:t>
      </w:r>
      <w:r w:rsidRPr="00F752C0">
        <w:t xml:space="preserve"> to be credited directly to the residential customers of the electrical corporation</w:t>
      </w:r>
      <w:r>
        <w:t>.”</w:t>
      </w:r>
      <w:r>
        <w:rPr>
          <w:rStyle w:val="FootnoteReference"/>
        </w:rPr>
        <w:footnoteReference w:id="115"/>
      </w:r>
      <w:r>
        <w:t xml:space="preserve"> CBD and CEJA state that accrued interest from SOMAH funds should be used “to meet the Legislature’s intent to improve and expand the </w:t>
      </w:r>
      <w:r w:rsidR="006C11F0">
        <w:t>program” and</w:t>
      </w:r>
      <w:r w:rsidR="00613324">
        <w:t xml:space="preserve"> </w:t>
      </w:r>
      <w:r>
        <w:t>to avoid “the risk of a potential shortfall to adequately administer the program prior to 2032, and for</w:t>
      </w:r>
      <w:r w:rsidR="00071C23">
        <w:t xml:space="preserve"> any necessary close-out expenditures.”</w:t>
      </w:r>
      <w:r>
        <w:rPr>
          <w:rStyle w:val="FootnoteReference"/>
        </w:rPr>
        <w:footnoteReference w:id="116"/>
      </w:r>
    </w:p>
    <w:p w:rsidR="006F14CD" w:rsidP="006F14CD" w:rsidRDefault="00613324" w14:paraId="57007FCA" w14:textId="251A06D5">
      <w:pPr>
        <w:pStyle w:val="Standard"/>
      </w:pPr>
      <w:r>
        <w:t xml:space="preserve">The Commission agrees with the IOUs’ general argument that accrued interest </w:t>
      </w:r>
      <w:proofErr w:type="gramStart"/>
      <w:r>
        <w:t>for</w:t>
      </w:r>
      <w:proofErr w:type="gramEnd"/>
      <w:r>
        <w:t xml:space="preserve"> SOMAH funds should be returned to </w:t>
      </w:r>
      <w:r w:rsidR="0060105D">
        <w:t xml:space="preserve">the </w:t>
      </w:r>
      <w:r w:rsidR="4458FC99">
        <w:t>IOU</w:t>
      </w:r>
      <w:r w:rsidR="0060105D">
        <w:t xml:space="preserve">s’ </w:t>
      </w:r>
      <w:r w:rsidR="2E473062">
        <w:t>GHG</w:t>
      </w:r>
      <w:r w:rsidR="0060105D">
        <w:t xml:space="preserve"> revenue account, which can then be returned to customers via </w:t>
      </w:r>
      <w:r w:rsidR="000B07B5">
        <w:t>the</w:t>
      </w:r>
      <w:r w:rsidR="0060105D">
        <w:t xml:space="preserve"> Climate Credit</w:t>
      </w:r>
      <w:r>
        <w:t xml:space="preserve">. Taking </w:t>
      </w:r>
      <w:r>
        <w:lastRenderedPageBreak/>
        <w:t>into consideration the enormous amount of accrued interest currently held by the utilities</w:t>
      </w:r>
      <w:r w:rsidR="0FA9155F">
        <w:t>,</w:t>
      </w:r>
      <w:r w:rsidR="00EF6F08">
        <w:t xml:space="preserve"> as well as low SOMAH adoption in some IOU service territories</w:t>
      </w:r>
      <w:r>
        <w:t xml:space="preserve">, the IOUs </w:t>
      </w:r>
      <w:r w:rsidR="25B4ADD2">
        <w:t>sh</w:t>
      </w:r>
      <w:r w:rsidR="0033407F">
        <w:t>ould</w:t>
      </w:r>
      <w:r>
        <w:t xml:space="preserve"> use accrued interest first to offset SOMAH budget allocations authorized for the first half of 2026. </w:t>
      </w:r>
      <w:r w:rsidR="00920A07">
        <w:t>This</w:t>
      </w:r>
      <w:r>
        <w:t xml:space="preserve"> will </w:t>
      </w:r>
      <w:r w:rsidR="00920A07">
        <w:t xml:space="preserve">leave sufficient </w:t>
      </w:r>
      <w:r>
        <w:t>funds to operate the program through 2032</w:t>
      </w:r>
      <w:r w:rsidR="000C3A4F">
        <w:t xml:space="preserve"> and </w:t>
      </w:r>
      <w:r w:rsidR="00A6492C">
        <w:t>support</w:t>
      </w:r>
      <w:r w:rsidR="000C3A4F">
        <w:t xml:space="preserve"> the program’s goal of installing at least 300 MW on qualified properties</w:t>
      </w:r>
      <w:r>
        <w:t>.  The IOU</w:t>
      </w:r>
      <w:r w:rsidR="006D0618">
        <w:t>s</w:t>
      </w:r>
      <w:r>
        <w:t xml:space="preserve"> </w:t>
      </w:r>
      <w:r w:rsidR="20AF544F">
        <w:t>sh</w:t>
      </w:r>
      <w:r w:rsidR="0033407F">
        <w:t>ould</w:t>
      </w:r>
      <w:r w:rsidR="20AF544F">
        <w:t xml:space="preserve"> then </w:t>
      </w:r>
      <w:r>
        <w:t xml:space="preserve">return </w:t>
      </w:r>
      <w:r w:rsidR="000C3A4F">
        <w:t xml:space="preserve">any remaining </w:t>
      </w:r>
      <w:r>
        <w:t xml:space="preserve">accrued interest for SOMAH funds to ratepayers </w:t>
      </w:r>
      <w:r w:rsidR="00EF6F08">
        <w:t xml:space="preserve">via </w:t>
      </w:r>
      <w:r w:rsidR="00850C4C">
        <w:t xml:space="preserve">the </w:t>
      </w:r>
      <w:r w:rsidR="00EF6F08">
        <w:t xml:space="preserve">Climate Credit </w:t>
      </w:r>
      <w:r>
        <w:t xml:space="preserve">upon the disposition of the SOMAH </w:t>
      </w:r>
      <w:r w:rsidR="00303288">
        <w:t>final budget expenditure repor</w:t>
      </w:r>
      <w:r>
        <w:t xml:space="preserve">t Tier 2 </w:t>
      </w:r>
      <w:r w:rsidR="0033407F">
        <w:t>a</w:t>
      </w:r>
      <w:r>
        <w:t xml:space="preserve">dvice </w:t>
      </w:r>
      <w:r w:rsidR="0033407F">
        <w:t>l</w:t>
      </w:r>
      <w:r>
        <w:t xml:space="preserve">etter </w:t>
      </w:r>
      <w:r w:rsidR="00EF6F08">
        <w:t xml:space="preserve">through a future ERRA </w:t>
      </w:r>
      <w:r w:rsidR="3C8A17C8">
        <w:t>f</w:t>
      </w:r>
      <w:r w:rsidR="00EF6F08">
        <w:t xml:space="preserve">orecast </w:t>
      </w:r>
      <w:r w:rsidR="58108318">
        <w:t>a</w:t>
      </w:r>
      <w:r w:rsidR="00EF6F08">
        <w:t>pplication</w:t>
      </w:r>
      <w:r>
        <w:t>.</w:t>
      </w:r>
      <w:bookmarkStart w:name="_Toc8123721" w:id="23"/>
    </w:p>
    <w:p w:rsidR="00603238" w:rsidP="00FA1B4F" w:rsidRDefault="00603238" w14:paraId="10E16683" w14:textId="2B2F774D">
      <w:pPr>
        <w:pStyle w:val="Heading1"/>
      </w:pPr>
      <w:bookmarkStart w:name="_Toc233626477" w:id="24"/>
      <w:r>
        <w:t>Summary of Public Comment</w:t>
      </w:r>
      <w:bookmarkEnd w:id="24"/>
    </w:p>
    <w:p w:rsidRPr="00EF6F08" w:rsidR="00603238" w:rsidP="784CA886" w:rsidRDefault="00603238" w14:paraId="061AD032" w14:textId="5D7340DB">
      <w:pPr>
        <w:rPr>
          <w:rFonts w:ascii="Calibri" w:hAnsi="Calibri"/>
          <w:sz w:val="22"/>
        </w:rPr>
      </w:pPr>
      <w:r>
        <w:t>Rule 1.18 allows any member of the public to submit written comment</w:t>
      </w:r>
      <w:r w:rsidR="00850C4C">
        <w:t>s</w:t>
      </w:r>
      <w:r>
        <w:t xml:space="preserve"> in any Commission proceeding using the “Public Comment” tab of the online Docket Card for that proceeding on the Commission’s website.  Rule 1.18(b) requires that relevant written comment</w:t>
      </w:r>
      <w:r w:rsidR="1C52C96D">
        <w:t>s</w:t>
      </w:r>
      <w:r>
        <w:t xml:space="preserve"> submitted in a proceeding be summarized in the final decision issued in that proceeding.</w:t>
      </w:r>
    </w:p>
    <w:p w:rsidRPr="00603238" w:rsidR="00603238" w:rsidP="00603238" w:rsidRDefault="00EF6F08" w14:paraId="4DB1C649" w14:textId="5018710D">
      <w:pPr>
        <w:pStyle w:val="Standard"/>
      </w:pPr>
      <w:r w:rsidRPr="00EF6F08">
        <w:t xml:space="preserve">No </w:t>
      </w:r>
      <w:r w:rsidRPr="00EF6F08" w:rsidR="00603238">
        <w:t xml:space="preserve">public comments </w:t>
      </w:r>
      <w:r w:rsidRPr="00EF6F08">
        <w:t xml:space="preserve">are </w:t>
      </w:r>
      <w:r w:rsidRPr="00EF6F08" w:rsidR="00603238">
        <w:t>on the Docket Card</w:t>
      </w:r>
      <w:r w:rsidRPr="00EF6F08">
        <w:t xml:space="preserve"> </w:t>
      </w:r>
      <w:r>
        <w:t>for</w:t>
      </w:r>
      <w:r w:rsidRPr="00EF6F08">
        <w:t xml:space="preserve"> this</w:t>
      </w:r>
      <w:r>
        <w:t xml:space="preserve"> proceeding</w:t>
      </w:r>
      <w:r w:rsidR="00603238">
        <w:t>.</w:t>
      </w:r>
    </w:p>
    <w:p w:rsidR="005939A5" w:rsidP="005939A5" w:rsidRDefault="005939A5" w14:paraId="1F629DC7" w14:textId="6DEFE725">
      <w:pPr>
        <w:pStyle w:val="Heading1"/>
      </w:pPr>
      <w:bookmarkStart w:name="_Toc8123723" w:id="25"/>
      <w:bookmarkStart w:name="_Toc233626478" w:id="26"/>
      <w:bookmarkEnd w:id="23"/>
      <w:r>
        <w:t>Comments on Proposed Decision</w:t>
      </w:r>
      <w:bookmarkEnd w:id="25"/>
      <w:bookmarkEnd w:id="26"/>
    </w:p>
    <w:p w:rsidR="005939A5" w:rsidP="005C58FA" w:rsidRDefault="005C58FA" w14:paraId="5EAB2D7F" w14:textId="68975891">
      <w:pPr>
        <w:pStyle w:val="Standard"/>
      </w:pPr>
      <w:r>
        <w:t xml:space="preserve">The proposed decision </w:t>
      </w:r>
      <w:r w:rsidR="000C205A">
        <w:t xml:space="preserve">(PD) </w:t>
      </w:r>
      <w:r>
        <w:t xml:space="preserve">of Commissioner </w:t>
      </w:r>
      <w:r w:rsidR="00EF6F08">
        <w:t>Matthew Baker</w:t>
      </w:r>
      <w:r>
        <w:t xml:space="preserve"> in this matter was mailed to the parties in accordance with Section 311 of the Pub</w:t>
      </w:r>
      <w:r w:rsidR="0FD7CFC6">
        <w:t>.</w:t>
      </w:r>
      <w:r>
        <w:t xml:space="preserve"> Util</w:t>
      </w:r>
      <w:r w:rsidR="6FE85E47">
        <w:t>.</w:t>
      </w:r>
      <w:r>
        <w:t xml:space="preserve"> Code and comments were allowed under Rule 14.3 of the Commission’s Rules of Practice and Procedure. Comments were filed on </w:t>
      </w:r>
      <w:r w:rsidR="00CF5F29">
        <w:t xml:space="preserve">June 16, </w:t>
      </w:r>
      <w:proofErr w:type="gramStart"/>
      <w:r w:rsidR="00CF5F29">
        <w:t>2026</w:t>
      </w:r>
      <w:proofErr w:type="gramEnd"/>
      <w:r w:rsidR="00CF5F29">
        <w:t xml:space="preserve"> by DAC </w:t>
      </w:r>
      <w:r w:rsidR="003710E8">
        <w:t>Energy</w:t>
      </w:r>
      <w:r w:rsidR="00CF5F29">
        <w:t xml:space="preserve"> and on June 17, </w:t>
      </w:r>
      <w:proofErr w:type="gramStart"/>
      <w:r w:rsidR="00CF5F29">
        <w:t>2026</w:t>
      </w:r>
      <w:proofErr w:type="gramEnd"/>
      <w:r w:rsidR="00CF5F29">
        <w:t xml:space="preserve"> by PG&amp;E, SEIA, C</w:t>
      </w:r>
      <w:r w:rsidR="002D7C2C">
        <w:t>AL</w:t>
      </w:r>
      <w:r w:rsidR="00CF5F29">
        <w:t>SSA, CSE, GRID, CBD, CEJA, Clean Coalition, SDG&amp;</w:t>
      </w:r>
      <w:r w:rsidR="00862FE3">
        <w:t>E</w:t>
      </w:r>
      <w:r w:rsidR="00CF5F29">
        <w:t xml:space="preserve">, and </w:t>
      </w:r>
      <w:proofErr w:type="gramStart"/>
      <w:r w:rsidR="00CF5F29">
        <w:t>SCE,</w:t>
      </w:r>
      <w:r>
        <w:t>,</w:t>
      </w:r>
      <w:proofErr w:type="gramEnd"/>
      <w:r>
        <w:t xml:space="preserve"> and reply comments were filed on </w:t>
      </w:r>
      <w:r w:rsidR="00CF5F29">
        <w:t xml:space="preserve">June 22, </w:t>
      </w:r>
      <w:proofErr w:type="gramStart"/>
      <w:r w:rsidR="00CF5F29">
        <w:t>2026</w:t>
      </w:r>
      <w:proofErr w:type="gramEnd"/>
      <w:r w:rsidR="00CF5F29">
        <w:t xml:space="preserve"> </w:t>
      </w:r>
      <w:r>
        <w:t xml:space="preserve">by </w:t>
      </w:r>
      <w:r w:rsidR="00CF5F29">
        <w:t xml:space="preserve">GRID, CSE, SCE, SDG&amp;E, and DAC </w:t>
      </w:r>
      <w:r w:rsidR="003710E8">
        <w:t>Energy</w:t>
      </w:r>
      <w:r w:rsidR="00CF5F29">
        <w:t xml:space="preserve">. Cal Advocates filed reply comments on June 22, </w:t>
      </w:r>
      <w:proofErr w:type="gramStart"/>
      <w:r w:rsidR="00CF5F29">
        <w:t>2026</w:t>
      </w:r>
      <w:proofErr w:type="gramEnd"/>
      <w:r w:rsidR="00CF5F29">
        <w:t xml:space="preserve"> </w:t>
      </w:r>
      <w:proofErr w:type="gramStart"/>
      <w:r w:rsidR="00CF5F29">
        <w:t>in excess of</w:t>
      </w:r>
      <w:proofErr w:type="gramEnd"/>
      <w:r w:rsidR="00CF5F29">
        <w:t xml:space="preserve"> the page limit established by Rule </w:t>
      </w:r>
      <w:r w:rsidR="00F02B09">
        <w:t>1</w:t>
      </w:r>
      <w:r w:rsidR="00CF5F29">
        <w:t xml:space="preserve">4.3(d) and was allowed by a June 23, </w:t>
      </w:r>
      <w:proofErr w:type="gramStart"/>
      <w:r w:rsidR="00CF5F29">
        <w:t>2026</w:t>
      </w:r>
      <w:proofErr w:type="gramEnd"/>
      <w:r w:rsidR="00CF5F29">
        <w:t xml:space="preserve"> email ruling to refile </w:t>
      </w:r>
      <w:r w:rsidR="00F02B09">
        <w:t xml:space="preserve">by June 24, </w:t>
      </w:r>
      <w:proofErr w:type="gramStart"/>
      <w:r w:rsidR="00F02B09">
        <w:t>2026</w:t>
      </w:r>
      <w:proofErr w:type="gramEnd"/>
      <w:r w:rsidR="00F02B09">
        <w:t xml:space="preserve"> </w:t>
      </w:r>
      <w:r w:rsidR="00CF5F29">
        <w:t xml:space="preserve">reply comments </w:t>
      </w:r>
      <w:r w:rsidR="00CF5F29">
        <w:lastRenderedPageBreak/>
        <w:t xml:space="preserve">that conformed to the page limit and that did not introduce new issues and arguments. </w:t>
      </w:r>
      <w:r w:rsidRPr="00D07749" w:rsidR="00CF5F29">
        <w:t xml:space="preserve">Cal Advocates complied with that ruling on June 24, </w:t>
      </w:r>
      <w:proofErr w:type="gramStart"/>
      <w:r w:rsidRPr="00D07749" w:rsidR="00CF5F29">
        <w:t>2026.</w:t>
      </w:r>
      <w:r w:rsidRPr="00D07749">
        <w:t>.</w:t>
      </w:r>
      <w:proofErr w:type="gramEnd"/>
    </w:p>
    <w:p w:rsidR="00CF5F29" w:rsidP="005C58FA" w:rsidRDefault="00CF5F29" w14:paraId="7F85286B" w14:textId="4DA777B4">
      <w:pPr>
        <w:pStyle w:val="Standard"/>
      </w:pPr>
      <w:r>
        <w:t xml:space="preserve">SEIA, DAC </w:t>
      </w:r>
      <w:r w:rsidR="003710E8">
        <w:t>Energy</w:t>
      </w:r>
      <w:r>
        <w:t xml:space="preserve">, GRID, CEJA, CBD, </w:t>
      </w:r>
      <w:r w:rsidR="003D06C6">
        <w:t>C</w:t>
      </w:r>
      <w:r w:rsidR="002D7C2C">
        <w:t>AL</w:t>
      </w:r>
      <w:r w:rsidR="003D06C6">
        <w:t xml:space="preserve">SSA, </w:t>
      </w:r>
      <w:r>
        <w:t xml:space="preserve">and CSE argue that SB 355 requires the Commission to expand the SOMAH program to new </w:t>
      </w:r>
      <w:r w:rsidR="00DA061B">
        <w:t>or</w:t>
      </w:r>
      <w:r>
        <w:t xml:space="preserve"> under-construction affordable multifamily </w:t>
      </w:r>
      <w:r w:rsidR="00D07749">
        <w:t>propertie</w:t>
      </w:r>
      <w:r>
        <w:t>s</w:t>
      </w:r>
      <w:r w:rsidR="00911193">
        <w:t xml:space="preserve"> because it describes property “that is, or will be, operated to provide deed-restricted low-income residential housing”</w:t>
      </w:r>
      <w:r w:rsidR="003710E8">
        <w:t xml:space="preserve"> </w:t>
      </w:r>
      <w:r w:rsidR="00911193">
        <w:t>as eligible for SOMAH.</w:t>
      </w:r>
      <w:r>
        <w:rPr>
          <w:rStyle w:val="FootnoteReference"/>
        </w:rPr>
        <w:footnoteReference w:id="117"/>
      </w:r>
      <w:r w:rsidR="003D06C6">
        <w:t xml:space="preserve"> PG&amp;E, SCE, SDG&amp;E, and Cal Advocates argue that SB 355 does not require the </w:t>
      </w:r>
      <w:r w:rsidR="003710E8">
        <w:t>Commission</w:t>
      </w:r>
      <w:r w:rsidR="003D06C6">
        <w:t xml:space="preserve"> to expand the SOMAH program to new or under-construction affordable multifamily </w:t>
      </w:r>
      <w:r w:rsidR="00D07749">
        <w:t>propertie</w:t>
      </w:r>
      <w:r w:rsidR="003D06C6">
        <w:t>s.</w:t>
      </w:r>
      <w:r w:rsidR="003D06C6">
        <w:rPr>
          <w:rStyle w:val="FootnoteReference"/>
        </w:rPr>
        <w:footnoteReference w:id="118"/>
      </w:r>
      <w:r w:rsidR="00725663">
        <w:t xml:space="preserve"> SDG&amp;E states that the phrase “is, or will be operated to provide deed-restricted low-income residential housing” could refer to existing multifamily properties that </w:t>
      </w:r>
      <w:r w:rsidR="00F02B09">
        <w:t xml:space="preserve">are transitioning </w:t>
      </w:r>
      <w:r w:rsidR="00725663">
        <w:t>to deed-restric</w:t>
      </w:r>
      <w:r w:rsidR="00F02B09">
        <w:t>ted</w:t>
      </w:r>
      <w:r w:rsidR="00725663">
        <w:t xml:space="preserve"> affordable housing status.</w:t>
      </w:r>
      <w:r w:rsidR="00725663">
        <w:rPr>
          <w:rStyle w:val="FootnoteReference"/>
        </w:rPr>
        <w:footnoteReference w:id="119"/>
      </w:r>
    </w:p>
    <w:p w:rsidR="00911193" w:rsidP="008C43DE" w:rsidRDefault="00911193" w14:paraId="79F417CD" w14:textId="521F527D">
      <w:pPr>
        <w:pStyle w:val="Standard"/>
      </w:pPr>
      <w:r>
        <w:t>C</w:t>
      </w:r>
      <w:r w:rsidR="002D7C2C">
        <w:t>AL</w:t>
      </w:r>
      <w:r>
        <w:t>SSA,</w:t>
      </w:r>
      <w:r w:rsidR="00DA061B">
        <w:t xml:space="preserve"> CSE, GRID</w:t>
      </w:r>
      <w:r w:rsidR="000C205A">
        <w:t xml:space="preserve">, and SEIA </w:t>
      </w:r>
      <w:r>
        <w:t>state that expanding SOMAH</w:t>
      </w:r>
      <w:r w:rsidR="00333CFF">
        <w:t xml:space="preserve"> eligibility</w:t>
      </w:r>
      <w:r>
        <w:t xml:space="preserve"> to include new or under-construction affordable multifamily </w:t>
      </w:r>
      <w:r w:rsidR="00D07749">
        <w:t>propertie</w:t>
      </w:r>
      <w:r>
        <w:t>s will address affordability concerns in the state and will not overly burden program administrators.</w:t>
      </w:r>
      <w:r>
        <w:rPr>
          <w:rStyle w:val="FootnoteReference"/>
        </w:rPr>
        <w:footnoteReference w:id="120"/>
      </w:r>
      <w:r w:rsidR="00DA061B">
        <w:t xml:space="preserve"> CEJA and CBD state that expanding SOMAH</w:t>
      </w:r>
      <w:r w:rsidR="00333CFF">
        <w:t xml:space="preserve"> eligibility</w:t>
      </w:r>
      <w:r w:rsidR="00DA061B">
        <w:t xml:space="preserve"> to include new or under-construction affordable multifamily </w:t>
      </w:r>
      <w:r w:rsidR="00D07749">
        <w:t>propertie</w:t>
      </w:r>
      <w:r w:rsidR="00DA061B">
        <w:t>s will improve affordability by helping the program meet targets set by SB 355 to install at least 300 M</w:t>
      </w:r>
      <w:r w:rsidR="008C43DE">
        <w:t>W</w:t>
      </w:r>
      <w:r w:rsidR="00DA061B">
        <w:t xml:space="preserve"> of generating capacity on qualified properties.</w:t>
      </w:r>
      <w:r w:rsidR="00DA061B">
        <w:rPr>
          <w:rStyle w:val="FootnoteReference"/>
        </w:rPr>
        <w:footnoteReference w:id="121"/>
      </w:r>
      <w:r w:rsidR="008C43DE">
        <w:t xml:space="preserve"> SEIA </w:t>
      </w:r>
      <w:r w:rsidR="008C43DE">
        <w:lastRenderedPageBreak/>
        <w:t>states that the Third Triennial Report of the SOMAH program indicates that the program needs to maintain the installation momentum from its first year to meet the 300 MW goal.</w:t>
      </w:r>
      <w:r w:rsidR="008C43DE">
        <w:rPr>
          <w:rStyle w:val="FootnoteReference"/>
        </w:rPr>
        <w:footnoteReference w:id="122"/>
      </w:r>
    </w:p>
    <w:p w:rsidR="006A23ED" w:rsidP="009007BF" w:rsidRDefault="006A23ED" w14:paraId="61204A20" w14:textId="663F8E02">
      <w:pPr>
        <w:pStyle w:val="Standard"/>
      </w:pPr>
      <w:r>
        <w:t>SCE states that expanding SOMAH</w:t>
      </w:r>
      <w:r w:rsidR="00333CFF">
        <w:t xml:space="preserve"> eligibility</w:t>
      </w:r>
      <w:r>
        <w:t xml:space="preserve"> to include new or under-construction properties “would introduce significant administrative complexity, including challenges related to project verification, timing of incentive commitments, and coordination with development financing.”</w:t>
      </w:r>
      <w:r>
        <w:rPr>
          <w:rStyle w:val="FootnoteReference"/>
        </w:rPr>
        <w:footnoteReference w:id="123"/>
      </w:r>
      <w:r w:rsidR="009007BF">
        <w:t xml:space="preserve"> SDG&amp;E states that “</w:t>
      </w:r>
      <w:r w:rsidRPr="009007BF" w:rsidR="009007BF">
        <w:t>SOMAH was specifically designed to retrofit</w:t>
      </w:r>
      <w:r w:rsidR="009007BF">
        <w:t xml:space="preserve"> </w:t>
      </w:r>
      <w:r w:rsidRPr="009007BF" w:rsidR="009007BF">
        <w:t>existing affordable housing to deliver direct bill savings to low-income tenants who otherwise</w:t>
      </w:r>
      <w:r w:rsidR="009007BF">
        <w:t xml:space="preserve"> </w:t>
      </w:r>
      <w:r w:rsidRPr="009007BF" w:rsidR="009007BF">
        <w:t>lack access to solar. Expanding eligibility to new construction or master-meter configurations</w:t>
      </w:r>
      <w:r w:rsidR="009007BF">
        <w:t xml:space="preserve"> </w:t>
      </w:r>
      <w:r w:rsidRPr="009007BF" w:rsidR="009007BF">
        <w:t>would fundamentally depart from this purpose and introduce risks the program was not designed</w:t>
      </w:r>
      <w:r w:rsidR="009007BF">
        <w:t xml:space="preserve"> </w:t>
      </w:r>
      <w:r w:rsidRPr="009007BF" w:rsidR="009007BF">
        <w:t>to manage.</w:t>
      </w:r>
      <w:r w:rsidR="009007BF">
        <w:t>”</w:t>
      </w:r>
      <w:r w:rsidR="009007BF">
        <w:rPr>
          <w:rStyle w:val="FootnoteReference"/>
        </w:rPr>
        <w:footnoteReference w:id="124"/>
      </w:r>
    </w:p>
    <w:p w:rsidR="00333CFF" w:rsidP="009007BF" w:rsidRDefault="00333CFF" w14:paraId="394BCA78" w14:textId="75DA1652">
      <w:pPr>
        <w:pStyle w:val="Standard"/>
      </w:pPr>
      <w:r>
        <w:t>The Commission determines that no new arguments were raised in opening and reply comments to the proposed decision regarding expanding SOMAH eligibility to new and under-construction affordable multifamily properties. The Commission has made no changes to its determination on this issue.</w:t>
      </w:r>
    </w:p>
    <w:p w:rsidR="002A633A" w:rsidP="008C43DE" w:rsidRDefault="002A633A" w14:paraId="7205CABD" w14:textId="33EF5D4C">
      <w:pPr>
        <w:pStyle w:val="Standard"/>
      </w:pPr>
      <w:r>
        <w:t xml:space="preserve">GRID and CSE state that comparing the number of SOMAH-supported installations completed to date with the number of residential solar installations in DACS not incentivized by SOMAH suggests a false </w:t>
      </w:r>
      <w:r w:rsidR="003710E8">
        <w:t>equivalence</w:t>
      </w:r>
      <w:r>
        <w:t xml:space="preserve"> between non-SOMAH residential installations and multifamily property SOMAH-supported installations.</w:t>
      </w:r>
      <w:r>
        <w:rPr>
          <w:rStyle w:val="FootnoteReference"/>
        </w:rPr>
        <w:footnoteReference w:id="125"/>
      </w:r>
    </w:p>
    <w:p w:rsidR="00D07749" w:rsidP="005C58FA" w:rsidRDefault="000C205A" w14:paraId="0000D361" w14:textId="468049F6">
      <w:pPr>
        <w:pStyle w:val="Standard"/>
      </w:pPr>
      <w:r>
        <w:lastRenderedPageBreak/>
        <w:t>C</w:t>
      </w:r>
      <w:r w:rsidR="002D7C2C">
        <w:t>AL</w:t>
      </w:r>
      <w:r>
        <w:t xml:space="preserve">SSA, DAC </w:t>
      </w:r>
      <w:r w:rsidR="003710E8">
        <w:t>Energy</w:t>
      </w:r>
      <w:r>
        <w:t xml:space="preserve">, CEJA, and CBD state that SB 355 requires the Commission to expand SOMAH </w:t>
      </w:r>
      <w:r w:rsidR="00333CFF">
        <w:t xml:space="preserve">eligibility </w:t>
      </w:r>
      <w:r>
        <w:t xml:space="preserve">to include master-metered affordable multifamily </w:t>
      </w:r>
      <w:r w:rsidR="00D07749">
        <w:t>propertie</w:t>
      </w:r>
      <w:r>
        <w:t>s</w:t>
      </w:r>
      <w:r w:rsidR="008725FA">
        <w:t>.</w:t>
      </w:r>
      <w:r>
        <w:rPr>
          <w:rStyle w:val="FootnoteReference"/>
        </w:rPr>
        <w:footnoteReference w:id="126"/>
      </w:r>
      <w:r w:rsidR="00D07749">
        <w:t xml:space="preserve"> </w:t>
      </w:r>
      <w:r w:rsidR="008725FA">
        <w:t xml:space="preserve">GRID states that allowing master-metered affordable multifamily properties to participate in SOMAH would make on-site solar </w:t>
      </w:r>
      <w:r w:rsidR="003710E8">
        <w:t>generation</w:t>
      </w:r>
      <w:r w:rsidR="008725FA">
        <w:t xml:space="preserve"> </w:t>
      </w:r>
      <w:r w:rsidR="00F02B09">
        <w:t>a</w:t>
      </w:r>
      <w:r w:rsidR="008725FA">
        <w:t>vailable to more low-income renters in the state.</w:t>
      </w:r>
      <w:r w:rsidR="008725FA">
        <w:rPr>
          <w:rStyle w:val="FootnoteReference"/>
        </w:rPr>
        <w:footnoteReference w:id="127"/>
      </w:r>
      <w:r w:rsidR="008725FA">
        <w:t xml:space="preserve"> </w:t>
      </w:r>
    </w:p>
    <w:p w:rsidR="009007BF" w:rsidP="005C58FA" w:rsidRDefault="00E9561F" w14:paraId="182484AA" w14:textId="7044044B">
      <w:pPr>
        <w:pStyle w:val="Standard"/>
      </w:pPr>
      <w:r>
        <w:t xml:space="preserve">SCE supports the Commission not expanding SOMAH </w:t>
      </w:r>
      <w:r w:rsidR="00333CFF">
        <w:t xml:space="preserve">eligibility </w:t>
      </w:r>
      <w:r>
        <w:t>to include master-metered properties, stating that “SB 355 authorizes, but does not require, changes to SOMAH eligibility and does not compel inclusion of master-metered properties.”</w:t>
      </w:r>
      <w:r>
        <w:rPr>
          <w:rStyle w:val="FootnoteReference"/>
        </w:rPr>
        <w:footnoteReference w:id="128"/>
      </w:r>
      <w:r>
        <w:t xml:space="preserve"> SCE also states that statu</w:t>
      </w:r>
      <w:r w:rsidR="00A33A63">
        <w:t>t</w:t>
      </w:r>
      <w:r>
        <w:t>e requires SOMAH incentives to be delivered through utility-</w:t>
      </w:r>
      <w:r w:rsidR="005D07D5">
        <w:t>administered</w:t>
      </w:r>
      <w:r>
        <w:t xml:space="preserve"> bill credits to tenants in separately metered units and that master-metered configurations do not satisfy those conditions.</w:t>
      </w:r>
      <w:r>
        <w:rPr>
          <w:rStyle w:val="FootnoteReference"/>
        </w:rPr>
        <w:footnoteReference w:id="129"/>
      </w:r>
    </w:p>
    <w:p w:rsidR="000C205A" w:rsidP="005C58FA" w:rsidRDefault="00D07749" w14:paraId="1BE559D9" w14:textId="608077CD">
      <w:pPr>
        <w:pStyle w:val="Standard"/>
      </w:pPr>
      <w:r>
        <w:t>C</w:t>
      </w:r>
      <w:r w:rsidR="002D7C2C">
        <w:t>AL</w:t>
      </w:r>
      <w:r>
        <w:t xml:space="preserve">SSA </w:t>
      </w:r>
      <w:r w:rsidR="008725FA">
        <w:t xml:space="preserve">and DAC </w:t>
      </w:r>
      <w:r w:rsidR="003710E8">
        <w:t>Energy</w:t>
      </w:r>
      <w:r w:rsidR="008725FA">
        <w:t xml:space="preserve"> </w:t>
      </w:r>
      <w:r>
        <w:t>write that new, under construction, and master-metered affordable multifamily properties should continue to be eligible for the NEM 2.0 tariff.</w:t>
      </w:r>
      <w:r>
        <w:rPr>
          <w:rStyle w:val="FootnoteReference"/>
        </w:rPr>
        <w:footnoteReference w:id="130"/>
      </w:r>
      <w:r>
        <w:t xml:space="preserve"> </w:t>
      </w:r>
    </w:p>
    <w:p w:rsidR="002A633A" w:rsidP="005C58FA" w:rsidRDefault="00686907" w14:paraId="34BEF302" w14:textId="537E0943">
      <w:pPr>
        <w:pStyle w:val="Standard"/>
      </w:pPr>
      <w:r>
        <w:t>PG&amp;E suggest</w:t>
      </w:r>
      <w:r w:rsidR="00F02B09">
        <w:t>s</w:t>
      </w:r>
      <w:r>
        <w:t xml:space="preserve"> allowing the IOUs to file a Tier 2 advice letter to propose using accumulated interest in the SOMAH balancing account to fund administrative tasks if the administrative budget is anticipated to be exhausted before all program closeout tasks are completed.</w:t>
      </w:r>
      <w:r>
        <w:rPr>
          <w:rStyle w:val="FootnoteReference"/>
        </w:rPr>
        <w:footnoteReference w:id="131"/>
      </w:r>
      <w:r>
        <w:t xml:space="preserve"> </w:t>
      </w:r>
      <w:r w:rsidR="006A23ED">
        <w:t xml:space="preserve">SDG&amp;E supports PG&amp;E’s </w:t>
      </w:r>
      <w:r w:rsidR="006A23ED">
        <w:lastRenderedPageBreak/>
        <w:t>proposal.</w:t>
      </w:r>
      <w:r w:rsidR="006A23ED">
        <w:rPr>
          <w:rStyle w:val="FootnoteReference"/>
        </w:rPr>
        <w:footnoteReference w:id="132"/>
      </w:r>
      <w:r w:rsidR="006A23ED">
        <w:t xml:space="preserve"> </w:t>
      </w:r>
      <w:r w:rsidR="002A633A">
        <w:t>Cal Advocates opposes the proposal, stating that “[</w:t>
      </w:r>
      <w:proofErr w:type="spellStart"/>
      <w:r w:rsidR="002A633A">
        <w:t>i</w:t>
      </w:r>
      <w:proofErr w:type="spellEnd"/>
      <w:r w:rsidR="002A633A">
        <w:t>]f the IOUs have a deficit in their SOMAH administration budget, they should request funding through established Commission practices."</w:t>
      </w:r>
      <w:r w:rsidR="002A633A">
        <w:rPr>
          <w:rStyle w:val="FootnoteReference"/>
        </w:rPr>
        <w:footnoteReference w:id="133"/>
      </w:r>
    </w:p>
    <w:p w:rsidR="00686907" w:rsidP="005C58FA" w:rsidRDefault="00686907" w14:paraId="47746366" w14:textId="60DB1085">
      <w:pPr>
        <w:pStyle w:val="Standard"/>
      </w:pPr>
      <w:r>
        <w:t>PG&amp;E also suggests the IOUs be allowed to file a Tier 2 advice letter to extend their administrative spending beyond 2032 for SOMAH close-out tasks.</w:t>
      </w:r>
      <w:r>
        <w:rPr>
          <w:rStyle w:val="FootnoteReference"/>
        </w:rPr>
        <w:footnoteReference w:id="134"/>
      </w:r>
      <w:r w:rsidR="006A23ED">
        <w:t xml:space="preserve"> SDG&amp;E supports PG&amp;E’s proposal.</w:t>
      </w:r>
      <w:r w:rsidR="006A23ED">
        <w:rPr>
          <w:rStyle w:val="FootnoteReference"/>
        </w:rPr>
        <w:footnoteReference w:id="135"/>
      </w:r>
    </w:p>
    <w:p w:rsidR="00735B8F" w:rsidP="005C58FA" w:rsidRDefault="00735B8F" w14:paraId="78388A40" w14:textId="494511B3">
      <w:pPr>
        <w:pStyle w:val="Standard"/>
      </w:pPr>
      <w:r>
        <w:t xml:space="preserve">GRID and CSE suggest that ongoing fleet monitoring by the SOMAH PAs </w:t>
      </w:r>
      <w:r w:rsidR="00F02B09">
        <w:t xml:space="preserve">should </w:t>
      </w:r>
      <w:r>
        <w:t>be included among eligible activities for authorized administrative spending beyond December 31, 2032.</w:t>
      </w:r>
      <w:r>
        <w:rPr>
          <w:rStyle w:val="FootnoteReference"/>
        </w:rPr>
        <w:footnoteReference w:id="136"/>
      </w:r>
      <w:r w:rsidR="002203D7">
        <w:t xml:space="preserve"> SDG&amp;E opposes the proposal, stating that </w:t>
      </w:r>
      <w:r w:rsidR="00F02B09">
        <w:t>using SOMAH funds to monitor solar and storage fleets</w:t>
      </w:r>
      <w:r w:rsidR="002203D7">
        <w:t xml:space="preserve"> represents a new policy recommendation offered in PD comments rather than an error of fact or law and that the responsibility to monitor the ongoing performance of PV and storage systems resides with the system owners, developers, and participating customers.</w:t>
      </w:r>
      <w:r w:rsidR="002203D7">
        <w:rPr>
          <w:rStyle w:val="FootnoteReference"/>
        </w:rPr>
        <w:footnoteReference w:id="137"/>
      </w:r>
    </w:p>
    <w:p w:rsidR="00735B8F" w:rsidP="005C58FA" w:rsidRDefault="00735B8F" w14:paraId="4BBCEE6B" w14:textId="380716CE">
      <w:pPr>
        <w:pStyle w:val="Standard"/>
      </w:pPr>
      <w:r>
        <w:t>CSE</w:t>
      </w:r>
      <w:r w:rsidR="005C60D8">
        <w:t xml:space="preserve"> and GRID</w:t>
      </w:r>
      <w:r>
        <w:t xml:space="preserve"> suggest that the Commission clarify that only Liberty and PacifiCorp are allowed to return a portion of their SOMAH funds to customers via the Climate Credit prior to the conclusion of the SOMAH program.</w:t>
      </w:r>
      <w:r>
        <w:rPr>
          <w:rStyle w:val="FootnoteReference"/>
        </w:rPr>
        <w:footnoteReference w:id="138"/>
      </w:r>
      <w:r w:rsidR="008725FA">
        <w:t xml:space="preserve"> DAC </w:t>
      </w:r>
      <w:r w:rsidR="003710E8">
        <w:t>Energy</w:t>
      </w:r>
      <w:r w:rsidR="008725FA">
        <w:t xml:space="preserve"> writes that the Commission has no threshold definition for “low” or “insufficient” participation in Liberty and PacifiCorp territory to justify the </w:t>
      </w:r>
      <w:r w:rsidR="008725FA">
        <w:lastRenderedPageBreak/>
        <w:t>return of SOMAH funds.</w:t>
      </w:r>
      <w:r w:rsidR="008725FA">
        <w:rPr>
          <w:rStyle w:val="FootnoteReference"/>
        </w:rPr>
        <w:footnoteReference w:id="139"/>
      </w:r>
      <w:r w:rsidR="002A633A">
        <w:t xml:space="preserve"> CSE, CEJA, and CBD state that the Commission should not authorize returning SOMAH funds prematurely.</w:t>
      </w:r>
      <w:r w:rsidR="002A633A">
        <w:rPr>
          <w:rStyle w:val="FootnoteReference"/>
        </w:rPr>
        <w:footnoteReference w:id="140"/>
      </w:r>
    </w:p>
    <w:p w:rsidR="00735B8F" w:rsidP="005C58FA" w:rsidRDefault="00735B8F" w14:paraId="418BECDB" w14:textId="5907F38D">
      <w:pPr>
        <w:pStyle w:val="Standard"/>
      </w:pPr>
      <w:r>
        <w:t xml:space="preserve">SCE states that the Commission should specify that the IOUs are ordered to jointly file a 2026 funding status update </w:t>
      </w:r>
      <w:r w:rsidR="00F02B09">
        <w:t xml:space="preserve">only </w:t>
      </w:r>
      <w:r>
        <w:t>within their January 2027 Joint Semi-annual Administrative Expense Report.</w:t>
      </w:r>
      <w:r>
        <w:rPr>
          <w:rStyle w:val="FootnoteReference"/>
        </w:rPr>
        <w:footnoteReference w:id="141"/>
      </w:r>
      <w:r>
        <w:t xml:space="preserve"> SCE</w:t>
      </w:r>
      <w:r w:rsidR="005C60D8">
        <w:t xml:space="preserve"> and SDG&amp;E</w:t>
      </w:r>
      <w:r>
        <w:t xml:space="preserve"> also request more clarification on the budget categories that IOUs can offset with accrued interest </w:t>
      </w:r>
      <w:r w:rsidR="00F02B09">
        <w:t>earned on</w:t>
      </w:r>
      <w:r>
        <w:t xml:space="preserve"> SOMAH program funds.</w:t>
      </w:r>
      <w:r>
        <w:rPr>
          <w:rStyle w:val="FootnoteReference"/>
        </w:rPr>
        <w:footnoteReference w:id="142"/>
      </w:r>
      <w:r w:rsidR="00DC6F91">
        <w:t xml:space="preserve"> SDG&amp;E states the Commission should allow IOU</w:t>
      </w:r>
      <w:r w:rsidR="00F02B09">
        <w:t>s</w:t>
      </w:r>
      <w:r w:rsidR="00DC6F91">
        <w:t>’ preliminary statements to be updated to reflect the disposition of SOMAH balancing account funds will occur after dis</w:t>
      </w:r>
      <w:r w:rsidR="00317D3A">
        <w:t>pos</w:t>
      </w:r>
      <w:r w:rsidR="00DC6F91">
        <w:t>ition of the Tier 2 SOMAH expenditure report advice letter.</w:t>
      </w:r>
      <w:r w:rsidR="00F02B09">
        <w:rPr>
          <w:rStyle w:val="FootnoteReference"/>
        </w:rPr>
        <w:footnoteReference w:id="143"/>
      </w:r>
    </w:p>
    <w:p w:rsidR="002B6615" w:rsidP="005C58FA" w:rsidRDefault="002B6615" w14:paraId="41E22FB3" w14:textId="601075BA">
      <w:pPr>
        <w:pStyle w:val="Standard"/>
      </w:pPr>
      <w:r>
        <w:t>SDG&amp;E states the Commission should clarify that all unused SOMAH funds, including accrued interest, will be returned to GHG revenue accounts through an ERRA forecast application.</w:t>
      </w:r>
      <w:r w:rsidR="00F02B09">
        <w:rPr>
          <w:rStyle w:val="FootnoteReference"/>
        </w:rPr>
        <w:footnoteReference w:id="144"/>
      </w:r>
    </w:p>
    <w:p w:rsidR="00F83666" w:rsidP="00F83666" w:rsidRDefault="00F83666" w14:paraId="2405504B" w14:textId="7CACD34B">
      <w:pPr>
        <w:pStyle w:val="Standard"/>
      </w:pPr>
      <w:r>
        <w:t xml:space="preserve">SDG&amp;E also states that the Commission should </w:t>
      </w:r>
      <w:r w:rsidRPr="00F83666">
        <w:t xml:space="preserve">ensure </w:t>
      </w:r>
      <w:r>
        <w:t xml:space="preserve">that </w:t>
      </w:r>
      <w:r w:rsidRPr="00F83666">
        <w:t>affected IOUs’ preliminary statements are updated to</w:t>
      </w:r>
      <w:r>
        <w:t xml:space="preserve"> </w:t>
      </w:r>
      <w:r w:rsidRPr="00F83666">
        <w:t>reflect that disposition of SOMAH</w:t>
      </w:r>
      <w:r>
        <w:t xml:space="preserve"> balancing account</w:t>
      </w:r>
      <w:r w:rsidRPr="00F83666">
        <w:t xml:space="preserve"> funds will occur after disposition of the Tier 2 SOMAH</w:t>
      </w:r>
      <w:r>
        <w:t xml:space="preserve"> </w:t>
      </w:r>
      <w:r w:rsidRPr="00F83666">
        <w:t xml:space="preserve">Expenditure Report </w:t>
      </w:r>
      <w:r>
        <w:t>advice letter.</w:t>
      </w:r>
      <w:r w:rsidR="00AB078E">
        <w:rPr>
          <w:rStyle w:val="FootnoteReference"/>
        </w:rPr>
        <w:footnoteReference w:id="145"/>
      </w:r>
    </w:p>
    <w:p w:rsidR="003710E8" w:rsidP="005C58FA" w:rsidRDefault="003710E8" w14:paraId="6F3C2D40" w14:textId="5E2C414F">
      <w:pPr>
        <w:pStyle w:val="Standard"/>
      </w:pPr>
      <w:r w:rsidRPr="003710E8">
        <w:t>Pursuant to Rule 14.3(c), “[c]</w:t>
      </w:r>
      <w:proofErr w:type="spellStart"/>
      <w:r w:rsidRPr="003710E8">
        <w:t>omments</w:t>
      </w:r>
      <w:proofErr w:type="spellEnd"/>
      <w:r w:rsidRPr="003710E8">
        <w:t xml:space="preserve"> shall focus on factual, legal or technical errors in the proposed decision and in citing such errors shall make </w:t>
      </w:r>
      <w:r w:rsidRPr="003710E8">
        <w:lastRenderedPageBreak/>
        <w:t xml:space="preserve">specific references to the record or applicable law. Comments which fail to do so will be accorded no weight.” Pursuant to Rule 14.3(d), replies to comments “shall be limited to identifying misrepresentations of law, fact or condition of the record contained in the comments of other parties.”  </w:t>
      </w:r>
    </w:p>
    <w:p w:rsidR="003710E8" w:rsidP="005C58FA" w:rsidRDefault="003710E8" w14:paraId="5A5BD6C9" w14:textId="1B788CE3">
      <w:pPr>
        <w:pStyle w:val="Standard"/>
      </w:pPr>
      <w:r>
        <w:t>The Commission has</w:t>
      </w:r>
      <w:r w:rsidRPr="003710E8">
        <w:t xml:space="preserve"> carefully reviewed and considered the parties’ comments and made appropriate changes to the proposed decision where warranted. </w:t>
      </w:r>
      <w:r>
        <w:t>The Commission</w:t>
      </w:r>
      <w:r w:rsidRPr="003710E8">
        <w:t xml:space="preserve"> find</w:t>
      </w:r>
      <w:r>
        <w:t>s</w:t>
      </w:r>
      <w:r w:rsidRPr="003710E8">
        <w:t xml:space="preserve"> that all further comments not specifically addressed by revisions to the proposed decision do not raise any factual, legal, or technical errors that would warrant modifications to the proposed decision.</w:t>
      </w:r>
    </w:p>
    <w:p w:rsidR="005939A5" w:rsidP="005939A5" w:rsidRDefault="005939A5" w14:paraId="67FD42C4" w14:textId="77777777">
      <w:pPr>
        <w:pStyle w:val="Heading1"/>
      </w:pPr>
      <w:bookmarkStart w:name="_Toc8123724" w:id="27"/>
      <w:bookmarkStart w:name="_Toc233626479" w:id="28"/>
      <w:r>
        <w:t>Assignment of Proceeding</w:t>
      </w:r>
      <w:bookmarkEnd w:id="27"/>
      <w:bookmarkEnd w:id="28"/>
    </w:p>
    <w:p w:rsidR="005939A5" w:rsidP="006E6574" w:rsidRDefault="00EF6F08" w14:paraId="79F74D0A" w14:textId="231CE464">
      <w:pPr>
        <w:pStyle w:val="Standard"/>
      </w:pPr>
      <w:r>
        <w:t>Matthew Baker</w:t>
      </w:r>
      <w:r w:rsidR="005939A5">
        <w:t xml:space="preserve"> is the assigned Commissioner</w:t>
      </w:r>
      <w:r w:rsidR="00F06BDF">
        <w:t>,</w:t>
      </w:r>
      <w:r w:rsidR="005939A5">
        <w:t xml:space="preserve"> and </w:t>
      </w:r>
      <w:r>
        <w:t>Jack Chang</w:t>
      </w:r>
      <w:r w:rsidR="005939A5">
        <w:t xml:space="preserve"> is the assigned </w:t>
      </w:r>
      <w:r w:rsidR="3D79F1CE">
        <w:t>ALJ</w:t>
      </w:r>
      <w:r w:rsidR="005939A5">
        <w:t xml:space="preserve"> in this proceeding.</w:t>
      </w:r>
    </w:p>
    <w:p w:rsidR="005939A5" w:rsidP="005939A5" w:rsidRDefault="005939A5" w14:paraId="1F5371CB" w14:textId="77777777">
      <w:pPr>
        <w:pStyle w:val="Dummy"/>
      </w:pPr>
      <w:bookmarkStart w:name="_Toc8123725" w:id="29"/>
      <w:bookmarkStart w:name="_Toc233626480" w:id="30"/>
      <w:r>
        <w:t>Findings of Fact</w:t>
      </w:r>
      <w:bookmarkEnd w:id="29"/>
      <w:bookmarkEnd w:id="30"/>
    </w:p>
    <w:p w:rsidR="003906D8" w:rsidP="00657AFA" w:rsidRDefault="003906D8" w14:paraId="4470C44C" w14:textId="35950BBA">
      <w:pPr>
        <w:pStyle w:val="CoL"/>
      </w:pPr>
      <w:r>
        <w:t>The plain language of</w:t>
      </w:r>
      <w:r w:rsidR="009D623A">
        <w:t xml:space="preserve"> Pub. Util. Code Section 2870(f)</w:t>
      </w:r>
      <w:r>
        <w:t xml:space="preserve"> does not require the Commission to expand the SOMAH program to include </w:t>
      </w:r>
      <w:r w:rsidR="00F67428">
        <w:t>newly constructed</w:t>
      </w:r>
      <w:r>
        <w:t xml:space="preserve"> or under</w:t>
      </w:r>
      <w:r w:rsidR="6CB64E2D">
        <w:t>-</w:t>
      </w:r>
      <w:r>
        <w:t xml:space="preserve">construction </w:t>
      </w:r>
      <w:r w:rsidR="0060105D">
        <w:t xml:space="preserve">affordable </w:t>
      </w:r>
      <w:r>
        <w:t>multifamily properties.</w:t>
      </w:r>
    </w:p>
    <w:p w:rsidR="00F3025F" w:rsidP="00657AFA" w:rsidRDefault="00F3025F" w14:paraId="38F95599" w14:textId="0E75EF5C">
      <w:pPr>
        <w:pStyle w:val="CoL"/>
      </w:pPr>
      <w:r>
        <w:t>The Commission has discretion to decide whether to expand the SOMAH program to include newly constructed or under-construction affordable multifamily properties based on various factors, such as affordability, administrative burden, and necessity to meet the program’s goal of installing at least 300 MW on qualified properties by 2032.</w:t>
      </w:r>
    </w:p>
    <w:p w:rsidR="00F3025F" w:rsidP="00F3025F" w:rsidRDefault="00F3025F" w14:paraId="1F1AF95A" w14:textId="7284E08F">
      <w:pPr>
        <w:pStyle w:val="CoL"/>
      </w:pPr>
      <w:r>
        <w:t>Expanding SOMAH incentives to newly constructed or under-construction affordable multifamily properties will be administratively burdensome and add costs to the program.</w:t>
      </w:r>
    </w:p>
    <w:p w:rsidR="00A36EEA" w:rsidP="00F3025F" w:rsidRDefault="00F3025F" w14:paraId="1F01C8BD" w14:textId="17480E1F">
      <w:pPr>
        <w:pStyle w:val="CoL"/>
      </w:pPr>
      <w:r>
        <w:t xml:space="preserve">Resources used to expand SOMAH to newly constructed and under-construction affordable multifamily properties would divert GHG funds that </w:t>
      </w:r>
      <w:r>
        <w:lastRenderedPageBreak/>
        <w:t xml:space="preserve">could </w:t>
      </w:r>
      <w:r w:rsidR="00A36EEA">
        <w:t xml:space="preserve">support </w:t>
      </w:r>
      <w:r w:rsidR="006D5B70">
        <w:t xml:space="preserve">projects at </w:t>
      </w:r>
      <w:r w:rsidR="00A36EEA">
        <w:t>existing eligible property types</w:t>
      </w:r>
      <w:r w:rsidR="00B636F7">
        <w:t xml:space="preserve"> with </w:t>
      </w:r>
      <w:r w:rsidR="006D5B70">
        <w:t xml:space="preserve">more </w:t>
      </w:r>
      <w:r w:rsidR="00B636F7">
        <w:t>transparent bill savings for customers</w:t>
      </w:r>
      <w:r w:rsidR="00A36EEA">
        <w:t>.</w:t>
      </w:r>
    </w:p>
    <w:p w:rsidR="00F3025F" w:rsidP="00F3025F" w:rsidRDefault="00B636F7" w14:paraId="7FA2015D" w14:textId="52BA9926">
      <w:pPr>
        <w:pStyle w:val="CoL"/>
      </w:pPr>
      <w:r>
        <w:t xml:space="preserve">Any </w:t>
      </w:r>
      <w:r w:rsidR="00AF6BF4">
        <w:t xml:space="preserve">unspent </w:t>
      </w:r>
      <w:r>
        <w:t>SOMAH</w:t>
      </w:r>
      <w:r w:rsidR="00F01508">
        <w:t xml:space="preserve"> funds</w:t>
      </w:r>
      <w:r>
        <w:t xml:space="preserve"> would </w:t>
      </w:r>
      <w:r w:rsidR="00F3025F">
        <w:t xml:space="preserve">otherwise be </w:t>
      </w:r>
      <w:r w:rsidR="00AF6BF4">
        <w:t>directed</w:t>
      </w:r>
      <w:r w:rsidR="00F3025F">
        <w:t xml:space="preserve"> to </w:t>
      </w:r>
      <w:r w:rsidR="00950917">
        <w:t xml:space="preserve">direct </w:t>
      </w:r>
      <w:r w:rsidR="00F3025F">
        <w:t>ratepayer bill relief.</w:t>
      </w:r>
    </w:p>
    <w:p w:rsidR="00F3025F" w:rsidP="00F3025F" w:rsidRDefault="00D737DA" w14:paraId="1310CFFD" w14:textId="2F4289D4">
      <w:pPr>
        <w:pStyle w:val="CoL"/>
      </w:pPr>
      <w:r>
        <w:t>Expanding</w:t>
      </w:r>
      <w:r w:rsidR="00F3025F">
        <w:t xml:space="preserve"> SOMAH program eligibility to newly constructed or under-construction affordable multifamily properties </w:t>
      </w:r>
      <w:r w:rsidR="00725AD7">
        <w:t>may crowd out investments in existing property types and limit</w:t>
      </w:r>
      <w:r w:rsidR="00F3025F">
        <w:t xml:space="preserve"> funds that can be returned to customers.</w:t>
      </w:r>
    </w:p>
    <w:p w:rsidR="00F3025F" w:rsidP="00F3025F" w:rsidRDefault="00F3025F" w14:paraId="70776CD9" w14:textId="26AE516D">
      <w:pPr>
        <w:pStyle w:val="CoL"/>
      </w:pPr>
      <w:r>
        <w:t>There has been broad adoption of residential solar in DACs outside of SOMAH and other Commission-coordinated incentive programs.</w:t>
      </w:r>
    </w:p>
    <w:p w:rsidR="003906D8" w:rsidP="00657AFA" w:rsidRDefault="003906D8" w14:paraId="561012F3" w14:textId="254DE93B">
      <w:pPr>
        <w:pStyle w:val="CoL"/>
      </w:pPr>
      <w:r>
        <w:t xml:space="preserve">The plain language of </w:t>
      </w:r>
      <w:r w:rsidR="009D623A">
        <w:t>Pub. Util. Code Section 2870(g)</w:t>
      </w:r>
      <w:r w:rsidR="00850C4C">
        <w:t xml:space="preserve"> </w:t>
      </w:r>
      <w:r>
        <w:t>does not require the Commission to expand the SOMAH program to include master-metered</w:t>
      </w:r>
      <w:r w:rsidR="0060105D">
        <w:t xml:space="preserve"> </w:t>
      </w:r>
      <w:r>
        <w:t xml:space="preserve">affordable </w:t>
      </w:r>
      <w:r w:rsidR="0060105D">
        <w:t xml:space="preserve">multifamily </w:t>
      </w:r>
      <w:r>
        <w:t>properties.</w:t>
      </w:r>
    </w:p>
    <w:p w:rsidR="00F3025F" w:rsidP="00F3025F" w:rsidRDefault="00F3025F" w14:paraId="155DCD78" w14:textId="106CACCE">
      <w:pPr>
        <w:pStyle w:val="CoL"/>
      </w:pPr>
      <w:r>
        <w:t xml:space="preserve">Requiring the PA to develop a methodology or process to ensure owners of master-metered buildings appropriately distribute to </w:t>
      </w:r>
      <w:proofErr w:type="gramStart"/>
      <w:r>
        <w:t>tenants</w:t>
      </w:r>
      <w:proofErr w:type="gramEnd"/>
      <w:r>
        <w:t xml:space="preserve"> bill credits or alternative benefits, such as those listed by HUD, would add a significant administrative burden and cost on the PA. </w:t>
      </w:r>
    </w:p>
    <w:p w:rsidR="00F3025F" w:rsidP="00F3025F" w:rsidRDefault="00F3025F" w14:paraId="092F91DD" w14:textId="767D2168">
      <w:pPr>
        <w:pStyle w:val="CoL"/>
      </w:pPr>
      <w:r>
        <w:t xml:space="preserve">Maintaining the existing </w:t>
      </w:r>
      <w:r w:rsidR="00021C3A">
        <w:t>funding</w:t>
      </w:r>
      <w:r>
        <w:t xml:space="preserve"> true-up process ensures stability for the remaining life of the program, and there is not a compelling reason to move up the 2026 true-up date to disburse SOMAH funds more quickly.</w:t>
      </w:r>
    </w:p>
    <w:p w:rsidR="00F3025F" w:rsidP="00F3025F" w:rsidRDefault="00F3025F" w14:paraId="2342277E" w14:textId="77777777">
      <w:pPr>
        <w:pStyle w:val="CoL"/>
      </w:pPr>
      <w:r>
        <w:t>Additional reporting requirements will help the Commission plan for an orderly wind-down of the SOMAH program.</w:t>
      </w:r>
    </w:p>
    <w:p w:rsidR="00F62B7A" w:rsidP="00657AFA" w:rsidRDefault="00F06BDF" w14:paraId="5F4147A5" w14:textId="3BFA6E2F">
      <w:pPr>
        <w:pStyle w:val="CoL"/>
      </w:pPr>
      <w:r>
        <w:t>Liberty and PacifiCorp have experienced low SOMAH program adoption and currently have large remaining balances of SOMAH funds.</w:t>
      </w:r>
    </w:p>
    <w:p w:rsidR="00F3025F" w:rsidP="00F3025F" w:rsidRDefault="00F3025F" w14:paraId="2CDE3B01" w14:textId="2F7DFE94">
      <w:pPr>
        <w:pStyle w:val="CoL"/>
      </w:pPr>
      <w:r>
        <w:t>Allowing Liberty and PacifiCorp to return their SOMAH funds will benefit their ratepayers and address affordability, in furtherance of the Governor’s Executive Order N-5-24.</w:t>
      </w:r>
    </w:p>
    <w:p w:rsidR="00CB11D4" w:rsidP="002B2903" w:rsidRDefault="003906D8" w14:paraId="07932D73" w14:textId="5D34928C">
      <w:pPr>
        <w:pStyle w:val="CoL"/>
      </w:pPr>
      <w:r>
        <w:lastRenderedPageBreak/>
        <w:t>The SOMAH program has</w:t>
      </w:r>
      <w:r w:rsidR="00DB186B">
        <w:t xml:space="preserve"> accumulated</w:t>
      </w:r>
      <w:r>
        <w:t xml:space="preserve"> more than $100 million in accrued interest across </w:t>
      </w:r>
      <w:r w:rsidR="009D623A">
        <w:t>the five participating utilities.</w:t>
      </w:r>
    </w:p>
    <w:p w:rsidR="005939A5" w:rsidP="005939A5" w:rsidRDefault="005939A5" w14:paraId="73154AEC" w14:textId="4238ABE7">
      <w:pPr>
        <w:pStyle w:val="Dummy"/>
      </w:pPr>
      <w:bookmarkStart w:name="_Toc8123726" w:id="31"/>
      <w:bookmarkStart w:name="_Toc233626481" w:id="32"/>
      <w:r>
        <w:t>Conclusions of Law</w:t>
      </w:r>
      <w:bookmarkEnd w:id="31"/>
      <w:bookmarkEnd w:id="32"/>
    </w:p>
    <w:p w:rsidRPr="004F122B" w:rsidR="004D7630" w:rsidP="004F122B" w:rsidRDefault="00592921" w14:paraId="19A4788A" w14:textId="77777777">
      <w:pPr>
        <w:pStyle w:val="CoL"/>
        <w:numPr>
          <w:ilvl w:val="0"/>
          <w:numId w:val="25"/>
        </w:numPr>
      </w:pPr>
      <w:r w:rsidRPr="004F122B">
        <w:t xml:space="preserve">It is appropriate to begin planning for the wind-down of the SOMAH program ahead of its statutorily mandated end date of December 31, 2032, including the handling of unused funds and accrued interest </w:t>
      </w:r>
      <w:proofErr w:type="gramStart"/>
      <w:r w:rsidRPr="004F122B">
        <w:t>on</w:t>
      </w:r>
      <w:proofErr w:type="gramEnd"/>
      <w:r w:rsidRPr="004F122B">
        <w:t xml:space="preserve"> SOMAH funds.</w:t>
      </w:r>
    </w:p>
    <w:p w:rsidRPr="004F122B" w:rsidR="00657AFA" w:rsidP="004F122B" w:rsidRDefault="001E5C7F" w14:paraId="145B6AAF" w14:textId="08767A0C">
      <w:pPr>
        <w:pStyle w:val="CoL"/>
      </w:pPr>
      <w:r w:rsidRPr="004F122B">
        <w:t>PG&amp;E, SCE, SDG&amp;E, Liberty, and PacifiCorp should</w:t>
      </w:r>
      <w:r w:rsidRPr="004F122B" w:rsidR="00C9694D">
        <w:t xml:space="preserve"> jointly</w:t>
      </w:r>
      <w:r w:rsidRPr="004F122B">
        <w:t xml:space="preserve"> </w:t>
      </w:r>
      <w:r w:rsidRPr="004F122B" w:rsidR="00303288">
        <w:t>provide</w:t>
      </w:r>
      <w:r w:rsidRPr="004F122B">
        <w:t xml:space="preserve"> a </w:t>
      </w:r>
      <w:r w:rsidRPr="004F122B" w:rsidR="00303288">
        <w:t xml:space="preserve">2026 </w:t>
      </w:r>
      <w:r w:rsidRPr="004F122B">
        <w:t xml:space="preserve">funding status </w:t>
      </w:r>
      <w:r w:rsidR="00837963">
        <w:t>update</w:t>
      </w:r>
      <w:r w:rsidRPr="004F122B" w:rsidR="00837963">
        <w:t xml:space="preserve"> </w:t>
      </w:r>
      <w:r w:rsidRPr="004F122B" w:rsidR="00303288">
        <w:t>within their January 2027 Joint Semi-annual Administrative Expense Report as ordered by Ordering Paragraph 3 of D.19-03-015, de</w:t>
      </w:r>
      <w:r w:rsidRPr="004F122B" w:rsidR="00C9694D">
        <w:t>scribing</w:t>
      </w:r>
      <w:r w:rsidRPr="004F122B" w:rsidR="00303288">
        <w:t xml:space="preserve"> </w:t>
      </w:r>
      <w:r w:rsidRPr="004F122B" w:rsidR="00C9694D">
        <w:t>the</w:t>
      </w:r>
      <w:r w:rsidRPr="004F122B" w:rsidR="00303288">
        <w:t xml:space="preserve"> </w:t>
      </w:r>
      <w:r w:rsidRPr="004F122B" w:rsidR="00C9694D">
        <w:t xml:space="preserve">total </w:t>
      </w:r>
      <w:r w:rsidR="00064CDC">
        <w:t xml:space="preserve">in their </w:t>
      </w:r>
      <w:r w:rsidRPr="004F122B" w:rsidR="00303288">
        <w:t>SOMAH balancing account</w:t>
      </w:r>
      <w:r w:rsidRPr="004F122B" w:rsidR="00C9694D">
        <w:t>s</w:t>
      </w:r>
      <w:r w:rsidR="00064CDC">
        <w:t xml:space="preserve"> and </w:t>
      </w:r>
      <w:r w:rsidRPr="004F122B" w:rsidR="00303288">
        <w:t>the</w:t>
      </w:r>
      <w:r w:rsidR="00E913B7">
        <w:t>ir</w:t>
      </w:r>
      <w:r w:rsidRPr="004F122B" w:rsidR="00303288">
        <w:t xml:space="preserve"> total accrued interest and interest rate</w:t>
      </w:r>
      <w:r w:rsidR="00E913B7">
        <w:t>s</w:t>
      </w:r>
      <w:r w:rsidRPr="004F122B" w:rsidR="00303288">
        <w:t xml:space="preserve"> </w:t>
      </w:r>
      <w:r w:rsidR="00DC1352">
        <w:t xml:space="preserve">in the program </w:t>
      </w:r>
      <w:r w:rsidRPr="004F122B" w:rsidR="00303288">
        <w:t>from the six-month period in 2026.</w:t>
      </w:r>
    </w:p>
    <w:p w:rsidR="004D7630" w:rsidP="004F122B" w:rsidRDefault="001E5C7F" w14:paraId="5D62B289" w14:textId="15847D23">
      <w:pPr>
        <w:pStyle w:val="CoL"/>
      </w:pPr>
      <w:r w:rsidRPr="004F122B">
        <w:t xml:space="preserve">PG&amp;E, SCE, SDG&amp;E, Liberty, and PacifiCorp should each file a Tier 2 </w:t>
      </w:r>
      <w:r w:rsidRPr="004F122B" w:rsidR="72631C1C">
        <w:t>a</w:t>
      </w:r>
      <w:r w:rsidRPr="004F122B">
        <w:t xml:space="preserve">dvice </w:t>
      </w:r>
      <w:r w:rsidRPr="004F122B" w:rsidR="70BA150F">
        <w:t>l</w:t>
      </w:r>
      <w:r w:rsidRPr="004F122B">
        <w:t xml:space="preserve">etter </w:t>
      </w:r>
      <w:r w:rsidRPr="004F122B" w:rsidR="00CD23FA">
        <w:t>by December 31, 2033</w:t>
      </w:r>
      <w:r w:rsidRPr="004F122B" w:rsidR="438D4BFE">
        <w:t>,</w:t>
      </w:r>
      <w:r w:rsidRPr="004F122B" w:rsidR="00CD23FA">
        <w:t xml:space="preserve"> </w:t>
      </w:r>
      <w:r w:rsidRPr="004F122B">
        <w:t>providing a final SOMAH</w:t>
      </w:r>
      <w:r w:rsidRPr="004F122B" w:rsidR="00303288">
        <w:t xml:space="preserve"> budget</w:t>
      </w:r>
      <w:r w:rsidRPr="004F122B">
        <w:t xml:space="preserve"> expenditure</w:t>
      </w:r>
      <w:r w:rsidRPr="004F122B" w:rsidR="0060105D">
        <w:t xml:space="preserve"> </w:t>
      </w:r>
      <w:r w:rsidRPr="004F122B">
        <w:t>report.</w:t>
      </w:r>
    </w:p>
    <w:p w:rsidRPr="004F122B" w:rsidR="00064CDC" w:rsidP="002B2903" w:rsidRDefault="00E913B7" w14:paraId="0C386BAF" w14:textId="4434E1B8">
      <w:pPr>
        <w:pStyle w:val="CoL"/>
      </w:pPr>
      <w:r>
        <w:t xml:space="preserve">Energy Division staff should be allowed to </w:t>
      </w:r>
      <w:r w:rsidR="00405F4F">
        <w:t xml:space="preserve">propose modifications to </w:t>
      </w:r>
      <w:r>
        <w:t>the final SOMAH budget expenditure report</w:t>
      </w:r>
      <w:r w:rsidR="00B34419">
        <w:t xml:space="preserve"> content and</w:t>
      </w:r>
      <w:r>
        <w:t xml:space="preserve"> timeline</w:t>
      </w:r>
      <w:r w:rsidR="00B34419">
        <w:t xml:space="preserve"> requirements</w:t>
      </w:r>
      <w:r>
        <w:t xml:space="preserve"> via </w:t>
      </w:r>
      <w:r w:rsidR="006163B8">
        <w:t>r</w:t>
      </w:r>
      <w:r>
        <w:t>esolution in response to regulatory or statutory changes.</w:t>
      </w:r>
    </w:p>
    <w:p w:rsidRPr="004F122B" w:rsidR="00CB11D4" w:rsidP="004F122B" w:rsidRDefault="00CB11D4" w14:paraId="7624664C" w14:textId="3485C146">
      <w:pPr>
        <w:pStyle w:val="CoL"/>
      </w:pPr>
      <w:r w:rsidRPr="004F122B">
        <w:t>Liberty and PacifiCorp should be authorized to propose the return of</w:t>
      </w:r>
      <w:r w:rsidR="00850C4C">
        <w:t>,</w:t>
      </w:r>
      <w:r w:rsidRPr="004F122B">
        <w:t xml:space="preserve"> at a minimum</w:t>
      </w:r>
      <w:r w:rsidR="00850C4C">
        <w:t>,</w:t>
      </w:r>
      <w:r w:rsidRPr="004F122B">
        <w:t xml:space="preserve"> unused SOMAH funds collected in 2025 and the first half of 2026 to customers via the Residential and Small Business Climate Credit as part of their 2027 ECAC application. </w:t>
      </w:r>
    </w:p>
    <w:p w:rsidR="00CB11D4" w:rsidP="00EE5166" w:rsidRDefault="00EE5166" w14:paraId="70689E80" w14:textId="112D90B7">
      <w:pPr>
        <w:pStyle w:val="CoL"/>
      </w:pPr>
      <w:r w:rsidRPr="004F122B">
        <w:t>Liberty Utilities LLC and PacifiCorp are authorized to propose the return of SOMAH funds collected prior to 2025</w:t>
      </w:r>
      <w:r>
        <w:t xml:space="preserve"> up to $0.</w:t>
      </w:r>
      <w:r w:rsidR="000848F3">
        <w:t>38</w:t>
      </w:r>
      <w:r>
        <w:t xml:space="preserve"> million and $1.84 million</w:t>
      </w:r>
      <w:r w:rsidR="00202ADF">
        <w:t xml:space="preserve"> each year</w:t>
      </w:r>
      <w:r>
        <w:t>, for Liberty</w:t>
      </w:r>
      <w:r w:rsidR="00DF2E10">
        <w:t xml:space="preserve"> Utilities LLC</w:t>
      </w:r>
      <w:r>
        <w:t xml:space="preserve"> and PacifiCorp respectively, in their 2028 </w:t>
      </w:r>
      <w:r w:rsidR="009770DE">
        <w:t>ECAC</w:t>
      </w:r>
      <w:r>
        <w:t xml:space="preserve"> applications and </w:t>
      </w:r>
      <w:r w:rsidRPr="004F122B">
        <w:t xml:space="preserve">in </w:t>
      </w:r>
      <w:r>
        <w:t xml:space="preserve">subsequent year </w:t>
      </w:r>
      <w:r w:rsidRPr="004F122B">
        <w:t>applications.</w:t>
      </w:r>
      <w:r>
        <w:t xml:space="preserve"> </w:t>
      </w:r>
    </w:p>
    <w:p w:rsidRPr="004F122B" w:rsidR="00363A53" w:rsidP="00363A53" w:rsidRDefault="00363A53" w14:paraId="4A8E75AE" w14:textId="39E1892E">
      <w:pPr>
        <w:pStyle w:val="CoL"/>
      </w:pPr>
      <w:r>
        <w:lastRenderedPageBreak/>
        <w:t>Liberty and PacifiCorp should record the return of SOMAH funds under line 14 of Template D-1: Annual Allowance Revenue Receipts and Customer Returns (In $000) when submitting their GHG Revenue and Reconciliation Application.</w:t>
      </w:r>
    </w:p>
    <w:p w:rsidRPr="004F122B" w:rsidR="001E5C7F" w:rsidP="004F122B" w:rsidRDefault="001E5C7F" w14:paraId="0AD40F54" w14:textId="07A05FF8">
      <w:pPr>
        <w:pStyle w:val="CoL"/>
      </w:pPr>
      <w:r>
        <w:t xml:space="preserve">The SOMAH </w:t>
      </w:r>
      <w:r w:rsidR="1DE92126">
        <w:t>PA</w:t>
      </w:r>
      <w:r>
        <w:t xml:space="preserve"> </w:t>
      </w:r>
      <w:r w:rsidR="00F43C37">
        <w:t xml:space="preserve">and the IOUs </w:t>
      </w:r>
      <w:r>
        <w:t xml:space="preserve">should be allowed to request permission </w:t>
      </w:r>
      <w:r w:rsidR="009770DE">
        <w:t xml:space="preserve">via Tier 2 Advice Letter </w:t>
      </w:r>
      <w:r>
        <w:t xml:space="preserve">from </w:t>
      </w:r>
      <w:r w:rsidR="00DC1352">
        <w:t>the director of Energy Division</w:t>
      </w:r>
      <w:r>
        <w:t xml:space="preserve"> to extend its SOMAH administrative spending beyond 2032</w:t>
      </w:r>
      <w:r w:rsidR="34A898E2">
        <w:t>,</w:t>
      </w:r>
      <w:r>
        <w:t xml:space="preserve"> exclusively for program close-out tasks, application processing, and utility support in reviewing final incentive requests in alignment with the utilities’ work.</w:t>
      </w:r>
    </w:p>
    <w:p w:rsidRPr="004F122B" w:rsidR="00592921" w:rsidP="004F122B" w:rsidRDefault="00592921" w14:paraId="3C30A65A" w14:textId="0185B9FB">
      <w:pPr>
        <w:pStyle w:val="CoL"/>
      </w:pPr>
      <w:r w:rsidRPr="004F122B">
        <w:t>The SOMAH PA should complete close-out tasks</w:t>
      </w:r>
      <w:r w:rsidR="005A676B">
        <w:t xml:space="preserve">, </w:t>
      </w:r>
      <w:r w:rsidRPr="004F122B">
        <w:t>such as application processing and utility support in reviewing final incentive requests</w:t>
      </w:r>
      <w:r w:rsidR="005A676B">
        <w:t>, by the filing of the SOMAH final budget expenditure report Tier 2 advice letters ordered in this decision</w:t>
      </w:r>
      <w:r w:rsidRPr="004F122B">
        <w:t>.</w:t>
      </w:r>
    </w:p>
    <w:p w:rsidRPr="004F122B" w:rsidR="001E5C7F" w:rsidP="004F122B" w:rsidRDefault="001E5C7F" w14:paraId="435CA377" w14:textId="1A208277">
      <w:pPr>
        <w:pStyle w:val="CoL"/>
      </w:pPr>
      <w:r w:rsidRPr="004F122B">
        <w:t>PG&amp;E, SCE, SDG&amp;E, Liberty, and PacifiCorp should first use accrued interest in SOMAH program funds to offset 2026 SOMAH budget allocations and</w:t>
      </w:r>
      <w:r w:rsidRPr="004F122B" w:rsidR="00CD23FA">
        <w:t>,</w:t>
      </w:r>
      <w:r w:rsidRPr="004F122B">
        <w:t xml:space="preserve"> upon the disposition of the IOUs’ Tier 2 final </w:t>
      </w:r>
      <w:r w:rsidRPr="004F122B" w:rsidR="00303288">
        <w:t xml:space="preserve">budget expenditure </w:t>
      </w:r>
      <w:r w:rsidRPr="004F122B">
        <w:t>report</w:t>
      </w:r>
      <w:r w:rsidRPr="004F122B" w:rsidR="00CD23FA">
        <w:t>,</w:t>
      </w:r>
      <w:r w:rsidRPr="004F122B">
        <w:t xml:space="preserve"> return the remaining accrued interest to </w:t>
      </w:r>
      <w:r w:rsidRPr="004F122B" w:rsidR="0060105D">
        <w:t xml:space="preserve">the utilities’ </w:t>
      </w:r>
      <w:r w:rsidRPr="004F122B" w:rsidR="536BA112">
        <w:t>GHG</w:t>
      </w:r>
      <w:r w:rsidRPr="004F122B" w:rsidR="0060105D">
        <w:t xml:space="preserve"> revenue accounts.</w:t>
      </w:r>
    </w:p>
    <w:p w:rsidRPr="004F122B" w:rsidR="001E5C7F" w:rsidP="004F122B" w:rsidRDefault="001E5C7F" w14:paraId="693D7BC9" w14:textId="1FEEE3A6">
      <w:pPr>
        <w:pStyle w:val="CoL"/>
      </w:pPr>
      <w:r w:rsidRPr="004F122B">
        <w:t xml:space="preserve">PG&amp;E, SCE, SDG&amp;E, Liberty, and PacifiCorp should return unused accrued interest from SOMAH funds to their </w:t>
      </w:r>
      <w:r w:rsidRPr="004F122B" w:rsidR="22700F3B">
        <w:t>GHG</w:t>
      </w:r>
      <w:r w:rsidRPr="004F122B" w:rsidR="0060105D">
        <w:t xml:space="preserve"> revenue accounts</w:t>
      </w:r>
      <w:r w:rsidRPr="004F122B" w:rsidR="00CD23FA">
        <w:t xml:space="preserve"> at the conclusion of the SOMAH program.</w:t>
      </w:r>
    </w:p>
    <w:p w:rsidR="00BB0243" w:rsidP="000A6E05" w:rsidRDefault="005939A5" w14:paraId="13489B86" w14:textId="77777777">
      <w:pPr>
        <w:pStyle w:val="Mainex"/>
      </w:pPr>
      <w:bookmarkStart w:name="_Toc233626482" w:id="33"/>
      <w:r>
        <w:t>O</w:t>
      </w:r>
      <w:r w:rsidR="00722850">
        <w:t>RDER</w:t>
      </w:r>
      <w:bookmarkEnd w:id="33"/>
    </w:p>
    <w:p w:rsidR="00BB0243" w:rsidP="000A6E05" w:rsidRDefault="00BB0243" w14:paraId="63832444" w14:textId="77777777">
      <w:pPr>
        <w:keepNext/>
      </w:pPr>
      <w:r w:rsidRPr="00BB0243">
        <w:rPr>
          <w:b/>
        </w:rPr>
        <w:t>IT IS ORDERED</w:t>
      </w:r>
      <w:r>
        <w:t xml:space="preserve"> that:</w:t>
      </w:r>
    </w:p>
    <w:p w:rsidRPr="004F122B" w:rsidR="00C620F9" w:rsidP="004F122B" w:rsidRDefault="00C620F9" w14:paraId="11F97FF4" w14:textId="5A06C0EA">
      <w:pPr>
        <w:pStyle w:val="OP"/>
      </w:pPr>
      <w:r w:rsidRPr="004F122B">
        <w:t xml:space="preserve">Pacific Gas and Electric Company, Southern California Edison Company, San Diego Gas &amp; Electric Company, Liberty Utilities LLC, and PacifiCorp </w:t>
      </w:r>
      <w:r w:rsidR="00850C4C">
        <w:t xml:space="preserve">(together, IOUs) </w:t>
      </w:r>
      <w:r w:rsidRPr="004F122B">
        <w:t>are required to</w:t>
      </w:r>
      <w:r w:rsidRPr="004F122B" w:rsidR="001E5C7F">
        <w:t xml:space="preserve"> </w:t>
      </w:r>
      <w:r w:rsidRPr="004F122B" w:rsidR="00C9694D">
        <w:t xml:space="preserve">jointly </w:t>
      </w:r>
      <w:r w:rsidRPr="004F122B">
        <w:t xml:space="preserve">file </w:t>
      </w:r>
      <w:r w:rsidRPr="004F122B" w:rsidR="00CB11D4">
        <w:t>a</w:t>
      </w:r>
      <w:r w:rsidR="00F43C37">
        <w:t xml:space="preserve"> one-time</w:t>
      </w:r>
      <w:r w:rsidRPr="004F122B" w:rsidR="00CB11D4">
        <w:t xml:space="preserve"> 2026 funding status </w:t>
      </w:r>
      <w:r w:rsidRPr="004F122B" w:rsidR="00303288">
        <w:t>update</w:t>
      </w:r>
      <w:r w:rsidRPr="004F122B" w:rsidR="00CB11D4">
        <w:t xml:space="preserve"> within their January 2027 Joint Semi-annual Administrative Expense Report </w:t>
      </w:r>
      <w:r w:rsidRPr="004F122B" w:rsidR="00CB11D4">
        <w:lastRenderedPageBreak/>
        <w:t xml:space="preserve">detailing </w:t>
      </w:r>
      <w:r w:rsidRPr="004F122B" w:rsidR="6BD27FF7">
        <w:t xml:space="preserve">(1) </w:t>
      </w:r>
      <w:r w:rsidRPr="004F122B" w:rsidR="00C9694D">
        <w:t>the</w:t>
      </w:r>
      <w:r w:rsidRPr="004F122B">
        <w:t xml:space="preserve"> </w:t>
      </w:r>
      <w:r w:rsidRPr="004F122B" w:rsidR="00C9694D">
        <w:t>total</w:t>
      </w:r>
      <w:r w:rsidRPr="004F122B">
        <w:t xml:space="preserve"> </w:t>
      </w:r>
      <w:r w:rsidR="00D04595">
        <w:t xml:space="preserve">amount in the IOUs’ </w:t>
      </w:r>
      <w:r w:rsidRPr="004F122B">
        <w:t>Solar on Multifamily Affordable Housing balancing account</w:t>
      </w:r>
      <w:r w:rsidR="00E913B7">
        <w:t>s</w:t>
      </w:r>
      <w:r w:rsidRPr="004F122B">
        <w:t>, including principal and accrued interest</w:t>
      </w:r>
      <w:r w:rsidRPr="004F122B" w:rsidR="2C4A7D59">
        <w:t>,</w:t>
      </w:r>
      <w:r w:rsidRPr="004F122B">
        <w:t xml:space="preserve"> and </w:t>
      </w:r>
      <w:r w:rsidRPr="004F122B" w:rsidR="1649D8C2">
        <w:t xml:space="preserve">(2) </w:t>
      </w:r>
      <w:r w:rsidRPr="004F122B">
        <w:t>the interest rate</w:t>
      </w:r>
      <w:r w:rsidR="00E913B7">
        <w:t>s</w:t>
      </w:r>
      <w:r w:rsidRPr="004F122B">
        <w:t xml:space="preserve"> from the six-month period</w:t>
      </w:r>
      <w:r w:rsidRPr="004F122B" w:rsidR="00303288">
        <w:t xml:space="preserve"> in 2026</w:t>
      </w:r>
      <w:r w:rsidRPr="004F122B">
        <w:t xml:space="preserve"> included in </w:t>
      </w:r>
      <w:r w:rsidR="00E913B7">
        <w:t xml:space="preserve">the Joint </w:t>
      </w:r>
      <w:r w:rsidR="00D04595">
        <w:t xml:space="preserve">IOUs </w:t>
      </w:r>
      <w:r w:rsidRPr="004F122B">
        <w:t>Semi-Annual Expense Report</w:t>
      </w:r>
      <w:r w:rsidR="00D04595">
        <w:t>,</w:t>
      </w:r>
      <w:r w:rsidRPr="004F122B">
        <w:t xml:space="preserve"> </w:t>
      </w:r>
      <w:r w:rsidR="00D04595">
        <w:t xml:space="preserve">as </w:t>
      </w:r>
      <w:r w:rsidRPr="004F122B">
        <w:t>already required by Decision 19-09-015.</w:t>
      </w:r>
    </w:p>
    <w:p w:rsidR="0004600E" w:rsidP="004F122B" w:rsidRDefault="00C620F9" w14:paraId="29B9165B" w14:textId="283153FA">
      <w:pPr>
        <w:pStyle w:val="OP"/>
      </w:pPr>
      <w:r w:rsidRPr="004F122B">
        <w:t>Pacific Gas and Electric Company, Southern California Edison Company, San Diego Gas &amp; Electric Company, Liberty Utilities LLC</w:t>
      </w:r>
      <w:r w:rsidR="00850C4C">
        <w:t xml:space="preserve"> </w:t>
      </w:r>
      <w:r w:rsidRPr="004F122B">
        <w:t xml:space="preserve">, and PacifiCorp are each directed to file as a Tier 2 </w:t>
      </w:r>
      <w:r w:rsidRPr="004F122B" w:rsidR="68B275F2">
        <w:t>a</w:t>
      </w:r>
      <w:r w:rsidRPr="004F122B">
        <w:t xml:space="preserve">dvice </w:t>
      </w:r>
      <w:r w:rsidRPr="004F122B" w:rsidR="09416255">
        <w:t>l</w:t>
      </w:r>
      <w:r w:rsidRPr="004F122B">
        <w:t xml:space="preserve">etter a final Solar on Multifamily Affordable Housing </w:t>
      </w:r>
      <w:r w:rsidRPr="004F122B" w:rsidR="01825014">
        <w:t xml:space="preserve">(SOMAH) </w:t>
      </w:r>
      <w:r w:rsidRPr="004F122B" w:rsidR="006725C0">
        <w:t xml:space="preserve">budget </w:t>
      </w:r>
      <w:r w:rsidRPr="004F122B">
        <w:t>expenditure report by December 31, 2033</w:t>
      </w:r>
      <w:r w:rsidRPr="004F122B" w:rsidR="6B044D4B">
        <w:t>,</w:t>
      </w:r>
      <w:r w:rsidRPr="004F122B">
        <w:t xml:space="preserve"> </w:t>
      </w:r>
      <w:r w:rsidR="00850C4C">
        <w:t xml:space="preserve">which </w:t>
      </w:r>
      <w:r w:rsidRPr="004F122B">
        <w:t>includ</w:t>
      </w:r>
      <w:r w:rsidR="00850C4C">
        <w:t>es</w:t>
      </w:r>
      <w:r w:rsidRPr="004F122B">
        <w:t xml:space="preserve"> </w:t>
      </w:r>
      <w:r w:rsidRPr="004F122B" w:rsidR="006725C0">
        <w:t>data from their Joint Semi-annual Administrative Expense Report and the SOMAH Program Administrator’s Semi-Annual Expense Reports</w:t>
      </w:r>
      <w:r w:rsidR="00850C4C">
        <w:t xml:space="preserve">. </w:t>
      </w:r>
      <w:r w:rsidR="00E913B7">
        <w:t xml:space="preserve"> Energy Division staff may modify the final SOMAH budget expenditure report timeline </w:t>
      </w:r>
      <w:r w:rsidR="006163B8">
        <w:t xml:space="preserve">and content requirements </w:t>
      </w:r>
      <w:r w:rsidR="00E913B7">
        <w:t xml:space="preserve">via </w:t>
      </w:r>
      <w:r w:rsidR="006163B8">
        <w:t>r</w:t>
      </w:r>
      <w:r w:rsidR="00E913B7">
        <w:t>esolution in response to regulatory or statutory changes.</w:t>
      </w:r>
    </w:p>
    <w:p w:rsidRPr="004F122B" w:rsidR="00F83666" w:rsidP="004F122B" w:rsidRDefault="00F83666" w14:paraId="69ADC4C9" w14:textId="7A98457F">
      <w:pPr>
        <w:pStyle w:val="OP"/>
      </w:pPr>
      <w:r w:rsidRPr="00F83666">
        <w:t xml:space="preserve">Pacific Gas and Electric Company, Southern California Edison Company, San Diego Gas &amp; Electric Company, Liberty Utilities LLC, and PacifiCorp are directed to close their respective Solar on Multifamily Affordable Housing (SOMAH) </w:t>
      </w:r>
      <w:r w:rsidR="00887200">
        <w:t>b</w:t>
      </w:r>
      <w:r w:rsidRPr="00F83666">
        <w:t xml:space="preserve">alancing </w:t>
      </w:r>
      <w:r w:rsidR="00887200">
        <w:t>a</w:t>
      </w:r>
      <w:r w:rsidRPr="00F83666">
        <w:t xml:space="preserve">ccounts (BAs) upon approval of the Tier 2 final SOMAH budget expenditure report advice letters and after all unspent funds and accrued interest have been transferred to the greenhouse gas revenue accounts. Each utility shall submit a Tier 1 Advice Letter to formally close the SOMAH </w:t>
      </w:r>
      <w:r w:rsidR="00862FE3">
        <w:t>BA</w:t>
      </w:r>
      <w:r w:rsidRPr="00F83666">
        <w:t>s and remove the associated preliminary statement from its tariffs.</w:t>
      </w:r>
    </w:p>
    <w:p w:rsidRPr="004F122B" w:rsidR="006725C0" w:rsidP="004F122B" w:rsidRDefault="00C620F9" w14:paraId="4B2D739A" w14:textId="5D00CD13">
      <w:pPr>
        <w:pStyle w:val="OP"/>
      </w:pPr>
      <w:r w:rsidRPr="004F122B">
        <w:t xml:space="preserve">Liberty Utilities LLC and PacifiCorp </w:t>
      </w:r>
      <w:r w:rsidRPr="004F122B" w:rsidR="006725C0">
        <w:t>are authorized to propose the return of</w:t>
      </w:r>
      <w:r w:rsidR="00850C4C">
        <w:t>,</w:t>
      </w:r>
      <w:r w:rsidRPr="004F122B" w:rsidR="006725C0">
        <w:t xml:space="preserve"> at a minimum</w:t>
      </w:r>
      <w:r w:rsidR="00850C4C">
        <w:t>,</w:t>
      </w:r>
      <w:r w:rsidRPr="004F122B" w:rsidR="006725C0">
        <w:t xml:space="preserve"> unused Solar on Multifamily Affordable Housing (SOMAH) funds collected in 2025 and the first half of 2026 to customers via the Residential and Small Business Climate Credit as part of their 2027 Energy Cost Adjustment Clause application</w:t>
      </w:r>
      <w:r w:rsidR="00850C4C">
        <w:t>s</w:t>
      </w:r>
      <w:r w:rsidRPr="004F122B" w:rsidR="006725C0">
        <w:t>.</w:t>
      </w:r>
    </w:p>
    <w:p w:rsidRPr="004F122B" w:rsidR="00363A53" w:rsidP="00363A53" w:rsidRDefault="00980CBF" w14:paraId="144FC3F2" w14:textId="1C156E63">
      <w:pPr>
        <w:pStyle w:val="OP"/>
      </w:pPr>
      <w:r w:rsidRPr="004F122B">
        <w:lastRenderedPageBreak/>
        <w:t>Liberty Utilities LLC and PacifiCorp are authorized to propose the return of Solar on Multifamily Affordable Housing (SOMAH) funds collected prior to 2025</w:t>
      </w:r>
      <w:r>
        <w:t xml:space="preserve"> up to $0.</w:t>
      </w:r>
      <w:r w:rsidR="000848F3">
        <w:t>38</w:t>
      </w:r>
      <w:r>
        <w:t xml:space="preserve"> million and $1.84 million each year, for Liberty Utilities LLC and PacifiCorp respectively, in their 2028 </w:t>
      </w:r>
      <w:r w:rsidRPr="004F122B">
        <w:t>Energy Cost Adjustment Clause</w:t>
      </w:r>
      <w:r>
        <w:t xml:space="preserve"> applications and </w:t>
      </w:r>
      <w:r w:rsidRPr="004F122B">
        <w:t xml:space="preserve">in </w:t>
      </w:r>
      <w:r>
        <w:t xml:space="preserve">subsequent year </w:t>
      </w:r>
      <w:r w:rsidRPr="004F122B">
        <w:t>applications.</w:t>
      </w:r>
      <w:r w:rsidR="009C7A8D">
        <w:t xml:space="preserve"> </w:t>
      </w:r>
      <w:r w:rsidR="00363A53">
        <w:t xml:space="preserve">Liberty </w:t>
      </w:r>
      <w:r w:rsidR="00850C4C">
        <w:t xml:space="preserve">Utilities LLC </w:t>
      </w:r>
      <w:r w:rsidR="00363A53">
        <w:t>and PacifiCorp are directed to record the return of S</w:t>
      </w:r>
      <w:r w:rsidR="00850C4C">
        <w:t xml:space="preserve">olar on </w:t>
      </w:r>
      <w:r w:rsidR="00363A53">
        <w:t>M</w:t>
      </w:r>
      <w:r w:rsidR="00850C4C">
        <w:t xml:space="preserve">ultifamily </w:t>
      </w:r>
      <w:r w:rsidR="00363A53">
        <w:t>A</w:t>
      </w:r>
      <w:r w:rsidR="00850C4C">
        <w:t xml:space="preserve">ffordable </w:t>
      </w:r>
      <w:r w:rsidR="00363A53">
        <w:t>H</w:t>
      </w:r>
      <w:r w:rsidR="00850C4C">
        <w:t>ousing</w:t>
      </w:r>
      <w:r w:rsidR="00363A53">
        <w:t xml:space="preserve"> funds under line 14 of Template D-1: Annual Allowance Revenue Receipts and Customer Returns (In $000) when </w:t>
      </w:r>
      <w:r w:rsidR="00850C4C">
        <w:t>filing</w:t>
      </w:r>
      <w:r w:rsidR="00363A53">
        <w:t xml:space="preserve"> their G</w:t>
      </w:r>
      <w:r w:rsidR="00850C4C">
        <w:t xml:space="preserve">reenhouse </w:t>
      </w:r>
      <w:r w:rsidR="00363A53">
        <w:t>G</w:t>
      </w:r>
      <w:r w:rsidR="00850C4C">
        <w:t>as</w:t>
      </w:r>
      <w:r w:rsidR="00363A53">
        <w:t xml:space="preserve"> Revenue and Reconciliation </w:t>
      </w:r>
      <w:r w:rsidR="00850C4C">
        <w:t>a</w:t>
      </w:r>
      <w:r w:rsidR="00363A53">
        <w:t>pplication</w:t>
      </w:r>
      <w:r w:rsidR="00850C4C">
        <w:t>s</w:t>
      </w:r>
      <w:r w:rsidR="00363A53">
        <w:t>.</w:t>
      </w:r>
    </w:p>
    <w:p w:rsidRPr="004F122B" w:rsidR="006352A4" w:rsidP="004F122B" w:rsidRDefault="006352A4" w14:paraId="5B045423" w14:textId="4D7C5B93">
      <w:pPr>
        <w:pStyle w:val="OP"/>
      </w:pPr>
      <w:r w:rsidRPr="004F122B">
        <w:t>Pacific Gas and Electric Company, Southern California Edison Company, San Diego Gas &amp; Electric Company, Liberty Utilities LLC, and PacifiCorp are ordered to return unused Solar on Multifamily Affordable Housing (SOMAH) program funds</w:t>
      </w:r>
      <w:r w:rsidR="006A4DC2">
        <w:t>, including accrued interest,</w:t>
      </w:r>
      <w:r w:rsidRPr="004F122B">
        <w:t xml:space="preserve"> to their greenhouse gas revenue accounts after the Commission’s disposition of the final SOMAH </w:t>
      </w:r>
      <w:r w:rsidRPr="004F122B" w:rsidR="00303288">
        <w:t xml:space="preserve">budget expenditure </w:t>
      </w:r>
      <w:r w:rsidRPr="004F122B">
        <w:t xml:space="preserve">report Tier 2 </w:t>
      </w:r>
      <w:r w:rsidRPr="004F122B" w:rsidR="23FF1941">
        <w:t>a</w:t>
      </w:r>
      <w:r w:rsidRPr="004F122B">
        <w:t xml:space="preserve">dvice </w:t>
      </w:r>
      <w:r w:rsidRPr="004F122B" w:rsidR="70CA31D9">
        <w:t>l</w:t>
      </w:r>
      <w:r w:rsidRPr="004F122B">
        <w:t>etter</w:t>
      </w:r>
      <w:r w:rsidR="00872186">
        <w:t>s</w:t>
      </w:r>
      <w:r w:rsidRPr="004F122B">
        <w:t xml:space="preserve"> ordered in this decision</w:t>
      </w:r>
      <w:r w:rsidR="00A13A86">
        <w:t xml:space="preserve"> or as directed by the Legislature or Energy Division</w:t>
      </w:r>
      <w:r w:rsidRPr="004F122B">
        <w:t>.</w:t>
      </w:r>
      <w:r w:rsidR="006A4DC2">
        <w:t xml:space="preserve"> Prior to returning to customers through the Climate Credit, the unspent funds and accrued interest transferred into the greenhouse gas revenue accounts must be included in a future ERRA Forecast Application.</w:t>
      </w:r>
    </w:p>
    <w:p w:rsidR="006352A4" w:rsidP="004F122B" w:rsidRDefault="006352A4" w14:paraId="59B67530" w14:textId="2571C512">
      <w:pPr>
        <w:pStyle w:val="OP"/>
      </w:pPr>
      <w:r w:rsidRPr="004F122B">
        <w:t xml:space="preserve">The Commission allows the Solar on Multifamily Affordable Housing (SOMAH) program administrator to request permission </w:t>
      </w:r>
      <w:r w:rsidR="009770DE">
        <w:t xml:space="preserve">via Tier 2 Advice Letter </w:t>
      </w:r>
      <w:r w:rsidRPr="004F122B">
        <w:t>from</w:t>
      </w:r>
      <w:r w:rsidR="00DC1352">
        <w:t xml:space="preserve"> the director of Energy Division</w:t>
      </w:r>
      <w:r w:rsidRPr="004F122B">
        <w:t xml:space="preserve"> to extend SOMAH administrative spending beyond 2032 exclusively for program close-out tasks, application processing, and utility support in reviewing final incentive requests in alignment with the utilities’ work, with all such tasks concluded by the filing of the SOMAH final </w:t>
      </w:r>
      <w:r w:rsidRPr="004F122B" w:rsidR="00303288">
        <w:t xml:space="preserve">budget </w:t>
      </w:r>
      <w:r w:rsidRPr="004F122B">
        <w:t>expenditure</w:t>
      </w:r>
      <w:r w:rsidRPr="004F122B" w:rsidR="0060105D">
        <w:t xml:space="preserve"> </w:t>
      </w:r>
      <w:r w:rsidRPr="004F122B">
        <w:t xml:space="preserve">report Tier 2 </w:t>
      </w:r>
      <w:r w:rsidRPr="004F122B" w:rsidR="66AB27F6">
        <w:t>a</w:t>
      </w:r>
      <w:r w:rsidRPr="004F122B">
        <w:t xml:space="preserve">dvice </w:t>
      </w:r>
      <w:r w:rsidRPr="004F122B" w:rsidR="48C3CDCA">
        <w:t>l</w:t>
      </w:r>
      <w:r w:rsidRPr="004F122B">
        <w:t>etters ordered in this decision.</w:t>
      </w:r>
    </w:p>
    <w:p w:rsidRPr="004F122B" w:rsidR="00F43C37" w:rsidP="004F122B" w:rsidRDefault="00F43C37" w14:paraId="3C8B32F6" w14:textId="56986397">
      <w:pPr>
        <w:pStyle w:val="OP"/>
      </w:pPr>
      <w:r w:rsidRPr="008D303F">
        <w:lastRenderedPageBreak/>
        <w:t xml:space="preserve">The Commission allows </w:t>
      </w:r>
      <w:r w:rsidRPr="003712E7">
        <w:t>Pacific Gas and Electric Company, Southern California Edison Company, San Diego Gas &amp; Electric Company, Liberty Utilities LLC, and PacifiCorp</w:t>
      </w:r>
      <w:r w:rsidRPr="008D303F">
        <w:t xml:space="preserve"> to request permission via Tier 2 Advice Letter from the director of Energy Division to extend SOMAH administrative spending beyond 2032 exclusively for program close-out tasks, </w:t>
      </w:r>
      <w:r>
        <w:t xml:space="preserve">including </w:t>
      </w:r>
      <w:r w:rsidRPr="008D303F">
        <w:t xml:space="preserve">final incentive requests in alignment with the </w:t>
      </w:r>
      <w:r>
        <w:t xml:space="preserve">SOMAH Program Administrators’ </w:t>
      </w:r>
      <w:r w:rsidRPr="008D303F">
        <w:t>work, with all such tasks concluded by the filing of the SOMAH final budget expenditure report Tier 2 advice letters ordered in this decision.</w:t>
      </w:r>
    </w:p>
    <w:p w:rsidRPr="004F122B" w:rsidR="006352A4" w:rsidP="004F122B" w:rsidRDefault="006352A4" w14:paraId="664FC037" w14:textId="788827FF">
      <w:pPr>
        <w:pStyle w:val="OP"/>
      </w:pPr>
      <w:r w:rsidRPr="004F122B">
        <w:t xml:space="preserve">Pacific Gas and Electric Company, Southern California Edison Company, San Diego Gas &amp; Electric Company, Liberty Utilities LLC, and PacifiCorp </w:t>
      </w:r>
      <w:r w:rsidRPr="004F122B" w:rsidR="32502D0F">
        <w:t xml:space="preserve">(IOUs) </w:t>
      </w:r>
      <w:r w:rsidRPr="004F122B">
        <w:t xml:space="preserve">are ordered to first use accrued interest in Solar on Multifamily Affordable Housing (SOMAH) program funds to offset 2026 SOMAH budget allocations and then, upon the disposition of the IOUs’ Tier 2 final </w:t>
      </w:r>
      <w:r w:rsidRPr="004F122B" w:rsidR="00303288">
        <w:t xml:space="preserve">budget </w:t>
      </w:r>
      <w:r w:rsidRPr="004F122B">
        <w:t>expenditure report</w:t>
      </w:r>
      <w:r w:rsidRPr="004F122B" w:rsidR="00A15A52">
        <w:t xml:space="preserve"> advice letter</w:t>
      </w:r>
      <w:r w:rsidRPr="004F122B" w:rsidR="00303288">
        <w:t>s</w:t>
      </w:r>
      <w:r w:rsidRPr="004F122B">
        <w:t xml:space="preserve">, to return the remaining accrued interest </w:t>
      </w:r>
      <w:r w:rsidRPr="004F122B" w:rsidR="0060105D">
        <w:t>to their greenhouse gas revenue accounts</w:t>
      </w:r>
      <w:r w:rsidRPr="004F122B">
        <w:t xml:space="preserve">. </w:t>
      </w:r>
    </w:p>
    <w:p w:rsidRPr="004F122B" w:rsidR="00F6397D" w:rsidP="004F122B" w:rsidRDefault="001E5C7F" w14:paraId="30D4A626" w14:textId="4135F1BD">
      <w:pPr>
        <w:pStyle w:val="OP"/>
      </w:pPr>
      <w:r w:rsidRPr="004F122B">
        <w:t>R</w:t>
      </w:r>
      <w:r w:rsidRPr="004F122B" w:rsidR="00E23CBB">
        <w:t>ulemaking</w:t>
      </w:r>
      <w:r w:rsidRPr="004F122B">
        <w:t xml:space="preserve"> 25-01-005 remains open</w:t>
      </w:r>
      <w:r w:rsidRPr="004F122B" w:rsidR="00E23CBB">
        <w:t>.</w:t>
      </w:r>
    </w:p>
    <w:p w:rsidR="002B2903" w:rsidP="00344579" w:rsidRDefault="008F0116" w14:paraId="48637A90" w14:textId="5DC972E7">
      <w:r>
        <w:t>This order is effective today.</w:t>
      </w:r>
    </w:p>
    <w:p w:rsidRPr="00714CF2" w:rsidR="00714CF2" w:rsidP="00816E05" w:rsidRDefault="008F0116" w14:paraId="5D9E87ED" w14:textId="10BDADD2">
      <w:r>
        <w:t xml:space="preserve">Dated </w:t>
      </w:r>
      <w:r w:rsidR="00673F8D">
        <w:t>Ju</w:t>
      </w:r>
      <w:r w:rsidR="00D6367C">
        <w:t>ly</w:t>
      </w:r>
      <w:r w:rsidR="004F122B">
        <w:t xml:space="preserve"> __, 2026</w:t>
      </w:r>
      <w:r>
        <w:t xml:space="preserve">, at </w:t>
      </w:r>
      <w:r w:rsidR="00FA60D4">
        <w:t>Fort Bragg</w:t>
      </w:r>
      <w:r>
        <w:t>, California</w:t>
      </w:r>
      <w:r w:rsidR="004F122B">
        <w:t>.</w:t>
      </w:r>
    </w:p>
    <w:sectPr w:rsidRPr="00714CF2" w:rsidR="00714CF2" w:rsidSect="009F7F68">
      <w:headerReference w:type="default" r:id="rId17"/>
      <w:footerReference w:type="default" r:id="rId18"/>
      <w:headerReference w:type="first" r:id="rId19"/>
      <w:footerReference w:type="first" r:id="rId20"/>
      <w:pgSz w:w="12240" w:h="15840"/>
      <w:pgMar w:top="1728" w:right="1440" w:bottom="1440" w:left="1440" w:header="720" w:footer="720" w:gutter="0"/>
      <w:pgNumType w:start="2"/>
      <w:cols w:space="720"/>
      <w:titlePg/>
      <w:docGrid w:linePitch="360"/>
    </w:sectPr>
    <w:p>
      <w:r>
        <w:t xml:space="preserve"/>
      </w:r>
    </w:p>
    <w:p>
      <w:r>
        <w:t xml:space="preserve">Attachment 1: </w:t>
      </w:r>
    </w:p>
    <w:p>
      <w:hyperlink w:history="true" r:id="R090b2962ba8b42fd">
        <w:r w:rsidRPr="00CB1292">
          <w:rPr>
            <w:rStyle w:val="Hyperlink"/>
            <w:color w:val="2E74B5" w:themeColor="accent1" w:themeShade="BF"/>
            <w:u w:val="single"/>
          </w:rPr>
          <w:t>(REDLINE) Rev. 1 R.25-01-005 CJA 07-02 PD (COMM).pdf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8F1ED" w14:textId="77777777" w:rsidR="00820D21" w:rsidRDefault="00820D21" w:rsidP="0098138E">
      <w:pPr>
        <w:spacing w:line="240" w:lineRule="auto"/>
      </w:pPr>
      <w:r>
        <w:separator/>
      </w:r>
    </w:p>
  </w:endnote>
  <w:endnote w:type="continuationSeparator" w:id="0">
    <w:p w14:paraId="556DA274" w14:textId="77777777" w:rsidR="00820D21" w:rsidRDefault="00820D21"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960EF" w14:textId="6C84237D" w:rsidR="00F92385" w:rsidRPr="00FA60D4" w:rsidRDefault="00202FF1" w:rsidP="00673F8D">
    <w:pPr>
      <w:tabs>
        <w:tab w:val="center" w:pos="4680"/>
      </w:tabs>
      <w:ind w:firstLine="0"/>
      <w:rPr>
        <w:noProof/>
        <w:sz w:val="16"/>
        <w:szCs w:val="16"/>
      </w:rPr>
    </w:pPr>
    <w:r w:rsidRPr="00FA60D4">
      <w:rPr>
        <w:sz w:val="16"/>
        <w:szCs w:val="16"/>
      </w:rPr>
      <w:t>609895726</w:t>
    </w:r>
    <w:r w:rsidRPr="00FA60D4" w:rsidDel="00202FF1">
      <w:rPr>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786776"/>
      <w:docPartObj>
        <w:docPartGallery w:val="Page Numbers (Bottom of Page)"/>
        <w:docPartUnique/>
      </w:docPartObj>
    </w:sdtPr>
    <w:sdtEndPr/>
    <w:sdtContent>
      <w:p w14:paraId="235AA785" w14:textId="2919DFA4" w:rsidR="00632207" w:rsidRDefault="00B6166B" w:rsidP="007E0FEE">
        <w:pPr>
          <w:tabs>
            <w:tab w:val="center" w:pos="4680"/>
          </w:tabs>
          <w:ind w:firstLine="0"/>
          <w:rPr>
            <w:noProof/>
          </w:rPr>
        </w:pPr>
        <w:r w:rsidRPr="00B6166B">
          <w:rPr>
            <w:sz w:val="16"/>
            <w:szCs w:val="16"/>
          </w:rPr>
          <w:t>609895726</w:t>
        </w:r>
        <w:r w:rsidR="009F7F68" w:rsidRPr="00FA60D4">
          <w:tab/>
        </w:r>
        <w:r w:rsidR="009F7F68">
          <w:t xml:space="preserve">- </w:t>
        </w:r>
        <w:r w:rsidR="009F7F68">
          <w:fldChar w:fldCharType="begin"/>
        </w:r>
        <w:r w:rsidR="009F7F68">
          <w:instrText xml:space="preserve"> PAGE   \* MERGEFORMAT </w:instrText>
        </w:r>
        <w:r w:rsidR="009F7F68">
          <w:fldChar w:fldCharType="separate"/>
        </w:r>
        <w:r w:rsidR="009F7F68">
          <w:t>1</w:t>
        </w:r>
        <w:r w:rsidR="009F7F68">
          <w:fldChar w:fldCharType="end"/>
        </w:r>
        <w:r w:rsidR="009F7F68">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D81A" w14:textId="77777777" w:rsidR="00E23CBB" w:rsidRDefault="00E23CBB" w:rsidP="007E0FEE">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81677"/>
      <w:docPartObj>
        <w:docPartGallery w:val="Page Numbers (Bottom of Page)"/>
        <w:docPartUnique/>
      </w:docPartObj>
    </w:sdtPr>
    <w:sdtEndPr/>
    <w:sdtContent>
      <w:p w14:paraId="0372ADFA" w14:textId="24D0EE23" w:rsidR="00E23CBB" w:rsidRDefault="009F7F68" w:rsidP="00FA60D4">
        <w:pPr>
          <w:ind w:firstLine="0"/>
        </w:pPr>
        <w:r>
          <w:t xml:space="preserve"> </w:t>
        </w:r>
        <w:r>
          <w:tab/>
        </w:r>
        <w:r w:rsidR="00D6367C" w:rsidRPr="00FA60D4">
          <w:tab/>
        </w:r>
        <w:r w:rsidR="00D6367C" w:rsidRPr="00FA60D4">
          <w:tab/>
        </w:r>
        <w:r w:rsidR="00D6367C" w:rsidRPr="00FA60D4">
          <w:tab/>
        </w:r>
        <w:r w:rsidR="00D6367C" w:rsidRPr="00FA60D4">
          <w:tab/>
        </w:r>
        <w:r w:rsidR="00D6367C">
          <w:tab/>
        </w:r>
        <w:r w:rsidR="002A5DAE">
          <w:t xml:space="preserve">- </w:t>
        </w:r>
        <w:r w:rsidR="00E23CBB">
          <w:fldChar w:fldCharType="begin"/>
        </w:r>
        <w:r w:rsidR="00E23CBB">
          <w:instrText xml:space="preserve"> PAGE   \* MERGEFORMAT </w:instrText>
        </w:r>
        <w:r w:rsidR="00E23CBB">
          <w:fldChar w:fldCharType="separate"/>
        </w:r>
        <w:r w:rsidR="00E23CBB">
          <w:t>2</w:t>
        </w:r>
        <w:r w:rsidR="00E23CBB">
          <w:fldChar w:fldCharType="end"/>
        </w:r>
        <w:r w:rsidR="002A5DAE">
          <w:t xml:space="preserve"> </w:t>
        </w:r>
        <w:r w:rsidR="00D6367C">
          <w:t>–</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2626039"/>
      <w:docPartObj>
        <w:docPartGallery w:val="Page Numbers (Bottom of Page)"/>
        <w:docPartUnique/>
      </w:docPartObj>
    </w:sdtPr>
    <w:sdtEndPr/>
    <w:sdtContent>
      <w:p w14:paraId="08159CE7" w14:textId="7E4C8A8B" w:rsidR="009F7F68" w:rsidRDefault="009F7F68" w:rsidP="007E0FEE">
        <w:pPr>
          <w:tabs>
            <w:tab w:val="center" w:pos="4680"/>
          </w:tabs>
          <w:ind w:firstLine="0"/>
          <w:rPr>
            <w:noProof/>
          </w:rPr>
        </w:pPr>
        <w:r w:rsidRPr="00FA60D4">
          <w:tab/>
        </w:r>
        <w:r>
          <w:t xml:space="preserve">- </w:t>
        </w:r>
        <w:r>
          <w:fldChar w:fldCharType="begin"/>
        </w:r>
        <w:r>
          <w:instrText xml:space="preserve"> PAGE   \* MERGEFORMAT </w:instrText>
        </w:r>
        <w:r>
          <w:fldChar w:fldCharType="separate"/>
        </w:r>
        <w:r>
          <w:t>1</w:t>
        </w:r>
        <w: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B520F" w14:textId="77777777" w:rsidR="00820D21" w:rsidRDefault="00820D21" w:rsidP="00DF58E7">
      <w:pPr>
        <w:spacing w:line="240" w:lineRule="auto"/>
        <w:ind w:firstLine="0"/>
      </w:pPr>
      <w:r>
        <w:separator/>
      </w:r>
    </w:p>
  </w:footnote>
  <w:footnote w:type="continuationSeparator" w:id="0">
    <w:p w14:paraId="4883C73E" w14:textId="77777777" w:rsidR="00820D21" w:rsidRDefault="00820D21" w:rsidP="00DF58E7">
      <w:pPr>
        <w:spacing w:line="240" w:lineRule="auto"/>
        <w:ind w:firstLine="0"/>
      </w:pPr>
      <w:r>
        <w:continuationSeparator/>
      </w:r>
    </w:p>
  </w:footnote>
  <w:footnote w:type="continuationNotice" w:id="1">
    <w:p w14:paraId="6CAF622A" w14:textId="77777777" w:rsidR="00820D21" w:rsidRPr="00DF58E7" w:rsidRDefault="00820D21"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00E59918" w14:textId="3DE43DEA" w:rsidR="00450C2D" w:rsidRDefault="00450C2D">
      <w:pPr>
        <w:pStyle w:val="FootnoteText"/>
      </w:pPr>
      <w:r>
        <w:rPr>
          <w:rStyle w:val="FootnoteReference"/>
        </w:rPr>
        <w:footnoteRef/>
      </w:r>
      <w:r>
        <w:t xml:space="preserve"> </w:t>
      </w:r>
      <w:r w:rsidR="00673A42">
        <w:t>Pub</w:t>
      </w:r>
      <w:r w:rsidR="0092284E">
        <w:t>.</w:t>
      </w:r>
      <w:r w:rsidR="00673A42">
        <w:t xml:space="preserve"> Util</w:t>
      </w:r>
      <w:r w:rsidR="0092284E">
        <w:t>.</w:t>
      </w:r>
      <w:r w:rsidR="00673A42">
        <w:t xml:space="preserve"> Code </w:t>
      </w:r>
      <w:r w:rsidR="003A07F4">
        <w:t>Section</w:t>
      </w:r>
      <w:r w:rsidR="00673A42">
        <w:t xml:space="preserve"> 2870</w:t>
      </w:r>
      <w:r w:rsidR="00223D2D">
        <w:t>(f)(1)</w:t>
      </w:r>
      <w:r w:rsidR="00B8327D">
        <w:t xml:space="preserve"> </w:t>
      </w:r>
      <w:r w:rsidR="00781482">
        <w:t>directs the Commission to administer the SOMAH program through December 31, 2032</w:t>
      </w:r>
      <w:r w:rsidR="003A07F4">
        <w:t>.</w:t>
      </w:r>
    </w:p>
  </w:footnote>
  <w:footnote w:id="3">
    <w:p w14:paraId="45529BA1" w14:textId="1D7D1AA5" w:rsidR="00BD0C46" w:rsidRDefault="00BD0C46">
      <w:pPr>
        <w:pStyle w:val="FootnoteText"/>
      </w:pPr>
      <w:r>
        <w:rPr>
          <w:rStyle w:val="FootnoteReference"/>
        </w:rPr>
        <w:footnoteRef/>
      </w:r>
      <w:r>
        <w:t xml:space="preserve"> AB 693 Section 1 (a) and (e).</w:t>
      </w:r>
    </w:p>
  </w:footnote>
  <w:footnote w:id="4">
    <w:p w14:paraId="61FEC059" w14:textId="3CEC3B06" w:rsidR="00A26A48" w:rsidRDefault="00A26A48">
      <w:pPr>
        <w:pStyle w:val="FootnoteText"/>
      </w:pPr>
      <w:r>
        <w:rPr>
          <w:rStyle w:val="FootnoteReference"/>
        </w:rPr>
        <w:footnoteRef/>
      </w:r>
      <w:r>
        <w:t xml:space="preserve"> As defined in the Public Resources Code Section 21073.</w:t>
      </w:r>
    </w:p>
  </w:footnote>
  <w:footnote w:id="5">
    <w:p w14:paraId="017BE661" w14:textId="7C52B321" w:rsidR="00E318D9" w:rsidRDefault="00E318D9">
      <w:pPr>
        <w:pStyle w:val="FootnoteText"/>
      </w:pPr>
      <w:r>
        <w:rPr>
          <w:rStyle w:val="FootnoteReference"/>
        </w:rPr>
        <w:footnoteRef/>
      </w:r>
      <w:r w:rsidRPr="0081567E">
        <w:t xml:space="preserve"> Pub. Util. </w:t>
      </w:r>
      <w:r>
        <w:t xml:space="preserve">Code </w:t>
      </w:r>
      <w:r w:rsidR="003A07F4">
        <w:t>Section</w:t>
      </w:r>
      <w:r>
        <w:t xml:space="preserve"> 748.5(c) contains a sunset date of July 1, 2026</w:t>
      </w:r>
      <w:r w:rsidR="004D4CF7">
        <w:t xml:space="preserve"> that was added by AB 1207 (</w:t>
      </w:r>
      <w:r w:rsidR="00973210">
        <w:t>Stats. 2025, Ch. 117</w:t>
      </w:r>
      <w:r w:rsidR="006C2719">
        <w:t>)</w:t>
      </w:r>
      <w:r>
        <w:t>.</w:t>
      </w:r>
    </w:p>
  </w:footnote>
  <w:footnote w:id="6">
    <w:p w14:paraId="1B1AA063" w14:textId="43F06C8A" w:rsidR="007A7040" w:rsidRDefault="007A7040">
      <w:pPr>
        <w:pStyle w:val="FootnoteText"/>
      </w:pPr>
      <w:r>
        <w:rPr>
          <w:rStyle w:val="FootnoteReference"/>
        </w:rPr>
        <w:footnoteRef/>
      </w:r>
      <w:r>
        <w:t xml:space="preserve"> D.20-04-012 at Ordering Paragraph (OP) 1.</w:t>
      </w:r>
    </w:p>
  </w:footnote>
  <w:footnote w:id="7">
    <w:p w14:paraId="469D624E" w14:textId="32FC4664" w:rsidR="00C24885" w:rsidRDefault="00C24885">
      <w:pPr>
        <w:pStyle w:val="FootnoteText"/>
      </w:pPr>
      <w:r>
        <w:rPr>
          <w:rStyle w:val="FootnoteReference"/>
        </w:rPr>
        <w:footnoteRef/>
      </w:r>
      <w:r>
        <w:t xml:space="preserve"> D.20-04-012 at</w:t>
      </w:r>
      <w:r w:rsidR="007A7040">
        <w:t xml:space="preserve"> </w:t>
      </w:r>
      <w:r>
        <w:t>OP 6.</w:t>
      </w:r>
    </w:p>
  </w:footnote>
  <w:footnote w:id="8">
    <w:p w14:paraId="627174CB" w14:textId="0E9E0C53" w:rsidR="001D6BA9" w:rsidRDefault="001D6BA9">
      <w:pPr>
        <w:pStyle w:val="FootnoteText"/>
      </w:pPr>
      <w:r>
        <w:rPr>
          <w:rStyle w:val="FootnoteReference"/>
        </w:rPr>
        <w:footnoteRef/>
      </w:r>
      <w:r>
        <w:t xml:space="preserve"> </w:t>
      </w:r>
      <w:r w:rsidR="007E7D47">
        <w:t>D.23-11-068 at OP 1(h), (i), and (j).</w:t>
      </w:r>
    </w:p>
  </w:footnote>
  <w:footnote w:id="9">
    <w:p w14:paraId="66B88395" w14:textId="48F63711" w:rsidR="784CA886" w:rsidRDefault="784CA886" w:rsidP="00982F4F">
      <w:pPr>
        <w:pStyle w:val="FootnoteText"/>
      </w:pPr>
      <w:r w:rsidRPr="784CA886">
        <w:rPr>
          <w:rStyle w:val="FootnoteReference"/>
        </w:rPr>
        <w:footnoteRef/>
      </w:r>
      <w:r>
        <w:t xml:space="preserve"> D.24-11-006 at OP 1.</w:t>
      </w:r>
    </w:p>
  </w:footnote>
  <w:footnote w:id="10">
    <w:p w14:paraId="300C8567" w14:textId="04700E8C" w:rsidR="00B54CAA" w:rsidRDefault="00B54CAA">
      <w:pPr>
        <w:pStyle w:val="FootnoteText"/>
      </w:pPr>
      <w:r>
        <w:rPr>
          <w:rStyle w:val="FootnoteReference"/>
        </w:rPr>
        <w:footnoteRef/>
      </w:r>
      <w:r>
        <w:t xml:space="preserve"> SOMAH Semiannual Progress Report: January 1, 2024 – June 30, 2024 at 13.</w:t>
      </w:r>
    </w:p>
  </w:footnote>
  <w:footnote w:id="11">
    <w:p w14:paraId="335231FC" w14:textId="508587EA" w:rsidR="00231A95" w:rsidRDefault="00231A95">
      <w:pPr>
        <w:pStyle w:val="FootnoteText"/>
      </w:pPr>
      <w:r>
        <w:rPr>
          <w:rStyle w:val="FootnoteReference"/>
        </w:rPr>
        <w:footnoteRef/>
      </w:r>
      <w:r>
        <w:t xml:space="preserve"> D.24-11-006 at O</w:t>
      </w:r>
      <w:r w:rsidR="00350248">
        <w:t>P</w:t>
      </w:r>
      <w:r>
        <w:t xml:space="preserve"> 1.</w:t>
      </w:r>
    </w:p>
  </w:footnote>
  <w:footnote w:id="12">
    <w:p w14:paraId="76FBC932" w14:textId="650BAAAC" w:rsidR="00552210" w:rsidRDefault="00552210" w:rsidP="00552210">
      <w:pPr>
        <w:pStyle w:val="FootnoteText"/>
      </w:pPr>
      <w:r>
        <w:rPr>
          <w:rStyle w:val="FootnoteReference"/>
        </w:rPr>
        <w:footnoteRef/>
      </w:r>
      <w:r>
        <w:t xml:space="preserve"> Order Instituting Rulemaking</w:t>
      </w:r>
      <w:r w:rsidR="009E29E7">
        <w:t xml:space="preserve"> (OIR)</w:t>
      </w:r>
      <w:r>
        <w:t xml:space="preserve"> on Customer-Generated Renewables for Priority Communities 25-01-005 at 1.</w:t>
      </w:r>
    </w:p>
  </w:footnote>
  <w:footnote w:id="13">
    <w:p w14:paraId="6C201D6A" w14:textId="1CCECC47" w:rsidR="00C24885" w:rsidRDefault="00C24885">
      <w:pPr>
        <w:pStyle w:val="FootnoteText"/>
      </w:pPr>
      <w:r>
        <w:rPr>
          <w:rStyle w:val="FootnoteReference"/>
        </w:rPr>
        <w:footnoteRef/>
      </w:r>
      <w:r>
        <w:t xml:space="preserve"> </w:t>
      </w:r>
      <w:r w:rsidR="00FC56E4">
        <w:t>June 20</w:t>
      </w:r>
      <w:r>
        <w:t xml:space="preserve"> </w:t>
      </w:r>
      <w:r w:rsidR="0092284E">
        <w:t xml:space="preserve">ALJ </w:t>
      </w:r>
      <w:r w:rsidR="00FC56E4">
        <w:t xml:space="preserve">Ruling </w:t>
      </w:r>
      <w:r>
        <w:t>at 3.</w:t>
      </w:r>
    </w:p>
  </w:footnote>
  <w:footnote w:id="14">
    <w:p w14:paraId="7D084237" w14:textId="447F755E" w:rsidR="00531AAD" w:rsidRDefault="00531AAD">
      <w:pPr>
        <w:pStyle w:val="FootnoteText"/>
      </w:pPr>
      <w:r>
        <w:rPr>
          <w:rStyle w:val="FootnoteReference"/>
        </w:rPr>
        <w:footnoteRef/>
      </w:r>
      <w:r>
        <w:t xml:space="preserve"> June 20 </w:t>
      </w:r>
      <w:r w:rsidR="0092284E">
        <w:t xml:space="preserve">ALJ </w:t>
      </w:r>
      <w:r>
        <w:t>Ruling at 4.</w:t>
      </w:r>
    </w:p>
  </w:footnote>
  <w:footnote w:id="15">
    <w:p w14:paraId="6135EE9C" w14:textId="68C66C1D" w:rsidR="00FC56E4" w:rsidRDefault="00FC56E4">
      <w:pPr>
        <w:pStyle w:val="FootnoteText"/>
      </w:pPr>
      <w:r>
        <w:rPr>
          <w:rStyle w:val="FootnoteReference"/>
        </w:rPr>
        <w:footnoteRef/>
      </w:r>
      <w:r>
        <w:t xml:space="preserve"> June 20 </w:t>
      </w:r>
      <w:r w:rsidR="0092284E">
        <w:t xml:space="preserve">ALJ </w:t>
      </w:r>
      <w:r>
        <w:t>Ruling at 4.</w:t>
      </w:r>
    </w:p>
  </w:footnote>
  <w:footnote w:id="16">
    <w:p w14:paraId="1B5393AC" w14:textId="1F2E93FE" w:rsidR="00FC56E4" w:rsidRDefault="00FC56E4">
      <w:pPr>
        <w:pStyle w:val="FootnoteText"/>
      </w:pPr>
      <w:r>
        <w:rPr>
          <w:rStyle w:val="FootnoteReference"/>
        </w:rPr>
        <w:footnoteRef/>
      </w:r>
      <w:r>
        <w:t xml:space="preserve"> June 20 </w:t>
      </w:r>
      <w:r w:rsidR="0092284E">
        <w:t xml:space="preserve">ALJ </w:t>
      </w:r>
      <w:r>
        <w:t>Ruling at 6-7.</w:t>
      </w:r>
    </w:p>
  </w:footnote>
  <w:footnote w:id="17">
    <w:p w14:paraId="308A4C28" w14:textId="6D8612CA" w:rsidR="784CA886" w:rsidRDefault="784CA886" w:rsidP="784CA886">
      <w:pPr>
        <w:pStyle w:val="FootnoteText"/>
      </w:pPr>
      <w:r w:rsidRPr="784CA886">
        <w:rPr>
          <w:rStyle w:val="FootnoteReference"/>
        </w:rPr>
        <w:footnoteRef/>
      </w:r>
      <w:r>
        <w:t xml:space="preserve"> Assigned Commissioner’s Scoping Memo and Ruling at 2.</w:t>
      </w:r>
    </w:p>
  </w:footnote>
  <w:footnote w:id="18">
    <w:p w14:paraId="63A6C6FF" w14:textId="446FA8EF" w:rsidR="784CA886" w:rsidRDefault="784CA886" w:rsidP="00982F4F">
      <w:pPr>
        <w:pStyle w:val="FootnoteText"/>
      </w:pPr>
      <w:r w:rsidRPr="784CA886">
        <w:rPr>
          <w:rStyle w:val="FootnoteReference"/>
        </w:rPr>
        <w:footnoteRef/>
      </w:r>
      <w:r>
        <w:t xml:space="preserve"> Pub. Util. Code </w:t>
      </w:r>
      <w:r w:rsidR="003A07F4">
        <w:t>Section</w:t>
      </w:r>
      <w:r>
        <w:t xml:space="preserve"> 2870(a)(3) (emphasis added).</w:t>
      </w:r>
    </w:p>
  </w:footnote>
  <w:footnote w:id="19">
    <w:p w14:paraId="02CEE3E3" w14:textId="206AC56A" w:rsidR="00572816" w:rsidRDefault="00572816">
      <w:pPr>
        <w:pStyle w:val="FootnoteText"/>
      </w:pPr>
      <w:r>
        <w:rPr>
          <w:rStyle w:val="FootnoteReference"/>
        </w:rPr>
        <w:footnoteRef/>
      </w:r>
      <w:r>
        <w:t xml:space="preserve"> SEIA Opening Comment</w:t>
      </w:r>
      <w:r w:rsidR="0092284E">
        <w:t>s</w:t>
      </w:r>
      <w:r w:rsidR="00684258">
        <w:t xml:space="preserve"> on SB 355 Implementation</w:t>
      </w:r>
      <w:r>
        <w:t xml:space="preserve"> at 2.</w:t>
      </w:r>
    </w:p>
  </w:footnote>
  <w:footnote w:id="20">
    <w:p w14:paraId="62DD16C7" w14:textId="7CAFAC46" w:rsidR="00432A61" w:rsidRDefault="00432A61" w:rsidP="00584758">
      <w:pPr>
        <w:pStyle w:val="FootnoteText"/>
      </w:pPr>
      <w:r>
        <w:rPr>
          <w:rStyle w:val="FootnoteReference"/>
        </w:rPr>
        <w:footnoteRef/>
      </w:r>
      <w:r>
        <w:t xml:space="preserve"> </w:t>
      </w:r>
      <w:r w:rsidR="00584758" w:rsidRPr="00584758">
        <w:t>Assembly Floor Analysis (September 8, 2023) at 2</w:t>
      </w:r>
      <w:r w:rsidR="00584758">
        <w:t>.</w:t>
      </w:r>
    </w:p>
  </w:footnote>
  <w:footnote w:id="21">
    <w:p w14:paraId="261804F6" w14:textId="1079BB5D" w:rsidR="00432A61" w:rsidRDefault="00432A61">
      <w:pPr>
        <w:pStyle w:val="FootnoteText"/>
      </w:pPr>
      <w:r>
        <w:rPr>
          <w:rStyle w:val="FootnoteReference"/>
        </w:rPr>
        <w:footnoteRef/>
      </w:r>
      <w:r>
        <w:t xml:space="preserve"> CBD and CEJA </w:t>
      </w:r>
      <w:r w:rsidR="0092284E">
        <w:t xml:space="preserve">Reply Comments </w:t>
      </w:r>
      <w:r w:rsidR="00684258">
        <w:t xml:space="preserve">on SB 355 Implementation </w:t>
      </w:r>
      <w:r>
        <w:t>at 9.</w:t>
      </w:r>
    </w:p>
  </w:footnote>
  <w:footnote w:id="22">
    <w:p w14:paraId="6C0188C0" w14:textId="2915A944" w:rsidR="005921E8" w:rsidRDefault="005921E8">
      <w:pPr>
        <w:pStyle w:val="FootnoteText"/>
      </w:pPr>
      <w:r>
        <w:rPr>
          <w:rStyle w:val="FootnoteReference"/>
        </w:rPr>
        <w:footnoteRef/>
      </w:r>
      <w:r>
        <w:t xml:space="preserve"> GRID Alternatives</w:t>
      </w:r>
      <w:r w:rsidR="00684258">
        <w:t xml:space="preserve"> </w:t>
      </w:r>
      <w:r w:rsidR="0092284E">
        <w:t xml:space="preserve">Reply Comments </w:t>
      </w:r>
      <w:r w:rsidR="00684258">
        <w:t>on SB 355 Implementation</w:t>
      </w:r>
      <w:r>
        <w:t xml:space="preserve"> at 2.</w:t>
      </w:r>
    </w:p>
  </w:footnote>
  <w:footnote w:id="23">
    <w:p w14:paraId="77266C7E" w14:textId="1DAB9380" w:rsidR="784CA886" w:rsidRDefault="784CA886" w:rsidP="00982F4F">
      <w:pPr>
        <w:pStyle w:val="FootnoteText"/>
      </w:pPr>
      <w:r w:rsidRPr="784CA886">
        <w:rPr>
          <w:rStyle w:val="FootnoteReference"/>
        </w:rPr>
        <w:footnoteRef/>
      </w:r>
      <w:r>
        <w:t xml:space="preserve"> </w:t>
      </w:r>
      <w:r w:rsidR="004F36DB">
        <w:rPr>
          <w:i/>
          <w:iCs/>
        </w:rPr>
        <w:t>Kimmel v. Goland</w:t>
      </w:r>
      <w:r w:rsidR="004F36DB" w:rsidRPr="009D20E3">
        <w:t xml:space="preserve"> (1990) 51 Cal.3d 202, 208</w:t>
      </w:r>
      <w:r w:rsidR="000843DC">
        <w:rPr>
          <w:i/>
          <w:iCs/>
        </w:rPr>
        <w:t xml:space="preserve">; </w:t>
      </w:r>
      <w:r w:rsidR="004E42FD">
        <w:rPr>
          <w:i/>
          <w:iCs/>
        </w:rPr>
        <w:t xml:space="preserve">Burden v. Snowden </w:t>
      </w:r>
      <w:r w:rsidR="004E42FD">
        <w:t>(1992) 2 Cal.4</w:t>
      </w:r>
      <w:r w:rsidR="0092284E">
        <w:t>th</w:t>
      </w:r>
      <w:r w:rsidR="004E42FD">
        <w:t xml:space="preserve"> 556 at 562</w:t>
      </w:r>
      <w:r w:rsidR="0039005A">
        <w:t xml:space="preserve">; </w:t>
      </w:r>
      <w:r w:rsidR="00A82FAB">
        <w:rPr>
          <w:i/>
          <w:iCs/>
        </w:rPr>
        <w:t xml:space="preserve">Hsu v. Abbara </w:t>
      </w:r>
      <w:r w:rsidR="00A82FAB" w:rsidRPr="009D20E3">
        <w:t>(1995) 9 Cal. 4</w:t>
      </w:r>
      <w:r w:rsidR="00A82FAB">
        <w:t>th</w:t>
      </w:r>
      <w:r w:rsidR="00A82FAB" w:rsidRPr="009D20E3">
        <w:t xml:space="preserve"> 863</w:t>
      </w:r>
      <w:r w:rsidR="00A82FAB">
        <w:t xml:space="preserve">; and </w:t>
      </w:r>
      <w:r w:rsidR="0039005A" w:rsidRPr="0039005A">
        <w:rPr>
          <w:i/>
          <w:iCs/>
        </w:rPr>
        <w:t>Wilcox v. Birtwhistle</w:t>
      </w:r>
      <w:r w:rsidR="0039005A" w:rsidRPr="0039005A">
        <w:t>, (1999) 21 Cal.4</w:t>
      </w:r>
      <w:r w:rsidR="0039005A" w:rsidRPr="0039005A">
        <w:rPr>
          <w:vertAlign w:val="superscript"/>
        </w:rPr>
        <w:t>th</w:t>
      </w:r>
      <w:r w:rsidR="0039005A" w:rsidRPr="0039005A">
        <w:t xml:space="preserve"> 973</w:t>
      </w:r>
      <w:r w:rsidR="004E42FD">
        <w:t>.</w:t>
      </w:r>
    </w:p>
  </w:footnote>
  <w:footnote w:id="24">
    <w:p w14:paraId="3C81F987" w14:textId="1A0C8AAA" w:rsidR="784CA886" w:rsidRPr="00583297" w:rsidRDefault="784CA886" w:rsidP="00982F4F">
      <w:pPr>
        <w:pStyle w:val="FootnoteText"/>
      </w:pPr>
      <w:r w:rsidRPr="784CA886">
        <w:rPr>
          <w:rStyle w:val="FootnoteReference"/>
        </w:rPr>
        <w:footnoteRef/>
      </w:r>
      <w:r>
        <w:t xml:space="preserve"> </w:t>
      </w:r>
      <w:r w:rsidR="0010043B">
        <w:rPr>
          <w:i/>
          <w:iCs/>
        </w:rPr>
        <w:t>Moyer v. Workmen’s Comp. Appeals Bd.</w:t>
      </w:r>
      <w:r w:rsidR="0010043B">
        <w:t xml:space="preserve"> </w:t>
      </w:r>
      <w:r w:rsidR="0010043B" w:rsidRPr="00583297">
        <w:t>(</w:t>
      </w:r>
      <w:r w:rsidR="003D459A" w:rsidRPr="00583297">
        <w:t>1973) 10 Cal. 3d 222</w:t>
      </w:r>
    </w:p>
  </w:footnote>
  <w:footnote w:id="25">
    <w:p w14:paraId="65B01FA4" w14:textId="4F22A8F8" w:rsidR="784CA886" w:rsidRPr="00583297" w:rsidRDefault="784CA886" w:rsidP="784CA886">
      <w:pPr>
        <w:pStyle w:val="FootnoteText"/>
      </w:pPr>
      <w:r w:rsidRPr="784CA886">
        <w:rPr>
          <w:rStyle w:val="FootnoteReference"/>
        </w:rPr>
        <w:footnoteRef/>
      </w:r>
      <w:r w:rsidRPr="00583297">
        <w:t xml:space="preserve"> Pub. Util. Code </w:t>
      </w:r>
      <w:r w:rsidR="003A07F4" w:rsidRPr="00583297">
        <w:t>Section</w:t>
      </w:r>
      <w:r w:rsidRPr="00583297">
        <w:t xml:space="preserve"> 2870(f)(2).</w:t>
      </w:r>
    </w:p>
  </w:footnote>
  <w:footnote w:id="26">
    <w:p w14:paraId="4D9290EA" w14:textId="40F72D1E" w:rsidR="001C23DB" w:rsidRDefault="001C23DB">
      <w:pPr>
        <w:pStyle w:val="FootnoteText"/>
      </w:pPr>
      <w:r>
        <w:rPr>
          <w:rStyle w:val="FootnoteReference"/>
        </w:rPr>
        <w:footnoteRef/>
      </w:r>
      <w:r>
        <w:t xml:space="preserve"> Liberty and PacifiCorp Opening Comments </w:t>
      </w:r>
      <w:r w:rsidR="00684258">
        <w:t xml:space="preserve">on SB 355 Implementation </w:t>
      </w:r>
      <w:r>
        <w:t>at 3.</w:t>
      </w:r>
    </w:p>
  </w:footnote>
  <w:footnote w:id="27">
    <w:p w14:paraId="14588F88" w14:textId="658ABC00" w:rsidR="001C23DB" w:rsidRDefault="001C23DB">
      <w:pPr>
        <w:pStyle w:val="FootnoteText"/>
      </w:pPr>
      <w:r>
        <w:rPr>
          <w:rStyle w:val="FootnoteReference"/>
        </w:rPr>
        <w:footnoteRef/>
      </w:r>
      <w:r>
        <w:t xml:space="preserve"> Liberty and PacifiCorp Opening Comments </w:t>
      </w:r>
      <w:r w:rsidR="00684258">
        <w:t xml:space="preserve">on SB 355 Implementation </w:t>
      </w:r>
      <w:r>
        <w:t>at 3.</w:t>
      </w:r>
    </w:p>
  </w:footnote>
  <w:footnote w:id="28">
    <w:p w14:paraId="4923C2A1" w14:textId="45A44E4A" w:rsidR="00584758" w:rsidRDefault="00584758">
      <w:pPr>
        <w:pStyle w:val="FootnoteText"/>
      </w:pPr>
      <w:r>
        <w:rPr>
          <w:rStyle w:val="FootnoteReference"/>
        </w:rPr>
        <w:footnoteRef/>
      </w:r>
      <w:r>
        <w:t xml:space="preserve"> Cal Advocates Opening Comments</w:t>
      </w:r>
      <w:r w:rsidR="00684258">
        <w:t xml:space="preserve"> on SB 355 Implementation</w:t>
      </w:r>
      <w:r>
        <w:t xml:space="preserve"> at 1.</w:t>
      </w:r>
    </w:p>
  </w:footnote>
  <w:footnote w:id="29">
    <w:p w14:paraId="5D9E0D77" w14:textId="4B5C4812" w:rsidR="004659D9" w:rsidRDefault="004659D9">
      <w:pPr>
        <w:pStyle w:val="FootnoteText"/>
      </w:pPr>
      <w:r>
        <w:rPr>
          <w:rStyle w:val="FootnoteReference"/>
        </w:rPr>
        <w:footnoteRef/>
      </w:r>
      <w:r>
        <w:t xml:space="preserve"> Cal Advocates Opening Comments </w:t>
      </w:r>
      <w:r w:rsidR="00684258">
        <w:t xml:space="preserve">on SB 355 Implementation </w:t>
      </w:r>
      <w:r>
        <w:t>at 2.</w:t>
      </w:r>
    </w:p>
  </w:footnote>
  <w:footnote w:id="30">
    <w:p w14:paraId="5EE91A54" w14:textId="43791B29" w:rsidR="0057104C" w:rsidRDefault="0057104C">
      <w:pPr>
        <w:pStyle w:val="FootnoteText"/>
      </w:pPr>
      <w:r>
        <w:rPr>
          <w:rStyle w:val="FootnoteReference"/>
        </w:rPr>
        <w:footnoteRef/>
      </w:r>
      <w:r>
        <w:t xml:space="preserve"> Liberty and PacifiCorp Opening Comments </w:t>
      </w:r>
      <w:r w:rsidR="00684258">
        <w:t xml:space="preserve">on SB 355 Implementation </w:t>
      </w:r>
      <w:r>
        <w:t>at 5-6.</w:t>
      </w:r>
    </w:p>
  </w:footnote>
  <w:footnote w:id="31">
    <w:p w14:paraId="4883606B" w14:textId="7CE9CD4E" w:rsidR="0037333A" w:rsidRDefault="0037333A" w:rsidP="0037333A">
      <w:pPr>
        <w:pStyle w:val="FootnoteText"/>
      </w:pPr>
      <w:r>
        <w:rPr>
          <w:rStyle w:val="FootnoteReference"/>
        </w:rPr>
        <w:footnoteRef/>
      </w:r>
      <w:r>
        <w:t xml:space="preserve"> CSE Opening Comments on SB 355 Implementation at 6-7</w:t>
      </w:r>
      <w:r w:rsidR="0092284E">
        <w:t>;</w:t>
      </w:r>
      <w:r>
        <w:t xml:space="preserve"> SEIA Opening Comments on SB 355 Implementation at 6.</w:t>
      </w:r>
    </w:p>
  </w:footnote>
  <w:footnote w:id="32">
    <w:p w14:paraId="7316C04F" w14:textId="77777777" w:rsidR="0037333A" w:rsidRDefault="0037333A" w:rsidP="0037333A">
      <w:pPr>
        <w:pStyle w:val="FootnoteText"/>
      </w:pPr>
      <w:r>
        <w:rPr>
          <w:rStyle w:val="FootnoteReference"/>
        </w:rPr>
        <w:footnoteRef/>
      </w:r>
      <w:r>
        <w:t xml:space="preserve"> CHPC Opening Comments on SB 355 Implementation at 5.</w:t>
      </w:r>
    </w:p>
  </w:footnote>
  <w:footnote w:id="33">
    <w:p w14:paraId="4ADC95ED" w14:textId="77777777" w:rsidR="0037333A" w:rsidRDefault="0037333A" w:rsidP="0037333A">
      <w:pPr>
        <w:pStyle w:val="FootnoteText"/>
      </w:pPr>
      <w:r>
        <w:rPr>
          <w:rStyle w:val="FootnoteReference"/>
        </w:rPr>
        <w:footnoteRef/>
      </w:r>
      <w:r>
        <w:t xml:space="preserve"> Sunrun Reply Comments on SB 355 Implementation at 20-21.</w:t>
      </w:r>
    </w:p>
  </w:footnote>
  <w:footnote w:id="34">
    <w:p w14:paraId="0B708F6D" w14:textId="77777777" w:rsidR="0037333A" w:rsidRDefault="0037333A" w:rsidP="0037333A">
      <w:pPr>
        <w:pStyle w:val="FootnoteText"/>
      </w:pPr>
      <w:r>
        <w:rPr>
          <w:rStyle w:val="FootnoteReference"/>
        </w:rPr>
        <w:footnoteRef/>
      </w:r>
      <w:r>
        <w:t xml:space="preserve"> Sunrun Reply Comments on SB 355 Implementation at 20.</w:t>
      </w:r>
    </w:p>
  </w:footnote>
  <w:footnote w:id="35">
    <w:p w14:paraId="010DDAFB" w14:textId="4388622F" w:rsidR="00C76970" w:rsidRDefault="00C76970">
      <w:pPr>
        <w:pStyle w:val="FootnoteText"/>
      </w:pPr>
      <w:r>
        <w:rPr>
          <w:rStyle w:val="FootnoteReference"/>
        </w:rPr>
        <w:footnoteRef/>
      </w:r>
      <w:r>
        <w:t xml:space="preserve"> </w:t>
      </w:r>
      <w:r w:rsidR="00F45A95">
        <w:t>CSE Opening Comments on SB 355 Implementation at 5</w:t>
      </w:r>
      <w:r w:rsidR="00B46E74">
        <w:t>-</w:t>
      </w:r>
      <w:r>
        <w:t>6.</w:t>
      </w:r>
    </w:p>
  </w:footnote>
  <w:footnote w:id="36">
    <w:p w14:paraId="0C4346D5" w14:textId="07A7FE98" w:rsidR="00EA3482" w:rsidRDefault="00EA3482">
      <w:pPr>
        <w:pStyle w:val="FootnoteText"/>
      </w:pPr>
      <w:r>
        <w:rPr>
          <w:rStyle w:val="FootnoteReference"/>
        </w:rPr>
        <w:footnoteRef/>
      </w:r>
      <w:r>
        <w:t xml:space="preserve"> Sunrun Opening </w:t>
      </w:r>
      <w:r w:rsidR="006937E2">
        <w:t>C</w:t>
      </w:r>
      <w:r>
        <w:t xml:space="preserve">omments </w:t>
      </w:r>
      <w:r w:rsidR="00684258">
        <w:t xml:space="preserve">on SB 355 Implementation </w:t>
      </w:r>
      <w:r>
        <w:t>at 7-8.</w:t>
      </w:r>
    </w:p>
  </w:footnote>
  <w:footnote w:id="37">
    <w:p w14:paraId="0CD8BC10" w14:textId="52DEC317" w:rsidR="003C6671" w:rsidRDefault="003C6671">
      <w:pPr>
        <w:pStyle w:val="FootnoteText"/>
      </w:pPr>
      <w:r>
        <w:rPr>
          <w:rStyle w:val="FootnoteReference"/>
        </w:rPr>
        <w:footnoteRef/>
      </w:r>
      <w:r>
        <w:t xml:space="preserve"> SEIA Opening Comments </w:t>
      </w:r>
      <w:r w:rsidR="00684258">
        <w:t xml:space="preserve">on SB 355 Implementation </w:t>
      </w:r>
      <w:r>
        <w:t>at 4.</w:t>
      </w:r>
    </w:p>
  </w:footnote>
  <w:footnote w:id="38">
    <w:p w14:paraId="285AA7FF" w14:textId="46EF3A33" w:rsidR="000D2C4A" w:rsidRDefault="000D2C4A">
      <w:pPr>
        <w:pStyle w:val="FootnoteText"/>
      </w:pPr>
      <w:r>
        <w:rPr>
          <w:rStyle w:val="FootnoteReference"/>
        </w:rPr>
        <w:footnoteRef/>
      </w:r>
      <w:r>
        <w:t xml:space="preserve"> GRID Alternatives Opening Comments </w:t>
      </w:r>
      <w:r w:rsidR="00684258">
        <w:t xml:space="preserve">on SB 355 Implementation </w:t>
      </w:r>
      <w:r>
        <w:t>at 5.</w:t>
      </w:r>
    </w:p>
  </w:footnote>
  <w:footnote w:id="39">
    <w:p w14:paraId="7E0AB197" w14:textId="62987F22" w:rsidR="000D2C4A" w:rsidRDefault="000D2C4A">
      <w:pPr>
        <w:pStyle w:val="FootnoteText"/>
      </w:pPr>
      <w:r>
        <w:rPr>
          <w:rStyle w:val="FootnoteReference"/>
        </w:rPr>
        <w:footnoteRef/>
      </w:r>
      <w:r>
        <w:t xml:space="preserve"> SCE Opening Comments </w:t>
      </w:r>
      <w:r w:rsidR="00684258">
        <w:t xml:space="preserve">on SB 355 Implementation </w:t>
      </w:r>
      <w:r>
        <w:t>at 4.</w:t>
      </w:r>
    </w:p>
  </w:footnote>
  <w:footnote w:id="40">
    <w:p w14:paraId="72CAC980" w14:textId="51EBAACD" w:rsidR="00911C5C" w:rsidRDefault="00911C5C">
      <w:pPr>
        <w:pStyle w:val="FootnoteText"/>
      </w:pPr>
      <w:r>
        <w:rPr>
          <w:rStyle w:val="FootnoteReference"/>
        </w:rPr>
        <w:footnoteRef/>
      </w:r>
      <w:r>
        <w:t xml:space="preserve"> CBD and CEJA Opening Comments </w:t>
      </w:r>
      <w:r w:rsidR="00684258">
        <w:t xml:space="preserve">on SB 355 Implementation </w:t>
      </w:r>
      <w:r>
        <w:t>at 4-5.</w:t>
      </w:r>
    </w:p>
  </w:footnote>
  <w:footnote w:id="41">
    <w:p w14:paraId="4F21A4AC" w14:textId="557FE546" w:rsidR="000A1CFB" w:rsidRPr="00C43179" w:rsidRDefault="000A1CFB" w:rsidP="00C43179">
      <w:pPr>
        <w:pStyle w:val="Standard"/>
        <w:spacing w:line="240" w:lineRule="auto"/>
        <w:ind w:firstLine="0"/>
        <w:rPr>
          <w:sz w:val="22"/>
        </w:rPr>
      </w:pPr>
      <w:r>
        <w:rPr>
          <w:rStyle w:val="FootnoteReference"/>
        </w:rPr>
        <w:footnoteRef/>
      </w:r>
      <w:r>
        <w:t xml:space="preserve"> </w:t>
      </w:r>
      <w:r w:rsidRPr="007872D1">
        <w:rPr>
          <w:sz w:val="22"/>
        </w:rPr>
        <w:t>D.24-11-006 directed significant program modifications to</w:t>
      </w:r>
      <w:r>
        <w:rPr>
          <w:sz w:val="22"/>
        </w:rPr>
        <w:t xml:space="preserve"> the</w:t>
      </w:r>
      <w:r w:rsidRPr="007872D1">
        <w:rPr>
          <w:sz w:val="22"/>
        </w:rPr>
        <w:t xml:space="preserve"> SOMAH </w:t>
      </w:r>
      <w:r>
        <w:rPr>
          <w:sz w:val="22"/>
        </w:rPr>
        <w:t xml:space="preserve">program </w:t>
      </w:r>
      <w:r w:rsidRPr="007872D1">
        <w:rPr>
          <w:sz w:val="22"/>
        </w:rPr>
        <w:t>including</w:t>
      </w:r>
      <w:r>
        <w:rPr>
          <w:sz w:val="22"/>
        </w:rPr>
        <w:t>, but not limited to</w:t>
      </w:r>
      <w:r w:rsidRPr="007872D1">
        <w:rPr>
          <w:sz w:val="22"/>
        </w:rPr>
        <w:t>: a</w:t>
      </w:r>
      <w:r>
        <w:rPr>
          <w:sz w:val="22"/>
        </w:rPr>
        <w:t>uthorizing funding for</w:t>
      </w:r>
      <w:r w:rsidRPr="007872D1">
        <w:rPr>
          <w:sz w:val="22"/>
        </w:rPr>
        <w:t xml:space="preserve"> integrated storage incentives, revised outreach reporting, elimination of the tenant education requirement, establishment of high-priority property lists, removal of the bidding requirement, revised job trainee requirements, and additional application streamlining. The Decision also formalized DAC participation goals requiring at least 40</w:t>
      </w:r>
      <w:r w:rsidR="00C43179">
        <w:rPr>
          <w:sz w:val="22"/>
        </w:rPr>
        <w:t xml:space="preserve"> percent</w:t>
      </w:r>
      <w:r w:rsidRPr="007872D1">
        <w:rPr>
          <w:sz w:val="22"/>
        </w:rPr>
        <w:t xml:space="preserve"> of all projects statewide and 30</w:t>
      </w:r>
      <w:r w:rsidR="00C43179">
        <w:rPr>
          <w:sz w:val="22"/>
        </w:rPr>
        <w:t xml:space="preserve"> percent</w:t>
      </w:r>
      <w:r w:rsidRPr="007872D1">
        <w:rPr>
          <w:sz w:val="22"/>
        </w:rPr>
        <w:t xml:space="preserve"> per large IOU territory to be in DACs by program end, and directed 1.5% of 2025 ME&amp;O budget toward Liberty and PacifiCorp territories.</w:t>
      </w:r>
    </w:p>
  </w:footnote>
  <w:footnote w:id="42">
    <w:p w14:paraId="58B746E8" w14:textId="77777777" w:rsidR="000A1CFB" w:rsidRDefault="000A1CFB" w:rsidP="000A1CFB">
      <w:pPr>
        <w:pStyle w:val="FootnoteText"/>
      </w:pPr>
      <w:r>
        <w:rPr>
          <w:rStyle w:val="FootnoteReference"/>
        </w:rPr>
        <w:footnoteRef/>
      </w:r>
      <w:r>
        <w:t xml:space="preserve"> </w:t>
      </w:r>
      <w:r w:rsidRPr="00FC66B7">
        <w:t>D.</w:t>
      </w:r>
      <w:r>
        <w:t>24-11-006</w:t>
      </w:r>
      <w:r w:rsidRPr="00FC66B7">
        <w:t xml:space="preserve"> </w:t>
      </w:r>
      <w:r w:rsidRPr="00FC66B7">
        <w:rPr>
          <w:i/>
          <w:iCs/>
        </w:rPr>
        <w:t xml:space="preserve">Decision </w:t>
      </w:r>
      <w:r>
        <w:rPr>
          <w:i/>
          <w:iCs/>
        </w:rPr>
        <w:t xml:space="preserve">Modifying Solar on </w:t>
      </w:r>
      <w:r w:rsidRPr="00FC66B7">
        <w:rPr>
          <w:i/>
          <w:iCs/>
        </w:rPr>
        <w:t>Multi</w:t>
      </w:r>
      <w:r>
        <w:rPr>
          <w:i/>
          <w:iCs/>
        </w:rPr>
        <w:t>f</w:t>
      </w:r>
      <w:r w:rsidRPr="00FC66B7">
        <w:rPr>
          <w:i/>
          <w:iCs/>
        </w:rPr>
        <w:t>amily Affordable Housing Program</w:t>
      </w:r>
      <w:r w:rsidRPr="00FC66B7">
        <w:t xml:space="preserve">, issued </w:t>
      </w:r>
      <w:r>
        <w:t>November</w:t>
      </w:r>
      <w:r w:rsidRPr="00FC66B7">
        <w:t xml:space="preserve"> </w:t>
      </w:r>
      <w:r>
        <w:t>7</w:t>
      </w:r>
      <w:r w:rsidRPr="00FC66B7">
        <w:t>, 20</w:t>
      </w:r>
      <w:r>
        <w:t>24</w:t>
      </w:r>
      <w:r w:rsidRPr="00FC66B7">
        <w:t xml:space="preserve"> (D.</w:t>
      </w:r>
      <w:r>
        <w:t>24-11-006</w:t>
      </w:r>
      <w:r w:rsidRPr="00FC66B7">
        <w:t>) at</w:t>
      </w:r>
      <w:r>
        <w:t xml:space="preserve"> 55</w:t>
      </w:r>
      <w:r w:rsidRPr="00FC66B7">
        <w:t xml:space="preserve">.  </w:t>
      </w:r>
    </w:p>
  </w:footnote>
  <w:footnote w:id="43">
    <w:p w14:paraId="6C6FC2B8" w14:textId="01FFAAF3" w:rsidR="00C43179" w:rsidRDefault="00C43179">
      <w:pPr>
        <w:pStyle w:val="FootnoteText"/>
      </w:pPr>
      <w:r>
        <w:rPr>
          <w:rStyle w:val="FootnoteReference"/>
        </w:rPr>
        <w:footnoteRef/>
      </w:r>
      <w:r>
        <w:t xml:space="preserve"> Resolution E-5054 at </w:t>
      </w:r>
      <w:r w:rsidR="006C6C0D">
        <w:t>14.</w:t>
      </w:r>
    </w:p>
  </w:footnote>
  <w:footnote w:id="44">
    <w:p w14:paraId="641DB6D7" w14:textId="40F52433" w:rsidR="001C1599" w:rsidRDefault="001C1599" w:rsidP="001C1599">
      <w:pPr>
        <w:pStyle w:val="FootnoteText"/>
      </w:pPr>
      <w:r>
        <w:rPr>
          <w:rStyle w:val="FootnoteReference"/>
        </w:rPr>
        <w:footnoteRef/>
      </w:r>
      <w:r>
        <w:t xml:space="preserve"> </w:t>
      </w:r>
      <w:r w:rsidR="0076549D">
        <w:t>CSE Opening Comments at 5</w:t>
      </w:r>
      <w:r>
        <w:t>.</w:t>
      </w:r>
    </w:p>
  </w:footnote>
  <w:footnote w:id="45">
    <w:p w14:paraId="0305A09E" w14:textId="78876F33" w:rsidR="00BC5ACC" w:rsidRDefault="00BC5ACC" w:rsidP="00BC5ACC">
      <w:pPr>
        <w:pStyle w:val="FootnoteText"/>
      </w:pPr>
      <w:r>
        <w:rPr>
          <w:rStyle w:val="FootnoteReference"/>
        </w:rPr>
        <w:footnoteRef/>
      </w:r>
      <w:r>
        <w:t xml:space="preserve"> CSE Opening Comments on SB 355 Implementation at 5; Sunrun Opening Comments on SB 355 Implementation at 4.</w:t>
      </w:r>
    </w:p>
  </w:footnote>
  <w:footnote w:id="46">
    <w:p w14:paraId="30D758C3" w14:textId="21F9BF42" w:rsidR="00D52BCF" w:rsidRDefault="00D52BCF">
      <w:pPr>
        <w:pStyle w:val="FootnoteText"/>
      </w:pPr>
      <w:r>
        <w:rPr>
          <w:rStyle w:val="FootnoteReference"/>
        </w:rPr>
        <w:footnoteRef/>
      </w:r>
      <w:r>
        <w:t xml:space="preserve"> Cal Advocates Opening Comments on SB 355 Implementation at 5.</w:t>
      </w:r>
    </w:p>
  </w:footnote>
  <w:footnote w:id="47">
    <w:p w14:paraId="3D9B8AAD" w14:textId="6C333930" w:rsidR="00D52BCF" w:rsidRDefault="00D52BCF">
      <w:pPr>
        <w:pStyle w:val="FootnoteText"/>
      </w:pPr>
      <w:r>
        <w:rPr>
          <w:rStyle w:val="FootnoteReference"/>
        </w:rPr>
        <w:footnoteRef/>
      </w:r>
      <w:r>
        <w:t xml:space="preserve"> Cal Advocates Opening Comments on SB 355 Implementation at 5.</w:t>
      </w:r>
    </w:p>
  </w:footnote>
  <w:footnote w:id="48">
    <w:p w14:paraId="3BD5EC4A" w14:textId="1964ED3C" w:rsidR="001C1599" w:rsidRDefault="001C1599">
      <w:pPr>
        <w:pStyle w:val="FootnoteText"/>
      </w:pPr>
      <w:r>
        <w:rPr>
          <w:rStyle w:val="FootnoteReference"/>
        </w:rPr>
        <w:footnoteRef/>
      </w:r>
      <w:r>
        <w:t xml:space="preserve"> Cal Advocates Opening Com</w:t>
      </w:r>
      <w:r w:rsidR="00684258">
        <w:t>m</w:t>
      </w:r>
      <w:r>
        <w:t xml:space="preserve">ents </w:t>
      </w:r>
      <w:r w:rsidR="00684258">
        <w:t xml:space="preserve">on SB 355 Implementation </w:t>
      </w:r>
      <w:r>
        <w:t>at 5.</w:t>
      </w:r>
    </w:p>
  </w:footnote>
  <w:footnote w:id="49">
    <w:p w14:paraId="11E73B6E" w14:textId="745824DB" w:rsidR="00816CC2" w:rsidRDefault="00816CC2">
      <w:pPr>
        <w:pStyle w:val="FootnoteText"/>
      </w:pPr>
      <w:r>
        <w:rPr>
          <w:rStyle w:val="FootnoteReference"/>
        </w:rPr>
        <w:footnoteRef/>
      </w:r>
      <w:r>
        <w:t xml:space="preserve"> PG&amp;E Openin</w:t>
      </w:r>
      <w:r w:rsidR="00877E08">
        <w:t>g</w:t>
      </w:r>
      <w:r>
        <w:t xml:space="preserve"> Comments </w:t>
      </w:r>
      <w:r w:rsidR="00684258">
        <w:t xml:space="preserve">on SB 355 Implementation </w:t>
      </w:r>
      <w:r>
        <w:t>at 5.</w:t>
      </w:r>
    </w:p>
  </w:footnote>
  <w:footnote w:id="50">
    <w:p w14:paraId="6E76C1D2" w14:textId="3A9AE913" w:rsidR="006C6C0D" w:rsidRDefault="006C6C0D">
      <w:pPr>
        <w:pStyle w:val="FootnoteText"/>
      </w:pPr>
      <w:r>
        <w:rPr>
          <w:rStyle w:val="FootnoteReference"/>
        </w:rPr>
        <w:footnoteRef/>
      </w:r>
      <w:r>
        <w:t xml:space="preserve"> PG&amp;E Opening Comments on SB 355 Implementation at 4, Cal Advocates Opening Comments on SB 355 Implementation at 5, </w:t>
      </w:r>
    </w:p>
  </w:footnote>
  <w:footnote w:id="51">
    <w:p w14:paraId="4F4EECE1" w14:textId="184C3F6E" w:rsidR="5041AA49" w:rsidRDefault="5041AA49" w:rsidP="00583297">
      <w:pPr>
        <w:pStyle w:val="FootnoteText"/>
      </w:pPr>
      <w:r w:rsidRPr="5041AA49">
        <w:rPr>
          <w:rStyle w:val="FootnoteReference"/>
        </w:rPr>
        <w:footnoteRef/>
      </w:r>
      <w:r>
        <w:t xml:space="preserve"> D.23-03-007</w:t>
      </w:r>
      <w:r w:rsidR="006C6C0D">
        <w:t xml:space="preserve"> Ordering Paragraph (OP) 1.</w:t>
      </w:r>
    </w:p>
  </w:footnote>
  <w:footnote w:id="52">
    <w:p w14:paraId="70822408" w14:textId="35B758FC" w:rsidR="00A80104" w:rsidRDefault="00A80104">
      <w:pPr>
        <w:pStyle w:val="FootnoteText"/>
      </w:pPr>
      <w:r>
        <w:rPr>
          <w:rStyle w:val="FootnoteReference"/>
        </w:rPr>
        <w:footnoteRef/>
      </w:r>
      <w:r>
        <w:t xml:space="preserve"> SCE Response to ALJ January 26 Ruling at 7.</w:t>
      </w:r>
    </w:p>
  </w:footnote>
  <w:footnote w:id="53">
    <w:p w14:paraId="15DB81A9" w14:textId="7AA78E32" w:rsidR="00A80104" w:rsidRPr="00A80104" w:rsidRDefault="00A80104">
      <w:pPr>
        <w:pStyle w:val="FootnoteText"/>
      </w:pPr>
      <w:r>
        <w:rPr>
          <w:rStyle w:val="FootnoteReference"/>
        </w:rPr>
        <w:footnoteRef/>
      </w:r>
      <w:r w:rsidRPr="00A80104">
        <w:t xml:space="preserve"> PG&amp;E R</w:t>
      </w:r>
      <w:r w:rsidRPr="009D20E3">
        <w:t>esponse to ALJ Jan</w:t>
      </w:r>
      <w:r>
        <w:t>uary 26 Ruling at 5-6.</w:t>
      </w:r>
    </w:p>
  </w:footnote>
  <w:footnote w:id="54">
    <w:p w14:paraId="65CD6246" w14:textId="2CF981C1" w:rsidR="0068363B" w:rsidRPr="0068363B" w:rsidRDefault="0068363B">
      <w:pPr>
        <w:pStyle w:val="FootnoteText"/>
      </w:pPr>
      <w:r>
        <w:rPr>
          <w:rStyle w:val="FootnoteReference"/>
        </w:rPr>
        <w:footnoteRef/>
      </w:r>
      <w:r w:rsidRPr="0068363B">
        <w:t xml:space="preserve"> SDG&amp;E R</w:t>
      </w:r>
      <w:r w:rsidRPr="009D20E3">
        <w:t>esponse to ALJ Jan</w:t>
      </w:r>
      <w:r>
        <w:t>uary 26 Ruling at 8.</w:t>
      </w:r>
    </w:p>
  </w:footnote>
  <w:footnote w:id="55">
    <w:p w14:paraId="16F8ED6C" w14:textId="6F6D6DAC" w:rsidR="0068363B" w:rsidRPr="0068363B" w:rsidRDefault="0068363B">
      <w:pPr>
        <w:pStyle w:val="FootnoteText"/>
      </w:pPr>
      <w:r>
        <w:rPr>
          <w:rStyle w:val="FootnoteReference"/>
        </w:rPr>
        <w:footnoteRef/>
      </w:r>
      <w:r w:rsidRPr="0068363B">
        <w:t xml:space="preserve"> SDG&amp;E </w:t>
      </w:r>
      <w:r w:rsidRPr="009D20E3">
        <w:t>Response to ALJ Jan</w:t>
      </w:r>
      <w:r>
        <w:t>uary 26 Ruling at 9.</w:t>
      </w:r>
    </w:p>
  </w:footnote>
  <w:footnote w:id="56">
    <w:p w14:paraId="1FAA2A5E" w14:textId="34B25ECD" w:rsidR="007F314E" w:rsidRDefault="007F314E">
      <w:pPr>
        <w:pStyle w:val="FootnoteText"/>
      </w:pPr>
      <w:r>
        <w:rPr>
          <w:rStyle w:val="FootnoteReference"/>
        </w:rPr>
        <w:footnoteRef/>
      </w:r>
      <w:r w:rsidRPr="0068363B">
        <w:t xml:space="preserve"> Pub. Util. </w:t>
      </w:r>
      <w:r>
        <w:t xml:space="preserve">Code </w:t>
      </w:r>
      <w:r w:rsidR="003A07F4">
        <w:t>Section</w:t>
      </w:r>
      <w:r>
        <w:t xml:space="preserve"> 2870(g)(2).</w:t>
      </w:r>
    </w:p>
  </w:footnote>
  <w:footnote w:id="57">
    <w:p w14:paraId="2328F39B" w14:textId="77777777" w:rsidR="00892444" w:rsidRDefault="00892444" w:rsidP="00892444">
      <w:pPr>
        <w:pStyle w:val="FootnoteText"/>
      </w:pPr>
      <w:r>
        <w:rPr>
          <w:rStyle w:val="FootnoteReference"/>
        </w:rPr>
        <w:footnoteRef/>
      </w:r>
      <w:r>
        <w:t xml:space="preserve"> Sunrun Opening Comments on SB 355 Implementation at 16-17.</w:t>
      </w:r>
    </w:p>
  </w:footnote>
  <w:footnote w:id="58">
    <w:p w14:paraId="75164AF6" w14:textId="77777777" w:rsidR="00892444" w:rsidRDefault="00892444" w:rsidP="00892444">
      <w:pPr>
        <w:pStyle w:val="FootnoteText"/>
      </w:pPr>
      <w:r>
        <w:rPr>
          <w:rStyle w:val="FootnoteReference"/>
        </w:rPr>
        <w:footnoteRef/>
      </w:r>
      <w:r>
        <w:t xml:space="preserve"> SEIA Opening Comments on SB 355 Implementation at 7.</w:t>
      </w:r>
    </w:p>
  </w:footnote>
  <w:footnote w:id="59">
    <w:p w14:paraId="408401F8" w14:textId="748ACC6F" w:rsidR="008A3048" w:rsidRDefault="008A3048">
      <w:pPr>
        <w:pStyle w:val="FootnoteText"/>
      </w:pPr>
      <w:r>
        <w:rPr>
          <w:rStyle w:val="FootnoteReference"/>
        </w:rPr>
        <w:footnoteRef/>
      </w:r>
      <w:r>
        <w:t xml:space="preserve"> CBD and CEJA Reply Comments </w:t>
      </w:r>
      <w:r w:rsidR="00684258">
        <w:t xml:space="preserve">on SB 355 Implementation </w:t>
      </w:r>
      <w:r>
        <w:t>at 12.</w:t>
      </w:r>
    </w:p>
  </w:footnote>
  <w:footnote w:id="60">
    <w:p w14:paraId="74836DC7" w14:textId="0C6C6C26" w:rsidR="0064440D" w:rsidRDefault="0064440D">
      <w:pPr>
        <w:pStyle w:val="FootnoteText"/>
      </w:pPr>
      <w:r>
        <w:rPr>
          <w:rStyle w:val="FootnoteReference"/>
        </w:rPr>
        <w:footnoteRef/>
      </w:r>
      <w:r>
        <w:t xml:space="preserve"> CBD and CEJA Reply Comments on SB 355 Implementation at 12.</w:t>
      </w:r>
    </w:p>
  </w:footnote>
  <w:footnote w:id="61">
    <w:p w14:paraId="536B0D03" w14:textId="4FF9C98B" w:rsidR="00E97F64" w:rsidRDefault="00E97F64">
      <w:pPr>
        <w:pStyle w:val="FootnoteText"/>
      </w:pPr>
      <w:r>
        <w:rPr>
          <w:rStyle w:val="FootnoteReference"/>
        </w:rPr>
        <w:footnoteRef/>
      </w:r>
      <w:r>
        <w:t xml:space="preserve"> </w:t>
      </w:r>
      <w:r w:rsidR="00AF518B">
        <w:t xml:space="preserve">Pub. Util. Code </w:t>
      </w:r>
      <w:r w:rsidR="003A07F4">
        <w:t>Section</w:t>
      </w:r>
      <w:r w:rsidR="00AF518B">
        <w:t xml:space="preserve"> 2870(g)(1)</w:t>
      </w:r>
      <w:r w:rsidR="0092284E">
        <w:t>;</w:t>
      </w:r>
      <w:r w:rsidR="00AF518B">
        <w:t xml:space="preserve"> </w:t>
      </w:r>
      <w:r>
        <w:t>CBD and CEJA Reply Comments</w:t>
      </w:r>
      <w:r w:rsidR="00684258" w:rsidRPr="00684258">
        <w:t xml:space="preserve"> </w:t>
      </w:r>
      <w:r w:rsidR="00684258">
        <w:t>on SB 355 Implementation</w:t>
      </w:r>
      <w:r>
        <w:t xml:space="preserve"> at </w:t>
      </w:r>
      <w:r w:rsidR="002B2903">
        <w:t>13</w:t>
      </w:r>
      <w:r>
        <w:t>.</w:t>
      </w:r>
    </w:p>
  </w:footnote>
  <w:footnote w:id="62">
    <w:p w14:paraId="0E0F4649" w14:textId="388BC765" w:rsidR="00AC3F5E" w:rsidRDefault="00AC3F5E">
      <w:pPr>
        <w:pStyle w:val="FootnoteText"/>
      </w:pPr>
      <w:r>
        <w:rPr>
          <w:rStyle w:val="FootnoteReference"/>
        </w:rPr>
        <w:footnoteRef/>
      </w:r>
      <w:r>
        <w:t xml:space="preserve"> </w:t>
      </w:r>
      <w:r w:rsidRPr="0068363B">
        <w:t xml:space="preserve">Pub. Util. </w:t>
      </w:r>
      <w:r>
        <w:t xml:space="preserve">Code </w:t>
      </w:r>
      <w:r w:rsidR="003A07F4">
        <w:t>Section</w:t>
      </w:r>
      <w:r>
        <w:t xml:space="preserve"> 2870(g)(2)</w:t>
      </w:r>
      <w:r w:rsidR="00892444">
        <w:t>, Cal Advocates Opening Comments on SB 355 Implementation at 4</w:t>
      </w:r>
      <w:r>
        <w:t>.</w:t>
      </w:r>
    </w:p>
  </w:footnote>
  <w:footnote w:id="63">
    <w:p w14:paraId="325FD157" w14:textId="37A475A3" w:rsidR="00877E08" w:rsidRDefault="00877E08">
      <w:pPr>
        <w:pStyle w:val="FootnoteText"/>
      </w:pPr>
      <w:r>
        <w:rPr>
          <w:rStyle w:val="FootnoteReference"/>
        </w:rPr>
        <w:footnoteRef/>
      </w:r>
      <w:r>
        <w:t xml:space="preserve"> PG&amp;E Opening Comments </w:t>
      </w:r>
      <w:r w:rsidR="00684258">
        <w:t xml:space="preserve">on SB 355 Implementation </w:t>
      </w:r>
      <w:r>
        <w:t>at 5.</w:t>
      </w:r>
    </w:p>
  </w:footnote>
  <w:footnote w:id="64">
    <w:p w14:paraId="5F966598" w14:textId="3B41B745" w:rsidR="006937E2" w:rsidRDefault="006937E2">
      <w:pPr>
        <w:pStyle w:val="FootnoteText"/>
      </w:pPr>
      <w:r>
        <w:rPr>
          <w:rStyle w:val="FootnoteReference"/>
        </w:rPr>
        <w:footnoteRef/>
      </w:r>
      <w:r>
        <w:t xml:space="preserve"> PG&amp;E Opening Comments </w:t>
      </w:r>
      <w:r w:rsidR="00684258">
        <w:t xml:space="preserve">on SB 355 Implementation </w:t>
      </w:r>
      <w:r>
        <w:t>at 5-6.</w:t>
      </w:r>
    </w:p>
  </w:footnote>
  <w:footnote w:id="65">
    <w:p w14:paraId="396E78A7" w14:textId="6320AFBA" w:rsidR="006937E2" w:rsidRDefault="006937E2">
      <w:pPr>
        <w:pStyle w:val="FootnoteText"/>
      </w:pPr>
      <w:r>
        <w:rPr>
          <w:rStyle w:val="FootnoteReference"/>
        </w:rPr>
        <w:footnoteRef/>
      </w:r>
      <w:r>
        <w:t xml:space="preserve"> SCE Reply Comments </w:t>
      </w:r>
      <w:r w:rsidR="00684258">
        <w:t xml:space="preserve">on SB 355 Implementation </w:t>
      </w:r>
      <w:r>
        <w:t xml:space="preserve">at </w:t>
      </w:r>
      <w:r w:rsidR="000C666F">
        <w:t>5.</w:t>
      </w:r>
    </w:p>
  </w:footnote>
  <w:footnote w:id="66">
    <w:p w14:paraId="50B7E4E2" w14:textId="78024E5B" w:rsidR="00716270" w:rsidRDefault="00716270">
      <w:pPr>
        <w:pStyle w:val="FootnoteText"/>
      </w:pPr>
      <w:r>
        <w:rPr>
          <w:rStyle w:val="FootnoteReference"/>
        </w:rPr>
        <w:footnoteRef/>
      </w:r>
      <w:r>
        <w:t xml:space="preserve"> Liberty and PacifiCorp Opening Comments </w:t>
      </w:r>
      <w:r w:rsidR="00684258">
        <w:t xml:space="preserve">on SB 355 Implementation </w:t>
      </w:r>
      <w:r>
        <w:t>at 8.</w:t>
      </w:r>
    </w:p>
  </w:footnote>
  <w:footnote w:id="67">
    <w:p w14:paraId="787FC391" w14:textId="35A02E00" w:rsidR="000D7AB8" w:rsidRDefault="000D7AB8">
      <w:pPr>
        <w:pStyle w:val="FootnoteText"/>
      </w:pPr>
      <w:r>
        <w:rPr>
          <w:rStyle w:val="FootnoteReference"/>
        </w:rPr>
        <w:footnoteRef/>
      </w:r>
      <w:r>
        <w:t xml:space="preserve"> Cal Advocates Opening Comments on SB 355 Implementation at 4.</w:t>
      </w:r>
    </w:p>
  </w:footnote>
  <w:footnote w:id="68">
    <w:p w14:paraId="6A62C317" w14:textId="080D96D6" w:rsidR="00716270" w:rsidRDefault="00716270">
      <w:pPr>
        <w:pStyle w:val="FootnoteText"/>
      </w:pPr>
      <w:r>
        <w:rPr>
          <w:rStyle w:val="FootnoteReference"/>
        </w:rPr>
        <w:footnoteRef/>
      </w:r>
      <w:r>
        <w:t xml:space="preserve"> </w:t>
      </w:r>
      <w:r w:rsidR="00EF604B">
        <w:t>SEIA Opening Comments</w:t>
      </w:r>
      <w:r w:rsidR="00684258">
        <w:t xml:space="preserve"> on SB 355 Implementation</w:t>
      </w:r>
      <w:r w:rsidR="00EF604B">
        <w:t xml:space="preserve"> at 7</w:t>
      </w:r>
      <w:r w:rsidR="0092284E">
        <w:t>;</w:t>
      </w:r>
      <w:r w:rsidR="00EF604B">
        <w:t xml:space="preserve"> </w:t>
      </w:r>
      <w:r>
        <w:t xml:space="preserve">Sunrun Opening Comments </w:t>
      </w:r>
      <w:r w:rsidR="00684258">
        <w:t xml:space="preserve">on SB 355 Implementation </w:t>
      </w:r>
      <w:r>
        <w:t>at 22-23</w:t>
      </w:r>
      <w:r w:rsidR="0092284E">
        <w:t>;</w:t>
      </w:r>
      <w:r>
        <w:t xml:space="preserve"> </w:t>
      </w:r>
      <w:r w:rsidR="00EF604B">
        <w:t xml:space="preserve">CSE Opening Comments </w:t>
      </w:r>
      <w:r w:rsidR="00684258">
        <w:t xml:space="preserve">on SB 355 Implementation </w:t>
      </w:r>
      <w:r w:rsidR="00EF604B">
        <w:t>at 16.</w:t>
      </w:r>
    </w:p>
  </w:footnote>
  <w:footnote w:id="69">
    <w:p w14:paraId="68EFC966" w14:textId="0B34ABE8" w:rsidR="00EF604B" w:rsidRDefault="00EF604B">
      <w:pPr>
        <w:pStyle w:val="FootnoteText"/>
      </w:pPr>
      <w:r>
        <w:rPr>
          <w:rStyle w:val="FootnoteReference"/>
        </w:rPr>
        <w:footnoteRef/>
      </w:r>
      <w:r>
        <w:t xml:space="preserve"> CSE Reply Comments </w:t>
      </w:r>
      <w:r w:rsidR="00684258">
        <w:t xml:space="preserve">on SB 355 Implementation </w:t>
      </w:r>
      <w:r>
        <w:t>at 5-6.</w:t>
      </w:r>
    </w:p>
  </w:footnote>
  <w:footnote w:id="70">
    <w:p w14:paraId="27850B33" w14:textId="7EB3A0A5" w:rsidR="00EF604B" w:rsidRDefault="00EF604B">
      <w:pPr>
        <w:pStyle w:val="FootnoteText"/>
      </w:pPr>
      <w:r>
        <w:rPr>
          <w:rStyle w:val="FootnoteReference"/>
        </w:rPr>
        <w:footnoteRef/>
      </w:r>
      <w:r>
        <w:t xml:space="preserve"> CSE Opening Comments </w:t>
      </w:r>
      <w:r w:rsidR="00684258">
        <w:t xml:space="preserve">on SB 355 Implementation </w:t>
      </w:r>
      <w:r>
        <w:t>at 16-17.</w:t>
      </w:r>
    </w:p>
  </w:footnote>
  <w:footnote w:id="71">
    <w:p w14:paraId="523527F2" w14:textId="082FBEEA" w:rsidR="00EF604B" w:rsidRDefault="00EF604B">
      <w:pPr>
        <w:pStyle w:val="FootnoteText"/>
      </w:pPr>
      <w:r>
        <w:rPr>
          <w:rStyle w:val="FootnoteReference"/>
        </w:rPr>
        <w:footnoteRef/>
      </w:r>
      <w:r>
        <w:t xml:space="preserve"> Sunrun Reply Comments</w:t>
      </w:r>
      <w:r w:rsidR="00684258">
        <w:t xml:space="preserve"> on SB 355 Implementation</w:t>
      </w:r>
      <w:r>
        <w:t xml:space="preserve"> at 24.</w:t>
      </w:r>
    </w:p>
  </w:footnote>
  <w:footnote w:id="72">
    <w:p w14:paraId="67B962DD" w14:textId="03565193" w:rsidR="007D708D" w:rsidRDefault="007D708D">
      <w:pPr>
        <w:pStyle w:val="FootnoteText"/>
      </w:pPr>
      <w:r>
        <w:rPr>
          <w:rStyle w:val="FootnoteReference"/>
        </w:rPr>
        <w:footnoteRef/>
      </w:r>
      <w:r>
        <w:t xml:space="preserve"> SCE Reply Comments</w:t>
      </w:r>
      <w:r w:rsidR="00684258">
        <w:t xml:space="preserve"> on SB 355 Implementation</w:t>
      </w:r>
      <w:r>
        <w:t xml:space="preserve"> at 6-7.</w:t>
      </w:r>
    </w:p>
  </w:footnote>
  <w:footnote w:id="73">
    <w:p w14:paraId="0340E367" w14:textId="21841EAA" w:rsidR="009A44DE" w:rsidRDefault="009A44DE">
      <w:pPr>
        <w:pStyle w:val="FootnoteText"/>
      </w:pPr>
      <w:r>
        <w:rPr>
          <w:rStyle w:val="FootnoteReference"/>
        </w:rPr>
        <w:footnoteRef/>
      </w:r>
      <w:r>
        <w:t xml:space="preserve"> SDG&amp;E Reply Comments </w:t>
      </w:r>
      <w:r w:rsidR="00684258">
        <w:t xml:space="preserve">on SB 355 Implementation </w:t>
      </w:r>
      <w:r>
        <w:t xml:space="preserve">at </w:t>
      </w:r>
      <w:r w:rsidR="00E97DAD">
        <w:t>4.</w:t>
      </w:r>
    </w:p>
  </w:footnote>
  <w:footnote w:id="74">
    <w:p w14:paraId="1245226C" w14:textId="18764088" w:rsidR="00490436" w:rsidRDefault="00490436">
      <w:pPr>
        <w:pStyle w:val="FootnoteText"/>
      </w:pPr>
      <w:r>
        <w:rPr>
          <w:rStyle w:val="FootnoteReference"/>
        </w:rPr>
        <w:footnoteRef/>
      </w:r>
      <w:r>
        <w:t xml:space="preserve"> </w:t>
      </w:r>
      <w:r w:rsidR="00FE7BCE">
        <w:t xml:space="preserve">PG&amp;E Reply Comments on SB 355 Implementation at 3-4. </w:t>
      </w:r>
    </w:p>
  </w:footnote>
  <w:footnote w:id="75">
    <w:p w14:paraId="73005749" w14:textId="0C6034D6" w:rsidR="00B862F9" w:rsidRDefault="00B862F9">
      <w:pPr>
        <w:pStyle w:val="FootnoteText"/>
      </w:pPr>
      <w:r>
        <w:rPr>
          <w:rStyle w:val="FootnoteReference"/>
        </w:rPr>
        <w:footnoteRef/>
      </w:r>
      <w:r>
        <w:t xml:space="preserve"> PG&amp;E Opening Comments on SB 355 Implementation at 5</w:t>
      </w:r>
      <w:r w:rsidR="0092284E">
        <w:t>;</w:t>
      </w:r>
      <w:r>
        <w:t xml:space="preserve"> PG&amp;E Reply Comments on SB 355 Implementation at 4.</w:t>
      </w:r>
    </w:p>
  </w:footnote>
  <w:footnote w:id="76">
    <w:p w14:paraId="307A931C" w14:textId="15E445C2" w:rsidR="009770DE" w:rsidRDefault="009770DE">
      <w:pPr>
        <w:pStyle w:val="FootnoteText"/>
      </w:pPr>
      <w:r>
        <w:rPr>
          <w:rStyle w:val="FootnoteReference"/>
        </w:rPr>
        <w:footnoteRef/>
      </w:r>
      <w:r>
        <w:t xml:space="preserve"> D.24-11-006 OP 1.</w:t>
      </w:r>
    </w:p>
  </w:footnote>
  <w:footnote w:id="77">
    <w:p w14:paraId="67C417D9" w14:textId="5A4663F3" w:rsidR="007A349E" w:rsidRDefault="007A349E">
      <w:pPr>
        <w:pStyle w:val="FootnoteText"/>
      </w:pPr>
      <w:r>
        <w:rPr>
          <w:rStyle w:val="FootnoteReference"/>
        </w:rPr>
        <w:footnoteRef/>
      </w:r>
      <w:r>
        <w:t xml:space="preserve"> </w:t>
      </w:r>
      <w:r w:rsidR="00C53855">
        <w:t>CALSSA</w:t>
      </w:r>
      <w:r w:rsidR="00D23854">
        <w:t xml:space="preserve"> Opening Comments in Response to AB 1207 at 2</w:t>
      </w:r>
      <w:r w:rsidR="0092284E">
        <w:t>;</w:t>
      </w:r>
      <w:r w:rsidR="00D23854">
        <w:t xml:space="preserve"> CSE Reply Comments in Response to AB 1207 at 1</w:t>
      </w:r>
      <w:r w:rsidR="0092284E">
        <w:t>;</w:t>
      </w:r>
      <w:r w:rsidR="00D23854">
        <w:t xml:space="preserve"> Sunrun Opening Comments in Response to AB 1207 at 2</w:t>
      </w:r>
      <w:r w:rsidR="0092284E">
        <w:t>;</w:t>
      </w:r>
      <w:r w:rsidR="00503BE4">
        <w:t xml:space="preserve"> </w:t>
      </w:r>
      <w:r>
        <w:t xml:space="preserve">D.20-04-012 </w:t>
      </w:r>
      <w:r w:rsidR="0092284E">
        <w:t xml:space="preserve">at </w:t>
      </w:r>
      <w:r>
        <w:t>OP 6.</w:t>
      </w:r>
    </w:p>
  </w:footnote>
  <w:footnote w:id="78">
    <w:p w14:paraId="705657E2" w14:textId="24CD4339" w:rsidR="00D50204" w:rsidRDefault="00D50204">
      <w:pPr>
        <w:pStyle w:val="FootnoteText"/>
      </w:pPr>
      <w:r>
        <w:rPr>
          <w:rStyle w:val="FootnoteReference"/>
        </w:rPr>
        <w:footnoteRef/>
      </w:r>
      <w:r>
        <w:t xml:space="preserve"> D.20-04-012 at 10.</w:t>
      </w:r>
    </w:p>
  </w:footnote>
  <w:footnote w:id="79">
    <w:p w14:paraId="428B7013" w14:textId="1EA9C175" w:rsidR="002C4727" w:rsidRDefault="002C4727">
      <w:pPr>
        <w:pStyle w:val="FootnoteText"/>
      </w:pPr>
      <w:r>
        <w:rPr>
          <w:rStyle w:val="FootnoteReference"/>
        </w:rPr>
        <w:footnoteRef/>
      </w:r>
      <w:r>
        <w:t xml:space="preserve"> October 20 ALJ Ruling at </w:t>
      </w:r>
      <w:r w:rsidR="00C718D3">
        <w:t>3.</w:t>
      </w:r>
    </w:p>
  </w:footnote>
  <w:footnote w:id="80">
    <w:p w14:paraId="0BE96CD4" w14:textId="280FEDCC" w:rsidR="00D23854" w:rsidRDefault="00D23854">
      <w:pPr>
        <w:pStyle w:val="FootnoteText"/>
      </w:pPr>
      <w:r>
        <w:rPr>
          <w:rStyle w:val="FootnoteReference"/>
        </w:rPr>
        <w:footnoteRef/>
      </w:r>
      <w:r>
        <w:t xml:space="preserve"> CSE Opening Comments in Response to AB 1207 at 7.</w:t>
      </w:r>
    </w:p>
  </w:footnote>
  <w:footnote w:id="81">
    <w:p w14:paraId="2EB3ABA4" w14:textId="38F294F8" w:rsidR="009C31C8" w:rsidRDefault="009C31C8">
      <w:pPr>
        <w:pStyle w:val="FootnoteText"/>
      </w:pPr>
      <w:r>
        <w:rPr>
          <w:rStyle w:val="FootnoteReference"/>
        </w:rPr>
        <w:footnoteRef/>
      </w:r>
      <w:r>
        <w:t xml:space="preserve"> PG&amp;E Opening Comments in Response to AB 1207 at 3.</w:t>
      </w:r>
    </w:p>
  </w:footnote>
  <w:footnote w:id="82">
    <w:p w14:paraId="10824905" w14:textId="0A338D1E" w:rsidR="000568E3" w:rsidRDefault="000568E3">
      <w:pPr>
        <w:pStyle w:val="FootnoteText"/>
      </w:pPr>
      <w:r>
        <w:rPr>
          <w:rStyle w:val="FootnoteReference"/>
        </w:rPr>
        <w:footnoteRef/>
      </w:r>
      <w:r>
        <w:t xml:space="preserve"> Cal Advocates Opening Comments in Response to AB 1207 at 6.</w:t>
      </w:r>
    </w:p>
  </w:footnote>
  <w:footnote w:id="83">
    <w:p w14:paraId="27070E47" w14:textId="4D170C20" w:rsidR="00130656" w:rsidRDefault="00130656">
      <w:pPr>
        <w:pStyle w:val="FootnoteText"/>
      </w:pPr>
      <w:r>
        <w:rPr>
          <w:rStyle w:val="FootnoteReference"/>
        </w:rPr>
        <w:footnoteRef/>
      </w:r>
      <w:r>
        <w:t xml:space="preserve"> </w:t>
      </w:r>
      <w:r w:rsidR="00C51154">
        <w:t>D.20-04-012 at OP 6</w:t>
      </w:r>
      <w:r w:rsidR="00885602">
        <w:t>;</w:t>
      </w:r>
      <w:r w:rsidR="00C51154">
        <w:t xml:space="preserve"> </w:t>
      </w:r>
      <w:r>
        <w:t xml:space="preserve">Pub. Util. Code </w:t>
      </w:r>
      <w:r w:rsidR="003A07F4">
        <w:t>Section</w:t>
      </w:r>
      <w:r>
        <w:t xml:space="preserve"> 2870(f)(1).</w:t>
      </w:r>
    </w:p>
  </w:footnote>
  <w:footnote w:id="84">
    <w:p w14:paraId="33B95C82" w14:textId="16CDC892" w:rsidR="005B7362" w:rsidRDefault="005B7362">
      <w:pPr>
        <w:pStyle w:val="FootnoteText"/>
      </w:pPr>
      <w:r>
        <w:rPr>
          <w:rStyle w:val="FootnoteReference"/>
        </w:rPr>
        <w:footnoteRef/>
      </w:r>
      <w:r>
        <w:t xml:space="preserve"> Cal Advocates Opening Comments in Response to AB 1207 at 3.</w:t>
      </w:r>
    </w:p>
  </w:footnote>
  <w:footnote w:id="85">
    <w:p w14:paraId="01C817C4" w14:textId="6E9F61AF" w:rsidR="00494479" w:rsidRDefault="00494479">
      <w:pPr>
        <w:pStyle w:val="FootnoteText"/>
      </w:pPr>
      <w:r>
        <w:rPr>
          <w:rStyle w:val="FootnoteReference"/>
        </w:rPr>
        <w:footnoteRef/>
      </w:r>
      <w:r>
        <w:t xml:space="preserve"> Cal Advocates Opening Comments in Response to AB 1207 at 3.</w:t>
      </w:r>
    </w:p>
  </w:footnote>
  <w:footnote w:id="86">
    <w:p w14:paraId="6D02882A" w14:textId="637137D5" w:rsidR="00494479" w:rsidRDefault="00494479">
      <w:pPr>
        <w:pStyle w:val="FootnoteText"/>
      </w:pPr>
      <w:r>
        <w:rPr>
          <w:rStyle w:val="FootnoteReference"/>
        </w:rPr>
        <w:footnoteRef/>
      </w:r>
      <w:r>
        <w:t xml:space="preserve"> SDG&amp;E Reply Comments in Response to AB 1207 at 4.</w:t>
      </w:r>
    </w:p>
  </w:footnote>
  <w:footnote w:id="87">
    <w:p w14:paraId="2B1B6E61" w14:textId="3492FEDE" w:rsidR="00494479" w:rsidRDefault="00494479">
      <w:pPr>
        <w:pStyle w:val="FootnoteText"/>
      </w:pPr>
      <w:r>
        <w:rPr>
          <w:rStyle w:val="FootnoteReference"/>
        </w:rPr>
        <w:footnoteRef/>
      </w:r>
      <w:r>
        <w:t xml:space="preserve"> SDG&amp;E Reply Comments in Response to AB 1207 at 4.</w:t>
      </w:r>
    </w:p>
  </w:footnote>
  <w:footnote w:id="88">
    <w:p w14:paraId="42082F55" w14:textId="1FE0FB9D" w:rsidR="008F772B" w:rsidRDefault="008F772B">
      <w:pPr>
        <w:pStyle w:val="FootnoteText"/>
      </w:pPr>
      <w:r>
        <w:rPr>
          <w:rStyle w:val="FootnoteReference"/>
        </w:rPr>
        <w:footnoteRef/>
      </w:r>
      <w:r>
        <w:t xml:space="preserve"> Sunrun Reply Comments in Response to AB 1207 at 3-4.</w:t>
      </w:r>
    </w:p>
  </w:footnote>
  <w:footnote w:id="89">
    <w:p w14:paraId="5738D337" w14:textId="653F0D6C" w:rsidR="00494479" w:rsidRDefault="00494479">
      <w:pPr>
        <w:pStyle w:val="FootnoteText"/>
      </w:pPr>
      <w:r>
        <w:rPr>
          <w:rStyle w:val="FootnoteReference"/>
        </w:rPr>
        <w:footnoteRef/>
      </w:r>
      <w:r>
        <w:t xml:space="preserve"> Sunrun Reply Comments in Response to AB 1207 at 3-4.</w:t>
      </w:r>
    </w:p>
  </w:footnote>
  <w:footnote w:id="90">
    <w:p w14:paraId="686D8B81" w14:textId="54C4373D" w:rsidR="005B7362" w:rsidRDefault="005B7362">
      <w:pPr>
        <w:pStyle w:val="FootnoteText"/>
      </w:pPr>
      <w:r>
        <w:rPr>
          <w:rStyle w:val="FootnoteReference"/>
        </w:rPr>
        <w:footnoteRef/>
      </w:r>
      <w:r>
        <w:t xml:space="preserve"> Cal Advocates Opening Comments in Response to AB 1207 at 3.</w:t>
      </w:r>
    </w:p>
  </w:footnote>
  <w:footnote w:id="91">
    <w:p w14:paraId="3F6396E2" w14:textId="77777777" w:rsidR="00B51535" w:rsidRDefault="00B51535" w:rsidP="00B51535">
      <w:pPr>
        <w:pStyle w:val="FootnoteText"/>
      </w:pPr>
      <w:r>
        <w:rPr>
          <w:rStyle w:val="FootnoteReference"/>
        </w:rPr>
        <w:footnoteRef/>
      </w:r>
      <w:r>
        <w:t xml:space="preserve"> SDG&amp;E Reply Comments in Response to AB 1207 at 4.</w:t>
      </w:r>
    </w:p>
  </w:footnote>
  <w:footnote w:id="92">
    <w:p w14:paraId="5A286034" w14:textId="45853E9C" w:rsidR="001B120C" w:rsidRDefault="001B120C">
      <w:pPr>
        <w:pStyle w:val="FootnoteText"/>
      </w:pPr>
      <w:r>
        <w:rPr>
          <w:rStyle w:val="FootnoteReference"/>
        </w:rPr>
        <w:footnoteRef/>
      </w:r>
      <w:r>
        <w:t xml:space="preserve"> Liberty and PacifiCorp Opening Comment</w:t>
      </w:r>
      <w:r w:rsidR="008510CA">
        <w:t>s</w:t>
      </w:r>
      <w:r>
        <w:t xml:space="preserve"> in Response to AB 1207 at 3-4.</w:t>
      </w:r>
    </w:p>
  </w:footnote>
  <w:footnote w:id="93">
    <w:p w14:paraId="458DF5AB" w14:textId="3ED20F94" w:rsidR="00FA571E" w:rsidRDefault="00FA571E">
      <w:pPr>
        <w:pStyle w:val="FootnoteText"/>
      </w:pPr>
      <w:r>
        <w:rPr>
          <w:rStyle w:val="FootnoteReference"/>
        </w:rPr>
        <w:footnoteRef/>
      </w:r>
      <w:r>
        <w:t xml:space="preserve"> Liberty and PacifiCorp Opening Comments in Response to AB 1207 at 4.</w:t>
      </w:r>
    </w:p>
  </w:footnote>
  <w:footnote w:id="94">
    <w:p w14:paraId="181BA82F" w14:textId="696AE94E" w:rsidR="001B120C" w:rsidRDefault="001B120C">
      <w:pPr>
        <w:pStyle w:val="FootnoteText"/>
      </w:pPr>
      <w:r>
        <w:rPr>
          <w:rStyle w:val="FootnoteReference"/>
        </w:rPr>
        <w:footnoteRef/>
      </w:r>
      <w:r>
        <w:t xml:space="preserve"> Liberty and PacifiCorp Opening Comment</w:t>
      </w:r>
      <w:r w:rsidR="008510CA">
        <w:t>s</w:t>
      </w:r>
      <w:r>
        <w:t xml:space="preserve"> in Response to AB 1207 at 4.</w:t>
      </w:r>
    </w:p>
  </w:footnote>
  <w:footnote w:id="95">
    <w:p w14:paraId="27B6EB8A" w14:textId="77777777" w:rsidR="00FA571E" w:rsidRDefault="00FA571E" w:rsidP="00FA571E">
      <w:pPr>
        <w:pStyle w:val="FootnoteText"/>
      </w:pPr>
      <w:r>
        <w:rPr>
          <w:rStyle w:val="FootnoteReference"/>
        </w:rPr>
        <w:footnoteRef/>
      </w:r>
      <w:r>
        <w:t xml:space="preserve"> Liberty and PacifiCorp Opening Comments in Response to AB 1207 at 5.</w:t>
      </w:r>
    </w:p>
  </w:footnote>
  <w:footnote w:id="96">
    <w:p w14:paraId="1A24AE2B" w14:textId="016852FA" w:rsidR="00D27228" w:rsidRDefault="00D27228">
      <w:pPr>
        <w:pStyle w:val="FootnoteText"/>
      </w:pPr>
      <w:r>
        <w:rPr>
          <w:rStyle w:val="FootnoteReference"/>
        </w:rPr>
        <w:footnoteRef/>
      </w:r>
      <w:r>
        <w:t xml:space="preserve"> Liberty and PacifiCorp Opening Comments in Response to AB 1207 at 5.</w:t>
      </w:r>
    </w:p>
  </w:footnote>
  <w:footnote w:id="97">
    <w:p w14:paraId="502EEAEE" w14:textId="623CFE58" w:rsidR="000D09BD" w:rsidRDefault="000D09BD">
      <w:pPr>
        <w:pStyle w:val="FootnoteText"/>
      </w:pPr>
      <w:r>
        <w:rPr>
          <w:rStyle w:val="FootnoteReference"/>
        </w:rPr>
        <w:footnoteRef/>
      </w:r>
      <w:r>
        <w:t xml:space="preserve"> Liberty and PacifiCorp Opening Comments in Response to AB 1207 at 5.</w:t>
      </w:r>
    </w:p>
  </w:footnote>
  <w:footnote w:id="98">
    <w:p w14:paraId="15A5EC3D" w14:textId="7FAEA955" w:rsidR="009930C3" w:rsidRDefault="009930C3">
      <w:pPr>
        <w:pStyle w:val="FootnoteText"/>
      </w:pPr>
      <w:r>
        <w:rPr>
          <w:rStyle w:val="FootnoteReference"/>
        </w:rPr>
        <w:footnoteRef/>
      </w:r>
      <w:r>
        <w:t xml:space="preserve"> Cal Advocates Reply Comments in Response to AB 1207 at 1-2.</w:t>
      </w:r>
    </w:p>
  </w:footnote>
  <w:footnote w:id="99">
    <w:p w14:paraId="1E232780" w14:textId="7E2C7EA8" w:rsidR="009930C3" w:rsidRDefault="009930C3">
      <w:pPr>
        <w:pStyle w:val="FootnoteText"/>
      </w:pPr>
      <w:r>
        <w:rPr>
          <w:rStyle w:val="FootnoteReference"/>
        </w:rPr>
        <w:footnoteRef/>
      </w:r>
      <w:r>
        <w:t xml:space="preserve"> Cal Advocates Reply Comments in Response to AB 1207 at 2.</w:t>
      </w:r>
    </w:p>
  </w:footnote>
  <w:footnote w:id="100">
    <w:p w14:paraId="57B4694B" w14:textId="7BCF4E1E" w:rsidR="005117B3" w:rsidRDefault="005117B3">
      <w:pPr>
        <w:pStyle w:val="FootnoteText"/>
      </w:pPr>
      <w:r>
        <w:rPr>
          <w:rStyle w:val="FootnoteReference"/>
        </w:rPr>
        <w:footnoteRef/>
      </w:r>
      <w:r>
        <w:t xml:space="preserve"> CSE Reply Comments in Response to AB 1207 at 1-2.</w:t>
      </w:r>
    </w:p>
  </w:footnote>
  <w:footnote w:id="101">
    <w:p w14:paraId="0351666D" w14:textId="07EE9466" w:rsidR="00E474BA" w:rsidRDefault="00E474BA">
      <w:pPr>
        <w:pStyle w:val="FootnoteText"/>
      </w:pPr>
      <w:r>
        <w:rPr>
          <w:rStyle w:val="FootnoteReference"/>
        </w:rPr>
        <w:footnoteRef/>
      </w:r>
      <w:r>
        <w:t xml:space="preserve"> DAC </w:t>
      </w:r>
      <w:r w:rsidR="00885602">
        <w:t xml:space="preserve">Energy </w:t>
      </w:r>
      <w:r w:rsidR="00274DE0">
        <w:t>and Steller</w:t>
      </w:r>
      <w:r>
        <w:t xml:space="preserve"> Opening Comments in Response to AB 1207 at 1.</w:t>
      </w:r>
    </w:p>
  </w:footnote>
  <w:footnote w:id="102">
    <w:p w14:paraId="0875E603" w14:textId="3717C002" w:rsidR="00E474BA" w:rsidRDefault="00E474BA">
      <w:pPr>
        <w:pStyle w:val="FootnoteText"/>
      </w:pPr>
      <w:r>
        <w:rPr>
          <w:rStyle w:val="FootnoteReference"/>
        </w:rPr>
        <w:footnoteRef/>
      </w:r>
      <w:r>
        <w:t xml:space="preserve"> DAC </w:t>
      </w:r>
      <w:r w:rsidR="00885602">
        <w:t xml:space="preserve">Energy </w:t>
      </w:r>
      <w:r w:rsidR="00274DE0">
        <w:t>and Steller</w:t>
      </w:r>
      <w:r>
        <w:t xml:space="preserve"> Opening Comments in Response to AB 1207 at 2.</w:t>
      </w:r>
    </w:p>
  </w:footnote>
  <w:footnote w:id="103">
    <w:p w14:paraId="3D444CE5" w14:textId="1F772B98" w:rsidR="00F756A0" w:rsidRDefault="00F756A0">
      <w:pPr>
        <w:pStyle w:val="FootnoteText"/>
      </w:pPr>
      <w:r>
        <w:rPr>
          <w:rStyle w:val="FootnoteReference"/>
        </w:rPr>
        <w:footnoteRef/>
      </w:r>
      <w:r>
        <w:t xml:space="preserve"> Sunrun Reply Comments in Response to AB 1207 at 8.</w:t>
      </w:r>
    </w:p>
  </w:footnote>
  <w:footnote w:id="104">
    <w:p w14:paraId="102CE484" w14:textId="4B33F399" w:rsidR="00F756A0" w:rsidRDefault="00F756A0">
      <w:pPr>
        <w:pStyle w:val="FootnoteText"/>
      </w:pPr>
      <w:r>
        <w:rPr>
          <w:rStyle w:val="FootnoteReference"/>
        </w:rPr>
        <w:footnoteRef/>
      </w:r>
      <w:r>
        <w:t xml:space="preserve"> Sunrun Reply Comments in Response to AB 1207 at 8.</w:t>
      </w:r>
    </w:p>
  </w:footnote>
  <w:footnote w:id="105">
    <w:p w14:paraId="33AFC906" w14:textId="1D45A8CD" w:rsidR="00BB1846" w:rsidRDefault="00BB1846">
      <w:pPr>
        <w:pStyle w:val="FootnoteText"/>
      </w:pPr>
      <w:r>
        <w:rPr>
          <w:rStyle w:val="FootnoteReference"/>
        </w:rPr>
        <w:footnoteRef/>
      </w:r>
      <w:r>
        <w:t xml:space="preserve"> </w:t>
      </w:r>
      <w:r w:rsidR="002E6A1B">
        <w:t xml:space="preserve">The SOMAH Program’s </w:t>
      </w:r>
      <w:r w:rsidR="002E6A1B" w:rsidRPr="002622CC">
        <w:t xml:space="preserve">Working Data Set </w:t>
      </w:r>
      <w:r w:rsidR="002E6A1B">
        <w:t xml:space="preserve">can be downloaded from the California Distributed Generation Statistics website accessible here: </w:t>
      </w:r>
      <w:r w:rsidR="002E6A1B" w:rsidRPr="002E6A1B">
        <w:t>https://www.californiadgstats.ca.gov/downloads/#_somah</w:t>
      </w:r>
    </w:p>
  </w:footnote>
  <w:footnote w:id="106">
    <w:p w14:paraId="3D7944E4" w14:textId="5F8679F6" w:rsidR="00BC7549" w:rsidRDefault="00BC7549">
      <w:pPr>
        <w:pStyle w:val="FootnoteText"/>
      </w:pPr>
      <w:r>
        <w:rPr>
          <w:rStyle w:val="FootnoteReference"/>
        </w:rPr>
        <w:footnoteRef/>
      </w:r>
      <w:r>
        <w:t xml:space="preserve"> Cal Advocates Opening Comments in Response to AB 1207 at 3-4.</w:t>
      </w:r>
    </w:p>
  </w:footnote>
  <w:footnote w:id="107">
    <w:p w14:paraId="526490FE" w14:textId="5363461A" w:rsidR="00916479" w:rsidRDefault="00916479">
      <w:pPr>
        <w:pStyle w:val="FootnoteText"/>
      </w:pPr>
      <w:r>
        <w:rPr>
          <w:rStyle w:val="FootnoteReference"/>
        </w:rPr>
        <w:footnoteRef/>
      </w:r>
      <w:r>
        <w:t xml:space="preserve"> Sunrun Reply Comments in Response to AB 1207 at 6.</w:t>
      </w:r>
    </w:p>
  </w:footnote>
  <w:footnote w:id="108">
    <w:p w14:paraId="5DD4E976" w14:textId="433E34EF" w:rsidR="00E60CE6" w:rsidRDefault="00E60CE6">
      <w:pPr>
        <w:pStyle w:val="FootnoteText"/>
      </w:pPr>
      <w:r>
        <w:rPr>
          <w:rStyle w:val="FootnoteReference"/>
        </w:rPr>
        <w:footnoteRef/>
      </w:r>
      <w:r>
        <w:t xml:space="preserve"> CSE Opening Comments in Response to AB 1207 at 4.</w:t>
      </w:r>
    </w:p>
  </w:footnote>
  <w:footnote w:id="109">
    <w:p w14:paraId="0A1331F0" w14:textId="63217E62" w:rsidR="00274DE0" w:rsidRDefault="00274DE0">
      <w:pPr>
        <w:pStyle w:val="FootnoteText"/>
      </w:pPr>
      <w:r>
        <w:rPr>
          <w:rStyle w:val="FootnoteReference"/>
        </w:rPr>
        <w:footnoteRef/>
      </w:r>
      <w:r>
        <w:t xml:space="preserve"> CBD and CEJA Reply </w:t>
      </w:r>
      <w:r w:rsidR="0060105D">
        <w:t>Comments</w:t>
      </w:r>
      <w:r>
        <w:t xml:space="preserve"> in Response to AB 1207 at 5-6.</w:t>
      </w:r>
    </w:p>
  </w:footnote>
  <w:footnote w:id="110">
    <w:p w14:paraId="42CC746D" w14:textId="7E1EF90C" w:rsidR="00274DE0" w:rsidRDefault="00274DE0">
      <w:pPr>
        <w:pStyle w:val="FootnoteText"/>
      </w:pPr>
      <w:r>
        <w:rPr>
          <w:rStyle w:val="FootnoteReference"/>
        </w:rPr>
        <w:footnoteRef/>
      </w:r>
      <w:r>
        <w:t xml:space="preserve"> </w:t>
      </w:r>
      <w:r w:rsidR="004C6581">
        <w:t xml:space="preserve">Pub. Util. Code </w:t>
      </w:r>
      <w:r w:rsidR="003A07F4">
        <w:t xml:space="preserve">Section </w:t>
      </w:r>
      <w:r w:rsidR="004C6581">
        <w:t>2870(f)(1).</w:t>
      </w:r>
    </w:p>
  </w:footnote>
  <w:footnote w:id="111">
    <w:p w14:paraId="51AAAF6C" w14:textId="23113704" w:rsidR="004C6581" w:rsidRDefault="004C6581">
      <w:pPr>
        <w:pStyle w:val="FootnoteText"/>
      </w:pPr>
      <w:r>
        <w:rPr>
          <w:rStyle w:val="FootnoteReference"/>
        </w:rPr>
        <w:footnoteRef/>
      </w:r>
      <w:r>
        <w:t xml:space="preserve"> PG&amp;E Opening Comments in Response to AB 1207 at 2</w:t>
      </w:r>
      <w:r w:rsidR="00885602">
        <w:t>;</w:t>
      </w:r>
      <w:r>
        <w:t xml:space="preserve"> </w:t>
      </w:r>
      <w:r w:rsidR="00A3513A">
        <w:t>SDG&amp;E Opening Comments in Response to AB 1207 at 3</w:t>
      </w:r>
      <w:r w:rsidR="00885602">
        <w:t>;</w:t>
      </w:r>
      <w:r w:rsidR="00A3513A">
        <w:t xml:space="preserve"> SCE Opening Comments in Response to AB 1207 at 4</w:t>
      </w:r>
      <w:r w:rsidR="00885602">
        <w:t>;</w:t>
      </w:r>
      <w:r w:rsidR="00A3513A">
        <w:t xml:space="preserve"> Liberty and PacifiCorp Opening Comments in Response to AB 1207 at 3-4</w:t>
      </w:r>
      <w:r w:rsidR="00885602">
        <w:t>;</w:t>
      </w:r>
      <w:r w:rsidR="00A3513A">
        <w:t xml:space="preserve"> Cal Advocates Opening Comments in Response to AB 1207 at 3-4.</w:t>
      </w:r>
    </w:p>
  </w:footnote>
  <w:footnote w:id="112">
    <w:p w14:paraId="7AFCB4CD" w14:textId="1489F5FB" w:rsidR="00DF4389" w:rsidRDefault="00DF4389">
      <w:pPr>
        <w:pStyle w:val="FootnoteText"/>
      </w:pPr>
      <w:r>
        <w:rPr>
          <w:rStyle w:val="FootnoteReference"/>
        </w:rPr>
        <w:footnoteRef/>
      </w:r>
      <w:r>
        <w:t xml:space="preserve"> SCE Opening Commen</w:t>
      </w:r>
      <w:r w:rsidR="006C11F0">
        <w:t>t</w:t>
      </w:r>
      <w:r>
        <w:t>s in Response to AB 1207 at 4.</w:t>
      </w:r>
    </w:p>
  </w:footnote>
  <w:footnote w:id="113">
    <w:p w14:paraId="58EE3FB9" w14:textId="56583372" w:rsidR="00F752C0" w:rsidRDefault="00F752C0">
      <w:pPr>
        <w:pStyle w:val="FootnoteText"/>
      </w:pPr>
      <w:r>
        <w:rPr>
          <w:rStyle w:val="FootnoteReference"/>
        </w:rPr>
        <w:footnoteRef/>
      </w:r>
      <w:r>
        <w:t xml:space="preserve"> CSE Opening Comments in Response to AB 1207 at 5.</w:t>
      </w:r>
    </w:p>
  </w:footnote>
  <w:footnote w:id="114">
    <w:p w14:paraId="7C9E9615" w14:textId="7DC4C90C" w:rsidR="00F752C0" w:rsidRDefault="00F752C0">
      <w:pPr>
        <w:pStyle w:val="FootnoteText"/>
      </w:pPr>
      <w:r>
        <w:rPr>
          <w:rStyle w:val="FootnoteReference"/>
        </w:rPr>
        <w:footnoteRef/>
      </w:r>
      <w:r>
        <w:t xml:space="preserve"> CSE Opening Comments in Response to AB 1207 at 7.</w:t>
      </w:r>
    </w:p>
  </w:footnote>
  <w:footnote w:id="115">
    <w:p w14:paraId="6B50104D" w14:textId="117ABB1B" w:rsidR="00F752C0" w:rsidRDefault="00F752C0">
      <w:pPr>
        <w:pStyle w:val="FootnoteText"/>
      </w:pPr>
      <w:r>
        <w:rPr>
          <w:rStyle w:val="FootnoteReference"/>
        </w:rPr>
        <w:footnoteRef/>
      </w:r>
      <w:r>
        <w:t xml:space="preserve"> Cal Advocates Reply Comments in Response to AB 1207 at 3.</w:t>
      </w:r>
    </w:p>
  </w:footnote>
  <w:footnote w:id="116">
    <w:p w14:paraId="6528F6AE" w14:textId="25D1C8E0" w:rsidR="00F752C0" w:rsidRDefault="00F752C0">
      <w:pPr>
        <w:pStyle w:val="FootnoteText"/>
      </w:pPr>
      <w:r>
        <w:rPr>
          <w:rStyle w:val="FootnoteReference"/>
        </w:rPr>
        <w:footnoteRef/>
      </w:r>
      <w:r>
        <w:t xml:space="preserve"> CBD and CEJA Reply Comments in Response to AB 1207 at 3.</w:t>
      </w:r>
    </w:p>
  </w:footnote>
  <w:footnote w:id="117">
    <w:p w14:paraId="5B865A7B" w14:textId="39EA8CB1" w:rsidR="00CF5F29" w:rsidRDefault="00CF5F29">
      <w:pPr>
        <w:pStyle w:val="FootnoteText"/>
      </w:pPr>
      <w:r>
        <w:rPr>
          <w:rStyle w:val="FootnoteReference"/>
        </w:rPr>
        <w:footnoteRef/>
      </w:r>
      <w:r>
        <w:t xml:space="preserve"> SEIA Opening Comments on PD at 1-4, DAC Enterprises Opening Comments on PD at 2-3, GRID Opening Comments on PD at 2-3, </w:t>
      </w:r>
      <w:r w:rsidR="003D06C6">
        <w:t>CEJA and CBD Opening Comments on PD at 2-3, C</w:t>
      </w:r>
      <w:r w:rsidR="002D7C2C">
        <w:t>AL</w:t>
      </w:r>
      <w:r w:rsidR="003D06C6">
        <w:t>SSA Opening Comments on PD at 2, CSE Opening Comments on PD at 1-3.</w:t>
      </w:r>
    </w:p>
  </w:footnote>
  <w:footnote w:id="118">
    <w:p w14:paraId="73C85563" w14:textId="1D639477" w:rsidR="003D06C6" w:rsidRDefault="003D06C6">
      <w:pPr>
        <w:pStyle w:val="FootnoteText"/>
      </w:pPr>
      <w:r>
        <w:rPr>
          <w:rStyle w:val="FootnoteReference"/>
        </w:rPr>
        <w:footnoteRef/>
      </w:r>
      <w:r>
        <w:t xml:space="preserve"> PG&amp;E Opening Comments on PD at 1, SCE Opening Comments on PD at 2, SDG&amp;E Reply Comments on PD at 1-2, Cal Advocates Reply Comments on PD at </w:t>
      </w:r>
      <w:r w:rsidR="00DA061B">
        <w:t>2-4</w:t>
      </w:r>
      <w:r>
        <w:t>.</w:t>
      </w:r>
    </w:p>
  </w:footnote>
  <w:footnote w:id="119">
    <w:p w14:paraId="78F7C9FD" w14:textId="5F18FA46" w:rsidR="00725663" w:rsidRDefault="00725663">
      <w:pPr>
        <w:pStyle w:val="FootnoteText"/>
      </w:pPr>
      <w:r>
        <w:rPr>
          <w:rStyle w:val="FootnoteReference"/>
        </w:rPr>
        <w:footnoteRef/>
      </w:r>
      <w:r>
        <w:t xml:space="preserve"> SDG&amp;E Reply Comments on PD at 2.</w:t>
      </w:r>
    </w:p>
  </w:footnote>
  <w:footnote w:id="120">
    <w:p w14:paraId="5CACE9EC" w14:textId="2FD0A958" w:rsidR="00911193" w:rsidRDefault="00911193">
      <w:pPr>
        <w:pStyle w:val="FootnoteText"/>
      </w:pPr>
      <w:r>
        <w:rPr>
          <w:rStyle w:val="FootnoteReference"/>
        </w:rPr>
        <w:footnoteRef/>
      </w:r>
      <w:r>
        <w:t xml:space="preserve"> C</w:t>
      </w:r>
      <w:r w:rsidR="002D7C2C">
        <w:t>AL</w:t>
      </w:r>
      <w:r>
        <w:t xml:space="preserve">SSA Opening Comments on PD at 3, </w:t>
      </w:r>
      <w:r w:rsidR="00DA061B">
        <w:t>CSE Opening Comments on PD at 4-5, GRID Opening Comments on PD at 3-5</w:t>
      </w:r>
      <w:r w:rsidR="000C205A">
        <w:t>, SEIA Opening Comments on PD at 5-</w:t>
      </w:r>
      <w:r w:rsidR="008C43DE">
        <w:t>10.</w:t>
      </w:r>
      <w:r w:rsidR="00DA061B">
        <w:t xml:space="preserve"> </w:t>
      </w:r>
    </w:p>
  </w:footnote>
  <w:footnote w:id="121">
    <w:p w14:paraId="00D61469" w14:textId="37EBC668" w:rsidR="00DA061B" w:rsidRDefault="00DA061B">
      <w:pPr>
        <w:pStyle w:val="FootnoteText"/>
      </w:pPr>
      <w:r>
        <w:rPr>
          <w:rStyle w:val="FootnoteReference"/>
        </w:rPr>
        <w:footnoteRef/>
      </w:r>
      <w:r>
        <w:t xml:space="preserve"> CEJA and CBD Opening Comments on PD at 3-5</w:t>
      </w:r>
      <w:r w:rsidR="003710E8">
        <w:t>.</w:t>
      </w:r>
    </w:p>
  </w:footnote>
  <w:footnote w:id="122">
    <w:p w14:paraId="6964B66E" w14:textId="5512681F" w:rsidR="008C43DE" w:rsidRDefault="008C43DE">
      <w:pPr>
        <w:pStyle w:val="FootnoteText"/>
      </w:pPr>
      <w:r>
        <w:rPr>
          <w:rStyle w:val="FootnoteReference"/>
        </w:rPr>
        <w:footnoteRef/>
      </w:r>
      <w:r>
        <w:t xml:space="preserve"> SEIA Opening Comments on PD at 6.</w:t>
      </w:r>
    </w:p>
  </w:footnote>
  <w:footnote w:id="123">
    <w:p w14:paraId="2EF8E415" w14:textId="303D7FBF" w:rsidR="006A23ED" w:rsidRDefault="006A23ED">
      <w:pPr>
        <w:pStyle w:val="FootnoteText"/>
      </w:pPr>
      <w:r>
        <w:rPr>
          <w:rStyle w:val="FootnoteReference"/>
        </w:rPr>
        <w:footnoteRef/>
      </w:r>
      <w:r>
        <w:t xml:space="preserve"> SCE Opening Comments on PD at 2.</w:t>
      </w:r>
    </w:p>
  </w:footnote>
  <w:footnote w:id="124">
    <w:p w14:paraId="1660797C" w14:textId="5553AF0E" w:rsidR="009007BF" w:rsidRDefault="009007BF">
      <w:pPr>
        <w:pStyle w:val="FootnoteText"/>
      </w:pPr>
      <w:r>
        <w:rPr>
          <w:rStyle w:val="FootnoteReference"/>
        </w:rPr>
        <w:footnoteRef/>
      </w:r>
      <w:r>
        <w:t xml:space="preserve"> SDG&amp;E Reply Comments on PD at 2.</w:t>
      </w:r>
    </w:p>
  </w:footnote>
  <w:footnote w:id="125">
    <w:p w14:paraId="342E522B" w14:textId="7D85A408" w:rsidR="002A633A" w:rsidRDefault="002A633A">
      <w:pPr>
        <w:pStyle w:val="FootnoteText"/>
      </w:pPr>
      <w:r>
        <w:rPr>
          <w:rStyle w:val="FootnoteReference"/>
        </w:rPr>
        <w:footnoteRef/>
      </w:r>
      <w:r>
        <w:t xml:space="preserve"> GRID Opening Comments at 5, CSE Reply Comments at 2-3.</w:t>
      </w:r>
    </w:p>
  </w:footnote>
  <w:footnote w:id="126">
    <w:p w14:paraId="39C62346" w14:textId="5E9AA79E" w:rsidR="000C205A" w:rsidRDefault="000C205A">
      <w:pPr>
        <w:pStyle w:val="FootnoteText"/>
      </w:pPr>
      <w:r>
        <w:rPr>
          <w:rStyle w:val="FootnoteReference"/>
        </w:rPr>
        <w:footnoteRef/>
      </w:r>
      <w:r>
        <w:t xml:space="preserve"> C</w:t>
      </w:r>
      <w:r w:rsidR="002D7C2C">
        <w:t>AL</w:t>
      </w:r>
      <w:r>
        <w:t>SSA Opening Comments on PD at 5-6, DAC Enterprises Opening Comments on PD at 3-4, CEJA and CBD Opening Comments on PD at 3.</w:t>
      </w:r>
    </w:p>
  </w:footnote>
  <w:footnote w:id="127">
    <w:p w14:paraId="1E12738C" w14:textId="641D0171" w:rsidR="008725FA" w:rsidRDefault="008725FA">
      <w:pPr>
        <w:pStyle w:val="FootnoteText"/>
      </w:pPr>
      <w:r>
        <w:rPr>
          <w:rStyle w:val="FootnoteReference"/>
        </w:rPr>
        <w:footnoteRef/>
      </w:r>
      <w:r>
        <w:t xml:space="preserve"> GRID Opening Comments on PD at 7. </w:t>
      </w:r>
    </w:p>
  </w:footnote>
  <w:footnote w:id="128">
    <w:p w14:paraId="727CE6DE" w14:textId="3215F4B2" w:rsidR="00E9561F" w:rsidRDefault="00E9561F">
      <w:pPr>
        <w:pStyle w:val="FootnoteText"/>
      </w:pPr>
      <w:r>
        <w:rPr>
          <w:rStyle w:val="FootnoteReference"/>
        </w:rPr>
        <w:footnoteRef/>
      </w:r>
      <w:r>
        <w:t xml:space="preserve"> SCE Reply Comments on PD at 2. </w:t>
      </w:r>
    </w:p>
  </w:footnote>
  <w:footnote w:id="129">
    <w:p w14:paraId="00EB04A5" w14:textId="1E1B4BA8" w:rsidR="00E9561F" w:rsidRDefault="00E9561F">
      <w:pPr>
        <w:pStyle w:val="FootnoteText"/>
      </w:pPr>
      <w:r>
        <w:rPr>
          <w:rStyle w:val="FootnoteReference"/>
        </w:rPr>
        <w:footnoteRef/>
      </w:r>
      <w:r>
        <w:t xml:space="preserve"> SCE Reply Comments on PD at 2.</w:t>
      </w:r>
    </w:p>
  </w:footnote>
  <w:footnote w:id="130">
    <w:p w14:paraId="08C3A0AF" w14:textId="07447B78" w:rsidR="00D07749" w:rsidRDefault="00D07749">
      <w:pPr>
        <w:pStyle w:val="FootnoteText"/>
      </w:pPr>
      <w:r>
        <w:rPr>
          <w:rStyle w:val="FootnoteReference"/>
        </w:rPr>
        <w:footnoteRef/>
      </w:r>
      <w:r>
        <w:t xml:space="preserve"> C</w:t>
      </w:r>
      <w:r w:rsidR="002D7C2C">
        <w:t>AL</w:t>
      </w:r>
      <w:r>
        <w:t>SSA Opening Comment on PD at 6-7</w:t>
      </w:r>
      <w:r w:rsidR="008725FA">
        <w:t>, DAC Enterprises Opening Comments on PD at 4-5</w:t>
      </w:r>
      <w:r>
        <w:t>.</w:t>
      </w:r>
    </w:p>
  </w:footnote>
  <w:footnote w:id="131">
    <w:p w14:paraId="7EC8F553" w14:textId="77599421" w:rsidR="00686907" w:rsidRDefault="00686907">
      <w:pPr>
        <w:pStyle w:val="FootnoteText"/>
      </w:pPr>
      <w:r>
        <w:rPr>
          <w:rStyle w:val="FootnoteReference"/>
        </w:rPr>
        <w:footnoteRef/>
      </w:r>
      <w:r>
        <w:t xml:space="preserve"> PG&amp;E Opening Comments on PD at 1-2.</w:t>
      </w:r>
    </w:p>
  </w:footnote>
  <w:footnote w:id="132">
    <w:p w14:paraId="25363312" w14:textId="12816B4D" w:rsidR="006A23ED" w:rsidRDefault="006A23ED">
      <w:pPr>
        <w:pStyle w:val="FootnoteText"/>
      </w:pPr>
      <w:r>
        <w:rPr>
          <w:rStyle w:val="FootnoteReference"/>
        </w:rPr>
        <w:footnoteRef/>
      </w:r>
      <w:r>
        <w:t xml:space="preserve"> SDG&amp;E Reply Commen</w:t>
      </w:r>
      <w:r w:rsidR="005D07D5">
        <w:t>t</w:t>
      </w:r>
      <w:r>
        <w:t>s on PD at 4-5.</w:t>
      </w:r>
    </w:p>
  </w:footnote>
  <w:footnote w:id="133">
    <w:p w14:paraId="6F8734B3" w14:textId="6BB58622" w:rsidR="002A633A" w:rsidRDefault="002A633A">
      <w:pPr>
        <w:pStyle w:val="FootnoteText"/>
      </w:pPr>
      <w:r>
        <w:rPr>
          <w:rStyle w:val="FootnoteReference"/>
        </w:rPr>
        <w:footnoteRef/>
      </w:r>
      <w:r>
        <w:t xml:space="preserve"> Cal Advocates Reply Comments on PD at 5.</w:t>
      </w:r>
    </w:p>
  </w:footnote>
  <w:footnote w:id="134">
    <w:p w14:paraId="1022ADF5" w14:textId="67D9B860" w:rsidR="00686907" w:rsidRDefault="00686907">
      <w:pPr>
        <w:pStyle w:val="FootnoteText"/>
      </w:pPr>
      <w:r>
        <w:rPr>
          <w:rStyle w:val="FootnoteReference"/>
        </w:rPr>
        <w:footnoteRef/>
      </w:r>
      <w:r>
        <w:t xml:space="preserve"> PG&amp;E Opening Comments on PD at 2.</w:t>
      </w:r>
    </w:p>
  </w:footnote>
  <w:footnote w:id="135">
    <w:p w14:paraId="4F159B9A" w14:textId="2BF883A5" w:rsidR="006A23ED" w:rsidRDefault="006A23ED">
      <w:pPr>
        <w:pStyle w:val="FootnoteText"/>
      </w:pPr>
      <w:r>
        <w:rPr>
          <w:rStyle w:val="FootnoteReference"/>
        </w:rPr>
        <w:footnoteRef/>
      </w:r>
      <w:r>
        <w:t xml:space="preserve"> SDG&amp;E Reply Comments on PD at 4-5.</w:t>
      </w:r>
    </w:p>
  </w:footnote>
  <w:footnote w:id="136">
    <w:p w14:paraId="6ED2B955" w14:textId="19FA70FC" w:rsidR="00735B8F" w:rsidRDefault="00735B8F">
      <w:pPr>
        <w:pStyle w:val="FootnoteText"/>
      </w:pPr>
      <w:r>
        <w:rPr>
          <w:rStyle w:val="FootnoteReference"/>
        </w:rPr>
        <w:footnoteRef/>
      </w:r>
      <w:r>
        <w:t xml:space="preserve"> GRID Opening Comments on PD at </w:t>
      </w:r>
      <w:r w:rsidR="002203D7">
        <w:t>8</w:t>
      </w:r>
      <w:r>
        <w:t>, CSE Opening Comments on PD at 10.</w:t>
      </w:r>
    </w:p>
  </w:footnote>
  <w:footnote w:id="137">
    <w:p w14:paraId="154A5753" w14:textId="13B40596" w:rsidR="002203D7" w:rsidRDefault="002203D7">
      <w:pPr>
        <w:pStyle w:val="FootnoteText"/>
      </w:pPr>
      <w:r>
        <w:rPr>
          <w:rStyle w:val="FootnoteReference"/>
        </w:rPr>
        <w:footnoteRef/>
      </w:r>
      <w:r>
        <w:t xml:space="preserve"> SDG&amp;E Reply Comments on PD at 3.</w:t>
      </w:r>
    </w:p>
  </w:footnote>
  <w:footnote w:id="138">
    <w:p w14:paraId="6A0E7C7F" w14:textId="0DB14F0D" w:rsidR="00735B8F" w:rsidRDefault="00735B8F">
      <w:pPr>
        <w:pStyle w:val="FootnoteText"/>
      </w:pPr>
      <w:r>
        <w:rPr>
          <w:rStyle w:val="FootnoteReference"/>
        </w:rPr>
        <w:footnoteRef/>
      </w:r>
      <w:r>
        <w:t xml:space="preserve"> CSE Opening Comments on PD at 9</w:t>
      </w:r>
      <w:r w:rsidR="005C60D8">
        <w:t xml:space="preserve">, GRID Opening Comments </w:t>
      </w:r>
      <w:r w:rsidR="00686907">
        <w:t xml:space="preserve">on PD </w:t>
      </w:r>
      <w:r w:rsidR="005C60D8">
        <w:t>at 1-2</w:t>
      </w:r>
      <w:r>
        <w:t>.</w:t>
      </w:r>
    </w:p>
  </w:footnote>
  <w:footnote w:id="139">
    <w:p w14:paraId="3D7CD251" w14:textId="57E86A7F" w:rsidR="008725FA" w:rsidRDefault="008725FA">
      <w:pPr>
        <w:pStyle w:val="FootnoteText"/>
      </w:pPr>
      <w:r>
        <w:rPr>
          <w:rStyle w:val="FootnoteReference"/>
        </w:rPr>
        <w:footnoteRef/>
      </w:r>
      <w:r>
        <w:t xml:space="preserve"> DAC Enterprises Opening Comments on PD at 8-9.</w:t>
      </w:r>
    </w:p>
  </w:footnote>
  <w:footnote w:id="140">
    <w:p w14:paraId="15857C21" w14:textId="090CE923" w:rsidR="002A633A" w:rsidRDefault="002A633A">
      <w:pPr>
        <w:pStyle w:val="FootnoteText"/>
      </w:pPr>
      <w:r>
        <w:rPr>
          <w:rStyle w:val="FootnoteReference"/>
        </w:rPr>
        <w:footnoteRef/>
      </w:r>
      <w:r>
        <w:t xml:space="preserve"> CSE Reply Comments on PD at 1-2 and 4,</w:t>
      </w:r>
      <w:r w:rsidR="00F02B09">
        <w:t xml:space="preserve"> CEJA and CBD Opening Comments on PD at 1.</w:t>
      </w:r>
    </w:p>
  </w:footnote>
  <w:footnote w:id="141">
    <w:p w14:paraId="3F790416" w14:textId="15AE520E" w:rsidR="00735B8F" w:rsidRDefault="00735B8F">
      <w:pPr>
        <w:pStyle w:val="FootnoteText"/>
      </w:pPr>
      <w:r>
        <w:rPr>
          <w:rStyle w:val="FootnoteReference"/>
        </w:rPr>
        <w:footnoteRef/>
      </w:r>
      <w:r>
        <w:t xml:space="preserve"> SCE Opening Comments on PD at 2-3.</w:t>
      </w:r>
    </w:p>
  </w:footnote>
  <w:footnote w:id="142">
    <w:p w14:paraId="1F325EA7" w14:textId="37A7D003" w:rsidR="00735B8F" w:rsidRDefault="00735B8F">
      <w:pPr>
        <w:pStyle w:val="FootnoteText"/>
      </w:pPr>
      <w:r>
        <w:rPr>
          <w:rStyle w:val="FootnoteReference"/>
        </w:rPr>
        <w:footnoteRef/>
      </w:r>
      <w:r>
        <w:t xml:space="preserve"> SCE Opening Comments on PD at 3</w:t>
      </w:r>
      <w:r w:rsidR="005C60D8">
        <w:t>, SDG&amp;E Opening Comments on PD at 1</w:t>
      </w:r>
      <w:r>
        <w:t>.</w:t>
      </w:r>
    </w:p>
  </w:footnote>
  <w:footnote w:id="143">
    <w:p w14:paraId="54DA40AE" w14:textId="6E1B09F7" w:rsidR="00F02B09" w:rsidRDefault="00F02B09" w:rsidP="00F02B09">
      <w:pPr>
        <w:pStyle w:val="FootnoteText"/>
      </w:pPr>
      <w:r>
        <w:rPr>
          <w:rStyle w:val="FootnoteReference"/>
        </w:rPr>
        <w:footnoteRef/>
      </w:r>
      <w:r>
        <w:t xml:space="preserve"> SDG&amp;E Opening Comments on PD at 2-</w:t>
      </w:r>
      <w:r w:rsidR="00317D3A">
        <w:t>4</w:t>
      </w:r>
      <w:r>
        <w:t>.</w:t>
      </w:r>
    </w:p>
  </w:footnote>
  <w:footnote w:id="144">
    <w:p w14:paraId="7281487E" w14:textId="2FCF789F" w:rsidR="00F02B09" w:rsidRDefault="00F02B09">
      <w:pPr>
        <w:pStyle w:val="FootnoteText"/>
      </w:pPr>
      <w:r>
        <w:rPr>
          <w:rStyle w:val="FootnoteReference"/>
        </w:rPr>
        <w:footnoteRef/>
      </w:r>
      <w:r>
        <w:t xml:space="preserve"> SDG&amp;E Opening Comments on PD at </w:t>
      </w:r>
      <w:r w:rsidR="00317D3A">
        <w:t>4-5</w:t>
      </w:r>
      <w:r>
        <w:t>.</w:t>
      </w:r>
    </w:p>
  </w:footnote>
  <w:footnote w:id="145">
    <w:p w14:paraId="0D32D517" w14:textId="274CE04C" w:rsidR="00AB078E" w:rsidRDefault="00AB078E">
      <w:pPr>
        <w:pStyle w:val="FootnoteText"/>
      </w:pPr>
      <w:r>
        <w:rPr>
          <w:rStyle w:val="FootnoteReference"/>
        </w:rPr>
        <w:footnoteRef/>
      </w:r>
      <w:r>
        <w:t xml:space="preserve"> SDG&amp;E Opening Comments on PD at 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86C2" w14:textId="77777777" w:rsidR="00673F8D" w:rsidRPr="00585390" w:rsidRDefault="00673F8D" w:rsidP="00FA60D4">
    <w:pPr>
      <w:pStyle w:val="Header"/>
      <w:tabs>
        <w:tab w:val="clear" w:pos="4680"/>
      </w:tabs>
      <w:ind w:firstLine="0"/>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8251A" w14:textId="2D8857D8" w:rsidR="00F92385" w:rsidRPr="00FA60D4" w:rsidRDefault="00F92385" w:rsidP="00F92385">
    <w:pPr>
      <w:pStyle w:val="Header"/>
      <w:ind w:firstLine="0"/>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9B41E" w14:textId="7D6605AF" w:rsidR="00E23CBB" w:rsidRDefault="004F122B" w:rsidP="00EE4315">
    <w:pPr>
      <w:pStyle w:val="Header"/>
      <w:tabs>
        <w:tab w:val="clear" w:pos="4680"/>
      </w:tabs>
      <w:ind w:firstLine="0"/>
      <w:rPr>
        <w:b/>
      </w:rPr>
    </w:pPr>
    <w:r w:rsidRPr="004F122B">
      <w:t>R</w:t>
    </w:r>
    <w:r>
      <w:t>.</w:t>
    </w:r>
    <w:r w:rsidRPr="004F122B">
      <w:t>25-01-</w:t>
    </w:r>
    <w:proofErr w:type="gramStart"/>
    <w:r w:rsidRPr="004F122B">
      <w:t>005</w:t>
    </w:r>
    <w:r>
      <w:t xml:space="preserve">  ALJ</w:t>
    </w:r>
    <w:proofErr w:type="gramEnd"/>
    <w:r w:rsidR="00E23CBB">
      <w:t>/</w:t>
    </w:r>
    <w:r>
      <w:t>CJA</w:t>
    </w:r>
    <w:r w:rsidR="00E23CBB">
      <w:t>/</w:t>
    </w:r>
    <w:proofErr w:type="spellStart"/>
    <w:r>
      <w:t>jds</w:t>
    </w:r>
    <w:proofErr w:type="spellEnd"/>
    <w:r w:rsidR="00E23CBB">
      <w:tab/>
    </w:r>
    <w:r w:rsidR="00E23CBB">
      <w:rPr>
        <w:b/>
      </w:rPr>
      <w:t>PROPOSED DECISION</w:t>
    </w:r>
    <w:r w:rsidR="00ED430C">
      <w:rPr>
        <w:b/>
      </w:rPr>
      <w:t xml:space="preserve"> (R</w:t>
    </w:r>
    <w:r w:rsidR="00D6367C">
      <w:rPr>
        <w:b/>
      </w:rPr>
      <w:t>ev</w:t>
    </w:r>
    <w:r w:rsidR="00ED430C">
      <w:rPr>
        <w:b/>
      </w:rPr>
      <w:t>. 1)</w:t>
    </w:r>
  </w:p>
  <w:p w14:paraId="77F42BE0" w14:textId="4DAC90ED" w:rsidR="00B3087D" w:rsidRPr="00FA60D4" w:rsidRDefault="00B3087D" w:rsidP="00B3087D">
    <w:pPr>
      <w:pStyle w:val="Header"/>
      <w:tabs>
        <w:tab w:val="clear" w:pos="4680"/>
      </w:tabs>
      <w:ind w:firstLine="0"/>
      <w:rPr>
        <w: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BB0DA" w14:textId="7040B2BB" w:rsidR="00FE2351" w:rsidRDefault="004F122B" w:rsidP="00EE4315">
    <w:pPr>
      <w:pStyle w:val="Header"/>
      <w:tabs>
        <w:tab w:val="clear" w:pos="4680"/>
      </w:tabs>
      <w:ind w:firstLine="0"/>
      <w:rPr>
        <w:b/>
      </w:rPr>
    </w:pPr>
    <w:r w:rsidRPr="004F122B">
      <w:t>R.25-01-</w:t>
    </w:r>
    <w:proofErr w:type="gramStart"/>
    <w:r w:rsidRPr="004F122B">
      <w:t>005  ALJ</w:t>
    </w:r>
    <w:proofErr w:type="gramEnd"/>
    <w:r w:rsidRPr="004F122B">
      <w:t>/CJA/</w:t>
    </w:r>
    <w:proofErr w:type="spellStart"/>
    <w:r w:rsidRPr="004F122B">
      <w:t>jds</w:t>
    </w:r>
    <w:proofErr w:type="spellEnd"/>
    <w:r w:rsidR="00FE2351">
      <w:tab/>
    </w:r>
    <w:r w:rsidR="00FE2351">
      <w:rPr>
        <w:b/>
      </w:rPr>
      <w:t>PROPOSED DECISION</w:t>
    </w:r>
    <w:r w:rsidR="00ED430C">
      <w:rPr>
        <w:b/>
      </w:rPr>
      <w:t xml:space="preserve"> (R</w:t>
    </w:r>
    <w:r w:rsidR="00D6367C">
      <w:rPr>
        <w:b/>
      </w:rPr>
      <w:t>ev</w:t>
    </w:r>
    <w:r w:rsidR="00ED430C">
      <w:rPr>
        <w:b/>
      </w:rPr>
      <w:t>. 1)</w:t>
    </w:r>
  </w:p>
  <w:p w14:paraId="2A530ADB" w14:textId="77777777" w:rsidR="00344579" w:rsidRPr="00FA60D4" w:rsidRDefault="00344579" w:rsidP="00B3087D">
    <w:pPr>
      <w:pStyle w:val="Header"/>
      <w:tabs>
        <w:tab w:val="clear" w:pos="4680"/>
      </w:tabs>
      <w:ind w:firstLine="0"/>
      <w:rPr>
        <w:i/>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53FDB" w14:textId="77777777" w:rsidR="00504931" w:rsidRDefault="00504931" w:rsidP="00504931">
    <w:pPr>
      <w:pStyle w:val="Header"/>
      <w:tabs>
        <w:tab w:val="clear" w:pos="4680"/>
      </w:tabs>
      <w:ind w:firstLine="0"/>
      <w:rPr>
        <w:b/>
      </w:rPr>
    </w:pPr>
    <w:r w:rsidRPr="004F122B">
      <w:t>R.25-01-</w:t>
    </w:r>
    <w:proofErr w:type="gramStart"/>
    <w:r w:rsidRPr="004F122B">
      <w:t>005  ALJ</w:t>
    </w:r>
    <w:proofErr w:type="gramEnd"/>
    <w:r w:rsidRPr="004F122B">
      <w:t>/CJA/</w:t>
    </w:r>
    <w:proofErr w:type="spellStart"/>
    <w:r w:rsidRPr="004F122B">
      <w:t>jds</w:t>
    </w:r>
    <w:proofErr w:type="spellEnd"/>
    <w:r>
      <w:tab/>
    </w:r>
    <w:r>
      <w:rPr>
        <w:b/>
      </w:rPr>
      <w:t>PROPOSED DECISION (Rev. 1)</w:t>
    </w:r>
  </w:p>
  <w:p w14:paraId="52B04DCB" w14:textId="77777777" w:rsidR="00504931" w:rsidRPr="00FA60D4" w:rsidRDefault="00504931" w:rsidP="00F92385">
    <w:pPr>
      <w:pStyle w:val="Header"/>
      <w:ind w:firstLine="0"/>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CEB1C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AE3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46C1C14"/>
    <w:multiLevelType w:val="multilevel"/>
    <w:tmpl w:val="4E72C010"/>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4" w15:restartNumberingAfterBreak="0">
    <w:nsid w:val="159E0F37"/>
    <w:multiLevelType w:val="hybridMultilevel"/>
    <w:tmpl w:val="AF8E69CC"/>
    <w:lvl w:ilvl="0" w:tplc="469C3694">
      <w:start w:val="1"/>
      <w:numFmt w:val="decimal"/>
      <w:lvlText w:val="%1."/>
      <w:lvlJc w:val="left"/>
      <w:pPr>
        <w:ind w:left="1440" w:hanging="360"/>
      </w:pPr>
    </w:lvl>
    <w:lvl w:ilvl="1" w:tplc="191EE65A">
      <w:start w:val="1"/>
      <w:numFmt w:val="decimal"/>
      <w:lvlText w:val="%2."/>
      <w:lvlJc w:val="left"/>
      <w:pPr>
        <w:ind w:left="1440" w:hanging="360"/>
      </w:pPr>
    </w:lvl>
    <w:lvl w:ilvl="2" w:tplc="B6C6789E">
      <w:start w:val="1"/>
      <w:numFmt w:val="decimal"/>
      <w:lvlText w:val="%3."/>
      <w:lvlJc w:val="left"/>
      <w:pPr>
        <w:ind w:left="1440" w:hanging="360"/>
      </w:pPr>
    </w:lvl>
    <w:lvl w:ilvl="3" w:tplc="A36267B8">
      <w:start w:val="1"/>
      <w:numFmt w:val="decimal"/>
      <w:lvlText w:val="%4."/>
      <w:lvlJc w:val="left"/>
      <w:pPr>
        <w:ind w:left="1440" w:hanging="360"/>
      </w:pPr>
    </w:lvl>
    <w:lvl w:ilvl="4" w:tplc="9B103A66">
      <w:start w:val="1"/>
      <w:numFmt w:val="decimal"/>
      <w:lvlText w:val="%5."/>
      <w:lvlJc w:val="left"/>
      <w:pPr>
        <w:ind w:left="1440" w:hanging="360"/>
      </w:pPr>
    </w:lvl>
    <w:lvl w:ilvl="5" w:tplc="CD92017C">
      <w:start w:val="1"/>
      <w:numFmt w:val="decimal"/>
      <w:lvlText w:val="%6."/>
      <w:lvlJc w:val="left"/>
      <w:pPr>
        <w:ind w:left="1440" w:hanging="360"/>
      </w:pPr>
    </w:lvl>
    <w:lvl w:ilvl="6" w:tplc="2D3CDA40">
      <w:start w:val="1"/>
      <w:numFmt w:val="decimal"/>
      <w:lvlText w:val="%7."/>
      <w:lvlJc w:val="left"/>
      <w:pPr>
        <w:ind w:left="1440" w:hanging="360"/>
      </w:pPr>
    </w:lvl>
    <w:lvl w:ilvl="7" w:tplc="55A4DB8A">
      <w:start w:val="1"/>
      <w:numFmt w:val="decimal"/>
      <w:lvlText w:val="%8."/>
      <w:lvlJc w:val="left"/>
      <w:pPr>
        <w:ind w:left="1440" w:hanging="360"/>
      </w:pPr>
    </w:lvl>
    <w:lvl w:ilvl="8" w:tplc="FFDAE9EE">
      <w:start w:val="1"/>
      <w:numFmt w:val="decimal"/>
      <w:lvlText w:val="%9."/>
      <w:lvlJc w:val="left"/>
      <w:pPr>
        <w:ind w:left="1440" w:hanging="360"/>
      </w:pPr>
    </w:lvl>
  </w:abstractNum>
  <w:abstractNum w:abstractNumId="5" w15:restartNumberingAfterBreak="0">
    <w:nsid w:val="15F056CB"/>
    <w:multiLevelType w:val="multilevel"/>
    <w:tmpl w:val="4E72C010"/>
    <w:numStyleLink w:val="FoFCoLOP"/>
  </w:abstractNum>
  <w:abstractNum w:abstractNumId="6" w15:restartNumberingAfterBreak="0">
    <w:nsid w:val="16101534"/>
    <w:multiLevelType w:val="hybridMultilevel"/>
    <w:tmpl w:val="28FEE44A"/>
    <w:lvl w:ilvl="0" w:tplc="AA62FC7A">
      <w:start w:val="1"/>
      <w:numFmt w:val="decimal"/>
      <w:lvlText w:val="%1."/>
      <w:lvlJc w:val="left"/>
      <w:pPr>
        <w:ind w:left="720" w:hanging="360"/>
      </w:pPr>
    </w:lvl>
    <w:lvl w:ilvl="1" w:tplc="6A7227DA">
      <w:start w:val="1"/>
      <w:numFmt w:val="decimal"/>
      <w:lvlText w:val="%2."/>
      <w:lvlJc w:val="left"/>
      <w:pPr>
        <w:ind w:left="720" w:hanging="360"/>
      </w:pPr>
    </w:lvl>
    <w:lvl w:ilvl="2" w:tplc="327C473A">
      <w:start w:val="1"/>
      <w:numFmt w:val="decimal"/>
      <w:lvlText w:val="%3."/>
      <w:lvlJc w:val="left"/>
      <w:pPr>
        <w:ind w:left="720" w:hanging="360"/>
      </w:pPr>
    </w:lvl>
    <w:lvl w:ilvl="3" w:tplc="E9E24380">
      <w:start w:val="1"/>
      <w:numFmt w:val="decimal"/>
      <w:lvlText w:val="%4."/>
      <w:lvlJc w:val="left"/>
      <w:pPr>
        <w:ind w:left="720" w:hanging="360"/>
      </w:pPr>
    </w:lvl>
    <w:lvl w:ilvl="4" w:tplc="F94A1AB2">
      <w:start w:val="1"/>
      <w:numFmt w:val="decimal"/>
      <w:lvlText w:val="%5."/>
      <w:lvlJc w:val="left"/>
      <w:pPr>
        <w:ind w:left="720" w:hanging="360"/>
      </w:pPr>
    </w:lvl>
    <w:lvl w:ilvl="5" w:tplc="60E6F082">
      <w:start w:val="1"/>
      <w:numFmt w:val="decimal"/>
      <w:lvlText w:val="%6."/>
      <w:lvlJc w:val="left"/>
      <w:pPr>
        <w:ind w:left="720" w:hanging="360"/>
      </w:pPr>
    </w:lvl>
    <w:lvl w:ilvl="6" w:tplc="4E2205FE">
      <w:start w:val="1"/>
      <w:numFmt w:val="decimal"/>
      <w:lvlText w:val="%7."/>
      <w:lvlJc w:val="left"/>
      <w:pPr>
        <w:ind w:left="720" w:hanging="360"/>
      </w:pPr>
    </w:lvl>
    <w:lvl w:ilvl="7" w:tplc="4F8AE79E">
      <w:start w:val="1"/>
      <w:numFmt w:val="decimal"/>
      <w:lvlText w:val="%8."/>
      <w:lvlJc w:val="left"/>
      <w:pPr>
        <w:ind w:left="720" w:hanging="360"/>
      </w:pPr>
    </w:lvl>
    <w:lvl w:ilvl="8" w:tplc="1B283A4A">
      <w:start w:val="1"/>
      <w:numFmt w:val="decimal"/>
      <w:lvlText w:val="%9."/>
      <w:lvlJc w:val="left"/>
      <w:pPr>
        <w:ind w:left="720" w:hanging="360"/>
      </w:pPr>
    </w:lvl>
  </w:abstractNum>
  <w:abstractNum w:abstractNumId="7" w15:restartNumberingAfterBreak="0">
    <w:nsid w:val="1C343B52"/>
    <w:multiLevelType w:val="hybridMultilevel"/>
    <w:tmpl w:val="DADA85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D70038F"/>
    <w:multiLevelType w:val="multilevel"/>
    <w:tmpl w:val="3C526EDE"/>
    <w:numStyleLink w:val="Headings"/>
  </w:abstractNum>
  <w:abstractNum w:abstractNumId="10" w15:restartNumberingAfterBreak="0">
    <w:nsid w:val="1E2242C9"/>
    <w:multiLevelType w:val="multilevel"/>
    <w:tmpl w:val="3C526EDE"/>
    <w:numStyleLink w:val="Headings"/>
  </w:abstractNum>
  <w:abstractNum w:abstractNumId="11" w15:restartNumberingAfterBreak="0">
    <w:nsid w:val="21FB58FE"/>
    <w:multiLevelType w:val="multilevel"/>
    <w:tmpl w:val="3C526EDE"/>
    <w:numStyleLink w:val="Headings"/>
  </w:abstractNum>
  <w:abstractNum w:abstractNumId="12" w15:restartNumberingAfterBreak="0">
    <w:nsid w:val="243663A0"/>
    <w:multiLevelType w:val="multilevel"/>
    <w:tmpl w:val="3C526EDE"/>
    <w:numStyleLink w:val="Headings"/>
  </w:abstractNum>
  <w:abstractNum w:abstractNumId="13" w15:restartNumberingAfterBreak="0">
    <w:nsid w:val="2B8124D7"/>
    <w:multiLevelType w:val="multilevel"/>
    <w:tmpl w:val="3C526EDE"/>
    <w:numStyleLink w:val="Headings"/>
  </w:abstractNum>
  <w:abstractNum w:abstractNumId="14" w15:restartNumberingAfterBreak="0">
    <w:nsid w:val="2D3F07DB"/>
    <w:multiLevelType w:val="hybridMultilevel"/>
    <w:tmpl w:val="9BB26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6" w15:restartNumberingAfterBreak="0">
    <w:nsid w:val="3709211F"/>
    <w:multiLevelType w:val="hybridMultilevel"/>
    <w:tmpl w:val="BA140848"/>
    <w:lvl w:ilvl="0" w:tplc="F15A9EC8">
      <w:start w:val="1"/>
      <w:numFmt w:val="decimal"/>
      <w:lvlText w:val="%1)"/>
      <w:lvlJc w:val="left"/>
      <w:pPr>
        <w:ind w:left="1020" w:hanging="360"/>
      </w:pPr>
    </w:lvl>
    <w:lvl w:ilvl="1" w:tplc="C7F6DFB8">
      <w:start w:val="1"/>
      <w:numFmt w:val="decimal"/>
      <w:lvlText w:val="%2)"/>
      <w:lvlJc w:val="left"/>
      <w:pPr>
        <w:ind w:left="1020" w:hanging="360"/>
      </w:pPr>
    </w:lvl>
    <w:lvl w:ilvl="2" w:tplc="41780682">
      <w:start w:val="1"/>
      <w:numFmt w:val="decimal"/>
      <w:lvlText w:val="%3)"/>
      <w:lvlJc w:val="left"/>
      <w:pPr>
        <w:ind w:left="1020" w:hanging="360"/>
      </w:pPr>
    </w:lvl>
    <w:lvl w:ilvl="3" w:tplc="28FA6A46">
      <w:start w:val="1"/>
      <w:numFmt w:val="decimal"/>
      <w:lvlText w:val="%4)"/>
      <w:lvlJc w:val="left"/>
      <w:pPr>
        <w:ind w:left="1020" w:hanging="360"/>
      </w:pPr>
    </w:lvl>
    <w:lvl w:ilvl="4" w:tplc="9B8AACE6">
      <w:start w:val="1"/>
      <w:numFmt w:val="decimal"/>
      <w:lvlText w:val="%5)"/>
      <w:lvlJc w:val="left"/>
      <w:pPr>
        <w:ind w:left="1020" w:hanging="360"/>
      </w:pPr>
    </w:lvl>
    <w:lvl w:ilvl="5" w:tplc="676ADDA0">
      <w:start w:val="1"/>
      <w:numFmt w:val="decimal"/>
      <w:lvlText w:val="%6)"/>
      <w:lvlJc w:val="left"/>
      <w:pPr>
        <w:ind w:left="1020" w:hanging="360"/>
      </w:pPr>
    </w:lvl>
    <w:lvl w:ilvl="6" w:tplc="F392D664">
      <w:start w:val="1"/>
      <w:numFmt w:val="decimal"/>
      <w:lvlText w:val="%7)"/>
      <w:lvlJc w:val="left"/>
      <w:pPr>
        <w:ind w:left="1020" w:hanging="360"/>
      </w:pPr>
    </w:lvl>
    <w:lvl w:ilvl="7" w:tplc="68FAA55C">
      <w:start w:val="1"/>
      <w:numFmt w:val="decimal"/>
      <w:lvlText w:val="%8)"/>
      <w:lvlJc w:val="left"/>
      <w:pPr>
        <w:ind w:left="1020" w:hanging="360"/>
      </w:pPr>
    </w:lvl>
    <w:lvl w:ilvl="8" w:tplc="49F47FEA">
      <w:start w:val="1"/>
      <w:numFmt w:val="decimal"/>
      <w:lvlText w:val="%9)"/>
      <w:lvlJc w:val="left"/>
      <w:pPr>
        <w:ind w:left="1020" w:hanging="360"/>
      </w:pPr>
    </w:lvl>
  </w:abstractNum>
  <w:abstractNum w:abstractNumId="17" w15:restartNumberingAfterBreak="0">
    <w:nsid w:val="40E55934"/>
    <w:multiLevelType w:val="hybridMultilevel"/>
    <w:tmpl w:val="D44C0020"/>
    <w:lvl w:ilvl="0" w:tplc="1E283646">
      <w:start w:val="1"/>
      <w:numFmt w:val="decimal"/>
      <w:lvlText w:val="%1."/>
      <w:lvlJc w:val="left"/>
      <w:pPr>
        <w:ind w:left="720" w:hanging="360"/>
      </w:pPr>
    </w:lvl>
    <w:lvl w:ilvl="1" w:tplc="7584BB4A">
      <w:start w:val="1"/>
      <w:numFmt w:val="decimal"/>
      <w:lvlText w:val="%2."/>
      <w:lvlJc w:val="left"/>
      <w:pPr>
        <w:ind w:left="720" w:hanging="360"/>
      </w:pPr>
    </w:lvl>
    <w:lvl w:ilvl="2" w:tplc="A8B00708">
      <w:start w:val="1"/>
      <w:numFmt w:val="decimal"/>
      <w:lvlText w:val="%3."/>
      <w:lvlJc w:val="left"/>
      <w:pPr>
        <w:ind w:left="720" w:hanging="360"/>
      </w:pPr>
    </w:lvl>
    <w:lvl w:ilvl="3" w:tplc="1A882D94">
      <w:start w:val="1"/>
      <w:numFmt w:val="decimal"/>
      <w:lvlText w:val="%4."/>
      <w:lvlJc w:val="left"/>
      <w:pPr>
        <w:ind w:left="720" w:hanging="360"/>
      </w:pPr>
    </w:lvl>
    <w:lvl w:ilvl="4" w:tplc="DCF8A038">
      <w:start w:val="1"/>
      <w:numFmt w:val="decimal"/>
      <w:lvlText w:val="%5."/>
      <w:lvlJc w:val="left"/>
      <w:pPr>
        <w:ind w:left="720" w:hanging="360"/>
      </w:pPr>
    </w:lvl>
    <w:lvl w:ilvl="5" w:tplc="FC40ED3E">
      <w:start w:val="1"/>
      <w:numFmt w:val="decimal"/>
      <w:lvlText w:val="%6."/>
      <w:lvlJc w:val="left"/>
      <w:pPr>
        <w:ind w:left="720" w:hanging="360"/>
      </w:pPr>
    </w:lvl>
    <w:lvl w:ilvl="6" w:tplc="F7C838B2">
      <w:start w:val="1"/>
      <w:numFmt w:val="decimal"/>
      <w:lvlText w:val="%7."/>
      <w:lvlJc w:val="left"/>
      <w:pPr>
        <w:ind w:left="720" w:hanging="360"/>
      </w:pPr>
    </w:lvl>
    <w:lvl w:ilvl="7" w:tplc="6C00C290">
      <w:start w:val="1"/>
      <w:numFmt w:val="decimal"/>
      <w:lvlText w:val="%8."/>
      <w:lvlJc w:val="left"/>
      <w:pPr>
        <w:ind w:left="720" w:hanging="360"/>
      </w:pPr>
    </w:lvl>
    <w:lvl w:ilvl="8" w:tplc="974A6904">
      <w:start w:val="1"/>
      <w:numFmt w:val="decimal"/>
      <w:lvlText w:val="%9."/>
      <w:lvlJc w:val="left"/>
      <w:pPr>
        <w:ind w:left="720" w:hanging="360"/>
      </w:pPr>
    </w:lvl>
  </w:abstractNum>
  <w:abstractNum w:abstractNumId="18" w15:restartNumberingAfterBreak="0">
    <w:nsid w:val="431B192E"/>
    <w:multiLevelType w:val="hybridMultilevel"/>
    <w:tmpl w:val="4B603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63026C"/>
    <w:multiLevelType w:val="hybridMultilevel"/>
    <w:tmpl w:val="0EE251A0"/>
    <w:lvl w:ilvl="0" w:tplc="B9BE5C16">
      <w:start w:val="1"/>
      <w:numFmt w:val="decimal"/>
      <w:lvlText w:val="%1."/>
      <w:lvlJc w:val="left"/>
      <w:pPr>
        <w:ind w:left="720" w:hanging="360"/>
      </w:pPr>
    </w:lvl>
    <w:lvl w:ilvl="1" w:tplc="5198894C">
      <w:start w:val="1"/>
      <w:numFmt w:val="decimal"/>
      <w:lvlText w:val="%2."/>
      <w:lvlJc w:val="left"/>
      <w:pPr>
        <w:ind w:left="720" w:hanging="360"/>
      </w:pPr>
    </w:lvl>
    <w:lvl w:ilvl="2" w:tplc="995E2BCE">
      <w:start w:val="1"/>
      <w:numFmt w:val="decimal"/>
      <w:lvlText w:val="%3."/>
      <w:lvlJc w:val="left"/>
      <w:pPr>
        <w:ind w:left="720" w:hanging="360"/>
      </w:pPr>
    </w:lvl>
    <w:lvl w:ilvl="3" w:tplc="038EC66E">
      <w:start w:val="1"/>
      <w:numFmt w:val="decimal"/>
      <w:lvlText w:val="%4."/>
      <w:lvlJc w:val="left"/>
      <w:pPr>
        <w:ind w:left="720" w:hanging="360"/>
      </w:pPr>
    </w:lvl>
    <w:lvl w:ilvl="4" w:tplc="132E1D82">
      <w:start w:val="1"/>
      <w:numFmt w:val="decimal"/>
      <w:lvlText w:val="%5."/>
      <w:lvlJc w:val="left"/>
      <w:pPr>
        <w:ind w:left="720" w:hanging="360"/>
      </w:pPr>
    </w:lvl>
    <w:lvl w:ilvl="5" w:tplc="806C0C48">
      <w:start w:val="1"/>
      <w:numFmt w:val="decimal"/>
      <w:lvlText w:val="%6."/>
      <w:lvlJc w:val="left"/>
      <w:pPr>
        <w:ind w:left="720" w:hanging="360"/>
      </w:pPr>
    </w:lvl>
    <w:lvl w:ilvl="6" w:tplc="77A0A77C">
      <w:start w:val="1"/>
      <w:numFmt w:val="decimal"/>
      <w:lvlText w:val="%7."/>
      <w:lvlJc w:val="left"/>
      <w:pPr>
        <w:ind w:left="720" w:hanging="360"/>
      </w:pPr>
    </w:lvl>
    <w:lvl w:ilvl="7" w:tplc="CA329C26">
      <w:start w:val="1"/>
      <w:numFmt w:val="decimal"/>
      <w:lvlText w:val="%8."/>
      <w:lvlJc w:val="left"/>
      <w:pPr>
        <w:ind w:left="720" w:hanging="360"/>
      </w:pPr>
    </w:lvl>
    <w:lvl w:ilvl="8" w:tplc="E7C89DA6">
      <w:start w:val="1"/>
      <w:numFmt w:val="decimal"/>
      <w:lvlText w:val="%9."/>
      <w:lvlJc w:val="left"/>
      <w:pPr>
        <w:ind w:left="720" w:hanging="360"/>
      </w:pPr>
    </w:lvl>
  </w:abstractNum>
  <w:abstractNum w:abstractNumId="20" w15:restartNumberingAfterBreak="0">
    <w:nsid w:val="438042E2"/>
    <w:multiLevelType w:val="hybridMultilevel"/>
    <w:tmpl w:val="185CF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5615DA"/>
    <w:multiLevelType w:val="hybridMultilevel"/>
    <w:tmpl w:val="163A2A06"/>
    <w:lvl w:ilvl="0" w:tplc="A912B5DE">
      <w:start w:val="1"/>
      <w:numFmt w:val="decimal"/>
      <w:lvlText w:val="%1."/>
      <w:lvlJc w:val="left"/>
      <w:pPr>
        <w:ind w:left="720" w:hanging="360"/>
      </w:pPr>
    </w:lvl>
    <w:lvl w:ilvl="1" w:tplc="8D7402D4">
      <w:start w:val="1"/>
      <w:numFmt w:val="decimal"/>
      <w:lvlText w:val="%2."/>
      <w:lvlJc w:val="left"/>
      <w:pPr>
        <w:ind w:left="720" w:hanging="360"/>
      </w:pPr>
    </w:lvl>
    <w:lvl w:ilvl="2" w:tplc="DE6A04EC">
      <w:start w:val="1"/>
      <w:numFmt w:val="decimal"/>
      <w:lvlText w:val="%3."/>
      <w:lvlJc w:val="left"/>
      <w:pPr>
        <w:ind w:left="720" w:hanging="360"/>
      </w:pPr>
    </w:lvl>
    <w:lvl w:ilvl="3" w:tplc="3B3A7650">
      <w:start w:val="1"/>
      <w:numFmt w:val="decimal"/>
      <w:lvlText w:val="%4."/>
      <w:lvlJc w:val="left"/>
      <w:pPr>
        <w:ind w:left="720" w:hanging="360"/>
      </w:pPr>
    </w:lvl>
    <w:lvl w:ilvl="4" w:tplc="61264DD8">
      <w:start w:val="1"/>
      <w:numFmt w:val="decimal"/>
      <w:lvlText w:val="%5."/>
      <w:lvlJc w:val="left"/>
      <w:pPr>
        <w:ind w:left="720" w:hanging="360"/>
      </w:pPr>
    </w:lvl>
    <w:lvl w:ilvl="5" w:tplc="E02CB756">
      <w:start w:val="1"/>
      <w:numFmt w:val="decimal"/>
      <w:lvlText w:val="%6."/>
      <w:lvlJc w:val="left"/>
      <w:pPr>
        <w:ind w:left="720" w:hanging="360"/>
      </w:pPr>
    </w:lvl>
    <w:lvl w:ilvl="6" w:tplc="03B81F00">
      <w:start w:val="1"/>
      <w:numFmt w:val="decimal"/>
      <w:lvlText w:val="%7."/>
      <w:lvlJc w:val="left"/>
      <w:pPr>
        <w:ind w:left="720" w:hanging="360"/>
      </w:pPr>
    </w:lvl>
    <w:lvl w:ilvl="7" w:tplc="BE881D74">
      <w:start w:val="1"/>
      <w:numFmt w:val="decimal"/>
      <w:lvlText w:val="%8."/>
      <w:lvlJc w:val="left"/>
      <w:pPr>
        <w:ind w:left="720" w:hanging="360"/>
      </w:pPr>
    </w:lvl>
    <w:lvl w:ilvl="8" w:tplc="2D1252A0">
      <w:start w:val="1"/>
      <w:numFmt w:val="decimal"/>
      <w:lvlText w:val="%9."/>
      <w:lvlJc w:val="left"/>
      <w:pPr>
        <w:ind w:left="720" w:hanging="360"/>
      </w:pPr>
    </w:lvl>
  </w:abstractNum>
  <w:abstractNum w:abstractNumId="22" w15:restartNumberingAfterBreak="0">
    <w:nsid w:val="59D042D7"/>
    <w:multiLevelType w:val="multilevel"/>
    <w:tmpl w:val="18F4A5AC"/>
    <w:lvl w:ilvl="0">
      <w:start w:val="1"/>
      <w:numFmt w:val="decimal"/>
      <w:pStyle w:val="Co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3" w15:restartNumberingAfterBreak="0">
    <w:nsid w:val="5A9E2171"/>
    <w:multiLevelType w:val="multilevel"/>
    <w:tmpl w:val="3C526EDE"/>
    <w:numStyleLink w:val="Headings"/>
  </w:abstractNum>
  <w:abstractNum w:abstractNumId="24" w15:restartNumberingAfterBreak="0">
    <w:nsid w:val="5CF20100"/>
    <w:multiLevelType w:val="hybridMultilevel"/>
    <w:tmpl w:val="1CA89B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1A25780"/>
    <w:multiLevelType w:val="multilevel"/>
    <w:tmpl w:val="3C526EDE"/>
    <w:numStyleLink w:val="Headings"/>
  </w:abstractNum>
  <w:abstractNum w:abstractNumId="26" w15:restartNumberingAfterBreak="0">
    <w:nsid w:val="6D0E7EE5"/>
    <w:multiLevelType w:val="hybridMultilevel"/>
    <w:tmpl w:val="E398B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5510284"/>
    <w:multiLevelType w:val="hybridMultilevel"/>
    <w:tmpl w:val="612E83EC"/>
    <w:lvl w:ilvl="0" w:tplc="76040714">
      <w:start w:val="1"/>
      <w:numFmt w:val="decimal"/>
      <w:lvlText w:val="%1."/>
      <w:lvlJc w:val="left"/>
      <w:pPr>
        <w:ind w:left="720" w:hanging="360"/>
      </w:pPr>
    </w:lvl>
    <w:lvl w:ilvl="1" w:tplc="D152BD86">
      <w:start w:val="1"/>
      <w:numFmt w:val="decimal"/>
      <w:lvlText w:val="%2."/>
      <w:lvlJc w:val="left"/>
      <w:pPr>
        <w:ind w:left="720" w:hanging="360"/>
      </w:pPr>
    </w:lvl>
    <w:lvl w:ilvl="2" w:tplc="4194300E">
      <w:start w:val="1"/>
      <w:numFmt w:val="decimal"/>
      <w:lvlText w:val="%3."/>
      <w:lvlJc w:val="left"/>
      <w:pPr>
        <w:ind w:left="720" w:hanging="360"/>
      </w:pPr>
    </w:lvl>
    <w:lvl w:ilvl="3" w:tplc="E2DA5EEE">
      <w:start w:val="1"/>
      <w:numFmt w:val="decimal"/>
      <w:lvlText w:val="%4."/>
      <w:lvlJc w:val="left"/>
      <w:pPr>
        <w:ind w:left="720" w:hanging="360"/>
      </w:pPr>
    </w:lvl>
    <w:lvl w:ilvl="4" w:tplc="6C6E3732">
      <w:start w:val="1"/>
      <w:numFmt w:val="decimal"/>
      <w:lvlText w:val="%5."/>
      <w:lvlJc w:val="left"/>
      <w:pPr>
        <w:ind w:left="720" w:hanging="360"/>
      </w:pPr>
    </w:lvl>
    <w:lvl w:ilvl="5" w:tplc="D2EAE8D8">
      <w:start w:val="1"/>
      <w:numFmt w:val="decimal"/>
      <w:lvlText w:val="%6."/>
      <w:lvlJc w:val="left"/>
      <w:pPr>
        <w:ind w:left="720" w:hanging="360"/>
      </w:pPr>
    </w:lvl>
    <w:lvl w:ilvl="6" w:tplc="49B4CFC2">
      <w:start w:val="1"/>
      <w:numFmt w:val="decimal"/>
      <w:lvlText w:val="%7."/>
      <w:lvlJc w:val="left"/>
      <w:pPr>
        <w:ind w:left="720" w:hanging="360"/>
      </w:pPr>
    </w:lvl>
    <w:lvl w:ilvl="7" w:tplc="BA9206E6">
      <w:start w:val="1"/>
      <w:numFmt w:val="decimal"/>
      <w:lvlText w:val="%8."/>
      <w:lvlJc w:val="left"/>
      <w:pPr>
        <w:ind w:left="720" w:hanging="360"/>
      </w:pPr>
    </w:lvl>
    <w:lvl w:ilvl="8" w:tplc="E9586226">
      <w:start w:val="1"/>
      <w:numFmt w:val="decimal"/>
      <w:lvlText w:val="%9."/>
      <w:lvlJc w:val="left"/>
      <w:pPr>
        <w:ind w:left="720" w:hanging="360"/>
      </w:pPr>
    </w:lvl>
  </w:abstractNum>
  <w:abstractNum w:abstractNumId="29" w15:restartNumberingAfterBreak="0">
    <w:nsid w:val="789A0AFE"/>
    <w:multiLevelType w:val="multilevel"/>
    <w:tmpl w:val="4E72C010"/>
    <w:numStyleLink w:val="FoFCoLOP"/>
  </w:abstractNum>
  <w:num w:numId="1" w16cid:durableId="1354526949">
    <w:abstractNumId w:val="23"/>
  </w:num>
  <w:num w:numId="2" w16cid:durableId="140774137">
    <w:abstractNumId w:val="3"/>
  </w:num>
  <w:num w:numId="3" w16cid:durableId="1898543446">
    <w:abstractNumId w:val="22"/>
  </w:num>
  <w:num w:numId="4" w16cid:durableId="701521005">
    <w:abstractNumId w:val="5"/>
  </w:num>
  <w:num w:numId="5" w16cid:durableId="2017029027">
    <w:abstractNumId w:val="29"/>
  </w:num>
  <w:num w:numId="6" w16cid:durableId="973756952">
    <w:abstractNumId w:val="15"/>
  </w:num>
  <w:num w:numId="7" w16cid:durableId="827667741">
    <w:abstractNumId w:val="10"/>
  </w:num>
  <w:num w:numId="8" w16cid:durableId="1760327020">
    <w:abstractNumId w:val="27"/>
  </w:num>
  <w:num w:numId="9" w16cid:durableId="816924040">
    <w:abstractNumId w:val="2"/>
  </w:num>
  <w:num w:numId="10" w16cid:durableId="1817916489">
    <w:abstractNumId w:val="9"/>
  </w:num>
  <w:num w:numId="11" w16cid:durableId="291985460">
    <w:abstractNumId w:val="11"/>
  </w:num>
  <w:num w:numId="12" w16cid:durableId="467941983">
    <w:abstractNumId w:val="8"/>
  </w:num>
  <w:num w:numId="13" w16cid:durableId="712996464">
    <w:abstractNumId w:val="12"/>
  </w:num>
  <w:num w:numId="14" w16cid:durableId="1303778653">
    <w:abstractNumId w:val="13"/>
  </w:num>
  <w:num w:numId="15" w16cid:durableId="1714382259">
    <w:abstractNumId w:val="25"/>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num>
  <w:num w:numId="16" w16cid:durableId="5481076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25"/>
  </w:num>
  <w:num w:numId="18" w16cid:durableId="1998603755">
    <w:abstractNumId w:val="0"/>
  </w:num>
  <w:num w:numId="19" w16cid:durableId="1764833201">
    <w:abstractNumId w:val="1"/>
  </w:num>
  <w:num w:numId="20" w16cid:durableId="1839887194">
    <w:abstractNumId w:val="7"/>
  </w:num>
  <w:num w:numId="21" w16cid:durableId="1600917433">
    <w:abstractNumId w:val="24"/>
  </w:num>
  <w:num w:numId="22" w16cid:durableId="2084522751">
    <w:abstractNumId w:val="26"/>
  </w:num>
  <w:num w:numId="23" w16cid:durableId="17072878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4865308">
    <w:abstractNumId w:val="20"/>
  </w:num>
  <w:num w:numId="25" w16cid:durableId="20474869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396896">
    <w:abstractNumId w:val="16"/>
  </w:num>
  <w:num w:numId="27" w16cid:durableId="574316509">
    <w:abstractNumId w:val="17"/>
  </w:num>
  <w:num w:numId="28" w16cid:durableId="1226405880">
    <w:abstractNumId w:val="6"/>
  </w:num>
  <w:num w:numId="29" w16cid:durableId="1627158347">
    <w:abstractNumId w:val="28"/>
  </w:num>
  <w:num w:numId="30" w16cid:durableId="723061645">
    <w:abstractNumId w:val="21"/>
  </w:num>
  <w:num w:numId="31" w16cid:durableId="816995869">
    <w:abstractNumId w:val="19"/>
  </w:num>
  <w:num w:numId="32" w16cid:durableId="1735276334">
    <w:abstractNumId w:val="18"/>
  </w:num>
  <w:num w:numId="33" w16cid:durableId="1771509344">
    <w:abstractNumId w:val="4"/>
  </w:num>
  <w:num w:numId="34" w16cid:durableId="156387176">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305"/>
    <w:rsid w:val="00000BED"/>
    <w:rsid w:val="00000F6A"/>
    <w:rsid w:val="00001193"/>
    <w:rsid w:val="00002DD2"/>
    <w:rsid w:val="000036C8"/>
    <w:rsid w:val="00003C3F"/>
    <w:rsid w:val="00004A18"/>
    <w:rsid w:val="0000529F"/>
    <w:rsid w:val="00005A2D"/>
    <w:rsid w:val="00006606"/>
    <w:rsid w:val="0000661F"/>
    <w:rsid w:val="00007532"/>
    <w:rsid w:val="0000763F"/>
    <w:rsid w:val="00012930"/>
    <w:rsid w:val="00014AFF"/>
    <w:rsid w:val="00017570"/>
    <w:rsid w:val="00017EF8"/>
    <w:rsid w:val="00021C3A"/>
    <w:rsid w:val="000238C1"/>
    <w:rsid w:val="00025D75"/>
    <w:rsid w:val="00026205"/>
    <w:rsid w:val="00026598"/>
    <w:rsid w:val="00026BC2"/>
    <w:rsid w:val="00026E30"/>
    <w:rsid w:val="00026F37"/>
    <w:rsid w:val="00027758"/>
    <w:rsid w:val="00027AF8"/>
    <w:rsid w:val="00027C96"/>
    <w:rsid w:val="00027EBF"/>
    <w:rsid w:val="00030839"/>
    <w:rsid w:val="000310DF"/>
    <w:rsid w:val="000326FB"/>
    <w:rsid w:val="0003476C"/>
    <w:rsid w:val="00035003"/>
    <w:rsid w:val="00035335"/>
    <w:rsid w:val="00035D18"/>
    <w:rsid w:val="0003625F"/>
    <w:rsid w:val="00036862"/>
    <w:rsid w:val="000370D4"/>
    <w:rsid w:val="00037B3B"/>
    <w:rsid w:val="0004083F"/>
    <w:rsid w:val="000409F7"/>
    <w:rsid w:val="000439E3"/>
    <w:rsid w:val="00044514"/>
    <w:rsid w:val="00044A59"/>
    <w:rsid w:val="00044D62"/>
    <w:rsid w:val="000452FF"/>
    <w:rsid w:val="00045C82"/>
    <w:rsid w:val="00045F07"/>
    <w:rsid w:val="0004600E"/>
    <w:rsid w:val="0004728E"/>
    <w:rsid w:val="00051CC3"/>
    <w:rsid w:val="00051DCF"/>
    <w:rsid w:val="00052B1B"/>
    <w:rsid w:val="00052C3E"/>
    <w:rsid w:val="00052E4F"/>
    <w:rsid w:val="00053144"/>
    <w:rsid w:val="00053B93"/>
    <w:rsid w:val="00054091"/>
    <w:rsid w:val="0005468F"/>
    <w:rsid w:val="00056349"/>
    <w:rsid w:val="00056665"/>
    <w:rsid w:val="000568E3"/>
    <w:rsid w:val="00061E1F"/>
    <w:rsid w:val="00062427"/>
    <w:rsid w:val="00062FE5"/>
    <w:rsid w:val="00063972"/>
    <w:rsid w:val="00064CDC"/>
    <w:rsid w:val="00066254"/>
    <w:rsid w:val="000666B7"/>
    <w:rsid w:val="000669DC"/>
    <w:rsid w:val="0006731C"/>
    <w:rsid w:val="000679FF"/>
    <w:rsid w:val="0007115A"/>
    <w:rsid w:val="0007126D"/>
    <w:rsid w:val="00071605"/>
    <w:rsid w:val="000716D5"/>
    <w:rsid w:val="00071C23"/>
    <w:rsid w:val="0007292C"/>
    <w:rsid w:val="00072AAB"/>
    <w:rsid w:val="00072AD7"/>
    <w:rsid w:val="000735B0"/>
    <w:rsid w:val="00073910"/>
    <w:rsid w:val="0007412D"/>
    <w:rsid w:val="000749EB"/>
    <w:rsid w:val="00074A14"/>
    <w:rsid w:val="00076FCD"/>
    <w:rsid w:val="00077AE0"/>
    <w:rsid w:val="00081AD9"/>
    <w:rsid w:val="00081DF1"/>
    <w:rsid w:val="00082234"/>
    <w:rsid w:val="000828BB"/>
    <w:rsid w:val="00083980"/>
    <w:rsid w:val="00083B06"/>
    <w:rsid w:val="00083EB3"/>
    <w:rsid w:val="000843DC"/>
    <w:rsid w:val="000848F3"/>
    <w:rsid w:val="0008608F"/>
    <w:rsid w:val="000868F3"/>
    <w:rsid w:val="000869FE"/>
    <w:rsid w:val="000873C4"/>
    <w:rsid w:val="000914E3"/>
    <w:rsid w:val="0009528D"/>
    <w:rsid w:val="000956E7"/>
    <w:rsid w:val="0009637A"/>
    <w:rsid w:val="000963DE"/>
    <w:rsid w:val="0009650C"/>
    <w:rsid w:val="000973C8"/>
    <w:rsid w:val="000A0289"/>
    <w:rsid w:val="000A0BE7"/>
    <w:rsid w:val="000A1CFB"/>
    <w:rsid w:val="000A2AA9"/>
    <w:rsid w:val="000A2C3F"/>
    <w:rsid w:val="000A3F9C"/>
    <w:rsid w:val="000A53F9"/>
    <w:rsid w:val="000A56F2"/>
    <w:rsid w:val="000A6E05"/>
    <w:rsid w:val="000A6E65"/>
    <w:rsid w:val="000A70EC"/>
    <w:rsid w:val="000A7CB3"/>
    <w:rsid w:val="000B06B6"/>
    <w:rsid w:val="000B07B5"/>
    <w:rsid w:val="000B12FA"/>
    <w:rsid w:val="000B18A3"/>
    <w:rsid w:val="000B1968"/>
    <w:rsid w:val="000B4748"/>
    <w:rsid w:val="000B4B56"/>
    <w:rsid w:val="000B4D79"/>
    <w:rsid w:val="000B51D0"/>
    <w:rsid w:val="000B5F9A"/>
    <w:rsid w:val="000B6792"/>
    <w:rsid w:val="000B6C9F"/>
    <w:rsid w:val="000B7B19"/>
    <w:rsid w:val="000C0221"/>
    <w:rsid w:val="000C02E1"/>
    <w:rsid w:val="000C07DB"/>
    <w:rsid w:val="000C08BF"/>
    <w:rsid w:val="000C0B5D"/>
    <w:rsid w:val="000C163E"/>
    <w:rsid w:val="000C205A"/>
    <w:rsid w:val="000C2A9D"/>
    <w:rsid w:val="000C3473"/>
    <w:rsid w:val="000C3A4F"/>
    <w:rsid w:val="000C3B9A"/>
    <w:rsid w:val="000C4974"/>
    <w:rsid w:val="000C60A2"/>
    <w:rsid w:val="000C6354"/>
    <w:rsid w:val="000C666F"/>
    <w:rsid w:val="000D09BD"/>
    <w:rsid w:val="000D0C9B"/>
    <w:rsid w:val="000D25A8"/>
    <w:rsid w:val="000D2C4A"/>
    <w:rsid w:val="000D2C7D"/>
    <w:rsid w:val="000D2D86"/>
    <w:rsid w:val="000D4AD4"/>
    <w:rsid w:val="000D52C9"/>
    <w:rsid w:val="000D6C32"/>
    <w:rsid w:val="000D6C9A"/>
    <w:rsid w:val="000D6DDF"/>
    <w:rsid w:val="000D76C2"/>
    <w:rsid w:val="000D7AB8"/>
    <w:rsid w:val="000E00C9"/>
    <w:rsid w:val="000E1261"/>
    <w:rsid w:val="000E20A2"/>
    <w:rsid w:val="000E270A"/>
    <w:rsid w:val="000E4C53"/>
    <w:rsid w:val="000E4E6C"/>
    <w:rsid w:val="000E52EE"/>
    <w:rsid w:val="000E52FA"/>
    <w:rsid w:val="000E5D98"/>
    <w:rsid w:val="000E66A9"/>
    <w:rsid w:val="000E67D6"/>
    <w:rsid w:val="000E6ECE"/>
    <w:rsid w:val="000F31C0"/>
    <w:rsid w:val="000F3CE7"/>
    <w:rsid w:val="000F3E53"/>
    <w:rsid w:val="000F4322"/>
    <w:rsid w:val="000F48C6"/>
    <w:rsid w:val="000F49E5"/>
    <w:rsid w:val="000F547F"/>
    <w:rsid w:val="000F54DD"/>
    <w:rsid w:val="0010043B"/>
    <w:rsid w:val="00100D5D"/>
    <w:rsid w:val="0010134D"/>
    <w:rsid w:val="00103111"/>
    <w:rsid w:val="00103305"/>
    <w:rsid w:val="001034D7"/>
    <w:rsid w:val="00104501"/>
    <w:rsid w:val="001051EA"/>
    <w:rsid w:val="001054B5"/>
    <w:rsid w:val="00105A9C"/>
    <w:rsid w:val="00105EC3"/>
    <w:rsid w:val="00107C54"/>
    <w:rsid w:val="00110213"/>
    <w:rsid w:val="00111EB2"/>
    <w:rsid w:val="0011408E"/>
    <w:rsid w:val="0011563F"/>
    <w:rsid w:val="00115EE9"/>
    <w:rsid w:val="00117D66"/>
    <w:rsid w:val="0012001B"/>
    <w:rsid w:val="00121089"/>
    <w:rsid w:val="00121C22"/>
    <w:rsid w:val="0012203C"/>
    <w:rsid w:val="001221EB"/>
    <w:rsid w:val="00123403"/>
    <w:rsid w:val="0012390C"/>
    <w:rsid w:val="00123FE1"/>
    <w:rsid w:val="00124B6B"/>
    <w:rsid w:val="00125759"/>
    <w:rsid w:val="00125C6B"/>
    <w:rsid w:val="00126589"/>
    <w:rsid w:val="00126F7C"/>
    <w:rsid w:val="001274E7"/>
    <w:rsid w:val="001303C1"/>
    <w:rsid w:val="00130656"/>
    <w:rsid w:val="001307F8"/>
    <w:rsid w:val="00132FE3"/>
    <w:rsid w:val="00135E8B"/>
    <w:rsid w:val="00135F8D"/>
    <w:rsid w:val="00136D11"/>
    <w:rsid w:val="001420CF"/>
    <w:rsid w:val="0014370F"/>
    <w:rsid w:val="00143828"/>
    <w:rsid w:val="00143A95"/>
    <w:rsid w:val="001442C6"/>
    <w:rsid w:val="001446E2"/>
    <w:rsid w:val="00145AA2"/>
    <w:rsid w:val="00145CC1"/>
    <w:rsid w:val="00145F01"/>
    <w:rsid w:val="0015000C"/>
    <w:rsid w:val="001511AE"/>
    <w:rsid w:val="001521C0"/>
    <w:rsid w:val="001524A5"/>
    <w:rsid w:val="0015364B"/>
    <w:rsid w:val="00154D60"/>
    <w:rsid w:val="00156860"/>
    <w:rsid w:val="0016644D"/>
    <w:rsid w:val="00170960"/>
    <w:rsid w:val="00171FA1"/>
    <w:rsid w:val="00174FF0"/>
    <w:rsid w:val="001755DA"/>
    <w:rsid w:val="001776A1"/>
    <w:rsid w:val="00180C46"/>
    <w:rsid w:val="00181B58"/>
    <w:rsid w:val="0018219B"/>
    <w:rsid w:val="00182646"/>
    <w:rsid w:val="00184A8F"/>
    <w:rsid w:val="00185921"/>
    <w:rsid w:val="00185ACB"/>
    <w:rsid w:val="00185C35"/>
    <w:rsid w:val="00186BD6"/>
    <w:rsid w:val="00186F50"/>
    <w:rsid w:val="00187736"/>
    <w:rsid w:val="00190D05"/>
    <w:rsid w:val="001910A0"/>
    <w:rsid w:val="0019121B"/>
    <w:rsid w:val="001920B3"/>
    <w:rsid w:val="00192F6E"/>
    <w:rsid w:val="00193052"/>
    <w:rsid w:val="001931C7"/>
    <w:rsid w:val="00195250"/>
    <w:rsid w:val="001957E8"/>
    <w:rsid w:val="001977EE"/>
    <w:rsid w:val="001979E4"/>
    <w:rsid w:val="00197AE3"/>
    <w:rsid w:val="00197B55"/>
    <w:rsid w:val="001A002D"/>
    <w:rsid w:val="001A1364"/>
    <w:rsid w:val="001A1985"/>
    <w:rsid w:val="001A1A69"/>
    <w:rsid w:val="001A4D81"/>
    <w:rsid w:val="001A5EA8"/>
    <w:rsid w:val="001A7117"/>
    <w:rsid w:val="001B120C"/>
    <w:rsid w:val="001B1440"/>
    <w:rsid w:val="001B1531"/>
    <w:rsid w:val="001B16ED"/>
    <w:rsid w:val="001B23D2"/>
    <w:rsid w:val="001B446D"/>
    <w:rsid w:val="001B529F"/>
    <w:rsid w:val="001B6EC3"/>
    <w:rsid w:val="001C1281"/>
    <w:rsid w:val="001C1599"/>
    <w:rsid w:val="001C2380"/>
    <w:rsid w:val="001C23DB"/>
    <w:rsid w:val="001C2922"/>
    <w:rsid w:val="001C2ACB"/>
    <w:rsid w:val="001C363F"/>
    <w:rsid w:val="001C36F8"/>
    <w:rsid w:val="001C5AC5"/>
    <w:rsid w:val="001C66CB"/>
    <w:rsid w:val="001C6C92"/>
    <w:rsid w:val="001C6FD9"/>
    <w:rsid w:val="001C71AD"/>
    <w:rsid w:val="001C7455"/>
    <w:rsid w:val="001D0413"/>
    <w:rsid w:val="001D0EB4"/>
    <w:rsid w:val="001D2523"/>
    <w:rsid w:val="001D4004"/>
    <w:rsid w:val="001D420E"/>
    <w:rsid w:val="001D4920"/>
    <w:rsid w:val="001D52EE"/>
    <w:rsid w:val="001D5E0D"/>
    <w:rsid w:val="001D6700"/>
    <w:rsid w:val="001D6BA9"/>
    <w:rsid w:val="001E01AD"/>
    <w:rsid w:val="001E0B9A"/>
    <w:rsid w:val="001E1C3B"/>
    <w:rsid w:val="001E1CB0"/>
    <w:rsid w:val="001E2A62"/>
    <w:rsid w:val="001E5C7F"/>
    <w:rsid w:val="001E70AD"/>
    <w:rsid w:val="001E70EC"/>
    <w:rsid w:val="001F0609"/>
    <w:rsid w:val="001F06DB"/>
    <w:rsid w:val="001F24C2"/>
    <w:rsid w:val="001F2819"/>
    <w:rsid w:val="001F4138"/>
    <w:rsid w:val="001F4649"/>
    <w:rsid w:val="001F4928"/>
    <w:rsid w:val="001F4B60"/>
    <w:rsid w:val="001F5F47"/>
    <w:rsid w:val="001F6046"/>
    <w:rsid w:val="001F6554"/>
    <w:rsid w:val="001F78F5"/>
    <w:rsid w:val="001F7C69"/>
    <w:rsid w:val="00201EB0"/>
    <w:rsid w:val="00202ADF"/>
    <w:rsid w:val="00202D31"/>
    <w:rsid w:val="00202FF1"/>
    <w:rsid w:val="002043EC"/>
    <w:rsid w:val="0020733F"/>
    <w:rsid w:val="0020749F"/>
    <w:rsid w:val="0021142E"/>
    <w:rsid w:val="00211F29"/>
    <w:rsid w:val="0021320D"/>
    <w:rsid w:val="0021342C"/>
    <w:rsid w:val="00214F68"/>
    <w:rsid w:val="00216EA0"/>
    <w:rsid w:val="002179EE"/>
    <w:rsid w:val="00217E3A"/>
    <w:rsid w:val="002203D7"/>
    <w:rsid w:val="002219A1"/>
    <w:rsid w:val="00222C78"/>
    <w:rsid w:val="002239DC"/>
    <w:rsid w:val="002239DE"/>
    <w:rsid w:val="00223D2D"/>
    <w:rsid w:val="002240CA"/>
    <w:rsid w:val="00224DEE"/>
    <w:rsid w:val="00226BEE"/>
    <w:rsid w:val="00226E8E"/>
    <w:rsid w:val="002304D7"/>
    <w:rsid w:val="0023139B"/>
    <w:rsid w:val="00231A95"/>
    <w:rsid w:val="002327D9"/>
    <w:rsid w:val="00232F3E"/>
    <w:rsid w:val="00233011"/>
    <w:rsid w:val="00233769"/>
    <w:rsid w:val="00234D87"/>
    <w:rsid w:val="00235A22"/>
    <w:rsid w:val="0023613C"/>
    <w:rsid w:val="002361D4"/>
    <w:rsid w:val="0023645D"/>
    <w:rsid w:val="00236D11"/>
    <w:rsid w:val="00236E73"/>
    <w:rsid w:val="00237F78"/>
    <w:rsid w:val="002404F1"/>
    <w:rsid w:val="002416E8"/>
    <w:rsid w:val="00241762"/>
    <w:rsid w:val="00242113"/>
    <w:rsid w:val="00242A49"/>
    <w:rsid w:val="00243DC0"/>
    <w:rsid w:val="00244838"/>
    <w:rsid w:val="00245EDC"/>
    <w:rsid w:val="00247477"/>
    <w:rsid w:val="002519D7"/>
    <w:rsid w:val="0025470B"/>
    <w:rsid w:val="00254ADF"/>
    <w:rsid w:val="00255027"/>
    <w:rsid w:val="002556C9"/>
    <w:rsid w:val="00255D49"/>
    <w:rsid w:val="0025680A"/>
    <w:rsid w:val="00256F67"/>
    <w:rsid w:val="002571EE"/>
    <w:rsid w:val="00260125"/>
    <w:rsid w:val="00260338"/>
    <w:rsid w:val="00260802"/>
    <w:rsid w:val="0026134C"/>
    <w:rsid w:val="002622CC"/>
    <w:rsid w:val="00263771"/>
    <w:rsid w:val="00264CE6"/>
    <w:rsid w:val="002650DA"/>
    <w:rsid w:val="00267421"/>
    <w:rsid w:val="0026773F"/>
    <w:rsid w:val="00270440"/>
    <w:rsid w:val="00270A1D"/>
    <w:rsid w:val="002711A7"/>
    <w:rsid w:val="0027141B"/>
    <w:rsid w:val="002727EB"/>
    <w:rsid w:val="002744E1"/>
    <w:rsid w:val="00274DE0"/>
    <w:rsid w:val="00275D20"/>
    <w:rsid w:val="00276C1E"/>
    <w:rsid w:val="00277F50"/>
    <w:rsid w:val="00283B29"/>
    <w:rsid w:val="00284166"/>
    <w:rsid w:val="00284D8D"/>
    <w:rsid w:val="002869AD"/>
    <w:rsid w:val="00286EEA"/>
    <w:rsid w:val="00287BC5"/>
    <w:rsid w:val="00287F7A"/>
    <w:rsid w:val="002918D5"/>
    <w:rsid w:val="00293DEE"/>
    <w:rsid w:val="00293E1F"/>
    <w:rsid w:val="00293E4E"/>
    <w:rsid w:val="002964EE"/>
    <w:rsid w:val="00296BD7"/>
    <w:rsid w:val="002977C5"/>
    <w:rsid w:val="00297B28"/>
    <w:rsid w:val="002A060D"/>
    <w:rsid w:val="002A0B5D"/>
    <w:rsid w:val="002A2AC3"/>
    <w:rsid w:val="002A3A0E"/>
    <w:rsid w:val="002A3EA7"/>
    <w:rsid w:val="002A5DAE"/>
    <w:rsid w:val="002A5F4D"/>
    <w:rsid w:val="002A633A"/>
    <w:rsid w:val="002A644B"/>
    <w:rsid w:val="002A707F"/>
    <w:rsid w:val="002B0C3A"/>
    <w:rsid w:val="002B2903"/>
    <w:rsid w:val="002B49B0"/>
    <w:rsid w:val="002B5EF5"/>
    <w:rsid w:val="002B6615"/>
    <w:rsid w:val="002B755A"/>
    <w:rsid w:val="002B7C2F"/>
    <w:rsid w:val="002B7D93"/>
    <w:rsid w:val="002C018B"/>
    <w:rsid w:val="002C0C9E"/>
    <w:rsid w:val="002C1CDE"/>
    <w:rsid w:val="002C3427"/>
    <w:rsid w:val="002C3B6D"/>
    <w:rsid w:val="002C4727"/>
    <w:rsid w:val="002C4B56"/>
    <w:rsid w:val="002C4CF0"/>
    <w:rsid w:val="002C7FE9"/>
    <w:rsid w:val="002D0DC5"/>
    <w:rsid w:val="002D17DD"/>
    <w:rsid w:val="002D2B9C"/>
    <w:rsid w:val="002D38CB"/>
    <w:rsid w:val="002D3E47"/>
    <w:rsid w:val="002D452B"/>
    <w:rsid w:val="002D4EFD"/>
    <w:rsid w:val="002D5C0F"/>
    <w:rsid w:val="002D713D"/>
    <w:rsid w:val="002D79CE"/>
    <w:rsid w:val="002D7C2C"/>
    <w:rsid w:val="002D7D91"/>
    <w:rsid w:val="002E01EB"/>
    <w:rsid w:val="002E18F7"/>
    <w:rsid w:val="002E3AD7"/>
    <w:rsid w:val="002E490C"/>
    <w:rsid w:val="002E6937"/>
    <w:rsid w:val="002E6A1B"/>
    <w:rsid w:val="002E7972"/>
    <w:rsid w:val="002F1857"/>
    <w:rsid w:val="002F18D7"/>
    <w:rsid w:val="002F1C22"/>
    <w:rsid w:val="002F2906"/>
    <w:rsid w:val="002F33C6"/>
    <w:rsid w:val="002F503D"/>
    <w:rsid w:val="002F5470"/>
    <w:rsid w:val="002F5F72"/>
    <w:rsid w:val="002F7141"/>
    <w:rsid w:val="002F7445"/>
    <w:rsid w:val="002F7C9F"/>
    <w:rsid w:val="002F7E4F"/>
    <w:rsid w:val="0030134C"/>
    <w:rsid w:val="003014C5"/>
    <w:rsid w:val="00301A1C"/>
    <w:rsid w:val="003029B1"/>
    <w:rsid w:val="00303288"/>
    <w:rsid w:val="00304299"/>
    <w:rsid w:val="003053B4"/>
    <w:rsid w:val="0030600D"/>
    <w:rsid w:val="00306E06"/>
    <w:rsid w:val="003079C4"/>
    <w:rsid w:val="00307B1C"/>
    <w:rsid w:val="00310558"/>
    <w:rsid w:val="00311240"/>
    <w:rsid w:val="00312C54"/>
    <w:rsid w:val="003131F0"/>
    <w:rsid w:val="003146C8"/>
    <w:rsid w:val="00314F78"/>
    <w:rsid w:val="00315A97"/>
    <w:rsid w:val="00316071"/>
    <w:rsid w:val="003162BB"/>
    <w:rsid w:val="00316304"/>
    <w:rsid w:val="00316982"/>
    <w:rsid w:val="003169E6"/>
    <w:rsid w:val="003171AE"/>
    <w:rsid w:val="00317D3A"/>
    <w:rsid w:val="00320050"/>
    <w:rsid w:val="0032016C"/>
    <w:rsid w:val="003201D6"/>
    <w:rsid w:val="00320992"/>
    <w:rsid w:val="00320B3F"/>
    <w:rsid w:val="00321B43"/>
    <w:rsid w:val="00321FD0"/>
    <w:rsid w:val="0032354C"/>
    <w:rsid w:val="0032663E"/>
    <w:rsid w:val="003269E8"/>
    <w:rsid w:val="003273C1"/>
    <w:rsid w:val="003273EA"/>
    <w:rsid w:val="00327648"/>
    <w:rsid w:val="00327ACB"/>
    <w:rsid w:val="0033013B"/>
    <w:rsid w:val="00330EE8"/>
    <w:rsid w:val="00331A6C"/>
    <w:rsid w:val="00332646"/>
    <w:rsid w:val="00333CFF"/>
    <w:rsid w:val="0033407F"/>
    <w:rsid w:val="00334B7C"/>
    <w:rsid w:val="003352BA"/>
    <w:rsid w:val="00335FD8"/>
    <w:rsid w:val="00343E5C"/>
    <w:rsid w:val="00344579"/>
    <w:rsid w:val="00344FA6"/>
    <w:rsid w:val="00344FB8"/>
    <w:rsid w:val="003452B5"/>
    <w:rsid w:val="003452F9"/>
    <w:rsid w:val="00345F18"/>
    <w:rsid w:val="0034717B"/>
    <w:rsid w:val="00350248"/>
    <w:rsid w:val="0035127C"/>
    <w:rsid w:val="00351535"/>
    <w:rsid w:val="00352665"/>
    <w:rsid w:val="00352DA0"/>
    <w:rsid w:val="00354098"/>
    <w:rsid w:val="00354120"/>
    <w:rsid w:val="00355702"/>
    <w:rsid w:val="00355868"/>
    <w:rsid w:val="00355AD7"/>
    <w:rsid w:val="00356CAE"/>
    <w:rsid w:val="00356DCD"/>
    <w:rsid w:val="00356DFE"/>
    <w:rsid w:val="0036017B"/>
    <w:rsid w:val="00360F76"/>
    <w:rsid w:val="00362755"/>
    <w:rsid w:val="003631AD"/>
    <w:rsid w:val="00363A53"/>
    <w:rsid w:val="00363B72"/>
    <w:rsid w:val="00364078"/>
    <w:rsid w:val="0036442F"/>
    <w:rsid w:val="00364A6F"/>
    <w:rsid w:val="003660EA"/>
    <w:rsid w:val="003672B7"/>
    <w:rsid w:val="003702D7"/>
    <w:rsid w:val="00371067"/>
    <w:rsid w:val="003710E8"/>
    <w:rsid w:val="0037155D"/>
    <w:rsid w:val="00371A34"/>
    <w:rsid w:val="00372CC1"/>
    <w:rsid w:val="0037333A"/>
    <w:rsid w:val="00373B93"/>
    <w:rsid w:val="00375151"/>
    <w:rsid w:val="00375896"/>
    <w:rsid w:val="00375DD1"/>
    <w:rsid w:val="00376010"/>
    <w:rsid w:val="00376DA4"/>
    <w:rsid w:val="00377562"/>
    <w:rsid w:val="00380CD1"/>
    <w:rsid w:val="00381106"/>
    <w:rsid w:val="00382495"/>
    <w:rsid w:val="00383416"/>
    <w:rsid w:val="003847E3"/>
    <w:rsid w:val="003847F3"/>
    <w:rsid w:val="00385A8E"/>
    <w:rsid w:val="0038700B"/>
    <w:rsid w:val="003874B9"/>
    <w:rsid w:val="003879E2"/>
    <w:rsid w:val="0039005A"/>
    <w:rsid w:val="003906D8"/>
    <w:rsid w:val="00390ACD"/>
    <w:rsid w:val="00391EDB"/>
    <w:rsid w:val="00394D86"/>
    <w:rsid w:val="0039501E"/>
    <w:rsid w:val="003953DD"/>
    <w:rsid w:val="00397122"/>
    <w:rsid w:val="00397629"/>
    <w:rsid w:val="00397771"/>
    <w:rsid w:val="00397B2F"/>
    <w:rsid w:val="003A02CA"/>
    <w:rsid w:val="003A07F4"/>
    <w:rsid w:val="003A13FD"/>
    <w:rsid w:val="003A2355"/>
    <w:rsid w:val="003A26CD"/>
    <w:rsid w:val="003A298B"/>
    <w:rsid w:val="003A2E38"/>
    <w:rsid w:val="003A2E75"/>
    <w:rsid w:val="003A3753"/>
    <w:rsid w:val="003A38F0"/>
    <w:rsid w:val="003A4161"/>
    <w:rsid w:val="003A4757"/>
    <w:rsid w:val="003A553B"/>
    <w:rsid w:val="003A60F5"/>
    <w:rsid w:val="003A719A"/>
    <w:rsid w:val="003A7F28"/>
    <w:rsid w:val="003B13E3"/>
    <w:rsid w:val="003B167B"/>
    <w:rsid w:val="003B4504"/>
    <w:rsid w:val="003B5899"/>
    <w:rsid w:val="003B5973"/>
    <w:rsid w:val="003B5E64"/>
    <w:rsid w:val="003B6801"/>
    <w:rsid w:val="003B6B16"/>
    <w:rsid w:val="003B734C"/>
    <w:rsid w:val="003B74AD"/>
    <w:rsid w:val="003B7859"/>
    <w:rsid w:val="003C0768"/>
    <w:rsid w:val="003C26D9"/>
    <w:rsid w:val="003C5478"/>
    <w:rsid w:val="003C6671"/>
    <w:rsid w:val="003D05F8"/>
    <w:rsid w:val="003D06C6"/>
    <w:rsid w:val="003D1DA5"/>
    <w:rsid w:val="003D21D9"/>
    <w:rsid w:val="003D2C27"/>
    <w:rsid w:val="003D34B4"/>
    <w:rsid w:val="003D3E7A"/>
    <w:rsid w:val="003D459A"/>
    <w:rsid w:val="003D4C4A"/>
    <w:rsid w:val="003D4D6B"/>
    <w:rsid w:val="003D608A"/>
    <w:rsid w:val="003D6710"/>
    <w:rsid w:val="003E1E2E"/>
    <w:rsid w:val="003E31AB"/>
    <w:rsid w:val="003E376D"/>
    <w:rsid w:val="003E3B73"/>
    <w:rsid w:val="003E3FA9"/>
    <w:rsid w:val="003E484D"/>
    <w:rsid w:val="003E486A"/>
    <w:rsid w:val="003E525F"/>
    <w:rsid w:val="003E5345"/>
    <w:rsid w:val="003E5485"/>
    <w:rsid w:val="003E6463"/>
    <w:rsid w:val="003E6467"/>
    <w:rsid w:val="003F069A"/>
    <w:rsid w:val="003F1467"/>
    <w:rsid w:val="003F1EEC"/>
    <w:rsid w:val="003F4329"/>
    <w:rsid w:val="003F484E"/>
    <w:rsid w:val="003F4BEF"/>
    <w:rsid w:val="003F55A9"/>
    <w:rsid w:val="003F7474"/>
    <w:rsid w:val="0040112B"/>
    <w:rsid w:val="004019E2"/>
    <w:rsid w:val="00402171"/>
    <w:rsid w:val="0040220A"/>
    <w:rsid w:val="00402A71"/>
    <w:rsid w:val="004042F3"/>
    <w:rsid w:val="00404C6B"/>
    <w:rsid w:val="00405C31"/>
    <w:rsid w:val="00405F4F"/>
    <w:rsid w:val="004067F9"/>
    <w:rsid w:val="00406839"/>
    <w:rsid w:val="00406B0A"/>
    <w:rsid w:val="00406E1B"/>
    <w:rsid w:val="00406FFA"/>
    <w:rsid w:val="00407717"/>
    <w:rsid w:val="00407F5A"/>
    <w:rsid w:val="00410BB8"/>
    <w:rsid w:val="00410FF7"/>
    <w:rsid w:val="00411B92"/>
    <w:rsid w:val="0041220D"/>
    <w:rsid w:val="0041230D"/>
    <w:rsid w:val="00412534"/>
    <w:rsid w:val="00412C83"/>
    <w:rsid w:val="004131D4"/>
    <w:rsid w:val="00413C44"/>
    <w:rsid w:val="00415278"/>
    <w:rsid w:val="00415381"/>
    <w:rsid w:val="0041582E"/>
    <w:rsid w:val="004160CB"/>
    <w:rsid w:val="00416569"/>
    <w:rsid w:val="004238BE"/>
    <w:rsid w:val="00423B5C"/>
    <w:rsid w:val="0042418C"/>
    <w:rsid w:val="00426014"/>
    <w:rsid w:val="00426785"/>
    <w:rsid w:val="0043060F"/>
    <w:rsid w:val="00430E00"/>
    <w:rsid w:val="00432892"/>
    <w:rsid w:val="00432A61"/>
    <w:rsid w:val="00432EB2"/>
    <w:rsid w:val="0043349C"/>
    <w:rsid w:val="00433B7A"/>
    <w:rsid w:val="004342D4"/>
    <w:rsid w:val="00434769"/>
    <w:rsid w:val="00435C75"/>
    <w:rsid w:val="00437769"/>
    <w:rsid w:val="004378F0"/>
    <w:rsid w:val="0043796B"/>
    <w:rsid w:val="00437FEC"/>
    <w:rsid w:val="004419BA"/>
    <w:rsid w:val="00441C1F"/>
    <w:rsid w:val="0044242A"/>
    <w:rsid w:val="004428E2"/>
    <w:rsid w:val="004435A6"/>
    <w:rsid w:val="00445558"/>
    <w:rsid w:val="0044617E"/>
    <w:rsid w:val="00446F5A"/>
    <w:rsid w:val="00450C2D"/>
    <w:rsid w:val="00452018"/>
    <w:rsid w:val="00452C13"/>
    <w:rsid w:val="004565D2"/>
    <w:rsid w:val="00456841"/>
    <w:rsid w:val="00457135"/>
    <w:rsid w:val="004601C6"/>
    <w:rsid w:val="0046078B"/>
    <w:rsid w:val="00460B7D"/>
    <w:rsid w:val="0046413A"/>
    <w:rsid w:val="00464ADB"/>
    <w:rsid w:val="004652A6"/>
    <w:rsid w:val="0046591C"/>
    <w:rsid w:val="004659D9"/>
    <w:rsid w:val="004668EA"/>
    <w:rsid w:val="00466F4B"/>
    <w:rsid w:val="004675B1"/>
    <w:rsid w:val="0047006C"/>
    <w:rsid w:val="00470EC8"/>
    <w:rsid w:val="004727A4"/>
    <w:rsid w:val="00472BFD"/>
    <w:rsid w:val="004740E4"/>
    <w:rsid w:val="00474F81"/>
    <w:rsid w:val="00475DED"/>
    <w:rsid w:val="00475EA1"/>
    <w:rsid w:val="00476C0E"/>
    <w:rsid w:val="00477D13"/>
    <w:rsid w:val="00477DCD"/>
    <w:rsid w:val="00477F35"/>
    <w:rsid w:val="0048026D"/>
    <w:rsid w:val="00480CB0"/>
    <w:rsid w:val="00481212"/>
    <w:rsid w:val="00483056"/>
    <w:rsid w:val="00483603"/>
    <w:rsid w:val="004840CD"/>
    <w:rsid w:val="00484B5D"/>
    <w:rsid w:val="004851C4"/>
    <w:rsid w:val="00486C84"/>
    <w:rsid w:val="00487221"/>
    <w:rsid w:val="00490436"/>
    <w:rsid w:val="00490825"/>
    <w:rsid w:val="0049095D"/>
    <w:rsid w:val="00490C99"/>
    <w:rsid w:val="00491563"/>
    <w:rsid w:val="00494015"/>
    <w:rsid w:val="0049414C"/>
    <w:rsid w:val="00494198"/>
    <w:rsid w:val="00494479"/>
    <w:rsid w:val="00494809"/>
    <w:rsid w:val="0049523E"/>
    <w:rsid w:val="00495EFB"/>
    <w:rsid w:val="00496B44"/>
    <w:rsid w:val="00497A17"/>
    <w:rsid w:val="00497A87"/>
    <w:rsid w:val="004A0A9B"/>
    <w:rsid w:val="004A0B6C"/>
    <w:rsid w:val="004A0F1B"/>
    <w:rsid w:val="004A10C8"/>
    <w:rsid w:val="004A1EAD"/>
    <w:rsid w:val="004A1FE0"/>
    <w:rsid w:val="004A2A60"/>
    <w:rsid w:val="004A31DB"/>
    <w:rsid w:val="004A329B"/>
    <w:rsid w:val="004A360E"/>
    <w:rsid w:val="004A4112"/>
    <w:rsid w:val="004A47BE"/>
    <w:rsid w:val="004A4A67"/>
    <w:rsid w:val="004A4D0C"/>
    <w:rsid w:val="004A5E29"/>
    <w:rsid w:val="004A62FE"/>
    <w:rsid w:val="004A6393"/>
    <w:rsid w:val="004A6AC3"/>
    <w:rsid w:val="004B045A"/>
    <w:rsid w:val="004B15A9"/>
    <w:rsid w:val="004B2832"/>
    <w:rsid w:val="004B319F"/>
    <w:rsid w:val="004B34EA"/>
    <w:rsid w:val="004B4D7E"/>
    <w:rsid w:val="004B5494"/>
    <w:rsid w:val="004B6534"/>
    <w:rsid w:val="004B6BDD"/>
    <w:rsid w:val="004B6FD3"/>
    <w:rsid w:val="004C008B"/>
    <w:rsid w:val="004C0DF2"/>
    <w:rsid w:val="004C2BB2"/>
    <w:rsid w:val="004C6581"/>
    <w:rsid w:val="004C7A2B"/>
    <w:rsid w:val="004C7D3A"/>
    <w:rsid w:val="004C7EBE"/>
    <w:rsid w:val="004D0805"/>
    <w:rsid w:val="004D13B9"/>
    <w:rsid w:val="004D472B"/>
    <w:rsid w:val="004D4CF7"/>
    <w:rsid w:val="004D560C"/>
    <w:rsid w:val="004D6014"/>
    <w:rsid w:val="004D7630"/>
    <w:rsid w:val="004E0C9E"/>
    <w:rsid w:val="004E188C"/>
    <w:rsid w:val="004E1FA4"/>
    <w:rsid w:val="004E220E"/>
    <w:rsid w:val="004E277C"/>
    <w:rsid w:val="004E2C56"/>
    <w:rsid w:val="004E3040"/>
    <w:rsid w:val="004E42FD"/>
    <w:rsid w:val="004E4D8D"/>
    <w:rsid w:val="004E7DB4"/>
    <w:rsid w:val="004F01EE"/>
    <w:rsid w:val="004F0DA2"/>
    <w:rsid w:val="004F122B"/>
    <w:rsid w:val="004F140A"/>
    <w:rsid w:val="004F24BB"/>
    <w:rsid w:val="004F316C"/>
    <w:rsid w:val="004F36DB"/>
    <w:rsid w:val="004F39D8"/>
    <w:rsid w:val="004F49A8"/>
    <w:rsid w:val="004F4CBB"/>
    <w:rsid w:val="004F5E2D"/>
    <w:rsid w:val="004F7125"/>
    <w:rsid w:val="00501518"/>
    <w:rsid w:val="005018A8"/>
    <w:rsid w:val="00501F13"/>
    <w:rsid w:val="00502A60"/>
    <w:rsid w:val="0050397B"/>
    <w:rsid w:val="00503BE4"/>
    <w:rsid w:val="00503C77"/>
    <w:rsid w:val="00504124"/>
    <w:rsid w:val="00504931"/>
    <w:rsid w:val="00504F5D"/>
    <w:rsid w:val="00505A39"/>
    <w:rsid w:val="005066FF"/>
    <w:rsid w:val="00506BF0"/>
    <w:rsid w:val="00507444"/>
    <w:rsid w:val="00511488"/>
    <w:rsid w:val="005117B3"/>
    <w:rsid w:val="0051240E"/>
    <w:rsid w:val="005126BC"/>
    <w:rsid w:val="0051289F"/>
    <w:rsid w:val="0051370D"/>
    <w:rsid w:val="0051461B"/>
    <w:rsid w:val="00514661"/>
    <w:rsid w:val="0051606B"/>
    <w:rsid w:val="00517E4C"/>
    <w:rsid w:val="00520F0E"/>
    <w:rsid w:val="00523510"/>
    <w:rsid w:val="00523645"/>
    <w:rsid w:val="005240BF"/>
    <w:rsid w:val="005245C3"/>
    <w:rsid w:val="0052489E"/>
    <w:rsid w:val="00524E8B"/>
    <w:rsid w:val="0052542A"/>
    <w:rsid w:val="005259D6"/>
    <w:rsid w:val="00530087"/>
    <w:rsid w:val="00531AAD"/>
    <w:rsid w:val="005322F7"/>
    <w:rsid w:val="005331C8"/>
    <w:rsid w:val="00533803"/>
    <w:rsid w:val="00534475"/>
    <w:rsid w:val="00536C29"/>
    <w:rsid w:val="00541FC4"/>
    <w:rsid w:val="00542E66"/>
    <w:rsid w:val="00543482"/>
    <w:rsid w:val="00543DF2"/>
    <w:rsid w:val="00544CA7"/>
    <w:rsid w:val="00550BBD"/>
    <w:rsid w:val="00550EF4"/>
    <w:rsid w:val="005518A8"/>
    <w:rsid w:val="0055218C"/>
    <w:rsid w:val="00552210"/>
    <w:rsid w:val="0055285C"/>
    <w:rsid w:val="005543E7"/>
    <w:rsid w:val="00554CDB"/>
    <w:rsid w:val="00554FB2"/>
    <w:rsid w:val="005570B7"/>
    <w:rsid w:val="0056054C"/>
    <w:rsid w:val="00560BDE"/>
    <w:rsid w:val="00562C8F"/>
    <w:rsid w:val="00562FF2"/>
    <w:rsid w:val="00563BD9"/>
    <w:rsid w:val="005650A5"/>
    <w:rsid w:val="005658A1"/>
    <w:rsid w:val="0056635B"/>
    <w:rsid w:val="0056704F"/>
    <w:rsid w:val="005708E9"/>
    <w:rsid w:val="0057104C"/>
    <w:rsid w:val="005718ED"/>
    <w:rsid w:val="005727C7"/>
    <w:rsid w:val="00572816"/>
    <w:rsid w:val="0057403F"/>
    <w:rsid w:val="0057451A"/>
    <w:rsid w:val="00574AC8"/>
    <w:rsid w:val="00575F90"/>
    <w:rsid w:val="00576389"/>
    <w:rsid w:val="00577B76"/>
    <w:rsid w:val="00580303"/>
    <w:rsid w:val="00580375"/>
    <w:rsid w:val="0058100B"/>
    <w:rsid w:val="005825C6"/>
    <w:rsid w:val="00583297"/>
    <w:rsid w:val="00584758"/>
    <w:rsid w:val="00585390"/>
    <w:rsid w:val="00585901"/>
    <w:rsid w:val="00586ABB"/>
    <w:rsid w:val="00586BDE"/>
    <w:rsid w:val="00586F0D"/>
    <w:rsid w:val="0058791C"/>
    <w:rsid w:val="005907F0"/>
    <w:rsid w:val="00590B5D"/>
    <w:rsid w:val="0059188C"/>
    <w:rsid w:val="00591C64"/>
    <w:rsid w:val="00591CF6"/>
    <w:rsid w:val="005921E8"/>
    <w:rsid w:val="00592921"/>
    <w:rsid w:val="00592C54"/>
    <w:rsid w:val="00592F04"/>
    <w:rsid w:val="00593720"/>
    <w:rsid w:val="005939A5"/>
    <w:rsid w:val="00593B3F"/>
    <w:rsid w:val="00594849"/>
    <w:rsid w:val="005951DE"/>
    <w:rsid w:val="00595D60"/>
    <w:rsid w:val="00595E45"/>
    <w:rsid w:val="005963DE"/>
    <w:rsid w:val="00596686"/>
    <w:rsid w:val="00596AB4"/>
    <w:rsid w:val="005973FB"/>
    <w:rsid w:val="005977A7"/>
    <w:rsid w:val="005A03C9"/>
    <w:rsid w:val="005A09A7"/>
    <w:rsid w:val="005A11E4"/>
    <w:rsid w:val="005A1432"/>
    <w:rsid w:val="005A148C"/>
    <w:rsid w:val="005A23D1"/>
    <w:rsid w:val="005A2A6D"/>
    <w:rsid w:val="005A40F2"/>
    <w:rsid w:val="005A41C4"/>
    <w:rsid w:val="005A53B0"/>
    <w:rsid w:val="005A5756"/>
    <w:rsid w:val="005A5C89"/>
    <w:rsid w:val="005A676B"/>
    <w:rsid w:val="005A6D2E"/>
    <w:rsid w:val="005B060C"/>
    <w:rsid w:val="005B0694"/>
    <w:rsid w:val="005B2616"/>
    <w:rsid w:val="005B2AC2"/>
    <w:rsid w:val="005B36EE"/>
    <w:rsid w:val="005B3A8C"/>
    <w:rsid w:val="005B4565"/>
    <w:rsid w:val="005B4E5B"/>
    <w:rsid w:val="005B54C5"/>
    <w:rsid w:val="005B7362"/>
    <w:rsid w:val="005B7BA1"/>
    <w:rsid w:val="005B7F35"/>
    <w:rsid w:val="005C0B40"/>
    <w:rsid w:val="005C2186"/>
    <w:rsid w:val="005C23A9"/>
    <w:rsid w:val="005C4FB7"/>
    <w:rsid w:val="005C58FA"/>
    <w:rsid w:val="005C5923"/>
    <w:rsid w:val="005C60D8"/>
    <w:rsid w:val="005C631F"/>
    <w:rsid w:val="005C6B65"/>
    <w:rsid w:val="005C7581"/>
    <w:rsid w:val="005D07D5"/>
    <w:rsid w:val="005D1A3C"/>
    <w:rsid w:val="005D2B4C"/>
    <w:rsid w:val="005D2EF5"/>
    <w:rsid w:val="005D2FB0"/>
    <w:rsid w:val="005D303E"/>
    <w:rsid w:val="005D3A84"/>
    <w:rsid w:val="005D60D3"/>
    <w:rsid w:val="005D65ED"/>
    <w:rsid w:val="005D6796"/>
    <w:rsid w:val="005E0842"/>
    <w:rsid w:val="005E1ADC"/>
    <w:rsid w:val="005E1C57"/>
    <w:rsid w:val="005E1E1B"/>
    <w:rsid w:val="005E21DF"/>
    <w:rsid w:val="005E297F"/>
    <w:rsid w:val="005E2DD5"/>
    <w:rsid w:val="005E32DB"/>
    <w:rsid w:val="005E37FD"/>
    <w:rsid w:val="005E5B90"/>
    <w:rsid w:val="005E62A8"/>
    <w:rsid w:val="005E7316"/>
    <w:rsid w:val="005E77E9"/>
    <w:rsid w:val="005F0B1D"/>
    <w:rsid w:val="005F0C94"/>
    <w:rsid w:val="005F144C"/>
    <w:rsid w:val="005F1D3E"/>
    <w:rsid w:val="005F3CD9"/>
    <w:rsid w:val="005F3D59"/>
    <w:rsid w:val="005F3EE9"/>
    <w:rsid w:val="005F3F07"/>
    <w:rsid w:val="005F4BAF"/>
    <w:rsid w:val="005F582F"/>
    <w:rsid w:val="005F5B6C"/>
    <w:rsid w:val="005F6513"/>
    <w:rsid w:val="005F76EE"/>
    <w:rsid w:val="00600877"/>
    <w:rsid w:val="00600D1B"/>
    <w:rsid w:val="0060105D"/>
    <w:rsid w:val="00601EDE"/>
    <w:rsid w:val="00602161"/>
    <w:rsid w:val="00602CF4"/>
    <w:rsid w:val="00603217"/>
    <w:rsid w:val="00603238"/>
    <w:rsid w:val="00610873"/>
    <w:rsid w:val="00612C24"/>
    <w:rsid w:val="00613324"/>
    <w:rsid w:val="00613D5C"/>
    <w:rsid w:val="00614967"/>
    <w:rsid w:val="00616045"/>
    <w:rsid w:val="006163B8"/>
    <w:rsid w:val="006169FA"/>
    <w:rsid w:val="00620BF3"/>
    <w:rsid w:val="0062319C"/>
    <w:rsid w:val="0062537D"/>
    <w:rsid w:val="00625D1B"/>
    <w:rsid w:val="0062610F"/>
    <w:rsid w:val="006266FC"/>
    <w:rsid w:val="00626D60"/>
    <w:rsid w:val="00627287"/>
    <w:rsid w:val="00627439"/>
    <w:rsid w:val="00630D99"/>
    <w:rsid w:val="006310B3"/>
    <w:rsid w:val="00632207"/>
    <w:rsid w:val="00632422"/>
    <w:rsid w:val="00633006"/>
    <w:rsid w:val="00633CCA"/>
    <w:rsid w:val="006342C7"/>
    <w:rsid w:val="00634461"/>
    <w:rsid w:val="0063491C"/>
    <w:rsid w:val="006352A4"/>
    <w:rsid w:val="006373BF"/>
    <w:rsid w:val="006408B2"/>
    <w:rsid w:val="00641A5C"/>
    <w:rsid w:val="006427AB"/>
    <w:rsid w:val="00643DC7"/>
    <w:rsid w:val="0064440D"/>
    <w:rsid w:val="0064490A"/>
    <w:rsid w:val="00645301"/>
    <w:rsid w:val="00646F4B"/>
    <w:rsid w:val="00650501"/>
    <w:rsid w:val="00650E61"/>
    <w:rsid w:val="00653872"/>
    <w:rsid w:val="00653EB1"/>
    <w:rsid w:val="00654101"/>
    <w:rsid w:val="0065538C"/>
    <w:rsid w:val="0065571C"/>
    <w:rsid w:val="00657212"/>
    <w:rsid w:val="0065740F"/>
    <w:rsid w:val="00657855"/>
    <w:rsid w:val="00657AFA"/>
    <w:rsid w:val="006608BD"/>
    <w:rsid w:val="00660C4C"/>
    <w:rsid w:val="006612E3"/>
    <w:rsid w:val="00661AFE"/>
    <w:rsid w:val="00661B69"/>
    <w:rsid w:val="00661D21"/>
    <w:rsid w:val="006636E7"/>
    <w:rsid w:val="006670F4"/>
    <w:rsid w:val="006673C0"/>
    <w:rsid w:val="00667724"/>
    <w:rsid w:val="0067126E"/>
    <w:rsid w:val="0067134B"/>
    <w:rsid w:val="00671EE6"/>
    <w:rsid w:val="006725C0"/>
    <w:rsid w:val="0067261A"/>
    <w:rsid w:val="006726F9"/>
    <w:rsid w:val="00672F0A"/>
    <w:rsid w:val="00673A42"/>
    <w:rsid w:val="00673F8D"/>
    <w:rsid w:val="0067467A"/>
    <w:rsid w:val="00674D5A"/>
    <w:rsid w:val="0067577C"/>
    <w:rsid w:val="0067771F"/>
    <w:rsid w:val="00680F19"/>
    <w:rsid w:val="0068111A"/>
    <w:rsid w:val="0068113A"/>
    <w:rsid w:val="00681DF5"/>
    <w:rsid w:val="006825E0"/>
    <w:rsid w:val="0068285D"/>
    <w:rsid w:val="0068363B"/>
    <w:rsid w:val="00683B2C"/>
    <w:rsid w:val="00684258"/>
    <w:rsid w:val="00684DDD"/>
    <w:rsid w:val="00686907"/>
    <w:rsid w:val="00687BB6"/>
    <w:rsid w:val="00687FCA"/>
    <w:rsid w:val="006905CD"/>
    <w:rsid w:val="00691796"/>
    <w:rsid w:val="00691BDA"/>
    <w:rsid w:val="00691EDC"/>
    <w:rsid w:val="00692553"/>
    <w:rsid w:val="00692F88"/>
    <w:rsid w:val="006937E2"/>
    <w:rsid w:val="00693EC8"/>
    <w:rsid w:val="00694C3C"/>
    <w:rsid w:val="0069545E"/>
    <w:rsid w:val="0069546D"/>
    <w:rsid w:val="0069557B"/>
    <w:rsid w:val="00695F8C"/>
    <w:rsid w:val="006964FF"/>
    <w:rsid w:val="00697316"/>
    <w:rsid w:val="006A13B6"/>
    <w:rsid w:val="006A196F"/>
    <w:rsid w:val="006A1FDD"/>
    <w:rsid w:val="006A23ED"/>
    <w:rsid w:val="006A2A5E"/>
    <w:rsid w:val="006A36D7"/>
    <w:rsid w:val="006A37D5"/>
    <w:rsid w:val="006A4166"/>
    <w:rsid w:val="006A4DC2"/>
    <w:rsid w:val="006A69C9"/>
    <w:rsid w:val="006ABC35"/>
    <w:rsid w:val="006B05DC"/>
    <w:rsid w:val="006B0FEF"/>
    <w:rsid w:val="006B218F"/>
    <w:rsid w:val="006B2479"/>
    <w:rsid w:val="006B28E8"/>
    <w:rsid w:val="006B358C"/>
    <w:rsid w:val="006B4297"/>
    <w:rsid w:val="006B5BAE"/>
    <w:rsid w:val="006B63AC"/>
    <w:rsid w:val="006C03A2"/>
    <w:rsid w:val="006C11F0"/>
    <w:rsid w:val="006C1DC6"/>
    <w:rsid w:val="006C1F10"/>
    <w:rsid w:val="006C23D8"/>
    <w:rsid w:val="006C2719"/>
    <w:rsid w:val="006C2B0C"/>
    <w:rsid w:val="006C317B"/>
    <w:rsid w:val="006C39CB"/>
    <w:rsid w:val="006C47FF"/>
    <w:rsid w:val="006C5C73"/>
    <w:rsid w:val="006C6C0D"/>
    <w:rsid w:val="006C6E37"/>
    <w:rsid w:val="006C765C"/>
    <w:rsid w:val="006C786D"/>
    <w:rsid w:val="006C7C3D"/>
    <w:rsid w:val="006D0618"/>
    <w:rsid w:val="006D0A2E"/>
    <w:rsid w:val="006D1B5F"/>
    <w:rsid w:val="006D2027"/>
    <w:rsid w:val="006D5B53"/>
    <w:rsid w:val="006D5B70"/>
    <w:rsid w:val="006D66EA"/>
    <w:rsid w:val="006D6B62"/>
    <w:rsid w:val="006D7252"/>
    <w:rsid w:val="006D7725"/>
    <w:rsid w:val="006E028E"/>
    <w:rsid w:val="006E0E68"/>
    <w:rsid w:val="006E118D"/>
    <w:rsid w:val="006E1633"/>
    <w:rsid w:val="006E21FC"/>
    <w:rsid w:val="006E236B"/>
    <w:rsid w:val="006E300B"/>
    <w:rsid w:val="006E4A2E"/>
    <w:rsid w:val="006E4AF6"/>
    <w:rsid w:val="006E5E28"/>
    <w:rsid w:val="006E638B"/>
    <w:rsid w:val="006E6574"/>
    <w:rsid w:val="006E6F36"/>
    <w:rsid w:val="006E6F93"/>
    <w:rsid w:val="006E76BB"/>
    <w:rsid w:val="006F1476"/>
    <w:rsid w:val="006F14CD"/>
    <w:rsid w:val="006F3871"/>
    <w:rsid w:val="006F4730"/>
    <w:rsid w:val="006F6A69"/>
    <w:rsid w:val="007007EB"/>
    <w:rsid w:val="00700E82"/>
    <w:rsid w:val="007015D6"/>
    <w:rsid w:val="00703564"/>
    <w:rsid w:val="00703A5D"/>
    <w:rsid w:val="007073D6"/>
    <w:rsid w:val="007106FD"/>
    <w:rsid w:val="00710880"/>
    <w:rsid w:val="00712C8C"/>
    <w:rsid w:val="00712ECE"/>
    <w:rsid w:val="00713C18"/>
    <w:rsid w:val="00714CF2"/>
    <w:rsid w:val="00714CF3"/>
    <w:rsid w:val="007156B9"/>
    <w:rsid w:val="00715A6E"/>
    <w:rsid w:val="00716270"/>
    <w:rsid w:val="0071638E"/>
    <w:rsid w:val="00720817"/>
    <w:rsid w:val="007220AC"/>
    <w:rsid w:val="00722850"/>
    <w:rsid w:val="00724E05"/>
    <w:rsid w:val="00725663"/>
    <w:rsid w:val="007259E5"/>
    <w:rsid w:val="00725AD7"/>
    <w:rsid w:val="00725D2D"/>
    <w:rsid w:val="00726071"/>
    <w:rsid w:val="0072688C"/>
    <w:rsid w:val="007268AE"/>
    <w:rsid w:val="00726B27"/>
    <w:rsid w:val="00727168"/>
    <w:rsid w:val="00730469"/>
    <w:rsid w:val="00732733"/>
    <w:rsid w:val="007334B5"/>
    <w:rsid w:val="0073353F"/>
    <w:rsid w:val="00733B5E"/>
    <w:rsid w:val="00733BCC"/>
    <w:rsid w:val="00735121"/>
    <w:rsid w:val="007351EE"/>
    <w:rsid w:val="00735A91"/>
    <w:rsid w:val="00735B8F"/>
    <w:rsid w:val="00735DFB"/>
    <w:rsid w:val="00736B93"/>
    <w:rsid w:val="00736C70"/>
    <w:rsid w:val="007372E4"/>
    <w:rsid w:val="007377ED"/>
    <w:rsid w:val="00740367"/>
    <w:rsid w:val="00740BD1"/>
    <w:rsid w:val="00741689"/>
    <w:rsid w:val="00742A3A"/>
    <w:rsid w:val="00742D9F"/>
    <w:rsid w:val="00742E45"/>
    <w:rsid w:val="007444D6"/>
    <w:rsid w:val="007447AF"/>
    <w:rsid w:val="00744F8E"/>
    <w:rsid w:val="00745848"/>
    <w:rsid w:val="00746B37"/>
    <w:rsid w:val="00750079"/>
    <w:rsid w:val="00750816"/>
    <w:rsid w:val="0075361A"/>
    <w:rsid w:val="007543FA"/>
    <w:rsid w:val="0075721E"/>
    <w:rsid w:val="00760395"/>
    <w:rsid w:val="00760518"/>
    <w:rsid w:val="00761215"/>
    <w:rsid w:val="0076133C"/>
    <w:rsid w:val="00763E98"/>
    <w:rsid w:val="007640F8"/>
    <w:rsid w:val="00764ADD"/>
    <w:rsid w:val="00764D31"/>
    <w:rsid w:val="00764DE1"/>
    <w:rsid w:val="0076549D"/>
    <w:rsid w:val="007657C1"/>
    <w:rsid w:val="0076601D"/>
    <w:rsid w:val="0076794D"/>
    <w:rsid w:val="00767BA7"/>
    <w:rsid w:val="00770119"/>
    <w:rsid w:val="007708A7"/>
    <w:rsid w:val="00770A17"/>
    <w:rsid w:val="00771274"/>
    <w:rsid w:val="00772D0E"/>
    <w:rsid w:val="0077456E"/>
    <w:rsid w:val="0077458D"/>
    <w:rsid w:val="00775A48"/>
    <w:rsid w:val="00775C0A"/>
    <w:rsid w:val="007761A7"/>
    <w:rsid w:val="00776B65"/>
    <w:rsid w:val="00776BF3"/>
    <w:rsid w:val="0077755F"/>
    <w:rsid w:val="007779BA"/>
    <w:rsid w:val="00777BED"/>
    <w:rsid w:val="00781482"/>
    <w:rsid w:val="00781C84"/>
    <w:rsid w:val="007823D9"/>
    <w:rsid w:val="00782ED0"/>
    <w:rsid w:val="00783E8C"/>
    <w:rsid w:val="00784AB7"/>
    <w:rsid w:val="00784B64"/>
    <w:rsid w:val="0078529F"/>
    <w:rsid w:val="007855FB"/>
    <w:rsid w:val="0078685D"/>
    <w:rsid w:val="007872D1"/>
    <w:rsid w:val="00790B72"/>
    <w:rsid w:val="00791EF7"/>
    <w:rsid w:val="00792B36"/>
    <w:rsid w:val="00793604"/>
    <w:rsid w:val="00794F65"/>
    <w:rsid w:val="00795058"/>
    <w:rsid w:val="00796400"/>
    <w:rsid w:val="007A164A"/>
    <w:rsid w:val="007A1722"/>
    <w:rsid w:val="007A1F31"/>
    <w:rsid w:val="007A320C"/>
    <w:rsid w:val="007A3372"/>
    <w:rsid w:val="007A349E"/>
    <w:rsid w:val="007A406D"/>
    <w:rsid w:val="007A45C2"/>
    <w:rsid w:val="007A4DD4"/>
    <w:rsid w:val="007A61E2"/>
    <w:rsid w:val="007A62B0"/>
    <w:rsid w:val="007A6FA2"/>
    <w:rsid w:val="007A7040"/>
    <w:rsid w:val="007A7155"/>
    <w:rsid w:val="007A7D00"/>
    <w:rsid w:val="007B0F23"/>
    <w:rsid w:val="007B1A14"/>
    <w:rsid w:val="007B22F0"/>
    <w:rsid w:val="007B2A14"/>
    <w:rsid w:val="007B3352"/>
    <w:rsid w:val="007B3696"/>
    <w:rsid w:val="007B4BCB"/>
    <w:rsid w:val="007B4FBA"/>
    <w:rsid w:val="007B4FCD"/>
    <w:rsid w:val="007B7DBA"/>
    <w:rsid w:val="007C2150"/>
    <w:rsid w:val="007C25EB"/>
    <w:rsid w:val="007C2FE5"/>
    <w:rsid w:val="007C36C4"/>
    <w:rsid w:val="007C4C59"/>
    <w:rsid w:val="007C52D9"/>
    <w:rsid w:val="007C5747"/>
    <w:rsid w:val="007C5A0C"/>
    <w:rsid w:val="007C7109"/>
    <w:rsid w:val="007D0CE9"/>
    <w:rsid w:val="007D17E3"/>
    <w:rsid w:val="007D2789"/>
    <w:rsid w:val="007D2807"/>
    <w:rsid w:val="007D30D9"/>
    <w:rsid w:val="007D655F"/>
    <w:rsid w:val="007D708D"/>
    <w:rsid w:val="007D70D2"/>
    <w:rsid w:val="007E0954"/>
    <w:rsid w:val="007E0FEE"/>
    <w:rsid w:val="007E2778"/>
    <w:rsid w:val="007E36BD"/>
    <w:rsid w:val="007E39D7"/>
    <w:rsid w:val="007E3BE0"/>
    <w:rsid w:val="007E6BC3"/>
    <w:rsid w:val="007E7D47"/>
    <w:rsid w:val="007F070D"/>
    <w:rsid w:val="007F1482"/>
    <w:rsid w:val="007F1BC6"/>
    <w:rsid w:val="007F2017"/>
    <w:rsid w:val="007F2BD8"/>
    <w:rsid w:val="007F314E"/>
    <w:rsid w:val="007F4EE8"/>
    <w:rsid w:val="007F5722"/>
    <w:rsid w:val="007F7696"/>
    <w:rsid w:val="007F7C99"/>
    <w:rsid w:val="008003A6"/>
    <w:rsid w:val="00800BDC"/>
    <w:rsid w:val="00800F18"/>
    <w:rsid w:val="0080390E"/>
    <w:rsid w:val="00804C34"/>
    <w:rsid w:val="0080555C"/>
    <w:rsid w:val="00806815"/>
    <w:rsid w:val="008079F5"/>
    <w:rsid w:val="008103D9"/>
    <w:rsid w:val="008124D5"/>
    <w:rsid w:val="00812EBD"/>
    <w:rsid w:val="00813319"/>
    <w:rsid w:val="008140ED"/>
    <w:rsid w:val="00814DEF"/>
    <w:rsid w:val="0081567E"/>
    <w:rsid w:val="00815705"/>
    <w:rsid w:val="008159CF"/>
    <w:rsid w:val="00816CC2"/>
    <w:rsid w:val="00816E05"/>
    <w:rsid w:val="00817BBE"/>
    <w:rsid w:val="00817D2B"/>
    <w:rsid w:val="008201CD"/>
    <w:rsid w:val="008205B5"/>
    <w:rsid w:val="00820D21"/>
    <w:rsid w:val="00822222"/>
    <w:rsid w:val="0082250A"/>
    <w:rsid w:val="00822933"/>
    <w:rsid w:val="00823AE1"/>
    <w:rsid w:val="00823C02"/>
    <w:rsid w:val="00823CDA"/>
    <w:rsid w:val="00823DE6"/>
    <w:rsid w:val="0082744B"/>
    <w:rsid w:val="0083144E"/>
    <w:rsid w:val="008314D8"/>
    <w:rsid w:val="0083272D"/>
    <w:rsid w:val="008339BB"/>
    <w:rsid w:val="00833FDF"/>
    <w:rsid w:val="00833FFD"/>
    <w:rsid w:val="008341DB"/>
    <w:rsid w:val="00834AB8"/>
    <w:rsid w:val="00837963"/>
    <w:rsid w:val="00840AF7"/>
    <w:rsid w:val="00841564"/>
    <w:rsid w:val="00841A11"/>
    <w:rsid w:val="0084301F"/>
    <w:rsid w:val="00843CC6"/>
    <w:rsid w:val="00844C6C"/>
    <w:rsid w:val="00844E7D"/>
    <w:rsid w:val="008462AD"/>
    <w:rsid w:val="00846378"/>
    <w:rsid w:val="00846A2F"/>
    <w:rsid w:val="00850C4C"/>
    <w:rsid w:val="00850D10"/>
    <w:rsid w:val="00850E6F"/>
    <w:rsid w:val="008510CA"/>
    <w:rsid w:val="008557AD"/>
    <w:rsid w:val="00856911"/>
    <w:rsid w:val="00857015"/>
    <w:rsid w:val="008574C2"/>
    <w:rsid w:val="00857FDF"/>
    <w:rsid w:val="00860CAB"/>
    <w:rsid w:val="0086127D"/>
    <w:rsid w:val="008617C3"/>
    <w:rsid w:val="00862FE3"/>
    <w:rsid w:val="00863037"/>
    <w:rsid w:val="00863EA6"/>
    <w:rsid w:val="0086419A"/>
    <w:rsid w:val="0086496D"/>
    <w:rsid w:val="0086589A"/>
    <w:rsid w:val="00867A8C"/>
    <w:rsid w:val="00867C48"/>
    <w:rsid w:val="008701CD"/>
    <w:rsid w:val="0087023B"/>
    <w:rsid w:val="008704CD"/>
    <w:rsid w:val="00871F00"/>
    <w:rsid w:val="00872186"/>
    <w:rsid w:val="008725FA"/>
    <w:rsid w:val="00873C73"/>
    <w:rsid w:val="00875E69"/>
    <w:rsid w:val="00876619"/>
    <w:rsid w:val="00876880"/>
    <w:rsid w:val="00877072"/>
    <w:rsid w:val="00877841"/>
    <w:rsid w:val="00877E08"/>
    <w:rsid w:val="008805CF"/>
    <w:rsid w:val="00880C83"/>
    <w:rsid w:val="00880D36"/>
    <w:rsid w:val="00881E02"/>
    <w:rsid w:val="00881E8F"/>
    <w:rsid w:val="0088202E"/>
    <w:rsid w:val="008823C2"/>
    <w:rsid w:val="00882663"/>
    <w:rsid w:val="00882BA9"/>
    <w:rsid w:val="00885206"/>
    <w:rsid w:val="008855D2"/>
    <w:rsid w:val="00885602"/>
    <w:rsid w:val="0088622C"/>
    <w:rsid w:val="00886D5F"/>
    <w:rsid w:val="00887200"/>
    <w:rsid w:val="00890305"/>
    <w:rsid w:val="008917B7"/>
    <w:rsid w:val="00891B68"/>
    <w:rsid w:val="00892444"/>
    <w:rsid w:val="00892490"/>
    <w:rsid w:val="00892D96"/>
    <w:rsid w:val="0089677B"/>
    <w:rsid w:val="008A019C"/>
    <w:rsid w:val="008A08BF"/>
    <w:rsid w:val="008A179F"/>
    <w:rsid w:val="008A18BE"/>
    <w:rsid w:val="008A3048"/>
    <w:rsid w:val="008A3438"/>
    <w:rsid w:val="008A3511"/>
    <w:rsid w:val="008A4DB2"/>
    <w:rsid w:val="008A5D4B"/>
    <w:rsid w:val="008A71F4"/>
    <w:rsid w:val="008A746F"/>
    <w:rsid w:val="008B0716"/>
    <w:rsid w:val="008B0864"/>
    <w:rsid w:val="008B175A"/>
    <w:rsid w:val="008B2BD2"/>
    <w:rsid w:val="008B3FD2"/>
    <w:rsid w:val="008B5F87"/>
    <w:rsid w:val="008B6301"/>
    <w:rsid w:val="008B6453"/>
    <w:rsid w:val="008B6B3D"/>
    <w:rsid w:val="008B6E69"/>
    <w:rsid w:val="008C06D8"/>
    <w:rsid w:val="008C0841"/>
    <w:rsid w:val="008C0F93"/>
    <w:rsid w:val="008C105A"/>
    <w:rsid w:val="008C2C17"/>
    <w:rsid w:val="008C3B5C"/>
    <w:rsid w:val="008C3BA9"/>
    <w:rsid w:val="008C3CB7"/>
    <w:rsid w:val="008C43DE"/>
    <w:rsid w:val="008C656A"/>
    <w:rsid w:val="008C7413"/>
    <w:rsid w:val="008D057C"/>
    <w:rsid w:val="008D08EF"/>
    <w:rsid w:val="008D16B7"/>
    <w:rsid w:val="008D1F00"/>
    <w:rsid w:val="008D2751"/>
    <w:rsid w:val="008D2D02"/>
    <w:rsid w:val="008D44BB"/>
    <w:rsid w:val="008D45B0"/>
    <w:rsid w:val="008D58B7"/>
    <w:rsid w:val="008D59D3"/>
    <w:rsid w:val="008D7E50"/>
    <w:rsid w:val="008E0B23"/>
    <w:rsid w:val="008E1034"/>
    <w:rsid w:val="008E1178"/>
    <w:rsid w:val="008E1E57"/>
    <w:rsid w:val="008E3035"/>
    <w:rsid w:val="008E3DDC"/>
    <w:rsid w:val="008E6AE6"/>
    <w:rsid w:val="008E7A79"/>
    <w:rsid w:val="008F0116"/>
    <w:rsid w:val="008F105E"/>
    <w:rsid w:val="008F143D"/>
    <w:rsid w:val="008F1BE7"/>
    <w:rsid w:val="008F52BE"/>
    <w:rsid w:val="008F543F"/>
    <w:rsid w:val="008F5C99"/>
    <w:rsid w:val="008F60C9"/>
    <w:rsid w:val="008F74D6"/>
    <w:rsid w:val="008F772B"/>
    <w:rsid w:val="009007BF"/>
    <w:rsid w:val="009016D7"/>
    <w:rsid w:val="00903119"/>
    <w:rsid w:val="009034E8"/>
    <w:rsid w:val="00906FD0"/>
    <w:rsid w:val="00907064"/>
    <w:rsid w:val="00911193"/>
    <w:rsid w:val="00911237"/>
    <w:rsid w:val="00911C5C"/>
    <w:rsid w:val="00915539"/>
    <w:rsid w:val="009155F5"/>
    <w:rsid w:val="00915A12"/>
    <w:rsid w:val="00915A4B"/>
    <w:rsid w:val="009162B2"/>
    <w:rsid w:val="00916479"/>
    <w:rsid w:val="00916AAC"/>
    <w:rsid w:val="00917955"/>
    <w:rsid w:val="009209C7"/>
    <w:rsid w:val="00920A07"/>
    <w:rsid w:val="009215ED"/>
    <w:rsid w:val="00922699"/>
    <w:rsid w:val="0092284E"/>
    <w:rsid w:val="0092520B"/>
    <w:rsid w:val="00925EAE"/>
    <w:rsid w:val="0092777D"/>
    <w:rsid w:val="009278B9"/>
    <w:rsid w:val="0093051D"/>
    <w:rsid w:val="009308D7"/>
    <w:rsid w:val="00930C61"/>
    <w:rsid w:val="0093224F"/>
    <w:rsid w:val="00932865"/>
    <w:rsid w:val="009344F0"/>
    <w:rsid w:val="00934FC7"/>
    <w:rsid w:val="009352A9"/>
    <w:rsid w:val="0093672B"/>
    <w:rsid w:val="00940945"/>
    <w:rsid w:val="009414BA"/>
    <w:rsid w:val="00941708"/>
    <w:rsid w:val="0094234F"/>
    <w:rsid w:val="00942D58"/>
    <w:rsid w:val="0094441D"/>
    <w:rsid w:val="00945C42"/>
    <w:rsid w:val="00946092"/>
    <w:rsid w:val="0094631B"/>
    <w:rsid w:val="009471B7"/>
    <w:rsid w:val="009478B7"/>
    <w:rsid w:val="0094790B"/>
    <w:rsid w:val="00950917"/>
    <w:rsid w:val="0095117D"/>
    <w:rsid w:val="0095150B"/>
    <w:rsid w:val="0095240E"/>
    <w:rsid w:val="009527BF"/>
    <w:rsid w:val="00952EEC"/>
    <w:rsid w:val="009541B9"/>
    <w:rsid w:val="00955AA6"/>
    <w:rsid w:val="00956483"/>
    <w:rsid w:val="00957038"/>
    <w:rsid w:val="00957987"/>
    <w:rsid w:val="00960F16"/>
    <w:rsid w:val="00961569"/>
    <w:rsid w:val="00961AF3"/>
    <w:rsid w:val="0096212F"/>
    <w:rsid w:val="00964817"/>
    <w:rsid w:val="00965566"/>
    <w:rsid w:val="00967EAA"/>
    <w:rsid w:val="00971038"/>
    <w:rsid w:val="0097158A"/>
    <w:rsid w:val="00972543"/>
    <w:rsid w:val="00973210"/>
    <w:rsid w:val="00975415"/>
    <w:rsid w:val="0097647C"/>
    <w:rsid w:val="009770DE"/>
    <w:rsid w:val="00977BAB"/>
    <w:rsid w:val="00980930"/>
    <w:rsid w:val="00980CBF"/>
    <w:rsid w:val="009810DF"/>
    <w:rsid w:val="0098138E"/>
    <w:rsid w:val="00982891"/>
    <w:rsid w:val="00982F4F"/>
    <w:rsid w:val="00983443"/>
    <w:rsid w:val="009841BA"/>
    <w:rsid w:val="009862FB"/>
    <w:rsid w:val="0098655A"/>
    <w:rsid w:val="00986706"/>
    <w:rsid w:val="00987A97"/>
    <w:rsid w:val="00987B3E"/>
    <w:rsid w:val="00987B5E"/>
    <w:rsid w:val="00987D9D"/>
    <w:rsid w:val="00990889"/>
    <w:rsid w:val="00990B3A"/>
    <w:rsid w:val="00990E88"/>
    <w:rsid w:val="009930C3"/>
    <w:rsid w:val="0099368A"/>
    <w:rsid w:val="009941B5"/>
    <w:rsid w:val="00994EBE"/>
    <w:rsid w:val="0099571B"/>
    <w:rsid w:val="00997393"/>
    <w:rsid w:val="00997C41"/>
    <w:rsid w:val="009A0664"/>
    <w:rsid w:val="009A1C06"/>
    <w:rsid w:val="009A24F6"/>
    <w:rsid w:val="009A44DE"/>
    <w:rsid w:val="009A4EBA"/>
    <w:rsid w:val="009A522B"/>
    <w:rsid w:val="009A5BAE"/>
    <w:rsid w:val="009A5E6B"/>
    <w:rsid w:val="009A6E36"/>
    <w:rsid w:val="009B0587"/>
    <w:rsid w:val="009B0D3C"/>
    <w:rsid w:val="009B1218"/>
    <w:rsid w:val="009B14C4"/>
    <w:rsid w:val="009B1EB1"/>
    <w:rsid w:val="009B24F4"/>
    <w:rsid w:val="009B2FAD"/>
    <w:rsid w:val="009B4425"/>
    <w:rsid w:val="009B4E53"/>
    <w:rsid w:val="009C0582"/>
    <w:rsid w:val="009C1590"/>
    <w:rsid w:val="009C22F2"/>
    <w:rsid w:val="009C2BAF"/>
    <w:rsid w:val="009C308B"/>
    <w:rsid w:val="009C31C8"/>
    <w:rsid w:val="009C39A0"/>
    <w:rsid w:val="009C5237"/>
    <w:rsid w:val="009C6EDB"/>
    <w:rsid w:val="009C7A8D"/>
    <w:rsid w:val="009C7B52"/>
    <w:rsid w:val="009D20E3"/>
    <w:rsid w:val="009D2391"/>
    <w:rsid w:val="009D26EE"/>
    <w:rsid w:val="009D4E3C"/>
    <w:rsid w:val="009D5B3B"/>
    <w:rsid w:val="009D623A"/>
    <w:rsid w:val="009D676B"/>
    <w:rsid w:val="009D7456"/>
    <w:rsid w:val="009D745A"/>
    <w:rsid w:val="009D7CB6"/>
    <w:rsid w:val="009E29E7"/>
    <w:rsid w:val="009E315C"/>
    <w:rsid w:val="009E3934"/>
    <w:rsid w:val="009E3A84"/>
    <w:rsid w:val="009E3EDE"/>
    <w:rsid w:val="009E4098"/>
    <w:rsid w:val="009E5A44"/>
    <w:rsid w:val="009E6052"/>
    <w:rsid w:val="009E67DC"/>
    <w:rsid w:val="009E7C7F"/>
    <w:rsid w:val="009F0039"/>
    <w:rsid w:val="009F2321"/>
    <w:rsid w:val="009F39D4"/>
    <w:rsid w:val="009F6666"/>
    <w:rsid w:val="009F6F2D"/>
    <w:rsid w:val="009F7F68"/>
    <w:rsid w:val="00A01A4C"/>
    <w:rsid w:val="00A02333"/>
    <w:rsid w:val="00A02D9D"/>
    <w:rsid w:val="00A02DF2"/>
    <w:rsid w:val="00A11155"/>
    <w:rsid w:val="00A123DD"/>
    <w:rsid w:val="00A13A86"/>
    <w:rsid w:val="00A14B8B"/>
    <w:rsid w:val="00A15517"/>
    <w:rsid w:val="00A15768"/>
    <w:rsid w:val="00A15A52"/>
    <w:rsid w:val="00A1643E"/>
    <w:rsid w:val="00A17CE0"/>
    <w:rsid w:val="00A20478"/>
    <w:rsid w:val="00A22DD2"/>
    <w:rsid w:val="00A232BB"/>
    <w:rsid w:val="00A233D1"/>
    <w:rsid w:val="00A23590"/>
    <w:rsid w:val="00A23966"/>
    <w:rsid w:val="00A23CA9"/>
    <w:rsid w:val="00A23D48"/>
    <w:rsid w:val="00A2464C"/>
    <w:rsid w:val="00A255CA"/>
    <w:rsid w:val="00A25896"/>
    <w:rsid w:val="00A26A48"/>
    <w:rsid w:val="00A27858"/>
    <w:rsid w:val="00A27E59"/>
    <w:rsid w:val="00A32C39"/>
    <w:rsid w:val="00A33A63"/>
    <w:rsid w:val="00A33E56"/>
    <w:rsid w:val="00A34530"/>
    <w:rsid w:val="00A3513A"/>
    <w:rsid w:val="00A356CC"/>
    <w:rsid w:val="00A3617D"/>
    <w:rsid w:val="00A3648E"/>
    <w:rsid w:val="00A36EEA"/>
    <w:rsid w:val="00A370A4"/>
    <w:rsid w:val="00A37C69"/>
    <w:rsid w:val="00A408F1"/>
    <w:rsid w:val="00A41252"/>
    <w:rsid w:val="00A41AF9"/>
    <w:rsid w:val="00A421D5"/>
    <w:rsid w:val="00A42306"/>
    <w:rsid w:val="00A438D8"/>
    <w:rsid w:val="00A44E8D"/>
    <w:rsid w:val="00A44F74"/>
    <w:rsid w:val="00A451A9"/>
    <w:rsid w:val="00A46782"/>
    <w:rsid w:val="00A46AC4"/>
    <w:rsid w:val="00A46EA8"/>
    <w:rsid w:val="00A471BE"/>
    <w:rsid w:val="00A47FCB"/>
    <w:rsid w:val="00A50BB8"/>
    <w:rsid w:val="00A51533"/>
    <w:rsid w:val="00A51845"/>
    <w:rsid w:val="00A51956"/>
    <w:rsid w:val="00A526DA"/>
    <w:rsid w:val="00A53FE8"/>
    <w:rsid w:val="00A542D5"/>
    <w:rsid w:val="00A550A8"/>
    <w:rsid w:val="00A5552E"/>
    <w:rsid w:val="00A55ACD"/>
    <w:rsid w:val="00A562A2"/>
    <w:rsid w:val="00A56E71"/>
    <w:rsid w:val="00A57ED2"/>
    <w:rsid w:val="00A60CD6"/>
    <w:rsid w:val="00A60DA6"/>
    <w:rsid w:val="00A615D7"/>
    <w:rsid w:val="00A62197"/>
    <w:rsid w:val="00A628E4"/>
    <w:rsid w:val="00A62D76"/>
    <w:rsid w:val="00A63575"/>
    <w:rsid w:val="00A6383A"/>
    <w:rsid w:val="00A64450"/>
    <w:rsid w:val="00A648D1"/>
    <w:rsid w:val="00A6492C"/>
    <w:rsid w:val="00A64B6A"/>
    <w:rsid w:val="00A66D6A"/>
    <w:rsid w:val="00A70132"/>
    <w:rsid w:val="00A706F4"/>
    <w:rsid w:val="00A71AB4"/>
    <w:rsid w:val="00A732B3"/>
    <w:rsid w:val="00A75234"/>
    <w:rsid w:val="00A75357"/>
    <w:rsid w:val="00A75837"/>
    <w:rsid w:val="00A75BD1"/>
    <w:rsid w:val="00A769CB"/>
    <w:rsid w:val="00A80104"/>
    <w:rsid w:val="00A80B1A"/>
    <w:rsid w:val="00A81DCB"/>
    <w:rsid w:val="00A8228C"/>
    <w:rsid w:val="00A82FAB"/>
    <w:rsid w:val="00A8331D"/>
    <w:rsid w:val="00A845F4"/>
    <w:rsid w:val="00A84BBB"/>
    <w:rsid w:val="00A85D27"/>
    <w:rsid w:val="00A86033"/>
    <w:rsid w:val="00A8609B"/>
    <w:rsid w:val="00A86F18"/>
    <w:rsid w:val="00A903BD"/>
    <w:rsid w:val="00A9066D"/>
    <w:rsid w:val="00A924C3"/>
    <w:rsid w:val="00A931E1"/>
    <w:rsid w:val="00A93514"/>
    <w:rsid w:val="00A9404F"/>
    <w:rsid w:val="00A957A2"/>
    <w:rsid w:val="00A96114"/>
    <w:rsid w:val="00A96281"/>
    <w:rsid w:val="00A96BDE"/>
    <w:rsid w:val="00A972C3"/>
    <w:rsid w:val="00AA2153"/>
    <w:rsid w:val="00AA282B"/>
    <w:rsid w:val="00AA293A"/>
    <w:rsid w:val="00AA2FCE"/>
    <w:rsid w:val="00AA318C"/>
    <w:rsid w:val="00AA35D1"/>
    <w:rsid w:val="00AA5C2A"/>
    <w:rsid w:val="00AA5E16"/>
    <w:rsid w:val="00AA7E4E"/>
    <w:rsid w:val="00AB04D3"/>
    <w:rsid w:val="00AB078E"/>
    <w:rsid w:val="00AB0DD5"/>
    <w:rsid w:val="00AB0FBB"/>
    <w:rsid w:val="00AB19B2"/>
    <w:rsid w:val="00AB1F5F"/>
    <w:rsid w:val="00AB388C"/>
    <w:rsid w:val="00AB5033"/>
    <w:rsid w:val="00AB7875"/>
    <w:rsid w:val="00AC0206"/>
    <w:rsid w:val="00AC0B0B"/>
    <w:rsid w:val="00AC197F"/>
    <w:rsid w:val="00AC3DC9"/>
    <w:rsid w:val="00AC3F5E"/>
    <w:rsid w:val="00AC49B8"/>
    <w:rsid w:val="00AC58D1"/>
    <w:rsid w:val="00AC5E5C"/>
    <w:rsid w:val="00AC68EE"/>
    <w:rsid w:val="00AC7337"/>
    <w:rsid w:val="00AD11BA"/>
    <w:rsid w:val="00AD1AD4"/>
    <w:rsid w:val="00AD22B6"/>
    <w:rsid w:val="00AD2BA6"/>
    <w:rsid w:val="00AD352D"/>
    <w:rsid w:val="00AD5276"/>
    <w:rsid w:val="00AD5820"/>
    <w:rsid w:val="00AD5FD2"/>
    <w:rsid w:val="00AD6CAC"/>
    <w:rsid w:val="00AD7B84"/>
    <w:rsid w:val="00AE0670"/>
    <w:rsid w:val="00AE1A07"/>
    <w:rsid w:val="00AE1BF0"/>
    <w:rsid w:val="00AE2567"/>
    <w:rsid w:val="00AE2B21"/>
    <w:rsid w:val="00AE384B"/>
    <w:rsid w:val="00AE3C0F"/>
    <w:rsid w:val="00AE4EAB"/>
    <w:rsid w:val="00AF06A8"/>
    <w:rsid w:val="00AF07E4"/>
    <w:rsid w:val="00AF1105"/>
    <w:rsid w:val="00AF12F8"/>
    <w:rsid w:val="00AF1369"/>
    <w:rsid w:val="00AF2396"/>
    <w:rsid w:val="00AF297B"/>
    <w:rsid w:val="00AF2FF1"/>
    <w:rsid w:val="00AF3404"/>
    <w:rsid w:val="00AF433C"/>
    <w:rsid w:val="00AF489A"/>
    <w:rsid w:val="00AF518B"/>
    <w:rsid w:val="00AF6341"/>
    <w:rsid w:val="00AF6AF5"/>
    <w:rsid w:val="00AF6BF4"/>
    <w:rsid w:val="00B002D4"/>
    <w:rsid w:val="00B00433"/>
    <w:rsid w:val="00B01020"/>
    <w:rsid w:val="00B011F9"/>
    <w:rsid w:val="00B0174A"/>
    <w:rsid w:val="00B01B8E"/>
    <w:rsid w:val="00B01F7E"/>
    <w:rsid w:val="00B02A8E"/>
    <w:rsid w:val="00B034AA"/>
    <w:rsid w:val="00B04533"/>
    <w:rsid w:val="00B048B9"/>
    <w:rsid w:val="00B06439"/>
    <w:rsid w:val="00B07D08"/>
    <w:rsid w:val="00B101E2"/>
    <w:rsid w:val="00B12138"/>
    <w:rsid w:val="00B12BC1"/>
    <w:rsid w:val="00B13279"/>
    <w:rsid w:val="00B13D74"/>
    <w:rsid w:val="00B1409C"/>
    <w:rsid w:val="00B150DE"/>
    <w:rsid w:val="00B15390"/>
    <w:rsid w:val="00B1620E"/>
    <w:rsid w:val="00B1666B"/>
    <w:rsid w:val="00B16C2A"/>
    <w:rsid w:val="00B17123"/>
    <w:rsid w:val="00B17916"/>
    <w:rsid w:val="00B214E6"/>
    <w:rsid w:val="00B21DDB"/>
    <w:rsid w:val="00B21EC7"/>
    <w:rsid w:val="00B23877"/>
    <w:rsid w:val="00B23D1A"/>
    <w:rsid w:val="00B244A9"/>
    <w:rsid w:val="00B258A7"/>
    <w:rsid w:val="00B26793"/>
    <w:rsid w:val="00B2688D"/>
    <w:rsid w:val="00B26E38"/>
    <w:rsid w:val="00B300C6"/>
    <w:rsid w:val="00B303F5"/>
    <w:rsid w:val="00B3087D"/>
    <w:rsid w:val="00B317F4"/>
    <w:rsid w:val="00B3263E"/>
    <w:rsid w:val="00B32671"/>
    <w:rsid w:val="00B32B00"/>
    <w:rsid w:val="00B33189"/>
    <w:rsid w:val="00B33413"/>
    <w:rsid w:val="00B33907"/>
    <w:rsid w:val="00B34419"/>
    <w:rsid w:val="00B34794"/>
    <w:rsid w:val="00B34A85"/>
    <w:rsid w:val="00B350CA"/>
    <w:rsid w:val="00B354BE"/>
    <w:rsid w:val="00B40099"/>
    <w:rsid w:val="00B40123"/>
    <w:rsid w:val="00B40E0A"/>
    <w:rsid w:val="00B42C83"/>
    <w:rsid w:val="00B43AE0"/>
    <w:rsid w:val="00B440FF"/>
    <w:rsid w:val="00B45779"/>
    <w:rsid w:val="00B46869"/>
    <w:rsid w:val="00B46DC6"/>
    <w:rsid w:val="00B46E74"/>
    <w:rsid w:val="00B5070A"/>
    <w:rsid w:val="00B507CE"/>
    <w:rsid w:val="00B50E4B"/>
    <w:rsid w:val="00B51511"/>
    <w:rsid w:val="00B51535"/>
    <w:rsid w:val="00B51A8E"/>
    <w:rsid w:val="00B51BE4"/>
    <w:rsid w:val="00B51CD4"/>
    <w:rsid w:val="00B5261A"/>
    <w:rsid w:val="00B52D19"/>
    <w:rsid w:val="00B533C8"/>
    <w:rsid w:val="00B53C78"/>
    <w:rsid w:val="00B54175"/>
    <w:rsid w:val="00B542BC"/>
    <w:rsid w:val="00B5493D"/>
    <w:rsid w:val="00B54CAA"/>
    <w:rsid w:val="00B54F31"/>
    <w:rsid w:val="00B60421"/>
    <w:rsid w:val="00B6166B"/>
    <w:rsid w:val="00B6206E"/>
    <w:rsid w:val="00B636F7"/>
    <w:rsid w:val="00B63A18"/>
    <w:rsid w:val="00B63C07"/>
    <w:rsid w:val="00B63F9A"/>
    <w:rsid w:val="00B640EA"/>
    <w:rsid w:val="00B6454D"/>
    <w:rsid w:val="00B64E06"/>
    <w:rsid w:val="00B65274"/>
    <w:rsid w:val="00B67186"/>
    <w:rsid w:val="00B6722D"/>
    <w:rsid w:val="00B67656"/>
    <w:rsid w:val="00B704FA"/>
    <w:rsid w:val="00B71521"/>
    <w:rsid w:val="00B72444"/>
    <w:rsid w:val="00B74963"/>
    <w:rsid w:val="00B75AF7"/>
    <w:rsid w:val="00B76C25"/>
    <w:rsid w:val="00B776E1"/>
    <w:rsid w:val="00B77851"/>
    <w:rsid w:val="00B77ADD"/>
    <w:rsid w:val="00B801EB"/>
    <w:rsid w:val="00B807ED"/>
    <w:rsid w:val="00B809D5"/>
    <w:rsid w:val="00B809EB"/>
    <w:rsid w:val="00B81CBA"/>
    <w:rsid w:val="00B81EB6"/>
    <w:rsid w:val="00B82366"/>
    <w:rsid w:val="00B824B6"/>
    <w:rsid w:val="00B8327D"/>
    <w:rsid w:val="00B83C62"/>
    <w:rsid w:val="00B85329"/>
    <w:rsid w:val="00B859E9"/>
    <w:rsid w:val="00B862F9"/>
    <w:rsid w:val="00B86471"/>
    <w:rsid w:val="00B90068"/>
    <w:rsid w:val="00B918BA"/>
    <w:rsid w:val="00B9257F"/>
    <w:rsid w:val="00B946B5"/>
    <w:rsid w:val="00B946E4"/>
    <w:rsid w:val="00B95EF2"/>
    <w:rsid w:val="00B96581"/>
    <w:rsid w:val="00B975FA"/>
    <w:rsid w:val="00BA0082"/>
    <w:rsid w:val="00BA2AE0"/>
    <w:rsid w:val="00BA3495"/>
    <w:rsid w:val="00BA3B06"/>
    <w:rsid w:val="00BA47A0"/>
    <w:rsid w:val="00BA50CD"/>
    <w:rsid w:val="00BA5183"/>
    <w:rsid w:val="00BA5525"/>
    <w:rsid w:val="00BA5E9B"/>
    <w:rsid w:val="00BA739F"/>
    <w:rsid w:val="00BB0243"/>
    <w:rsid w:val="00BB0C32"/>
    <w:rsid w:val="00BB130D"/>
    <w:rsid w:val="00BB1846"/>
    <w:rsid w:val="00BB245C"/>
    <w:rsid w:val="00BB30E8"/>
    <w:rsid w:val="00BB3A97"/>
    <w:rsid w:val="00BB4AD2"/>
    <w:rsid w:val="00BB5524"/>
    <w:rsid w:val="00BB554A"/>
    <w:rsid w:val="00BC0326"/>
    <w:rsid w:val="00BC1EFC"/>
    <w:rsid w:val="00BC244D"/>
    <w:rsid w:val="00BC2F49"/>
    <w:rsid w:val="00BC30A9"/>
    <w:rsid w:val="00BC30FD"/>
    <w:rsid w:val="00BC311A"/>
    <w:rsid w:val="00BC352C"/>
    <w:rsid w:val="00BC38B0"/>
    <w:rsid w:val="00BC494F"/>
    <w:rsid w:val="00BC598D"/>
    <w:rsid w:val="00BC5ACC"/>
    <w:rsid w:val="00BC5AF3"/>
    <w:rsid w:val="00BC73EB"/>
    <w:rsid w:val="00BC7549"/>
    <w:rsid w:val="00BD0207"/>
    <w:rsid w:val="00BD0B0D"/>
    <w:rsid w:val="00BD0C46"/>
    <w:rsid w:val="00BD22B2"/>
    <w:rsid w:val="00BD245D"/>
    <w:rsid w:val="00BD2FBB"/>
    <w:rsid w:val="00BD3C20"/>
    <w:rsid w:val="00BD563C"/>
    <w:rsid w:val="00BD6913"/>
    <w:rsid w:val="00BD696B"/>
    <w:rsid w:val="00BD7759"/>
    <w:rsid w:val="00BE05DB"/>
    <w:rsid w:val="00BE09D7"/>
    <w:rsid w:val="00BE0BC5"/>
    <w:rsid w:val="00BE1B4C"/>
    <w:rsid w:val="00BE2090"/>
    <w:rsid w:val="00BE2972"/>
    <w:rsid w:val="00BE4D9A"/>
    <w:rsid w:val="00BE6A9F"/>
    <w:rsid w:val="00BE6D6F"/>
    <w:rsid w:val="00BE7761"/>
    <w:rsid w:val="00BF045E"/>
    <w:rsid w:val="00BF071C"/>
    <w:rsid w:val="00BF0DBA"/>
    <w:rsid w:val="00BF2A19"/>
    <w:rsid w:val="00BF42EF"/>
    <w:rsid w:val="00BF4EA6"/>
    <w:rsid w:val="00BF5F61"/>
    <w:rsid w:val="00BF61CC"/>
    <w:rsid w:val="00BF65F8"/>
    <w:rsid w:val="00BF674C"/>
    <w:rsid w:val="00BF6961"/>
    <w:rsid w:val="00BF7558"/>
    <w:rsid w:val="00BF7B6E"/>
    <w:rsid w:val="00C00427"/>
    <w:rsid w:val="00C0142C"/>
    <w:rsid w:val="00C0198A"/>
    <w:rsid w:val="00C03241"/>
    <w:rsid w:val="00C0421D"/>
    <w:rsid w:val="00C047A3"/>
    <w:rsid w:val="00C05825"/>
    <w:rsid w:val="00C05B3A"/>
    <w:rsid w:val="00C071D0"/>
    <w:rsid w:val="00C106B9"/>
    <w:rsid w:val="00C108DB"/>
    <w:rsid w:val="00C10B5F"/>
    <w:rsid w:val="00C10CCF"/>
    <w:rsid w:val="00C11A5B"/>
    <w:rsid w:val="00C1288D"/>
    <w:rsid w:val="00C131BE"/>
    <w:rsid w:val="00C156EF"/>
    <w:rsid w:val="00C16676"/>
    <w:rsid w:val="00C174DA"/>
    <w:rsid w:val="00C17B7D"/>
    <w:rsid w:val="00C20223"/>
    <w:rsid w:val="00C20D2C"/>
    <w:rsid w:val="00C21A55"/>
    <w:rsid w:val="00C223DD"/>
    <w:rsid w:val="00C22E97"/>
    <w:rsid w:val="00C23126"/>
    <w:rsid w:val="00C23920"/>
    <w:rsid w:val="00C24885"/>
    <w:rsid w:val="00C25DDD"/>
    <w:rsid w:val="00C26558"/>
    <w:rsid w:val="00C32E99"/>
    <w:rsid w:val="00C34949"/>
    <w:rsid w:val="00C35683"/>
    <w:rsid w:val="00C35C56"/>
    <w:rsid w:val="00C35E66"/>
    <w:rsid w:val="00C362D6"/>
    <w:rsid w:val="00C36AD3"/>
    <w:rsid w:val="00C36EFC"/>
    <w:rsid w:val="00C37190"/>
    <w:rsid w:val="00C4104E"/>
    <w:rsid w:val="00C41DB0"/>
    <w:rsid w:val="00C42DF0"/>
    <w:rsid w:val="00C43179"/>
    <w:rsid w:val="00C43FC3"/>
    <w:rsid w:val="00C441D3"/>
    <w:rsid w:val="00C443C0"/>
    <w:rsid w:val="00C447E2"/>
    <w:rsid w:val="00C44891"/>
    <w:rsid w:val="00C45833"/>
    <w:rsid w:val="00C465BF"/>
    <w:rsid w:val="00C46EC1"/>
    <w:rsid w:val="00C51114"/>
    <w:rsid w:val="00C51154"/>
    <w:rsid w:val="00C514E2"/>
    <w:rsid w:val="00C51C36"/>
    <w:rsid w:val="00C51F93"/>
    <w:rsid w:val="00C53855"/>
    <w:rsid w:val="00C53E05"/>
    <w:rsid w:val="00C53E25"/>
    <w:rsid w:val="00C549E8"/>
    <w:rsid w:val="00C54E25"/>
    <w:rsid w:val="00C553F0"/>
    <w:rsid w:val="00C5564E"/>
    <w:rsid w:val="00C5566C"/>
    <w:rsid w:val="00C55B54"/>
    <w:rsid w:val="00C5680C"/>
    <w:rsid w:val="00C56B5A"/>
    <w:rsid w:val="00C576BD"/>
    <w:rsid w:val="00C613B6"/>
    <w:rsid w:val="00C61F37"/>
    <w:rsid w:val="00C620F9"/>
    <w:rsid w:val="00C62A39"/>
    <w:rsid w:val="00C6433F"/>
    <w:rsid w:val="00C64646"/>
    <w:rsid w:val="00C64D25"/>
    <w:rsid w:val="00C658BF"/>
    <w:rsid w:val="00C66CE8"/>
    <w:rsid w:val="00C66DEE"/>
    <w:rsid w:val="00C675FD"/>
    <w:rsid w:val="00C6774B"/>
    <w:rsid w:val="00C67B90"/>
    <w:rsid w:val="00C70744"/>
    <w:rsid w:val="00C70946"/>
    <w:rsid w:val="00C70E6B"/>
    <w:rsid w:val="00C714A5"/>
    <w:rsid w:val="00C718D3"/>
    <w:rsid w:val="00C728D9"/>
    <w:rsid w:val="00C732B8"/>
    <w:rsid w:val="00C74AB8"/>
    <w:rsid w:val="00C7683A"/>
    <w:rsid w:val="00C76970"/>
    <w:rsid w:val="00C805E7"/>
    <w:rsid w:val="00C808D9"/>
    <w:rsid w:val="00C81DD0"/>
    <w:rsid w:val="00C833E9"/>
    <w:rsid w:val="00C83766"/>
    <w:rsid w:val="00C83D90"/>
    <w:rsid w:val="00C85FBE"/>
    <w:rsid w:val="00C86B4A"/>
    <w:rsid w:val="00C87155"/>
    <w:rsid w:val="00C875BB"/>
    <w:rsid w:val="00C878D5"/>
    <w:rsid w:val="00C902CF"/>
    <w:rsid w:val="00C9033B"/>
    <w:rsid w:val="00C913A1"/>
    <w:rsid w:val="00C91A25"/>
    <w:rsid w:val="00C942B0"/>
    <w:rsid w:val="00C94319"/>
    <w:rsid w:val="00C9452B"/>
    <w:rsid w:val="00C949B2"/>
    <w:rsid w:val="00C9509D"/>
    <w:rsid w:val="00C9614D"/>
    <w:rsid w:val="00C964E4"/>
    <w:rsid w:val="00C965FE"/>
    <w:rsid w:val="00C9694D"/>
    <w:rsid w:val="00C97553"/>
    <w:rsid w:val="00C9787D"/>
    <w:rsid w:val="00C97A71"/>
    <w:rsid w:val="00CA086E"/>
    <w:rsid w:val="00CA0C18"/>
    <w:rsid w:val="00CA286C"/>
    <w:rsid w:val="00CA2A09"/>
    <w:rsid w:val="00CA2C28"/>
    <w:rsid w:val="00CA41D0"/>
    <w:rsid w:val="00CA4A37"/>
    <w:rsid w:val="00CA61EF"/>
    <w:rsid w:val="00CA727E"/>
    <w:rsid w:val="00CA7A8C"/>
    <w:rsid w:val="00CB0690"/>
    <w:rsid w:val="00CB10A4"/>
    <w:rsid w:val="00CB11D4"/>
    <w:rsid w:val="00CB1F63"/>
    <w:rsid w:val="00CB2E11"/>
    <w:rsid w:val="00CB3D08"/>
    <w:rsid w:val="00CB4229"/>
    <w:rsid w:val="00CB4946"/>
    <w:rsid w:val="00CB5E47"/>
    <w:rsid w:val="00CB60B3"/>
    <w:rsid w:val="00CB6E4A"/>
    <w:rsid w:val="00CC0053"/>
    <w:rsid w:val="00CC036C"/>
    <w:rsid w:val="00CC2611"/>
    <w:rsid w:val="00CC2879"/>
    <w:rsid w:val="00CC2D36"/>
    <w:rsid w:val="00CC3D71"/>
    <w:rsid w:val="00CC3F81"/>
    <w:rsid w:val="00CC6A98"/>
    <w:rsid w:val="00CC6A99"/>
    <w:rsid w:val="00CC6BC7"/>
    <w:rsid w:val="00CC6EBE"/>
    <w:rsid w:val="00CC7C8A"/>
    <w:rsid w:val="00CD20D9"/>
    <w:rsid w:val="00CD23FA"/>
    <w:rsid w:val="00CD2EED"/>
    <w:rsid w:val="00CD2EFA"/>
    <w:rsid w:val="00CD34AE"/>
    <w:rsid w:val="00CD36C7"/>
    <w:rsid w:val="00CD3872"/>
    <w:rsid w:val="00CD3C52"/>
    <w:rsid w:val="00CD5657"/>
    <w:rsid w:val="00CE1434"/>
    <w:rsid w:val="00CE203F"/>
    <w:rsid w:val="00CE39E4"/>
    <w:rsid w:val="00CE47E0"/>
    <w:rsid w:val="00CE4FA2"/>
    <w:rsid w:val="00CE5655"/>
    <w:rsid w:val="00CE6148"/>
    <w:rsid w:val="00CE6A1E"/>
    <w:rsid w:val="00CE6C14"/>
    <w:rsid w:val="00CE6CB5"/>
    <w:rsid w:val="00CE719B"/>
    <w:rsid w:val="00CF0EDE"/>
    <w:rsid w:val="00CF0FD1"/>
    <w:rsid w:val="00CF10A8"/>
    <w:rsid w:val="00CF120B"/>
    <w:rsid w:val="00CF1562"/>
    <w:rsid w:val="00CF2743"/>
    <w:rsid w:val="00CF3638"/>
    <w:rsid w:val="00CF3CF1"/>
    <w:rsid w:val="00CF3EAA"/>
    <w:rsid w:val="00CF4264"/>
    <w:rsid w:val="00CF47F0"/>
    <w:rsid w:val="00CF5576"/>
    <w:rsid w:val="00CF5F29"/>
    <w:rsid w:val="00CF7317"/>
    <w:rsid w:val="00D00A06"/>
    <w:rsid w:val="00D00AA3"/>
    <w:rsid w:val="00D0232E"/>
    <w:rsid w:val="00D03129"/>
    <w:rsid w:val="00D034FB"/>
    <w:rsid w:val="00D04595"/>
    <w:rsid w:val="00D0504E"/>
    <w:rsid w:val="00D060BD"/>
    <w:rsid w:val="00D07749"/>
    <w:rsid w:val="00D07D79"/>
    <w:rsid w:val="00D07F73"/>
    <w:rsid w:val="00D11061"/>
    <w:rsid w:val="00D11542"/>
    <w:rsid w:val="00D12123"/>
    <w:rsid w:val="00D121A5"/>
    <w:rsid w:val="00D125D9"/>
    <w:rsid w:val="00D13F8E"/>
    <w:rsid w:val="00D14844"/>
    <w:rsid w:val="00D14851"/>
    <w:rsid w:val="00D1578C"/>
    <w:rsid w:val="00D15E65"/>
    <w:rsid w:val="00D1791C"/>
    <w:rsid w:val="00D2041C"/>
    <w:rsid w:val="00D20805"/>
    <w:rsid w:val="00D22BD5"/>
    <w:rsid w:val="00D22D85"/>
    <w:rsid w:val="00D22E26"/>
    <w:rsid w:val="00D23854"/>
    <w:rsid w:val="00D23AD7"/>
    <w:rsid w:val="00D23D22"/>
    <w:rsid w:val="00D2437C"/>
    <w:rsid w:val="00D248A1"/>
    <w:rsid w:val="00D24DC1"/>
    <w:rsid w:val="00D25ADE"/>
    <w:rsid w:val="00D261B9"/>
    <w:rsid w:val="00D26B2B"/>
    <w:rsid w:val="00D26C51"/>
    <w:rsid w:val="00D27228"/>
    <w:rsid w:val="00D2792B"/>
    <w:rsid w:val="00D301C6"/>
    <w:rsid w:val="00D3020D"/>
    <w:rsid w:val="00D307EF"/>
    <w:rsid w:val="00D31066"/>
    <w:rsid w:val="00D316F9"/>
    <w:rsid w:val="00D3347E"/>
    <w:rsid w:val="00D33D06"/>
    <w:rsid w:val="00D35F60"/>
    <w:rsid w:val="00D36258"/>
    <w:rsid w:val="00D36D78"/>
    <w:rsid w:val="00D36F48"/>
    <w:rsid w:val="00D37B08"/>
    <w:rsid w:val="00D41739"/>
    <w:rsid w:val="00D43297"/>
    <w:rsid w:val="00D43567"/>
    <w:rsid w:val="00D443B6"/>
    <w:rsid w:val="00D44DB6"/>
    <w:rsid w:val="00D451BD"/>
    <w:rsid w:val="00D4625B"/>
    <w:rsid w:val="00D4705A"/>
    <w:rsid w:val="00D50119"/>
    <w:rsid w:val="00D50204"/>
    <w:rsid w:val="00D50417"/>
    <w:rsid w:val="00D50A3F"/>
    <w:rsid w:val="00D520E9"/>
    <w:rsid w:val="00D52886"/>
    <w:rsid w:val="00D52BCF"/>
    <w:rsid w:val="00D53608"/>
    <w:rsid w:val="00D5538F"/>
    <w:rsid w:val="00D56121"/>
    <w:rsid w:val="00D561D1"/>
    <w:rsid w:val="00D56D03"/>
    <w:rsid w:val="00D570DE"/>
    <w:rsid w:val="00D60FB7"/>
    <w:rsid w:val="00D61628"/>
    <w:rsid w:val="00D63478"/>
    <w:rsid w:val="00D6367C"/>
    <w:rsid w:val="00D64E80"/>
    <w:rsid w:val="00D64F07"/>
    <w:rsid w:val="00D64F48"/>
    <w:rsid w:val="00D679BD"/>
    <w:rsid w:val="00D7004B"/>
    <w:rsid w:val="00D72B54"/>
    <w:rsid w:val="00D72DBA"/>
    <w:rsid w:val="00D73119"/>
    <w:rsid w:val="00D737DA"/>
    <w:rsid w:val="00D74458"/>
    <w:rsid w:val="00D74970"/>
    <w:rsid w:val="00D75662"/>
    <w:rsid w:val="00D764CE"/>
    <w:rsid w:val="00D76525"/>
    <w:rsid w:val="00D80B4F"/>
    <w:rsid w:val="00D80B5F"/>
    <w:rsid w:val="00D8102B"/>
    <w:rsid w:val="00D823B0"/>
    <w:rsid w:val="00D82A43"/>
    <w:rsid w:val="00D8304B"/>
    <w:rsid w:val="00D8369A"/>
    <w:rsid w:val="00D8534A"/>
    <w:rsid w:val="00D8580D"/>
    <w:rsid w:val="00D85C8B"/>
    <w:rsid w:val="00D86054"/>
    <w:rsid w:val="00D868B2"/>
    <w:rsid w:val="00D87096"/>
    <w:rsid w:val="00D90EFF"/>
    <w:rsid w:val="00D91E3B"/>
    <w:rsid w:val="00D92360"/>
    <w:rsid w:val="00D937C2"/>
    <w:rsid w:val="00D93B3D"/>
    <w:rsid w:val="00D94A3C"/>
    <w:rsid w:val="00D97BAF"/>
    <w:rsid w:val="00DA0211"/>
    <w:rsid w:val="00DA061B"/>
    <w:rsid w:val="00DA06F7"/>
    <w:rsid w:val="00DA0D2A"/>
    <w:rsid w:val="00DA1130"/>
    <w:rsid w:val="00DA17C3"/>
    <w:rsid w:val="00DA1F14"/>
    <w:rsid w:val="00DA3317"/>
    <w:rsid w:val="00DA5195"/>
    <w:rsid w:val="00DA51C5"/>
    <w:rsid w:val="00DA546D"/>
    <w:rsid w:val="00DA63F3"/>
    <w:rsid w:val="00DA6E2D"/>
    <w:rsid w:val="00DA6ECA"/>
    <w:rsid w:val="00DA7B5D"/>
    <w:rsid w:val="00DB0B42"/>
    <w:rsid w:val="00DB186B"/>
    <w:rsid w:val="00DB4B2F"/>
    <w:rsid w:val="00DB5F7B"/>
    <w:rsid w:val="00DB619C"/>
    <w:rsid w:val="00DC0FFD"/>
    <w:rsid w:val="00DC1352"/>
    <w:rsid w:val="00DC29CD"/>
    <w:rsid w:val="00DC2D44"/>
    <w:rsid w:val="00DC3C6A"/>
    <w:rsid w:val="00DC4810"/>
    <w:rsid w:val="00DC5164"/>
    <w:rsid w:val="00DC5419"/>
    <w:rsid w:val="00DC5808"/>
    <w:rsid w:val="00DC600A"/>
    <w:rsid w:val="00DC6F91"/>
    <w:rsid w:val="00DC7DAE"/>
    <w:rsid w:val="00DC7FF3"/>
    <w:rsid w:val="00DD09A5"/>
    <w:rsid w:val="00DD0D7E"/>
    <w:rsid w:val="00DD1234"/>
    <w:rsid w:val="00DD28A0"/>
    <w:rsid w:val="00DD3310"/>
    <w:rsid w:val="00DD3659"/>
    <w:rsid w:val="00DD6281"/>
    <w:rsid w:val="00DD664A"/>
    <w:rsid w:val="00DD68D3"/>
    <w:rsid w:val="00DD6CD4"/>
    <w:rsid w:val="00DE1E98"/>
    <w:rsid w:val="00DE32B1"/>
    <w:rsid w:val="00DE39F6"/>
    <w:rsid w:val="00DE6348"/>
    <w:rsid w:val="00DE672F"/>
    <w:rsid w:val="00DE7FCB"/>
    <w:rsid w:val="00DF2E10"/>
    <w:rsid w:val="00DF3826"/>
    <w:rsid w:val="00DF42C1"/>
    <w:rsid w:val="00DF4389"/>
    <w:rsid w:val="00DF58E7"/>
    <w:rsid w:val="00E000EA"/>
    <w:rsid w:val="00E002FF"/>
    <w:rsid w:val="00E00483"/>
    <w:rsid w:val="00E0070D"/>
    <w:rsid w:val="00E00AB0"/>
    <w:rsid w:val="00E00B9B"/>
    <w:rsid w:val="00E00FF6"/>
    <w:rsid w:val="00E02A03"/>
    <w:rsid w:val="00E02F9C"/>
    <w:rsid w:val="00E03C0A"/>
    <w:rsid w:val="00E0567D"/>
    <w:rsid w:val="00E07358"/>
    <w:rsid w:val="00E07E09"/>
    <w:rsid w:val="00E10013"/>
    <w:rsid w:val="00E11876"/>
    <w:rsid w:val="00E125F8"/>
    <w:rsid w:val="00E12602"/>
    <w:rsid w:val="00E13787"/>
    <w:rsid w:val="00E13A3D"/>
    <w:rsid w:val="00E144C6"/>
    <w:rsid w:val="00E154A6"/>
    <w:rsid w:val="00E1559B"/>
    <w:rsid w:val="00E161B3"/>
    <w:rsid w:val="00E175A2"/>
    <w:rsid w:val="00E204A3"/>
    <w:rsid w:val="00E20B1C"/>
    <w:rsid w:val="00E2127F"/>
    <w:rsid w:val="00E21647"/>
    <w:rsid w:val="00E23030"/>
    <w:rsid w:val="00E23936"/>
    <w:rsid w:val="00E23BFB"/>
    <w:rsid w:val="00E23CBB"/>
    <w:rsid w:val="00E24903"/>
    <w:rsid w:val="00E255FE"/>
    <w:rsid w:val="00E25B64"/>
    <w:rsid w:val="00E2673E"/>
    <w:rsid w:val="00E26936"/>
    <w:rsid w:val="00E2761E"/>
    <w:rsid w:val="00E304A7"/>
    <w:rsid w:val="00E30C70"/>
    <w:rsid w:val="00E318D9"/>
    <w:rsid w:val="00E32284"/>
    <w:rsid w:val="00E331E3"/>
    <w:rsid w:val="00E3325D"/>
    <w:rsid w:val="00E344A8"/>
    <w:rsid w:val="00E34567"/>
    <w:rsid w:val="00E346A4"/>
    <w:rsid w:val="00E353FE"/>
    <w:rsid w:val="00E35F9A"/>
    <w:rsid w:val="00E360BA"/>
    <w:rsid w:val="00E36CB8"/>
    <w:rsid w:val="00E37B59"/>
    <w:rsid w:val="00E405EE"/>
    <w:rsid w:val="00E40BC1"/>
    <w:rsid w:val="00E41875"/>
    <w:rsid w:val="00E4383F"/>
    <w:rsid w:val="00E44881"/>
    <w:rsid w:val="00E45690"/>
    <w:rsid w:val="00E46DF8"/>
    <w:rsid w:val="00E4729E"/>
    <w:rsid w:val="00E4740A"/>
    <w:rsid w:val="00E474BA"/>
    <w:rsid w:val="00E47F4A"/>
    <w:rsid w:val="00E47FF5"/>
    <w:rsid w:val="00E508DF"/>
    <w:rsid w:val="00E50B7F"/>
    <w:rsid w:val="00E51447"/>
    <w:rsid w:val="00E51F4A"/>
    <w:rsid w:val="00E520D6"/>
    <w:rsid w:val="00E525F7"/>
    <w:rsid w:val="00E52895"/>
    <w:rsid w:val="00E52ACF"/>
    <w:rsid w:val="00E53438"/>
    <w:rsid w:val="00E53451"/>
    <w:rsid w:val="00E55DB9"/>
    <w:rsid w:val="00E563D4"/>
    <w:rsid w:val="00E56D8E"/>
    <w:rsid w:val="00E5733F"/>
    <w:rsid w:val="00E573A7"/>
    <w:rsid w:val="00E608E0"/>
    <w:rsid w:val="00E60CE6"/>
    <w:rsid w:val="00E61066"/>
    <w:rsid w:val="00E61261"/>
    <w:rsid w:val="00E6191B"/>
    <w:rsid w:val="00E61929"/>
    <w:rsid w:val="00E6450C"/>
    <w:rsid w:val="00E65D47"/>
    <w:rsid w:val="00E6638F"/>
    <w:rsid w:val="00E71119"/>
    <w:rsid w:val="00E725FC"/>
    <w:rsid w:val="00E72CD6"/>
    <w:rsid w:val="00E731E4"/>
    <w:rsid w:val="00E74C62"/>
    <w:rsid w:val="00E74FD8"/>
    <w:rsid w:val="00E75DE5"/>
    <w:rsid w:val="00E806D6"/>
    <w:rsid w:val="00E8154E"/>
    <w:rsid w:val="00E822A0"/>
    <w:rsid w:val="00E82AAC"/>
    <w:rsid w:val="00E834F8"/>
    <w:rsid w:val="00E85CD9"/>
    <w:rsid w:val="00E865F2"/>
    <w:rsid w:val="00E90771"/>
    <w:rsid w:val="00E90D0F"/>
    <w:rsid w:val="00E913B7"/>
    <w:rsid w:val="00E92B23"/>
    <w:rsid w:val="00E94E24"/>
    <w:rsid w:val="00E9561F"/>
    <w:rsid w:val="00E9722D"/>
    <w:rsid w:val="00E97DAD"/>
    <w:rsid w:val="00E97F64"/>
    <w:rsid w:val="00EA0C16"/>
    <w:rsid w:val="00EA157F"/>
    <w:rsid w:val="00EA181C"/>
    <w:rsid w:val="00EA2783"/>
    <w:rsid w:val="00EA2814"/>
    <w:rsid w:val="00EA293F"/>
    <w:rsid w:val="00EA2B52"/>
    <w:rsid w:val="00EA3482"/>
    <w:rsid w:val="00EA36C6"/>
    <w:rsid w:val="00EA3FBC"/>
    <w:rsid w:val="00EA4736"/>
    <w:rsid w:val="00EA4E3B"/>
    <w:rsid w:val="00EA625C"/>
    <w:rsid w:val="00EA6829"/>
    <w:rsid w:val="00EA6E6D"/>
    <w:rsid w:val="00EA75EB"/>
    <w:rsid w:val="00EA7E6C"/>
    <w:rsid w:val="00EB0067"/>
    <w:rsid w:val="00EB0120"/>
    <w:rsid w:val="00EB1067"/>
    <w:rsid w:val="00EB15C0"/>
    <w:rsid w:val="00EB18E9"/>
    <w:rsid w:val="00EB1FBC"/>
    <w:rsid w:val="00EB256E"/>
    <w:rsid w:val="00EB4EFC"/>
    <w:rsid w:val="00EB6B98"/>
    <w:rsid w:val="00EB7CB4"/>
    <w:rsid w:val="00EC0A72"/>
    <w:rsid w:val="00EC0AD9"/>
    <w:rsid w:val="00EC1637"/>
    <w:rsid w:val="00EC2849"/>
    <w:rsid w:val="00EC30F9"/>
    <w:rsid w:val="00EC3382"/>
    <w:rsid w:val="00EC368D"/>
    <w:rsid w:val="00EC36E7"/>
    <w:rsid w:val="00EC3D5A"/>
    <w:rsid w:val="00EC42A4"/>
    <w:rsid w:val="00EC4410"/>
    <w:rsid w:val="00EC49A7"/>
    <w:rsid w:val="00EC699E"/>
    <w:rsid w:val="00EC6EF2"/>
    <w:rsid w:val="00EC7213"/>
    <w:rsid w:val="00EC77D8"/>
    <w:rsid w:val="00ED06FF"/>
    <w:rsid w:val="00ED0B8A"/>
    <w:rsid w:val="00ED1A9C"/>
    <w:rsid w:val="00ED1F25"/>
    <w:rsid w:val="00ED26BF"/>
    <w:rsid w:val="00ED4110"/>
    <w:rsid w:val="00ED430C"/>
    <w:rsid w:val="00ED4AB3"/>
    <w:rsid w:val="00ED4B3D"/>
    <w:rsid w:val="00ED4D4B"/>
    <w:rsid w:val="00ED5725"/>
    <w:rsid w:val="00ED6CC6"/>
    <w:rsid w:val="00ED6DC2"/>
    <w:rsid w:val="00ED7031"/>
    <w:rsid w:val="00EE01BE"/>
    <w:rsid w:val="00EE037F"/>
    <w:rsid w:val="00EE03D8"/>
    <w:rsid w:val="00EE0A3A"/>
    <w:rsid w:val="00EE289E"/>
    <w:rsid w:val="00EE29FF"/>
    <w:rsid w:val="00EE2B1E"/>
    <w:rsid w:val="00EE3060"/>
    <w:rsid w:val="00EE342A"/>
    <w:rsid w:val="00EE34CD"/>
    <w:rsid w:val="00EE4315"/>
    <w:rsid w:val="00EE4FB4"/>
    <w:rsid w:val="00EE5166"/>
    <w:rsid w:val="00EE5B37"/>
    <w:rsid w:val="00EE5D58"/>
    <w:rsid w:val="00EE6053"/>
    <w:rsid w:val="00EF2453"/>
    <w:rsid w:val="00EF28BA"/>
    <w:rsid w:val="00EF3D5D"/>
    <w:rsid w:val="00EF4C3D"/>
    <w:rsid w:val="00EF4DF9"/>
    <w:rsid w:val="00EF604B"/>
    <w:rsid w:val="00EF653F"/>
    <w:rsid w:val="00EF6925"/>
    <w:rsid w:val="00EF6CB9"/>
    <w:rsid w:val="00EF6CDC"/>
    <w:rsid w:val="00EF6F08"/>
    <w:rsid w:val="00EF705A"/>
    <w:rsid w:val="00EF71BE"/>
    <w:rsid w:val="00F007E6"/>
    <w:rsid w:val="00F01508"/>
    <w:rsid w:val="00F01A89"/>
    <w:rsid w:val="00F0226A"/>
    <w:rsid w:val="00F02B09"/>
    <w:rsid w:val="00F049CD"/>
    <w:rsid w:val="00F058DF"/>
    <w:rsid w:val="00F06BDF"/>
    <w:rsid w:val="00F07748"/>
    <w:rsid w:val="00F1054E"/>
    <w:rsid w:val="00F105D9"/>
    <w:rsid w:val="00F12118"/>
    <w:rsid w:val="00F122FD"/>
    <w:rsid w:val="00F1269B"/>
    <w:rsid w:val="00F13041"/>
    <w:rsid w:val="00F13AD4"/>
    <w:rsid w:val="00F16412"/>
    <w:rsid w:val="00F17BC1"/>
    <w:rsid w:val="00F17F13"/>
    <w:rsid w:val="00F208EF"/>
    <w:rsid w:val="00F212EC"/>
    <w:rsid w:val="00F2146A"/>
    <w:rsid w:val="00F23B1C"/>
    <w:rsid w:val="00F24074"/>
    <w:rsid w:val="00F24D7D"/>
    <w:rsid w:val="00F26ED3"/>
    <w:rsid w:val="00F27CC8"/>
    <w:rsid w:val="00F3025F"/>
    <w:rsid w:val="00F32250"/>
    <w:rsid w:val="00F3347E"/>
    <w:rsid w:val="00F34269"/>
    <w:rsid w:val="00F345D1"/>
    <w:rsid w:val="00F356C9"/>
    <w:rsid w:val="00F36651"/>
    <w:rsid w:val="00F40034"/>
    <w:rsid w:val="00F40536"/>
    <w:rsid w:val="00F40CFB"/>
    <w:rsid w:val="00F413AE"/>
    <w:rsid w:val="00F42731"/>
    <w:rsid w:val="00F42A1B"/>
    <w:rsid w:val="00F42CDF"/>
    <w:rsid w:val="00F43C37"/>
    <w:rsid w:val="00F45A95"/>
    <w:rsid w:val="00F4601C"/>
    <w:rsid w:val="00F46095"/>
    <w:rsid w:val="00F4660B"/>
    <w:rsid w:val="00F46A97"/>
    <w:rsid w:val="00F470CF"/>
    <w:rsid w:val="00F47609"/>
    <w:rsid w:val="00F476A2"/>
    <w:rsid w:val="00F47843"/>
    <w:rsid w:val="00F47D65"/>
    <w:rsid w:val="00F5020B"/>
    <w:rsid w:val="00F50680"/>
    <w:rsid w:val="00F5468F"/>
    <w:rsid w:val="00F549B8"/>
    <w:rsid w:val="00F54EAD"/>
    <w:rsid w:val="00F55190"/>
    <w:rsid w:val="00F57C20"/>
    <w:rsid w:val="00F601BC"/>
    <w:rsid w:val="00F61506"/>
    <w:rsid w:val="00F62B7A"/>
    <w:rsid w:val="00F62CFE"/>
    <w:rsid w:val="00F62FDE"/>
    <w:rsid w:val="00F63189"/>
    <w:rsid w:val="00F638D3"/>
    <w:rsid w:val="00F6397D"/>
    <w:rsid w:val="00F63A69"/>
    <w:rsid w:val="00F63E60"/>
    <w:rsid w:val="00F64655"/>
    <w:rsid w:val="00F65691"/>
    <w:rsid w:val="00F660FF"/>
    <w:rsid w:val="00F67428"/>
    <w:rsid w:val="00F67CD4"/>
    <w:rsid w:val="00F70D41"/>
    <w:rsid w:val="00F72045"/>
    <w:rsid w:val="00F728D8"/>
    <w:rsid w:val="00F7293E"/>
    <w:rsid w:val="00F740C9"/>
    <w:rsid w:val="00F74C7D"/>
    <w:rsid w:val="00F751F7"/>
    <w:rsid w:val="00F752C0"/>
    <w:rsid w:val="00F756A0"/>
    <w:rsid w:val="00F76650"/>
    <w:rsid w:val="00F7697B"/>
    <w:rsid w:val="00F81681"/>
    <w:rsid w:val="00F82EFB"/>
    <w:rsid w:val="00F8324F"/>
    <w:rsid w:val="00F83666"/>
    <w:rsid w:val="00F87267"/>
    <w:rsid w:val="00F900C6"/>
    <w:rsid w:val="00F904E8"/>
    <w:rsid w:val="00F90537"/>
    <w:rsid w:val="00F9187B"/>
    <w:rsid w:val="00F918F3"/>
    <w:rsid w:val="00F91A87"/>
    <w:rsid w:val="00F92385"/>
    <w:rsid w:val="00F929D7"/>
    <w:rsid w:val="00F931C7"/>
    <w:rsid w:val="00F93E3B"/>
    <w:rsid w:val="00F941C6"/>
    <w:rsid w:val="00F9568F"/>
    <w:rsid w:val="00F967CF"/>
    <w:rsid w:val="00FA0F33"/>
    <w:rsid w:val="00FA1055"/>
    <w:rsid w:val="00FA1B4F"/>
    <w:rsid w:val="00FA1E4F"/>
    <w:rsid w:val="00FA2161"/>
    <w:rsid w:val="00FA22F4"/>
    <w:rsid w:val="00FA27CB"/>
    <w:rsid w:val="00FA392C"/>
    <w:rsid w:val="00FA3C46"/>
    <w:rsid w:val="00FA4209"/>
    <w:rsid w:val="00FA4BDC"/>
    <w:rsid w:val="00FA5313"/>
    <w:rsid w:val="00FA571E"/>
    <w:rsid w:val="00FA583F"/>
    <w:rsid w:val="00FA60D4"/>
    <w:rsid w:val="00FA6889"/>
    <w:rsid w:val="00FA71A1"/>
    <w:rsid w:val="00FB0521"/>
    <w:rsid w:val="00FB0BE0"/>
    <w:rsid w:val="00FB1FE1"/>
    <w:rsid w:val="00FB27BD"/>
    <w:rsid w:val="00FB30DF"/>
    <w:rsid w:val="00FB33FE"/>
    <w:rsid w:val="00FB3D84"/>
    <w:rsid w:val="00FB462B"/>
    <w:rsid w:val="00FB6DE4"/>
    <w:rsid w:val="00FC0B84"/>
    <w:rsid w:val="00FC0B9A"/>
    <w:rsid w:val="00FC1D25"/>
    <w:rsid w:val="00FC3D16"/>
    <w:rsid w:val="00FC3F99"/>
    <w:rsid w:val="00FC46D6"/>
    <w:rsid w:val="00FC47F9"/>
    <w:rsid w:val="00FC4964"/>
    <w:rsid w:val="00FC56E4"/>
    <w:rsid w:val="00FC6697"/>
    <w:rsid w:val="00FC66B7"/>
    <w:rsid w:val="00FC7AAA"/>
    <w:rsid w:val="00FD081A"/>
    <w:rsid w:val="00FD0B2D"/>
    <w:rsid w:val="00FD21EA"/>
    <w:rsid w:val="00FD4402"/>
    <w:rsid w:val="00FD45DB"/>
    <w:rsid w:val="00FD4644"/>
    <w:rsid w:val="00FD54C9"/>
    <w:rsid w:val="00FD73A2"/>
    <w:rsid w:val="00FD78D4"/>
    <w:rsid w:val="00FE0F50"/>
    <w:rsid w:val="00FE2351"/>
    <w:rsid w:val="00FE337D"/>
    <w:rsid w:val="00FE3C52"/>
    <w:rsid w:val="00FE424F"/>
    <w:rsid w:val="00FE43F8"/>
    <w:rsid w:val="00FE4BFE"/>
    <w:rsid w:val="00FE5580"/>
    <w:rsid w:val="00FE7BCE"/>
    <w:rsid w:val="00FF0AB1"/>
    <w:rsid w:val="00FF110C"/>
    <w:rsid w:val="00FF1F1B"/>
    <w:rsid w:val="00FF2137"/>
    <w:rsid w:val="00FF22AA"/>
    <w:rsid w:val="00FF2B2D"/>
    <w:rsid w:val="00FF5117"/>
    <w:rsid w:val="00FF570D"/>
    <w:rsid w:val="00FF6082"/>
    <w:rsid w:val="00FF667F"/>
    <w:rsid w:val="01148918"/>
    <w:rsid w:val="011A930B"/>
    <w:rsid w:val="013AB07C"/>
    <w:rsid w:val="01825014"/>
    <w:rsid w:val="0192D6CA"/>
    <w:rsid w:val="019FFE58"/>
    <w:rsid w:val="01E79FB7"/>
    <w:rsid w:val="0255D7E5"/>
    <w:rsid w:val="02760B50"/>
    <w:rsid w:val="0280B86D"/>
    <w:rsid w:val="0282C6EB"/>
    <w:rsid w:val="02AA8D37"/>
    <w:rsid w:val="02E7B196"/>
    <w:rsid w:val="02F14585"/>
    <w:rsid w:val="02F1C627"/>
    <w:rsid w:val="02F7E456"/>
    <w:rsid w:val="0302ACEE"/>
    <w:rsid w:val="033AD3DA"/>
    <w:rsid w:val="0345B645"/>
    <w:rsid w:val="034F5544"/>
    <w:rsid w:val="0384A46C"/>
    <w:rsid w:val="03AC5F78"/>
    <w:rsid w:val="03B3B9EE"/>
    <w:rsid w:val="03C265B1"/>
    <w:rsid w:val="0430C6C7"/>
    <w:rsid w:val="048FBB54"/>
    <w:rsid w:val="04A35521"/>
    <w:rsid w:val="04A8D0F6"/>
    <w:rsid w:val="04B583B9"/>
    <w:rsid w:val="04BA9680"/>
    <w:rsid w:val="04C41EFC"/>
    <w:rsid w:val="04D2053A"/>
    <w:rsid w:val="04DE3586"/>
    <w:rsid w:val="050F7228"/>
    <w:rsid w:val="0514759B"/>
    <w:rsid w:val="0537BCA2"/>
    <w:rsid w:val="05483BF7"/>
    <w:rsid w:val="055B8BFB"/>
    <w:rsid w:val="05821929"/>
    <w:rsid w:val="0584680B"/>
    <w:rsid w:val="058818AE"/>
    <w:rsid w:val="05AE573A"/>
    <w:rsid w:val="05F8CDC0"/>
    <w:rsid w:val="06164017"/>
    <w:rsid w:val="062B0C49"/>
    <w:rsid w:val="0644B6E8"/>
    <w:rsid w:val="065FC675"/>
    <w:rsid w:val="0672D526"/>
    <w:rsid w:val="06CC6E3C"/>
    <w:rsid w:val="06D4EE2E"/>
    <w:rsid w:val="072E6C4E"/>
    <w:rsid w:val="074D0087"/>
    <w:rsid w:val="0768FE18"/>
    <w:rsid w:val="079CF2C5"/>
    <w:rsid w:val="07D363E1"/>
    <w:rsid w:val="080C2CFB"/>
    <w:rsid w:val="08158FC1"/>
    <w:rsid w:val="0828216A"/>
    <w:rsid w:val="0880D6E1"/>
    <w:rsid w:val="088E127B"/>
    <w:rsid w:val="08DB367B"/>
    <w:rsid w:val="092C9429"/>
    <w:rsid w:val="09416255"/>
    <w:rsid w:val="0966D60F"/>
    <w:rsid w:val="0A586D30"/>
    <w:rsid w:val="0A5FA908"/>
    <w:rsid w:val="0A89AC60"/>
    <w:rsid w:val="0A8BC02B"/>
    <w:rsid w:val="0AD23EB2"/>
    <w:rsid w:val="0B412DAA"/>
    <w:rsid w:val="0C1D62D3"/>
    <w:rsid w:val="0C24CFDF"/>
    <w:rsid w:val="0C3C1E0B"/>
    <w:rsid w:val="0C5527CB"/>
    <w:rsid w:val="0C554FD5"/>
    <w:rsid w:val="0C6AEB80"/>
    <w:rsid w:val="0CE52F26"/>
    <w:rsid w:val="0CF8A92D"/>
    <w:rsid w:val="0E33FC6E"/>
    <w:rsid w:val="0E50D7A6"/>
    <w:rsid w:val="0E594E6B"/>
    <w:rsid w:val="0E706BD6"/>
    <w:rsid w:val="0E7629F3"/>
    <w:rsid w:val="0E8C782A"/>
    <w:rsid w:val="0F7C71C9"/>
    <w:rsid w:val="0FA9155F"/>
    <w:rsid w:val="0FB1ED78"/>
    <w:rsid w:val="0FBA6951"/>
    <w:rsid w:val="0FD7CFC6"/>
    <w:rsid w:val="10272F63"/>
    <w:rsid w:val="103CAF03"/>
    <w:rsid w:val="10B938D6"/>
    <w:rsid w:val="10CC1C74"/>
    <w:rsid w:val="10FFA02D"/>
    <w:rsid w:val="110449A5"/>
    <w:rsid w:val="110758C7"/>
    <w:rsid w:val="110BB6A1"/>
    <w:rsid w:val="111A53CE"/>
    <w:rsid w:val="11511A4E"/>
    <w:rsid w:val="11AD6762"/>
    <w:rsid w:val="11E18D0E"/>
    <w:rsid w:val="11ECE4E2"/>
    <w:rsid w:val="12075B64"/>
    <w:rsid w:val="120DA0D5"/>
    <w:rsid w:val="120E1173"/>
    <w:rsid w:val="122E7648"/>
    <w:rsid w:val="1284F686"/>
    <w:rsid w:val="12908C4A"/>
    <w:rsid w:val="12B49E9E"/>
    <w:rsid w:val="12BA2C3E"/>
    <w:rsid w:val="12C48DB9"/>
    <w:rsid w:val="12FD9D36"/>
    <w:rsid w:val="130BC3CF"/>
    <w:rsid w:val="1311E560"/>
    <w:rsid w:val="131ED013"/>
    <w:rsid w:val="13C8CE78"/>
    <w:rsid w:val="13C93C73"/>
    <w:rsid w:val="14085E33"/>
    <w:rsid w:val="14259F36"/>
    <w:rsid w:val="14452D8D"/>
    <w:rsid w:val="14802EA2"/>
    <w:rsid w:val="148C428C"/>
    <w:rsid w:val="14B43045"/>
    <w:rsid w:val="14D3364C"/>
    <w:rsid w:val="15114F77"/>
    <w:rsid w:val="15283AF8"/>
    <w:rsid w:val="154182C5"/>
    <w:rsid w:val="15446C1D"/>
    <w:rsid w:val="157C54CD"/>
    <w:rsid w:val="15C61427"/>
    <w:rsid w:val="15D687E3"/>
    <w:rsid w:val="1649D8C2"/>
    <w:rsid w:val="1668EB5D"/>
    <w:rsid w:val="16698E2B"/>
    <w:rsid w:val="16D36003"/>
    <w:rsid w:val="16DAE7BC"/>
    <w:rsid w:val="16F764F8"/>
    <w:rsid w:val="1706AE07"/>
    <w:rsid w:val="1718BC76"/>
    <w:rsid w:val="171AEEF2"/>
    <w:rsid w:val="173E8A83"/>
    <w:rsid w:val="17450323"/>
    <w:rsid w:val="174C1273"/>
    <w:rsid w:val="1767FD0A"/>
    <w:rsid w:val="1792956C"/>
    <w:rsid w:val="1796BBF4"/>
    <w:rsid w:val="17D9D4D3"/>
    <w:rsid w:val="17DD61C6"/>
    <w:rsid w:val="17E5CA9A"/>
    <w:rsid w:val="17FE0BB0"/>
    <w:rsid w:val="1821FE43"/>
    <w:rsid w:val="18417AD7"/>
    <w:rsid w:val="18465E86"/>
    <w:rsid w:val="186A562B"/>
    <w:rsid w:val="188C3AF3"/>
    <w:rsid w:val="188D095B"/>
    <w:rsid w:val="18A1A98B"/>
    <w:rsid w:val="1945E852"/>
    <w:rsid w:val="1975ABD1"/>
    <w:rsid w:val="19C7FE58"/>
    <w:rsid w:val="19E4FD9E"/>
    <w:rsid w:val="1A28363A"/>
    <w:rsid w:val="1A38DAD5"/>
    <w:rsid w:val="1A6D7049"/>
    <w:rsid w:val="1A8BA5C5"/>
    <w:rsid w:val="1AAFDC99"/>
    <w:rsid w:val="1AD78E29"/>
    <w:rsid w:val="1AE5E638"/>
    <w:rsid w:val="1AED749B"/>
    <w:rsid w:val="1AFFE59F"/>
    <w:rsid w:val="1B71B88A"/>
    <w:rsid w:val="1B78C02C"/>
    <w:rsid w:val="1B9171E5"/>
    <w:rsid w:val="1BE03C53"/>
    <w:rsid w:val="1BF3529D"/>
    <w:rsid w:val="1BF68D65"/>
    <w:rsid w:val="1C13BF47"/>
    <w:rsid w:val="1C52C96D"/>
    <w:rsid w:val="1C5840CC"/>
    <w:rsid w:val="1CAD44E9"/>
    <w:rsid w:val="1CCD9A3D"/>
    <w:rsid w:val="1D35E92F"/>
    <w:rsid w:val="1D6674EF"/>
    <w:rsid w:val="1DE92126"/>
    <w:rsid w:val="1E0CEF66"/>
    <w:rsid w:val="1E59AEC2"/>
    <w:rsid w:val="1E5D1081"/>
    <w:rsid w:val="1E646639"/>
    <w:rsid w:val="1EA119D0"/>
    <w:rsid w:val="1EAD35BA"/>
    <w:rsid w:val="1EC98471"/>
    <w:rsid w:val="1F413FC7"/>
    <w:rsid w:val="1F454C00"/>
    <w:rsid w:val="1F553DE3"/>
    <w:rsid w:val="1F5889FF"/>
    <w:rsid w:val="1F983A5D"/>
    <w:rsid w:val="1F9F5453"/>
    <w:rsid w:val="1FAEE4CA"/>
    <w:rsid w:val="1FB40245"/>
    <w:rsid w:val="1FD20D59"/>
    <w:rsid w:val="1FD505BE"/>
    <w:rsid w:val="1FF2118A"/>
    <w:rsid w:val="200D6A41"/>
    <w:rsid w:val="201C4C27"/>
    <w:rsid w:val="20304CD4"/>
    <w:rsid w:val="206977E8"/>
    <w:rsid w:val="20AF544F"/>
    <w:rsid w:val="20EE265C"/>
    <w:rsid w:val="20F5E48A"/>
    <w:rsid w:val="20FA2521"/>
    <w:rsid w:val="210C3188"/>
    <w:rsid w:val="2168CDC6"/>
    <w:rsid w:val="21856CB0"/>
    <w:rsid w:val="21C06B7E"/>
    <w:rsid w:val="21F00121"/>
    <w:rsid w:val="22141DDF"/>
    <w:rsid w:val="225A1FDA"/>
    <w:rsid w:val="22700F3B"/>
    <w:rsid w:val="227400EA"/>
    <w:rsid w:val="22CBBB0E"/>
    <w:rsid w:val="22DDCE1E"/>
    <w:rsid w:val="2305A814"/>
    <w:rsid w:val="23815581"/>
    <w:rsid w:val="23D06DF6"/>
    <w:rsid w:val="23FF1941"/>
    <w:rsid w:val="24051E04"/>
    <w:rsid w:val="240A78E8"/>
    <w:rsid w:val="2413804B"/>
    <w:rsid w:val="244A74BB"/>
    <w:rsid w:val="244ACC66"/>
    <w:rsid w:val="24540CC7"/>
    <w:rsid w:val="245E51B9"/>
    <w:rsid w:val="2471FEDD"/>
    <w:rsid w:val="24811879"/>
    <w:rsid w:val="24A458AE"/>
    <w:rsid w:val="24B870AD"/>
    <w:rsid w:val="251F183C"/>
    <w:rsid w:val="2541A1C0"/>
    <w:rsid w:val="25A6CE24"/>
    <w:rsid w:val="25B4ADD2"/>
    <w:rsid w:val="25CB117B"/>
    <w:rsid w:val="25CDC02C"/>
    <w:rsid w:val="25DEF359"/>
    <w:rsid w:val="25FF821E"/>
    <w:rsid w:val="268211ED"/>
    <w:rsid w:val="2694BFF7"/>
    <w:rsid w:val="269C5628"/>
    <w:rsid w:val="271195BD"/>
    <w:rsid w:val="274F586B"/>
    <w:rsid w:val="278E0E50"/>
    <w:rsid w:val="27A0A470"/>
    <w:rsid w:val="27EAAD67"/>
    <w:rsid w:val="27F2B772"/>
    <w:rsid w:val="28099B61"/>
    <w:rsid w:val="280C3D0A"/>
    <w:rsid w:val="28300D09"/>
    <w:rsid w:val="286A2DD2"/>
    <w:rsid w:val="28707BC2"/>
    <w:rsid w:val="289163E8"/>
    <w:rsid w:val="2896F604"/>
    <w:rsid w:val="28A008DE"/>
    <w:rsid w:val="28D7EE18"/>
    <w:rsid w:val="28F34342"/>
    <w:rsid w:val="28F713A5"/>
    <w:rsid w:val="28F78C7E"/>
    <w:rsid w:val="2911BE54"/>
    <w:rsid w:val="29364730"/>
    <w:rsid w:val="297E0582"/>
    <w:rsid w:val="298CCAD4"/>
    <w:rsid w:val="29BFCCD5"/>
    <w:rsid w:val="29EB2F6A"/>
    <w:rsid w:val="29F8CFE8"/>
    <w:rsid w:val="29FD5025"/>
    <w:rsid w:val="2A475E83"/>
    <w:rsid w:val="2A64AE9E"/>
    <w:rsid w:val="2A7DE782"/>
    <w:rsid w:val="2A81E8CC"/>
    <w:rsid w:val="2AE0EABB"/>
    <w:rsid w:val="2AE9CC18"/>
    <w:rsid w:val="2B82B22C"/>
    <w:rsid w:val="2C11C476"/>
    <w:rsid w:val="2C4A7D59"/>
    <w:rsid w:val="2C792CE2"/>
    <w:rsid w:val="2C967D56"/>
    <w:rsid w:val="2CA7C453"/>
    <w:rsid w:val="2CEAEA99"/>
    <w:rsid w:val="2CF4700D"/>
    <w:rsid w:val="2D0814B7"/>
    <w:rsid w:val="2D4321C2"/>
    <w:rsid w:val="2DBA1AF6"/>
    <w:rsid w:val="2DCDD2FA"/>
    <w:rsid w:val="2DD42DF2"/>
    <w:rsid w:val="2E473062"/>
    <w:rsid w:val="2EE0957F"/>
    <w:rsid w:val="2EE94CF5"/>
    <w:rsid w:val="2F57872D"/>
    <w:rsid w:val="2FE3246D"/>
    <w:rsid w:val="303565C3"/>
    <w:rsid w:val="3093E42C"/>
    <w:rsid w:val="30979735"/>
    <w:rsid w:val="309D50EE"/>
    <w:rsid w:val="30AF239A"/>
    <w:rsid w:val="30B4C8E2"/>
    <w:rsid w:val="30C1BDAF"/>
    <w:rsid w:val="30E31E2A"/>
    <w:rsid w:val="30F80A60"/>
    <w:rsid w:val="3108165D"/>
    <w:rsid w:val="317C3BF0"/>
    <w:rsid w:val="31E4F10A"/>
    <w:rsid w:val="31ECE542"/>
    <w:rsid w:val="31EF6889"/>
    <w:rsid w:val="320D498E"/>
    <w:rsid w:val="32383323"/>
    <w:rsid w:val="324041A4"/>
    <w:rsid w:val="325006A4"/>
    <w:rsid w:val="32502D0F"/>
    <w:rsid w:val="326597FF"/>
    <w:rsid w:val="328D8C12"/>
    <w:rsid w:val="329EAAD5"/>
    <w:rsid w:val="332B1BDD"/>
    <w:rsid w:val="334771A5"/>
    <w:rsid w:val="3360D89A"/>
    <w:rsid w:val="337309DA"/>
    <w:rsid w:val="3405565D"/>
    <w:rsid w:val="34337025"/>
    <w:rsid w:val="3440DDC9"/>
    <w:rsid w:val="34791907"/>
    <w:rsid w:val="3489651F"/>
    <w:rsid w:val="34A898E2"/>
    <w:rsid w:val="34C0698B"/>
    <w:rsid w:val="34C7B151"/>
    <w:rsid w:val="34D26492"/>
    <w:rsid w:val="34D82D16"/>
    <w:rsid w:val="34F113CB"/>
    <w:rsid w:val="35052FE4"/>
    <w:rsid w:val="35204042"/>
    <w:rsid w:val="3535C081"/>
    <w:rsid w:val="353C2BD8"/>
    <w:rsid w:val="35854D03"/>
    <w:rsid w:val="35A35ABA"/>
    <w:rsid w:val="35E7B426"/>
    <w:rsid w:val="3618B536"/>
    <w:rsid w:val="3652D123"/>
    <w:rsid w:val="365CBE7C"/>
    <w:rsid w:val="3662EDDB"/>
    <w:rsid w:val="366E46B8"/>
    <w:rsid w:val="368AFB38"/>
    <w:rsid w:val="36B55A71"/>
    <w:rsid w:val="36D650FB"/>
    <w:rsid w:val="3716C4B2"/>
    <w:rsid w:val="3735039C"/>
    <w:rsid w:val="3736210B"/>
    <w:rsid w:val="37843FC4"/>
    <w:rsid w:val="37B31731"/>
    <w:rsid w:val="37B56127"/>
    <w:rsid w:val="37FE79AF"/>
    <w:rsid w:val="38399604"/>
    <w:rsid w:val="383A0CAC"/>
    <w:rsid w:val="387C6D1A"/>
    <w:rsid w:val="3880C5B6"/>
    <w:rsid w:val="38899681"/>
    <w:rsid w:val="38A5596E"/>
    <w:rsid w:val="38B96FC8"/>
    <w:rsid w:val="38C60276"/>
    <w:rsid w:val="38D4DA5A"/>
    <w:rsid w:val="38E551F4"/>
    <w:rsid w:val="390F6E62"/>
    <w:rsid w:val="3910CD29"/>
    <w:rsid w:val="39183619"/>
    <w:rsid w:val="3919E3E5"/>
    <w:rsid w:val="3942BC51"/>
    <w:rsid w:val="3948B3FB"/>
    <w:rsid w:val="395E1098"/>
    <w:rsid w:val="3974A544"/>
    <w:rsid w:val="39783270"/>
    <w:rsid w:val="398D26B3"/>
    <w:rsid w:val="39EA6B54"/>
    <w:rsid w:val="3A334E44"/>
    <w:rsid w:val="3A602852"/>
    <w:rsid w:val="3A7AAD83"/>
    <w:rsid w:val="3AC4AEEB"/>
    <w:rsid w:val="3AD30F22"/>
    <w:rsid w:val="3ADFE5C4"/>
    <w:rsid w:val="3AE8C669"/>
    <w:rsid w:val="3AEF5684"/>
    <w:rsid w:val="3B880194"/>
    <w:rsid w:val="3B9DCAEA"/>
    <w:rsid w:val="3BBECA6D"/>
    <w:rsid w:val="3BEB9A4F"/>
    <w:rsid w:val="3C885ADB"/>
    <w:rsid w:val="3C8A17C8"/>
    <w:rsid w:val="3CB87C32"/>
    <w:rsid w:val="3D0F9635"/>
    <w:rsid w:val="3D1F63F2"/>
    <w:rsid w:val="3D2AD249"/>
    <w:rsid w:val="3D739D62"/>
    <w:rsid w:val="3D79F1CE"/>
    <w:rsid w:val="3D885F05"/>
    <w:rsid w:val="3D939EED"/>
    <w:rsid w:val="3DCE2BED"/>
    <w:rsid w:val="3DDC510E"/>
    <w:rsid w:val="3E35900E"/>
    <w:rsid w:val="3E40D82F"/>
    <w:rsid w:val="3E501362"/>
    <w:rsid w:val="3E736723"/>
    <w:rsid w:val="3E77A1B4"/>
    <w:rsid w:val="3E874EC4"/>
    <w:rsid w:val="3E8E0AEA"/>
    <w:rsid w:val="3E943DCE"/>
    <w:rsid w:val="3ECCA771"/>
    <w:rsid w:val="3EDCD2B4"/>
    <w:rsid w:val="3EE6C478"/>
    <w:rsid w:val="3F3170DB"/>
    <w:rsid w:val="3F90EFDF"/>
    <w:rsid w:val="3FAB6EAC"/>
    <w:rsid w:val="4010A3B9"/>
    <w:rsid w:val="401E6E41"/>
    <w:rsid w:val="40248295"/>
    <w:rsid w:val="40763B49"/>
    <w:rsid w:val="408B1063"/>
    <w:rsid w:val="4095F6D6"/>
    <w:rsid w:val="40BE5A38"/>
    <w:rsid w:val="40D3EEF1"/>
    <w:rsid w:val="41058BBC"/>
    <w:rsid w:val="4136773E"/>
    <w:rsid w:val="41B2CD39"/>
    <w:rsid w:val="41D8FB43"/>
    <w:rsid w:val="41FE60AC"/>
    <w:rsid w:val="42248754"/>
    <w:rsid w:val="42ED286E"/>
    <w:rsid w:val="433F68C7"/>
    <w:rsid w:val="433FD184"/>
    <w:rsid w:val="437B407C"/>
    <w:rsid w:val="4388C7AE"/>
    <w:rsid w:val="438D4BFE"/>
    <w:rsid w:val="43B311F1"/>
    <w:rsid w:val="440F7D2C"/>
    <w:rsid w:val="44247A60"/>
    <w:rsid w:val="44297D2A"/>
    <w:rsid w:val="4458FC99"/>
    <w:rsid w:val="4466C1AA"/>
    <w:rsid w:val="446E4936"/>
    <w:rsid w:val="449E4041"/>
    <w:rsid w:val="44EE392D"/>
    <w:rsid w:val="4548014E"/>
    <w:rsid w:val="4553973A"/>
    <w:rsid w:val="45574313"/>
    <w:rsid w:val="455D2573"/>
    <w:rsid w:val="45660E6F"/>
    <w:rsid w:val="45A7E8E2"/>
    <w:rsid w:val="45AA802E"/>
    <w:rsid w:val="45AFF24F"/>
    <w:rsid w:val="45CD959C"/>
    <w:rsid w:val="463C2E39"/>
    <w:rsid w:val="4648862C"/>
    <w:rsid w:val="4653D34F"/>
    <w:rsid w:val="46632C37"/>
    <w:rsid w:val="467AEB4C"/>
    <w:rsid w:val="46840577"/>
    <w:rsid w:val="470CE0F8"/>
    <w:rsid w:val="471F00DA"/>
    <w:rsid w:val="471FB92E"/>
    <w:rsid w:val="474EE7EB"/>
    <w:rsid w:val="4757FC70"/>
    <w:rsid w:val="4758A546"/>
    <w:rsid w:val="4762602E"/>
    <w:rsid w:val="47895592"/>
    <w:rsid w:val="47A3089A"/>
    <w:rsid w:val="47AA9F02"/>
    <w:rsid w:val="47BF1335"/>
    <w:rsid w:val="47C600D7"/>
    <w:rsid w:val="48628674"/>
    <w:rsid w:val="4865A352"/>
    <w:rsid w:val="4899CFB0"/>
    <w:rsid w:val="48B9C5F1"/>
    <w:rsid w:val="48C3CDCA"/>
    <w:rsid w:val="48CEC5FD"/>
    <w:rsid w:val="494D33E6"/>
    <w:rsid w:val="494E29FC"/>
    <w:rsid w:val="497621C0"/>
    <w:rsid w:val="49917FD9"/>
    <w:rsid w:val="4A2D1BA0"/>
    <w:rsid w:val="4A90A563"/>
    <w:rsid w:val="4AD28B90"/>
    <w:rsid w:val="4AF31D30"/>
    <w:rsid w:val="4B08A555"/>
    <w:rsid w:val="4B3615F5"/>
    <w:rsid w:val="4B4A0C59"/>
    <w:rsid w:val="4B8797D0"/>
    <w:rsid w:val="4B8B3E1F"/>
    <w:rsid w:val="4BA35425"/>
    <w:rsid w:val="4BA55F3A"/>
    <w:rsid w:val="4BAEC127"/>
    <w:rsid w:val="4BC9EDE3"/>
    <w:rsid w:val="4BD164AD"/>
    <w:rsid w:val="4C26DE42"/>
    <w:rsid w:val="4C4799C1"/>
    <w:rsid w:val="4C6BB44E"/>
    <w:rsid w:val="4CA9E76E"/>
    <w:rsid w:val="4CC9197C"/>
    <w:rsid w:val="4D0E8DF2"/>
    <w:rsid w:val="4D19E0B9"/>
    <w:rsid w:val="4D271BEA"/>
    <w:rsid w:val="4D58CD16"/>
    <w:rsid w:val="4D723A33"/>
    <w:rsid w:val="4D78E600"/>
    <w:rsid w:val="4D92858B"/>
    <w:rsid w:val="4DAD70FB"/>
    <w:rsid w:val="4DAE2E65"/>
    <w:rsid w:val="4DCB61B5"/>
    <w:rsid w:val="4E5D769A"/>
    <w:rsid w:val="4E6CEF2E"/>
    <w:rsid w:val="4E714C71"/>
    <w:rsid w:val="4E74394D"/>
    <w:rsid w:val="4E99944C"/>
    <w:rsid w:val="4EE46BAA"/>
    <w:rsid w:val="4EEFAE16"/>
    <w:rsid w:val="4EFAAB50"/>
    <w:rsid w:val="4F123C59"/>
    <w:rsid w:val="4F56857F"/>
    <w:rsid w:val="4F5BE76A"/>
    <w:rsid w:val="4F757817"/>
    <w:rsid w:val="4F769039"/>
    <w:rsid w:val="4F8C1570"/>
    <w:rsid w:val="4FE9688C"/>
    <w:rsid w:val="5041AA49"/>
    <w:rsid w:val="5056E32C"/>
    <w:rsid w:val="5057FDEB"/>
    <w:rsid w:val="50EC72CF"/>
    <w:rsid w:val="51247B62"/>
    <w:rsid w:val="513F4FC2"/>
    <w:rsid w:val="5173DD74"/>
    <w:rsid w:val="51773FEE"/>
    <w:rsid w:val="51C96D5A"/>
    <w:rsid w:val="51F78B80"/>
    <w:rsid w:val="5267AF91"/>
    <w:rsid w:val="529EAEBD"/>
    <w:rsid w:val="52B39F82"/>
    <w:rsid w:val="53118639"/>
    <w:rsid w:val="532F7E16"/>
    <w:rsid w:val="5332055C"/>
    <w:rsid w:val="53321095"/>
    <w:rsid w:val="536BA112"/>
    <w:rsid w:val="53A0F356"/>
    <w:rsid w:val="53CDDBD0"/>
    <w:rsid w:val="53DAA194"/>
    <w:rsid w:val="53EA5FD7"/>
    <w:rsid w:val="542E9BD1"/>
    <w:rsid w:val="5447F31F"/>
    <w:rsid w:val="5448ADF3"/>
    <w:rsid w:val="5482343A"/>
    <w:rsid w:val="54CBBA28"/>
    <w:rsid w:val="54FC13E0"/>
    <w:rsid w:val="550C7A89"/>
    <w:rsid w:val="5512100F"/>
    <w:rsid w:val="5559F189"/>
    <w:rsid w:val="555C5349"/>
    <w:rsid w:val="556ADE72"/>
    <w:rsid w:val="556CA25B"/>
    <w:rsid w:val="558A5AD7"/>
    <w:rsid w:val="55EE769F"/>
    <w:rsid w:val="55F528D8"/>
    <w:rsid w:val="55F74F01"/>
    <w:rsid w:val="560911E1"/>
    <w:rsid w:val="5611E01B"/>
    <w:rsid w:val="567647CA"/>
    <w:rsid w:val="5681DFD8"/>
    <w:rsid w:val="56856E6D"/>
    <w:rsid w:val="56A49709"/>
    <w:rsid w:val="56C212C0"/>
    <w:rsid w:val="56CF6702"/>
    <w:rsid w:val="56F2FFE7"/>
    <w:rsid w:val="570AF7DD"/>
    <w:rsid w:val="57444149"/>
    <w:rsid w:val="576CB72D"/>
    <w:rsid w:val="57B6342B"/>
    <w:rsid w:val="57D56E02"/>
    <w:rsid w:val="58108318"/>
    <w:rsid w:val="5825122C"/>
    <w:rsid w:val="5852D121"/>
    <w:rsid w:val="586F50A2"/>
    <w:rsid w:val="58732E78"/>
    <w:rsid w:val="58AA8745"/>
    <w:rsid w:val="5941D151"/>
    <w:rsid w:val="5981429E"/>
    <w:rsid w:val="59844601"/>
    <w:rsid w:val="5A281CC8"/>
    <w:rsid w:val="5A347AA0"/>
    <w:rsid w:val="5A3810EB"/>
    <w:rsid w:val="5A4BBAFF"/>
    <w:rsid w:val="5A87E9C3"/>
    <w:rsid w:val="5A93BF3A"/>
    <w:rsid w:val="5AB6591F"/>
    <w:rsid w:val="5B2A586D"/>
    <w:rsid w:val="5B491CB9"/>
    <w:rsid w:val="5B9B2443"/>
    <w:rsid w:val="5BAD7C0E"/>
    <w:rsid w:val="5C633780"/>
    <w:rsid w:val="5CA9B494"/>
    <w:rsid w:val="5CB54161"/>
    <w:rsid w:val="5CCD40D1"/>
    <w:rsid w:val="5D19A3FB"/>
    <w:rsid w:val="5D20AC7D"/>
    <w:rsid w:val="5D321EF7"/>
    <w:rsid w:val="5D49CCDB"/>
    <w:rsid w:val="5D6E6CD5"/>
    <w:rsid w:val="5DB57575"/>
    <w:rsid w:val="5DC1FC74"/>
    <w:rsid w:val="5DCA6355"/>
    <w:rsid w:val="5DD56716"/>
    <w:rsid w:val="5DDDCD87"/>
    <w:rsid w:val="5DF38971"/>
    <w:rsid w:val="5E0E1E5C"/>
    <w:rsid w:val="5E266CB8"/>
    <w:rsid w:val="5E733EEC"/>
    <w:rsid w:val="5E7DE227"/>
    <w:rsid w:val="5EAF3982"/>
    <w:rsid w:val="5ED19314"/>
    <w:rsid w:val="5ED427AA"/>
    <w:rsid w:val="5EEAB7ED"/>
    <w:rsid w:val="5F415951"/>
    <w:rsid w:val="5F49E527"/>
    <w:rsid w:val="5FAB656D"/>
    <w:rsid w:val="5FB61AB8"/>
    <w:rsid w:val="5FF0D6EA"/>
    <w:rsid w:val="601AA2E0"/>
    <w:rsid w:val="6030E7B0"/>
    <w:rsid w:val="603C6F60"/>
    <w:rsid w:val="6049DB8A"/>
    <w:rsid w:val="6055016B"/>
    <w:rsid w:val="6059D574"/>
    <w:rsid w:val="60BBB0D8"/>
    <w:rsid w:val="60C4B8C9"/>
    <w:rsid w:val="60E0A4E2"/>
    <w:rsid w:val="60E3C718"/>
    <w:rsid w:val="61003394"/>
    <w:rsid w:val="61A96E83"/>
    <w:rsid w:val="61B6523E"/>
    <w:rsid w:val="61BFA339"/>
    <w:rsid w:val="61CC3C67"/>
    <w:rsid w:val="61FAAF87"/>
    <w:rsid w:val="620A43E3"/>
    <w:rsid w:val="623C53A3"/>
    <w:rsid w:val="62432EF8"/>
    <w:rsid w:val="62AE09C4"/>
    <w:rsid w:val="62B0E44B"/>
    <w:rsid w:val="62B7A6FF"/>
    <w:rsid w:val="62DC62FF"/>
    <w:rsid w:val="63063D1C"/>
    <w:rsid w:val="63156DCF"/>
    <w:rsid w:val="6316EBC9"/>
    <w:rsid w:val="6352EEE5"/>
    <w:rsid w:val="635DF90E"/>
    <w:rsid w:val="63716DB2"/>
    <w:rsid w:val="638EDFBE"/>
    <w:rsid w:val="63900918"/>
    <w:rsid w:val="63A70A68"/>
    <w:rsid w:val="63B5ADA1"/>
    <w:rsid w:val="63C15545"/>
    <w:rsid w:val="63F13CFA"/>
    <w:rsid w:val="64254968"/>
    <w:rsid w:val="643D04A8"/>
    <w:rsid w:val="64446DE5"/>
    <w:rsid w:val="6469C7AD"/>
    <w:rsid w:val="64BA5643"/>
    <w:rsid w:val="64FADFE6"/>
    <w:rsid w:val="65237E8A"/>
    <w:rsid w:val="6525AEBB"/>
    <w:rsid w:val="65364416"/>
    <w:rsid w:val="65387D04"/>
    <w:rsid w:val="655AE3BC"/>
    <w:rsid w:val="65B66847"/>
    <w:rsid w:val="65D8DE51"/>
    <w:rsid w:val="65E74345"/>
    <w:rsid w:val="65F0F641"/>
    <w:rsid w:val="6666B368"/>
    <w:rsid w:val="669151C0"/>
    <w:rsid w:val="6696FA92"/>
    <w:rsid w:val="66A3F51A"/>
    <w:rsid w:val="66AB27F6"/>
    <w:rsid w:val="66B191DA"/>
    <w:rsid w:val="66B7403C"/>
    <w:rsid w:val="66CEF4E4"/>
    <w:rsid w:val="6728B746"/>
    <w:rsid w:val="675836B0"/>
    <w:rsid w:val="676BC5B1"/>
    <w:rsid w:val="676FB421"/>
    <w:rsid w:val="677F36C6"/>
    <w:rsid w:val="678391CE"/>
    <w:rsid w:val="67860053"/>
    <w:rsid w:val="678D4F4C"/>
    <w:rsid w:val="67C9C009"/>
    <w:rsid w:val="67F48522"/>
    <w:rsid w:val="6849F96D"/>
    <w:rsid w:val="68B275F2"/>
    <w:rsid w:val="68C02B07"/>
    <w:rsid w:val="68CDFB18"/>
    <w:rsid w:val="69288CA1"/>
    <w:rsid w:val="693151D0"/>
    <w:rsid w:val="69377F2B"/>
    <w:rsid w:val="69BF78EB"/>
    <w:rsid w:val="69E590E8"/>
    <w:rsid w:val="69F65E84"/>
    <w:rsid w:val="6AD67BBC"/>
    <w:rsid w:val="6AE87159"/>
    <w:rsid w:val="6B044D4B"/>
    <w:rsid w:val="6B3425DA"/>
    <w:rsid w:val="6B3B2C16"/>
    <w:rsid w:val="6B453918"/>
    <w:rsid w:val="6B5D8D2E"/>
    <w:rsid w:val="6B6EBC73"/>
    <w:rsid w:val="6BD27FF7"/>
    <w:rsid w:val="6BF3DA87"/>
    <w:rsid w:val="6C47DB72"/>
    <w:rsid w:val="6C7770DA"/>
    <w:rsid w:val="6CB64E2D"/>
    <w:rsid w:val="6D0EA5FC"/>
    <w:rsid w:val="6D19FD75"/>
    <w:rsid w:val="6D607AA4"/>
    <w:rsid w:val="6D6EF892"/>
    <w:rsid w:val="6D75DEDB"/>
    <w:rsid w:val="6D9C16FE"/>
    <w:rsid w:val="6DE7AE8F"/>
    <w:rsid w:val="6DFB07A1"/>
    <w:rsid w:val="6E09BC34"/>
    <w:rsid w:val="6E1C6CBE"/>
    <w:rsid w:val="6E2C8383"/>
    <w:rsid w:val="6E657935"/>
    <w:rsid w:val="6E68359F"/>
    <w:rsid w:val="6E7DDED4"/>
    <w:rsid w:val="6E8F8CA9"/>
    <w:rsid w:val="6EB30EBB"/>
    <w:rsid w:val="6EBABF55"/>
    <w:rsid w:val="6ED88925"/>
    <w:rsid w:val="6F550606"/>
    <w:rsid w:val="6F67431C"/>
    <w:rsid w:val="6F821644"/>
    <w:rsid w:val="6FA5BE15"/>
    <w:rsid w:val="6FAA09B6"/>
    <w:rsid w:val="6FE85E47"/>
    <w:rsid w:val="6FF2AC2F"/>
    <w:rsid w:val="7006E849"/>
    <w:rsid w:val="70261F4C"/>
    <w:rsid w:val="705B57EA"/>
    <w:rsid w:val="7095CF78"/>
    <w:rsid w:val="709A7404"/>
    <w:rsid w:val="70BA150F"/>
    <w:rsid w:val="70CA31D9"/>
    <w:rsid w:val="70EE1BA7"/>
    <w:rsid w:val="717D0C8E"/>
    <w:rsid w:val="7219FDF2"/>
    <w:rsid w:val="72244BF8"/>
    <w:rsid w:val="723A6E20"/>
    <w:rsid w:val="7247A8FA"/>
    <w:rsid w:val="72631C1C"/>
    <w:rsid w:val="726D725F"/>
    <w:rsid w:val="72751BCF"/>
    <w:rsid w:val="728F6AA6"/>
    <w:rsid w:val="729A9C73"/>
    <w:rsid w:val="730F57D9"/>
    <w:rsid w:val="7330543A"/>
    <w:rsid w:val="7347D312"/>
    <w:rsid w:val="73D8D1AA"/>
    <w:rsid w:val="73DFFEEF"/>
    <w:rsid w:val="7456AD3F"/>
    <w:rsid w:val="74618785"/>
    <w:rsid w:val="74A09BF5"/>
    <w:rsid w:val="74A33331"/>
    <w:rsid w:val="74A6D850"/>
    <w:rsid w:val="7547D905"/>
    <w:rsid w:val="75DF4F4A"/>
    <w:rsid w:val="75EF9D38"/>
    <w:rsid w:val="7604B69A"/>
    <w:rsid w:val="76682F4A"/>
    <w:rsid w:val="76B8B431"/>
    <w:rsid w:val="76BAFE80"/>
    <w:rsid w:val="76BD12AF"/>
    <w:rsid w:val="771D1FAD"/>
    <w:rsid w:val="775C61B2"/>
    <w:rsid w:val="776B82EB"/>
    <w:rsid w:val="77DA7A3A"/>
    <w:rsid w:val="77FC2A82"/>
    <w:rsid w:val="784CA886"/>
    <w:rsid w:val="7850CE33"/>
    <w:rsid w:val="786CFA03"/>
    <w:rsid w:val="786EC775"/>
    <w:rsid w:val="787DAD90"/>
    <w:rsid w:val="79032CCA"/>
    <w:rsid w:val="792190F7"/>
    <w:rsid w:val="7936841C"/>
    <w:rsid w:val="7941B5AD"/>
    <w:rsid w:val="79748513"/>
    <w:rsid w:val="798BEDB7"/>
    <w:rsid w:val="799B4F24"/>
    <w:rsid w:val="799CDA9E"/>
    <w:rsid w:val="79BB30B1"/>
    <w:rsid w:val="79C66C52"/>
    <w:rsid w:val="79D07659"/>
    <w:rsid w:val="79D42077"/>
    <w:rsid w:val="79E0E237"/>
    <w:rsid w:val="79FB2B9F"/>
    <w:rsid w:val="7A64362D"/>
    <w:rsid w:val="7A7A7F0E"/>
    <w:rsid w:val="7A82178D"/>
    <w:rsid w:val="7A82E95E"/>
    <w:rsid w:val="7A8541FF"/>
    <w:rsid w:val="7ABE241F"/>
    <w:rsid w:val="7AD2555D"/>
    <w:rsid w:val="7ADA992B"/>
    <w:rsid w:val="7AED24D4"/>
    <w:rsid w:val="7AFEFE33"/>
    <w:rsid w:val="7B3C8180"/>
    <w:rsid w:val="7B4A895A"/>
    <w:rsid w:val="7B533509"/>
    <w:rsid w:val="7BCD95A8"/>
    <w:rsid w:val="7BE8E205"/>
    <w:rsid w:val="7C4DB7A9"/>
    <w:rsid w:val="7C9CAFCB"/>
    <w:rsid w:val="7CA315CE"/>
    <w:rsid w:val="7CB3C693"/>
    <w:rsid w:val="7CD89A00"/>
    <w:rsid w:val="7CFAEB13"/>
    <w:rsid w:val="7D049FCC"/>
    <w:rsid w:val="7D2A01EA"/>
    <w:rsid w:val="7D55BFA2"/>
    <w:rsid w:val="7DDB0C0C"/>
    <w:rsid w:val="7DE3F0AA"/>
    <w:rsid w:val="7DF63E70"/>
    <w:rsid w:val="7E445926"/>
    <w:rsid w:val="7E64434B"/>
    <w:rsid w:val="7E74CA40"/>
    <w:rsid w:val="7E9D4711"/>
    <w:rsid w:val="7EA27C76"/>
    <w:rsid w:val="7EFB65DE"/>
    <w:rsid w:val="7F3BF73C"/>
    <w:rsid w:val="7F44FD17"/>
    <w:rsid w:val="7F5C5C86"/>
    <w:rsid w:val="7F7476B8"/>
    <w:rsid w:val="7F831FA8"/>
    <w:rsid w:val="7F8F6764"/>
    <w:rsid w:val="7F90381C"/>
    <w:rsid w:val="7F9D2C5F"/>
    <w:rsid w:val="7FB0FB5A"/>
    <w:rsid w:val="7FC75864"/>
    <w:rsid w:val="7FEEB7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6835E"/>
  <w15:chartTrackingRefBased/>
  <w15:docId w15:val="{0AA3348F-9E45-45A1-9A6F-E41148B5C84C}"/>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ind w:firstLine="547"/>
    </w:pPr>
  </w:style>
  <w:style w:type="paragraph" w:customStyle="1" w:styleId="CoL">
    <w:name w:val="CoL"/>
    <w:basedOn w:val="Standard"/>
    <w:uiPriority w:val="7"/>
    <w:qFormat/>
    <w:rsid w:val="001E2A62"/>
    <w:pPr>
      <w:numPr>
        <w:numId w:val="3"/>
      </w:numPr>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paragraph" w:customStyle="1" w:styleId="Default">
    <w:name w:val="Default"/>
    <w:rsid w:val="00AF489A"/>
    <w:pPr>
      <w:autoSpaceDE w:val="0"/>
      <w:autoSpaceDN w:val="0"/>
      <w:adjustRightInd w:val="0"/>
      <w:spacing w:after="0" w:line="240" w:lineRule="auto"/>
    </w:pPr>
    <w:rPr>
      <w:rFonts w:ascii="Palatino Linotype" w:hAnsi="Palatino Linotype" w:cs="Palatino Linotype"/>
      <w:color w:val="000000"/>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Book Antiqua" w:hAnsi="Book Antiqua"/>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5680C"/>
    <w:pPr>
      <w:spacing w:after="0" w:line="240" w:lineRule="auto"/>
    </w:pPr>
    <w:rPr>
      <w:rFonts w:ascii="Book Antiqua" w:hAnsi="Book Antiqua"/>
      <w:sz w:val="26"/>
    </w:rPr>
  </w:style>
  <w:style w:type="paragraph" w:styleId="CommentSubject">
    <w:name w:val="annotation subject"/>
    <w:basedOn w:val="CommentText"/>
    <w:next w:val="CommentText"/>
    <w:link w:val="CommentSubjectChar"/>
    <w:uiPriority w:val="99"/>
    <w:semiHidden/>
    <w:unhideWhenUsed/>
    <w:rsid w:val="00B946B5"/>
    <w:rPr>
      <w:b/>
      <w:bCs/>
    </w:rPr>
  </w:style>
  <w:style w:type="character" w:customStyle="1" w:styleId="CommentSubjectChar">
    <w:name w:val="Comment Subject Char"/>
    <w:basedOn w:val="CommentTextChar"/>
    <w:link w:val="CommentSubject"/>
    <w:uiPriority w:val="99"/>
    <w:semiHidden/>
    <w:rsid w:val="00B946B5"/>
    <w:rPr>
      <w:rFonts w:ascii="Book Antiqua" w:hAnsi="Book Antiqua"/>
      <w:b/>
      <w:bCs/>
      <w:sz w:val="20"/>
      <w:szCs w:val="20"/>
    </w:rPr>
  </w:style>
  <w:style w:type="paragraph" w:styleId="ListParagraph">
    <w:name w:val="List Paragraph"/>
    <w:basedOn w:val="Normal"/>
    <w:uiPriority w:val="34"/>
    <w:qFormat/>
    <w:rsid w:val="00657AFA"/>
    <w:pPr>
      <w:ind w:left="720"/>
      <w:contextualSpacing/>
    </w:pPr>
  </w:style>
  <w:style w:type="character" w:styleId="UnresolvedMention">
    <w:name w:val="Unresolved Mention"/>
    <w:basedOn w:val="DefaultParagraphFont"/>
    <w:uiPriority w:val="99"/>
    <w:semiHidden/>
    <w:unhideWhenUsed/>
    <w:rsid w:val="00CA286C"/>
    <w:rPr>
      <w:color w:val="605E5C"/>
      <w:shd w:val="clear" w:color="auto" w:fill="E1DFDD"/>
    </w:rPr>
  </w:style>
  <w:style w:type="character" w:styleId="Mention">
    <w:name w:val="Mention"/>
    <w:basedOn w:val="DefaultParagraphFont"/>
    <w:uiPriority w:val="99"/>
    <w:unhideWhenUsed/>
    <w:rsid w:val="007B22F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theme" Target="theme/theme1.xml" Id="rId22" /><Relationship Type="http://schemas.openxmlformats.org/officeDocument/2006/relationships/hyperlink" Target="https://docs.cpuc.ca.gov/PublishedDocs/Published/G000/M609/K896/609896162.pdf" TargetMode="External" Id="R090b2962ba8b42f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3c51fd4b-b0a8-4cee-8b97-77eacc5af0f7">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a24cfdaa-3f84-4543-8006-7aafcb05bc28">
      <Terms xmlns="http://schemas.microsoft.com/office/infopath/2007/PartnerControls"/>
    </lcf76f155ced4ddcb4097134ff3c332f>
    <TaxCatchAll xmlns="3c51fd4b-b0a8-4cee-8b97-77eacc5af0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7D49496411704C98823D97BD8A3AEF" ma:contentTypeVersion="16" ma:contentTypeDescription="Create a new document." ma:contentTypeScope="" ma:versionID="129bdc740f4af5bc5bce3e64490311db">
  <xsd:schema xmlns:xsd="http://www.w3.org/2001/XMLSchema" xmlns:xs="http://www.w3.org/2001/XMLSchema" xmlns:p="http://schemas.microsoft.com/office/2006/metadata/properties" xmlns:ns2="a24cfdaa-3f84-4543-8006-7aafcb05bc28" xmlns:ns3="3c51fd4b-b0a8-4cee-8b97-77eacc5af0f7" targetNamespace="http://schemas.microsoft.com/office/2006/metadata/properties" ma:root="true" ma:fieldsID="a77d2ffb77d2c2317744030685f74046" ns2:_="" ns3:_="">
    <xsd:import namespace="a24cfdaa-3f84-4543-8006-7aafcb05bc28"/>
    <xsd:import namespace="3c51fd4b-b0a8-4cee-8b97-77eacc5af0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cfdaa-3f84-4543-8006-7aafcb05b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51fd4b-b0a8-4cee-8b97-77eacc5af0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313bba-19fc-4463-aea9-079b48bf6d0f}" ma:internalName="TaxCatchAll" ma:showField="CatchAllData" ma:web="3c51fd4b-b0a8-4cee-8b97-77eacc5af0f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2.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3c51fd4b-b0a8-4cee-8b97-77eacc5af0f7"/>
    <ds:schemaRef ds:uri="a24cfdaa-3f84-4543-8006-7aafcb05bc28"/>
  </ds:schemaRefs>
</ds:datastoreItem>
</file>

<file path=customXml/itemProps3.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4.xml><?xml version="1.0" encoding="utf-8"?>
<ds:datastoreItem xmlns:ds="http://schemas.openxmlformats.org/officeDocument/2006/customXml" ds:itemID="{AD511EF7-ED7D-45E6-9FFF-AAB08A149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cfdaa-3f84-4543-8006-7aafcb05bc28"/>
    <ds:schemaRef ds:uri="3c51fd4b-b0a8-4cee-8b97-77eacc5af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50</ap:Pages>
  <ap:Words>11221</ap:Words>
  <ap:Characters>63962</ap:Characters>
  <ap:Application>Microsoft Office Word</ap:Application>
  <ap:DocSecurity>0</ap:DocSecurity>
  <ap:Lines>533</ap:Lines>
  <ap:Paragraphs>150</ap:Paragraphs>
  <ap:ScaleCrop>false</ap:ScaleCrop>
  <ap:Company/>
  <ap:LinksUpToDate>false</ap:LinksUpToDate>
  <ap:CharactersWithSpaces>75033</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2026-06-29T18:30:00Z</cp:lastPrinted>
  <dcterms:created xsi:type="dcterms:W3CDTF">2026-06-29T15:48:58Z</dcterms:created>
  <dcterms:modified xsi:type="dcterms:W3CDTF">2026-06-29T15:48:58Z</dcterms:modified>
</cp:coreProperties>
</file>