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15C7" w:rsidR="00B60421" w:rsidP="00B82579" w:rsidRDefault="003E3D7D" w14:paraId="19AFF8F4" w14:textId="095E8C95">
      <w:pPr>
        <w:tabs>
          <w:tab w:val="center" w:pos="4230"/>
          <w:tab w:val="right" w:pos="9360"/>
        </w:tabs>
        <w:spacing w:line="240" w:lineRule="auto"/>
        <w:ind w:firstLine="0"/>
      </w:pPr>
      <w:r w:rsidRPr="001415C7">
        <w:t>COM/KDL/sgu</w:t>
      </w:r>
      <w:r w:rsidRPr="001415C7" w:rsidR="007E0FEE">
        <w:tab/>
      </w:r>
      <w:r w:rsidRPr="00B82579" w:rsidR="00DA7B5D">
        <w:rPr>
          <w:rFonts w:ascii="Arial" w:hAnsi="Arial" w:cs="Arial"/>
          <w:b/>
          <w:sz w:val="28"/>
          <w:szCs w:val="28"/>
        </w:rPr>
        <w:t>PROPOSED DECISION</w:t>
      </w:r>
      <w:r w:rsidRPr="001415C7" w:rsidR="00DA7B5D">
        <w:tab/>
      </w:r>
      <w:r w:rsidRPr="001415C7" w:rsidR="00DA7B5D">
        <w:rPr>
          <w:b/>
        </w:rPr>
        <w:t>Agenda ID #</w:t>
      </w:r>
      <w:r w:rsidRPr="001415C7" w:rsidR="00C83D7D">
        <w:rPr>
          <w:b/>
        </w:rPr>
        <w:t>24265</w:t>
      </w:r>
      <w:r w:rsidR="00B82579">
        <w:rPr>
          <w:b/>
        </w:rPr>
        <w:t xml:space="preserve"> (Rev. 1) </w:t>
      </w:r>
    </w:p>
    <w:p w:rsidR="00DA7B5D" w:rsidP="00B82579" w:rsidRDefault="003E3D7D" w14:paraId="6B2DE71A" w14:textId="6E37A16D">
      <w:pPr>
        <w:spacing w:line="240" w:lineRule="auto"/>
        <w:ind w:left="6480"/>
        <w:rPr>
          <w:b/>
        </w:rPr>
      </w:pPr>
      <w:r w:rsidRPr="001415C7">
        <w:rPr>
          <w:b/>
        </w:rPr>
        <w:t xml:space="preserve">  Quasi-legislative</w:t>
      </w:r>
    </w:p>
    <w:p w:rsidRPr="001415C7" w:rsidR="00B82579" w:rsidP="00B82579" w:rsidRDefault="00B82579" w14:paraId="068F2BEE" w14:textId="33139C42">
      <w:pPr>
        <w:ind w:left="6480"/>
        <w:jc w:val="right"/>
        <w:rPr>
          <w:b/>
        </w:rPr>
      </w:pPr>
      <w:r>
        <w:rPr>
          <w:b/>
        </w:rPr>
        <w:t>7/2/2026 Item #47</w:t>
      </w:r>
    </w:p>
    <w:p w:rsidRPr="001415C7" w:rsidR="003E3D7D" w:rsidP="003E3D7D" w:rsidRDefault="003E3D7D" w14:paraId="7338BCAB" w14:textId="77777777">
      <w:pPr>
        <w:ind w:left="6480"/>
      </w:pPr>
    </w:p>
    <w:p w:rsidRPr="001415C7" w:rsidR="00DA7B5D" w:rsidP="003E3D7D" w:rsidRDefault="00DA7B5D" w14:paraId="5B07B047" w14:textId="2AF78D40">
      <w:pPr>
        <w:spacing w:line="240" w:lineRule="auto"/>
        <w:ind w:left="1080" w:hanging="1080"/>
        <w:rPr>
          <w:b/>
          <w:bCs/>
          <w:u w:val="single"/>
        </w:rPr>
      </w:pPr>
      <w:r w:rsidRPr="001415C7">
        <w:t xml:space="preserve">Decision </w:t>
      </w:r>
      <w:r w:rsidRPr="001415C7" w:rsidR="003E3D7D">
        <w:rPr>
          <w:b/>
          <w:bCs/>
          <w:u w:val="single"/>
        </w:rPr>
        <w:t>PROPOSED DECISION OF COMMISSIONER KAREN DOUGLAS (MAILED 0</w:t>
      </w:r>
      <w:r w:rsidRPr="001415C7" w:rsidR="00C83D7D">
        <w:rPr>
          <w:b/>
          <w:bCs/>
          <w:u w:val="single"/>
        </w:rPr>
        <w:t>5/29</w:t>
      </w:r>
      <w:r w:rsidRPr="001415C7" w:rsidR="003E3D7D">
        <w:rPr>
          <w:b/>
          <w:bCs/>
          <w:u w:val="single"/>
        </w:rPr>
        <w:t>/2026</w:t>
      </w:r>
    </w:p>
    <w:p w:rsidRPr="001415C7" w:rsidR="00DA7B5D" w:rsidP="00BB0243" w:rsidRDefault="00DA7B5D" w14:paraId="510279EB" w14:textId="77777777">
      <w:pPr>
        <w:spacing w:line="240" w:lineRule="auto"/>
        <w:jc w:val="center"/>
        <w:rPr>
          <w:u w:val="single"/>
        </w:rPr>
      </w:pPr>
    </w:p>
    <w:p w:rsidRPr="001415C7" w:rsidR="00DA7B5D" w:rsidP="00BB0243" w:rsidRDefault="00DA7B5D" w14:paraId="670C1C50" w14:textId="77777777">
      <w:pPr>
        <w:spacing w:line="240" w:lineRule="auto"/>
        <w:ind w:firstLine="0"/>
        <w:jc w:val="center"/>
        <w:rPr>
          <w:rFonts w:ascii="Arial" w:hAnsi="Arial" w:cs="Arial"/>
          <w:sz w:val="24"/>
          <w:szCs w:val="24"/>
        </w:rPr>
      </w:pPr>
      <w:r w:rsidRPr="001415C7">
        <w:rPr>
          <w:rFonts w:ascii="Arial" w:hAnsi="Arial" w:cs="Arial"/>
          <w:b/>
          <w:sz w:val="24"/>
          <w:szCs w:val="24"/>
        </w:rPr>
        <w:t>BEFORE THE PUBLIC UTILITIES COMMISSION OF THE STATE OF CALIFORNIA</w:t>
      </w:r>
    </w:p>
    <w:p w:rsidRPr="001415C7" w:rsidR="00DA7B5D" w:rsidP="008F0116" w:rsidRDefault="00DA7B5D" w14:paraId="56A71123" w14:textId="3604FAD1">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130"/>
        <w:gridCol w:w="4230"/>
      </w:tblGrid>
      <w:tr w:rsidRPr="001415C7" w:rsidR="00DA7B5D" w:rsidTr="004F408F" w14:paraId="2CBD48A4" w14:textId="77777777">
        <w:trPr>
          <w:jc w:val="center"/>
        </w:trPr>
        <w:tc>
          <w:tcPr>
            <w:tcW w:w="5130" w:type="dxa"/>
            <w:tcBorders>
              <w:top w:val="nil"/>
              <w:left w:val="nil"/>
              <w:bottom w:val="single" w:color="auto" w:sz="4" w:space="0"/>
              <w:right w:val="single" w:color="auto" w:sz="4" w:space="0"/>
            </w:tcBorders>
          </w:tcPr>
          <w:p w:rsidRPr="001415C7" w:rsidR="004F408F" w:rsidP="004F408F" w:rsidRDefault="004F408F" w14:paraId="57835EC1" w14:textId="77777777">
            <w:pPr>
              <w:spacing w:line="240" w:lineRule="auto"/>
              <w:ind w:firstLine="0"/>
              <w:rPr>
                <w:rFonts w:cs="Arial"/>
                <w:szCs w:val="26"/>
              </w:rPr>
            </w:pPr>
            <w:r w:rsidRPr="001415C7">
              <w:rPr>
                <w:rFonts w:cs="Arial"/>
                <w:szCs w:val="26"/>
              </w:rPr>
              <w:t>Order Instituting Rulemaking to</w:t>
            </w:r>
          </w:p>
          <w:p w:rsidRPr="001415C7" w:rsidR="004F408F" w:rsidP="004F408F" w:rsidRDefault="004F408F" w14:paraId="65D6F325" w14:textId="77777777">
            <w:pPr>
              <w:spacing w:line="240" w:lineRule="auto"/>
              <w:ind w:firstLine="0"/>
              <w:rPr>
                <w:rFonts w:cs="Arial"/>
                <w:szCs w:val="26"/>
              </w:rPr>
            </w:pPr>
            <w:r w:rsidRPr="001415C7">
              <w:rPr>
                <w:rFonts w:cs="Arial"/>
                <w:szCs w:val="26"/>
              </w:rPr>
              <w:t>Establish Policies, Processes, and Rules</w:t>
            </w:r>
          </w:p>
          <w:p w:rsidRPr="001415C7" w:rsidR="004F408F" w:rsidP="004F408F" w:rsidRDefault="004F408F" w14:paraId="023AB4E7" w14:textId="77777777">
            <w:pPr>
              <w:spacing w:line="240" w:lineRule="auto"/>
              <w:ind w:firstLine="0"/>
              <w:rPr>
                <w:rFonts w:cs="Arial"/>
                <w:szCs w:val="26"/>
              </w:rPr>
            </w:pPr>
            <w:r w:rsidRPr="001415C7">
              <w:rPr>
                <w:rFonts w:cs="Arial"/>
                <w:szCs w:val="26"/>
              </w:rPr>
              <w:t>to Ensure Safe and Reliable Gas Systems</w:t>
            </w:r>
          </w:p>
          <w:p w:rsidRPr="001415C7" w:rsidR="004F408F" w:rsidP="004F408F" w:rsidRDefault="004F408F" w14:paraId="213AA8F5" w14:textId="77777777">
            <w:pPr>
              <w:spacing w:line="240" w:lineRule="auto"/>
              <w:ind w:firstLine="0"/>
              <w:rPr>
                <w:rFonts w:cs="Arial"/>
                <w:szCs w:val="26"/>
              </w:rPr>
            </w:pPr>
            <w:r w:rsidRPr="001415C7">
              <w:rPr>
                <w:rFonts w:cs="Arial"/>
                <w:szCs w:val="26"/>
              </w:rPr>
              <w:t>in California and Perform Long-Term</w:t>
            </w:r>
          </w:p>
          <w:p w:rsidRPr="001415C7" w:rsidR="00DA7B5D" w:rsidP="004F408F" w:rsidRDefault="004F408F" w14:paraId="62495104" w14:textId="62708AD5">
            <w:pPr>
              <w:spacing w:line="240" w:lineRule="auto"/>
              <w:ind w:firstLine="0"/>
              <w:rPr>
                <w:rFonts w:cs="Arial"/>
                <w:szCs w:val="26"/>
              </w:rPr>
            </w:pPr>
            <w:r w:rsidRPr="001415C7">
              <w:rPr>
                <w:rFonts w:cs="Arial"/>
                <w:szCs w:val="26"/>
              </w:rPr>
              <w:t>Gas System Planning</w:t>
            </w:r>
            <w:r w:rsidRPr="001415C7" w:rsidR="00DA7B5D">
              <w:rPr>
                <w:rFonts w:cs="Arial"/>
                <w:szCs w:val="26"/>
              </w:rPr>
              <w:br/>
            </w:r>
          </w:p>
        </w:tc>
        <w:tc>
          <w:tcPr>
            <w:tcW w:w="4230" w:type="dxa"/>
            <w:tcBorders>
              <w:top w:val="nil"/>
              <w:left w:val="single" w:color="auto" w:sz="4" w:space="0"/>
              <w:bottom w:val="nil"/>
              <w:right w:val="nil"/>
            </w:tcBorders>
            <w:vAlign w:val="center"/>
          </w:tcPr>
          <w:p w:rsidRPr="001415C7" w:rsidR="00DA7B5D" w:rsidP="00412C83" w:rsidRDefault="004F408F" w14:paraId="0F7E93BA" w14:textId="77777777">
            <w:pPr>
              <w:spacing w:line="240" w:lineRule="auto"/>
              <w:ind w:firstLine="0"/>
              <w:jc w:val="center"/>
              <w:rPr>
                <w:rFonts w:cs="Arial"/>
                <w:szCs w:val="26"/>
              </w:rPr>
            </w:pPr>
            <w:r w:rsidRPr="001415C7">
              <w:rPr>
                <w:rFonts w:cs="Arial"/>
                <w:szCs w:val="26"/>
              </w:rPr>
              <w:t>Rulemaking 24-09-012</w:t>
            </w:r>
          </w:p>
          <w:p w:rsidRPr="001415C7" w:rsidR="004F408F" w:rsidP="00412C83" w:rsidRDefault="004F408F" w14:paraId="31B5F679" w14:textId="05E39F7C">
            <w:pPr>
              <w:spacing w:line="240" w:lineRule="auto"/>
              <w:ind w:firstLine="0"/>
              <w:jc w:val="center"/>
              <w:rPr>
                <w:rFonts w:cs="Arial"/>
                <w:szCs w:val="26"/>
              </w:rPr>
            </w:pPr>
            <w:r w:rsidRPr="001415C7">
              <w:rPr>
                <w:rFonts w:cs="Arial"/>
                <w:szCs w:val="26"/>
              </w:rPr>
              <w:t>(Filed September 26, 2024)</w:t>
            </w:r>
          </w:p>
        </w:tc>
      </w:tr>
    </w:tbl>
    <w:p w:rsidRPr="001415C7" w:rsidR="00DA7B5D" w:rsidP="008F0116" w:rsidRDefault="00DA7B5D" w14:paraId="74987665" w14:textId="77777777">
      <w:pPr>
        <w:spacing w:line="240" w:lineRule="auto"/>
        <w:ind w:firstLine="0"/>
        <w:rPr>
          <w:rFonts w:ascii="Arial" w:hAnsi="Arial" w:cs="Arial"/>
          <w:sz w:val="24"/>
          <w:szCs w:val="24"/>
        </w:rPr>
      </w:pPr>
    </w:p>
    <w:p w:rsidRPr="001415C7" w:rsidR="00DA7B5D" w:rsidP="008F0116" w:rsidRDefault="00DA7B5D" w14:paraId="1802F116" w14:textId="77777777">
      <w:pPr>
        <w:spacing w:line="240" w:lineRule="auto"/>
        <w:ind w:firstLine="0"/>
        <w:rPr>
          <w:rFonts w:ascii="Arial" w:hAnsi="Arial" w:cs="Arial"/>
          <w:sz w:val="24"/>
          <w:szCs w:val="24"/>
        </w:rPr>
      </w:pPr>
    </w:p>
    <w:p w:rsidRPr="001415C7" w:rsidR="00F92385" w:rsidP="00AD64F1" w:rsidRDefault="00C15CE3" w14:paraId="0E568693" w14:textId="3F5AFE28">
      <w:pPr>
        <w:pStyle w:val="Dummy"/>
        <w:jc w:val="center"/>
      </w:pPr>
      <w:bookmarkStart w:name="_Toc228261649" w:id="0"/>
      <w:bookmarkStart w:name="_Toc233633586" w:id="1"/>
      <w:r w:rsidRPr="001415C7">
        <w:t>DECISION ESTABLISHING</w:t>
      </w:r>
      <w:r w:rsidRPr="001415C7" w:rsidR="002350F0">
        <w:t xml:space="preserve"> </w:t>
      </w:r>
      <w:r w:rsidRPr="001415C7" w:rsidR="00357F42">
        <w:t xml:space="preserve">APPLICATION </w:t>
      </w:r>
      <w:r w:rsidRPr="001415C7" w:rsidR="002350F0">
        <w:t xml:space="preserve">PROCESS </w:t>
      </w:r>
      <w:r w:rsidRPr="001415C7" w:rsidR="00397586">
        <w:t>FOR</w:t>
      </w:r>
      <w:r w:rsidRPr="001415C7" w:rsidR="003E3D7D">
        <w:br/>
      </w:r>
      <w:r w:rsidRPr="001415C7" w:rsidR="00AD64F1">
        <w:t xml:space="preserve"> </w:t>
      </w:r>
      <w:r w:rsidRPr="001415C7" w:rsidR="00F76966">
        <w:t xml:space="preserve">SB 1221 </w:t>
      </w:r>
      <w:r w:rsidRPr="001415C7" w:rsidR="0020166A">
        <w:t xml:space="preserve">NEIGHBORHOOD </w:t>
      </w:r>
      <w:r w:rsidRPr="001415C7" w:rsidR="00AD64F1">
        <w:t xml:space="preserve">DECARBONIZATION </w:t>
      </w:r>
      <w:r w:rsidRPr="001415C7">
        <w:t xml:space="preserve">PILOT </w:t>
      </w:r>
      <w:r w:rsidRPr="001415C7" w:rsidR="00AD64F1">
        <w:t>PROGRAM</w:t>
      </w:r>
      <w:bookmarkEnd w:id="0"/>
      <w:bookmarkEnd w:id="1"/>
    </w:p>
    <w:p w:rsidRPr="001415C7" w:rsidR="003E3D7D" w:rsidP="003E3D7D" w:rsidRDefault="003E3D7D" w14:paraId="3C1FC795" w14:textId="77777777"/>
    <w:p w:rsidRPr="001415C7" w:rsidR="003E3D7D" w:rsidP="003E3D7D" w:rsidRDefault="003E3D7D" w14:paraId="43E79E27" w14:textId="4387C2D2">
      <w:pPr>
        <w:sectPr w:rsidRPr="001415C7" w:rsidR="003E3D7D" w:rsidSect="003E3D7D">
          <w:footerReference w:type="first" r:id="rId11"/>
          <w:pgSz w:w="12240" w:h="15840"/>
          <w:pgMar w:top="1440" w:right="1440" w:bottom="1440" w:left="1440" w:header="720" w:footer="720" w:gutter="0"/>
          <w:pgNumType w:start="1"/>
          <w:cols w:space="720"/>
          <w:titlePg/>
          <w:docGrid w:linePitch="360"/>
        </w:sectPr>
      </w:pPr>
    </w:p>
    <w:p w:rsidRPr="001415C7" w:rsidR="00D50119" w:rsidP="00F76650" w:rsidRDefault="00D50119" w14:paraId="27AB0ABF" w14:textId="77777777">
      <w:pPr>
        <w:pStyle w:val="Main"/>
        <w:rPr>
          <w:rFonts w:ascii="Book Antiqua" w:hAnsi="Book Antiqua"/>
        </w:rPr>
      </w:pPr>
      <w:r w:rsidRPr="001415C7">
        <w:rPr>
          <w:rFonts w:ascii="Book Antiqua" w:hAnsi="Book Antiqua"/>
        </w:rPr>
        <w:lastRenderedPageBreak/>
        <w:t>TABLE OF CONTENTS</w:t>
      </w:r>
    </w:p>
    <w:p w:rsidRPr="001415C7" w:rsidR="00D50119" w:rsidP="007E0FEE" w:rsidRDefault="00D50119" w14:paraId="67C80D49" w14:textId="77777777">
      <w:pPr>
        <w:tabs>
          <w:tab w:val="right" w:pos="9360"/>
        </w:tabs>
        <w:ind w:firstLine="0"/>
      </w:pPr>
      <w:r w:rsidRPr="001415C7">
        <w:rPr>
          <w:b/>
        </w:rPr>
        <w:t>Title</w:t>
      </w:r>
      <w:r w:rsidRPr="001415C7">
        <w:tab/>
      </w:r>
      <w:r w:rsidRPr="001415C7">
        <w:rPr>
          <w:b/>
        </w:rPr>
        <w:t>Page</w:t>
      </w:r>
    </w:p>
    <w:sdt>
      <w:sdtPr>
        <w:id w:val="-1224440197"/>
        <w:docPartObj>
          <w:docPartGallery w:val="Table of Contents"/>
          <w:docPartUnique/>
        </w:docPartObj>
      </w:sdtPr>
      <w:sdtEndPr>
        <w:rPr>
          <w:b/>
          <w:bCs/>
          <w:noProof/>
        </w:rPr>
      </w:sdtEndPr>
      <w:sdtContent>
        <w:p w:rsidR="00563236" w:rsidRDefault="008C7413" w14:paraId="46BB75EE" w14:textId="398FC771">
          <w:pPr>
            <w:pStyle w:val="TOC1"/>
            <w:tabs>
              <w:tab w:val="right" w:leader="dot" w:pos="9350"/>
            </w:tabs>
            <w:rPr>
              <w:rFonts w:asciiTheme="minorHAnsi" w:hAnsiTheme="minorHAnsi" w:cstheme="minorBidi"/>
              <w:noProof/>
              <w:kern w:val="2"/>
              <w:sz w:val="24"/>
              <w:szCs w:val="24"/>
              <w14:ligatures w14:val="standardContextual"/>
            </w:rPr>
          </w:pPr>
          <w:r w:rsidRPr="001415C7">
            <w:rPr>
              <w:rFonts w:asciiTheme="minorHAnsi" w:hAnsiTheme="minorHAnsi"/>
              <w:sz w:val="22"/>
            </w:rPr>
            <w:fldChar w:fldCharType="begin"/>
          </w:r>
          <w:r w:rsidRPr="001415C7">
            <w:rPr>
              <w:rFonts w:asciiTheme="minorHAnsi" w:hAnsiTheme="minorHAnsi"/>
              <w:sz w:val="22"/>
            </w:rPr>
            <w:instrText xml:space="preserve"> TOC \o "1-6" \h \z \u </w:instrText>
          </w:r>
          <w:r w:rsidRPr="001415C7">
            <w:rPr>
              <w:rFonts w:asciiTheme="minorHAnsi" w:hAnsiTheme="minorHAnsi"/>
              <w:sz w:val="22"/>
            </w:rPr>
            <w:fldChar w:fldCharType="separate"/>
          </w:r>
          <w:hyperlink w:history="1" w:anchor="_Toc233633586">
            <w:r w:rsidRPr="00F13730" w:rsidR="00563236">
              <w:rPr>
                <w:rStyle w:val="Hyperlink"/>
                <w:noProof/>
              </w:rPr>
              <w:t>DECISION ESTABLISHING APPLICATION PROCESS FOR  SB 1221 NEIGHBORHOOD DECARBONIZATION PILOT PROGRAM</w:t>
            </w:r>
            <w:r w:rsidR="00563236">
              <w:rPr>
                <w:noProof/>
                <w:webHidden/>
              </w:rPr>
              <w:tab/>
            </w:r>
            <w:r w:rsidR="00563236">
              <w:rPr>
                <w:noProof/>
                <w:webHidden/>
              </w:rPr>
              <w:fldChar w:fldCharType="begin"/>
            </w:r>
            <w:r w:rsidR="00563236">
              <w:rPr>
                <w:noProof/>
                <w:webHidden/>
              </w:rPr>
              <w:instrText xml:space="preserve"> PAGEREF _Toc233633586 \h </w:instrText>
            </w:r>
            <w:r w:rsidR="00563236">
              <w:rPr>
                <w:noProof/>
                <w:webHidden/>
              </w:rPr>
            </w:r>
            <w:r w:rsidR="00563236">
              <w:rPr>
                <w:noProof/>
                <w:webHidden/>
              </w:rPr>
              <w:fldChar w:fldCharType="separate"/>
            </w:r>
            <w:r w:rsidR="00563236">
              <w:rPr>
                <w:noProof/>
                <w:webHidden/>
              </w:rPr>
              <w:t>1</w:t>
            </w:r>
            <w:r w:rsidR="00563236">
              <w:rPr>
                <w:noProof/>
                <w:webHidden/>
              </w:rPr>
              <w:fldChar w:fldCharType="end"/>
            </w:r>
          </w:hyperlink>
        </w:p>
        <w:p w:rsidR="00563236" w:rsidRDefault="00563236" w14:paraId="6ADFD59F" w14:textId="3A55E866">
          <w:pPr>
            <w:pStyle w:val="TOC1"/>
            <w:tabs>
              <w:tab w:val="right" w:leader="dot" w:pos="9350"/>
            </w:tabs>
            <w:rPr>
              <w:rFonts w:asciiTheme="minorHAnsi" w:hAnsiTheme="minorHAnsi" w:cstheme="minorBidi"/>
              <w:noProof/>
              <w:kern w:val="2"/>
              <w:sz w:val="24"/>
              <w:szCs w:val="24"/>
              <w14:ligatures w14:val="standardContextual"/>
            </w:rPr>
          </w:pPr>
          <w:hyperlink w:history="1" w:anchor="_Toc233633588">
            <w:r w:rsidRPr="00F13730">
              <w:rPr>
                <w:rStyle w:val="Hyperlink"/>
                <w:noProof/>
              </w:rPr>
              <w:t>Summary</w:t>
            </w:r>
            <w:r>
              <w:rPr>
                <w:noProof/>
                <w:webHidden/>
              </w:rPr>
              <w:tab/>
            </w:r>
            <w:r>
              <w:rPr>
                <w:noProof/>
                <w:webHidden/>
              </w:rPr>
              <w:fldChar w:fldCharType="begin"/>
            </w:r>
            <w:r>
              <w:rPr>
                <w:noProof/>
                <w:webHidden/>
              </w:rPr>
              <w:instrText xml:space="preserve"> PAGEREF _Toc233633588 \h </w:instrText>
            </w:r>
            <w:r>
              <w:rPr>
                <w:noProof/>
                <w:webHidden/>
              </w:rPr>
            </w:r>
            <w:r>
              <w:rPr>
                <w:noProof/>
                <w:webHidden/>
              </w:rPr>
              <w:fldChar w:fldCharType="separate"/>
            </w:r>
            <w:r>
              <w:rPr>
                <w:noProof/>
                <w:webHidden/>
              </w:rPr>
              <w:t>2</w:t>
            </w:r>
            <w:r>
              <w:rPr>
                <w:noProof/>
                <w:webHidden/>
              </w:rPr>
              <w:fldChar w:fldCharType="end"/>
            </w:r>
          </w:hyperlink>
        </w:p>
        <w:p w:rsidR="00563236" w:rsidRDefault="00563236" w14:paraId="28132FDF" w14:textId="74177A63">
          <w:pPr>
            <w:pStyle w:val="TOC1"/>
            <w:tabs>
              <w:tab w:val="right" w:leader="dot" w:pos="9350"/>
            </w:tabs>
            <w:rPr>
              <w:rFonts w:asciiTheme="minorHAnsi" w:hAnsiTheme="minorHAnsi" w:cstheme="minorBidi"/>
              <w:noProof/>
              <w:kern w:val="2"/>
              <w:sz w:val="24"/>
              <w:szCs w:val="24"/>
              <w14:ligatures w14:val="standardContextual"/>
            </w:rPr>
          </w:pPr>
          <w:hyperlink w:history="1" w:anchor="_Toc233633589">
            <w:r w:rsidRPr="00F13730">
              <w:rPr>
                <w:rStyle w:val="Hyperlink"/>
                <w:noProof/>
              </w:rPr>
              <w:t>1.</w:t>
            </w:r>
            <w:r>
              <w:rPr>
                <w:rFonts w:asciiTheme="minorHAnsi" w:hAnsiTheme="minorHAnsi" w:cstheme="minorBidi"/>
                <w:noProof/>
                <w:kern w:val="2"/>
                <w:sz w:val="24"/>
                <w:szCs w:val="24"/>
                <w14:ligatures w14:val="standardContextual"/>
              </w:rPr>
              <w:tab/>
            </w:r>
            <w:r w:rsidRPr="00F13730">
              <w:rPr>
                <w:rStyle w:val="Hyperlink"/>
                <w:noProof/>
              </w:rPr>
              <w:t>Background</w:t>
            </w:r>
            <w:r>
              <w:rPr>
                <w:noProof/>
                <w:webHidden/>
              </w:rPr>
              <w:tab/>
            </w:r>
            <w:r>
              <w:rPr>
                <w:noProof/>
                <w:webHidden/>
              </w:rPr>
              <w:fldChar w:fldCharType="begin"/>
            </w:r>
            <w:r>
              <w:rPr>
                <w:noProof/>
                <w:webHidden/>
              </w:rPr>
              <w:instrText xml:space="preserve"> PAGEREF _Toc233633589 \h </w:instrText>
            </w:r>
            <w:r>
              <w:rPr>
                <w:noProof/>
                <w:webHidden/>
              </w:rPr>
            </w:r>
            <w:r>
              <w:rPr>
                <w:noProof/>
                <w:webHidden/>
              </w:rPr>
              <w:fldChar w:fldCharType="separate"/>
            </w:r>
            <w:r>
              <w:rPr>
                <w:noProof/>
                <w:webHidden/>
              </w:rPr>
              <w:t>3</w:t>
            </w:r>
            <w:r>
              <w:rPr>
                <w:noProof/>
                <w:webHidden/>
              </w:rPr>
              <w:fldChar w:fldCharType="end"/>
            </w:r>
          </w:hyperlink>
        </w:p>
        <w:p w:rsidR="00563236" w:rsidRDefault="00563236" w14:paraId="03204247" w14:textId="135B9AA6">
          <w:pPr>
            <w:pStyle w:val="TOC1"/>
            <w:tabs>
              <w:tab w:val="right" w:leader="dot" w:pos="9350"/>
            </w:tabs>
            <w:rPr>
              <w:rFonts w:asciiTheme="minorHAnsi" w:hAnsiTheme="minorHAnsi" w:cstheme="minorBidi"/>
              <w:noProof/>
              <w:kern w:val="2"/>
              <w:sz w:val="24"/>
              <w:szCs w:val="24"/>
              <w14:ligatures w14:val="standardContextual"/>
            </w:rPr>
          </w:pPr>
          <w:hyperlink w:history="1" w:anchor="_Toc233633590">
            <w:r w:rsidRPr="00F13730">
              <w:rPr>
                <w:rStyle w:val="Hyperlink"/>
                <w:noProof/>
              </w:rPr>
              <w:t>2.</w:t>
            </w:r>
            <w:r>
              <w:rPr>
                <w:rFonts w:asciiTheme="minorHAnsi" w:hAnsiTheme="minorHAnsi" w:cstheme="minorBidi"/>
                <w:noProof/>
                <w:kern w:val="2"/>
                <w:sz w:val="24"/>
                <w:szCs w:val="24"/>
                <w14:ligatures w14:val="standardContextual"/>
              </w:rPr>
              <w:tab/>
            </w:r>
            <w:r w:rsidRPr="00F13730">
              <w:rPr>
                <w:rStyle w:val="Hyperlink"/>
                <w:noProof/>
              </w:rPr>
              <w:t>Submission Date</w:t>
            </w:r>
            <w:r>
              <w:rPr>
                <w:noProof/>
                <w:webHidden/>
              </w:rPr>
              <w:tab/>
            </w:r>
            <w:r>
              <w:rPr>
                <w:noProof/>
                <w:webHidden/>
              </w:rPr>
              <w:fldChar w:fldCharType="begin"/>
            </w:r>
            <w:r>
              <w:rPr>
                <w:noProof/>
                <w:webHidden/>
              </w:rPr>
              <w:instrText xml:space="preserve"> PAGEREF _Toc233633590 \h </w:instrText>
            </w:r>
            <w:r>
              <w:rPr>
                <w:noProof/>
                <w:webHidden/>
              </w:rPr>
            </w:r>
            <w:r>
              <w:rPr>
                <w:noProof/>
                <w:webHidden/>
              </w:rPr>
              <w:fldChar w:fldCharType="separate"/>
            </w:r>
            <w:r>
              <w:rPr>
                <w:noProof/>
                <w:webHidden/>
              </w:rPr>
              <w:t>5</w:t>
            </w:r>
            <w:r>
              <w:rPr>
                <w:noProof/>
                <w:webHidden/>
              </w:rPr>
              <w:fldChar w:fldCharType="end"/>
            </w:r>
          </w:hyperlink>
        </w:p>
        <w:p w:rsidR="00563236" w:rsidRDefault="00563236" w14:paraId="079B3D1E" w14:textId="487A1636">
          <w:pPr>
            <w:pStyle w:val="TOC1"/>
            <w:tabs>
              <w:tab w:val="right" w:leader="dot" w:pos="9350"/>
            </w:tabs>
            <w:rPr>
              <w:rFonts w:asciiTheme="minorHAnsi" w:hAnsiTheme="minorHAnsi" w:cstheme="minorBidi"/>
              <w:noProof/>
              <w:kern w:val="2"/>
              <w:sz w:val="24"/>
              <w:szCs w:val="24"/>
              <w14:ligatures w14:val="standardContextual"/>
            </w:rPr>
          </w:pPr>
          <w:hyperlink w:history="1" w:anchor="_Toc233633591">
            <w:r w:rsidRPr="00F13730">
              <w:rPr>
                <w:rStyle w:val="Hyperlink"/>
                <w:noProof/>
              </w:rPr>
              <w:t>3.</w:t>
            </w:r>
            <w:r>
              <w:rPr>
                <w:rFonts w:asciiTheme="minorHAnsi" w:hAnsiTheme="minorHAnsi" w:cstheme="minorBidi"/>
                <w:noProof/>
                <w:kern w:val="2"/>
                <w:sz w:val="24"/>
                <w:szCs w:val="24"/>
                <w14:ligatures w14:val="standardContextual"/>
              </w:rPr>
              <w:tab/>
            </w:r>
            <w:r w:rsidRPr="00F13730">
              <w:rPr>
                <w:rStyle w:val="Hyperlink"/>
                <w:noProof/>
              </w:rPr>
              <w:t>Issues Before the Commission</w:t>
            </w:r>
            <w:r>
              <w:rPr>
                <w:noProof/>
                <w:webHidden/>
              </w:rPr>
              <w:tab/>
            </w:r>
            <w:r>
              <w:rPr>
                <w:noProof/>
                <w:webHidden/>
              </w:rPr>
              <w:fldChar w:fldCharType="begin"/>
            </w:r>
            <w:r>
              <w:rPr>
                <w:noProof/>
                <w:webHidden/>
              </w:rPr>
              <w:instrText xml:space="preserve"> PAGEREF _Toc233633591 \h </w:instrText>
            </w:r>
            <w:r>
              <w:rPr>
                <w:noProof/>
                <w:webHidden/>
              </w:rPr>
            </w:r>
            <w:r>
              <w:rPr>
                <w:noProof/>
                <w:webHidden/>
              </w:rPr>
              <w:fldChar w:fldCharType="separate"/>
            </w:r>
            <w:r>
              <w:rPr>
                <w:noProof/>
                <w:webHidden/>
              </w:rPr>
              <w:t>6</w:t>
            </w:r>
            <w:r>
              <w:rPr>
                <w:noProof/>
                <w:webHidden/>
              </w:rPr>
              <w:fldChar w:fldCharType="end"/>
            </w:r>
          </w:hyperlink>
        </w:p>
        <w:p w:rsidR="00563236" w:rsidRDefault="00563236" w14:paraId="69845887" w14:textId="028202B4">
          <w:pPr>
            <w:pStyle w:val="TOC1"/>
            <w:tabs>
              <w:tab w:val="right" w:leader="dot" w:pos="9350"/>
            </w:tabs>
            <w:rPr>
              <w:rFonts w:asciiTheme="minorHAnsi" w:hAnsiTheme="minorHAnsi" w:cstheme="minorBidi"/>
              <w:noProof/>
              <w:kern w:val="2"/>
              <w:sz w:val="24"/>
              <w:szCs w:val="24"/>
              <w14:ligatures w14:val="standardContextual"/>
            </w:rPr>
          </w:pPr>
          <w:hyperlink w:history="1" w:anchor="_Toc233633592">
            <w:r w:rsidRPr="00F13730">
              <w:rPr>
                <w:rStyle w:val="Hyperlink"/>
                <w:noProof/>
              </w:rPr>
              <w:t>4.</w:t>
            </w:r>
            <w:r>
              <w:rPr>
                <w:rFonts w:asciiTheme="minorHAnsi" w:hAnsiTheme="minorHAnsi" w:cstheme="minorBidi"/>
                <w:noProof/>
                <w:kern w:val="2"/>
                <w:sz w:val="24"/>
                <w:szCs w:val="24"/>
                <w14:ligatures w14:val="standardContextual"/>
              </w:rPr>
              <w:tab/>
            </w:r>
            <w:r w:rsidRPr="00F13730">
              <w:rPr>
                <w:rStyle w:val="Hyperlink"/>
                <w:noProof/>
              </w:rPr>
              <w:t>Definitions of Terms</w:t>
            </w:r>
            <w:r>
              <w:rPr>
                <w:noProof/>
                <w:webHidden/>
              </w:rPr>
              <w:tab/>
            </w:r>
            <w:r>
              <w:rPr>
                <w:noProof/>
                <w:webHidden/>
              </w:rPr>
              <w:fldChar w:fldCharType="begin"/>
            </w:r>
            <w:r>
              <w:rPr>
                <w:noProof/>
                <w:webHidden/>
              </w:rPr>
              <w:instrText xml:space="preserve"> PAGEREF _Toc233633592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15451F75" w14:textId="4F53B150">
          <w:pPr>
            <w:pStyle w:val="TOC2"/>
            <w:tabs>
              <w:tab w:val="right" w:leader="dot" w:pos="9350"/>
            </w:tabs>
            <w:rPr>
              <w:rFonts w:asciiTheme="minorHAnsi" w:hAnsiTheme="minorHAnsi" w:cstheme="minorBidi"/>
              <w:noProof/>
              <w:kern w:val="2"/>
              <w:sz w:val="24"/>
              <w:szCs w:val="24"/>
              <w14:ligatures w14:val="standardContextual"/>
            </w:rPr>
          </w:pPr>
          <w:hyperlink w:history="1" w:anchor="_Toc233633593">
            <w:r w:rsidRPr="00F13730">
              <w:rPr>
                <w:rStyle w:val="Hyperlink"/>
                <w:noProof/>
              </w:rPr>
              <w:t>4.1.</w:t>
            </w:r>
            <w:r>
              <w:rPr>
                <w:rFonts w:asciiTheme="minorHAnsi" w:hAnsiTheme="minorHAnsi" w:cstheme="minorBidi"/>
                <w:noProof/>
                <w:kern w:val="2"/>
                <w:sz w:val="24"/>
                <w:szCs w:val="24"/>
                <w14:ligatures w14:val="standardContextual"/>
              </w:rPr>
              <w:tab/>
            </w:r>
            <w:r w:rsidRPr="00F13730">
              <w:rPr>
                <w:rStyle w:val="Hyperlink"/>
                <w:noProof/>
              </w:rPr>
              <w:t>Affected Customer</w:t>
            </w:r>
            <w:r>
              <w:rPr>
                <w:noProof/>
                <w:webHidden/>
              </w:rPr>
              <w:tab/>
            </w:r>
            <w:r>
              <w:rPr>
                <w:noProof/>
                <w:webHidden/>
              </w:rPr>
              <w:fldChar w:fldCharType="begin"/>
            </w:r>
            <w:r>
              <w:rPr>
                <w:noProof/>
                <w:webHidden/>
              </w:rPr>
              <w:instrText xml:space="preserve"> PAGEREF _Toc233633593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17D48FB1" w14:textId="4331340A">
          <w:pPr>
            <w:pStyle w:val="TOC2"/>
            <w:tabs>
              <w:tab w:val="right" w:leader="dot" w:pos="9350"/>
            </w:tabs>
            <w:rPr>
              <w:rFonts w:asciiTheme="minorHAnsi" w:hAnsiTheme="minorHAnsi" w:cstheme="minorBidi"/>
              <w:noProof/>
              <w:kern w:val="2"/>
              <w:sz w:val="24"/>
              <w:szCs w:val="24"/>
              <w14:ligatures w14:val="standardContextual"/>
            </w:rPr>
          </w:pPr>
          <w:hyperlink w:history="1" w:anchor="_Toc233633594">
            <w:r w:rsidRPr="00F13730">
              <w:rPr>
                <w:rStyle w:val="Hyperlink"/>
                <w:noProof/>
              </w:rPr>
              <w:t>4.2.</w:t>
            </w:r>
            <w:r>
              <w:rPr>
                <w:rFonts w:asciiTheme="minorHAnsi" w:hAnsiTheme="minorHAnsi" w:cstheme="minorBidi"/>
                <w:noProof/>
                <w:kern w:val="2"/>
                <w:sz w:val="24"/>
                <w:szCs w:val="24"/>
                <w14:ligatures w14:val="standardContextual"/>
              </w:rPr>
              <w:tab/>
            </w:r>
            <w:r w:rsidRPr="00F13730">
              <w:rPr>
                <w:rStyle w:val="Hyperlink"/>
                <w:noProof/>
              </w:rPr>
              <w:t>Coordinating Entities</w:t>
            </w:r>
            <w:r>
              <w:rPr>
                <w:noProof/>
                <w:webHidden/>
              </w:rPr>
              <w:tab/>
            </w:r>
            <w:r>
              <w:rPr>
                <w:noProof/>
                <w:webHidden/>
              </w:rPr>
              <w:fldChar w:fldCharType="begin"/>
            </w:r>
            <w:r>
              <w:rPr>
                <w:noProof/>
                <w:webHidden/>
              </w:rPr>
              <w:instrText xml:space="preserve"> PAGEREF _Toc233633594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50993804" w14:textId="727CD205">
          <w:pPr>
            <w:pStyle w:val="TOC2"/>
            <w:tabs>
              <w:tab w:val="right" w:leader="dot" w:pos="9350"/>
            </w:tabs>
            <w:rPr>
              <w:rFonts w:asciiTheme="minorHAnsi" w:hAnsiTheme="minorHAnsi" w:cstheme="minorBidi"/>
              <w:noProof/>
              <w:kern w:val="2"/>
              <w:sz w:val="24"/>
              <w:szCs w:val="24"/>
              <w14:ligatures w14:val="standardContextual"/>
            </w:rPr>
          </w:pPr>
          <w:hyperlink w:history="1" w:anchor="_Toc233633595">
            <w:r w:rsidRPr="00F13730">
              <w:rPr>
                <w:rStyle w:val="Hyperlink"/>
                <w:noProof/>
              </w:rPr>
              <w:t>4.3.</w:t>
            </w:r>
            <w:r>
              <w:rPr>
                <w:rFonts w:asciiTheme="minorHAnsi" w:hAnsiTheme="minorHAnsi" w:cstheme="minorBidi"/>
                <w:noProof/>
                <w:kern w:val="2"/>
                <w:sz w:val="24"/>
                <w:szCs w:val="24"/>
                <w14:ligatures w14:val="standardContextual"/>
              </w:rPr>
              <w:tab/>
            </w:r>
            <w:r w:rsidRPr="00F13730">
              <w:rPr>
                <w:rStyle w:val="Hyperlink"/>
                <w:noProof/>
              </w:rPr>
              <w:t>Gas Corporation</w:t>
            </w:r>
            <w:r>
              <w:rPr>
                <w:noProof/>
                <w:webHidden/>
              </w:rPr>
              <w:tab/>
            </w:r>
            <w:r>
              <w:rPr>
                <w:noProof/>
                <w:webHidden/>
              </w:rPr>
              <w:fldChar w:fldCharType="begin"/>
            </w:r>
            <w:r>
              <w:rPr>
                <w:noProof/>
                <w:webHidden/>
              </w:rPr>
              <w:instrText xml:space="preserve"> PAGEREF _Toc233633595 \h </w:instrText>
            </w:r>
            <w:r>
              <w:rPr>
                <w:noProof/>
                <w:webHidden/>
              </w:rPr>
            </w:r>
            <w:r>
              <w:rPr>
                <w:noProof/>
                <w:webHidden/>
              </w:rPr>
              <w:fldChar w:fldCharType="separate"/>
            </w:r>
            <w:r>
              <w:rPr>
                <w:noProof/>
                <w:webHidden/>
              </w:rPr>
              <w:t>9</w:t>
            </w:r>
            <w:r>
              <w:rPr>
                <w:noProof/>
                <w:webHidden/>
              </w:rPr>
              <w:fldChar w:fldCharType="end"/>
            </w:r>
          </w:hyperlink>
        </w:p>
        <w:p w:rsidR="00563236" w:rsidRDefault="00563236" w14:paraId="2106CC91" w14:textId="339FA7AB">
          <w:pPr>
            <w:pStyle w:val="TOC2"/>
            <w:tabs>
              <w:tab w:val="right" w:leader="dot" w:pos="9350"/>
            </w:tabs>
            <w:rPr>
              <w:rFonts w:asciiTheme="minorHAnsi" w:hAnsiTheme="minorHAnsi" w:cstheme="minorBidi"/>
              <w:noProof/>
              <w:kern w:val="2"/>
              <w:sz w:val="24"/>
              <w:szCs w:val="24"/>
              <w14:ligatures w14:val="standardContextual"/>
            </w:rPr>
          </w:pPr>
          <w:hyperlink w:history="1" w:anchor="_Toc233633596">
            <w:r w:rsidRPr="00F13730">
              <w:rPr>
                <w:rStyle w:val="Hyperlink"/>
                <w:noProof/>
              </w:rPr>
              <w:t>4.4.</w:t>
            </w:r>
            <w:r>
              <w:rPr>
                <w:rFonts w:asciiTheme="minorHAnsi" w:hAnsiTheme="minorHAnsi" w:cstheme="minorBidi"/>
                <w:noProof/>
                <w:kern w:val="2"/>
                <w:sz w:val="24"/>
                <w:szCs w:val="24"/>
                <w14:ligatures w14:val="standardContextual"/>
              </w:rPr>
              <w:tab/>
            </w:r>
            <w:r w:rsidRPr="00F13730">
              <w:rPr>
                <w:rStyle w:val="Hyperlink"/>
                <w:noProof/>
              </w:rPr>
              <w:t>Master-Metered Properties</w:t>
            </w:r>
            <w:r>
              <w:rPr>
                <w:noProof/>
                <w:webHidden/>
              </w:rPr>
              <w:tab/>
            </w:r>
            <w:r>
              <w:rPr>
                <w:noProof/>
                <w:webHidden/>
              </w:rPr>
              <w:fldChar w:fldCharType="begin"/>
            </w:r>
            <w:r>
              <w:rPr>
                <w:noProof/>
                <w:webHidden/>
              </w:rPr>
              <w:instrText xml:space="preserve"> PAGEREF _Toc233633596 \h </w:instrText>
            </w:r>
            <w:r>
              <w:rPr>
                <w:noProof/>
                <w:webHidden/>
              </w:rPr>
            </w:r>
            <w:r>
              <w:rPr>
                <w:noProof/>
                <w:webHidden/>
              </w:rPr>
              <w:fldChar w:fldCharType="separate"/>
            </w:r>
            <w:r>
              <w:rPr>
                <w:noProof/>
                <w:webHidden/>
              </w:rPr>
              <w:t>9</w:t>
            </w:r>
            <w:r>
              <w:rPr>
                <w:noProof/>
                <w:webHidden/>
              </w:rPr>
              <w:fldChar w:fldCharType="end"/>
            </w:r>
          </w:hyperlink>
        </w:p>
        <w:p w:rsidR="00563236" w:rsidRDefault="00563236" w14:paraId="1CE2ABB9" w14:textId="29AD923F">
          <w:pPr>
            <w:pStyle w:val="TOC2"/>
            <w:tabs>
              <w:tab w:val="right" w:leader="dot" w:pos="9350"/>
            </w:tabs>
            <w:rPr>
              <w:rFonts w:asciiTheme="minorHAnsi" w:hAnsiTheme="minorHAnsi" w:cstheme="minorBidi"/>
              <w:noProof/>
              <w:kern w:val="2"/>
              <w:sz w:val="24"/>
              <w:szCs w:val="24"/>
              <w14:ligatures w14:val="standardContextual"/>
            </w:rPr>
          </w:pPr>
          <w:hyperlink w:history="1" w:anchor="_Toc233633597">
            <w:r w:rsidRPr="00F13730">
              <w:rPr>
                <w:rStyle w:val="Hyperlink"/>
                <w:noProof/>
              </w:rPr>
              <w:t>4.5.</w:t>
            </w:r>
            <w:r>
              <w:rPr>
                <w:rFonts w:asciiTheme="minorHAnsi" w:hAnsiTheme="minorHAnsi" w:cstheme="minorBidi"/>
                <w:noProof/>
                <w:kern w:val="2"/>
                <w:sz w:val="24"/>
                <w:szCs w:val="24"/>
                <w14:ligatures w14:val="standardContextual"/>
              </w:rPr>
              <w:tab/>
            </w:r>
            <w:r w:rsidRPr="00F13730">
              <w:rPr>
                <w:rStyle w:val="Hyperlink"/>
                <w:noProof/>
              </w:rPr>
              <w:t>Prevailing Language</w:t>
            </w:r>
            <w:r>
              <w:rPr>
                <w:noProof/>
                <w:webHidden/>
              </w:rPr>
              <w:tab/>
            </w:r>
            <w:r>
              <w:rPr>
                <w:noProof/>
                <w:webHidden/>
              </w:rPr>
              <w:fldChar w:fldCharType="begin"/>
            </w:r>
            <w:r>
              <w:rPr>
                <w:noProof/>
                <w:webHidden/>
              </w:rPr>
              <w:instrText xml:space="preserve"> PAGEREF _Toc233633597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3EE291E7" w14:textId="08B1CA66">
          <w:pPr>
            <w:pStyle w:val="TOC2"/>
            <w:tabs>
              <w:tab w:val="right" w:leader="dot" w:pos="9350"/>
            </w:tabs>
            <w:rPr>
              <w:rFonts w:asciiTheme="minorHAnsi" w:hAnsiTheme="minorHAnsi" w:cstheme="minorBidi"/>
              <w:noProof/>
              <w:kern w:val="2"/>
              <w:sz w:val="24"/>
              <w:szCs w:val="24"/>
              <w14:ligatures w14:val="standardContextual"/>
            </w:rPr>
          </w:pPr>
          <w:hyperlink w:history="1" w:anchor="_Toc233633598">
            <w:r w:rsidRPr="00F13730">
              <w:rPr>
                <w:rStyle w:val="Hyperlink"/>
                <w:noProof/>
              </w:rPr>
              <w:t>4.6.</w:t>
            </w:r>
            <w:r>
              <w:rPr>
                <w:rFonts w:asciiTheme="minorHAnsi" w:hAnsiTheme="minorHAnsi" w:cstheme="minorBidi"/>
                <w:noProof/>
                <w:kern w:val="2"/>
                <w:sz w:val="24"/>
                <w:szCs w:val="24"/>
                <w14:ligatures w14:val="standardContextual"/>
              </w:rPr>
              <w:tab/>
            </w:r>
            <w:r w:rsidRPr="00F13730">
              <w:rPr>
                <w:rStyle w:val="Hyperlink"/>
                <w:noProof/>
              </w:rPr>
              <w:t>Property Owner</w:t>
            </w:r>
            <w:r>
              <w:rPr>
                <w:noProof/>
                <w:webHidden/>
              </w:rPr>
              <w:tab/>
            </w:r>
            <w:r>
              <w:rPr>
                <w:noProof/>
                <w:webHidden/>
              </w:rPr>
              <w:fldChar w:fldCharType="begin"/>
            </w:r>
            <w:r>
              <w:rPr>
                <w:noProof/>
                <w:webHidden/>
              </w:rPr>
              <w:instrText xml:space="preserve"> PAGEREF _Toc233633598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15041F84" w14:textId="683986E3">
          <w:pPr>
            <w:pStyle w:val="TOC2"/>
            <w:tabs>
              <w:tab w:val="right" w:leader="dot" w:pos="9350"/>
            </w:tabs>
            <w:rPr>
              <w:rFonts w:asciiTheme="minorHAnsi" w:hAnsiTheme="minorHAnsi" w:cstheme="minorBidi"/>
              <w:noProof/>
              <w:kern w:val="2"/>
              <w:sz w:val="24"/>
              <w:szCs w:val="24"/>
              <w14:ligatures w14:val="standardContextual"/>
            </w:rPr>
          </w:pPr>
          <w:hyperlink w:history="1" w:anchor="_Toc233633599">
            <w:r w:rsidRPr="00F13730">
              <w:rPr>
                <w:rStyle w:val="Hyperlink"/>
                <w:noProof/>
              </w:rPr>
              <w:t>4.7.</w:t>
            </w:r>
            <w:r>
              <w:rPr>
                <w:rFonts w:asciiTheme="minorHAnsi" w:hAnsiTheme="minorHAnsi" w:cstheme="minorBidi"/>
                <w:noProof/>
                <w:kern w:val="2"/>
                <w:sz w:val="24"/>
                <w:szCs w:val="24"/>
                <w14:ligatures w14:val="standardContextual"/>
              </w:rPr>
              <w:tab/>
            </w:r>
            <w:r w:rsidRPr="00F13730">
              <w:rPr>
                <w:rStyle w:val="Hyperlink"/>
                <w:noProof/>
              </w:rPr>
              <w:t>Zero-Emission Alternative</w:t>
            </w:r>
            <w:r>
              <w:rPr>
                <w:noProof/>
                <w:webHidden/>
              </w:rPr>
              <w:tab/>
            </w:r>
            <w:r>
              <w:rPr>
                <w:noProof/>
                <w:webHidden/>
              </w:rPr>
              <w:fldChar w:fldCharType="begin"/>
            </w:r>
            <w:r>
              <w:rPr>
                <w:noProof/>
                <w:webHidden/>
              </w:rPr>
              <w:instrText xml:space="preserve"> PAGEREF _Toc233633599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5A39C133" w14:textId="3B5A1DCC">
          <w:pPr>
            <w:pStyle w:val="TOC1"/>
            <w:tabs>
              <w:tab w:val="right" w:leader="dot" w:pos="9350"/>
            </w:tabs>
            <w:rPr>
              <w:rFonts w:asciiTheme="minorHAnsi" w:hAnsiTheme="minorHAnsi" w:cstheme="minorBidi"/>
              <w:noProof/>
              <w:kern w:val="2"/>
              <w:sz w:val="24"/>
              <w:szCs w:val="24"/>
              <w14:ligatures w14:val="standardContextual"/>
            </w:rPr>
          </w:pPr>
          <w:hyperlink w:history="1" w:anchor="_Toc233633600">
            <w:r w:rsidRPr="00F13730">
              <w:rPr>
                <w:rStyle w:val="Hyperlink"/>
                <w:noProof/>
              </w:rPr>
              <w:t>5.</w:t>
            </w:r>
            <w:r>
              <w:rPr>
                <w:rFonts w:asciiTheme="minorHAnsi" w:hAnsiTheme="minorHAnsi" w:cstheme="minorBidi"/>
                <w:noProof/>
                <w:kern w:val="2"/>
                <w:sz w:val="24"/>
                <w:szCs w:val="24"/>
                <w14:ligatures w14:val="standardContextual"/>
              </w:rPr>
              <w:tab/>
            </w:r>
            <w:r w:rsidRPr="00F13730">
              <w:rPr>
                <w:rStyle w:val="Hyperlink"/>
                <w:noProof/>
              </w:rPr>
              <w:t>Project Proposal Submission Process</w:t>
            </w:r>
            <w:r>
              <w:rPr>
                <w:noProof/>
                <w:webHidden/>
              </w:rPr>
              <w:tab/>
            </w:r>
            <w:r>
              <w:rPr>
                <w:noProof/>
                <w:webHidden/>
              </w:rPr>
              <w:fldChar w:fldCharType="begin"/>
            </w:r>
            <w:r>
              <w:rPr>
                <w:noProof/>
                <w:webHidden/>
              </w:rPr>
              <w:instrText xml:space="preserve"> PAGEREF _Toc233633600 \h </w:instrText>
            </w:r>
            <w:r>
              <w:rPr>
                <w:noProof/>
                <w:webHidden/>
              </w:rPr>
            </w:r>
            <w:r>
              <w:rPr>
                <w:noProof/>
                <w:webHidden/>
              </w:rPr>
              <w:fldChar w:fldCharType="separate"/>
            </w:r>
            <w:r>
              <w:rPr>
                <w:noProof/>
                <w:webHidden/>
              </w:rPr>
              <w:t>13</w:t>
            </w:r>
            <w:r>
              <w:rPr>
                <w:noProof/>
                <w:webHidden/>
              </w:rPr>
              <w:fldChar w:fldCharType="end"/>
            </w:r>
          </w:hyperlink>
        </w:p>
        <w:p w:rsidR="00563236" w:rsidRDefault="00563236" w14:paraId="74B5AED8" w14:textId="2F567EB7">
          <w:pPr>
            <w:pStyle w:val="TOC2"/>
            <w:tabs>
              <w:tab w:val="right" w:leader="dot" w:pos="9350"/>
            </w:tabs>
            <w:rPr>
              <w:rFonts w:asciiTheme="minorHAnsi" w:hAnsiTheme="minorHAnsi" w:cstheme="minorBidi"/>
              <w:noProof/>
              <w:kern w:val="2"/>
              <w:sz w:val="24"/>
              <w:szCs w:val="24"/>
              <w14:ligatures w14:val="standardContextual"/>
            </w:rPr>
          </w:pPr>
          <w:hyperlink w:history="1" w:anchor="_Toc233633601">
            <w:r w:rsidRPr="00F13730">
              <w:rPr>
                <w:rStyle w:val="Hyperlink"/>
                <w:noProof/>
              </w:rPr>
              <w:t>5.1.</w:t>
            </w:r>
            <w:r>
              <w:rPr>
                <w:rFonts w:asciiTheme="minorHAnsi" w:hAnsiTheme="minorHAnsi" w:cstheme="minorBidi"/>
                <w:noProof/>
                <w:kern w:val="2"/>
                <w:sz w:val="24"/>
                <w:szCs w:val="24"/>
                <w14:ligatures w14:val="standardContextual"/>
              </w:rPr>
              <w:tab/>
            </w:r>
            <w:r w:rsidRPr="00F13730">
              <w:rPr>
                <w:rStyle w:val="Hyperlink"/>
                <w:noProof/>
              </w:rPr>
              <w:t>Voluntary Program</w:t>
            </w:r>
            <w:r>
              <w:rPr>
                <w:noProof/>
                <w:webHidden/>
              </w:rPr>
              <w:tab/>
            </w:r>
            <w:r>
              <w:rPr>
                <w:noProof/>
                <w:webHidden/>
              </w:rPr>
              <w:fldChar w:fldCharType="begin"/>
            </w:r>
            <w:r>
              <w:rPr>
                <w:noProof/>
                <w:webHidden/>
              </w:rPr>
              <w:instrText xml:space="preserve"> PAGEREF _Toc233633601 \h </w:instrText>
            </w:r>
            <w:r>
              <w:rPr>
                <w:noProof/>
                <w:webHidden/>
              </w:rPr>
            </w:r>
            <w:r>
              <w:rPr>
                <w:noProof/>
                <w:webHidden/>
              </w:rPr>
              <w:fldChar w:fldCharType="separate"/>
            </w:r>
            <w:r>
              <w:rPr>
                <w:noProof/>
                <w:webHidden/>
              </w:rPr>
              <w:t>13</w:t>
            </w:r>
            <w:r>
              <w:rPr>
                <w:noProof/>
                <w:webHidden/>
              </w:rPr>
              <w:fldChar w:fldCharType="end"/>
            </w:r>
          </w:hyperlink>
        </w:p>
        <w:p w:rsidR="00563236" w:rsidRDefault="00563236" w14:paraId="79019531" w14:textId="76700C9C">
          <w:pPr>
            <w:pStyle w:val="TOC2"/>
            <w:tabs>
              <w:tab w:val="right" w:leader="dot" w:pos="9350"/>
            </w:tabs>
            <w:rPr>
              <w:rFonts w:asciiTheme="minorHAnsi" w:hAnsiTheme="minorHAnsi" w:cstheme="minorBidi"/>
              <w:noProof/>
              <w:kern w:val="2"/>
              <w:sz w:val="24"/>
              <w:szCs w:val="24"/>
              <w14:ligatures w14:val="standardContextual"/>
            </w:rPr>
          </w:pPr>
          <w:hyperlink w:history="1" w:anchor="_Toc233633602">
            <w:r w:rsidRPr="00F13730">
              <w:rPr>
                <w:rStyle w:val="Hyperlink"/>
                <w:noProof/>
              </w:rPr>
              <w:t>5.2.</w:t>
            </w:r>
            <w:r>
              <w:rPr>
                <w:rFonts w:asciiTheme="minorHAnsi" w:hAnsiTheme="minorHAnsi" w:cstheme="minorBidi"/>
                <w:noProof/>
                <w:kern w:val="2"/>
                <w:sz w:val="24"/>
                <w:szCs w:val="24"/>
                <w14:ligatures w14:val="standardContextual"/>
              </w:rPr>
              <w:tab/>
            </w:r>
            <w:r w:rsidRPr="00F13730">
              <w:rPr>
                <w:rStyle w:val="Hyperlink"/>
                <w:noProof/>
              </w:rPr>
              <w:t>Applications versus Advice Letters</w:t>
            </w:r>
            <w:r>
              <w:rPr>
                <w:noProof/>
                <w:webHidden/>
              </w:rPr>
              <w:tab/>
            </w:r>
            <w:r>
              <w:rPr>
                <w:noProof/>
                <w:webHidden/>
              </w:rPr>
              <w:fldChar w:fldCharType="begin"/>
            </w:r>
            <w:r>
              <w:rPr>
                <w:noProof/>
                <w:webHidden/>
              </w:rPr>
              <w:instrText xml:space="preserve"> PAGEREF _Toc233633602 \h </w:instrText>
            </w:r>
            <w:r>
              <w:rPr>
                <w:noProof/>
                <w:webHidden/>
              </w:rPr>
            </w:r>
            <w:r>
              <w:rPr>
                <w:noProof/>
                <w:webHidden/>
              </w:rPr>
              <w:fldChar w:fldCharType="separate"/>
            </w:r>
            <w:r>
              <w:rPr>
                <w:noProof/>
                <w:webHidden/>
              </w:rPr>
              <w:t>14</w:t>
            </w:r>
            <w:r>
              <w:rPr>
                <w:noProof/>
                <w:webHidden/>
              </w:rPr>
              <w:fldChar w:fldCharType="end"/>
            </w:r>
          </w:hyperlink>
        </w:p>
        <w:p w:rsidR="00563236" w:rsidRDefault="00563236" w14:paraId="4CC57B66" w14:textId="0946C605">
          <w:pPr>
            <w:pStyle w:val="TOC2"/>
            <w:tabs>
              <w:tab w:val="right" w:leader="dot" w:pos="9350"/>
            </w:tabs>
            <w:rPr>
              <w:rFonts w:asciiTheme="minorHAnsi" w:hAnsiTheme="minorHAnsi" w:cstheme="minorBidi"/>
              <w:noProof/>
              <w:kern w:val="2"/>
              <w:sz w:val="24"/>
              <w:szCs w:val="24"/>
              <w14:ligatures w14:val="standardContextual"/>
            </w:rPr>
          </w:pPr>
          <w:hyperlink w:history="1" w:anchor="_Toc233633603">
            <w:r w:rsidRPr="00F13730">
              <w:rPr>
                <w:rStyle w:val="Hyperlink"/>
                <w:noProof/>
              </w:rPr>
              <w:t>5.3.</w:t>
            </w:r>
            <w:r>
              <w:rPr>
                <w:rFonts w:asciiTheme="minorHAnsi" w:hAnsiTheme="minorHAnsi" w:cstheme="minorBidi"/>
                <w:noProof/>
                <w:kern w:val="2"/>
                <w:sz w:val="24"/>
                <w:szCs w:val="24"/>
                <w14:ligatures w14:val="standardContextual"/>
              </w:rPr>
              <w:tab/>
            </w:r>
            <w:r w:rsidRPr="00F13730">
              <w:rPr>
                <w:rStyle w:val="Hyperlink"/>
                <w:noProof/>
              </w:rPr>
              <w:t>Application Submission Schedule</w:t>
            </w:r>
            <w:r>
              <w:rPr>
                <w:noProof/>
                <w:webHidden/>
              </w:rPr>
              <w:tab/>
            </w:r>
            <w:r>
              <w:rPr>
                <w:noProof/>
                <w:webHidden/>
              </w:rPr>
              <w:fldChar w:fldCharType="begin"/>
            </w:r>
            <w:r>
              <w:rPr>
                <w:noProof/>
                <w:webHidden/>
              </w:rPr>
              <w:instrText xml:space="preserve"> PAGEREF _Toc233633603 \h </w:instrText>
            </w:r>
            <w:r>
              <w:rPr>
                <w:noProof/>
                <w:webHidden/>
              </w:rPr>
            </w:r>
            <w:r>
              <w:rPr>
                <w:noProof/>
                <w:webHidden/>
              </w:rPr>
              <w:fldChar w:fldCharType="separate"/>
            </w:r>
            <w:r>
              <w:rPr>
                <w:noProof/>
                <w:webHidden/>
              </w:rPr>
              <w:t>16</w:t>
            </w:r>
            <w:r>
              <w:rPr>
                <w:noProof/>
                <w:webHidden/>
              </w:rPr>
              <w:fldChar w:fldCharType="end"/>
            </w:r>
          </w:hyperlink>
        </w:p>
        <w:p w:rsidR="00563236" w:rsidRDefault="00563236" w14:paraId="4F1BE8F9" w14:textId="2F36FE27">
          <w:pPr>
            <w:pStyle w:val="TOC2"/>
            <w:tabs>
              <w:tab w:val="right" w:leader="dot" w:pos="9350"/>
            </w:tabs>
            <w:rPr>
              <w:rFonts w:asciiTheme="minorHAnsi" w:hAnsiTheme="minorHAnsi" w:cstheme="minorBidi"/>
              <w:noProof/>
              <w:kern w:val="2"/>
              <w:sz w:val="24"/>
              <w:szCs w:val="24"/>
              <w14:ligatures w14:val="standardContextual"/>
            </w:rPr>
          </w:pPr>
          <w:hyperlink w:history="1" w:anchor="_Toc233633604">
            <w:r w:rsidRPr="00F13730">
              <w:rPr>
                <w:rStyle w:val="Hyperlink"/>
                <w:noProof/>
              </w:rPr>
              <w:t>5.4.</w:t>
            </w:r>
            <w:r>
              <w:rPr>
                <w:rFonts w:asciiTheme="minorHAnsi" w:hAnsiTheme="minorHAnsi" w:cstheme="minorBidi"/>
                <w:noProof/>
                <w:kern w:val="2"/>
                <w:sz w:val="24"/>
                <w:szCs w:val="24"/>
                <w14:ligatures w14:val="standardContextual"/>
              </w:rPr>
              <w:tab/>
            </w:r>
            <w:r w:rsidRPr="00F13730">
              <w:rPr>
                <w:rStyle w:val="Hyperlink"/>
                <w:noProof/>
              </w:rPr>
              <w:t>Maximum Number and Size of Projects Per Application</w:t>
            </w:r>
            <w:r>
              <w:rPr>
                <w:noProof/>
                <w:webHidden/>
              </w:rPr>
              <w:tab/>
            </w:r>
            <w:r>
              <w:rPr>
                <w:noProof/>
                <w:webHidden/>
              </w:rPr>
              <w:fldChar w:fldCharType="begin"/>
            </w:r>
            <w:r>
              <w:rPr>
                <w:noProof/>
                <w:webHidden/>
              </w:rPr>
              <w:instrText xml:space="preserve"> PAGEREF _Toc233633604 \h </w:instrText>
            </w:r>
            <w:r>
              <w:rPr>
                <w:noProof/>
                <w:webHidden/>
              </w:rPr>
            </w:r>
            <w:r>
              <w:rPr>
                <w:noProof/>
                <w:webHidden/>
              </w:rPr>
              <w:fldChar w:fldCharType="separate"/>
            </w:r>
            <w:r>
              <w:rPr>
                <w:noProof/>
                <w:webHidden/>
              </w:rPr>
              <w:t>17</w:t>
            </w:r>
            <w:r>
              <w:rPr>
                <w:noProof/>
                <w:webHidden/>
              </w:rPr>
              <w:fldChar w:fldCharType="end"/>
            </w:r>
          </w:hyperlink>
        </w:p>
        <w:p w:rsidR="00563236" w:rsidRDefault="00563236" w14:paraId="7CC56807" w14:textId="65C06D58">
          <w:pPr>
            <w:pStyle w:val="TOC1"/>
            <w:tabs>
              <w:tab w:val="right" w:leader="dot" w:pos="9350"/>
            </w:tabs>
            <w:rPr>
              <w:rFonts w:asciiTheme="minorHAnsi" w:hAnsiTheme="minorHAnsi" w:cstheme="minorBidi"/>
              <w:noProof/>
              <w:kern w:val="2"/>
              <w:sz w:val="24"/>
              <w:szCs w:val="24"/>
              <w14:ligatures w14:val="standardContextual"/>
            </w:rPr>
          </w:pPr>
          <w:hyperlink w:history="1" w:anchor="_Toc233633605">
            <w:r w:rsidRPr="00F13730">
              <w:rPr>
                <w:rStyle w:val="Hyperlink"/>
                <w:noProof/>
              </w:rPr>
              <w:t>6.</w:t>
            </w:r>
            <w:r>
              <w:rPr>
                <w:rFonts w:asciiTheme="minorHAnsi" w:hAnsiTheme="minorHAnsi" w:cstheme="minorBidi"/>
                <w:noProof/>
                <w:kern w:val="2"/>
                <w:sz w:val="24"/>
                <w:szCs w:val="24"/>
                <w14:ligatures w14:val="standardContextual"/>
              </w:rPr>
              <w:tab/>
            </w:r>
            <w:r w:rsidRPr="00F13730">
              <w:rPr>
                <w:rStyle w:val="Hyperlink"/>
                <w:noProof/>
              </w:rPr>
              <w:t>Project Parameters and Application Development Requirements</w:t>
            </w:r>
            <w:r>
              <w:rPr>
                <w:noProof/>
                <w:webHidden/>
              </w:rPr>
              <w:tab/>
            </w:r>
            <w:r>
              <w:rPr>
                <w:noProof/>
                <w:webHidden/>
              </w:rPr>
              <w:fldChar w:fldCharType="begin"/>
            </w:r>
            <w:r>
              <w:rPr>
                <w:noProof/>
                <w:webHidden/>
              </w:rPr>
              <w:instrText xml:space="preserve"> PAGEREF _Toc233633605 \h </w:instrText>
            </w:r>
            <w:r>
              <w:rPr>
                <w:noProof/>
                <w:webHidden/>
              </w:rPr>
            </w:r>
            <w:r>
              <w:rPr>
                <w:noProof/>
                <w:webHidden/>
              </w:rPr>
              <w:fldChar w:fldCharType="separate"/>
            </w:r>
            <w:r>
              <w:rPr>
                <w:noProof/>
                <w:webHidden/>
              </w:rPr>
              <w:t>21</w:t>
            </w:r>
            <w:r>
              <w:rPr>
                <w:noProof/>
                <w:webHidden/>
              </w:rPr>
              <w:fldChar w:fldCharType="end"/>
            </w:r>
          </w:hyperlink>
        </w:p>
        <w:p w:rsidR="00563236" w:rsidRDefault="00563236" w14:paraId="3C34D100" w14:textId="1B3791D6">
          <w:pPr>
            <w:pStyle w:val="TOC2"/>
            <w:tabs>
              <w:tab w:val="right" w:leader="dot" w:pos="9350"/>
            </w:tabs>
            <w:rPr>
              <w:rFonts w:asciiTheme="minorHAnsi" w:hAnsiTheme="minorHAnsi" w:cstheme="minorBidi"/>
              <w:noProof/>
              <w:kern w:val="2"/>
              <w:sz w:val="24"/>
              <w:szCs w:val="24"/>
              <w14:ligatures w14:val="standardContextual"/>
            </w:rPr>
          </w:pPr>
          <w:hyperlink w:history="1" w:anchor="_Toc233633606">
            <w:r w:rsidRPr="00F13730">
              <w:rPr>
                <w:rStyle w:val="Hyperlink"/>
                <w:noProof/>
              </w:rPr>
              <w:t>6.1.</w:t>
            </w:r>
            <w:r>
              <w:rPr>
                <w:rFonts w:asciiTheme="minorHAnsi" w:hAnsiTheme="minorHAnsi" w:cstheme="minorBidi"/>
                <w:noProof/>
                <w:kern w:val="2"/>
                <w:sz w:val="24"/>
                <w:szCs w:val="24"/>
                <w14:ligatures w14:val="standardContextual"/>
              </w:rPr>
              <w:tab/>
            </w:r>
            <w:r w:rsidRPr="00F13730">
              <w:rPr>
                <w:rStyle w:val="Hyperlink"/>
                <w:noProof/>
              </w:rPr>
              <w:t>Project Locations, Sizes, and Boundary Shapes</w:t>
            </w:r>
            <w:r>
              <w:rPr>
                <w:noProof/>
                <w:webHidden/>
              </w:rPr>
              <w:tab/>
            </w:r>
            <w:r>
              <w:rPr>
                <w:noProof/>
                <w:webHidden/>
              </w:rPr>
              <w:fldChar w:fldCharType="begin"/>
            </w:r>
            <w:r>
              <w:rPr>
                <w:noProof/>
                <w:webHidden/>
              </w:rPr>
              <w:instrText xml:space="preserve"> PAGEREF _Toc233633606 \h </w:instrText>
            </w:r>
            <w:r>
              <w:rPr>
                <w:noProof/>
                <w:webHidden/>
              </w:rPr>
            </w:r>
            <w:r>
              <w:rPr>
                <w:noProof/>
                <w:webHidden/>
              </w:rPr>
              <w:fldChar w:fldCharType="separate"/>
            </w:r>
            <w:r>
              <w:rPr>
                <w:noProof/>
                <w:webHidden/>
              </w:rPr>
              <w:t>21</w:t>
            </w:r>
            <w:r>
              <w:rPr>
                <w:noProof/>
                <w:webHidden/>
              </w:rPr>
              <w:fldChar w:fldCharType="end"/>
            </w:r>
          </w:hyperlink>
        </w:p>
        <w:p w:rsidR="00563236" w:rsidRDefault="00563236" w14:paraId="5142BB99" w14:textId="3475524F">
          <w:pPr>
            <w:pStyle w:val="TOC2"/>
            <w:tabs>
              <w:tab w:val="right" w:leader="dot" w:pos="9350"/>
            </w:tabs>
            <w:rPr>
              <w:rFonts w:asciiTheme="minorHAnsi" w:hAnsiTheme="minorHAnsi" w:cstheme="minorBidi"/>
              <w:noProof/>
              <w:kern w:val="2"/>
              <w:sz w:val="24"/>
              <w:szCs w:val="24"/>
              <w14:ligatures w14:val="standardContextual"/>
            </w:rPr>
          </w:pPr>
          <w:hyperlink w:history="1" w:anchor="_Toc233633607">
            <w:r w:rsidRPr="00F13730">
              <w:rPr>
                <w:rStyle w:val="Hyperlink"/>
                <w:noProof/>
              </w:rPr>
              <w:t>6.2.</w:t>
            </w:r>
            <w:r>
              <w:rPr>
                <w:rFonts w:asciiTheme="minorHAnsi" w:hAnsiTheme="minorHAnsi" w:cstheme="minorBidi"/>
                <w:noProof/>
                <w:kern w:val="2"/>
                <w:sz w:val="24"/>
                <w:szCs w:val="24"/>
                <w14:ligatures w14:val="standardContextual"/>
              </w:rPr>
              <w:tab/>
            </w:r>
            <w:r w:rsidRPr="00F13730">
              <w:rPr>
                <w:rStyle w:val="Hyperlink"/>
                <w:noProof/>
              </w:rPr>
              <w:t>Customer Offerings</w:t>
            </w:r>
            <w:r>
              <w:rPr>
                <w:noProof/>
                <w:webHidden/>
              </w:rPr>
              <w:tab/>
            </w:r>
            <w:r>
              <w:rPr>
                <w:noProof/>
                <w:webHidden/>
              </w:rPr>
              <w:fldChar w:fldCharType="begin"/>
            </w:r>
            <w:r>
              <w:rPr>
                <w:noProof/>
                <w:webHidden/>
              </w:rPr>
              <w:instrText xml:space="preserve"> PAGEREF _Toc233633607 \h </w:instrText>
            </w:r>
            <w:r>
              <w:rPr>
                <w:noProof/>
                <w:webHidden/>
              </w:rPr>
            </w:r>
            <w:r>
              <w:rPr>
                <w:noProof/>
                <w:webHidden/>
              </w:rPr>
              <w:fldChar w:fldCharType="separate"/>
            </w:r>
            <w:r>
              <w:rPr>
                <w:noProof/>
                <w:webHidden/>
              </w:rPr>
              <w:t>24</w:t>
            </w:r>
            <w:r>
              <w:rPr>
                <w:noProof/>
                <w:webHidden/>
              </w:rPr>
              <w:fldChar w:fldCharType="end"/>
            </w:r>
          </w:hyperlink>
        </w:p>
        <w:p w:rsidR="00563236" w:rsidRDefault="00563236" w14:paraId="0823CB2E" w14:textId="16966C3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08">
            <w:r w:rsidRPr="00F13730">
              <w:rPr>
                <w:rStyle w:val="Hyperlink"/>
                <w:noProof/>
              </w:rPr>
              <w:t>6.2.1.</w:t>
            </w:r>
            <w:r>
              <w:rPr>
                <w:rFonts w:asciiTheme="minorHAnsi" w:hAnsiTheme="minorHAnsi" w:cstheme="minorBidi"/>
                <w:noProof/>
                <w:kern w:val="2"/>
                <w:sz w:val="24"/>
                <w:szCs w:val="24"/>
                <w14:ligatures w14:val="standardContextual"/>
              </w:rPr>
              <w:tab/>
            </w:r>
            <w:r w:rsidRPr="00F13730">
              <w:rPr>
                <w:rStyle w:val="Hyperlink"/>
                <w:noProof/>
              </w:rPr>
              <w:t>Appliance Replacement and Home Remediation</w:t>
            </w:r>
            <w:r>
              <w:rPr>
                <w:noProof/>
                <w:webHidden/>
              </w:rPr>
              <w:tab/>
            </w:r>
            <w:r>
              <w:rPr>
                <w:noProof/>
                <w:webHidden/>
              </w:rPr>
              <w:fldChar w:fldCharType="begin"/>
            </w:r>
            <w:r>
              <w:rPr>
                <w:noProof/>
                <w:webHidden/>
              </w:rPr>
              <w:instrText xml:space="preserve"> PAGEREF _Toc233633608 \h </w:instrText>
            </w:r>
            <w:r>
              <w:rPr>
                <w:noProof/>
                <w:webHidden/>
              </w:rPr>
            </w:r>
            <w:r>
              <w:rPr>
                <w:noProof/>
                <w:webHidden/>
              </w:rPr>
              <w:fldChar w:fldCharType="separate"/>
            </w:r>
            <w:r>
              <w:rPr>
                <w:noProof/>
                <w:webHidden/>
              </w:rPr>
              <w:t>24</w:t>
            </w:r>
            <w:r>
              <w:rPr>
                <w:noProof/>
                <w:webHidden/>
              </w:rPr>
              <w:fldChar w:fldCharType="end"/>
            </w:r>
          </w:hyperlink>
        </w:p>
        <w:p w:rsidR="00563236" w:rsidRDefault="00563236" w14:paraId="60365B15" w14:textId="484886E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09">
            <w:r w:rsidRPr="00F13730">
              <w:rPr>
                <w:rStyle w:val="Hyperlink"/>
                <w:noProof/>
              </w:rPr>
              <w:t>6.2.2.</w:t>
            </w:r>
            <w:r>
              <w:rPr>
                <w:rFonts w:asciiTheme="minorHAnsi" w:hAnsiTheme="minorHAnsi" w:cstheme="minorBidi"/>
                <w:noProof/>
                <w:kern w:val="2"/>
                <w:sz w:val="24"/>
                <w:szCs w:val="24"/>
                <w14:ligatures w14:val="standardContextual"/>
              </w:rPr>
              <w:tab/>
            </w:r>
            <w:r w:rsidRPr="00F13730">
              <w:rPr>
                <w:rStyle w:val="Hyperlink"/>
                <w:noProof/>
              </w:rPr>
              <w:t>Enrollment in Complementary Programs</w:t>
            </w:r>
            <w:r>
              <w:rPr>
                <w:noProof/>
                <w:webHidden/>
              </w:rPr>
              <w:tab/>
            </w:r>
            <w:r>
              <w:rPr>
                <w:noProof/>
                <w:webHidden/>
              </w:rPr>
              <w:fldChar w:fldCharType="begin"/>
            </w:r>
            <w:r>
              <w:rPr>
                <w:noProof/>
                <w:webHidden/>
              </w:rPr>
              <w:instrText xml:space="preserve"> PAGEREF _Toc233633609 \h </w:instrText>
            </w:r>
            <w:r>
              <w:rPr>
                <w:noProof/>
                <w:webHidden/>
              </w:rPr>
            </w:r>
            <w:r>
              <w:rPr>
                <w:noProof/>
                <w:webHidden/>
              </w:rPr>
              <w:fldChar w:fldCharType="separate"/>
            </w:r>
            <w:r>
              <w:rPr>
                <w:noProof/>
                <w:webHidden/>
              </w:rPr>
              <w:t>27</w:t>
            </w:r>
            <w:r>
              <w:rPr>
                <w:noProof/>
                <w:webHidden/>
              </w:rPr>
              <w:fldChar w:fldCharType="end"/>
            </w:r>
          </w:hyperlink>
        </w:p>
        <w:p w:rsidR="00563236" w:rsidRDefault="00563236" w14:paraId="20511763" w14:textId="77406DD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0">
            <w:r w:rsidRPr="00F13730">
              <w:rPr>
                <w:rStyle w:val="Hyperlink"/>
                <w:noProof/>
              </w:rPr>
              <w:t>6.2.3.</w:t>
            </w:r>
            <w:r>
              <w:rPr>
                <w:rFonts w:asciiTheme="minorHAnsi" w:hAnsiTheme="minorHAnsi" w:cstheme="minorBidi"/>
                <w:noProof/>
                <w:kern w:val="2"/>
                <w:sz w:val="24"/>
                <w:szCs w:val="24"/>
                <w14:ligatures w14:val="standardContextual"/>
              </w:rPr>
              <w:tab/>
            </w:r>
            <w:r w:rsidRPr="00F13730">
              <w:rPr>
                <w:rStyle w:val="Hyperlink"/>
                <w:noProof/>
              </w:rPr>
              <w:t>Further Considerations</w:t>
            </w:r>
            <w:r>
              <w:rPr>
                <w:noProof/>
                <w:webHidden/>
              </w:rPr>
              <w:tab/>
            </w:r>
            <w:r>
              <w:rPr>
                <w:noProof/>
                <w:webHidden/>
              </w:rPr>
              <w:fldChar w:fldCharType="begin"/>
            </w:r>
            <w:r>
              <w:rPr>
                <w:noProof/>
                <w:webHidden/>
              </w:rPr>
              <w:instrText xml:space="preserve"> PAGEREF _Toc233633610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61FAF3E0" w14:textId="3CEC047D">
          <w:pPr>
            <w:pStyle w:val="TOC2"/>
            <w:tabs>
              <w:tab w:val="right" w:leader="dot" w:pos="9350"/>
            </w:tabs>
            <w:rPr>
              <w:rFonts w:asciiTheme="minorHAnsi" w:hAnsiTheme="minorHAnsi" w:cstheme="minorBidi"/>
              <w:noProof/>
              <w:kern w:val="2"/>
              <w:sz w:val="24"/>
              <w:szCs w:val="24"/>
              <w14:ligatures w14:val="standardContextual"/>
            </w:rPr>
          </w:pPr>
          <w:hyperlink w:history="1" w:anchor="_Toc233633611">
            <w:r w:rsidRPr="00F13730">
              <w:rPr>
                <w:rStyle w:val="Hyperlink"/>
                <w:noProof/>
              </w:rPr>
              <w:t>6.3.</w:t>
            </w:r>
            <w:r>
              <w:rPr>
                <w:rFonts w:asciiTheme="minorHAnsi" w:hAnsiTheme="minorHAnsi" w:cstheme="minorBidi"/>
                <w:noProof/>
                <w:kern w:val="2"/>
                <w:sz w:val="24"/>
                <w:szCs w:val="24"/>
                <w14:ligatures w14:val="standardContextual"/>
              </w:rPr>
              <w:tab/>
            </w:r>
            <w:r w:rsidRPr="00F13730">
              <w:rPr>
                <w:rStyle w:val="Hyperlink"/>
                <w:noProof/>
              </w:rPr>
              <w:t>Customer Impacts</w:t>
            </w:r>
            <w:r>
              <w:rPr>
                <w:noProof/>
                <w:webHidden/>
              </w:rPr>
              <w:tab/>
            </w:r>
            <w:r>
              <w:rPr>
                <w:noProof/>
                <w:webHidden/>
              </w:rPr>
              <w:fldChar w:fldCharType="begin"/>
            </w:r>
            <w:r>
              <w:rPr>
                <w:noProof/>
                <w:webHidden/>
              </w:rPr>
              <w:instrText xml:space="preserve"> PAGEREF _Toc233633611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736ABA14" w14:textId="358372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2">
            <w:r w:rsidRPr="00F13730">
              <w:rPr>
                <w:rStyle w:val="Hyperlink"/>
                <w:noProof/>
              </w:rPr>
              <w:t>6.3.1.</w:t>
            </w:r>
            <w:r>
              <w:rPr>
                <w:rFonts w:asciiTheme="minorHAnsi" w:hAnsiTheme="minorHAnsi" w:cstheme="minorBidi"/>
                <w:noProof/>
                <w:kern w:val="2"/>
                <w:sz w:val="24"/>
                <w:szCs w:val="24"/>
                <w14:ligatures w14:val="standardContextual"/>
              </w:rPr>
              <w:tab/>
            </w:r>
            <w:r w:rsidRPr="00F13730">
              <w:rPr>
                <w:rStyle w:val="Hyperlink"/>
                <w:noProof/>
              </w:rPr>
              <w:t>Affordability and Consumer Protections</w:t>
            </w:r>
            <w:r>
              <w:rPr>
                <w:noProof/>
                <w:webHidden/>
              </w:rPr>
              <w:tab/>
            </w:r>
            <w:r>
              <w:rPr>
                <w:noProof/>
                <w:webHidden/>
              </w:rPr>
              <w:fldChar w:fldCharType="begin"/>
            </w:r>
            <w:r>
              <w:rPr>
                <w:noProof/>
                <w:webHidden/>
              </w:rPr>
              <w:instrText xml:space="preserve"> PAGEREF _Toc233633612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60718C12" w14:textId="431C822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3">
            <w:r w:rsidRPr="00F13730">
              <w:rPr>
                <w:rStyle w:val="Hyperlink"/>
                <w:noProof/>
              </w:rPr>
              <w:t>6.3.2.</w:t>
            </w:r>
            <w:r>
              <w:rPr>
                <w:rFonts w:asciiTheme="minorHAnsi" w:hAnsiTheme="minorHAnsi" w:cstheme="minorBidi"/>
                <w:noProof/>
                <w:kern w:val="2"/>
                <w:sz w:val="24"/>
                <w:szCs w:val="24"/>
                <w14:ligatures w14:val="standardContextual"/>
              </w:rPr>
              <w:tab/>
            </w:r>
            <w:r w:rsidRPr="00F13730">
              <w:rPr>
                <w:rStyle w:val="Hyperlink"/>
                <w:noProof/>
              </w:rPr>
              <w:t>Bill Impacts</w:t>
            </w:r>
            <w:r>
              <w:rPr>
                <w:noProof/>
                <w:webHidden/>
              </w:rPr>
              <w:tab/>
            </w:r>
            <w:r>
              <w:rPr>
                <w:noProof/>
                <w:webHidden/>
              </w:rPr>
              <w:fldChar w:fldCharType="begin"/>
            </w:r>
            <w:r>
              <w:rPr>
                <w:noProof/>
                <w:webHidden/>
              </w:rPr>
              <w:instrText xml:space="preserve"> PAGEREF _Toc233633613 \h </w:instrText>
            </w:r>
            <w:r>
              <w:rPr>
                <w:noProof/>
                <w:webHidden/>
              </w:rPr>
            </w:r>
            <w:r>
              <w:rPr>
                <w:noProof/>
                <w:webHidden/>
              </w:rPr>
              <w:fldChar w:fldCharType="separate"/>
            </w:r>
            <w:r>
              <w:rPr>
                <w:noProof/>
                <w:webHidden/>
              </w:rPr>
              <w:t>29</w:t>
            </w:r>
            <w:r>
              <w:rPr>
                <w:noProof/>
                <w:webHidden/>
              </w:rPr>
              <w:fldChar w:fldCharType="end"/>
            </w:r>
          </w:hyperlink>
        </w:p>
        <w:p w:rsidR="00563236" w:rsidRDefault="00563236" w14:paraId="7F1783A6" w14:textId="67D296CF">
          <w:pPr>
            <w:pStyle w:val="TOC2"/>
            <w:tabs>
              <w:tab w:val="right" w:leader="dot" w:pos="9350"/>
            </w:tabs>
            <w:rPr>
              <w:rFonts w:asciiTheme="minorHAnsi" w:hAnsiTheme="minorHAnsi" w:cstheme="minorBidi"/>
              <w:noProof/>
              <w:kern w:val="2"/>
              <w:sz w:val="24"/>
              <w:szCs w:val="24"/>
              <w14:ligatures w14:val="standardContextual"/>
            </w:rPr>
          </w:pPr>
          <w:hyperlink w:history="1" w:anchor="_Toc233633614">
            <w:r w:rsidRPr="00F13730">
              <w:rPr>
                <w:rStyle w:val="Hyperlink"/>
                <w:noProof/>
              </w:rPr>
              <w:t>6.4.</w:t>
            </w:r>
            <w:r>
              <w:rPr>
                <w:rFonts w:asciiTheme="minorHAnsi" w:hAnsiTheme="minorHAnsi" w:cstheme="minorBidi"/>
                <w:noProof/>
                <w:kern w:val="2"/>
                <w:sz w:val="24"/>
                <w:szCs w:val="24"/>
                <w14:ligatures w14:val="standardContextual"/>
              </w:rPr>
              <w:tab/>
            </w:r>
            <w:r w:rsidRPr="00F13730">
              <w:rPr>
                <w:rStyle w:val="Hyperlink"/>
                <w:noProof/>
              </w:rPr>
              <w:t>Infrastructure Impacts</w:t>
            </w:r>
            <w:r>
              <w:rPr>
                <w:noProof/>
                <w:webHidden/>
              </w:rPr>
              <w:tab/>
            </w:r>
            <w:r>
              <w:rPr>
                <w:noProof/>
                <w:webHidden/>
              </w:rPr>
              <w:fldChar w:fldCharType="begin"/>
            </w:r>
            <w:r>
              <w:rPr>
                <w:noProof/>
                <w:webHidden/>
              </w:rPr>
              <w:instrText xml:space="preserve"> PAGEREF _Toc233633614 \h </w:instrText>
            </w:r>
            <w:r>
              <w:rPr>
                <w:noProof/>
                <w:webHidden/>
              </w:rPr>
            </w:r>
            <w:r>
              <w:rPr>
                <w:noProof/>
                <w:webHidden/>
              </w:rPr>
              <w:fldChar w:fldCharType="separate"/>
            </w:r>
            <w:r>
              <w:rPr>
                <w:noProof/>
                <w:webHidden/>
              </w:rPr>
              <w:t>30</w:t>
            </w:r>
            <w:r>
              <w:rPr>
                <w:noProof/>
                <w:webHidden/>
              </w:rPr>
              <w:fldChar w:fldCharType="end"/>
            </w:r>
          </w:hyperlink>
        </w:p>
        <w:p w:rsidR="00563236" w:rsidRDefault="00563236" w14:paraId="442273D6" w14:textId="6611049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5">
            <w:r w:rsidRPr="00F13730">
              <w:rPr>
                <w:rStyle w:val="Hyperlink"/>
                <w:noProof/>
              </w:rPr>
              <w:t>6.4.1.</w:t>
            </w:r>
            <w:r>
              <w:rPr>
                <w:rFonts w:asciiTheme="minorHAnsi" w:hAnsiTheme="minorHAnsi" w:cstheme="minorBidi"/>
                <w:noProof/>
                <w:kern w:val="2"/>
                <w:sz w:val="24"/>
                <w:szCs w:val="24"/>
                <w14:ligatures w14:val="standardContextual"/>
              </w:rPr>
              <w:tab/>
            </w:r>
            <w:r w:rsidRPr="00F13730">
              <w:rPr>
                <w:rStyle w:val="Hyperlink"/>
                <w:noProof/>
              </w:rPr>
              <w:t>Gas Infrastructure</w:t>
            </w:r>
            <w:r>
              <w:rPr>
                <w:noProof/>
                <w:webHidden/>
              </w:rPr>
              <w:tab/>
            </w:r>
            <w:r>
              <w:rPr>
                <w:noProof/>
                <w:webHidden/>
              </w:rPr>
              <w:fldChar w:fldCharType="begin"/>
            </w:r>
            <w:r>
              <w:rPr>
                <w:noProof/>
                <w:webHidden/>
              </w:rPr>
              <w:instrText xml:space="preserve"> PAGEREF _Toc233633615 \h </w:instrText>
            </w:r>
            <w:r>
              <w:rPr>
                <w:noProof/>
                <w:webHidden/>
              </w:rPr>
            </w:r>
            <w:r>
              <w:rPr>
                <w:noProof/>
                <w:webHidden/>
              </w:rPr>
              <w:fldChar w:fldCharType="separate"/>
            </w:r>
            <w:r>
              <w:rPr>
                <w:noProof/>
                <w:webHidden/>
              </w:rPr>
              <w:t>30</w:t>
            </w:r>
            <w:r>
              <w:rPr>
                <w:noProof/>
                <w:webHidden/>
              </w:rPr>
              <w:fldChar w:fldCharType="end"/>
            </w:r>
          </w:hyperlink>
        </w:p>
        <w:p w:rsidR="00563236" w:rsidRDefault="00563236" w14:paraId="78C2AE62" w14:textId="58E17ED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6">
            <w:r w:rsidRPr="00F13730">
              <w:rPr>
                <w:rStyle w:val="Hyperlink"/>
                <w:noProof/>
              </w:rPr>
              <w:t>6.4.2.</w:t>
            </w:r>
            <w:r>
              <w:rPr>
                <w:rFonts w:asciiTheme="minorHAnsi" w:hAnsiTheme="minorHAnsi" w:cstheme="minorBidi"/>
                <w:noProof/>
                <w:kern w:val="2"/>
                <w:sz w:val="24"/>
                <w:szCs w:val="24"/>
                <w14:ligatures w14:val="standardContextual"/>
              </w:rPr>
              <w:tab/>
            </w:r>
            <w:r w:rsidRPr="00F13730">
              <w:rPr>
                <w:rStyle w:val="Hyperlink"/>
                <w:noProof/>
              </w:rPr>
              <w:t>Electric Infrastructure</w:t>
            </w:r>
            <w:r>
              <w:rPr>
                <w:noProof/>
                <w:webHidden/>
              </w:rPr>
              <w:tab/>
            </w:r>
            <w:r>
              <w:rPr>
                <w:noProof/>
                <w:webHidden/>
              </w:rPr>
              <w:fldChar w:fldCharType="begin"/>
            </w:r>
            <w:r>
              <w:rPr>
                <w:noProof/>
                <w:webHidden/>
              </w:rPr>
              <w:instrText xml:space="preserve"> PAGEREF _Toc233633616 \h </w:instrText>
            </w:r>
            <w:r>
              <w:rPr>
                <w:noProof/>
                <w:webHidden/>
              </w:rPr>
            </w:r>
            <w:r>
              <w:rPr>
                <w:noProof/>
                <w:webHidden/>
              </w:rPr>
              <w:fldChar w:fldCharType="separate"/>
            </w:r>
            <w:r>
              <w:rPr>
                <w:noProof/>
                <w:webHidden/>
              </w:rPr>
              <w:t>31</w:t>
            </w:r>
            <w:r>
              <w:rPr>
                <w:noProof/>
                <w:webHidden/>
              </w:rPr>
              <w:fldChar w:fldCharType="end"/>
            </w:r>
          </w:hyperlink>
        </w:p>
        <w:p w:rsidR="00563236" w:rsidRDefault="00563236" w14:paraId="5FA8D70B" w14:textId="0E1D578C">
          <w:pPr>
            <w:pStyle w:val="TOC2"/>
            <w:tabs>
              <w:tab w:val="right" w:leader="dot" w:pos="9350"/>
            </w:tabs>
            <w:rPr>
              <w:rFonts w:asciiTheme="minorHAnsi" w:hAnsiTheme="minorHAnsi" w:cstheme="minorBidi"/>
              <w:noProof/>
              <w:kern w:val="2"/>
              <w:sz w:val="24"/>
              <w:szCs w:val="24"/>
              <w14:ligatures w14:val="standardContextual"/>
            </w:rPr>
          </w:pPr>
          <w:hyperlink w:history="1" w:anchor="_Toc233633617">
            <w:r w:rsidRPr="00F13730">
              <w:rPr>
                <w:rStyle w:val="Hyperlink"/>
                <w:noProof/>
              </w:rPr>
              <w:t>6.5.</w:t>
            </w:r>
            <w:r>
              <w:rPr>
                <w:rFonts w:asciiTheme="minorHAnsi" w:hAnsiTheme="minorHAnsi" w:cstheme="minorBidi"/>
                <w:noProof/>
                <w:kern w:val="2"/>
                <w:sz w:val="24"/>
                <w:szCs w:val="24"/>
                <w14:ligatures w14:val="standardContextual"/>
              </w:rPr>
              <w:tab/>
            </w:r>
            <w:r w:rsidRPr="00F13730">
              <w:rPr>
                <w:rStyle w:val="Hyperlink"/>
                <w:noProof/>
              </w:rPr>
              <w:t>Non-Energy Benefits and Project Prioritization</w:t>
            </w:r>
            <w:r>
              <w:rPr>
                <w:noProof/>
                <w:webHidden/>
              </w:rPr>
              <w:tab/>
            </w:r>
            <w:r>
              <w:rPr>
                <w:noProof/>
                <w:webHidden/>
              </w:rPr>
              <w:fldChar w:fldCharType="begin"/>
            </w:r>
            <w:r>
              <w:rPr>
                <w:noProof/>
                <w:webHidden/>
              </w:rPr>
              <w:instrText xml:space="preserve"> PAGEREF _Toc233633617 \h </w:instrText>
            </w:r>
            <w:r>
              <w:rPr>
                <w:noProof/>
                <w:webHidden/>
              </w:rPr>
            </w:r>
            <w:r>
              <w:rPr>
                <w:noProof/>
                <w:webHidden/>
              </w:rPr>
              <w:fldChar w:fldCharType="separate"/>
            </w:r>
            <w:r>
              <w:rPr>
                <w:noProof/>
                <w:webHidden/>
              </w:rPr>
              <w:t>36</w:t>
            </w:r>
            <w:r>
              <w:rPr>
                <w:noProof/>
                <w:webHidden/>
              </w:rPr>
              <w:fldChar w:fldCharType="end"/>
            </w:r>
          </w:hyperlink>
        </w:p>
        <w:p w:rsidR="00563236" w:rsidRDefault="00563236" w14:paraId="6B4E9B22" w14:textId="1FA7604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8">
            <w:r w:rsidRPr="00F13730">
              <w:rPr>
                <w:rStyle w:val="Hyperlink"/>
                <w:noProof/>
              </w:rPr>
              <w:t>6.5.1.</w:t>
            </w:r>
            <w:r>
              <w:rPr>
                <w:rFonts w:asciiTheme="minorHAnsi" w:hAnsiTheme="minorHAnsi" w:cstheme="minorBidi"/>
                <w:noProof/>
                <w:kern w:val="2"/>
                <w:sz w:val="24"/>
                <w:szCs w:val="24"/>
                <w14:ligatures w14:val="standardContextual"/>
              </w:rPr>
              <w:tab/>
            </w:r>
            <w:r w:rsidRPr="00F13730">
              <w:rPr>
                <w:rStyle w:val="Hyperlink"/>
                <w:noProof/>
              </w:rPr>
              <w:t>Climate Impacts</w:t>
            </w:r>
            <w:r>
              <w:rPr>
                <w:noProof/>
                <w:webHidden/>
              </w:rPr>
              <w:tab/>
            </w:r>
            <w:r>
              <w:rPr>
                <w:noProof/>
                <w:webHidden/>
              </w:rPr>
              <w:fldChar w:fldCharType="begin"/>
            </w:r>
            <w:r>
              <w:rPr>
                <w:noProof/>
                <w:webHidden/>
              </w:rPr>
              <w:instrText xml:space="preserve"> PAGEREF _Toc233633618 \h </w:instrText>
            </w:r>
            <w:r>
              <w:rPr>
                <w:noProof/>
                <w:webHidden/>
              </w:rPr>
            </w:r>
            <w:r>
              <w:rPr>
                <w:noProof/>
                <w:webHidden/>
              </w:rPr>
              <w:fldChar w:fldCharType="separate"/>
            </w:r>
            <w:r>
              <w:rPr>
                <w:noProof/>
                <w:webHidden/>
              </w:rPr>
              <w:t>36</w:t>
            </w:r>
            <w:r>
              <w:rPr>
                <w:noProof/>
                <w:webHidden/>
              </w:rPr>
              <w:fldChar w:fldCharType="end"/>
            </w:r>
          </w:hyperlink>
        </w:p>
        <w:p w:rsidR="00563236" w:rsidRDefault="00563236" w14:paraId="41A254E6" w14:textId="27E5E2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9">
            <w:r w:rsidRPr="00F13730">
              <w:rPr>
                <w:rStyle w:val="Hyperlink"/>
                <w:noProof/>
              </w:rPr>
              <w:t>6.5.2.</w:t>
            </w:r>
            <w:r>
              <w:rPr>
                <w:rFonts w:asciiTheme="minorHAnsi" w:hAnsiTheme="minorHAnsi" w:cstheme="minorBidi"/>
                <w:noProof/>
                <w:kern w:val="2"/>
                <w:sz w:val="24"/>
                <w:szCs w:val="24"/>
                <w14:ligatures w14:val="standardContextual"/>
              </w:rPr>
              <w:tab/>
            </w:r>
            <w:r w:rsidRPr="00F13730">
              <w:rPr>
                <w:rStyle w:val="Hyperlink"/>
                <w:noProof/>
              </w:rPr>
              <w:t>High-Road Jobs</w:t>
            </w:r>
            <w:r>
              <w:rPr>
                <w:noProof/>
                <w:webHidden/>
              </w:rPr>
              <w:tab/>
            </w:r>
            <w:r>
              <w:rPr>
                <w:noProof/>
                <w:webHidden/>
              </w:rPr>
              <w:fldChar w:fldCharType="begin"/>
            </w:r>
            <w:r>
              <w:rPr>
                <w:noProof/>
                <w:webHidden/>
              </w:rPr>
              <w:instrText xml:space="preserve"> PAGEREF _Toc233633619 \h </w:instrText>
            </w:r>
            <w:r>
              <w:rPr>
                <w:noProof/>
                <w:webHidden/>
              </w:rPr>
            </w:r>
            <w:r>
              <w:rPr>
                <w:noProof/>
                <w:webHidden/>
              </w:rPr>
              <w:fldChar w:fldCharType="separate"/>
            </w:r>
            <w:r>
              <w:rPr>
                <w:noProof/>
                <w:webHidden/>
              </w:rPr>
              <w:t>37</w:t>
            </w:r>
            <w:r>
              <w:rPr>
                <w:noProof/>
                <w:webHidden/>
              </w:rPr>
              <w:fldChar w:fldCharType="end"/>
            </w:r>
          </w:hyperlink>
        </w:p>
        <w:p w:rsidR="00563236" w:rsidRDefault="00563236" w14:paraId="0B9FC49D" w14:textId="75B080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0">
            <w:r w:rsidRPr="00F13730">
              <w:rPr>
                <w:rStyle w:val="Hyperlink"/>
                <w:noProof/>
              </w:rPr>
              <w:t>6.5.3.</w:t>
            </w:r>
            <w:r>
              <w:rPr>
                <w:rFonts w:asciiTheme="minorHAnsi" w:hAnsiTheme="minorHAnsi" w:cstheme="minorBidi"/>
                <w:noProof/>
                <w:kern w:val="2"/>
                <w:sz w:val="24"/>
                <w:szCs w:val="24"/>
                <w14:ligatures w14:val="standardContextual"/>
              </w:rPr>
              <w:tab/>
            </w:r>
            <w:r w:rsidRPr="00F13730">
              <w:rPr>
                <w:rStyle w:val="Hyperlink"/>
                <w:noProof/>
              </w:rPr>
              <w:t>Project Prioritization</w:t>
            </w:r>
            <w:r>
              <w:rPr>
                <w:noProof/>
                <w:webHidden/>
              </w:rPr>
              <w:tab/>
            </w:r>
            <w:r>
              <w:rPr>
                <w:noProof/>
                <w:webHidden/>
              </w:rPr>
              <w:fldChar w:fldCharType="begin"/>
            </w:r>
            <w:r>
              <w:rPr>
                <w:noProof/>
                <w:webHidden/>
              </w:rPr>
              <w:instrText xml:space="preserve"> PAGEREF _Toc233633620 \h </w:instrText>
            </w:r>
            <w:r>
              <w:rPr>
                <w:noProof/>
                <w:webHidden/>
              </w:rPr>
            </w:r>
            <w:r>
              <w:rPr>
                <w:noProof/>
                <w:webHidden/>
              </w:rPr>
              <w:fldChar w:fldCharType="separate"/>
            </w:r>
            <w:r>
              <w:rPr>
                <w:noProof/>
                <w:webHidden/>
              </w:rPr>
              <w:t>40</w:t>
            </w:r>
            <w:r>
              <w:rPr>
                <w:noProof/>
                <w:webHidden/>
              </w:rPr>
              <w:fldChar w:fldCharType="end"/>
            </w:r>
          </w:hyperlink>
        </w:p>
        <w:p w:rsidR="00563236" w:rsidRDefault="00563236" w14:paraId="0B467256" w14:textId="5F141AB7">
          <w:pPr>
            <w:pStyle w:val="TOC2"/>
            <w:tabs>
              <w:tab w:val="right" w:leader="dot" w:pos="9350"/>
            </w:tabs>
            <w:rPr>
              <w:rFonts w:asciiTheme="minorHAnsi" w:hAnsiTheme="minorHAnsi" w:cstheme="minorBidi"/>
              <w:noProof/>
              <w:kern w:val="2"/>
              <w:sz w:val="24"/>
              <w:szCs w:val="24"/>
              <w14:ligatures w14:val="standardContextual"/>
            </w:rPr>
          </w:pPr>
          <w:hyperlink w:history="1" w:anchor="_Toc233633621">
            <w:r w:rsidRPr="00F13730">
              <w:rPr>
                <w:rStyle w:val="Hyperlink"/>
                <w:noProof/>
              </w:rPr>
              <w:t>6.6.</w:t>
            </w:r>
            <w:r>
              <w:rPr>
                <w:rFonts w:asciiTheme="minorHAnsi" w:hAnsiTheme="minorHAnsi" w:cstheme="minorBidi"/>
                <w:noProof/>
                <w:kern w:val="2"/>
                <w:sz w:val="24"/>
                <w:szCs w:val="24"/>
                <w14:ligatures w14:val="standardContextual"/>
              </w:rPr>
              <w:tab/>
            </w:r>
            <w:r w:rsidRPr="00F13730">
              <w:rPr>
                <w:rStyle w:val="Hyperlink"/>
                <w:noProof/>
              </w:rPr>
              <w:t>Senate Bill 410 Compliance</w:t>
            </w:r>
            <w:r>
              <w:rPr>
                <w:noProof/>
                <w:webHidden/>
              </w:rPr>
              <w:tab/>
            </w:r>
            <w:r>
              <w:rPr>
                <w:noProof/>
                <w:webHidden/>
              </w:rPr>
              <w:fldChar w:fldCharType="begin"/>
            </w:r>
            <w:r>
              <w:rPr>
                <w:noProof/>
                <w:webHidden/>
              </w:rPr>
              <w:instrText xml:space="preserve"> PAGEREF _Toc233633621 \h </w:instrText>
            </w:r>
            <w:r>
              <w:rPr>
                <w:noProof/>
                <w:webHidden/>
              </w:rPr>
            </w:r>
            <w:r>
              <w:rPr>
                <w:noProof/>
                <w:webHidden/>
              </w:rPr>
              <w:fldChar w:fldCharType="separate"/>
            </w:r>
            <w:r>
              <w:rPr>
                <w:noProof/>
                <w:webHidden/>
              </w:rPr>
              <w:t>41</w:t>
            </w:r>
            <w:r>
              <w:rPr>
                <w:noProof/>
                <w:webHidden/>
              </w:rPr>
              <w:fldChar w:fldCharType="end"/>
            </w:r>
          </w:hyperlink>
        </w:p>
        <w:p w:rsidR="00563236" w:rsidRDefault="00563236" w14:paraId="289D02AB" w14:textId="57F64980">
          <w:pPr>
            <w:pStyle w:val="TOC1"/>
            <w:tabs>
              <w:tab w:val="right" w:leader="dot" w:pos="9350"/>
            </w:tabs>
            <w:rPr>
              <w:rFonts w:asciiTheme="minorHAnsi" w:hAnsiTheme="minorHAnsi" w:cstheme="minorBidi"/>
              <w:noProof/>
              <w:kern w:val="2"/>
              <w:sz w:val="24"/>
              <w:szCs w:val="24"/>
              <w14:ligatures w14:val="standardContextual"/>
            </w:rPr>
          </w:pPr>
          <w:hyperlink w:history="1" w:anchor="_Toc233633622">
            <w:r w:rsidRPr="00F13730">
              <w:rPr>
                <w:rStyle w:val="Hyperlink"/>
                <w:noProof/>
              </w:rPr>
              <w:t>7.</w:t>
            </w:r>
            <w:r>
              <w:rPr>
                <w:rFonts w:asciiTheme="minorHAnsi" w:hAnsiTheme="minorHAnsi" w:cstheme="minorBidi"/>
                <w:noProof/>
                <w:kern w:val="2"/>
                <w:sz w:val="24"/>
                <w:szCs w:val="24"/>
                <w14:ligatures w14:val="standardContextual"/>
              </w:rPr>
              <w:tab/>
            </w:r>
            <w:r w:rsidRPr="00F13730">
              <w:rPr>
                <w:rStyle w:val="Hyperlink"/>
                <w:noProof/>
              </w:rPr>
              <w:t>Coordination Among Stakeholders</w:t>
            </w:r>
            <w:r>
              <w:rPr>
                <w:noProof/>
                <w:webHidden/>
              </w:rPr>
              <w:tab/>
            </w:r>
            <w:r>
              <w:rPr>
                <w:noProof/>
                <w:webHidden/>
              </w:rPr>
              <w:fldChar w:fldCharType="begin"/>
            </w:r>
            <w:r>
              <w:rPr>
                <w:noProof/>
                <w:webHidden/>
              </w:rPr>
              <w:instrText xml:space="preserve"> PAGEREF _Toc233633622 \h </w:instrText>
            </w:r>
            <w:r>
              <w:rPr>
                <w:noProof/>
                <w:webHidden/>
              </w:rPr>
            </w:r>
            <w:r>
              <w:rPr>
                <w:noProof/>
                <w:webHidden/>
              </w:rPr>
              <w:fldChar w:fldCharType="separate"/>
            </w:r>
            <w:r>
              <w:rPr>
                <w:noProof/>
                <w:webHidden/>
              </w:rPr>
              <w:t>42</w:t>
            </w:r>
            <w:r>
              <w:rPr>
                <w:noProof/>
                <w:webHidden/>
              </w:rPr>
              <w:fldChar w:fldCharType="end"/>
            </w:r>
          </w:hyperlink>
        </w:p>
        <w:p w:rsidR="00563236" w:rsidRDefault="00563236" w14:paraId="2A7C2128" w14:textId="165004D1">
          <w:pPr>
            <w:pStyle w:val="TOC2"/>
            <w:tabs>
              <w:tab w:val="right" w:leader="dot" w:pos="9350"/>
            </w:tabs>
            <w:rPr>
              <w:rFonts w:asciiTheme="minorHAnsi" w:hAnsiTheme="minorHAnsi" w:cstheme="minorBidi"/>
              <w:noProof/>
              <w:kern w:val="2"/>
              <w:sz w:val="24"/>
              <w:szCs w:val="24"/>
              <w14:ligatures w14:val="standardContextual"/>
            </w:rPr>
          </w:pPr>
          <w:hyperlink w:history="1" w:anchor="_Toc233633623">
            <w:r w:rsidRPr="00F13730">
              <w:rPr>
                <w:rStyle w:val="Hyperlink"/>
                <w:noProof/>
              </w:rPr>
              <w:t>7.1.</w:t>
            </w:r>
            <w:r>
              <w:rPr>
                <w:rFonts w:asciiTheme="minorHAnsi" w:hAnsiTheme="minorHAnsi" w:cstheme="minorBidi"/>
                <w:noProof/>
                <w:kern w:val="2"/>
                <w:sz w:val="24"/>
                <w:szCs w:val="24"/>
                <w14:ligatures w14:val="standardContextual"/>
              </w:rPr>
              <w:tab/>
            </w:r>
            <w:r w:rsidRPr="00F13730">
              <w:rPr>
                <w:rStyle w:val="Hyperlink"/>
                <w:noProof/>
              </w:rPr>
              <w:t>Information Sharing and Confidentiality Concerns</w:t>
            </w:r>
            <w:r>
              <w:rPr>
                <w:noProof/>
                <w:webHidden/>
              </w:rPr>
              <w:tab/>
            </w:r>
            <w:r>
              <w:rPr>
                <w:noProof/>
                <w:webHidden/>
              </w:rPr>
              <w:fldChar w:fldCharType="begin"/>
            </w:r>
            <w:r>
              <w:rPr>
                <w:noProof/>
                <w:webHidden/>
              </w:rPr>
              <w:instrText xml:space="preserve"> PAGEREF _Toc233633623 \h </w:instrText>
            </w:r>
            <w:r>
              <w:rPr>
                <w:noProof/>
                <w:webHidden/>
              </w:rPr>
            </w:r>
            <w:r>
              <w:rPr>
                <w:noProof/>
                <w:webHidden/>
              </w:rPr>
              <w:fldChar w:fldCharType="separate"/>
            </w:r>
            <w:r>
              <w:rPr>
                <w:noProof/>
                <w:webHidden/>
              </w:rPr>
              <w:t>42</w:t>
            </w:r>
            <w:r>
              <w:rPr>
                <w:noProof/>
                <w:webHidden/>
              </w:rPr>
              <w:fldChar w:fldCharType="end"/>
            </w:r>
          </w:hyperlink>
        </w:p>
        <w:p w:rsidR="00563236" w:rsidRDefault="00563236" w14:paraId="7710B67F" w14:textId="19DDF0B8">
          <w:pPr>
            <w:pStyle w:val="TOC2"/>
            <w:tabs>
              <w:tab w:val="right" w:leader="dot" w:pos="9350"/>
            </w:tabs>
            <w:rPr>
              <w:rFonts w:asciiTheme="minorHAnsi" w:hAnsiTheme="minorHAnsi" w:cstheme="minorBidi"/>
              <w:noProof/>
              <w:kern w:val="2"/>
              <w:sz w:val="24"/>
              <w:szCs w:val="24"/>
              <w14:ligatures w14:val="standardContextual"/>
            </w:rPr>
          </w:pPr>
          <w:hyperlink w:history="1" w:anchor="_Toc233633624">
            <w:r w:rsidRPr="00F13730">
              <w:rPr>
                <w:rStyle w:val="Hyperlink"/>
                <w:noProof/>
              </w:rPr>
              <w:t>7.2.</w:t>
            </w:r>
            <w:r>
              <w:rPr>
                <w:rFonts w:asciiTheme="minorHAnsi" w:hAnsiTheme="minorHAnsi" w:cstheme="minorBidi"/>
                <w:noProof/>
                <w:kern w:val="2"/>
                <w:sz w:val="24"/>
                <w:szCs w:val="24"/>
                <w14:ligatures w14:val="standardContextual"/>
              </w:rPr>
              <w:tab/>
            </w:r>
            <w:r w:rsidRPr="00F13730">
              <w:rPr>
                <w:rStyle w:val="Hyperlink"/>
                <w:noProof/>
              </w:rPr>
              <w:t>Coordinating Entities</w:t>
            </w:r>
            <w:r>
              <w:rPr>
                <w:noProof/>
                <w:webHidden/>
              </w:rPr>
              <w:tab/>
            </w:r>
            <w:r>
              <w:rPr>
                <w:noProof/>
                <w:webHidden/>
              </w:rPr>
              <w:fldChar w:fldCharType="begin"/>
            </w:r>
            <w:r>
              <w:rPr>
                <w:noProof/>
                <w:webHidden/>
              </w:rPr>
              <w:instrText xml:space="preserve"> PAGEREF _Toc233633624 \h </w:instrText>
            </w:r>
            <w:r>
              <w:rPr>
                <w:noProof/>
                <w:webHidden/>
              </w:rPr>
            </w:r>
            <w:r>
              <w:rPr>
                <w:noProof/>
                <w:webHidden/>
              </w:rPr>
              <w:fldChar w:fldCharType="separate"/>
            </w:r>
            <w:r>
              <w:rPr>
                <w:noProof/>
                <w:webHidden/>
              </w:rPr>
              <w:t>43</w:t>
            </w:r>
            <w:r>
              <w:rPr>
                <w:noProof/>
                <w:webHidden/>
              </w:rPr>
              <w:fldChar w:fldCharType="end"/>
            </w:r>
          </w:hyperlink>
        </w:p>
        <w:p w:rsidR="00563236" w:rsidRDefault="00563236" w14:paraId="57362477" w14:textId="2C3C9D37">
          <w:pPr>
            <w:pStyle w:val="TOC1"/>
            <w:tabs>
              <w:tab w:val="right" w:leader="dot" w:pos="9350"/>
            </w:tabs>
            <w:rPr>
              <w:rFonts w:asciiTheme="minorHAnsi" w:hAnsiTheme="minorHAnsi" w:cstheme="minorBidi"/>
              <w:noProof/>
              <w:kern w:val="2"/>
              <w:sz w:val="24"/>
              <w:szCs w:val="24"/>
              <w14:ligatures w14:val="standardContextual"/>
            </w:rPr>
          </w:pPr>
          <w:hyperlink w:history="1" w:anchor="_Toc233633625">
            <w:r w:rsidRPr="00F13730">
              <w:rPr>
                <w:rStyle w:val="Hyperlink"/>
                <w:noProof/>
              </w:rPr>
              <w:t>8.</w:t>
            </w:r>
            <w:r>
              <w:rPr>
                <w:rFonts w:asciiTheme="minorHAnsi" w:hAnsiTheme="minorHAnsi" w:cstheme="minorBidi"/>
                <w:noProof/>
                <w:kern w:val="2"/>
                <w:sz w:val="24"/>
                <w:szCs w:val="24"/>
                <w14:ligatures w14:val="standardContextual"/>
              </w:rPr>
              <w:tab/>
            </w:r>
            <w:r w:rsidRPr="00F13730">
              <w:rPr>
                <w:rStyle w:val="Hyperlink"/>
                <w:noProof/>
              </w:rPr>
              <w:t>Obtaining Consent and Outreach Requirements</w:t>
            </w:r>
            <w:r>
              <w:rPr>
                <w:noProof/>
                <w:webHidden/>
              </w:rPr>
              <w:tab/>
            </w:r>
            <w:r>
              <w:rPr>
                <w:noProof/>
                <w:webHidden/>
              </w:rPr>
              <w:fldChar w:fldCharType="begin"/>
            </w:r>
            <w:r>
              <w:rPr>
                <w:noProof/>
                <w:webHidden/>
              </w:rPr>
              <w:instrText xml:space="preserve"> PAGEREF _Toc233633625 \h </w:instrText>
            </w:r>
            <w:r>
              <w:rPr>
                <w:noProof/>
                <w:webHidden/>
              </w:rPr>
            </w:r>
            <w:r>
              <w:rPr>
                <w:noProof/>
                <w:webHidden/>
              </w:rPr>
              <w:fldChar w:fldCharType="separate"/>
            </w:r>
            <w:r>
              <w:rPr>
                <w:noProof/>
                <w:webHidden/>
              </w:rPr>
              <w:t>46</w:t>
            </w:r>
            <w:r>
              <w:rPr>
                <w:noProof/>
                <w:webHidden/>
              </w:rPr>
              <w:fldChar w:fldCharType="end"/>
            </w:r>
          </w:hyperlink>
        </w:p>
        <w:p w:rsidR="00563236" w:rsidRDefault="00563236" w14:paraId="5321CCA9" w14:textId="2C9B6532">
          <w:pPr>
            <w:pStyle w:val="TOC2"/>
            <w:tabs>
              <w:tab w:val="right" w:leader="dot" w:pos="9350"/>
            </w:tabs>
            <w:rPr>
              <w:rFonts w:asciiTheme="minorHAnsi" w:hAnsiTheme="minorHAnsi" w:cstheme="minorBidi"/>
              <w:noProof/>
              <w:kern w:val="2"/>
              <w:sz w:val="24"/>
              <w:szCs w:val="24"/>
              <w14:ligatures w14:val="standardContextual"/>
            </w:rPr>
          </w:pPr>
          <w:hyperlink w:history="1" w:anchor="_Toc233633626">
            <w:r w:rsidRPr="00F13730">
              <w:rPr>
                <w:rStyle w:val="Hyperlink"/>
                <w:noProof/>
              </w:rPr>
              <w:t>8.1.</w:t>
            </w:r>
            <w:r>
              <w:rPr>
                <w:rFonts w:asciiTheme="minorHAnsi" w:hAnsiTheme="minorHAnsi" w:cstheme="minorBidi"/>
                <w:noProof/>
                <w:kern w:val="2"/>
                <w:sz w:val="24"/>
                <w:szCs w:val="24"/>
                <w14:ligatures w14:val="standardContextual"/>
              </w:rPr>
              <w:tab/>
            </w:r>
            <w:r w:rsidRPr="00F13730">
              <w:rPr>
                <w:rStyle w:val="Hyperlink"/>
                <w:noProof/>
              </w:rPr>
              <w:t>Obtaining and Documenting Property Owner Consent</w:t>
            </w:r>
            <w:r>
              <w:rPr>
                <w:noProof/>
                <w:webHidden/>
              </w:rPr>
              <w:tab/>
            </w:r>
            <w:r>
              <w:rPr>
                <w:noProof/>
                <w:webHidden/>
              </w:rPr>
              <w:fldChar w:fldCharType="begin"/>
            </w:r>
            <w:r>
              <w:rPr>
                <w:noProof/>
                <w:webHidden/>
              </w:rPr>
              <w:instrText xml:space="preserve"> PAGEREF _Toc233633626 \h </w:instrText>
            </w:r>
            <w:r>
              <w:rPr>
                <w:noProof/>
                <w:webHidden/>
              </w:rPr>
            </w:r>
            <w:r>
              <w:rPr>
                <w:noProof/>
                <w:webHidden/>
              </w:rPr>
              <w:fldChar w:fldCharType="separate"/>
            </w:r>
            <w:r>
              <w:rPr>
                <w:noProof/>
                <w:webHidden/>
              </w:rPr>
              <w:t>46</w:t>
            </w:r>
            <w:r>
              <w:rPr>
                <w:noProof/>
                <w:webHidden/>
              </w:rPr>
              <w:fldChar w:fldCharType="end"/>
            </w:r>
          </w:hyperlink>
        </w:p>
        <w:p w:rsidR="00563236" w:rsidRDefault="00563236" w14:paraId="52B54AA8" w14:textId="0C6872D7">
          <w:pPr>
            <w:pStyle w:val="TOC2"/>
            <w:tabs>
              <w:tab w:val="right" w:leader="dot" w:pos="9350"/>
            </w:tabs>
            <w:rPr>
              <w:rFonts w:asciiTheme="minorHAnsi" w:hAnsiTheme="minorHAnsi" w:cstheme="minorBidi"/>
              <w:noProof/>
              <w:kern w:val="2"/>
              <w:sz w:val="24"/>
              <w:szCs w:val="24"/>
              <w14:ligatures w14:val="standardContextual"/>
            </w:rPr>
          </w:pPr>
          <w:hyperlink w:history="1" w:anchor="_Toc233633627">
            <w:r w:rsidRPr="00F13730">
              <w:rPr>
                <w:rStyle w:val="Hyperlink"/>
                <w:noProof/>
              </w:rPr>
              <w:t>8.2.</w:t>
            </w:r>
            <w:r>
              <w:rPr>
                <w:rFonts w:asciiTheme="minorHAnsi" w:hAnsiTheme="minorHAnsi" w:cstheme="minorBidi"/>
                <w:noProof/>
                <w:kern w:val="2"/>
                <w:sz w:val="24"/>
                <w:szCs w:val="24"/>
                <w14:ligatures w14:val="standardContextual"/>
              </w:rPr>
              <w:tab/>
            </w:r>
            <w:r w:rsidRPr="00F13730">
              <w:rPr>
                <w:rStyle w:val="Hyperlink"/>
                <w:noProof/>
              </w:rPr>
              <w:t>Outreach and Engagement</w:t>
            </w:r>
            <w:r>
              <w:rPr>
                <w:noProof/>
                <w:webHidden/>
              </w:rPr>
              <w:tab/>
            </w:r>
            <w:r>
              <w:rPr>
                <w:noProof/>
                <w:webHidden/>
              </w:rPr>
              <w:fldChar w:fldCharType="begin"/>
            </w:r>
            <w:r>
              <w:rPr>
                <w:noProof/>
                <w:webHidden/>
              </w:rPr>
              <w:instrText xml:space="preserve"> PAGEREF _Toc233633627 \h </w:instrText>
            </w:r>
            <w:r>
              <w:rPr>
                <w:noProof/>
                <w:webHidden/>
              </w:rPr>
            </w:r>
            <w:r>
              <w:rPr>
                <w:noProof/>
                <w:webHidden/>
              </w:rPr>
              <w:fldChar w:fldCharType="separate"/>
            </w:r>
            <w:r>
              <w:rPr>
                <w:noProof/>
                <w:webHidden/>
              </w:rPr>
              <w:t>48</w:t>
            </w:r>
            <w:r>
              <w:rPr>
                <w:noProof/>
                <w:webHidden/>
              </w:rPr>
              <w:fldChar w:fldCharType="end"/>
            </w:r>
          </w:hyperlink>
        </w:p>
        <w:p w:rsidR="00563236" w:rsidRDefault="00563236" w14:paraId="0FFDF204" w14:textId="0BA4DC4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8">
            <w:r w:rsidRPr="00F13730">
              <w:rPr>
                <w:rStyle w:val="Hyperlink"/>
                <w:noProof/>
              </w:rPr>
              <w:t>8.2.1.</w:t>
            </w:r>
            <w:r>
              <w:rPr>
                <w:rFonts w:asciiTheme="minorHAnsi" w:hAnsiTheme="minorHAnsi" w:cstheme="minorBidi"/>
                <w:noProof/>
                <w:kern w:val="2"/>
                <w:sz w:val="24"/>
                <w:szCs w:val="24"/>
                <w14:ligatures w14:val="standardContextual"/>
              </w:rPr>
              <w:tab/>
            </w:r>
            <w:r w:rsidRPr="00F13730">
              <w:rPr>
                <w:rStyle w:val="Hyperlink"/>
                <w:noProof/>
              </w:rPr>
              <w:t>Notification and Engagement Requirements for Property Owners and Affected Customers</w:t>
            </w:r>
            <w:r>
              <w:rPr>
                <w:noProof/>
                <w:webHidden/>
              </w:rPr>
              <w:tab/>
            </w:r>
            <w:r>
              <w:rPr>
                <w:noProof/>
                <w:webHidden/>
              </w:rPr>
              <w:fldChar w:fldCharType="begin"/>
            </w:r>
            <w:r>
              <w:rPr>
                <w:noProof/>
                <w:webHidden/>
              </w:rPr>
              <w:instrText xml:space="preserve"> PAGEREF _Toc233633628 \h </w:instrText>
            </w:r>
            <w:r>
              <w:rPr>
                <w:noProof/>
                <w:webHidden/>
              </w:rPr>
            </w:r>
            <w:r>
              <w:rPr>
                <w:noProof/>
                <w:webHidden/>
              </w:rPr>
              <w:fldChar w:fldCharType="separate"/>
            </w:r>
            <w:r>
              <w:rPr>
                <w:noProof/>
                <w:webHidden/>
              </w:rPr>
              <w:t>49</w:t>
            </w:r>
            <w:r>
              <w:rPr>
                <w:noProof/>
                <w:webHidden/>
              </w:rPr>
              <w:fldChar w:fldCharType="end"/>
            </w:r>
          </w:hyperlink>
        </w:p>
        <w:p w:rsidR="00563236" w:rsidRDefault="00563236" w14:paraId="1C3A34E9" w14:textId="61904DD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9">
            <w:r w:rsidRPr="00F13730">
              <w:rPr>
                <w:rStyle w:val="Hyperlink"/>
                <w:noProof/>
              </w:rPr>
              <w:t>8.2.2.</w:t>
            </w:r>
            <w:r>
              <w:rPr>
                <w:rFonts w:asciiTheme="minorHAnsi" w:hAnsiTheme="minorHAnsi" w:cstheme="minorBidi"/>
                <w:noProof/>
                <w:kern w:val="2"/>
                <w:sz w:val="24"/>
                <w:szCs w:val="24"/>
                <w14:ligatures w14:val="standardContextual"/>
              </w:rPr>
              <w:tab/>
            </w:r>
            <w:r w:rsidRPr="00F13730">
              <w:rPr>
                <w:rStyle w:val="Hyperlink"/>
                <w:noProof/>
              </w:rPr>
              <w:t>Notification and Engagement Requirements for Tenants of Master-Metered Properties</w:t>
            </w:r>
            <w:r>
              <w:rPr>
                <w:noProof/>
                <w:webHidden/>
              </w:rPr>
              <w:tab/>
            </w:r>
            <w:r>
              <w:rPr>
                <w:noProof/>
                <w:webHidden/>
              </w:rPr>
              <w:fldChar w:fldCharType="begin"/>
            </w:r>
            <w:r>
              <w:rPr>
                <w:noProof/>
                <w:webHidden/>
              </w:rPr>
              <w:instrText xml:space="preserve"> PAGEREF _Toc233633629 \h </w:instrText>
            </w:r>
            <w:r>
              <w:rPr>
                <w:noProof/>
                <w:webHidden/>
              </w:rPr>
            </w:r>
            <w:r>
              <w:rPr>
                <w:noProof/>
                <w:webHidden/>
              </w:rPr>
              <w:fldChar w:fldCharType="separate"/>
            </w:r>
            <w:r>
              <w:rPr>
                <w:noProof/>
                <w:webHidden/>
              </w:rPr>
              <w:t>50</w:t>
            </w:r>
            <w:r>
              <w:rPr>
                <w:noProof/>
                <w:webHidden/>
              </w:rPr>
              <w:fldChar w:fldCharType="end"/>
            </w:r>
          </w:hyperlink>
        </w:p>
        <w:p w:rsidR="00563236" w:rsidRDefault="00563236" w14:paraId="000C7DA1" w14:textId="51BD397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0">
            <w:r w:rsidRPr="00F13730">
              <w:rPr>
                <w:rStyle w:val="Hyperlink"/>
                <w:noProof/>
              </w:rPr>
              <w:t>8.2.3.</w:t>
            </w:r>
            <w:r>
              <w:rPr>
                <w:rFonts w:asciiTheme="minorHAnsi" w:hAnsiTheme="minorHAnsi" w:cstheme="minorBidi"/>
                <w:noProof/>
                <w:kern w:val="2"/>
                <w:sz w:val="24"/>
                <w:szCs w:val="24"/>
                <w14:ligatures w14:val="standardContextual"/>
              </w:rPr>
              <w:tab/>
            </w:r>
            <w:r w:rsidRPr="00F13730">
              <w:rPr>
                <w:rStyle w:val="Hyperlink"/>
                <w:noProof/>
              </w:rPr>
              <w:t>Outreach Content, Delivery Method, and Timing</w:t>
            </w:r>
            <w:r>
              <w:rPr>
                <w:noProof/>
                <w:webHidden/>
              </w:rPr>
              <w:tab/>
            </w:r>
            <w:r>
              <w:rPr>
                <w:noProof/>
                <w:webHidden/>
              </w:rPr>
              <w:fldChar w:fldCharType="begin"/>
            </w:r>
            <w:r>
              <w:rPr>
                <w:noProof/>
                <w:webHidden/>
              </w:rPr>
              <w:instrText xml:space="preserve"> PAGEREF _Toc233633630 \h </w:instrText>
            </w:r>
            <w:r>
              <w:rPr>
                <w:noProof/>
                <w:webHidden/>
              </w:rPr>
            </w:r>
            <w:r>
              <w:rPr>
                <w:noProof/>
                <w:webHidden/>
              </w:rPr>
              <w:fldChar w:fldCharType="separate"/>
            </w:r>
            <w:r>
              <w:rPr>
                <w:noProof/>
                <w:webHidden/>
              </w:rPr>
              <w:t>51</w:t>
            </w:r>
            <w:r>
              <w:rPr>
                <w:noProof/>
                <w:webHidden/>
              </w:rPr>
              <w:fldChar w:fldCharType="end"/>
            </w:r>
          </w:hyperlink>
        </w:p>
        <w:p w:rsidR="00563236" w:rsidRDefault="00563236" w14:paraId="7A3C38B1" w14:textId="7C880C6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1">
            <w:r w:rsidRPr="00F13730">
              <w:rPr>
                <w:rStyle w:val="Hyperlink"/>
                <w:noProof/>
              </w:rPr>
              <w:t>8.2.4.</w:t>
            </w:r>
            <w:r>
              <w:rPr>
                <w:rFonts w:asciiTheme="minorHAnsi" w:hAnsiTheme="minorHAnsi" w:cstheme="minorBidi"/>
                <w:noProof/>
                <w:kern w:val="2"/>
                <w:sz w:val="24"/>
                <w:szCs w:val="24"/>
                <w14:ligatures w14:val="standardContextual"/>
              </w:rPr>
              <w:tab/>
            </w:r>
            <w:r w:rsidRPr="00F13730">
              <w:rPr>
                <w:rStyle w:val="Hyperlink"/>
                <w:noProof/>
              </w:rPr>
              <w:t>Documentation of Outreach</w:t>
            </w:r>
            <w:r>
              <w:rPr>
                <w:noProof/>
                <w:webHidden/>
              </w:rPr>
              <w:tab/>
            </w:r>
            <w:r>
              <w:rPr>
                <w:noProof/>
                <w:webHidden/>
              </w:rPr>
              <w:fldChar w:fldCharType="begin"/>
            </w:r>
            <w:r>
              <w:rPr>
                <w:noProof/>
                <w:webHidden/>
              </w:rPr>
              <w:instrText xml:space="preserve"> PAGEREF _Toc233633631 \h </w:instrText>
            </w:r>
            <w:r>
              <w:rPr>
                <w:noProof/>
                <w:webHidden/>
              </w:rPr>
            </w:r>
            <w:r>
              <w:rPr>
                <w:noProof/>
                <w:webHidden/>
              </w:rPr>
              <w:fldChar w:fldCharType="separate"/>
            </w:r>
            <w:r>
              <w:rPr>
                <w:noProof/>
                <w:webHidden/>
              </w:rPr>
              <w:t>56</w:t>
            </w:r>
            <w:r>
              <w:rPr>
                <w:noProof/>
                <w:webHidden/>
              </w:rPr>
              <w:fldChar w:fldCharType="end"/>
            </w:r>
          </w:hyperlink>
        </w:p>
        <w:p w:rsidR="00563236" w:rsidRDefault="00563236" w14:paraId="7357C8C6" w14:textId="459AFF9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2">
            <w:r w:rsidRPr="00F13730">
              <w:rPr>
                <w:rStyle w:val="Hyperlink"/>
                <w:noProof/>
              </w:rPr>
              <w:t>8.2.5.</w:t>
            </w:r>
            <w:r>
              <w:rPr>
                <w:rFonts w:asciiTheme="minorHAnsi" w:hAnsiTheme="minorHAnsi" w:cstheme="minorBidi"/>
                <w:noProof/>
                <w:kern w:val="2"/>
                <w:sz w:val="24"/>
                <w:szCs w:val="24"/>
                <w14:ligatures w14:val="standardContextual"/>
              </w:rPr>
              <w:tab/>
            </w:r>
            <w:r w:rsidRPr="00F13730">
              <w:rPr>
                <w:rStyle w:val="Hyperlink"/>
                <w:noProof/>
              </w:rPr>
              <w:t>Outreach by Coordinating Entities and CBOs</w:t>
            </w:r>
            <w:r>
              <w:rPr>
                <w:noProof/>
                <w:webHidden/>
              </w:rPr>
              <w:tab/>
            </w:r>
            <w:r>
              <w:rPr>
                <w:noProof/>
                <w:webHidden/>
              </w:rPr>
              <w:fldChar w:fldCharType="begin"/>
            </w:r>
            <w:r>
              <w:rPr>
                <w:noProof/>
                <w:webHidden/>
              </w:rPr>
              <w:instrText xml:space="preserve"> PAGEREF _Toc233633632 \h </w:instrText>
            </w:r>
            <w:r>
              <w:rPr>
                <w:noProof/>
                <w:webHidden/>
              </w:rPr>
            </w:r>
            <w:r>
              <w:rPr>
                <w:noProof/>
                <w:webHidden/>
              </w:rPr>
              <w:fldChar w:fldCharType="separate"/>
            </w:r>
            <w:r>
              <w:rPr>
                <w:noProof/>
                <w:webHidden/>
              </w:rPr>
              <w:t>57</w:t>
            </w:r>
            <w:r>
              <w:rPr>
                <w:noProof/>
                <w:webHidden/>
              </w:rPr>
              <w:fldChar w:fldCharType="end"/>
            </w:r>
          </w:hyperlink>
        </w:p>
        <w:p w:rsidR="00563236" w:rsidRDefault="00563236" w14:paraId="09BE3FC1" w14:textId="0C2E201D">
          <w:pPr>
            <w:pStyle w:val="TOC2"/>
            <w:tabs>
              <w:tab w:val="right" w:leader="dot" w:pos="9350"/>
            </w:tabs>
            <w:rPr>
              <w:rFonts w:asciiTheme="minorHAnsi" w:hAnsiTheme="minorHAnsi" w:cstheme="minorBidi"/>
              <w:noProof/>
              <w:kern w:val="2"/>
              <w:sz w:val="24"/>
              <w:szCs w:val="24"/>
              <w14:ligatures w14:val="standardContextual"/>
            </w:rPr>
          </w:pPr>
          <w:hyperlink w:history="1" w:anchor="_Toc233633633">
            <w:r w:rsidRPr="00F13730">
              <w:rPr>
                <w:rStyle w:val="Hyperlink"/>
                <w:noProof/>
              </w:rPr>
              <w:t>8.3.</w:t>
            </w:r>
            <w:r>
              <w:rPr>
                <w:rFonts w:asciiTheme="minorHAnsi" w:hAnsiTheme="minorHAnsi" w:cstheme="minorBidi"/>
                <w:noProof/>
                <w:kern w:val="2"/>
                <w:sz w:val="24"/>
                <w:szCs w:val="24"/>
                <w14:ligatures w14:val="standardContextual"/>
              </w:rPr>
              <w:tab/>
            </w:r>
            <w:r w:rsidRPr="00F13730">
              <w:rPr>
                <w:rStyle w:val="Hyperlink"/>
                <w:noProof/>
              </w:rPr>
              <w:t>Authorization to Establish Memorandum Accounts for Administrative and Outreach Costs</w:t>
            </w:r>
            <w:r>
              <w:rPr>
                <w:noProof/>
                <w:webHidden/>
              </w:rPr>
              <w:tab/>
            </w:r>
            <w:r>
              <w:rPr>
                <w:noProof/>
                <w:webHidden/>
              </w:rPr>
              <w:fldChar w:fldCharType="begin"/>
            </w:r>
            <w:r>
              <w:rPr>
                <w:noProof/>
                <w:webHidden/>
              </w:rPr>
              <w:instrText xml:space="preserve"> PAGEREF _Toc233633633 \h </w:instrText>
            </w:r>
            <w:r>
              <w:rPr>
                <w:noProof/>
                <w:webHidden/>
              </w:rPr>
            </w:r>
            <w:r>
              <w:rPr>
                <w:noProof/>
                <w:webHidden/>
              </w:rPr>
              <w:fldChar w:fldCharType="separate"/>
            </w:r>
            <w:r>
              <w:rPr>
                <w:noProof/>
                <w:webHidden/>
              </w:rPr>
              <w:t>58</w:t>
            </w:r>
            <w:r>
              <w:rPr>
                <w:noProof/>
                <w:webHidden/>
              </w:rPr>
              <w:fldChar w:fldCharType="end"/>
            </w:r>
          </w:hyperlink>
        </w:p>
        <w:p w:rsidR="00563236" w:rsidRDefault="00563236" w14:paraId="62A09146" w14:textId="76B5570F">
          <w:pPr>
            <w:pStyle w:val="TOC1"/>
            <w:tabs>
              <w:tab w:val="right" w:leader="dot" w:pos="9350"/>
            </w:tabs>
            <w:rPr>
              <w:rFonts w:asciiTheme="minorHAnsi" w:hAnsiTheme="minorHAnsi" w:cstheme="minorBidi"/>
              <w:noProof/>
              <w:kern w:val="2"/>
              <w:sz w:val="24"/>
              <w:szCs w:val="24"/>
              <w14:ligatures w14:val="standardContextual"/>
            </w:rPr>
          </w:pPr>
          <w:hyperlink w:history="1" w:anchor="_Toc233633634">
            <w:r w:rsidRPr="00F13730">
              <w:rPr>
                <w:rStyle w:val="Hyperlink"/>
                <w:noProof/>
              </w:rPr>
              <w:t>9.</w:t>
            </w:r>
            <w:r>
              <w:rPr>
                <w:rFonts w:asciiTheme="minorHAnsi" w:hAnsiTheme="minorHAnsi" w:cstheme="minorBidi"/>
                <w:noProof/>
                <w:kern w:val="2"/>
                <w:sz w:val="24"/>
                <w:szCs w:val="24"/>
                <w14:ligatures w14:val="standardContextual"/>
              </w:rPr>
              <w:tab/>
            </w:r>
            <w:r w:rsidRPr="00F13730">
              <w:rPr>
                <w:rStyle w:val="Hyperlink"/>
                <w:noProof/>
              </w:rPr>
              <w:t>Cost Effectiveness</w:t>
            </w:r>
            <w:r>
              <w:rPr>
                <w:noProof/>
                <w:webHidden/>
              </w:rPr>
              <w:tab/>
            </w:r>
            <w:r>
              <w:rPr>
                <w:noProof/>
                <w:webHidden/>
              </w:rPr>
              <w:fldChar w:fldCharType="begin"/>
            </w:r>
            <w:r>
              <w:rPr>
                <w:noProof/>
                <w:webHidden/>
              </w:rPr>
              <w:instrText xml:space="preserve"> PAGEREF _Toc233633634 \h </w:instrText>
            </w:r>
            <w:r>
              <w:rPr>
                <w:noProof/>
                <w:webHidden/>
              </w:rPr>
            </w:r>
            <w:r>
              <w:rPr>
                <w:noProof/>
                <w:webHidden/>
              </w:rPr>
              <w:fldChar w:fldCharType="separate"/>
            </w:r>
            <w:r>
              <w:rPr>
                <w:noProof/>
                <w:webHidden/>
              </w:rPr>
              <w:t>59</w:t>
            </w:r>
            <w:r>
              <w:rPr>
                <w:noProof/>
                <w:webHidden/>
              </w:rPr>
              <w:fldChar w:fldCharType="end"/>
            </w:r>
          </w:hyperlink>
        </w:p>
        <w:p w:rsidR="00563236" w:rsidRDefault="00563236" w14:paraId="44F2132E" w14:textId="31416EDE">
          <w:pPr>
            <w:pStyle w:val="TOC2"/>
            <w:tabs>
              <w:tab w:val="right" w:leader="dot" w:pos="9350"/>
            </w:tabs>
            <w:rPr>
              <w:rFonts w:asciiTheme="minorHAnsi" w:hAnsiTheme="minorHAnsi" w:cstheme="minorBidi"/>
              <w:noProof/>
              <w:kern w:val="2"/>
              <w:sz w:val="24"/>
              <w:szCs w:val="24"/>
              <w14:ligatures w14:val="standardContextual"/>
            </w:rPr>
          </w:pPr>
          <w:hyperlink w:history="1" w:anchor="_Toc233633635">
            <w:r w:rsidRPr="00F13730">
              <w:rPr>
                <w:rStyle w:val="Hyperlink"/>
                <w:noProof/>
              </w:rPr>
              <w:t>9.1.</w:t>
            </w:r>
            <w:r>
              <w:rPr>
                <w:rFonts w:asciiTheme="minorHAnsi" w:hAnsiTheme="minorHAnsi" w:cstheme="minorBidi"/>
                <w:noProof/>
                <w:kern w:val="2"/>
                <w:sz w:val="24"/>
                <w:szCs w:val="24"/>
                <w14:ligatures w14:val="standardContextual"/>
              </w:rPr>
              <w:tab/>
            </w:r>
            <w:r w:rsidRPr="00F13730">
              <w:rPr>
                <w:rStyle w:val="Hyperlink"/>
                <w:noProof/>
              </w:rPr>
              <w:t>Net Present Value and Discount Rate</w:t>
            </w:r>
            <w:r>
              <w:rPr>
                <w:noProof/>
                <w:webHidden/>
              </w:rPr>
              <w:tab/>
            </w:r>
            <w:r>
              <w:rPr>
                <w:noProof/>
                <w:webHidden/>
              </w:rPr>
              <w:fldChar w:fldCharType="begin"/>
            </w:r>
            <w:r>
              <w:rPr>
                <w:noProof/>
                <w:webHidden/>
              </w:rPr>
              <w:instrText xml:space="preserve"> PAGEREF _Toc233633635 \h </w:instrText>
            </w:r>
            <w:r>
              <w:rPr>
                <w:noProof/>
                <w:webHidden/>
              </w:rPr>
            </w:r>
            <w:r>
              <w:rPr>
                <w:noProof/>
                <w:webHidden/>
              </w:rPr>
              <w:fldChar w:fldCharType="separate"/>
            </w:r>
            <w:r>
              <w:rPr>
                <w:noProof/>
                <w:webHidden/>
              </w:rPr>
              <w:t>59</w:t>
            </w:r>
            <w:r>
              <w:rPr>
                <w:noProof/>
                <w:webHidden/>
              </w:rPr>
              <w:fldChar w:fldCharType="end"/>
            </w:r>
          </w:hyperlink>
        </w:p>
        <w:p w:rsidR="00563236" w:rsidRDefault="00563236" w14:paraId="15D6A301" w14:textId="5E7701C3">
          <w:pPr>
            <w:pStyle w:val="TOC2"/>
            <w:tabs>
              <w:tab w:val="right" w:leader="dot" w:pos="9350"/>
            </w:tabs>
            <w:rPr>
              <w:rFonts w:asciiTheme="minorHAnsi" w:hAnsiTheme="minorHAnsi" w:cstheme="minorBidi"/>
              <w:noProof/>
              <w:kern w:val="2"/>
              <w:sz w:val="24"/>
              <w:szCs w:val="24"/>
              <w14:ligatures w14:val="standardContextual"/>
            </w:rPr>
          </w:pPr>
          <w:hyperlink w:history="1" w:anchor="_Toc233633636">
            <w:r w:rsidRPr="00F13730">
              <w:rPr>
                <w:rStyle w:val="Hyperlink"/>
                <w:noProof/>
              </w:rPr>
              <w:t>9.2.</w:t>
            </w:r>
            <w:r>
              <w:rPr>
                <w:rFonts w:asciiTheme="minorHAnsi" w:hAnsiTheme="minorHAnsi" w:cstheme="minorBidi"/>
                <w:noProof/>
                <w:kern w:val="2"/>
                <w:sz w:val="24"/>
                <w:szCs w:val="24"/>
                <w14:ligatures w14:val="standardContextual"/>
              </w:rPr>
              <w:tab/>
            </w:r>
            <w:r w:rsidRPr="00F13730">
              <w:rPr>
                <w:rStyle w:val="Hyperlink"/>
                <w:noProof/>
              </w:rPr>
              <w:t>Cost Effectiveness With and Without Administrative Costs and Funds from Non-Ratepayer Sources</w:t>
            </w:r>
            <w:r>
              <w:rPr>
                <w:noProof/>
                <w:webHidden/>
              </w:rPr>
              <w:tab/>
            </w:r>
            <w:r>
              <w:rPr>
                <w:noProof/>
                <w:webHidden/>
              </w:rPr>
              <w:fldChar w:fldCharType="begin"/>
            </w:r>
            <w:r>
              <w:rPr>
                <w:noProof/>
                <w:webHidden/>
              </w:rPr>
              <w:instrText xml:space="preserve"> PAGEREF _Toc233633636 \h </w:instrText>
            </w:r>
            <w:r>
              <w:rPr>
                <w:noProof/>
                <w:webHidden/>
              </w:rPr>
            </w:r>
            <w:r>
              <w:rPr>
                <w:noProof/>
                <w:webHidden/>
              </w:rPr>
              <w:fldChar w:fldCharType="separate"/>
            </w:r>
            <w:r>
              <w:rPr>
                <w:noProof/>
                <w:webHidden/>
              </w:rPr>
              <w:t>61</w:t>
            </w:r>
            <w:r>
              <w:rPr>
                <w:noProof/>
                <w:webHidden/>
              </w:rPr>
              <w:fldChar w:fldCharType="end"/>
            </w:r>
          </w:hyperlink>
        </w:p>
        <w:p w:rsidR="00563236" w:rsidRDefault="00563236" w14:paraId="6638284A" w14:textId="0324DFE4">
          <w:pPr>
            <w:pStyle w:val="TOC2"/>
            <w:tabs>
              <w:tab w:val="right" w:leader="dot" w:pos="9350"/>
            </w:tabs>
            <w:rPr>
              <w:rFonts w:asciiTheme="minorHAnsi" w:hAnsiTheme="minorHAnsi" w:cstheme="minorBidi"/>
              <w:noProof/>
              <w:kern w:val="2"/>
              <w:sz w:val="24"/>
              <w:szCs w:val="24"/>
              <w14:ligatures w14:val="standardContextual"/>
            </w:rPr>
          </w:pPr>
          <w:hyperlink w:history="1" w:anchor="_Toc233633637">
            <w:r w:rsidRPr="00F13730">
              <w:rPr>
                <w:rStyle w:val="Hyperlink"/>
                <w:noProof/>
              </w:rPr>
              <w:t>9.3.</w:t>
            </w:r>
            <w:r>
              <w:rPr>
                <w:rFonts w:asciiTheme="minorHAnsi" w:hAnsiTheme="minorHAnsi" w:cstheme="minorBidi"/>
                <w:noProof/>
                <w:kern w:val="2"/>
                <w:sz w:val="24"/>
                <w:szCs w:val="24"/>
                <w14:ligatures w14:val="standardContextual"/>
              </w:rPr>
              <w:tab/>
            </w:r>
            <w:r w:rsidRPr="00F13730">
              <w:rPr>
                <w:rStyle w:val="Hyperlink"/>
                <w:noProof/>
              </w:rPr>
              <w:t>Costs Included in Cost Effectiveness Calculation</w:t>
            </w:r>
            <w:r>
              <w:rPr>
                <w:noProof/>
                <w:webHidden/>
              </w:rPr>
              <w:tab/>
            </w:r>
            <w:r>
              <w:rPr>
                <w:noProof/>
                <w:webHidden/>
              </w:rPr>
              <w:fldChar w:fldCharType="begin"/>
            </w:r>
            <w:r>
              <w:rPr>
                <w:noProof/>
                <w:webHidden/>
              </w:rPr>
              <w:instrText xml:space="preserve"> PAGEREF _Toc233633637 \h </w:instrText>
            </w:r>
            <w:r>
              <w:rPr>
                <w:noProof/>
                <w:webHidden/>
              </w:rPr>
            </w:r>
            <w:r>
              <w:rPr>
                <w:noProof/>
                <w:webHidden/>
              </w:rPr>
              <w:fldChar w:fldCharType="separate"/>
            </w:r>
            <w:r>
              <w:rPr>
                <w:noProof/>
                <w:webHidden/>
              </w:rPr>
              <w:t>62</w:t>
            </w:r>
            <w:r>
              <w:rPr>
                <w:noProof/>
                <w:webHidden/>
              </w:rPr>
              <w:fldChar w:fldCharType="end"/>
            </w:r>
          </w:hyperlink>
        </w:p>
        <w:p w:rsidR="00563236" w:rsidRDefault="00563236" w14:paraId="136E914D" w14:textId="7EA401CC">
          <w:pPr>
            <w:pStyle w:val="TOC2"/>
            <w:tabs>
              <w:tab w:val="right" w:leader="dot" w:pos="9350"/>
            </w:tabs>
            <w:rPr>
              <w:rFonts w:asciiTheme="minorHAnsi" w:hAnsiTheme="minorHAnsi" w:cstheme="minorBidi"/>
              <w:noProof/>
              <w:kern w:val="2"/>
              <w:sz w:val="24"/>
              <w:szCs w:val="24"/>
              <w14:ligatures w14:val="standardContextual"/>
            </w:rPr>
          </w:pPr>
          <w:hyperlink w:history="1" w:anchor="_Toc233633638">
            <w:r w:rsidRPr="00F13730">
              <w:rPr>
                <w:rStyle w:val="Hyperlink"/>
                <w:noProof/>
              </w:rPr>
              <w:t>9.4.</w:t>
            </w:r>
            <w:r>
              <w:rPr>
                <w:rFonts w:asciiTheme="minorHAnsi" w:hAnsiTheme="minorHAnsi" w:cstheme="minorBidi"/>
                <w:noProof/>
                <w:kern w:val="2"/>
                <w:sz w:val="24"/>
                <w:szCs w:val="24"/>
                <w14:ligatures w14:val="standardContextual"/>
              </w:rPr>
              <w:tab/>
            </w:r>
            <w:r w:rsidRPr="00F13730">
              <w:rPr>
                <w:rStyle w:val="Hyperlink"/>
                <w:noProof/>
              </w:rPr>
              <w:t>Benefits Included in Cost Effectiveness Calculation</w:t>
            </w:r>
            <w:r>
              <w:rPr>
                <w:noProof/>
                <w:webHidden/>
              </w:rPr>
              <w:tab/>
            </w:r>
            <w:r>
              <w:rPr>
                <w:noProof/>
                <w:webHidden/>
              </w:rPr>
              <w:fldChar w:fldCharType="begin"/>
            </w:r>
            <w:r>
              <w:rPr>
                <w:noProof/>
                <w:webHidden/>
              </w:rPr>
              <w:instrText xml:space="preserve"> PAGEREF _Toc233633638 \h </w:instrText>
            </w:r>
            <w:r>
              <w:rPr>
                <w:noProof/>
                <w:webHidden/>
              </w:rPr>
            </w:r>
            <w:r>
              <w:rPr>
                <w:noProof/>
                <w:webHidden/>
              </w:rPr>
              <w:fldChar w:fldCharType="separate"/>
            </w:r>
            <w:r>
              <w:rPr>
                <w:noProof/>
                <w:webHidden/>
              </w:rPr>
              <w:t>64</w:t>
            </w:r>
            <w:r>
              <w:rPr>
                <w:noProof/>
                <w:webHidden/>
              </w:rPr>
              <w:fldChar w:fldCharType="end"/>
            </w:r>
          </w:hyperlink>
        </w:p>
        <w:p w:rsidR="00563236" w:rsidRDefault="00563236" w14:paraId="13C8F877" w14:textId="3123C3F4">
          <w:pPr>
            <w:pStyle w:val="TOC1"/>
            <w:tabs>
              <w:tab w:val="right" w:leader="dot" w:pos="9350"/>
            </w:tabs>
            <w:rPr>
              <w:rFonts w:asciiTheme="minorHAnsi" w:hAnsiTheme="minorHAnsi" w:cstheme="minorBidi"/>
              <w:noProof/>
              <w:kern w:val="2"/>
              <w:sz w:val="24"/>
              <w:szCs w:val="24"/>
              <w14:ligatures w14:val="standardContextual"/>
            </w:rPr>
          </w:pPr>
          <w:hyperlink w:history="1" w:anchor="_Toc233633639">
            <w:r w:rsidRPr="00F13730">
              <w:rPr>
                <w:rStyle w:val="Hyperlink"/>
                <w:noProof/>
              </w:rPr>
              <w:t>10.</w:t>
            </w:r>
            <w:r>
              <w:rPr>
                <w:rFonts w:asciiTheme="minorHAnsi" w:hAnsiTheme="minorHAnsi" w:cstheme="minorBidi"/>
                <w:noProof/>
                <w:kern w:val="2"/>
                <w:sz w:val="24"/>
                <w:szCs w:val="24"/>
                <w14:ligatures w14:val="standardContextual"/>
              </w:rPr>
              <w:tab/>
            </w:r>
            <w:r w:rsidRPr="00F13730">
              <w:rPr>
                <w:rStyle w:val="Hyperlink"/>
                <w:noProof/>
              </w:rPr>
              <w:t>Cost Recovery</w:t>
            </w:r>
            <w:r>
              <w:rPr>
                <w:noProof/>
                <w:webHidden/>
              </w:rPr>
              <w:tab/>
            </w:r>
            <w:r>
              <w:rPr>
                <w:noProof/>
                <w:webHidden/>
              </w:rPr>
              <w:fldChar w:fldCharType="begin"/>
            </w:r>
            <w:r>
              <w:rPr>
                <w:noProof/>
                <w:webHidden/>
              </w:rPr>
              <w:instrText xml:space="preserve"> PAGEREF _Toc233633639 \h </w:instrText>
            </w:r>
            <w:r>
              <w:rPr>
                <w:noProof/>
                <w:webHidden/>
              </w:rPr>
            </w:r>
            <w:r>
              <w:rPr>
                <w:noProof/>
                <w:webHidden/>
              </w:rPr>
              <w:fldChar w:fldCharType="separate"/>
            </w:r>
            <w:r>
              <w:rPr>
                <w:noProof/>
                <w:webHidden/>
              </w:rPr>
              <w:t>65</w:t>
            </w:r>
            <w:r>
              <w:rPr>
                <w:noProof/>
                <w:webHidden/>
              </w:rPr>
              <w:fldChar w:fldCharType="end"/>
            </w:r>
          </w:hyperlink>
        </w:p>
        <w:p w:rsidR="00563236" w:rsidRDefault="00563236" w14:paraId="1FF09744" w14:textId="4827FC6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0">
            <w:r w:rsidRPr="00F13730">
              <w:rPr>
                <w:rStyle w:val="Hyperlink"/>
                <w:noProof/>
              </w:rPr>
              <w:t>10.1.</w:t>
            </w:r>
            <w:r>
              <w:rPr>
                <w:rFonts w:asciiTheme="minorHAnsi" w:hAnsiTheme="minorHAnsi" w:cstheme="minorBidi"/>
                <w:noProof/>
                <w:kern w:val="2"/>
                <w:sz w:val="24"/>
                <w:szCs w:val="24"/>
                <w14:ligatures w14:val="standardContextual"/>
              </w:rPr>
              <w:tab/>
            </w:r>
            <w:r w:rsidRPr="00F13730">
              <w:rPr>
                <w:rStyle w:val="Hyperlink"/>
                <w:noProof/>
              </w:rPr>
              <w:t>Authorized Return and Recovery Period for Pilot Project Expenditures</w:t>
            </w:r>
            <w:r>
              <w:rPr>
                <w:noProof/>
                <w:webHidden/>
              </w:rPr>
              <w:tab/>
            </w:r>
            <w:r>
              <w:rPr>
                <w:noProof/>
                <w:webHidden/>
              </w:rPr>
              <w:fldChar w:fldCharType="begin"/>
            </w:r>
            <w:r>
              <w:rPr>
                <w:noProof/>
                <w:webHidden/>
              </w:rPr>
              <w:instrText xml:space="preserve"> PAGEREF _Toc233633640 \h </w:instrText>
            </w:r>
            <w:r>
              <w:rPr>
                <w:noProof/>
                <w:webHidden/>
              </w:rPr>
            </w:r>
            <w:r>
              <w:rPr>
                <w:noProof/>
                <w:webHidden/>
              </w:rPr>
              <w:fldChar w:fldCharType="separate"/>
            </w:r>
            <w:r>
              <w:rPr>
                <w:noProof/>
                <w:webHidden/>
              </w:rPr>
              <w:t>67</w:t>
            </w:r>
            <w:r>
              <w:rPr>
                <w:noProof/>
                <w:webHidden/>
              </w:rPr>
              <w:fldChar w:fldCharType="end"/>
            </w:r>
          </w:hyperlink>
        </w:p>
        <w:p w:rsidR="00563236" w:rsidRDefault="00563236" w14:paraId="6BE7E1B8" w14:textId="4AD16A5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1">
            <w:r w:rsidRPr="00F13730">
              <w:rPr>
                <w:rStyle w:val="Hyperlink"/>
                <w:noProof/>
              </w:rPr>
              <w:t>10.2.</w:t>
            </w:r>
            <w:r>
              <w:rPr>
                <w:rFonts w:asciiTheme="minorHAnsi" w:hAnsiTheme="minorHAnsi" w:cstheme="minorBidi"/>
                <w:noProof/>
                <w:kern w:val="2"/>
                <w:sz w:val="24"/>
                <w:szCs w:val="24"/>
                <w14:ligatures w14:val="standardContextual"/>
              </w:rPr>
              <w:tab/>
            </w:r>
            <w:r w:rsidRPr="00F13730">
              <w:rPr>
                <w:rStyle w:val="Hyperlink"/>
                <w:noProof/>
              </w:rPr>
              <w:t>Shareholder Incentive Based on Avoided Costs</w:t>
            </w:r>
            <w:r>
              <w:rPr>
                <w:noProof/>
                <w:webHidden/>
              </w:rPr>
              <w:tab/>
            </w:r>
            <w:r>
              <w:rPr>
                <w:noProof/>
                <w:webHidden/>
              </w:rPr>
              <w:fldChar w:fldCharType="begin"/>
            </w:r>
            <w:r>
              <w:rPr>
                <w:noProof/>
                <w:webHidden/>
              </w:rPr>
              <w:instrText xml:space="preserve"> PAGEREF _Toc233633641 \h </w:instrText>
            </w:r>
            <w:r>
              <w:rPr>
                <w:noProof/>
                <w:webHidden/>
              </w:rPr>
            </w:r>
            <w:r>
              <w:rPr>
                <w:noProof/>
                <w:webHidden/>
              </w:rPr>
              <w:fldChar w:fldCharType="separate"/>
            </w:r>
            <w:r>
              <w:rPr>
                <w:noProof/>
                <w:webHidden/>
              </w:rPr>
              <w:t>68</w:t>
            </w:r>
            <w:r>
              <w:rPr>
                <w:noProof/>
                <w:webHidden/>
              </w:rPr>
              <w:fldChar w:fldCharType="end"/>
            </w:r>
          </w:hyperlink>
        </w:p>
        <w:p w:rsidR="00563236" w:rsidRDefault="00563236" w14:paraId="39CB3DC4" w14:textId="38F72E5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2">
            <w:r w:rsidRPr="00F13730">
              <w:rPr>
                <w:rStyle w:val="Hyperlink"/>
                <w:noProof/>
              </w:rPr>
              <w:t>10.3.</w:t>
            </w:r>
            <w:r>
              <w:rPr>
                <w:rFonts w:asciiTheme="minorHAnsi" w:hAnsiTheme="minorHAnsi" w:cstheme="minorBidi"/>
                <w:noProof/>
                <w:kern w:val="2"/>
                <w:sz w:val="24"/>
                <w:szCs w:val="24"/>
                <w14:ligatures w14:val="standardContextual"/>
              </w:rPr>
              <w:tab/>
            </w:r>
            <w:r w:rsidRPr="00F13730">
              <w:rPr>
                <w:rStyle w:val="Hyperlink"/>
                <w:noProof/>
              </w:rPr>
              <w:t>Priority Neighborhood Decarbonization Zone Outreach Costs</w:t>
            </w:r>
            <w:r>
              <w:rPr>
                <w:noProof/>
                <w:webHidden/>
              </w:rPr>
              <w:tab/>
            </w:r>
            <w:r>
              <w:rPr>
                <w:noProof/>
                <w:webHidden/>
              </w:rPr>
              <w:fldChar w:fldCharType="begin"/>
            </w:r>
            <w:r>
              <w:rPr>
                <w:noProof/>
                <w:webHidden/>
              </w:rPr>
              <w:instrText xml:space="preserve"> PAGEREF _Toc233633642 \h </w:instrText>
            </w:r>
            <w:r>
              <w:rPr>
                <w:noProof/>
                <w:webHidden/>
              </w:rPr>
            </w:r>
            <w:r>
              <w:rPr>
                <w:noProof/>
                <w:webHidden/>
              </w:rPr>
              <w:fldChar w:fldCharType="separate"/>
            </w:r>
            <w:r>
              <w:rPr>
                <w:noProof/>
                <w:webHidden/>
              </w:rPr>
              <w:t>69</w:t>
            </w:r>
            <w:r>
              <w:rPr>
                <w:noProof/>
                <w:webHidden/>
              </w:rPr>
              <w:fldChar w:fldCharType="end"/>
            </w:r>
          </w:hyperlink>
        </w:p>
        <w:p w:rsidR="00563236" w:rsidRDefault="00563236" w14:paraId="450D4DA9" w14:textId="45AD63F3">
          <w:pPr>
            <w:pStyle w:val="TOC1"/>
            <w:tabs>
              <w:tab w:val="right" w:leader="dot" w:pos="9350"/>
            </w:tabs>
            <w:rPr>
              <w:rFonts w:asciiTheme="minorHAnsi" w:hAnsiTheme="minorHAnsi" w:cstheme="minorBidi"/>
              <w:noProof/>
              <w:kern w:val="2"/>
              <w:sz w:val="24"/>
              <w:szCs w:val="24"/>
              <w14:ligatures w14:val="standardContextual"/>
            </w:rPr>
          </w:pPr>
          <w:hyperlink w:history="1" w:anchor="_Toc233633643">
            <w:r w:rsidRPr="00F13730">
              <w:rPr>
                <w:rStyle w:val="Hyperlink"/>
                <w:noProof/>
              </w:rPr>
              <w:t>11.</w:t>
            </w:r>
            <w:r>
              <w:rPr>
                <w:rFonts w:asciiTheme="minorHAnsi" w:hAnsiTheme="minorHAnsi" w:cstheme="minorBidi"/>
                <w:noProof/>
                <w:kern w:val="2"/>
                <w:sz w:val="24"/>
                <w:szCs w:val="24"/>
                <w14:ligatures w14:val="standardContextual"/>
              </w:rPr>
              <w:tab/>
            </w:r>
            <w:r w:rsidRPr="00F13730">
              <w:rPr>
                <w:rStyle w:val="Hyperlink"/>
                <w:noProof/>
              </w:rPr>
              <w:t>Application Submittal Process</w:t>
            </w:r>
            <w:r>
              <w:rPr>
                <w:noProof/>
                <w:webHidden/>
              </w:rPr>
              <w:tab/>
            </w:r>
            <w:r>
              <w:rPr>
                <w:noProof/>
                <w:webHidden/>
              </w:rPr>
              <w:fldChar w:fldCharType="begin"/>
            </w:r>
            <w:r>
              <w:rPr>
                <w:noProof/>
                <w:webHidden/>
              </w:rPr>
              <w:instrText xml:space="preserve"> PAGEREF _Toc233633643 \h </w:instrText>
            </w:r>
            <w:r>
              <w:rPr>
                <w:noProof/>
                <w:webHidden/>
              </w:rPr>
            </w:r>
            <w:r>
              <w:rPr>
                <w:noProof/>
                <w:webHidden/>
              </w:rPr>
              <w:fldChar w:fldCharType="separate"/>
            </w:r>
            <w:r>
              <w:rPr>
                <w:noProof/>
                <w:webHidden/>
              </w:rPr>
              <w:t>70</w:t>
            </w:r>
            <w:r>
              <w:rPr>
                <w:noProof/>
                <w:webHidden/>
              </w:rPr>
              <w:fldChar w:fldCharType="end"/>
            </w:r>
          </w:hyperlink>
        </w:p>
        <w:p w:rsidR="00563236" w:rsidRDefault="00563236" w14:paraId="2A6934D9" w14:textId="62B5A3A2">
          <w:pPr>
            <w:pStyle w:val="TOC1"/>
            <w:tabs>
              <w:tab w:val="right" w:leader="dot" w:pos="9350"/>
            </w:tabs>
            <w:rPr>
              <w:rFonts w:asciiTheme="minorHAnsi" w:hAnsiTheme="minorHAnsi" w:cstheme="minorBidi"/>
              <w:noProof/>
              <w:kern w:val="2"/>
              <w:sz w:val="24"/>
              <w:szCs w:val="24"/>
              <w14:ligatures w14:val="standardContextual"/>
            </w:rPr>
          </w:pPr>
          <w:hyperlink w:history="1" w:anchor="_Toc233633644">
            <w:r w:rsidRPr="00F13730">
              <w:rPr>
                <w:rStyle w:val="Hyperlink"/>
                <w:noProof/>
              </w:rPr>
              <w:t>12.</w:t>
            </w:r>
            <w:r>
              <w:rPr>
                <w:rFonts w:asciiTheme="minorHAnsi" w:hAnsiTheme="minorHAnsi" w:cstheme="minorBidi"/>
                <w:noProof/>
                <w:kern w:val="2"/>
                <w:sz w:val="24"/>
                <w:szCs w:val="24"/>
                <w14:ligatures w14:val="standardContextual"/>
              </w:rPr>
              <w:tab/>
            </w:r>
            <w:r w:rsidRPr="00F13730">
              <w:rPr>
                <w:rStyle w:val="Hyperlink"/>
                <w:noProof/>
              </w:rPr>
              <w:t>Data Collection, Reporting, and Evaluation</w:t>
            </w:r>
            <w:r>
              <w:rPr>
                <w:noProof/>
                <w:webHidden/>
              </w:rPr>
              <w:tab/>
            </w:r>
            <w:r>
              <w:rPr>
                <w:noProof/>
                <w:webHidden/>
              </w:rPr>
              <w:fldChar w:fldCharType="begin"/>
            </w:r>
            <w:r>
              <w:rPr>
                <w:noProof/>
                <w:webHidden/>
              </w:rPr>
              <w:instrText xml:space="preserve"> PAGEREF _Toc233633644 \h </w:instrText>
            </w:r>
            <w:r>
              <w:rPr>
                <w:noProof/>
                <w:webHidden/>
              </w:rPr>
            </w:r>
            <w:r>
              <w:rPr>
                <w:noProof/>
                <w:webHidden/>
              </w:rPr>
              <w:fldChar w:fldCharType="separate"/>
            </w:r>
            <w:r>
              <w:rPr>
                <w:noProof/>
                <w:webHidden/>
              </w:rPr>
              <w:t>70</w:t>
            </w:r>
            <w:r>
              <w:rPr>
                <w:noProof/>
                <w:webHidden/>
              </w:rPr>
              <w:fldChar w:fldCharType="end"/>
            </w:r>
          </w:hyperlink>
        </w:p>
        <w:p w:rsidR="00563236" w:rsidRDefault="00563236" w14:paraId="211D2441" w14:textId="35DB7EFC">
          <w:pPr>
            <w:pStyle w:val="TOC1"/>
            <w:tabs>
              <w:tab w:val="right" w:leader="dot" w:pos="9350"/>
            </w:tabs>
            <w:rPr>
              <w:rFonts w:asciiTheme="minorHAnsi" w:hAnsiTheme="minorHAnsi" w:cstheme="minorBidi"/>
              <w:noProof/>
              <w:kern w:val="2"/>
              <w:sz w:val="24"/>
              <w:szCs w:val="24"/>
              <w14:ligatures w14:val="standardContextual"/>
            </w:rPr>
          </w:pPr>
          <w:hyperlink w:history="1" w:anchor="_Toc233633645">
            <w:r w:rsidRPr="00F13730">
              <w:rPr>
                <w:rStyle w:val="Hyperlink"/>
                <w:noProof/>
              </w:rPr>
              <w:t>13.</w:t>
            </w:r>
            <w:r>
              <w:rPr>
                <w:rFonts w:asciiTheme="minorHAnsi" w:hAnsiTheme="minorHAnsi" w:cstheme="minorBidi"/>
                <w:noProof/>
                <w:kern w:val="2"/>
                <w:sz w:val="24"/>
                <w:szCs w:val="24"/>
                <w14:ligatures w14:val="standardContextual"/>
              </w:rPr>
              <w:tab/>
            </w:r>
            <w:r w:rsidRPr="00F13730">
              <w:rPr>
                <w:rStyle w:val="Hyperlink"/>
                <w:noProof/>
              </w:rPr>
              <w:t>Summary of Public Comment</w:t>
            </w:r>
            <w:r>
              <w:rPr>
                <w:noProof/>
                <w:webHidden/>
              </w:rPr>
              <w:tab/>
            </w:r>
            <w:r>
              <w:rPr>
                <w:noProof/>
                <w:webHidden/>
              </w:rPr>
              <w:fldChar w:fldCharType="begin"/>
            </w:r>
            <w:r>
              <w:rPr>
                <w:noProof/>
                <w:webHidden/>
              </w:rPr>
              <w:instrText xml:space="preserve"> PAGEREF _Toc233633645 \h </w:instrText>
            </w:r>
            <w:r>
              <w:rPr>
                <w:noProof/>
                <w:webHidden/>
              </w:rPr>
            </w:r>
            <w:r>
              <w:rPr>
                <w:noProof/>
                <w:webHidden/>
              </w:rPr>
              <w:fldChar w:fldCharType="separate"/>
            </w:r>
            <w:r>
              <w:rPr>
                <w:noProof/>
                <w:webHidden/>
              </w:rPr>
              <w:t>71</w:t>
            </w:r>
            <w:r>
              <w:rPr>
                <w:noProof/>
                <w:webHidden/>
              </w:rPr>
              <w:fldChar w:fldCharType="end"/>
            </w:r>
          </w:hyperlink>
        </w:p>
        <w:p w:rsidR="00563236" w:rsidRDefault="00563236" w14:paraId="760486A9" w14:textId="56092B91">
          <w:pPr>
            <w:pStyle w:val="TOC1"/>
            <w:tabs>
              <w:tab w:val="right" w:leader="dot" w:pos="9350"/>
            </w:tabs>
            <w:rPr>
              <w:rFonts w:asciiTheme="minorHAnsi" w:hAnsiTheme="minorHAnsi" w:cstheme="minorBidi"/>
              <w:noProof/>
              <w:kern w:val="2"/>
              <w:sz w:val="24"/>
              <w:szCs w:val="24"/>
              <w14:ligatures w14:val="standardContextual"/>
            </w:rPr>
          </w:pPr>
          <w:hyperlink w:history="1" w:anchor="_Toc233633646">
            <w:r w:rsidRPr="00F13730">
              <w:rPr>
                <w:rStyle w:val="Hyperlink"/>
                <w:noProof/>
              </w:rPr>
              <w:t>14.</w:t>
            </w:r>
            <w:r>
              <w:rPr>
                <w:rFonts w:asciiTheme="minorHAnsi" w:hAnsiTheme="minorHAnsi" w:cstheme="minorBidi"/>
                <w:noProof/>
                <w:kern w:val="2"/>
                <w:sz w:val="24"/>
                <w:szCs w:val="24"/>
                <w14:ligatures w14:val="standardContextual"/>
              </w:rPr>
              <w:tab/>
            </w:r>
            <w:r w:rsidRPr="00F13730">
              <w:rPr>
                <w:rStyle w:val="Hyperlink"/>
                <w:noProof/>
              </w:rPr>
              <w:t>Procedural Matters</w:t>
            </w:r>
            <w:r>
              <w:rPr>
                <w:noProof/>
                <w:webHidden/>
              </w:rPr>
              <w:tab/>
            </w:r>
            <w:r>
              <w:rPr>
                <w:noProof/>
                <w:webHidden/>
              </w:rPr>
              <w:fldChar w:fldCharType="begin"/>
            </w:r>
            <w:r>
              <w:rPr>
                <w:noProof/>
                <w:webHidden/>
              </w:rPr>
              <w:instrText xml:space="preserve"> PAGEREF _Toc233633646 \h </w:instrText>
            </w:r>
            <w:r>
              <w:rPr>
                <w:noProof/>
                <w:webHidden/>
              </w:rPr>
            </w:r>
            <w:r>
              <w:rPr>
                <w:noProof/>
                <w:webHidden/>
              </w:rPr>
              <w:fldChar w:fldCharType="separate"/>
            </w:r>
            <w:r>
              <w:rPr>
                <w:noProof/>
                <w:webHidden/>
              </w:rPr>
              <w:t>71</w:t>
            </w:r>
            <w:r>
              <w:rPr>
                <w:noProof/>
                <w:webHidden/>
              </w:rPr>
              <w:fldChar w:fldCharType="end"/>
            </w:r>
          </w:hyperlink>
        </w:p>
        <w:p w:rsidR="00563236" w:rsidRDefault="00563236" w14:paraId="26AEF250" w14:textId="03CD3043">
          <w:pPr>
            <w:pStyle w:val="TOC1"/>
            <w:tabs>
              <w:tab w:val="right" w:leader="dot" w:pos="9350"/>
            </w:tabs>
            <w:rPr>
              <w:rFonts w:asciiTheme="minorHAnsi" w:hAnsiTheme="minorHAnsi" w:cstheme="minorBidi"/>
              <w:noProof/>
              <w:kern w:val="2"/>
              <w:sz w:val="24"/>
              <w:szCs w:val="24"/>
              <w14:ligatures w14:val="standardContextual"/>
            </w:rPr>
          </w:pPr>
          <w:hyperlink w:history="1" w:anchor="_Toc233633647">
            <w:r w:rsidRPr="00F13730">
              <w:rPr>
                <w:rStyle w:val="Hyperlink"/>
                <w:noProof/>
              </w:rPr>
              <w:t>15.</w:t>
            </w:r>
            <w:r>
              <w:rPr>
                <w:rFonts w:asciiTheme="minorHAnsi" w:hAnsiTheme="minorHAnsi" w:cstheme="minorBidi"/>
                <w:noProof/>
                <w:kern w:val="2"/>
                <w:sz w:val="24"/>
                <w:szCs w:val="24"/>
                <w14:ligatures w14:val="standardContextual"/>
              </w:rPr>
              <w:tab/>
            </w:r>
            <w:r w:rsidRPr="00F13730">
              <w:rPr>
                <w:rStyle w:val="Hyperlink"/>
                <w:noProof/>
              </w:rPr>
              <w:t>Comments on Proposed Decision</w:t>
            </w:r>
            <w:r>
              <w:rPr>
                <w:noProof/>
                <w:webHidden/>
              </w:rPr>
              <w:tab/>
            </w:r>
            <w:r>
              <w:rPr>
                <w:noProof/>
                <w:webHidden/>
              </w:rPr>
              <w:fldChar w:fldCharType="begin"/>
            </w:r>
            <w:r>
              <w:rPr>
                <w:noProof/>
                <w:webHidden/>
              </w:rPr>
              <w:instrText xml:space="preserve"> PAGEREF _Toc233633647 \h </w:instrText>
            </w:r>
            <w:r>
              <w:rPr>
                <w:noProof/>
                <w:webHidden/>
              </w:rPr>
            </w:r>
            <w:r>
              <w:rPr>
                <w:noProof/>
                <w:webHidden/>
              </w:rPr>
              <w:fldChar w:fldCharType="separate"/>
            </w:r>
            <w:r>
              <w:rPr>
                <w:noProof/>
                <w:webHidden/>
              </w:rPr>
              <w:t>72</w:t>
            </w:r>
            <w:r>
              <w:rPr>
                <w:noProof/>
                <w:webHidden/>
              </w:rPr>
              <w:fldChar w:fldCharType="end"/>
            </w:r>
          </w:hyperlink>
        </w:p>
        <w:p w:rsidR="00563236" w:rsidRDefault="00563236" w14:paraId="2092B6B7" w14:textId="19F38904">
          <w:pPr>
            <w:pStyle w:val="TOC1"/>
            <w:tabs>
              <w:tab w:val="right" w:leader="dot" w:pos="9350"/>
            </w:tabs>
            <w:rPr>
              <w:rFonts w:asciiTheme="minorHAnsi" w:hAnsiTheme="minorHAnsi" w:cstheme="minorBidi"/>
              <w:noProof/>
              <w:kern w:val="2"/>
              <w:sz w:val="24"/>
              <w:szCs w:val="24"/>
              <w14:ligatures w14:val="standardContextual"/>
            </w:rPr>
          </w:pPr>
          <w:hyperlink w:history="1" w:anchor="_Toc233633648">
            <w:r w:rsidRPr="00F13730">
              <w:rPr>
                <w:rStyle w:val="Hyperlink"/>
                <w:noProof/>
              </w:rPr>
              <w:t>16.</w:t>
            </w:r>
            <w:r>
              <w:rPr>
                <w:rFonts w:asciiTheme="minorHAnsi" w:hAnsiTheme="minorHAnsi" w:cstheme="minorBidi"/>
                <w:noProof/>
                <w:kern w:val="2"/>
                <w:sz w:val="24"/>
                <w:szCs w:val="24"/>
                <w14:ligatures w14:val="standardContextual"/>
              </w:rPr>
              <w:tab/>
            </w:r>
            <w:r w:rsidRPr="00F13730">
              <w:rPr>
                <w:rStyle w:val="Hyperlink"/>
                <w:noProof/>
              </w:rPr>
              <w:t>Assignment of Proceeding</w:t>
            </w:r>
            <w:r>
              <w:rPr>
                <w:noProof/>
                <w:webHidden/>
              </w:rPr>
              <w:tab/>
            </w:r>
            <w:r>
              <w:rPr>
                <w:noProof/>
                <w:webHidden/>
              </w:rPr>
              <w:fldChar w:fldCharType="begin"/>
            </w:r>
            <w:r>
              <w:rPr>
                <w:noProof/>
                <w:webHidden/>
              </w:rPr>
              <w:instrText xml:space="preserve"> PAGEREF _Toc233633648 \h </w:instrText>
            </w:r>
            <w:r>
              <w:rPr>
                <w:noProof/>
                <w:webHidden/>
              </w:rPr>
            </w:r>
            <w:r>
              <w:rPr>
                <w:noProof/>
                <w:webHidden/>
              </w:rPr>
              <w:fldChar w:fldCharType="separate"/>
            </w:r>
            <w:r>
              <w:rPr>
                <w:noProof/>
                <w:webHidden/>
              </w:rPr>
              <w:t>78</w:t>
            </w:r>
            <w:r>
              <w:rPr>
                <w:noProof/>
                <w:webHidden/>
              </w:rPr>
              <w:fldChar w:fldCharType="end"/>
            </w:r>
          </w:hyperlink>
        </w:p>
        <w:p w:rsidR="00563236" w:rsidRDefault="00563236" w14:paraId="3778412E" w14:textId="4D6914F5">
          <w:pPr>
            <w:pStyle w:val="TOC1"/>
            <w:tabs>
              <w:tab w:val="right" w:leader="dot" w:pos="9350"/>
            </w:tabs>
            <w:rPr>
              <w:rFonts w:asciiTheme="minorHAnsi" w:hAnsiTheme="minorHAnsi" w:cstheme="minorBidi"/>
              <w:noProof/>
              <w:kern w:val="2"/>
              <w:sz w:val="24"/>
              <w:szCs w:val="24"/>
              <w14:ligatures w14:val="standardContextual"/>
            </w:rPr>
          </w:pPr>
          <w:hyperlink w:history="1" w:anchor="_Toc233633649">
            <w:r w:rsidRPr="00F13730">
              <w:rPr>
                <w:rStyle w:val="Hyperlink"/>
                <w:noProof/>
              </w:rPr>
              <w:t>Findings of Fact</w:t>
            </w:r>
            <w:r>
              <w:rPr>
                <w:noProof/>
                <w:webHidden/>
              </w:rPr>
              <w:tab/>
            </w:r>
            <w:r>
              <w:rPr>
                <w:noProof/>
                <w:webHidden/>
              </w:rPr>
              <w:fldChar w:fldCharType="begin"/>
            </w:r>
            <w:r>
              <w:rPr>
                <w:noProof/>
                <w:webHidden/>
              </w:rPr>
              <w:instrText xml:space="preserve"> PAGEREF _Toc233633649 \h </w:instrText>
            </w:r>
            <w:r>
              <w:rPr>
                <w:noProof/>
                <w:webHidden/>
              </w:rPr>
            </w:r>
            <w:r>
              <w:rPr>
                <w:noProof/>
                <w:webHidden/>
              </w:rPr>
              <w:fldChar w:fldCharType="separate"/>
            </w:r>
            <w:r>
              <w:rPr>
                <w:noProof/>
                <w:webHidden/>
              </w:rPr>
              <w:t>78</w:t>
            </w:r>
            <w:r>
              <w:rPr>
                <w:noProof/>
                <w:webHidden/>
              </w:rPr>
              <w:fldChar w:fldCharType="end"/>
            </w:r>
          </w:hyperlink>
        </w:p>
        <w:p w:rsidR="00563236" w:rsidRDefault="00563236" w14:paraId="1B694C1E" w14:textId="202664E2">
          <w:pPr>
            <w:pStyle w:val="TOC1"/>
            <w:tabs>
              <w:tab w:val="right" w:leader="dot" w:pos="9350"/>
            </w:tabs>
            <w:rPr>
              <w:rFonts w:asciiTheme="minorHAnsi" w:hAnsiTheme="minorHAnsi" w:cstheme="minorBidi"/>
              <w:noProof/>
              <w:kern w:val="2"/>
              <w:sz w:val="24"/>
              <w:szCs w:val="24"/>
              <w14:ligatures w14:val="standardContextual"/>
            </w:rPr>
          </w:pPr>
          <w:hyperlink w:history="1" w:anchor="_Toc233633650">
            <w:r w:rsidRPr="00F13730">
              <w:rPr>
                <w:rStyle w:val="Hyperlink"/>
                <w:noProof/>
              </w:rPr>
              <w:t>Conclusions of Law</w:t>
            </w:r>
            <w:r>
              <w:rPr>
                <w:noProof/>
                <w:webHidden/>
              </w:rPr>
              <w:tab/>
            </w:r>
            <w:r>
              <w:rPr>
                <w:noProof/>
                <w:webHidden/>
              </w:rPr>
              <w:fldChar w:fldCharType="begin"/>
            </w:r>
            <w:r>
              <w:rPr>
                <w:noProof/>
                <w:webHidden/>
              </w:rPr>
              <w:instrText xml:space="preserve"> PAGEREF _Toc233633650 \h </w:instrText>
            </w:r>
            <w:r>
              <w:rPr>
                <w:noProof/>
                <w:webHidden/>
              </w:rPr>
            </w:r>
            <w:r>
              <w:rPr>
                <w:noProof/>
                <w:webHidden/>
              </w:rPr>
              <w:fldChar w:fldCharType="separate"/>
            </w:r>
            <w:r>
              <w:rPr>
                <w:noProof/>
                <w:webHidden/>
              </w:rPr>
              <w:t>79</w:t>
            </w:r>
            <w:r>
              <w:rPr>
                <w:noProof/>
                <w:webHidden/>
              </w:rPr>
              <w:fldChar w:fldCharType="end"/>
            </w:r>
          </w:hyperlink>
        </w:p>
        <w:p w:rsidR="00563236" w:rsidRDefault="00563236" w14:paraId="3199DC89" w14:textId="18581BC0">
          <w:pPr>
            <w:pStyle w:val="TOC1"/>
            <w:tabs>
              <w:tab w:val="right" w:leader="dot" w:pos="9350"/>
            </w:tabs>
            <w:rPr>
              <w:rFonts w:asciiTheme="minorHAnsi" w:hAnsiTheme="minorHAnsi" w:cstheme="minorBidi"/>
              <w:noProof/>
              <w:kern w:val="2"/>
              <w:sz w:val="24"/>
              <w:szCs w:val="24"/>
              <w14:ligatures w14:val="standardContextual"/>
            </w:rPr>
          </w:pPr>
          <w:hyperlink w:history="1" w:anchor="_Toc233633651">
            <w:r w:rsidRPr="00F13730">
              <w:rPr>
                <w:rStyle w:val="Hyperlink"/>
                <w:noProof/>
              </w:rPr>
              <w:t>ORDER</w:t>
            </w:r>
            <w:r>
              <w:rPr>
                <w:noProof/>
                <w:webHidden/>
              </w:rPr>
              <w:tab/>
            </w:r>
            <w:r>
              <w:rPr>
                <w:noProof/>
                <w:webHidden/>
              </w:rPr>
              <w:fldChar w:fldCharType="begin"/>
            </w:r>
            <w:r>
              <w:rPr>
                <w:noProof/>
                <w:webHidden/>
              </w:rPr>
              <w:instrText xml:space="preserve"> PAGEREF _Toc233633651 \h </w:instrText>
            </w:r>
            <w:r>
              <w:rPr>
                <w:noProof/>
                <w:webHidden/>
              </w:rPr>
            </w:r>
            <w:r>
              <w:rPr>
                <w:noProof/>
                <w:webHidden/>
              </w:rPr>
              <w:fldChar w:fldCharType="separate"/>
            </w:r>
            <w:r>
              <w:rPr>
                <w:noProof/>
                <w:webHidden/>
              </w:rPr>
              <w:t>89</w:t>
            </w:r>
            <w:r>
              <w:rPr>
                <w:noProof/>
                <w:webHidden/>
              </w:rPr>
              <w:fldChar w:fldCharType="end"/>
            </w:r>
          </w:hyperlink>
        </w:p>
        <w:p w:rsidR="00563236" w:rsidRDefault="00563236" w14:paraId="76AE521A" w14:textId="6E1937AC">
          <w:pPr>
            <w:pStyle w:val="TOC1"/>
            <w:tabs>
              <w:tab w:val="right" w:leader="dot" w:pos="9350"/>
            </w:tabs>
            <w:rPr>
              <w:rFonts w:asciiTheme="minorHAnsi" w:hAnsiTheme="minorHAnsi" w:cstheme="minorBidi"/>
              <w:noProof/>
              <w:kern w:val="2"/>
              <w:sz w:val="24"/>
              <w:szCs w:val="24"/>
              <w14:ligatures w14:val="standardContextual"/>
            </w:rPr>
          </w:pPr>
          <w:hyperlink w:history="1" w:anchor="_Toc233633652">
            <w:r w:rsidRPr="00F13730">
              <w:rPr>
                <w:rStyle w:val="Hyperlink"/>
                <w:noProof/>
              </w:rPr>
              <w:t>Appendix A</w:t>
            </w:r>
            <w:r>
              <w:rPr>
                <w:noProof/>
                <w:webHidden/>
              </w:rPr>
              <w:tab/>
            </w:r>
            <w:r>
              <w:rPr>
                <w:noProof/>
                <w:webHidden/>
              </w:rPr>
              <w:fldChar w:fldCharType="begin"/>
            </w:r>
            <w:r>
              <w:rPr>
                <w:noProof/>
                <w:webHidden/>
              </w:rPr>
              <w:instrText xml:space="preserve"> PAGEREF _Toc233633652 \h </w:instrText>
            </w:r>
            <w:r>
              <w:rPr>
                <w:noProof/>
                <w:webHidden/>
              </w:rPr>
            </w:r>
            <w:r>
              <w:rPr>
                <w:noProof/>
                <w:webHidden/>
              </w:rPr>
              <w:fldChar w:fldCharType="separate"/>
            </w:r>
            <w:r>
              <w:rPr>
                <w:noProof/>
                <w:webHidden/>
              </w:rPr>
              <w:t>2</w:t>
            </w:r>
            <w:r>
              <w:rPr>
                <w:noProof/>
                <w:webHidden/>
              </w:rPr>
              <w:fldChar w:fldCharType="end"/>
            </w:r>
          </w:hyperlink>
        </w:p>
        <w:p w:rsidRPr="001415C7" w:rsidR="00D44DB6" w:rsidP="00BB1713" w:rsidRDefault="008C7413" w14:paraId="6E9763AB" w14:textId="1890A396">
          <w:pPr>
            <w:pStyle w:val="TOC1"/>
            <w:tabs>
              <w:tab w:val="right" w:leader="dot" w:pos="9350"/>
            </w:tabs>
            <w:rPr>
              <w:rFonts w:cs="Arial"/>
              <w:b/>
              <w:bCs/>
              <w:i/>
              <w:szCs w:val="26"/>
            </w:rPr>
          </w:pPr>
          <w:r w:rsidRPr="001415C7">
            <w:rPr>
              <w:rFonts w:asciiTheme="minorHAnsi" w:hAnsiTheme="minorHAnsi"/>
              <w:sz w:val="22"/>
            </w:rPr>
            <w:fldChar w:fldCharType="end"/>
          </w:r>
        </w:p>
      </w:sdtContent>
    </w:sdt>
    <w:p w:rsidRPr="001415C7" w:rsidR="00BB1713" w:rsidP="00D44DB6" w:rsidRDefault="00BB1713" w14:paraId="284B4EB2" w14:textId="77777777">
      <w:pPr>
        <w:spacing w:line="240" w:lineRule="auto"/>
        <w:ind w:firstLine="0"/>
        <w:rPr>
          <w:rFonts w:cs="Arial"/>
          <w:b/>
          <w:bCs/>
          <w:i/>
          <w:szCs w:val="26"/>
        </w:rPr>
      </w:pPr>
    </w:p>
    <w:p w:rsidRPr="001415C7" w:rsidR="00BB1713" w:rsidP="00D44DB6" w:rsidRDefault="00BB1713" w14:paraId="35984888" w14:textId="7D890E8B">
      <w:pPr>
        <w:spacing w:line="240" w:lineRule="auto"/>
        <w:ind w:firstLine="0"/>
        <w:rPr>
          <w:rFonts w:cs="Arial"/>
          <w:i/>
          <w:szCs w:val="26"/>
        </w:rPr>
        <w:sectPr w:rsidRPr="001415C7" w:rsidR="00BB1713"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Pr="001415C7" w:rsidR="00AD64F1" w:rsidP="00AD64F1" w:rsidRDefault="00AD64F1" w14:paraId="654DE925" w14:textId="77777777">
      <w:pPr>
        <w:spacing w:line="240" w:lineRule="auto"/>
        <w:ind w:firstLine="0"/>
        <w:rPr>
          <w:rFonts w:ascii="Arial" w:hAnsi="Arial" w:cs="Arial"/>
          <w:sz w:val="24"/>
          <w:szCs w:val="24"/>
        </w:rPr>
      </w:pPr>
      <w:bookmarkStart w:name="_Toc8123714" w:id="2"/>
    </w:p>
    <w:p w:rsidRPr="001415C7" w:rsidR="00BB1713" w:rsidP="00BB1713" w:rsidRDefault="00AD64F1" w14:paraId="48084C19" w14:textId="0349A593">
      <w:pPr>
        <w:pStyle w:val="Dummy"/>
        <w:jc w:val="center"/>
      </w:pPr>
      <w:bookmarkStart w:name="_Toc228261650" w:id="3"/>
      <w:bookmarkStart w:name="_Toc233633587" w:id="4"/>
      <w:r w:rsidRPr="001415C7">
        <w:t xml:space="preserve">DECISION ESTABLISHING </w:t>
      </w:r>
      <w:r w:rsidRPr="001415C7" w:rsidR="00357F42">
        <w:t xml:space="preserve">APPLICATION </w:t>
      </w:r>
      <w:r w:rsidRPr="001415C7">
        <w:t>PROCESS FOR</w:t>
      </w:r>
      <w:r w:rsidRPr="001415C7" w:rsidR="00BB1713">
        <w:br/>
      </w:r>
      <w:r w:rsidRPr="001415C7">
        <w:t xml:space="preserve"> SB 1221 NEIGHBORHOOD DECARBONIZATION PILOT PROGRAM</w:t>
      </w:r>
      <w:bookmarkEnd w:id="3"/>
      <w:bookmarkEnd w:id="4"/>
    </w:p>
    <w:p w:rsidRPr="001415C7" w:rsidR="005A148C" w:rsidP="005A148C" w:rsidRDefault="00BB1713" w14:paraId="1C6A132B" w14:textId="0861A860">
      <w:pPr>
        <w:pStyle w:val="Dummy"/>
      </w:pPr>
      <w:bookmarkStart w:name="_Toc228261651" w:id="5"/>
      <w:bookmarkStart w:name="_Toc233633588" w:id="6"/>
      <w:r w:rsidRPr="001415C7">
        <w:t>S</w:t>
      </w:r>
      <w:r w:rsidRPr="001415C7" w:rsidR="005A148C">
        <w:t>ummary</w:t>
      </w:r>
      <w:bookmarkEnd w:id="2"/>
      <w:bookmarkEnd w:id="5"/>
      <w:bookmarkEnd w:id="6"/>
    </w:p>
    <w:p w:rsidRPr="001415C7" w:rsidR="000E571C" w:rsidP="006E6574" w:rsidRDefault="008533C1" w14:paraId="150B7081" w14:textId="792DC055">
      <w:pPr>
        <w:pStyle w:val="Standard"/>
      </w:pPr>
      <w:r w:rsidRPr="001415C7">
        <w:t xml:space="preserve">This decision establishes the process </w:t>
      </w:r>
      <w:r w:rsidRPr="001415C7" w:rsidR="00750A81">
        <w:t xml:space="preserve">for gas corporations to submit </w:t>
      </w:r>
      <w:r w:rsidRPr="001415C7" w:rsidR="001A5B65">
        <w:t xml:space="preserve">applications </w:t>
      </w:r>
      <w:r w:rsidRPr="001415C7" w:rsidR="00750A81">
        <w:t>for neighborhood decarb</w:t>
      </w:r>
      <w:r w:rsidRPr="001415C7" w:rsidR="00DA4F7B">
        <w:t>on</w:t>
      </w:r>
      <w:r w:rsidRPr="001415C7" w:rsidR="00750A81">
        <w:t>ization pilot projects to the Commission</w:t>
      </w:r>
      <w:r w:rsidRPr="001415C7" w:rsidR="00DA4F7B">
        <w:t xml:space="preserve">. </w:t>
      </w:r>
      <w:r w:rsidRPr="001415C7" w:rsidR="00FB1581">
        <w:t>Senate Bill</w:t>
      </w:r>
      <w:r w:rsidRPr="001415C7" w:rsidR="00C1489B">
        <w:t xml:space="preserve"> (SB)</w:t>
      </w:r>
      <w:r w:rsidRPr="001415C7" w:rsidR="00FB1581">
        <w:t xml:space="preserve"> 1221 requires the Commission to establish a </w:t>
      </w:r>
      <w:r w:rsidRPr="001415C7" w:rsidR="001A5B65">
        <w:t xml:space="preserve">voluntary </w:t>
      </w:r>
      <w:r w:rsidRPr="001415C7" w:rsidR="00FB1581">
        <w:t xml:space="preserve">pilot program </w:t>
      </w:r>
      <w:r w:rsidRPr="001415C7" w:rsidR="006F2590">
        <w:t xml:space="preserve">to facilitate the </w:t>
      </w:r>
      <w:r w:rsidRPr="001415C7" w:rsidR="00007A79">
        <w:t>cost</w:t>
      </w:r>
      <w:r w:rsidRPr="001415C7" w:rsidR="00AF3C57">
        <w:t>-</w:t>
      </w:r>
      <w:r w:rsidRPr="001415C7" w:rsidR="00007A79">
        <w:t>effective</w:t>
      </w:r>
      <w:r w:rsidRPr="001415C7" w:rsidR="006F2590">
        <w:t xml:space="preserve"> decarbonization of priority decarbonization zones, not to exceed</w:t>
      </w:r>
      <w:r w:rsidRPr="001415C7" w:rsidR="00FB1581">
        <w:t xml:space="preserve"> thirty </w:t>
      </w:r>
      <w:r w:rsidRPr="001415C7" w:rsidR="00EB2D0E">
        <w:t xml:space="preserve">pilot projects </w:t>
      </w:r>
      <w:r w:rsidRPr="001415C7" w:rsidR="00486CD5">
        <w:t>across the state</w:t>
      </w:r>
      <w:r w:rsidRPr="001415C7" w:rsidR="00820CD8">
        <w:t xml:space="preserve">. </w:t>
      </w:r>
      <w:r w:rsidRPr="001415C7" w:rsidR="00FA1F6C">
        <w:t xml:space="preserve">Each pilot project must demonstrate </w:t>
      </w:r>
      <w:r w:rsidRPr="001415C7" w:rsidR="00C73C3A">
        <w:t xml:space="preserve">cost effectiveness by </w:t>
      </w:r>
      <w:r w:rsidRPr="001415C7" w:rsidR="00FF5461">
        <w:t>showing that the avoided costs of gas in</w:t>
      </w:r>
      <w:r w:rsidRPr="001415C7" w:rsidR="004943B0">
        <w:t xml:space="preserve">frastructure investment </w:t>
      </w:r>
      <w:r w:rsidRPr="001415C7" w:rsidR="000B5CFC">
        <w:t xml:space="preserve">would be greater than the costs of implementing the zero-emission alternative. </w:t>
      </w:r>
      <w:r w:rsidRPr="001415C7" w:rsidR="00292F08">
        <w:t xml:space="preserve">This decision </w:t>
      </w:r>
      <w:r w:rsidRPr="001415C7" w:rsidR="00820CD8">
        <w:t xml:space="preserve">allocates those thirty projects among </w:t>
      </w:r>
      <w:r w:rsidRPr="001415C7" w:rsidR="00C670A2">
        <w:t>Pacific Gas and Electric Company</w:t>
      </w:r>
      <w:r w:rsidRPr="001415C7" w:rsidR="00FE62A0">
        <w:t xml:space="preserve"> (PG&amp;E)</w:t>
      </w:r>
      <w:r w:rsidRPr="001415C7" w:rsidR="00C670A2">
        <w:t>, San Diego Gas &amp; Electric Company</w:t>
      </w:r>
      <w:r w:rsidRPr="001415C7" w:rsidR="00FE62A0">
        <w:t xml:space="preserve"> (SDG&amp;E)</w:t>
      </w:r>
      <w:r w:rsidRPr="001415C7" w:rsidR="00C670A2">
        <w:t>, Southern California Gas Company</w:t>
      </w:r>
      <w:r w:rsidRPr="001415C7" w:rsidR="00FE62A0">
        <w:t xml:space="preserve"> (SoCalGas)</w:t>
      </w:r>
      <w:r w:rsidRPr="001415C7" w:rsidR="00C670A2">
        <w:t xml:space="preserve">, </w:t>
      </w:r>
      <w:r w:rsidRPr="001415C7" w:rsidR="00684F84">
        <w:t>Southwest Gas</w:t>
      </w:r>
      <w:r w:rsidRPr="001415C7" w:rsidR="00820CD8">
        <w:t xml:space="preserve"> </w:t>
      </w:r>
      <w:r w:rsidRPr="001415C7" w:rsidR="00EB391C">
        <w:t>C</w:t>
      </w:r>
      <w:r w:rsidRPr="001415C7" w:rsidR="00820CD8">
        <w:t>orporation</w:t>
      </w:r>
      <w:r w:rsidRPr="001415C7" w:rsidR="00FE62A0">
        <w:t xml:space="preserve"> (Southwest Gas)</w:t>
      </w:r>
      <w:r w:rsidRPr="001415C7" w:rsidR="004922C0">
        <w:t>, and the smaller Commission-regulated gas corporations</w:t>
      </w:r>
      <w:r w:rsidRPr="001415C7" w:rsidR="00820CD8">
        <w:t xml:space="preserve"> </w:t>
      </w:r>
      <w:r w:rsidRPr="001415C7" w:rsidR="00F77502">
        <w:t>primarily in</w:t>
      </w:r>
      <w:r w:rsidRPr="001415C7" w:rsidR="00820CD8">
        <w:t xml:space="preserve"> proportion to </w:t>
      </w:r>
      <w:r w:rsidRPr="001415C7">
        <w:t>their</w:t>
      </w:r>
      <w:r w:rsidRPr="001415C7" w:rsidR="00F77502">
        <w:t xml:space="preserve"> </w:t>
      </w:r>
      <w:r w:rsidRPr="001415C7" w:rsidR="00820CD8">
        <w:t>share of gas demand</w:t>
      </w:r>
      <w:r w:rsidRPr="001415C7" w:rsidR="00F77502">
        <w:t>.</w:t>
      </w:r>
      <w:r w:rsidRPr="001415C7" w:rsidR="00820CD8">
        <w:t xml:space="preserve"> </w:t>
      </w:r>
      <w:r w:rsidRPr="001415C7" w:rsidR="00F77502">
        <w:t>The decision</w:t>
      </w:r>
      <w:r w:rsidRPr="001415C7" w:rsidR="00820CD8">
        <w:t xml:space="preserve"> </w:t>
      </w:r>
      <w:r w:rsidRPr="001415C7" w:rsidR="00292F08">
        <w:t xml:space="preserve">sets </w:t>
      </w:r>
      <w:r w:rsidRPr="001415C7" w:rsidR="00820CD8">
        <w:t>three</w:t>
      </w:r>
      <w:r w:rsidRPr="001415C7" w:rsidR="00292F08">
        <w:t xml:space="preserve"> deadlines</w:t>
      </w:r>
      <w:r w:rsidRPr="001415C7" w:rsidR="00302A51">
        <w:t xml:space="preserve"> (</w:t>
      </w:r>
      <w:r w:rsidRPr="001415C7" w:rsidR="002977AA">
        <w:t>April 1, 2027</w:t>
      </w:r>
      <w:r w:rsidRPr="001415C7" w:rsidR="00820CD8">
        <w:t xml:space="preserve">, </w:t>
      </w:r>
      <w:r w:rsidRPr="001415C7" w:rsidR="002977AA">
        <w:t xml:space="preserve">January </w:t>
      </w:r>
      <w:r w:rsidRPr="001415C7" w:rsidR="0039268B">
        <w:t>15</w:t>
      </w:r>
      <w:r w:rsidRPr="001415C7" w:rsidR="00302A51">
        <w:t>, 202</w:t>
      </w:r>
      <w:r w:rsidRPr="001415C7" w:rsidR="0039268B">
        <w:t>8</w:t>
      </w:r>
      <w:r w:rsidRPr="001415C7" w:rsidR="00820CD8">
        <w:t>, and June 1, 2028</w:t>
      </w:r>
      <w:r w:rsidRPr="001415C7" w:rsidR="008E29CE">
        <w:t xml:space="preserve">) </w:t>
      </w:r>
      <w:r w:rsidRPr="001415C7" w:rsidR="00820CD8">
        <w:t xml:space="preserve">by which </w:t>
      </w:r>
      <w:r w:rsidRPr="001415C7" w:rsidR="000E571C">
        <w:t xml:space="preserve">interested gas corporations </w:t>
      </w:r>
      <w:r w:rsidRPr="001415C7" w:rsidR="00911A47">
        <w:t xml:space="preserve">may </w:t>
      </w:r>
      <w:r w:rsidRPr="001415C7" w:rsidR="000E571C">
        <w:t>submit applications containing their proposals.</w:t>
      </w:r>
    </w:p>
    <w:p w:rsidRPr="001415C7" w:rsidR="0073353F" w:rsidP="006E6574" w:rsidRDefault="00A70715" w14:paraId="57201B12" w14:textId="50DE2E89">
      <w:pPr>
        <w:pStyle w:val="Standard"/>
      </w:pPr>
      <w:r w:rsidRPr="001415C7">
        <w:t xml:space="preserve">This decision describes the information and high-level plans an application must contain in order for the application to comply with the requirements </w:t>
      </w:r>
      <w:r w:rsidRPr="001415C7" w:rsidR="00C1489B">
        <w:t xml:space="preserve">and goals set forth by SB 1221. </w:t>
      </w:r>
      <w:r w:rsidRPr="001415C7" w:rsidR="00911A47">
        <w:t>Each</w:t>
      </w:r>
      <w:r w:rsidRPr="001415C7" w:rsidR="00C1489B">
        <w:t xml:space="preserve"> pilot project proposed in each application must </w:t>
      </w:r>
      <w:r w:rsidRPr="001415C7" w:rsidR="00497B37">
        <w:t xml:space="preserve">enable </w:t>
      </w:r>
      <w:r w:rsidRPr="001415C7" w:rsidR="00D20DAD">
        <w:t>decommissioning of gas infrastructure, generat</w:t>
      </w:r>
      <w:r w:rsidRPr="001415C7" w:rsidR="0089170E">
        <w:t>e</w:t>
      </w:r>
      <w:r w:rsidRPr="001415C7" w:rsidR="00D20DAD">
        <w:t xml:space="preserve"> </w:t>
      </w:r>
      <w:r w:rsidRPr="001415C7" w:rsidR="00624064">
        <w:t>sufficient cost savings</w:t>
      </w:r>
      <w:r w:rsidRPr="001415C7" w:rsidR="00D20DAD">
        <w:t xml:space="preserve"> to pay for </w:t>
      </w:r>
      <w:r w:rsidRPr="001415C7" w:rsidR="00624064">
        <w:t>the pilot, alone or in combination with other funding identified in the application</w:t>
      </w:r>
      <w:r w:rsidRPr="001415C7" w:rsidR="0089170E">
        <w:t>,</w:t>
      </w:r>
      <w:r w:rsidRPr="001415C7" w:rsidR="00513FAB">
        <w:t xml:space="preserve"> and demonstrate compliance with other substantive and procedural requirements established in SB 1221 as set out in this decision.</w:t>
      </w:r>
    </w:p>
    <w:p w:rsidRPr="001415C7" w:rsidR="000A0AE7" w:rsidP="006E6574" w:rsidRDefault="000A0AE7" w14:paraId="228C9119" w14:textId="6B387942">
      <w:pPr>
        <w:pStyle w:val="Standard"/>
      </w:pPr>
      <w:r w:rsidRPr="001415C7">
        <w:lastRenderedPageBreak/>
        <w:t>The decision</w:t>
      </w:r>
      <w:r w:rsidRPr="001415C7" w:rsidR="00162D6E">
        <w:t xml:space="preserve"> </w:t>
      </w:r>
      <w:r w:rsidRPr="001415C7" w:rsidR="006F3725">
        <w:t>requires applica</w:t>
      </w:r>
      <w:r w:rsidRPr="001415C7" w:rsidR="001F1EE8">
        <w:t>tions</w:t>
      </w:r>
      <w:r w:rsidRPr="001415C7" w:rsidR="00162D6E">
        <w:t xml:space="preserve"> </w:t>
      </w:r>
      <w:r w:rsidRPr="001415C7" w:rsidR="006F3725">
        <w:t xml:space="preserve">to </w:t>
      </w:r>
      <w:r w:rsidRPr="001415C7" w:rsidR="00311B22">
        <w:t>put forward a</w:t>
      </w:r>
      <w:r w:rsidRPr="001415C7" w:rsidR="006F3725">
        <w:t xml:space="preserve"> propos</w:t>
      </w:r>
      <w:r w:rsidRPr="001415C7" w:rsidR="004F7F57">
        <w:t>al</w:t>
      </w:r>
      <w:r w:rsidRPr="001415C7" w:rsidR="007173DF">
        <w:t xml:space="preserve"> of</w:t>
      </w:r>
      <w:r w:rsidRPr="001415C7" w:rsidR="006F3725">
        <w:t xml:space="preserve"> </w:t>
      </w:r>
      <w:r w:rsidRPr="001415C7" w:rsidR="00CD3123">
        <w:t>whether to expense or amortize the costs they incur to conduct behind-the-meter work (e.g., appliance purchase and installation)</w:t>
      </w:r>
      <w:r w:rsidRPr="001415C7" w:rsidR="005B1746">
        <w:t xml:space="preserve"> and sets a framework for a shareholder incentive </w:t>
      </w:r>
      <w:r w:rsidRPr="001415C7" w:rsidR="009829BC">
        <w:t>structure that would incent</w:t>
      </w:r>
      <w:r w:rsidRPr="001415C7" w:rsidR="006C3289">
        <w:t>ivize</w:t>
      </w:r>
      <w:r w:rsidRPr="001415C7" w:rsidR="009829BC">
        <w:t xml:space="preserve"> </w:t>
      </w:r>
      <w:r w:rsidRPr="001415C7" w:rsidR="00A92E30">
        <w:t xml:space="preserve">gas corporations </w:t>
      </w:r>
      <w:r w:rsidRPr="001415C7" w:rsidR="009829BC">
        <w:t>to maximize cost savings for ratepayers.</w:t>
      </w:r>
    </w:p>
    <w:p w:rsidRPr="001415C7" w:rsidR="00BF27EE" w:rsidP="00BF27EE" w:rsidRDefault="002C7FE9" w14:paraId="0CA4B889" w14:textId="6508392E">
      <w:pPr>
        <w:pStyle w:val="Heading1"/>
        <w:numPr>
          <w:ilvl w:val="0"/>
          <w:numId w:val="1"/>
        </w:numPr>
      </w:pPr>
      <w:bookmarkStart w:name="_Toc8123715" w:id="7"/>
      <w:bookmarkStart w:name="_Toc228261652" w:id="8"/>
      <w:bookmarkStart w:name="_Toc233633589" w:id="9"/>
      <w:r w:rsidRPr="001415C7">
        <w:t>Background</w:t>
      </w:r>
      <w:bookmarkEnd w:id="7"/>
      <w:bookmarkEnd w:id="8"/>
      <w:bookmarkEnd w:id="9"/>
    </w:p>
    <w:p w:rsidRPr="001415C7" w:rsidR="00015707" w:rsidP="001E2B2D" w:rsidRDefault="00015707" w14:paraId="0941573D" w14:textId="35EDA929">
      <w:pPr>
        <w:pStyle w:val="Standard"/>
      </w:pPr>
      <w:r w:rsidRPr="001415C7">
        <w:t xml:space="preserve">On </w:t>
      </w:r>
      <w:r w:rsidRPr="001415C7" w:rsidR="00C96F3E">
        <w:t xml:space="preserve">October 4, 2024, the California Public Utilities Commission (Commission) </w:t>
      </w:r>
      <w:r w:rsidRPr="001415C7" w:rsidR="0018715F">
        <w:t>issued</w:t>
      </w:r>
      <w:r w:rsidRPr="001415C7" w:rsidR="00B22E22">
        <w:t xml:space="preserve"> the instant rulemaking to continue the work of Rulemaking (R.) 20-01-007</w:t>
      </w:r>
      <w:r w:rsidRPr="001415C7" w:rsidR="005A6375">
        <w:t>, with the broad purpose facilitating a gas transition that supports equity, safety, and affordability and mitigates reliability challenges, commodity price spikes and other potential adverse outcomes</w:t>
      </w:r>
      <w:r w:rsidRPr="001415C7" w:rsidR="00756030">
        <w:t>.</w:t>
      </w:r>
      <w:r w:rsidRPr="001415C7" w:rsidR="00756030">
        <w:rPr>
          <w:rStyle w:val="FootnoteReference"/>
        </w:rPr>
        <w:footnoteReference w:id="2"/>
      </w:r>
      <w:r w:rsidRPr="001415C7" w:rsidR="005A6375">
        <w:t xml:space="preserve"> </w:t>
      </w:r>
      <w:r w:rsidRPr="001415C7" w:rsidR="0001116A">
        <w:t>That same year</w:t>
      </w:r>
      <w:r w:rsidRPr="001415C7" w:rsidR="00801928">
        <w:t>, Governor Newsom signed into law Senate Bill 1221 (Min, Chapter 602, Statutes of 2024) which requires the Commission to, among other things</w:t>
      </w:r>
      <w:r w:rsidRPr="001415C7" w:rsidR="00690C4B">
        <w:t>,</w:t>
      </w:r>
      <w:r w:rsidRPr="001415C7" w:rsidR="00801928">
        <w:t xml:space="preserve"> </w:t>
      </w:r>
      <w:r w:rsidRPr="001415C7" w:rsidR="00C94ADC">
        <w:t>designate Priority Neighborhood Decarbonization Zones</w:t>
      </w:r>
      <w:r w:rsidRPr="001415C7" w:rsidR="00690C4B">
        <w:t xml:space="preserve"> (PNDZs) and </w:t>
      </w:r>
      <w:r w:rsidRPr="001415C7" w:rsidR="00C94ADC">
        <w:t xml:space="preserve">establish a pilot program to enable the cost-effective decarbonization of </w:t>
      </w:r>
      <w:r w:rsidRPr="001415C7" w:rsidR="00690C4B">
        <w:t>those PNDZs.</w:t>
      </w:r>
      <w:r w:rsidRPr="001415C7" w:rsidR="001E2B2D">
        <w:t xml:space="preserve"> On December 23, 2025, the Commission issued Decision (D.) 25-12-042 establishing the PNDZs. This decision establishes the pilot program.</w:t>
      </w:r>
    </w:p>
    <w:p w:rsidRPr="001415C7" w:rsidR="00BF27EE" w:rsidP="00BF27EE" w:rsidRDefault="00BF27EE" w14:paraId="513E3D55" w14:textId="0717828C">
      <w:pPr>
        <w:pStyle w:val="Standard"/>
      </w:pPr>
      <w:r w:rsidRPr="001415C7">
        <w:t xml:space="preserve">On October 16, 2025, the assigned Commissioner issued </w:t>
      </w:r>
      <w:r w:rsidRPr="001415C7" w:rsidR="00661FBF">
        <w:t xml:space="preserve">a </w:t>
      </w:r>
      <w:r w:rsidRPr="001415C7" w:rsidR="001D5D61">
        <w:t>S</w:t>
      </w:r>
      <w:r w:rsidRPr="001415C7">
        <w:t xml:space="preserve">econd </w:t>
      </w:r>
      <w:r w:rsidRPr="001415C7" w:rsidR="001D5D61">
        <w:t>A</w:t>
      </w:r>
      <w:r w:rsidRPr="001415C7">
        <w:t>men</w:t>
      </w:r>
      <w:r w:rsidRPr="001415C7" w:rsidR="00A33910">
        <w:t>ded</w:t>
      </w:r>
      <w:r w:rsidRPr="001415C7">
        <w:t xml:space="preserve"> Scoping Memo to incorporate Senate Bill (SB) 1221 activities for the establishment of a program to facilitate the </w:t>
      </w:r>
      <w:r w:rsidRPr="001415C7" w:rsidR="00007A79">
        <w:t>cost effective</w:t>
      </w:r>
      <w:r w:rsidRPr="001415C7">
        <w:t xml:space="preserve"> decarbonization of priority </w:t>
      </w:r>
      <w:r w:rsidRPr="001415C7" w:rsidR="00850DBB">
        <w:t xml:space="preserve">neighborhood </w:t>
      </w:r>
      <w:r w:rsidRPr="001415C7">
        <w:t>decarbonization zones through pilot projects (pilot program) in the scope of this proceeding. The Second Amended Scoping Memo added Tracks 3 and 4 and set the schedule for implementation of Public Utilities Code (Pub. Util. Code</w:t>
      </w:r>
      <w:r w:rsidRPr="001415C7" w:rsidR="009B2B8A">
        <w:t xml:space="preserve"> or </w:t>
      </w:r>
      <w:r w:rsidRPr="001415C7">
        <w:t xml:space="preserve">Code) Section 663 requirements; and </w:t>
      </w:r>
      <w:r w:rsidRPr="001415C7" w:rsidR="009B2B8A">
        <w:t>in its Appendix A</w:t>
      </w:r>
      <w:r w:rsidRPr="001415C7" w:rsidR="00C7148F">
        <w:t xml:space="preserve"> </w:t>
      </w:r>
      <w:r w:rsidRPr="001415C7">
        <w:lastRenderedPageBreak/>
        <w:t>requested party comments on a list of questions related to the establishment of the pilot program.</w:t>
      </w:r>
    </w:p>
    <w:p w:rsidRPr="001415C7" w:rsidR="00BF27EE" w:rsidP="00BF27EE" w:rsidRDefault="00BF27EE" w14:paraId="5BC3CA35" w14:textId="6E9CBEFB">
      <w:pPr>
        <w:pStyle w:val="Standard"/>
      </w:pPr>
      <w:r w:rsidRPr="001415C7">
        <w:t>On December 3, 2025, The Public Advocates Office at the California Public Utilities Commission (Cal Advocates); City and County of San Francisco (</w:t>
      </w:r>
      <w:r w:rsidRPr="001415C7" w:rsidR="00F6538D">
        <w:t>San Francisco</w:t>
      </w:r>
      <w:r w:rsidRPr="001415C7">
        <w:t xml:space="preserve">); Coalition of California Utility Employees (CUE); Center for Accessible Technology (CforAT); California Municipal Utilities Association (CMUA); County of Contra Costa (Contra Costa); Central California Rural Regional Energy Network (CCR REN); City of Elk Grove (Elk Grove); City of Palo Alto, California, City of Vernon, City of Long Beach (collectively Gas MOUs); Indicated Shippers; Peninsula Clean Energy Authority,  San Diego Community Power, San José Clean Energy, Silicon Valley Clean Energy Authority, and Sonoma Clean Power Authority (collectively Joint CCAs); California State Association of Electrical Workers , California State Pipe Trades Council, Western States Council of Sheet Metal, Air, Rail and Transportation Workers (collectively Labor Coalition); Sierra Club and the Natural Resources Defense Council (NRDC) (jointly NRDC/Sierra Club); PG&amp;E; Small Business Utility Advocates (SBUA); Southern California Edison Company (SCE); SoCalGas and SDG&amp;E (collectively </w:t>
      </w:r>
      <w:r w:rsidRPr="001415C7" w:rsidR="00C97F4A">
        <w:t>the Sempra Utilitie</w:t>
      </w:r>
      <w:r w:rsidRPr="001415C7" w:rsidR="007813FC">
        <w:t>s</w:t>
      </w:r>
      <w:r w:rsidRPr="001415C7">
        <w:t xml:space="preserve">); </w:t>
      </w:r>
      <w:r w:rsidRPr="001415C7" w:rsidR="00187E58">
        <w:t>Southwest Gas</w:t>
      </w:r>
      <w:r w:rsidRPr="001415C7">
        <w:t>, The Utility Reform Network (TURN) filed opening comments on the Second Amended Scoping Memo Appendix A questions.</w:t>
      </w:r>
    </w:p>
    <w:p w:rsidRPr="001415C7" w:rsidR="00BF27EE" w:rsidP="00BF27EE" w:rsidRDefault="00BF27EE" w14:paraId="0131356A" w14:textId="6EE1FD58">
      <w:pPr>
        <w:pStyle w:val="Standard"/>
      </w:pPr>
      <w:r w:rsidRPr="001415C7">
        <w:t xml:space="preserve">On December 17, 2025, Cal Advocates, San Francisco, CMUA, Contra Costa Building and Construction Trades Council (CCBCTC), Elk Grove, Indicated Shippers, Joint CCAs, Labor Coalition, NRDC/Sierra Club, PG&amp;E, SBUA, SCE, </w:t>
      </w:r>
      <w:r w:rsidRPr="001415C7" w:rsidR="00A44CF1">
        <w:t>Southwest Gas</w:t>
      </w:r>
      <w:r w:rsidRPr="001415C7">
        <w:t xml:space="preserve">, </w:t>
      </w:r>
      <w:r w:rsidRPr="001415C7" w:rsidR="00EB244B">
        <w:t>Sempra Utilities</w:t>
      </w:r>
      <w:r w:rsidRPr="001415C7">
        <w:t>, UCAN filed reply comments on the Second Amended Scoping Memo Appendix A questions.</w:t>
      </w:r>
    </w:p>
    <w:p w:rsidRPr="001415C7" w:rsidR="00BF27EE" w:rsidP="00BF27EE" w:rsidRDefault="00BF27EE" w14:paraId="57DAD509" w14:textId="77777777">
      <w:pPr>
        <w:pStyle w:val="Standard"/>
      </w:pPr>
      <w:r w:rsidRPr="001415C7">
        <w:lastRenderedPageBreak/>
        <w:t xml:space="preserve">On December 18, 2025, the Commission issued Decision (D.) 25-12-042 to adopt 151 initial priority neighborhood decarbonization zones (PNDZ) pursuant to Pub. Util. Code Section 662(a). </w:t>
      </w:r>
    </w:p>
    <w:p w:rsidRPr="001415C7" w:rsidR="00BF27EE" w:rsidP="00BF27EE" w:rsidRDefault="00BF27EE" w14:paraId="012B9696" w14:textId="77777777">
      <w:pPr>
        <w:pStyle w:val="Standard"/>
      </w:pPr>
      <w:r w:rsidRPr="001415C7">
        <w:t xml:space="preserve">On December 23, 2025, PG&amp;E filed a motion to amend the SB 1221 Memorandum Account to incremental verifiable costs pursuant to D.25-12-042 (PG&amp;E Motion). </w:t>
      </w:r>
    </w:p>
    <w:p w:rsidRPr="001415C7" w:rsidR="00BF27EE" w:rsidP="00C0562B" w:rsidRDefault="00BF27EE" w14:paraId="5A1E2EEE" w14:textId="0B32E360">
      <w:pPr>
        <w:pStyle w:val="Standard"/>
      </w:pPr>
      <w:r w:rsidRPr="001415C7">
        <w:t>On January 9, 2026, SoCalGas and SDG&amp;E filed a joint motion to amend their respective SB 1221 Memorandum Accounts to incremental verifiable costs pursuant to D.25-12-042 (Joint Motion). On January 26, 2026, Indicated Shippers filed a response to the Joint Motion. On January 30, 2026, the assigned Administrative Law Judge (ALJ) issued an e-mail ruling authorizing SoCalGas and SDG&amp;E to reply to Indicated Shippers’ response.</w:t>
      </w:r>
    </w:p>
    <w:p w:rsidRPr="001415C7" w:rsidR="007C4F62" w:rsidP="007C4F62" w:rsidRDefault="007C4F62" w14:paraId="28ADF23F" w14:textId="0E578378">
      <w:pPr>
        <w:pStyle w:val="Standard"/>
      </w:pPr>
      <w:r w:rsidRPr="001415C7">
        <w:t xml:space="preserve">On March 4, 2026, the assigned Commissioner issued </w:t>
      </w:r>
      <w:r w:rsidRPr="001415C7" w:rsidR="00CC43F8">
        <w:t xml:space="preserve">the </w:t>
      </w:r>
      <w:r w:rsidRPr="001415C7">
        <w:t>Third Amended Scoping Memo which amended scoped issue number fifteen and added issue 17a to the proceeding scope.</w:t>
      </w:r>
    </w:p>
    <w:p w:rsidRPr="001415C7" w:rsidR="007C4F62" w:rsidP="007C4F62" w:rsidRDefault="007C4F62" w14:paraId="013D5336" w14:textId="58461B87">
      <w:pPr>
        <w:pStyle w:val="Standard"/>
      </w:pPr>
      <w:r w:rsidRPr="001415C7">
        <w:t xml:space="preserve">On March 17, 2026, the assigned ALJ issued their </w:t>
      </w:r>
      <w:r w:rsidRPr="001415C7">
        <w:rPr>
          <w:i/>
          <w:iCs/>
        </w:rPr>
        <w:t xml:space="preserve">Ruling Requesting Additional Information to Implement Senate Bill 1221 </w:t>
      </w:r>
      <w:r w:rsidRPr="001415C7">
        <w:t xml:space="preserve">(SB 1221 Ruling). On March 27, opening comments on the SB 1221 Ruling were filed and served by CUE, Indicated Shippers, the Joint CCAs, the </w:t>
      </w:r>
      <w:r w:rsidRPr="001415C7" w:rsidR="00EB244B">
        <w:t>Sempra Utilities</w:t>
      </w:r>
      <w:r w:rsidRPr="001415C7">
        <w:t xml:space="preserve">, NRDC and Sierra Club, PG&amp;E, SBUA, SCE, SW Gas, and TURN; on April 3, 2026, reply comments on the SB 1221 Ruling were filed and served by CUE, Indicated Shippers, the </w:t>
      </w:r>
      <w:r w:rsidRPr="001415C7" w:rsidR="00EB244B">
        <w:t>Sempra Utilities</w:t>
      </w:r>
      <w:r w:rsidRPr="001415C7">
        <w:t>, NRDC and Sierra Club, PG&amp;E, SBUA, SCE, and TURN.</w:t>
      </w:r>
    </w:p>
    <w:p w:rsidRPr="001415C7" w:rsidR="00683B2C" w:rsidP="00A12092" w:rsidRDefault="00683B2C" w14:paraId="5D3183A3" w14:textId="77777777">
      <w:pPr>
        <w:pStyle w:val="Heading1"/>
        <w:numPr>
          <w:ilvl w:val="0"/>
          <w:numId w:val="1"/>
        </w:numPr>
      </w:pPr>
      <w:bookmarkStart w:name="_Toc228261653" w:id="10"/>
      <w:bookmarkStart w:name="_Toc233633590" w:id="11"/>
      <w:r w:rsidRPr="001415C7">
        <w:t>Submission Date</w:t>
      </w:r>
      <w:bookmarkEnd w:id="10"/>
      <w:bookmarkEnd w:id="11"/>
    </w:p>
    <w:p w:rsidRPr="001415C7" w:rsidR="00683B2C" w:rsidP="00426360" w:rsidRDefault="00683B2C" w14:paraId="7727CBD7" w14:textId="62938219">
      <w:pPr>
        <w:pStyle w:val="Standard"/>
      </w:pPr>
      <w:r w:rsidRPr="001415C7">
        <w:t xml:space="preserve">This matter was submitted on </w:t>
      </w:r>
      <w:r w:rsidRPr="001415C7" w:rsidR="00A47701">
        <w:t>April 3, 2026</w:t>
      </w:r>
      <w:r w:rsidRPr="001415C7">
        <w:t xml:space="preserve"> upon </w:t>
      </w:r>
      <w:r w:rsidRPr="001415C7" w:rsidR="00A47701">
        <w:t xml:space="preserve">filing of </w:t>
      </w:r>
      <w:r w:rsidRPr="001415C7" w:rsidR="007C4F62">
        <w:t>reply comments to the SB 1221 Ruling.</w:t>
      </w:r>
    </w:p>
    <w:p w:rsidRPr="001415C7" w:rsidR="005A148C" w:rsidP="00A12092" w:rsidRDefault="005939A5" w14:paraId="2B071206" w14:textId="77777777">
      <w:pPr>
        <w:pStyle w:val="Heading1"/>
        <w:numPr>
          <w:ilvl w:val="0"/>
          <w:numId w:val="1"/>
        </w:numPr>
      </w:pPr>
      <w:bookmarkStart w:name="_Toc8123719" w:id="12"/>
      <w:bookmarkStart w:name="_Toc228261654" w:id="13"/>
      <w:bookmarkStart w:name="_Toc233633591" w:id="14"/>
      <w:r w:rsidRPr="001415C7">
        <w:lastRenderedPageBreak/>
        <w:t xml:space="preserve">Issues Before the </w:t>
      </w:r>
      <w:bookmarkEnd w:id="12"/>
      <w:r w:rsidRPr="001415C7" w:rsidR="008A08BF">
        <w:t>Commission</w:t>
      </w:r>
      <w:bookmarkEnd w:id="13"/>
      <w:bookmarkEnd w:id="14"/>
    </w:p>
    <w:p w:rsidRPr="001415C7" w:rsidR="001A6DF3" w:rsidP="001A6DF3" w:rsidRDefault="001A6DF3" w14:paraId="13E7B76C" w14:textId="77777777">
      <w:pPr>
        <w:pStyle w:val="Standard"/>
      </w:pPr>
      <w:bookmarkStart w:name="_Toc8123720" w:id="15"/>
      <w:r w:rsidRPr="001415C7">
        <w:t>The issues before the Commission are listed below. The numbering for each issue corresponds to the numbers assigned to the issues by the Scoping Rulings and therefore do not begin at 1 and may not proceed sequentially.</w:t>
      </w:r>
    </w:p>
    <w:p w:rsidRPr="001415C7" w:rsidR="001A6DF3" w:rsidP="00BB1713" w:rsidRDefault="001A6DF3" w14:paraId="3B74576B" w14:textId="6A160FBF">
      <w:pPr>
        <w:pStyle w:val="ListNum"/>
        <w:keepNext/>
        <w:numPr>
          <w:ilvl w:val="0"/>
          <w:numId w:val="0"/>
        </w:numPr>
        <w:ind w:left="1080" w:right="1440" w:hanging="360"/>
      </w:pPr>
      <w:r w:rsidRPr="001415C7">
        <w:t>12.</w:t>
      </w:r>
      <w:r w:rsidRPr="001415C7" w:rsidR="00BB1713">
        <w:tab/>
      </w:r>
      <w:r w:rsidRPr="001415C7">
        <w:t>How should the Commission implement Pub. Util. Code 663(b)(1), which directs the Commission to adopt a process for gas corporations to submit pilot projects?  What process should the Commission set for gas corporations to submit applications?  If the Commission was to require that applications be batched and submitted at specific intervals, should the Commission allow for quarterly, biannual, or annual submissions?</w:t>
      </w:r>
    </w:p>
    <w:p w:rsidRPr="001415C7" w:rsidR="001A6DF3" w:rsidP="00BB1713" w:rsidRDefault="001A6DF3" w14:paraId="794A6BA6" w14:textId="0CAA5D3F">
      <w:pPr>
        <w:pStyle w:val="ListNum"/>
        <w:keepNext/>
        <w:numPr>
          <w:ilvl w:val="0"/>
          <w:numId w:val="0"/>
        </w:numPr>
        <w:ind w:left="1080" w:right="1440" w:hanging="360"/>
      </w:pPr>
      <w:r w:rsidRPr="001415C7">
        <w:t>13.</w:t>
      </w:r>
      <w:r w:rsidRPr="001415C7" w:rsidR="00BB1713">
        <w:tab/>
      </w:r>
      <w:r w:rsidRPr="001415C7">
        <w:t xml:space="preserve">What guidance should the Commission establish in this proceeding regarding the “criteria and methodology for determining the </w:t>
      </w:r>
      <w:r w:rsidRPr="001415C7" w:rsidR="00007A79">
        <w:t>cost effective</w:t>
      </w:r>
      <w:r w:rsidRPr="001415C7">
        <w:t>ness of a zero-emission alternative as compared to replacement, repair, or continued operation of the affected asset of the gas system,” as required by Pub. Util. Code Section 663(b)(2)?</w:t>
      </w:r>
    </w:p>
    <w:p w:rsidRPr="001415C7" w:rsidR="001A6DF3" w:rsidP="00A37687" w:rsidRDefault="001A6DF3" w14:paraId="3710BFF5" w14:textId="7EC7E199">
      <w:pPr>
        <w:pStyle w:val="ListParagraph"/>
        <w:numPr>
          <w:ilvl w:val="1"/>
          <w:numId w:val="9"/>
        </w:numPr>
        <w:ind w:right="1440"/>
      </w:pPr>
      <w:r w:rsidRPr="001415C7">
        <w:t xml:space="preserve">Pub. Util. Code Section 663(b)(2) states “nonenergy benefits may be considered in prioritizing pilot projects but shall not be used to calculate </w:t>
      </w:r>
      <w:r w:rsidRPr="001415C7" w:rsidR="00007A79">
        <w:t>cost effective</w:t>
      </w:r>
      <w:r w:rsidRPr="001415C7">
        <w:t>ness.”  How should gas corporations consider nonenergy benefits when prioritizing projects?</w:t>
      </w:r>
    </w:p>
    <w:p w:rsidRPr="001415C7" w:rsidR="001A6DF3" w:rsidP="00A37687" w:rsidRDefault="001A6DF3" w14:paraId="18A0EF33" w14:textId="55269A43">
      <w:pPr>
        <w:pStyle w:val="ListParagraph"/>
        <w:numPr>
          <w:ilvl w:val="1"/>
          <w:numId w:val="9"/>
        </w:numPr>
        <w:ind w:right="1440"/>
      </w:pPr>
      <w:r w:rsidRPr="001415C7">
        <w:t xml:space="preserve">Should the Commission require additional </w:t>
      </w:r>
      <w:r w:rsidRPr="001415C7" w:rsidR="00007A79">
        <w:t>cost effective</w:t>
      </w:r>
      <w:r w:rsidRPr="001415C7">
        <w:t xml:space="preserve">ness demonstrations for pilot projects in the first round of applications?  If so, which ones and how should they be considered? </w:t>
      </w:r>
    </w:p>
    <w:p w:rsidRPr="001415C7" w:rsidR="001A6DF3" w:rsidP="00A37687" w:rsidRDefault="001A6DF3" w14:paraId="71053F28" w14:textId="44F8DF2C">
      <w:pPr>
        <w:pStyle w:val="ListParagraph"/>
        <w:numPr>
          <w:ilvl w:val="1"/>
          <w:numId w:val="9"/>
        </w:numPr>
        <w:ind w:right="1440"/>
      </w:pPr>
      <w:r w:rsidRPr="001415C7">
        <w:t xml:space="preserve">How should the Commission determine “the total cost that would have otherwise occurred” but for the implementation of the zero-emission alternative, for determining </w:t>
      </w:r>
      <w:r w:rsidRPr="001415C7" w:rsidR="00007A79">
        <w:t>cost effective</w:t>
      </w:r>
      <w:r w:rsidRPr="001415C7">
        <w:t xml:space="preserve">ness?  </w:t>
      </w:r>
    </w:p>
    <w:p w:rsidRPr="001415C7" w:rsidR="001A6DF3" w:rsidP="00BB1713" w:rsidRDefault="001A6DF3" w14:paraId="7154D43E" w14:textId="77777777">
      <w:pPr>
        <w:pStyle w:val="ListNum"/>
        <w:numPr>
          <w:ilvl w:val="0"/>
          <w:numId w:val="0"/>
        </w:numPr>
        <w:ind w:left="1080" w:right="1440" w:hanging="360"/>
      </w:pPr>
      <w:r w:rsidRPr="001415C7">
        <w:t>14. How should gas corporations demonstrate that pilot proposals ensure that a substitute for gas service is affordable, adequate, efficient, and reasonable, for participating customers, including participating low-</w:t>
      </w:r>
      <w:r w:rsidRPr="001415C7">
        <w:lastRenderedPageBreak/>
        <w:t>income customers as required by Pub. Util. Code Sections 451.9 and 663(b)(3)?</w:t>
      </w:r>
    </w:p>
    <w:p w:rsidRPr="001415C7" w:rsidR="001A6DF3" w:rsidP="00BB1713" w:rsidRDefault="001A6DF3" w14:paraId="5E5F5252" w14:textId="7285CF15">
      <w:pPr>
        <w:pStyle w:val="ListNum"/>
        <w:numPr>
          <w:ilvl w:val="0"/>
          <w:numId w:val="0"/>
        </w:numPr>
        <w:ind w:left="1080" w:right="1440" w:hanging="360"/>
      </w:pPr>
      <w:r w:rsidRPr="001415C7">
        <w:t>15.</w:t>
      </w:r>
      <w:r w:rsidRPr="001415C7" w:rsidR="0023326F">
        <w:t xml:space="preserve"> </w:t>
      </w:r>
      <w:r w:rsidRPr="001415C7">
        <w:t>How should the gas corporations demonstrate property owners’ consent to participate in the pilot, as well as adequate notifications about the pilot to property owners and affected customers, tenants, including master-metered per Pub. Util. Code Section 663(b)(4) and Section 663(b)(5)?</w:t>
      </w:r>
    </w:p>
    <w:p w:rsidRPr="001415C7" w:rsidR="001A6DF3" w:rsidP="00BB1713" w:rsidRDefault="001A6DF3" w14:paraId="09E6011D" w14:textId="30D03C38">
      <w:pPr>
        <w:pStyle w:val="ListNum"/>
        <w:numPr>
          <w:ilvl w:val="0"/>
          <w:numId w:val="0"/>
        </w:numPr>
        <w:ind w:left="1080" w:right="1440" w:hanging="360"/>
      </w:pPr>
      <w:r w:rsidRPr="001415C7">
        <w:t>16. How should gas corporations demonstrate a preference for projects that provide prevailing wages and use high-road jobs programs per Pub. Util. Code Section 663(b)(6)?  Should the Commission consider definitions of high road job programs in other state laws to implement this provision?</w:t>
      </w:r>
      <w:r w:rsidRPr="001415C7">
        <w:rPr>
          <w:rStyle w:val="FootnoteReference"/>
        </w:rPr>
        <w:footnoteReference w:id="3"/>
      </w:r>
    </w:p>
    <w:p w:rsidRPr="001415C7" w:rsidR="001A6DF3" w:rsidP="00BB1713" w:rsidRDefault="001A6DF3" w14:paraId="57C56989" w14:textId="3FA3047D">
      <w:pPr>
        <w:pStyle w:val="ListNum"/>
        <w:numPr>
          <w:ilvl w:val="0"/>
          <w:numId w:val="0"/>
        </w:numPr>
        <w:ind w:left="1080" w:right="1440" w:hanging="360"/>
      </w:pPr>
      <w:r w:rsidRPr="001415C7">
        <w:t>17. How should gas corporations demonstrate coordination and collaboration with electrical corporations, publicly owned electric utilities, load serving entities, local governments, and, if feasible, core transport agents affected by a pilot project, per Pub. Util. Code Section 663(b)(7)?</w:t>
      </w:r>
    </w:p>
    <w:p w:rsidRPr="001415C7" w:rsidR="001A6DF3" w:rsidP="00BB1713" w:rsidRDefault="001A6DF3" w14:paraId="4B6E88DB" w14:textId="77777777">
      <w:pPr>
        <w:pStyle w:val="ListNum"/>
        <w:numPr>
          <w:ilvl w:val="0"/>
          <w:numId w:val="0"/>
        </w:numPr>
        <w:ind w:left="1080" w:right="1440" w:hanging="360"/>
      </w:pPr>
      <w:r w:rsidRPr="001415C7">
        <w:t>17a. What information should the gas corporations provide in their applications to demonstrate communication and collaboration with local governments and community organizations that have expressed interest in providing support, contractors, and other relevant entities?</w:t>
      </w:r>
    </w:p>
    <w:p w:rsidRPr="001415C7" w:rsidR="001A6DF3" w:rsidP="00BB1713" w:rsidRDefault="001A6DF3" w14:paraId="6A851C76" w14:textId="7B2B77F8">
      <w:pPr>
        <w:pStyle w:val="ListNum"/>
        <w:numPr>
          <w:ilvl w:val="0"/>
          <w:numId w:val="0"/>
        </w:numPr>
        <w:ind w:left="1080" w:right="1440" w:hanging="360"/>
      </w:pPr>
      <w:r w:rsidRPr="001415C7">
        <w:t>18. Should the Commission provide guidance to gas corporations regarding the types or categories of costs that will be considered “related to implementation of the pilot programs” or “costs to implement a zero-emission alternative” and therefore eligible for cost recovery if deemed just and reasonable, per Pub. Util. Code Section 663(b)(8) and 663(b)(9)?</w:t>
      </w:r>
    </w:p>
    <w:p w:rsidRPr="001415C7" w:rsidR="001A6DF3" w:rsidP="00BB1713" w:rsidRDefault="001A6DF3" w14:paraId="0FA1D215" w14:textId="12665730">
      <w:pPr>
        <w:pStyle w:val="ListNum"/>
        <w:numPr>
          <w:ilvl w:val="0"/>
          <w:numId w:val="0"/>
        </w:numPr>
        <w:ind w:left="1080" w:right="1440" w:hanging="360"/>
      </w:pPr>
      <w:r w:rsidRPr="001415C7">
        <w:t xml:space="preserve">19. What cost recovery process(es), provision(s), and/or mechanism(s) should the Commission authorize, if any ratepayer funds are approved, for a zonal decarbonization </w:t>
      </w:r>
      <w:r w:rsidRPr="001415C7">
        <w:lastRenderedPageBreak/>
        <w:t>pilot project implemented per Pub. Util. Code Section 663(8) and Section 663(b)(9)?</w:t>
      </w:r>
    </w:p>
    <w:p w:rsidRPr="001415C7" w:rsidR="001A6DF3" w:rsidP="00BB1713" w:rsidRDefault="001A6DF3" w14:paraId="4E0522BB" w14:textId="4DA65363">
      <w:pPr>
        <w:pStyle w:val="ListNum"/>
        <w:numPr>
          <w:ilvl w:val="0"/>
          <w:numId w:val="0"/>
        </w:numPr>
        <w:ind w:left="1080" w:right="1440" w:hanging="360"/>
      </w:pPr>
      <w:r w:rsidRPr="001415C7">
        <w:t>20. Should the Commission provide guidance or criteria for gas corporations to request a rate of return and recovery period for costs eligible for recovery per Pub. Util. Code Section 663(b)(9)?</w:t>
      </w:r>
    </w:p>
    <w:p w:rsidRPr="001415C7" w:rsidR="001A6DF3" w:rsidP="00BB1713" w:rsidRDefault="001A6DF3" w14:paraId="36123521" w14:textId="00D9E532">
      <w:pPr>
        <w:pStyle w:val="ListNum"/>
        <w:numPr>
          <w:ilvl w:val="0"/>
          <w:numId w:val="0"/>
        </w:numPr>
        <w:ind w:left="1080" w:right="1440" w:hanging="360"/>
      </w:pPr>
      <w:r w:rsidRPr="001415C7">
        <w:t>21. Should the Commission determine criteria or processes for electrical corporations to seek recovery of costs they incur related to implementation of pilot programs?</w:t>
      </w:r>
    </w:p>
    <w:p w:rsidRPr="001415C7" w:rsidR="00C47335" w:rsidP="00151509" w:rsidRDefault="003C2DE3" w14:paraId="51BA1153" w14:textId="249C833D">
      <w:pPr>
        <w:pStyle w:val="Heading1"/>
        <w:numPr>
          <w:ilvl w:val="0"/>
          <w:numId w:val="1"/>
        </w:numPr>
      </w:pPr>
      <w:bookmarkStart w:name="_Toc228261656" w:id="16"/>
      <w:bookmarkStart w:name="_Toc233633592" w:id="17"/>
      <w:r w:rsidRPr="001415C7">
        <w:t>Definitions of Terms</w:t>
      </w:r>
      <w:bookmarkEnd w:id="16"/>
      <w:bookmarkEnd w:id="17"/>
    </w:p>
    <w:p w:rsidRPr="001415C7" w:rsidR="00466DE6" w:rsidP="0020562B" w:rsidRDefault="00466DE6" w14:paraId="5F69EF44" w14:textId="5EC78B3C">
      <w:pPr>
        <w:pStyle w:val="Heading2"/>
        <w:numPr>
          <w:ilvl w:val="1"/>
          <w:numId w:val="1"/>
        </w:numPr>
      </w:pPr>
      <w:bookmarkStart w:name="_Toc228261657" w:id="18"/>
      <w:bookmarkStart w:name="_Toc233633593" w:id="19"/>
      <w:bookmarkEnd w:id="15"/>
      <w:r w:rsidRPr="001415C7">
        <w:t>Affected Customer</w:t>
      </w:r>
      <w:bookmarkEnd w:id="18"/>
      <w:bookmarkEnd w:id="19"/>
    </w:p>
    <w:p w:rsidRPr="001415C7" w:rsidR="009037C7" w:rsidP="009037C7" w:rsidRDefault="00BC2DE6" w14:paraId="59C793A9" w14:textId="29D826A8">
      <w:pPr>
        <w:pStyle w:val="Standard"/>
      </w:pPr>
      <w:r w:rsidRPr="001415C7">
        <w:t xml:space="preserve">Code Section 663(b)(4) requires the Commission to </w:t>
      </w:r>
      <w:r w:rsidRPr="001415C7" w:rsidR="006843A3">
        <w:t xml:space="preserve">establish “the manner in which consent shall be received and notifications about the pilot project shall be provided to property owners and affected customers.” </w:t>
      </w:r>
    </w:p>
    <w:p w:rsidRPr="001415C7" w:rsidR="00466DE6" w:rsidP="009D3F0C" w:rsidRDefault="752FBEEA" w14:paraId="22633037" w14:textId="0667CDFF">
      <w:pPr>
        <w:pStyle w:val="Standard"/>
      </w:pPr>
      <w:r>
        <w:t xml:space="preserve">For the purposes of this proceeding, the Commission defines the affected customer as the utility </w:t>
      </w:r>
      <w:r w:rsidR="2EB4BA73">
        <w:t>customer of record</w:t>
      </w:r>
      <w:r>
        <w:t xml:space="preserve"> for a property within the project boundary. The affected customer may or may not be the property owner</w:t>
      </w:r>
      <w:r w:rsidR="12D1C5E3">
        <w:t>.</w:t>
      </w:r>
    </w:p>
    <w:p w:rsidRPr="001415C7" w:rsidR="006C0FB2" w:rsidP="006C0FB2" w:rsidRDefault="006C0FB2" w14:paraId="33A8CF5B" w14:textId="77777777">
      <w:pPr>
        <w:pStyle w:val="Heading2"/>
      </w:pPr>
      <w:bookmarkStart w:name="_Toc233633594" w:id="20"/>
      <w:bookmarkStart w:name="_Toc228261658" w:id="21"/>
      <w:r w:rsidRPr="001415C7">
        <w:t>Coordinating Entities</w:t>
      </w:r>
      <w:bookmarkEnd w:id="20"/>
    </w:p>
    <w:p w:rsidRPr="001415C7" w:rsidR="006C0FB2" w:rsidP="006C0FB2" w:rsidRDefault="006C0FB2" w14:paraId="6E27B4FE" w14:textId="77777777">
      <w:r w:rsidRPr="001415C7">
        <w:t>Code Section 663(b)(7) obligates the Commission to set a requirement that “gas corporations and electrical corporations, local publicly owned electric utilities, load-serving entities, local governments, and, if feasible, core transport agents affected by the pilot project coordinate and collaborate.”</w:t>
      </w:r>
    </w:p>
    <w:p w:rsidRPr="001415C7" w:rsidR="006C0FB2" w:rsidP="00445F16" w:rsidRDefault="78587E66" w14:paraId="616EE49C" w14:textId="57567552">
      <w:pPr>
        <w:pStyle w:val="Standard"/>
      </w:pPr>
      <w:r>
        <w:t xml:space="preserve">For the purposes of this proceeding, the Commission defines the coordinating entities for a given pilot as the gas corporations and electrical corporations, publicly owned electric utilities, load-serving entities, local governments, core transport agents, and community-based organizations that are based in or serve the pilot </w:t>
      </w:r>
      <w:r w:rsidR="1CBDEE46">
        <w:t xml:space="preserve">project </w:t>
      </w:r>
      <w:r>
        <w:t>area.</w:t>
      </w:r>
    </w:p>
    <w:p w:rsidRPr="001415C7" w:rsidR="007B5DE4" w:rsidP="0020562B" w:rsidRDefault="007B5DE4" w14:paraId="637D0B06" w14:textId="68FD7B23">
      <w:pPr>
        <w:pStyle w:val="Heading2"/>
        <w:numPr>
          <w:ilvl w:val="1"/>
          <w:numId w:val="1"/>
        </w:numPr>
      </w:pPr>
      <w:bookmarkStart w:name="_Toc233633595" w:id="22"/>
      <w:r w:rsidRPr="001415C7">
        <w:lastRenderedPageBreak/>
        <w:t>Gas Corporation</w:t>
      </w:r>
      <w:bookmarkEnd w:id="21"/>
      <w:bookmarkEnd w:id="22"/>
    </w:p>
    <w:p w:rsidRPr="001415C7" w:rsidR="00831DA2" w:rsidP="00831DA2" w:rsidRDefault="00DC18B9" w14:paraId="42744DF4" w14:textId="77777777">
      <w:pPr>
        <w:pStyle w:val="Standard"/>
      </w:pPr>
      <w:r w:rsidRPr="001415C7">
        <w:t>Code Section 663(b)(1) directs the Commission to determine a process for “gas corporations” to submit pilot projects for approval.</w:t>
      </w:r>
      <w:r w:rsidRPr="001415C7" w:rsidR="00831DA2">
        <w:t xml:space="preserve"> </w:t>
      </w:r>
    </w:p>
    <w:p w:rsidRPr="001415C7" w:rsidR="002425D7" w:rsidP="00831DA2" w:rsidRDefault="002425D7" w14:paraId="04B89A48" w14:textId="7A91D894">
      <w:pPr>
        <w:pStyle w:val="Standard"/>
      </w:pPr>
      <w:r w:rsidRPr="001415C7">
        <w:t>PG&amp;E</w:t>
      </w:r>
      <w:r w:rsidRPr="001415C7" w:rsidR="00C30F32">
        <w:t xml:space="preserve"> and the</w:t>
      </w:r>
      <w:r w:rsidRPr="001415C7">
        <w:t xml:space="preserve"> </w:t>
      </w:r>
      <w:r w:rsidRPr="001415C7" w:rsidR="00EB244B">
        <w:t>Sempra Utilities</w:t>
      </w:r>
      <w:r w:rsidRPr="001415C7">
        <w:t xml:space="preserve"> note</w:t>
      </w:r>
      <w:r w:rsidRPr="001415C7" w:rsidR="00473936">
        <w:t xml:space="preserve"> that</w:t>
      </w:r>
      <w:r w:rsidRPr="001415C7">
        <w:t xml:space="preserve"> </w:t>
      </w:r>
      <w:r w:rsidRPr="001415C7" w:rsidR="00C30F32">
        <w:t xml:space="preserve">Code Section 222 includes a definition of </w:t>
      </w:r>
      <w:r w:rsidRPr="001415C7">
        <w:t>gas corporations.</w:t>
      </w:r>
      <w:r w:rsidRPr="001415C7">
        <w:rPr>
          <w:rStyle w:val="FootnoteReference"/>
        </w:rPr>
        <w:footnoteReference w:id="4"/>
      </w:r>
      <w:r w:rsidRPr="001415C7">
        <w:t xml:space="preserve"> Joint CCAs, SCE and </w:t>
      </w:r>
      <w:r w:rsidRPr="001415C7" w:rsidR="00A44CF1">
        <w:t>Southwest Gas</w:t>
      </w:r>
      <w:r w:rsidRPr="001415C7">
        <w:t xml:space="preserve"> recommends that “gas corporations” be defined as gas utilities subject to Commission jurisdiction and Cal Advocates recommends </w:t>
      </w:r>
      <w:r w:rsidRPr="001415C7" w:rsidR="001F7FCC">
        <w:t>that</w:t>
      </w:r>
      <w:r w:rsidRPr="001415C7">
        <w:t xml:space="preserve"> submission of pilot projects be limited to gas distribution companies.</w:t>
      </w:r>
      <w:r w:rsidRPr="001415C7">
        <w:rPr>
          <w:rStyle w:val="FootnoteReference"/>
        </w:rPr>
        <w:footnoteReference w:id="5"/>
      </w:r>
      <w:r w:rsidRPr="001415C7">
        <w:t xml:space="preserve"> CMUA notes that public</w:t>
      </w:r>
      <w:r w:rsidRPr="001415C7" w:rsidR="00805F8C">
        <w:t>ly</w:t>
      </w:r>
      <w:r w:rsidRPr="001415C7" w:rsidR="00291992">
        <w:t xml:space="preserve"> </w:t>
      </w:r>
      <w:r w:rsidRPr="001415C7" w:rsidR="00805F8C">
        <w:t>owned</w:t>
      </w:r>
      <w:r w:rsidRPr="001415C7">
        <w:t xml:space="preserve"> utilities (POUs) are not considered gas corporations for the purposes of SB</w:t>
      </w:r>
      <w:r w:rsidRPr="001415C7" w:rsidR="00C865FC">
        <w:t xml:space="preserve"> </w:t>
      </w:r>
      <w:r w:rsidRPr="001415C7">
        <w:t>1221.</w:t>
      </w:r>
      <w:r w:rsidRPr="001415C7">
        <w:rPr>
          <w:rStyle w:val="FootnoteReference"/>
        </w:rPr>
        <w:footnoteReference w:id="6"/>
      </w:r>
      <w:r w:rsidRPr="001415C7">
        <w:t xml:space="preserve">  </w:t>
      </w:r>
    </w:p>
    <w:p w:rsidRPr="001415C7" w:rsidR="007B5DE4" w:rsidP="005A120B" w:rsidRDefault="00B70C81" w14:paraId="72F266A7" w14:textId="600A42DC">
      <w:pPr>
        <w:pStyle w:val="Standard"/>
      </w:pPr>
      <w:r w:rsidRPr="001415C7">
        <w:t>To achieve the purposes</w:t>
      </w:r>
      <w:r w:rsidRPr="001415C7" w:rsidR="005A120B">
        <w:t xml:space="preserve"> of Senate Bill 1221, </w:t>
      </w:r>
      <w:r w:rsidRPr="001415C7" w:rsidR="00466403">
        <w:t xml:space="preserve">this decision construes </w:t>
      </w:r>
      <w:r w:rsidRPr="001415C7" w:rsidR="00D51889">
        <w:t xml:space="preserve">“gas corporation” </w:t>
      </w:r>
      <w:r w:rsidRPr="001415C7" w:rsidR="00466403">
        <w:t>to</w:t>
      </w:r>
      <w:r w:rsidRPr="001415C7" w:rsidR="00D51889">
        <w:t xml:space="preserve"> refer to all gas </w:t>
      </w:r>
      <w:r w:rsidRPr="001415C7" w:rsidR="006C0FB2">
        <w:t xml:space="preserve">distribution </w:t>
      </w:r>
      <w:r w:rsidRPr="001415C7" w:rsidR="00466403">
        <w:t>utilit</w:t>
      </w:r>
      <w:r w:rsidRPr="001415C7" w:rsidR="00B25E55">
        <w:t>ies</w:t>
      </w:r>
      <w:r w:rsidRPr="001415C7" w:rsidR="00B52A4C">
        <w:t xml:space="preserve"> </w:t>
      </w:r>
      <w:r w:rsidRPr="001415C7" w:rsidR="00D51889">
        <w:t xml:space="preserve">under Commission jurisdiction. </w:t>
      </w:r>
    </w:p>
    <w:p w:rsidRPr="001415C7" w:rsidR="001760EE" w:rsidP="00432565" w:rsidRDefault="001760EE" w14:paraId="6EE3309F" w14:textId="429EBEAA">
      <w:pPr>
        <w:pStyle w:val="Heading2"/>
        <w:numPr>
          <w:ilvl w:val="1"/>
          <w:numId w:val="1"/>
        </w:numPr>
      </w:pPr>
      <w:bookmarkStart w:name="_Toc228261660" w:id="23"/>
      <w:bookmarkStart w:name="_Toc233633596" w:id="24"/>
      <w:r w:rsidRPr="001415C7">
        <w:t>Master-Metered Properties</w:t>
      </w:r>
      <w:bookmarkEnd w:id="23"/>
      <w:bookmarkEnd w:id="24"/>
    </w:p>
    <w:p w:rsidRPr="001415C7" w:rsidR="001760EE" w:rsidP="001760EE" w:rsidRDefault="001760EE" w14:paraId="62DF8A69" w14:textId="38DA6EB3">
      <w:pPr>
        <w:pStyle w:val="Standard"/>
      </w:pPr>
      <w:r w:rsidRPr="001415C7">
        <w:t>Code Section 663(b)(5) requires the Commission to establish</w:t>
      </w:r>
      <w:r w:rsidRPr="001415C7" w:rsidR="003E7D3B">
        <w:t xml:space="preserve"> “[a] requirement for addressing master-metered properties to ensure tenants receive adequate notification and engagement</w:t>
      </w:r>
      <w:r w:rsidRPr="001415C7" w:rsidR="00CA6EB5">
        <w:t>.</w:t>
      </w:r>
      <w:r w:rsidRPr="001415C7" w:rsidR="003E7D3B">
        <w:t>”</w:t>
      </w:r>
      <w:r w:rsidRPr="001415C7" w:rsidR="00BD521B">
        <w:t xml:space="preserve"> </w:t>
      </w:r>
    </w:p>
    <w:p w:rsidRPr="001415C7" w:rsidR="00C0039E" w:rsidP="001760EE" w:rsidRDefault="00C0039E" w14:paraId="7BE7E3FB" w14:textId="05347DEC">
      <w:pPr>
        <w:pStyle w:val="Standard"/>
      </w:pPr>
      <w:r w:rsidRPr="001415C7">
        <w:t xml:space="preserve">This decision </w:t>
      </w:r>
      <w:r w:rsidRPr="001415C7" w:rsidR="005A2403">
        <w:t>adopts the definition of master-metered property</w:t>
      </w:r>
      <w:r w:rsidRPr="001415C7" w:rsidR="00807025">
        <w:t xml:space="preserve"> </w:t>
      </w:r>
      <w:r w:rsidRPr="001415C7" w:rsidR="27C6B08E">
        <w:t>as</w:t>
      </w:r>
      <w:r w:rsidRPr="001415C7">
        <w:t xml:space="preserve"> </w:t>
      </w:r>
      <w:r w:rsidRPr="001415C7" w:rsidR="005A2403">
        <w:t>a</w:t>
      </w:r>
      <w:r w:rsidRPr="001415C7">
        <w:t xml:space="preserve"> property in which utility service is provided through a single meter to a customer of record, who then distributes, submeters, or allocates the service to multiple end users, including tenants or residents.</w:t>
      </w:r>
      <w:r w:rsidRPr="001415C7" w:rsidR="00D26584">
        <w:rPr>
          <w:rStyle w:val="FootnoteReference"/>
        </w:rPr>
        <w:footnoteReference w:id="7"/>
      </w:r>
    </w:p>
    <w:p w:rsidRPr="001415C7" w:rsidR="00904F2C" w:rsidP="00432565" w:rsidRDefault="00904F2C" w14:paraId="5EF9A992" w14:textId="22DA9655">
      <w:pPr>
        <w:pStyle w:val="Heading2"/>
        <w:numPr>
          <w:ilvl w:val="1"/>
          <w:numId w:val="1"/>
        </w:numPr>
      </w:pPr>
      <w:bookmarkStart w:name="_Toc228261661" w:id="25"/>
      <w:bookmarkStart w:name="_Toc233633597" w:id="26"/>
      <w:r w:rsidRPr="001415C7">
        <w:lastRenderedPageBreak/>
        <w:t>Prevailing Language</w:t>
      </w:r>
      <w:bookmarkEnd w:id="25"/>
      <w:bookmarkEnd w:id="26"/>
    </w:p>
    <w:p w:rsidRPr="001415C7" w:rsidR="00904F2C" w:rsidP="00904F2C" w:rsidRDefault="00904F2C" w14:paraId="634A3FBC" w14:textId="7D7B841B">
      <w:pPr>
        <w:pStyle w:val="Standard"/>
      </w:pPr>
      <w:r w:rsidRPr="001415C7">
        <w:t>Code Section 663(b) contains several references to the “prevailing language” but does not define the term.</w:t>
      </w:r>
    </w:p>
    <w:p w:rsidRPr="001415C7" w:rsidR="00711A46" w:rsidP="00711A46" w:rsidRDefault="00711A46" w14:paraId="3A032240" w14:textId="3D3FFD07">
      <w:pPr>
        <w:pStyle w:val="Standard"/>
      </w:pPr>
      <w:r w:rsidRPr="001415C7">
        <w:t>This decision defines a language as a prevailing language in a pilot project area if at least five percent of the area’s population use the language in question and do not speak English or are unable to effectively communicate in English and comprise five percent or more of the population in the pilot project area. This definition is consistent with the Dymally-Alatorre Bilingual Services Act (Government Code Sections 7290–7299.8), applicable to state and local agencies, which uses different but related concepts.</w:t>
      </w:r>
    </w:p>
    <w:p w:rsidRPr="001415C7" w:rsidR="00DB606D" w:rsidP="00432565" w:rsidRDefault="00DB606D" w14:paraId="677A648F" w14:textId="209DC0C9">
      <w:pPr>
        <w:pStyle w:val="Heading2"/>
        <w:numPr>
          <w:ilvl w:val="1"/>
          <w:numId w:val="1"/>
        </w:numPr>
      </w:pPr>
      <w:bookmarkStart w:name="_Toc228261662" w:id="27"/>
      <w:bookmarkStart w:name="_Toc233633598" w:id="28"/>
      <w:r w:rsidRPr="001415C7">
        <w:t>Property Owner</w:t>
      </w:r>
      <w:bookmarkEnd w:id="27"/>
      <w:bookmarkEnd w:id="28"/>
    </w:p>
    <w:p w:rsidRPr="001415C7" w:rsidR="00DB606D" w:rsidP="00DB606D" w:rsidRDefault="00DB606D" w14:paraId="6799D133" w14:textId="249F71EF">
      <w:pPr>
        <w:pStyle w:val="Standard"/>
      </w:pPr>
      <w:r w:rsidRPr="001415C7">
        <w:t>Code Section</w:t>
      </w:r>
      <w:r w:rsidRPr="001415C7" w:rsidR="00AD7F4E">
        <w:t xml:space="preserve"> 663(b)(4) requires the Commission to establish “[a] requirement that no less than 67 percent of the property owners with natural gas service within the pilot project boundary consent to the pilot project.”</w:t>
      </w:r>
    </w:p>
    <w:p w:rsidRPr="001415C7" w:rsidR="00C9694C" w:rsidP="00DB606D" w:rsidRDefault="00ED4800" w14:paraId="36F4C418" w14:textId="1EFC2C01">
      <w:pPr>
        <w:pStyle w:val="Standard"/>
      </w:pPr>
      <w:r w:rsidRPr="001415C7">
        <w:t>For the purposes of this proceeding, the Commission defines the property owner as the legal owner of record</w:t>
      </w:r>
      <w:r w:rsidRPr="001415C7" w:rsidR="00507234">
        <w:t xml:space="preserve">. </w:t>
      </w:r>
      <w:r w:rsidRPr="001415C7" w:rsidR="00652B2B">
        <w:t>Property owners may include, for example,</w:t>
      </w:r>
      <w:r w:rsidRPr="001415C7">
        <w:t xml:space="preserve"> owners of single-family homes, condominiums, residential buildings, mobile home parks, commercial buildings, industrial buildings, or other master-metered properties where gas utility service is provided.</w:t>
      </w:r>
      <w:r w:rsidRPr="001415C7" w:rsidR="00D50A1C">
        <w:t xml:space="preserve">  </w:t>
      </w:r>
    </w:p>
    <w:p w:rsidRPr="001415C7" w:rsidR="0020562B" w:rsidP="00B90A74" w:rsidRDefault="0020562B" w14:paraId="128F4194" w14:textId="5B32DAB9">
      <w:pPr>
        <w:pStyle w:val="Heading2"/>
        <w:numPr>
          <w:ilvl w:val="1"/>
          <w:numId w:val="1"/>
        </w:numPr>
      </w:pPr>
      <w:bookmarkStart w:name="_Toc228261664" w:id="29"/>
      <w:bookmarkStart w:name="_Toc233633599" w:id="30"/>
      <w:r w:rsidRPr="001415C7">
        <w:t>Zero</w:t>
      </w:r>
      <w:r w:rsidRPr="001415C7" w:rsidR="007C6F2F">
        <w:t>-</w:t>
      </w:r>
      <w:r w:rsidRPr="001415C7">
        <w:t>Emission Alternative</w:t>
      </w:r>
      <w:bookmarkEnd w:id="29"/>
      <w:bookmarkEnd w:id="30"/>
    </w:p>
    <w:p w:rsidRPr="001415C7" w:rsidR="001F3483" w:rsidP="001F3483" w:rsidRDefault="00B8624C" w14:paraId="1BE0ED27" w14:textId="356DA858">
      <w:pPr>
        <w:pStyle w:val="Standard"/>
      </w:pPr>
      <w:r w:rsidRPr="001415C7">
        <w:t xml:space="preserve">SB 1221 </w:t>
      </w:r>
      <w:r w:rsidRPr="001415C7" w:rsidR="006674B8">
        <w:t xml:space="preserve">focuses on the </w:t>
      </w:r>
      <w:r w:rsidRPr="001415C7" w:rsidR="00D300C3">
        <w:t>deployment of</w:t>
      </w:r>
      <w:r w:rsidRPr="001415C7" w:rsidR="008D76BE">
        <w:t xml:space="preserve"> zero-emission alternatives </w:t>
      </w:r>
      <w:r w:rsidRPr="001415C7" w:rsidR="00F73317">
        <w:t xml:space="preserve">(ZEAs) </w:t>
      </w:r>
      <w:r w:rsidRPr="001415C7" w:rsidR="000B2B90">
        <w:t>to substitute</w:t>
      </w:r>
      <w:r w:rsidRPr="001415C7" w:rsidR="0014470F">
        <w:t xml:space="preserve"> for the provision of </w:t>
      </w:r>
      <w:r w:rsidRPr="001415C7" w:rsidR="008D76BE">
        <w:t>natural gas service.</w:t>
      </w:r>
      <w:r w:rsidRPr="001415C7" w:rsidR="00F73317">
        <w:t xml:space="preserve"> Code Section 660(j) defines ZEAs as “</w:t>
      </w:r>
      <w:r w:rsidRPr="001415C7" w:rsidR="008A5931">
        <w:t xml:space="preserve">methods of providing gas customers with suitable substitute energy service that does not require new investment in gas distribution lines, including, but not limited to, electrification of gas end uses and energy efficiency, thermal energy networks, and demand flexibility measures to alter energy needs.” Code </w:t>
      </w:r>
      <w:r w:rsidRPr="001415C7" w:rsidR="008A5931">
        <w:lastRenderedPageBreak/>
        <w:t>Section 660(h) defines a thermal energy network as “a network of piped noncombustible fluids used for transferring heat into and out of buildings for purposes of providing zero-emission heating and cooling services.”</w:t>
      </w:r>
      <w:r w:rsidRPr="001415C7" w:rsidR="000631A9">
        <w:t xml:space="preserve"> </w:t>
      </w:r>
    </w:p>
    <w:p w:rsidRPr="001415C7" w:rsidR="002D40AE" w:rsidP="001F3483" w:rsidRDefault="00B365A9" w14:paraId="0FACAED2" w14:textId="4AE0079E">
      <w:pPr>
        <w:pStyle w:val="Standard"/>
      </w:pPr>
      <w:r w:rsidRPr="001415C7">
        <w:t xml:space="preserve">Parties hold different perspectives on </w:t>
      </w:r>
      <w:r w:rsidRPr="001415C7" w:rsidR="00451DBE">
        <w:t xml:space="preserve">whether combustion-based technologies </w:t>
      </w:r>
      <w:r w:rsidRPr="001415C7" w:rsidR="00444E55">
        <w:t xml:space="preserve">(e.g., hydrogen, propane, renewable natural gas (RNG)) </w:t>
      </w:r>
      <w:r w:rsidRPr="001415C7" w:rsidR="00451DBE">
        <w:t xml:space="preserve">should qualify as zero-emission alternatives. PG&amp;E and the </w:t>
      </w:r>
      <w:r w:rsidRPr="001415C7" w:rsidR="00EB244B">
        <w:t>Sempra Utilities</w:t>
      </w:r>
      <w:r w:rsidRPr="001415C7" w:rsidR="00451DBE">
        <w:t xml:space="preserve"> </w:t>
      </w:r>
      <w:r w:rsidRPr="001415C7" w:rsidR="00A155F4">
        <w:t xml:space="preserve">argue in support of combustion-based fuels, </w:t>
      </w:r>
      <w:r w:rsidRPr="001415C7" w:rsidR="00815F01">
        <w:t>noting that customer preference for gas appliances or implementation and fuel transition challenges may limit electrification efforts.</w:t>
      </w:r>
      <w:r w:rsidRPr="001415C7" w:rsidR="00815F01">
        <w:rPr>
          <w:vertAlign w:val="superscript"/>
        </w:rPr>
        <w:footnoteReference w:id="8"/>
      </w:r>
    </w:p>
    <w:p w:rsidRPr="001415C7" w:rsidR="00F4070A" w:rsidP="001F3483" w:rsidRDefault="002A7E4B" w14:paraId="7E9E063E" w14:textId="4BF11A45">
      <w:pPr>
        <w:pStyle w:val="Standard"/>
      </w:pPr>
      <w:r w:rsidRPr="001415C7">
        <w:t>San Francisco</w:t>
      </w:r>
      <w:r w:rsidRPr="001415C7" w:rsidR="003012E8">
        <w:t xml:space="preserve"> </w:t>
      </w:r>
      <w:r w:rsidRPr="001415C7" w:rsidR="008806A0">
        <w:t xml:space="preserve">challenges the use of fuels such as propane or liquified gas. </w:t>
      </w:r>
      <w:r w:rsidRPr="001415C7" w:rsidR="003012E8">
        <w:t>San Francisco</w:t>
      </w:r>
      <w:r w:rsidRPr="001415C7" w:rsidR="008806A0">
        <w:t xml:space="preserve"> asserts that, even though they do not require delivery through a pipeline, they do not further the state’s goals, so the Commission should only allow “truly zero-emission technologies.”</w:t>
      </w:r>
      <w:r w:rsidRPr="001415C7" w:rsidR="008806A0">
        <w:rPr>
          <w:rStyle w:val="FootnoteReference"/>
        </w:rPr>
        <w:footnoteReference w:id="9"/>
      </w:r>
      <w:r w:rsidRPr="001415C7" w:rsidR="008806A0">
        <w:t xml:space="preserve"> TURN argues that supply-side alternatives that provide other types of gas, such as hydrogen blending, may not avoid the need to maintain the underlying gas system.</w:t>
      </w:r>
      <w:r w:rsidRPr="001415C7" w:rsidR="008806A0">
        <w:rPr>
          <w:rStyle w:val="FootnoteReference"/>
        </w:rPr>
        <w:footnoteReference w:id="10"/>
      </w:r>
      <w:r w:rsidRPr="001415C7" w:rsidR="008806A0">
        <w:t xml:space="preserve"> NRDC/Sierra Club recommend measures that do not perpetuate fossil fuel combustion.</w:t>
      </w:r>
      <w:r w:rsidRPr="001415C7" w:rsidR="0095601D">
        <w:t xml:space="preserve"> TURN notes that combustion-based technologies may not fully avoid the underlying gas system costs with negative impact to </w:t>
      </w:r>
      <w:r w:rsidRPr="001415C7" w:rsidR="00007A79">
        <w:t>cost effective</w:t>
      </w:r>
      <w:r w:rsidRPr="001415C7" w:rsidR="0095601D">
        <w:t xml:space="preserve">ness; CMUA recommends alternatives that can replace fossil fuel combustion; Joint CCAs and </w:t>
      </w:r>
      <w:r w:rsidRPr="001415C7" w:rsidR="003012E8">
        <w:t xml:space="preserve">San Francisco </w:t>
      </w:r>
      <w:r w:rsidRPr="001415C7" w:rsidR="0095601D">
        <w:t xml:space="preserve">recommend proven electrification measures; and SCE, while not recommending restrictions, requests </w:t>
      </w:r>
      <w:r w:rsidRPr="001415C7" w:rsidR="00372B04">
        <w:t xml:space="preserve">that </w:t>
      </w:r>
      <w:r w:rsidRPr="001415C7" w:rsidR="0095601D">
        <w:t xml:space="preserve">all pilots consider electrification as “it is commonly recognized as the most viable option for reaching the state’s [zero emissions] </w:t>
      </w:r>
      <w:r w:rsidRPr="001415C7" w:rsidR="0095601D">
        <w:lastRenderedPageBreak/>
        <w:t>goals.”</w:t>
      </w:r>
      <w:r w:rsidRPr="001415C7" w:rsidR="0095601D">
        <w:rPr>
          <w:rStyle w:val="FootnoteReference"/>
        </w:rPr>
        <w:footnoteReference w:id="11"/>
      </w:r>
      <w:r w:rsidRPr="001415C7" w:rsidR="0095601D">
        <w:t xml:space="preserve"> TURN, NRDC/Sierra Club and Join CCAs refer to </w:t>
      </w:r>
      <w:r w:rsidRPr="001415C7" w:rsidR="004364EC">
        <w:t xml:space="preserve">SB 1221 </w:t>
      </w:r>
      <w:r w:rsidRPr="001415C7" w:rsidR="0095601D">
        <w:t xml:space="preserve">Section 1 (a)(4) and (5) that name heat pumps as alternatives and Section (a)(6) that mentions greenhouse gas emissions reductions and improved air quality to support a </w:t>
      </w:r>
      <w:r w:rsidRPr="001415C7" w:rsidR="004364EC">
        <w:t xml:space="preserve">more </w:t>
      </w:r>
      <w:r w:rsidRPr="001415C7" w:rsidR="0095601D">
        <w:t xml:space="preserve">narrow definition </w:t>
      </w:r>
      <w:r w:rsidRPr="001415C7" w:rsidR="004364EC">
        <w:t>for</w:t>
      </w:r>
      <w:r w:rsidRPr="001415C7" w:rsidR="0095601D">
        <w:t xml:space="preserve"> ZEAs.</w:t>
      </w:r>
      <w:r w:rsidRPr="001415C7" w:rsidR="0095601D">
        <w:rPr>
          <w:rStyle w:val="FootnoteReference"/>
        </w:rPr>
        <w:footnoteReference w:id="12"/>
      </w:r>
    </w:p>
    <w:p w:rsidRPr="001415C7" w:rsidR="00E23F3E" w:rsidP="00E23F3E" w:rsidRDefault="00E23F3E" w14:paraId="4A379B0F" w14:textId="7B89B110">
      <w:pPr>
        <w:pStyle w:val="Standard"/>
      </w:pPr>
      <w:r w:rsidRPr="001415C7">
        <w:t xml:space="preserve">Other parties propose that ZEAs be defined based on broad implementation criteria rather than being technology specific. </w:t>
      </w:r>
      <w:r w:rsidRPr="001415C7" w:rsidR="00545C1A">
        <w:t xml:space="preserve">Cal Advocates </w:t>
      </w:r>
      <w:r w:rsidRPr="001415C7" w:rsidR="00914917">
        <w:t>recommends that the definition of ZEA not prescribe specific technologies</w:t>
      </w:r>
      <w:r w:rsidRPr="001415C7" w:rsidR="00FA3973">
        <w:t xml:space="preserve">; instead, the Commission should require ZEAs to be </w:t>
      </w:r>
      <w:r w:rsidRPr="001415C7" w:rsidR="00007A79">
        <w:t>cost effective</w:t>
      </w:r>
      <w:r w:rsidRPr="001415C7" w:rsidR="00FA3973">
        <w:t>,</w:t>
      </w:r>
      <w:r w:rsidRPr="001415C7" w:rsidR="00E77DEB">
        <w:t xml:space="preserve"> regionally scalable,</w:t>
      </w:r>
      <w:r w:rsidRPr="001415C7" w:rsidR="0003613F">
        <w:t xml:space="preserve"> reliable, </w:t>
      </w:r>
      <w:r w:rsidRPr="001415C7" w:rsidR="005F663B">
        <w:t xml:space="preserve">and use </w:t>
      </w:r>
      <w:r w:rsidRPr="001415C7" w:rsidR="00DD1225">
        <w:t>established technologies.</w:t>
      </w:r>
      <w:r w:rsidRPr="001415C7" w:rsidR="00966D30">
        <w:rPr>
          <w:rStyle w:val="FootnoteReference"/>
        </w:rPr>
        <w:footnoteReference w:id="13"/>
      </w:r>
      <w:r w:rsidRPr="001415C7" w:rsidR="00FA3973">
        <w:t xml:space="preserve"> </w:t>
      </w:r>
      <w:r w:rsidRPr="001415C7" w:rsidR="009308F6">
        <w:t xml:space="preserve">The Joint CCAs, </w:t>
      </w:r>
      <w:r w:rsidRPr="001415C7" w:rsidR="006536D5">
        <w:t xml:space="preserve">Sierra Club and NRDC, </w:t>
      </w:r>
      <w:r w:rsidRPr="001415C7" w:rsidR="009308F6">
        <w:t xml:space="preserve">and </w:t>
      </w:r>
      <w:r w:rsidRPr="001415C7">
        <w:t>T</w:t>
      </w:r>
      <w:r w:rsidRPr="001415C7" w:rsidR="00411CFA">
        <w:t>URN</w:t>
      </w:r>
      <w:r w:rsidRPr="001415C7" w:rsidR="009308F6">
        <w:t xml:space="preserve"> argue that ZEAs should be focused on energy efficiency and electrification measures.</w:t>
      </w:r>
      <w:r w:rsidRPr="001415C7" w:rsidR="009308F6">
        <w:rPr>
          <w:rStyle w:val="FootnoteReference"/>
        </w:rPr>
        <w:footnoteReference w:id="14"/>
      </w:r>
    </w:p>
    <w:p w:rsidRPr="001415C7" w:rsidR="009F4D1F" w:rsidP="00392275" w:rsidRDefault="005A213C" w14:paraId="170E3D70" w14:textId="6C5AB782">
      <w:r w:rsidRPr="001415C7">
        <w:t>Beyond discussing specific types of technologies, parties generally proposed that alternatives must be commercially available, reliable, scalable</w:t>
      </w:r>
      <w:r w:rsidRPr="001415C7" w:rsidR="006674B8">
        <w:t>,</w:t>
      </w:r>
      <w:r w:rsidRPr="001415C7">
        <w:t xml:space="preserve"> repeatable</w:t>
      </w:r>
      <w:r w:rsidRPr="001415C7" w:rsidR="006674B8">
        <w:t>,</w:t>
      </w:r>
      <w:r w:rsidRPr="001415C7">
        <w:t xml:space="preserve"> and safe. No party opposed these requirements.</w:t>
      </w:r>
    </w:p>
    <w:p w:rsidRPr="001415C7" w:rsidR="0017630D" w:rsidP="0017630D" w:rsidRDefault="0017630D" w14:paraId="0CBF4494" w14:textId="55FEF4ED">
      <w:pPr>
        <w:pStyle w:val="Standard"/>
      </w:pPr>
      <w:r w:rsidRPr="001415C7">
        <w:t>Finally, the Joint CCAs suggest that electric vehicle charging should qualify as a ZEA. Cal Advocates, the Labor Coalition, and Indicated Shippers support inclusion of thermal energy networks.</w:t>
      </w:r>
      <w:r w:rsidRPr="001415C7">
        <w:rPr>
          <w:rStyle w:val="FootnoteReference"/>
        </w:rPr>
        <w:footnoteReference w:id="15"/>
      </w:r>
      <w:r w:rsidRPr="001415C7">
        <w:t xml:space="preserve"> </w:t>
      </w:r>
    </w:p>
    <w:p w:rsidRPr="001415C7" w:rsidR="008A0D1F" w:rsidP="0001458E" w:rsidRDefault="00433421" w14:paraId="0F7A7673" w14:textId="61D3D793">
      <w:pPr>
        <w:ind w:firstLine="0"/>
      </w:pPr>
      <w:r w:rsidRPr="001415C7">
        <w:lastRenderedPageBreak/>
        <w:t>This decision does not set any constraints on the definition of zero-emission alternative and instead applies the definition of ZEA as set forth in Section 660(j) and directs utilities to explain how their proposed ZEA is commercially available, reliable, scalable, and safe.</w:t>
      </w:r>
    </w:p>
    <w:p w:rsidRPr="001415C7" w:rsidR="00432565" w:rsidP="00432565" w:rsidRDefault="00432565" w14:paraId="21226369" w14:textId="74378FA9">
      <w:pPr>
        <w:pStyle w:val="Heading1"/>
        <w:numPr>
          <w:ilvl w:val="0"/>
          <w:numId w:val="1"/>
        </w:numPr>
      </w:pPr>
      <w:bookmarkStart w:name="_Toc228261665" w:id="31"/>
      <w:bookmarkStart w:name="_Toc233633600" w:id="32"/>
      <w:r w:rsidRPr="001415C7">
        <w:t>Project Proposal Submission Process</w:t>
      </w:r>
      <w:bookmarkEnd w:id="31"/>
      <w:bookmarkEnd w:id="32"/>
    </w:p>
    <w:p w:rsidRPr="001415C7" w:rsidR="00B1623E" w:rsidP="00B1623E" w:rsidRDefault="00B1623E" w14:paraId="5C90AE90" w14:textId="2BBCFC25">
      <w:pPr>
        <w:pStyle w:val="Heading2"/>
        <w:numPr>
          <w:ilvl w:val="1"/>
          <w:numId w:val="1"/>
        </w:numPr>
      </w:pPr>
      <w:bookmarkStart w:name="_Toc233633601" w:id="33"/>
      <w:r w:rsidRPr="001415C7">
        <w:t>Voluntary Program</w:t>
      </w:r>
      <w:bookmarkEnd w:id="33"/>
    </w:p>
    <w:p w:rsidRPr="001415C7" w:rsidR="00B1623E" w:rsidP="00B1623E" w:rsidRDefault="00B1623E" w14:paraId="3585AF2B" w14:textId="77777777">
      <w:pPr>
        <w:pStyle w:val="Standard"/>
      </w:pPr>
      <w:r w:rsidRPr="001415C7">
        <w:t>Code Section 663(a) directs the Commission to establish a “voluntary program.”</w:t>
      </w:r>
    </w:p>
    <w:p w:rsidRPr="001415C7" w:rsidR="00B1623E" w:rsidP="00B1623E" w:rsidRDefault="00B1623E" w14:paraId="649DCAD4" w14:textId="6F3EEA70">
      <w:pPr>
        <w:pStyle w:val="Standard"/>
      </w:pPr>
      <w:r w:rsidRPr="001415C7">
        <w:t xml:space="preserve">Cal Advocates, PG&amp;E, SCE, CUE, </w:t>
      </w:r>
      <w:r w:rsidRPr="001415C7" w:rsidR="00EB244B">
        <w:t>Sempra Utilities</w:t>
      </w:r>
      <w:r w:rsidRPr="001415C7">
        <w:t>, UCAN, and Labor Coalition note that pilot submissions are voluntary citing Pub. Util. Code Section 663(a).</w:t>
      </w:r>
      <w:r w:rsidRPr="001415C7">
        <w:rPr>
          <w:rStyle w:val="FootnoteReference"/>
        </w:rPr>
        <w:footnoteReference w:id="16"/>
      </w:r>
      <w:r w:rsidRPr="001415C7">
        <w:t xml:space="preserve"> CCR REN, NRDC/Sierra Club, Joint CCAs recommend the Commission require all large gas utilities to submit pilot proposals.</w:t>
      </w:r>
    </w:p>
    <w:p w:rsidRPr="001415C7" w:rsidR="00B1623E" w:rsidP="00B1623E" w:rsidRDefault="00A44CF1" w14:paraId="147B086D" w14:textId="4045F0AE">
      <w:pPr>
        <w:pStyle w:val="Standard"/>
      </w:pPr>
      <w:r w:rsidRPr="001415C7">
        <w:t>Southwest Gas</w:t>
      </w:r>
      <w:r w:rsidRPr="001415C7" w:rsidR="00B1623E">
        <w:t xml:space="preserve"> recommends only gas corporations with designated PNDZs should submit pilot proposals.</w:t>
      </w:r>
      <w:r w:rsidRPr="001415C7" w:rsidR="00B1623E">
        <w:rPr>
          <w:rStyle w:val="FootnoteReference"/>
        </w:rPr>
        <w:footnoteReference w:id="17"/>
      </w:r>
      <w:r w:rsidRPr="001415C7" w:rsidR="00B1623E">
        <w:t xml:space="preserve"> NRDC/Sierra Club argues that lack of identified PNDZ should not be an excuse for not submitting pilot proposals noting the example that public interest exists in the case of </w:t>
      </w:r>
      <w:r w:rsidRPr="001415C7">
        <w:t>Southwest Gas</w:t>
      </w:r>
      <w:r w:rsidRPr="001415C7" w:rsidR="00B1623E">
        <w:t>.</w:t>
      </w:r>
      <w:r w:rsidRPr="001415C7" w:rsidR="00B1623E">
        <w:rPr>
          <w:rStyle w:val="FootnoteReference"/>
        </w:rPr>
        <w:footnoteReference w:id="18"/>
      </w:r>
      <w:r w:rsidRPr="001415C7" w:rsidR="00B1623E">
        <w:t xml:space="preserve"> </w:t>
      </w:r>
    </w:p>
    <w:p w:rsidRPr="001415C7" w:rsidR="001242C8" w:rsidP="00B1623E" w:rsidRDefault="00B1623E" w14:paraId="2E625C34" w14:textId="77777777">
      <w:pPr>
        <w:pStyle w:val="Standard"/>
      </w:pPr>
      <w:r w:rsidRPr="001415C7">
        <w:t>SCE and Joint CCAs recommend that the Commission should permit electric utilities and other program administrators to submit pilots and that electric utilities and other qualified implementers should be allowed to administer the electrification portion of a pilot.</w:t>
      </w:r>
      <w:r w:rsidRPr="001415C7">
        <w:rPr>
          <w:rStyle w:val="FootnoteReference"/>
        </w:rPr>
        <w:footnoteReference w:id="19"/>
      </w:r>
      <w:r w:rsidRPr="001415C7" w:rsidR="003D39A1">
        <w:t xml:space="preserve"> </w:t>
      </w:r>
    </w:p>
    <w:p w:rsidRPr="001415C7" w:rsidR="00B1623E" w:rsidP="00B1623E" w:rsidRDefault="003D39A1" w14:paraId="4EFEF62B" w14:textId="06745168">
      <w:pPr>
        <w:pStyle w:val="Standard"/>
      </w:pPr>
      <w:r w:rsidRPr="001415C7">
        <w:lastRenderedPageBreak/>
        <w:t xml:space="preserve">This decision </w:t>
      </w:r>
      <w:r w:rsidRPr="001415C7" w:rsidR="00D4451C">
        <w:t xml:space="preserve">affirms that this is a voluntary pilot program </w:t>
      </w:r>
      <w:r w:rsidRPr="001415C7" w:rsidR="006B3123">
        <w:t xml:space="preserve">and </w:t>
      </w:r>
      <w:r w:rsidRPr="001415C7" w:rsidR="002819CE">
        <w:t>authorizes, but does not require</w:t>
      </w:r>
      <w:r w:rsidRPr="001415C7" w:rsidR="001242C8">
        <w:t xml:space="preserve">, gas corporations to file applications for pilot projects. </w:t>
      </w:r>
    </w:p>
    <w:p w:rsidRPr="001415C7" w:rsidR="00432565" w:rsidP="00077C5D" w:rsidRDefault="00432565" w14:paraId="3F4C8438" w14:textId="7C211CBB">
      <w:pPr>
        <w:pStyle w:val="Heading2"/>
        <w:numPr>
          <w:ilvl w:val="1"/>
          <w:numId w:val="1"/>
        </w:numPr>
      </w:pPr>
      <w:bookmarkStart w:name="_Toc228261666" w:id="34"/>
      <w:bookmarkStart w:name="_Toc233633602" w:id="35"/>
      <w:r w:rsidRPr="001415C7">
        <w:t>Applications versus Advice Letters</w:t>
      </w:r>
      <w:bookmarkEnd w:id="34"/>
      <w:bookmarkEnd w:id="35"/>
    </w:p>
    <w:p w:rsidRPr="001415C7" w:rsidR="00432565" w:rsidP="00432565" w:rsidRDefault="00432565" w14:paraId="75792059" w14:textId="715DA249">
      <w:pPr>
        <w:pStyle w:val="Standard"/>
      </w:pPr>
      <w:r w:rsidRPr="001415C7">
        <w:t xml:space="preserve">Pub. Util Code Section 663(b)(1) directs the Commission to establish a process </w:t>
      </w:r>
      <w:r w:rsidRPr="001415C7" w:rsidR="00843F38">
        <w:t>for gas corpor</w:t>
      </w:r>
      <w:r w:rsidRPr="001415C7" w:rsidR="00C53956">
        <w:t xml:space="preserve">ations </w:t>
      </w:r>
      <w:r w:rsidRPr="001415C7">
        <w:t xml:space="preserve">to determine and submit pilot projects </w:t>
      </w:r>
      <w:r w:rsidRPr="001415C7" w:rsidR="009D1206">
        <w:t>for</w:t>
      </w:r>
      <w:r w:rsidRPr="001415C7">
        <w:t xml:space="preserve"> approval. The Second Amended Scoping Memo included a proposal that gas corporations should submit their pilot projects via applications in multiple rounds; further, it sought party comments on</w:t>
      </w:r>
      <w:r w:rsidRPr="001415C7" w:rsidR="00815471">
        <w:t xml:space="preserve"> the</w:t>
      </w:r>
      <w:r w:rsidRPr="001415C7">
        <w:t xml:space="preserve"> timing of </w:t>
      </w:r>
      <w:r w:rsidRPr="001415C7" w:rsidR="00815471">
        <w:t xml:space="preserve">the </w:t>
      </w:r>
      <w:r w:rsidRPr="001415C7">
        <w:t xml:space="preserve">first round of applications, how many rounds of application the Commission should allow, and if there should be a limit on </w:t>
      </w:r>
      <w:r w:rsidRPr="001415C7" w:rsidR="00365F3C">
        <w:t xml:space="preserve">the number of </w:t>
      </w:r>
      <w:r w:rsidRPr="001415C7">
        <w:t>projects per submission.</w:t>
      </w:r>
      <w:r w:rsidRPr="001415C7" w:rsidR="0030392A">
        <w:t xml:space="preserve"> SB 1221 provides that the Commission shall not establish pilot projects under Section 663 on or after January 1, 2030.</w:t>
      </w:r>
    </w:p>
    <w:p w:rsidRPr="001415C7" w:rsidR="00432565" w:rsidP="00432565" w:rsidRDefault="00432565" w14:paraId="42DAE587" w14:textId="4311F0AD">
      <w:pPr>
        <w:pStyle w:val="Standard"/>
      </w:pPr>
      <w:r w:rsidRPr="001415C7">
        <w:t>Party opinions are mixed on this topic. SCE supports applications for projects</w:t>
      </w:r>
      <w:r w:rsidRPr="001415C7" w:rsidR="00B7738C">
        <w:t xml:space="preserve"> above a certain size</w:t>
      </w:r>
      <w:r w:rsidRPr="001415C7" w:rsidR="00086484">
        <w:t>.</w:t>
      </w:r>
      <w:r w:rsidRPr="001415C7">
        <w:t xml:space="preserve"> Indicated Shippers states that the Commission signaled its intent for an application-based submission process in the Second Amended Scoping Memo and argues that the Commission is “better equipped to review and approve proposed pilot project</w:t>
      </w:r>
      <w:r w:rsidRPr="001415C7" w:rsidR="00AB3F74">
        <w:t>s</w:t>
      </w:r>
      <w:r w:rsidRPr="001415C7">
        <w:t>” through the application process.</w:t>
      </w:r>
      <w:r w:rsidRPr="001415C7">
        <w:rPr>
          <w:rStyle w:val="FootnoteReference"/>
        </w:rPr>
        <w:footnoteReference w:id="20"/>
      </w:r>
      <w:r w:rsidRPr="001415C7">
        <w:t xml:space="preserve"> </w:t>
      </w:r>
      <w:r w:rsidRPr="001415C7" w:rsidR="00B26D35">
        <w:t>Given the complexity and novelty of these pilots, Indicated Shippers highlighted the value of the application process, stating that it “has tools that allow the Commission more creativity and flexibility to address challenges that may arise during the initial years of the program.”</w:t>
      </w:r>
      <w:r w:rsidRPr="001415C7" w:rsidR="00B26D35">
        <w:rPr>
          <w:rStyle w:val="FootnoteReference"/>
        </w:rPr>
        <w:footnoteReference w:id="21"/>
      </w:r>
      <w:r w:rsidRPr="001415C7" w:rsidR="00B26D35">
        <w:t xml:space="preserve"> </w:t>
      </w:r>
      <w:r w:rsidRPr="001415C7">
        <w:t xml:space="preserve">CCR REN, Contra Costa, CMUA, CUE, </w:t>
      </w:r>
      <w:r w:rsidRPr="001415C7">
        <w:lastRenderedPageBreak/>
        <w:t>the Labor Coalition, San Francisco, and TURN did not oppose the Scoping Memo proposal to use an application as the vehicle for pilot submissions.</w:t>
      </w:r>
      <w:r w:rsidRPr="001415C7">
        <w:rPr>
          <w:rStyle w:val="FootnoteReference"/>
        </w:rPr>
        <w:footnoteReference w:id="22"/>
      </w:r>
    </w:p>
    <w:p w:rsidRPr="001415C7" w:rsidR="00432565" w:rsidP="00432565" w:rsidRDefault="00432565" w14:paraId="62A434CC" w14:textId="5AC6C5EA">
      <w:pPr>
        <w:pStyle w:val="Standard"/>
      </w:pPr>
      <w:r w:rsidRPr="001415C7">
        <w:t xml:space="preserve">The NRDC and Sierra Club, </w:t>
      </w:r>
      <w:r w:rsidRPr="001415C7" w:rsidR="00EB244B">
        <w:t>Sempra Utilities</w:t>
      </w:r>
      <w:r w:rsidRPr="001415C7">
        <w:t xml:space="preserve">, PG&amp;E, </w:t>
      </w:r>
      <w:r w:rsidRPr="001415C7" w:rsidR="00A44CF1">
        <w:t>Southwest Gas</w:t>
      </w:r>
      <w:r w:rsidRPr="001415C7">
        <w:t>, Joint CCAs and Cal Advocates disagree and instead recommend that utilities submit pilot proposals via Advice Letter (AL), arguing that the application process is too slow.</w:t>
      </w:r>
      <w:r w:rsidRPr="001415C7">
        <w:rPr>
          <w:rStyle w:val="FootnoteReference"/>
        </w:rPr>
        <w:footnoteReference w:id="23"/>
      </w:r>
      <w:r w:rsidRPr="001415C7" w:rsidR="008A2343">
        <w:t xml:space="preserve"> SCE recommends an AL process for most projects.</w:t>
      </w:r>
    </w:p>
    <w:p w:rsidRPr="001415C7" w:rsidR="00432565" w:rsidP="00432565" w:rsidRDefault="00432565" w14:paraId="508A5E42" w14:textId="1A1946DE">
      <w:pPr>
        <w:pStyle w:val="Standard"/>
      </w:pPr>
      <w:r w:rsidRPr="001415C7">
        <w:t>Some parties offered AL-based proposals for submission and administration of pilot projects.  PG&amp;E proposed a framework for utilities to develop proposals to be submitted via Tier 3 ALs</w:t>
      </w:r>
      <w:r w:rsidRPr="001415C7" w:rsidDel="00173A8C">
        <w:t>,</w:t>
      </w:r>
      <w:r w:rsidRPr="001415C7">
        <w:t xml:space="preserve"> that mirrors the Energy Efficiency programs, with updates via Tier 2 ALs.</w:t>
      </w:r>
      <w:r w:rsidRPr="001415C7">
        <w:rPr>
          <w:rStyle w:val="FootnoteReference"/>
        </w:rPr>
        <w:footnoteReference w:id="24"/>
      </w:r>
      <w:r w:rsidRPr="001415C7">
        <w:t xml:space="preserve"> The </w:t>
      </w:r>
      <w:r w:rsidRPr="001415C7" w:rsidR="00EB244B">
        <w:t>Sempra Utilities</w:t>
      </w:r>
      <w:r w:rsidRPr="001415C7">
        <w:t xml:space="preserve"> proposed a two-stage AL</w:t>
      </w:r>
      <w:r w:rsidRPr="001415C7" w:rsidR="007302D0">
        <w:t>-</w:t>
      </w:r>
      <w:r w:rsidRPr="001415C7">
        <w:t xml:space="preserve">based approach for submission and approval of pilot projects based on criteria and </w:t>
      </w:r>
      <w:r w:rsidRPr="001415C7" w:rsidR="00E77AF5">
        <w:t xml:space="preserve">a </w:t>
      </w:r>
      <w:r w:rsidRPr="001415C7">
        <w:t>schedule approved by the Commission.</w:t>
      </w:r>
      <w:r w:rsidRPr="001415C7">
        <w:rPr>
          <w:rStyle w:val="FootnoteReference"/>
        </w:rPr>
        <w:t xml:space="preserve"> </w:t>
      </w:r>
      <w:r w:rsidRPr="001415C7">
        <w:rPr>
          <w:rStyle w:val="FootnoteReference"/>
        </w:rPr>
        <w:footnoteReference w:id="25"/>
      </w:r>
      <w:r w:rsidRPr="001415C7">
        <w:t xml:space="preserve">  SCE proposed a hybrid approach with ALs for projects that meet certain criteria set by the Commission with a budget below $7 million per project.</w:t>
      </w:r>
      <w:r w:rsidRPr="001415C7">
        <w:rPr>
          <w:rStyle w:val="FootnoteReference"/>
        </w:rPr>
        <w:footnoteReference w:id="26"/>
      </w:r>
      <w:r w:rsidRPr="001415C7">
        <w:t xml:space="preserve"> </w:t>
      </w:r>
    </w:p>
    <w:p w:rsidRPr="001415C7" w:rsidR="00AD46BA" w:rsidP="00AD46BA" w:rsidRDefault="002F4AB7" w14:paraId="3C5C5EB0" w14:textId="51F73065">
      <w:pPr>
        <w:pStyle w:val="Standard"/>
      </w:pPr>
      <w:r w:rsidRPr="001415C7">
        <w:t xml:space="preserve">This decision </w:t>
      </w:r>
      <w:r w:rsidRPr="001415C7" w:rsidR="008E0DAC">
        <w:t xml:space="preserve">directs </w:t>
      </w:r>
      <w:r w:rsidRPr="001415C7" w:rsidR="00906A63">
        <w:t>gas corporations that wish to submit pilot project proposals</w:t>
      </w:r>
      <w:r w:rsidRPr="001415C7" w:rsidR="00F84867">
        <w:t xml:space="preserve"> in the first application round</w:t>
      </w:r>
      <w:r w:rsidRPr="001415C7" w:rsidR="00906A63">
        <w:t xml:space="preserve"> to do so by filing and serving</w:t>
      </w:r>
      <w:r w:rsidRPr="001415C7" w:rsidR="00025D9A">
        <w:t xml:space="preserve"> </w:t>
      </w:r>
      <w:r w:rsidRPr="001415C7" w:rsidR="00906A63">
        <w:t xml:space="preserve">an </w:t>
      </w:r>
      <w:r w:rsidRPr="001415C7">
        <w:t>application</w:t>
      </w:r>
      <w:r w:rsidRPr="001415C7" w:rsidR="00A46DAC">
        <w:t xml:space="preserve"> on the service list for the instant proceeding</w:t>
      </w:r>
      <w:r w:rsidRPr="001415C7" w:rsidR="00647C12">
        <w:t xml:space="preserve">. </w:t>
      </w:r>
      <w:r w:rsidRPr="001415C7" w:rsidR="00AD46BA">
        <w:t xml:space="preserve"> As these projects are novel, we </w:t>
      </w:r>
      <w:r w:rsidRPr="001415C7" w:rsidR="00044FFD">
        <w:t>encourage</w:t>
      </w:r>
      <w:r w:rsidRPr="001415C7" w:rsidR="00AD46BA">
        <w:t xml:space="preserve"> potential applicants to engage with the Commission’s Energy Division staff in at least one pre-filing meeting, ideally early in the pilot </w:t>
      </w:r>
      <w:r w:rsidRPr="001415C7" w:rsidR="00AD46BA">
        <w:lastRenderedPageBreak/>
        <w:t xml:space="preserve">development process after the candidate locations for pilot projects have been identified but before beginning outreach to property owners and affected customers. </w:t>
      </w:r>
    </w:p>
    <w:p w:rsidRPr="00203ABF" w:rsidR="1FB67589" w:rsidP="122E2323" w:rsidRDefault="002F4AB7" w14:paraId="076F3DF1" w14:textId="740D08A2">
      <w:pPr>
        <w:pStyle w:val="Standard"/>
        <w:rPr>
          <w:rFonts w:eastAsia="Book Antiqua" w:cs="Book Antiqua"/>
        </w:rPr>
      </w:pPr>
      <w:r w:rsidRPr="001415C7">
        <w:t xml:space="preserve">The application process will allow both the Commission and stakeholders to closely review the project proposals, increasing </w:t>
      </w:r>
      <w:r w:rsidRPr="001415C7" w:rsidR="002E7C52">
        <w:t>the</w:t>
      </w:r>
      <w:r w:rsidRPr="001415C7">
        <w:t xml:space="preserve"> transparency and rigor of evaluation.</w:t>
      </w:r>
      <w:r w:rsidRPr="001415C7" w:rsidR="00765CB2">
        <w:t xml:space="preserve"> </w:t>
      </w:r>
      <w:r w:rsidRPr="001415C7" w:rsidR="1FB67589">
        <w:rPr>
          <w:rFonts w:eastAsia="Book Antiqua" w:cs="Book Antiqua"/>
        </w:rPr>
        <w:t>The Commission recognizes, however, the importance of moving quickly</w:t>
      </w:r>
      <w:r w:rsidRPr="00203ABF" w:rsidR="3205EA67">
        <w:rPr>
          <w:rFonts w:eastAsia="Book Antiqua" w:cs="Book Antiqua"/>
        </w:rPr>
        <w:t xml:space="preserve"> </w:t>
      </w:r>
      <w:r w:rsidRPr="001415C7" w:rsidR="1FB67589">
        <w:rPr>
          <w:rFonts w:eastAsia="Book Antiqua" w:cs="Book Antiqua"/>
        </w:rPr>
        <w:t xml:space="preserve">to review, approve, and implement these projects, </w:t>
      </w:r>
      <w:r w:rsidRPr="00203ABF" w:rsidR="3017B37F">
        <w:rPr>
          <w:rFonts w:eastAsia="Book Antiqua" w:cs="Book Antiqua"/>
        </w:rPr>
        <w:t>as well as</w:t>
      </w:r>
      <w:r w:rsidRPr="001415C7" w:rsidR="1FB67589">
        <w:rPr>
          <w:rFonts w:eastAsia="Book Antiqua" w:cs="Book Antiqua"/>
        </w:rPr>
        <w:t xml:space="preserve"> the value of providing additional clarity and transparency that comes with utilizing applications in the first round. Accordingly, the Commission will endeavor to review</w:t>
      </w:r>
      <w:r w:rsidRPr="00203ABF" w:rsidR="1FB67589">
        <w:rPr>
          <w:rFonts w:eastAsia="Book Antiqua" w:cs="Book Antiqua"/>
        </w:rPr>
        <w:t xml:space="preserve"> </w:t>
      </w:r>
      <w:r w:rsidRPr="001415C7" w:rsidR="1FB67589">
        <w:rPr>
          <w:rFonts w:eastAsia="Book Antiqua" w:cs="Book Antiqua"/>
        </w:rPr>
        <w:t xml:space="preserve">the first round of proposals </w:t>
      </w:r>
      <w:r w:rsidRPr="00203ABF" w:rsidR="1FB67589">
        <w:rPr>
          <w:rFonts w:eastAsia="Book Antiqua" w:cs="Book Antiqua"/>
        </w:rPr>
        <w:t xml:space="preserve">as </w:t>
      </w:r>
      <w:r w:rsidRPr="00203ABF" w:rsidR="45224BD3">
        <w:rPr>
          <w:rFonts w:eastAsia="Book Antiqua" w:cs="Book Antiqua"/>
        </w:rPr>
        <w:t xml:space="preserve">applications </w:t>
      </w:r>
      <w:r w:rsidRPr="00203ABF" w:rsidR="1FB67589">
        <w:rPr>
          <w:rFonts w:eastAsia="Book Antiqua" w:cs="Book Antiqua"/>
        </w:rPr>
        <w:t xml:space="preserve">as </w:t>
      </w:r>
      <w:r w:rsidRPr="00203ABF" w:rsidR="45224BD3">
        <w:rPr>
          <w:rFonts w:eastAsia="Book Antiqua" w:cs="Book Antiqua"/>
        </w:rPr>
        <w:t xml:space="preserve">efficiently as possible </w:t>
      </w:r>
      <w:r w:rsidRPr="001415C7" w:rsidR="1FB67589">
        <w:rPr>
          <w:rFonts w:eastAsia="Book Antiqua" w:cs="Book Antiqua"/>
        </w:rPr>
        <w:t xml:space="preserve">and will consider whether to adopt an advice letter process for the second and third round of proposals. </w:t>
      </w:r>
    </w:p>
    <w:p w:rsidRPr="00D816A4" w:rsidR="61F162B3" w:rsidP="00D816A4" w:rsidRDefault="1FB67589" w14:paraId="344E113A" w14:textId="1AB4DFFE">
      <w:pPr>
        <w:rPr>
          <w:rFonts w:eastAsia="Book Antiqua" w:cs="Book Antiqua"/>
        </w:rPr>
      </w:pPr>
      <w:r w:rsidRPr="001415C7">
        <w:rPr>
          <w:rFonts w:eastAsia="Book Antiqua" w:cs="Book Antiqua"/>
        </w:rPr>
        <w:t>According to the statute, gas corporations are the applicants. Gas corporations may partner if they choose to do so with another entity, including, but not limited to, electric utilities in developing and implementing their proposed pilots. Gas corporations may also propose to co-administer some or all their projects with another entity.</w:t>
      </w:r>
    </w:p>
    <w:p w:rsidRPr="001415C7" w:rsidR="00432565" w:rsidP="00432565" w:rsidRDefault="00432565" w14:paraId="674EF63F" w14:textId="77777777">
      <w:pPr>
        <w:pStyle w:val="Heading2"/>
        <w:numPr>
          <w:ilvl w:val="1"/>
          <w:numId w:val="1"/>
        </w:numPr>
      </w:pPr>
      <w:bookmarkStart w:name="_Toc228261667" w:id="36"/>
      <w:bookmarkStart w:name="_Toc233633603" w:id="37"/>
      <w:r w:rsidRPr="001415C7">
        <w:t>Application Submission Schedule</w:t>
      </w:r>
      <w:bookmarkEnd w:id="36"/>
      <w:bookmarkEnd w:id="37"/>
    </w:p>
    <w:p w:rsidRPr="001415C7" w:rsidR="003B1F4E" w:rsidP="00432565" w:rsidRDefault="003B1F4E" w14:paraId="4C2CA5C2" w14:textId="443ADBE7">
      <w:pPr>
        <w:pStyle w:val="Standard"/>
      </w:pPr>
      <w:r w:rsidRPr="001415C7">
        <w:t xml:space="preserve">Code Section 663(d) states that the Commission </w:t>
      </w:r>
      <w:r w:rsidRPr="001415C7" w:rsidR="00A34575">
        <w:t>shall not establish pilot projects on or after January 1, 2030</w:t>
      </w:r>
      <w:r w:rsidRPr="001415C7" w:rsidR="001E0997">
        <w:t>.</w:t>
      </w:r>
      <w:r w:rsidRPr="001415C7">
        <w:t xml:space="preserve"> </w:t>
      </w:r>
    </w:p>
    <w:p w:rsidRPr="001415C7" w:rsidR="00432565" w:rsidP="00432565" w:rsidRDefault="00432565" w14:paraId="5B49BAC8" w14:textId="05AF407F">
      <w:pPr>
        <w:pStyle w:val="Standard"/>
      </w:pPr>
      <w:r w:rsidRPr="001415C7">
        <w:t xml:space="preserve">Parties offered recommendations on the deadline for the first round of project proposals and the process and timelines for future rounds of proposals. CMUA recommends that gas corporations submit their grouped applications “after reasonable consideration of potential pilot projects following the </w:t>
      </w:r>
      <w:r w:rsidRPr="001415C7">
        <w:lastRenderedPageBreak/>
        <w:t>Commission</w:t>
      </w:r>
      <w:r w:rsidRPr="001415C7" w:rsidR="00865064">
        <w:t>’</w:t>
      </w:r>
      <w:r w:rsidRPr="001415C7">
        <w:t>s finalization of the program criteria in July of 2026.”</w:t>
      </w:r>
      <w:r w:rsidRPr="001415C7">
        <w:rPr>
          <w:rStyle w:val="FootnoteReference"/>
        </w:rPr>
        <w:footnoteReference w:id="27"/>
      </w:r>
      <w:r w:rsidRPr="001415C7">
        <w:t xml:space="preserve"> Proponents of </w:t>
      </w:r>
      <w:r w:rsidRPr="001415C7" w:rsidR="00F47EC9">
        <w:t xml:space="preserve">an </w:t>
      </w:r>
      <w:r w:rsidRPr="001415C7">
        <w:t xml:space="preserve">AL-based process suggest initial AL submissions start 60 days after </w:t>
      </w:r>
      <w:r w:rsidRPr="001415C7" w:rsidR="00F47EC9">
        <w:t xml:space="preserve">the </w:t>
      </w:r>
      <w:r w:rsidRPr="001415C7">
        <w:t>program</w:t>
      </w:r>
      <w:r w:rsidRPr="001415C7" w:rsidR="00F47EC9">
        <w:t xml:space="preserve"> is</w:t>
      </w:r>
      <w:r w:rsidRPr="001415C7">
        <w:t xml:space="preserve"> established (PG&amp;E), or 90 days after </w:t>
      </w:r>
      <w:r w:rsidRPr="001415C7" w:rsidR="00E073C2">
        <w:t xml:space="preserve">the </w:t>
      </w:r>
      <w:r w:rsidRPr="001415C7">
        <w:t>program is established (</w:t>
      </w:r>
      <w:r w:rsidRPr="001415C7" w:rsidR="005C7CC6">
        <w:t xml:space="preserve">San Francisco </w:t>
      </w:r>
      <w:r w:rsidRPr="001415C7">
        <w:t>and NRDC/Sierra Club and SCE, if subsequent round</w:t>
      </w:r>
      <w:r w:rsidRPr="001415C7" w:rsidR="00E073C2">
        <w:t>s</w:t>
      </w:r>
      <w:r w:rsidRPr="001415C7">
        <w:t xml:space="preserve"> allowed).</w:t>
      </w:r>
      <w:r w:rsidRPr="001415C7">
        <w:rPr>
          <w:rStyle w:val="FootnoteReference"/>
        </w:rPr>
        <w:footnoteReference w:id="28"/>
      </w:r>
    </w:p>
    <w:p w:rsidR="00432565" w:rsidP="00432565" w:rsidRDefault="00432565" w14:paraId="10622B43" w14:textId="4246DEBA">
      <w:pPr>
        <w:pStyle w:val="Standard"/>
      </w:pPr>
      <w:r w:rsidRPr="001415C7">
        <w:t xml:space="preserve">The Joint CCAs and </w:t>
      </w:r>
      <w:r w:rsidRPr="001415C7" w:rsidR="00A44CF1">
        <w:t>Southwest Gas</w:t>
      </w:r>
      <w:r w:rsidRPr="001415C7">
        <w:t xml:space="preserve"> propose that gas corporations could submit pilot proposals annually, while SCE and the </w:t>
      </w:r>
      <w:r w:rsidRPr="001415C7" w:rsidR="00EB244B">
        <w:t>Sempra Utilities</w:t>
      </w:r>
      <w:r w:rsidRPr="001415C7">
        <w:t xml:space="preserve"> suggest twice-yearly submissions.</w:t>
      </w:r>
      <w:r w:rsidRPr="001415C7">
        <w:rPr>
          <w:rStyle w:val="FootnoteReference"/>
        </w:rPr>
        <w:footnoteReference w:id="29"/>
      </w:r>
      <w:r w:rsidRPr="001415C7">
        <w:t xml:space="preserve"> Contra Cos</w:t>
      </w:r>
      <w:r w:rsidRPr="001415C7" w:rsidR="00567665">
        <w:t>t</w:t>
      </w:r>
      <w:r w:rsidRPr="001415C7">
        <w:t>a recommends the timeline should allow for additional decarbonization zones to be identified.</w:t>
      </w:r>
      <w:r w:rsidRPr="001415C7">
        <w:rPr>
          <w:rStyle w:val="FootnoteReference"/>
        </w:rPr>
        <w:footnoteReference w:id="30"/>
      </w:r>
      <w:r w:rsidRPr="001415C7">
        <w:t xml:space="preserve"> PG&amp;E suggests that more than one application round per year would be administratively burdensome.</w:t>
      </w:r>
      <w:r w:rsidRPr="001415C7">
        <w:rPr>
          <w:rStyle w:val="FootnoteReference"/>
        </w:rPr>
        <w:footnoteReference w:id="31"/>
      </w:r>
    </w:p>
    <w:p w:rsidRPr="001415C7" w:rsidR="007B47AC" w:rsidP="00432565" w:rsidRDefault="007B47AC" w14:paraId="336F640D" w14:textId="3001ECEA">
      <w:pPr>
        <w:pStyle w:val="Standard"/>
      </w:pPr>
      <w:r w:rsidRPr="001415C7">
        <w:t>This decision sets a deadline of April 1, 2027, for utilities to submit applications for the first round of pilot proposals and January 15, 2028 for the second round. If the 30-pilot cap is not met after the second round of submissions, the Commission will allow a third round of project proposals by July 1, 2028. This schedule balances the urgency of meeting the statutory deadline with gas corporations’ need for time to develop their applications.</w:t>
      </w:r>
    </w:p>
    <w:p w:rsidRPr="001415C7" w:rsidR="00432565" w:rsidP="00432565" w:rsidRDefault="00E25DC4" w14:paraId="39DF6701" w14:textId="58B9030D">
      <w:pPr>
        <w:pStyle w:val="Heading2"/>
        <w:numPr>
          <w:ilvl w:val="1"/>
          <w:numId w:val="1"/>
        </w:numPr>
      </w:pPr>
      <w:bookmarkStart w:name="_Toc228261668" w:id="38"/>
      <w:bookmarkStart w:name="_Toc233633604" w:id="39"/>
      <w:r w:rsidRPr="001415C7">
        <w:t xml:space="preserve">Maximum </w:t>
      </w:r>
      <w:r w:rsidRPr="001415C7" w:rsidR="007D2211">
        <w:t>Number and Size of Projects Per Application</w:t>
      </w:r>
      <w:bookmarkEnd w:id="38"/>
      <w:bookmarkEnd w:id="39"/>
    </w:p>
    <w:p w:rsidRPr="001415C7" w:rsidR="00F443BE" w:rsidP="00F443BE" w:rsidRDefault="005B613F" w14:paraId="770A2BE0" w14:textId="01807612">
      <w:pPr>
        <w:pStyle w:val="Standard"/>
      </w:pPr>
      <w:r w:rsidRPr="001415C7">
        <w:t xml:space="preserve">Code Section 663(a) </w:t>
      </w:r>
      <w:r w:rsidRPr="001415C7" w:rsidR="00311EF9">
        <w:t xml:space="preserve">requires </w:t>
      </w:r>
      <w:r w:rsidRPr="001415C7" w:rsidR="006E1D1E">
        <w:t xml:space="preserve">the Commission to </w:t>
      </w:r>
      <w:r w:rsidRPr="001415C7" w:rsidR="00D364C5">
        <w:t xml:space="preserve">“establish </w:t>
      </w:r>
      <w:r w:rsidRPr="001415C7" w:rsidR="00D633AB">
        <w:t xml:space="preserve">a voluntary program to facilitate the </w:t>
      </w:r>
      <w:r w:rsidRPr="001415C7" w:rsidR="00007A79">
        <w:t>cost effective</w:t>
      </w:r>
      <w:r w:rsidRPr="001415C7" w:rsidR="00D633AB">
        <w:t xml:space="preserve"> decarbonization </w:t>
      </w:r>
      <w:r w:rsidRPr="001415C7" w:rsidR="00336291">
        <w:t xml:space="preserve">of </w:t>
      </w:r>
      <w:r w:rsidRPr="001415C7" w:rsidR="00B46C01">
        <w:t>priority</w:t>
      </w:r>
      <w:r w:rsidRPr="001415C7" w:rsidR="00336291">
        <w:t xml:space="preserve"> neighborhood decarbonization zones, not to exceed 30 pilot projects across the state and affecting no more than 1 percent </w:t>
      </w:r>
      <w:r w:rsidRPr="001415C7" w:rsidR="006B192E">
        <w:t>of</w:t>
      </w:r>
      <w:r w:rsidRPr="001415C7" w:rsidR="00336291">
        <w:t xml:space="preserve"> each gas corporation’s customers within their </w:t>
      </w:r>
      <w:r w:rsidRPr="001415C7" w:rsidR="00336291">
        <w:lastRenderedPageBreak/>
        <w:t>service territory.</w:t>
      </w:r>
      <w:r w:rsidRPr="001415C7" w:rsidR="00D364C5">
        <w:t xml:space="preserve"> </w:t>
      </w:r>
      <w:r w:rsidRPr="001415C7" w:rsidR="004456E1">
        <w:t>A pilot project where a gas co</w:t>
      </w:r>
      <w:r w:rsidRPr="001415C7" w:rsidR="00AE47C4">
        <w:t xml:space="preserve">rporation obtains the consent </w:t>
      </w:r>
      <w:r w:rsidRPr="001415C7" w:rsidR="00277944">
        <w:t xml:space="preserve">of 100 percent of </w:t>
      </w:r>
      <w:r w:rsidRPr="001415C7" w:rsidR="006B192E">
        <w:t>property</w:t>
      </w:r>
      <w:r w:rsidRPr="001415C7" w:rsidR="00277944">
        <w:t xml:space="preserve"> owners with natural gas service within the project boundary shall not count toward the 30</w:t>
      </w:r>
      <w:r w:rsidRPr="001415C7" w:rsidR="00CA63F2">
        <w:t>-</w:t>
      </w:r>
      <w:r w:rsidRPr="001415C7" w:rsidR="00277944">
        <w:t>pilot project limit</w:t>
      </w:r>
      <w:r w:rsidRPr="001415C7" w:rsidR="00817797">
        <w:t>.”</w:t>
      </w:r>
      <w:r w:rsidRPr="001415C7" w:rsidR="007B549C">
        <w:t xml:space="preserve"> P</w:t>
      </w:r>
      <w:r w:rsidRPr="001415C7" w:rsidR="00F443BE">
        <w:t>arties</w:t>
      </w:r>
      <w:r w:rsidRPr="001415C7" w:rsidR="007B549C">
        <w:t>, conscious of these restrictions,</w:t>
      </w:r>
      <w:r w:rsidRPr="001415C7" w:rsidR="00F443BE">
        <w:t xml:space="preserve"> </w:t>
      </w:r>
      <w:r w:rsidRPr="001415C7" w:rsidR="007B549C">
        <w:t xml:space="preserve">recommended that the Commission </w:t>
      </w:r>
      <w:r w:rsidRPr="001415C7" w:rsidR="00284099">
        <w:t>be cognizant of</w:t>
      </w:r>
      <w:r w:rsidRPr="001415C7" w:rsidR="007B549C">
        <w:t xml:space="preserve"> the number of projects it approve</w:t>
      </w:r>
      <w:r w:rsidRPr="001415C7" w:rsidR="00473689">
        <w:t>s</w:t>
      </w:r>
      <w:r w:rsidRPr="001415C7" w:rsidR="007B549C">
        <w:t xml:space="preserve"> at any given time</w:t>
      </w:r>
      <w:r w:rsidRPr="001415C7" w:rsidR="00284099">
        <w:t>.</w:t>
      </w:r>
      <w:r w:rsidRPr="001415C7" w:rsidR="00F443BE">
        <w:t xml:space="preserve"> </w:t>
      </w:r>
      <w:r w:rsidRPr="001415C7" w:rsidR="00A44CF1">
        <w:t>Southwest Gas</w:t>
      </w:r>
      <w:r w:rsidRPr="001415C7" w:rsidR="00F443BE">
        <w:t xml:space="preserve"> and Indicated Shippers </w:t>
      </w:r>
      <w:r w:rsidRPr="001415C7" w:rsidR="00284099">
        <w:t>suggest</w:t>
      </w:r>
      <w:r w:rsidRPr="001415C7" w:rsidR="00F443BE">
        <w:t xml:space="preserve"> that the Commission consider </w:t>
      </w:r>
      <w:r w:rsidRPr="001415C7" w:rsidR="00201135">
        <w:t xml:space="preserve">Commission </w:t>
      </w:r>
      <w:r w:rsidRPr="001415C7" w:rsidR="00F443BE">
        <w:t>staff and utilities’ ability to oversee and implement projects</w:t>
      </w:r>
      <w:r w:rsidRPr="001415C7" w:rsidR="00284099">
        <w:t xml:space="preserve"> but </w:t>
      </w:r>
      <w:r w:rsidRPr="001415C7" w:rsidR="00201135">
        <w:t>did not recommend</w:t>
      </w:r>
      <w:r w:rsidRPr="001415C7" w:rsidR="00284099">
        <w:t xml:space="preserve"> a </w:t>
      </w:r>
      <w:r w:rsidRPr="001415C7" w:rsidR="00214DC4">
        <w:t>cap on the number of projects the Commission approve</w:t>
      </w:r>
      <w:r w:rsidRPr="001415C7" w:rsidR="004C0205">
        <w:t>s</w:t>
      </w:r>
      <w:r w:rsidRPr="001415C7" w:rsidR="00214DC4">
        <w:t>;</w:t>
      </w:r>
      <w:r w:rsidRPr="001415C7" w:rsidR="000D6717">
        <w:rPr>
          <w:rStyle w:val="FootnoteReference"/>
        </w:rPr>
        <w:footnoteReference w:id="32"/>
      </w:r>
      <w:r w:rsidRPr="001415C7" w:rsidR="000D6717">
        <w:t xml:space="preserve"> Contra Costa and CMUA suggest that the Commission not approve all 30 projects in the first round. </w:t>
      </w:r>
      <w:r w:rsidRPr="001415C7" w:rsidR="00214DC4">
        <w:t xml:space="preserve">The </w:t>
      </w:r>
      <w:r w:rsidRPr="001415C7" w:rsidR="00F443BE">
        <w:t xml:space="preserve">Joint CCAs suggest a minimum of five projects per utility per application, with two ranked as high priority, </w:t>
      </w:r>
      <w:r w:rsidRPr="001415C7" w:rsidR="00214DC4">
        <w:t>which</w:t>
      </w:r>
      <w:r w:rsidRPr="001415C7" w:rsidR="00F443BE">
        <w:t xml:space="preserve"> PG&amp;E </w:t>
      </w:r>
      <w:r w:rsidRPr="001415C7" w:rsidR="00214DC4">
        <w:t>suggests is</w:t>
      </w:r>
      <w:r w:rsidRPr="001415C7" w:rsidR="00F443BE">
        <w:t xml:space="preserve"> too strict</w:t>
      </w:r>
      <w:r w:rsidRPr="001415C7" w:rsidR="00473689">
        <w:t>.</w:t>
      </w:r>
      <w:r w:rsidRPr="001415C7" w:rsidR="00F443BE">
        <w:t xml:space="preserve"> SCE</w:t>
      </w:r>
      <w:r w:rsidRPr="001415C7" w:rsidR="00894139">
        <w:t xml:space="preserve"> offers that</w:t>
      </w:r>
      <w:r w:rsidRPr="001415C7" w:rsidR="00F443BE">
        <w:t xml:space="preserve"> the Commission </w:t>
      </w:r>
      <w:r w:rsidRPr="001415C7" w:rsidR="00894139">
        <w:t>should approve no more than</w:t>
      </w:r>
      <w:r w:rsidRPr="001415C7" w:rsidR="00F443BE">
        <w:t xml:space="preserve"> 15 projects </w:t>
      </w:r>
      <w:r w:rsidRPr="001415C7" w:rsidR="00894139">
        <w:t>in</w:t>
      </w:r>
      <w:r w:rsidRPr="001415C7" w:rsidR="00F443BE">
        <w:t xml:space="preserve"> the first round, reserving the remaining 15 projects for subsequent rounds</w:t>
      </w:r>
      <w:r w:rsidRPr="001415C7" w:rsidR="00894139">
        <w:t>.</w:t>
      </w:r>
      <w:r w:rsidRPr="001415C7" w:rsidR="007F1E3C">
        <w:rPr>
          <w:rStyle w:val="FootnoteReference"/>
        </w:rPr>
        <w:footnoteReference w:id="33"/>
      </w:r>
      <w:r w:rsidRPr="001415C7" w:rsidR="00F443BE">
        <w:t xml:space="preserve"> </w:t>
      </w:r>
    </w:p>
    <w:p w:rsidRPr="001415C7" w:rsidR="00386DE6" w:rsidP="00386DE6" w:rsidRDefault="00386DE6" w14:paraId="0E734325" w14:textId="77777777">
      <w:pPr>
        <w:pStyle w:val="Standard"/>
      </w:pPr>
      <w:r w:rsidRPr="001415C7">
        <w:t>SCE suggests the Commission establish an upfront budget for each gas utility proportional to its share of load so pilot opportunities are distributed “across all service territories equitably, while allowing for a comprehensive assessment of consumer, geographic, electric system, and service area differences.”</w:t>
      </w:r>
      <w:r w:rsidRPr="001415C7">
        <w:rPr>
          <w:rStyle w:val="FootnoteReference"/>
        </w:rPr>
        <w:footnoteReference w:id="34"/>
      </w:r>
      <w:r w:rsidRPr="001415C7">
        <w:t xml:space="preserve"> No party opposed SCE’s proposal.</w:t>
      </w:r>
    </w:p>
    <w:p w:rsidRPr="001415C7" w:rsidR="004C22DB" w:rsidP="004C22DB" w:rsidRDefault="004C22DB" w14:paraId="5DC5BD69" w14:textId="20E8DE49">
      <w:pPr>
        <w:pStyle w:val="Standard"/>
      </w:pPr>
      <w:r w:rsidRPr="001415C7">
        <w:t xml:space="preserve">The Commission </w:t>
      </w:r>
      <w:r w:rsidRPr="001415C7" w:rsidR="003013F3">
        <w:t>will</w:t>
      </w:r>
      <w:r w:rsidRPr="001415C7">
        <w:t xml:space="preserve"> authorize gas corporations to implement a total of no more than </w:t>
      </w:r>
      <w:r w:rsidRPr="001415C7" w:rsidR="0036009F">
        <w:t>sixteen</w:t>
      </w:r>
      <w:r w:rsidRPr="001415C7">
        <w:t xml:space="preserve"> projects </w:t>
      </w:r>
      <w:r w:rsidRPr="001415C7" w:rsidR="007472D2">
        <w:t xml:space="preserve">in </w:t>
      </w:r>
      <w:r w:rsidRPr="001415C7">
        <w:t xml:space="preserve">the first round of applications to </w:t>
      </w:r>
      <w:r w:rsidRPr="001415C7" w:rsidR="002E6B8F">
        <w:t xml:space="preserve">provide </w:t>
      </w:r>
      <w:r w:rsidRPr="001415C7">
        <w:t xml:space="preserve">opportunity for projects in later rounds. The Commission </w:t>
      </w:r>
      <w:r w:rsidRPr="001415C7" w:rsidR="00C609B1">
        <w:t>sets</w:t>
      </w:r>
      <w:r w:rsidRPr="001415C7">
        <w:t xml:space="preserve"> individual caps specific to each gas corporation for the first and second rounds. </w:t>
      </w:r>
      <w:r w:rsidRPr="001415C7" w:rsidR="003013F3">
        <w:t>For each round, t</w:t>
      </w:r>
      <w:r w:rsidRPr="001415C7">
        <w:t xml:space="preserve">he Commission will apportion </w:t>
      </w:r>
      <w:r w:rsidRPr="001415C7" w:rsidR="00E54B1C">
        <w:t>fourteen</w:t>
      </w:r>
      <w:r w:rsidRPr="001415C7" w:rsidR="003013F3">
        <w:t xml:space="preserve"> </w:t>
      </w:r>
      <w:r w:rsidRPr="001415C7">
        <w:t>project</w:t>
      </w:r>
      <w:r w:rsidRPr="001415C7" w:rsidR="003013F3">
        <w:t>s</w:t>
      </w:r>
      <w:r w:rsidRPr="001415C7">
        <w:t xml:space="preserve"> </w:t>
      </w:r>
      <w:r w:rsidRPr="001415C7" w:rsidR="00610AA9">
        <w:t>between the large</w:t>
      </w:r>
      <w:r w:rsidRPr="001415C7">
        <w:t xml:space="preserve"> gas </w:t>
      </w:r>
      <w:r w:rsidRPr="001415C7" w:rsidR="0009587F">
        <w:lastRenderedPageBreak/>
        <w:t xml:space="preserve">corporations </w:t>
      </w:r>
      <w:r w:rsidRPr="001415C7" w:rsidR="00610AA9">
        <w:t>(PG&amp;E and SoCalGas/SDG&amp;E)</w:t>
      </w:r>
      <w:r w:rsidRPr="001415C7" w:rsidR="0009587F">
        <w:t xml:space="preserve"> </w:t>
      </w:r>
      <w:r w:rsidRPr="001415C7">
        <w:t xml:space="preserve">proportionately to their </w:t>
      </w:r>
      <w:r w:rsidRPr="001415C7" w:rsidR="00017E9E">
        <w:t>demand</w:t>
      </w:r>
      <w:r w:rsidRPr="001415C7">
        <w:t>, as suggested by SCE</w:t>
      </w:r>
      <w:r w:rsidRPr="001415C7" w:rsidR="003013F3">
        <w:t>.</w:t>
      </w:r>
      <w:r w:rsidRPr="001415C7">
        <w:t xml:space="preserve"> </w:t>
      </w:r>
      <w:r w:rsidRPr="001415C7" w:rsidR="002552D2">
        <w:t>Accordingly</w:t>
      </w:r>
      <w:r w:rsidR="00DA394A">
        <w:t>,</w:t>
      </w:r>
      <w:r w:rsidRPr="001415C7" w:rsidR="002552D2">
        <w:t xml:space="preserve"> the Commission </w:t>
      </w:r>
      <w:r w:rsidRPr="001415C7" w:rsidR="004C758B">
        <w:t xml:space="preserve">allocates the twenty-eight projects among PG&amp;E and </w:t>
      </w:r>
      <w:r w:rsidRPr="001415C7" w:rsidR="009B50C0">
        <w:t>SDG&amp;E/</w:t>
      </w:r>
      <w:r w:rsidRPr="001415C7" w:rsidR="004C758B">
        <w:t>SoCalGas based on their share of demand served in 2024 according to the 2025 California Gas Report.</w:t>
      </w:r>
      <w:r w:rsidRPr="001415C7" w:rsidR="004C758B">
        <w:rPr>
          <w:rStyle w:val="FootnoteReference"/>
        </w:rPr>
        <w:footnoteReference w:id="35"/>
      </w:r>
      <w:r w:rsidRPr="001415C7" w:rsidR="004C758B">
        <w:t xml:space="preserve"> </w:t>
      </w:r>
      <w:r w:rsidRPr="001415C7" w:rsidR="0096748F">
        <w:t>Using this methodology</w:t>
      </w:r>
      <w:r w:rsidRPr="001415C7" w:rsidR="004C758B">
        <w:t>, the caps for the first round of applications are as follows: seven projects for PG&amp;E and seven projects for SDG&amp;E and SoCalGas</w:t>
      </w:r>
      <w:r w:rsidRPr="001415C7" w:rsidR="0057123C">
        <w:t xml:space="preserve">. </w:t>
      </w:r>
      <w:r w:rsidRPr="001415C7" w:rsidR="00B063D4">
        <w:t>The</w:t>
      </w:r>
      <w:r w:rsidRPr="001415C7">
        <w:t xml:space="preserve"> Commission </w:t>
      </w:r>
      <w:r w:rsidRPr="001415C7" w:rsidR="00720C78">
        <w:t xml:space="preserve">allocates </w:t>
      </w:r>
      <w:r w:rsidRPr="001415C7" w:rsidR="00B063D4">
        <w:t xml:space="preserve">the </w:t>
      </w:r>
      <w:r w:rsidRPr="001415C7" w:rsidR="00720C78">
        <w:t>two remaining</w:t>
      </w:r>
      <w:r w:rsidRPr="001415C7">
        <w:t xml:space="preserve"> </w:t>
      </w:r>
      <w:r w:rsidRPr="001415C7" w:rsidR="0021658D">
        <w:t>projects</w:t>
      </w:r>
      <w:r w:rsidRPr="001415C7" w:rsidR="00720C78">
        <w:t xml:space="preserve"> </w:t>
      </w:r>
      <w:r w:rsidRPr="001415C7" w:rsidR="00B74647">
        <w:t xml:space="preserve">to </w:t>
      </w:r>
      <w:r w:rsidRPr="001415C7" w:rsidR="00905DF4">
        <w:t xml:space="preserve">gas corporations </w:t>
      </w:r>
      <w:r w:rsidRPr="001415C7" w:rsidR="00B74647">
        <w:t xml:space="preserve">that would not </w:t>
      </w:r>
      <w:r w:rsidRPr="001415C7" w:rsidR="007B4571">
        <w:t xml:space="preserve">otherwise be allocated </w:t>
      </w:r>
      <w:r w:rsidRPr="001415C7" w:rsidR="00017E9E">
        <w:t>project slots due to their smaller share of demand</w:t>
      </w:r>
      <w:r w:rsidRPr="001415C7" w:rsidR="00720C78">
        <w:t>:</w:t>
      </w:r>
      <w:r w:rsidRPr="001415C7">
        <w:t xml:space="preserve"> one project slot </w:t>
      </w:r>
      <w:r w:rsidRPr="001415C7" w:rsidR="00017E9E">
        <w:t>is reserved for</w:t>
      </w:r>
      <w:r w:rsidRPr="001415C7">
        <w:t xml:space="preserve"> Southwest Gas</w:t>
      </w:r>
      <w:r w:rsidRPr="001415C7" w:rsidR="00822E78">
        <w:t>,</w:t>
      </w:r>
      <w:r w:rsidRPr="001415C7" w:rsidR="009E29F7">
        <w:t xml:space="preserve"> and one project slot</w:t>
      </w:r>
      <w:r w:rsidRPr="001415C7" w:rsidR="00611C15">
        <w:t xml:space="preserve"> </w:t>
      </w:r>
      <w:r w:rsidRPr="001415C7" w:rsidR="00017E9E">
        <w:t xml:space="preserve">is </w:t>
      </w:r>
      <w:r w:rsidRPr="001415C7" w:rsidR="00F64131">
        <w:t xml:space="preserve">for the small gas </w:t>
      </w:r>
      <w:r w:rsidRPr="001415C7" w:rsidR="00905DF4">
        <w:t>corporations</w:t>
      </w:r>
      <w:r w:rsidRPr="001415C7" w:rsidR="00611C15">
        <w:t>.</w:t>
      </w:r>
      <w:r w:rsidRPr="001415C7" w:rsidR="007B2B15">
        <w:t xml:space="preserve"> This is done because there may be interested potential stakeholders in Southwest Gas’s service territory and to give opportunity for areas in the smaller </w:t>
      </w:r>
      <w:r w:rsidRPr="001415C7" w:rsidR="00D70E86">
        <w:t>gas corporations’</w:t>
      </w:r>
      <w:r w:rsidRPr="001415C7" w:rsidR="007B2B15">
        <w:t xml:space="preserve"> service territory to participate.</w:t>
      </w:r>
      <w:r w:rsidRPr="001415C7" w:rsidR="00F64131">
        <w:t xml:space="preserve"> </w:t>
      </w:r>
      <w:r w:rsidRPr="001415C7" w:rsidR="00017E9E">
        <w:t xml:space="preserve">These single-project allocations </w:t>
      </w:r>
      <w:r w:rsidRPr="001415C7" w:rsidR="00B01CA8">
        <w:t xml:space="preserve">can be used in either of the </w:t>
      </w:r>
      <w:r w:rsidRPr="001415C7" w:rsidR="00280D37">
        <w:t>first two rounds</w:t>
      </w:r>
      <w:r w:rsidRPr="001415C7" w:rsidR="0042661F">
        <w:t xml:space="preserve"> of the pilot program</w:t>
      </w:r>
      <w:r w:rsidRPr="001415C7" w:rsidR="00390341">
        <w:t>; in other words, if Southwest Gas were to implement a pilot approved in the first round of applications, there would be no additional room in the cap for Southwest Gas to submit projects</w:t>
      </w:r>
      <w:r w:rsidRPr="001415C7">
        <w:t xml:space="preserve">. </w:t>
      </w:r>
    </w:p>
    <w:p w:rsidRPr="001415C7" w:rsidR="004C22DB" w:rsidP="004C22DB" w:rsidRDefault="004C22DB" w14:paraId="060049A1" w14:textId="3FA3FFAA">
      <w:pPr>
        <w:pStyle w:val="Standard"/>
      </w:pPr>
      <w:r w:rsidRPr="001415C7">
        <w:t xml:space="preserve">The Commission has set </w:t>
      </w:r>
      <w:r w:rsidRPr="001415C7" w:rsidR="00517A25">
        <w:t xml:space="preserve">the </w:t>
      </w:r>
      <w:r w:rsidRPr="001415C7" w:rsidR="00876195">
        <w:t>sixteen</w:t>
      </w:r>
      <w:r w:rsidRPr="001415C7">
        <w:t xml:space="preserve">-project cap for the first round to </w:t>
      </w:r>
      <w:r w:rsidRPr="001415C7" w:rsidR="00525427">
        <w:t xml:space="preserve">also </w:t>
      </w:r>
      <w:r w:rsidRPr="001415C7">
        <w:t xml:space="preserve">encourage a diversity of project types. Some projects, by their nature, may take longer to develop and plan than others, and the Commission wants to </w:t>
      </w:r>
      <w:r w:rsidRPr="001415C7" w:rsidR="00D21438">
        <w:t>provide</w:t>
      </w:r>
      <w:r w:rsidRPr="001415C7">
        <w:t xml:space="preserve"> gas corporations sufficient time to explore those projects for the second round. Furthermore, technological developments and cost reductions in the next two years may cause some projects that currently do not meet cost effectiveness thresholds to meet the thresholds in the future.</w:t>
      </w:r>
    </w:p>
    <w:p w:rsidRPr="001415C7" w:rsidR="006B7FE2" w:rsidP="00D816A4" w:rsidRDefault="004C22DB" w14:paraId="338A10CD" w14:textId="55055C88">
      <w:pPr>
        <w:pStyle w:val="Standard"/>
      </w:pPr>
      <w:r w:rsidRPr="001415C7">
        <w:lastRenderedPageBreak/>
        <w:t>Unless and until the Commission provides updated guidance, the same caps shall apply to the second round of applications. If</w:t>
      </w:r>
      <w:r w:rsidRPr="001415C7" w:rsidR="00E63C69">
        <w:t xml:space="preserve"> any slots remain</w:t>
      </w:r>
      <w:r w:rsidRPr="001415C7">
        <w:t xml:space="preserve"> by the time of the third round of applications, the Commission will not assign those projects to specific </w:t>
      </w:r>
      <w:r w:rsidRPr="001415C7" w:rsidR="00D70E86">
        <w:t>gas corporations</w:t>
      </w:r>
      <w:r w:rsidRPr="001415C7">
        <w:t xml:space="preserve">; in other words, the utility-specific caps are moot once the third round of applications are due. </w:t>
      </w:r>
    </w:p>
    <w:p w:rsidRPr="001415C7" w:rsidR="00BC338F" w:rsidP="0001458E" w:rsidRDefault="00BC338F" w14:paraId="114ADF05" w14:textId="77777777">
      <w:pPr>
        <w:pStyle w:val="Standard"/>
        <w:keepNext/>
        <w:ind w:firstLine="0"/>
        <w:jc w:val="center"/>
      </w:pPr>
      <w:r w:rsidRPr="001415C7">
        <w:t>Project Cap Calculations</w:t>
      </w:r>
    </w:p>
    <w:tbl>
      <w:tblPr>
        <w:tblStyle w:val="TableGrid1"/>
        <w:tblW w:w="0" w:type="auto"/>
        <w:tblLook w:val="04A0" w:firstRow="1" w:lastRow="0" w:firstColumn="1" w:lastColumn="0" w:noHBand="0" w:noVBand="1"/>
      </w:tblPr>
      <w:tblGrid>
        <w:gridCol w:w="1513"/>
        <w:gridCol w:w="1282"/>
        <w:gridCol w:w="1435"/>
        <w:gridCol w:w="1333"/>
        <w:gridCol w:w="1353"/>
        <w:gridCol w:w="2434"/>
      </w:tblGrid>
      <w:tr w:rsidRPr="001415C7" w:rsidR="00BC338F" w:rsidTr="0001458E" w14:paraId="3BAB1209" w14:textId="77777777">
        <w:tc>
          <w:tcPr>
            <w:tcW w:w="1513" w:type="dxa"/>
          </w:tcPr>
          <w:p w:rsidRPr="001415C7" w:rsidR="00BC338F" w:rsidP="00E12423" w:rsidRDefault="00BC338F" w14:paraId="005A8881" w14:textId="77777777">
            <w:pPr>
              <w:spacing w:line="259" w:lineRule="auto"/>
              <w:ind w:firstLine="0"/>
              <w:rPr>
                <w:rFonts w:ascii="Garamond" w:hAnsi="Garamond" w:eastAsia="Aptos" w:cs="Times New Roman"/>
                <w:sz w:val="22"/>
              </w:rPr>
            </w:pPr>
          </w:p>
        </w:tc>
        <w:tc>
          <w:tcPr>
            <w:tcW w:w="1282" w:type="dxa"/>
            <w:vAlign w:val="bottom"/>
          </w:tcPr>
          <w:p w:rsidRPr="001415C7" w:rsidR="00BC338F" w:rsidP="00E12423" w:rsidRDefault="00BC338F" w14:paraId="2C336D7E" w14:textId="4C133CB4">
            <w:pPr>
              <w:spacing w:line="259" w:lineRule="auto"/>
              <w:ind w:firstLine="0"/>
              <w:rPr>
                <w:rFonts w:ascii="Garamond" w:hAnsi="Garamond" w:eastAsia="Aptos" w:cs="Times New Roman"/>
                <w:sz w:val="22"/>
              </w:rPr>
            </w:pPr>
            <w:r w:rsidRPr="001415C7">
              <w:rPr>
                <w:rFonts w:ascii="Garamond" w:hAnsi="Garamond" w:eastAsia="Aptos" w:cs="Times New Roman"/>
                <w:sz w:val="22"/>
              </w:rPr>
              <w:t>2024 Recorded Gas Demand (</w:t>
            </w:r>
            <w:r w:rsidRPr="001415C7" w:rsidR="004F6924">
              <w:rPr>
                <w:rFonts w:ascii="Garamond" w:hAnsi="Garamond" w:eastAsia="Aptos" w:cs="Times New Roman"/>
                <w:sz w:val="22"/>
              </w:rPr>
              <w:t>MMcfd</w:t>
            </w:r>
            <w:r w:rsidRPr="001415C7">
              <w:rPr>
                <w:rFonts w:ascii="Garamond" w:hAnsi="Garamond" w:eastAsia="Aptos" w:cs="Times New Roman"/>
                <w:sz w:val="22"/>
              </w:rPr>
              <w:t>)</w:t>
            </w:r>
          </w:p>
        </w:tc>
        <w:tc>
          <w:tcPr>
            <w:tcW w:w="1435" w:type="dxa"/>
          </w:tcPr>
          <w:p w:rsidRPr="001415C7" w:rsidR="00BC338F" w:rsidP="00E12423" w:rsidRDefault="00CC72E8" w14:paraId="4BFC5031" w14:textId="564B2DB0">
            <w:pPr>
              <w:spacing w:line="259" w:lineRule="auto"/>
              <w:ind w:firstLine="0"/>
              <w:rPr>
                <w:rFonts w:ascii="Garamond" w:hAnsi="Garamond" w:eastAsia="Aptos" w:cs="Times New Roman"/>
                <w:sz w:val="22"/>
              </w:rPr>
            </w:pPr>
            <w:r w:rsidRPr="001415C7">
              <w:rPr>
                <w:rFonts w:ascii="Garamond" w:hAnsi="Garamond" w:eastAsia="Aptos" w:cs="Times New Roman"/>
                <w:sz w:val="22"/>
              </w:rPr>
              <w:t>2024 Recorded Gas</w:t>
            </w:r>
            <w:r w:rsidRPr="001415C7" w:rsidR="00BC338F">
              <w:rPr>
                <w:rFonts w:ascii="Garamond" w:hAnsi="Garamond" w:eastAsia="Aptos" w:cs="Times New Roman"/>
                <w:sz w:val="22"/>
              </w:rPr>
              <w:t xml:space="preserve"> Percentage</w:t>
            </w:r>
            <w:r w:rsidRPr="001415C7" w:rsidR="001417B0">
              <w:rPr>
                <w:rStyle w:val="FootnoteReference"/>
                <w:rFonts w:ascii="Garamond" w:hAnsi="Garamond" w:eastAsia="Aptos" w:cs="Times New Roman"/>
                <w:sz w:val="22"/>
              </w:rPr>
              <w:footnoteReference w:id="36"/>
            </w:r>
          </w:p>
        </w:tc>
        <w:tc>
          <w:tcPr>
            <w:tcW w:w="1333" w:type="dxa"/>
          </w:tcPr>
          <w:p w:rsidRPr="001415C7" w:rsidR="00BC338F" w:rsidP="00E12423" w:rsidRDefault="00BC338F" w14:paraId="299D52BA"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First Round Caps</w:t>
            </w:r>
          </w:p>
        </w:tc>
        <w:tc>
          <w:tcPr>
            <w:tcW w:w="1353" w:type="dxa"/>
          </w:tcPr>
          <w:p w:rsidRPr="001415C7" w:rsidR="00BC338F" w:rsidP="00E12423" w:rsidRDefault="00BC338F" w14:paraId="137B64C4"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Second Round Caps</w:t>
            </w:r>
          </w:p>
        </w:tc>
        <w:tc>
          <w:tcPr>
            <w:tcW w:w="2434" w:type="dxa"/>
          </w:tcPr>
          <w:p w:rsidRPr="001415C7" w:rsidR="00BC338F" w:rsidP="00E12423" w:rsidRDefault="00BC338F" w14:paraId="7FD579B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Third Round Caps</w:t>
            </w:r>
          </w:p>
        </w:tc>
      </w:tr>
      <w:tr w:rsidRPr="001415C7" w:rsidR="00BC338F" w:rsidTr="0001458E" w14:paraId="528D2880" w14:textId="77777777">
        <w:tc>
          <w:tcPr>
            <w:tcW w:w="1513" w:type="dxa"/>
          </w:tcPr>
          <w:p w:rsidRPr="001415C7" w:rsidR="00BC338F" w:rsidP="00E12423" w:rsidRDefault="00BC338F" w14:paraId="2CDFB1B9"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PG&amp;E</w:t>
            </w:r>
          </w:p>
        </w:tc>
        <w:tc>
          <w:tcPr>
            <w:tcW w:w="1282" w:type="dxa"/>
            <w:vAlign w:val="center"/>
          </w:tcPr>
          <w:p w:rsidRPr="001415C7" w:rsidR="00BC338F" w:rsidP="00E12423" w:rsidRDefault="00BC338F" w14:paraId="1CB1C081"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2,595</w:t>
            </w:r>
          </w:p>
        </w:tc>
        <w:tc>
          <w:tcPr>
            <w:tcW w:w="1435" w:type="dxa"/>
            <w:vAlign w:val="center"/>
          </w:tcPr>
          <w:p w:rsidRPr="001415C7" w:rsidR="00BC338F" w:rsidP="00E12423" w:rsidRDefault="00BC338F" w14:paraId="6A32D47A"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51%</w:t>
            </w:r>
          </w:p>
        </w:tc>
        <w:tc>
          <w:tcPr>
            <w:tcW w:w="1333" w:type="dxa"/>
            <w:vAlign w:val="center"/>
          </w:tcPr>
          <w:p w:rsidRPr="001415C7" w:rsidR="00BC338F" w:rsidP="00E12423" w:rsidRDefault="00BC338F" w14:paraId="3B0E2E54"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1353" w:type="dxa"/>
            <w:vAlign w:val="center"/>
          </w:tcPr>
          <w:p w:rsidRPr="001415C7" w:rsidR="00BC338F" w:rsidP="00E12423" w:rsidRDefault="00BC338F" w14:paraId="2A141679"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2434" w:type="dxa"/>
            <w:vMerge w:val="restart"/>
          </w:tcPr>
          <w:p w:rsidRPr="001415C7" w:rsidR="00BC338F" w:rsidP="00E12423" w:rsidRDefault="00BC338F" w14:paraId="5FAEDE2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Allow use of any unused slots.</w:t>
            </w:r>
          </w:p>
        </w:tc>
      </w:tr>
      <w:tr w:rsidRPr="001415C7" w:rsidR="00BC338F" w:rsidTr="0001458E" w14:paraId="2BDEC253" w14:textId="77777777">
        <w:tc>
          <w:tcPr>
            <w:tcW w:w="1513" w:type="dxa"/>
          </w:tcPr>
          <w:p w:rsidRPr="001415C7" w:rsidR="00BC338F" w:rsidP="00E12423" w:rsidRDefault="00BC338F" w14:paraId="0C57A86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SoCalGas and SDG&amp;E</w:t>
            </w:r>
          </w:p>
        </w:tc>
        <w:tc>
          <w:tcPr>
            <w:tcW w:w="1282" w:type="dxa"/>
            <w:vAlign w:val="center"/>
          </w:tcPr>
          <w:p w:rsidRPr="001415C7" w:rsidR="00BC338F" w:rsidP="00E12423" w:rsidRDefault="00BC338F" w14:paraId="19E3E1C4"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2,534</w:t>
            </w:r>
          </w:p>
        </w:tc>
        <w:tc>
          <w:tcPr>
            <w:tcW w:w="1435" w:type="dxa"/>
            <w:vAlign w:val="center"/>
          </w:tcPr>
          <w:p w:rsidRPr="001415C7" w:rsidR="00BC338F" w:rsidP="00E12423" w:rsidRDefault="00BC338F" w14:paraId="5658E316"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50%</w:t>
            </w:r>
          </w:p>
        </w:tc>
        <w:tc>
          <w:tcPr>
            <w:tcW w:w="1333" w:type="dxa"/>
            <w:vAlign w:val="center"/>
          </w:tcPr>
          <w:p w:rsidRPr="001415C7" w:rsidR="00BC338F" w:rsidP="00E12423" w:rsidRDefault="0009587F" w14:paraId="2B0C9664" w14:textId="190C9FAF">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1353" w:type="dxa"/>
            <w:vAlign w:val="center"/>
          </w:tcPr>
          <w:p w:rsidRPr="001415C7" w:rsidR="00BC338F" w:rsidP="00E12423" w:rsidRDefault="0009587F" w14:paraId="1CF2342D" w14:textId="1456AB55">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2434" w:type="dxa"/>
            <w:vMerge/>
          </w:tcPr>
          <w:p w:rsidRPr="001415C7" w:rsidR="00BC338F" w:rsidP="00E12423" w:rsidRDefault="00BC338F" w14:paraId="12C85E85" w14:textId="77777777">
            <w:pPr>
              <w:spacing w:line="259" w:lineRule="auto"/>
              <w:ind w:firstLine="0"/>
              <w:rPr>
                <w:rFonts w:ascii="Garamond" w:hAnsi="Garamond" w:eastAsia="Aptos" w:cs="Times New Roman"/>
                <w:sz w:val="22"/>
              </w:rPr>
            </w:pPr>
          </w:p>
        </w:tc>
      </w:tr>
      <w:tr w:rsidRPr="001415C7" w:rsidR="0001458E" w:rsidTr="0001458E" w14:paraId="65897FA2" w14:textId="77777777">
        <w:tc>
          <w:tcPr>
            <w:tcW w:w="1513" w:type="dxa"/>
          </w:tcPr>
          <w:p w:rsidRPr="001415C7" w:rsidR="0001458E" w:rsidP="00E12423" w:rsidRDefault="0001458E" w14:paraId="4A6B4E1E"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Southwest Gas</w:t>
            </w:r>
          </w:p>
        </w:tc>
        <w:tc>
          <w:tcPr>
            <w:tcW w:w="1282" w:type="dxa"/>
            <w:vAlign w:val="center"/>
          </w:tcPr>
          <w:p w:rsidRPr="001415C7" w:rsidR="0001458E" w:rsidP="00E12423" w:rsidRDefault="0001458E" w14:paraId="11A0A85F" w14:textId="77777777">
            <w:pPr>
              <w:spacing w:line="259" w:lineRule="auto"/>
              <w:ind w:firstLine="0"/>
              <w:jc w:val="right"/>
              <w:rPr>
                <w:rFonts w:ascii="Garamond" w:hAnsi="Garamond" w:eastAsia="Aptos" w:cs="Times New Roman"/>
                <w:sz w:val="22"/>
              </w:rPr>
            </w:pPr>
          </w:p>
        </w:tc>
        <w:tc>
          <w:tcPr>
            <w:tcW w:w="1435" w:type="dxa"/>
            <w:vAlign w:val="center"/>
          </w:tcPr>
          <w:p w:rsidRPr="001415C7" w:rsidR="0001458E" w:rsidP="00E12423" w:rsidRDefault="0001458E" w14:paraId="5B680553"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&lt; 1%</w:t>
            </w:r>
          </w:p>
        </w:tc>
        <w:tc>
          <w:tcPr>
            <w:tcW w:w="2686" w:type="dxa"/>
            <w:gridSpan w:val="2"/>
            <w:vAlign w:val="center"/>
          </w:tcPr>
          <w:p w:rsidRPr="001415C7" w:rsidR="0001458E" w:rsidP="0001458E" w:rsidRDefault="0001458E" w14:paraId="40A11F90" w14:textId="77777777">
            <w:pPr>
              <w:spacing w:line="259" w:lineRule="auto"/>
              <w:ind w:firstLine="0"/>
              <w:jc w:val="center"/>
              <w:rPr>
                <w:rFonts w:ascii="Garamond" w:hAnsi="Garamond" w:eastAsia="Aptos" w:cs="Times New Roman"/>
                <w:sz w:val="22"/>
              </w:rPr>
            </w:pPr>
            <w:r w:rsidRPr="001415C7">
              <w:rPr>
                <w:rFonts w:ascii="Garamond" w:hAnsi="Garamond" w:eastAsia="Aptos" w:cs="Times New Roman"/>
                <w:sz w:val="22"/>
              </w:rPr>
              <w:t>1</w:t>
            </w:r>
          </w:p>
        </w:tc>
        <w:tc>
          <w:tcPr>
            <w:tcW w:w="2434" w:type="dxa"/>
            <w:vMerge/>
          </w:tcPr>
          <w:p w:rsidRPr="001415C7" w:rsidR="0001458E" w:rsidP="0001458E" w:rsidRDefault="0001458E" w14:paraId="0044AC10" w14:textId="77777777">
            <w:pPr>
              <w:spacing w:line="259" w:lineRule="auto"/>
              <w:ind w:firstLine="0"/>
              <w:rPr>
                <w:rFonts w:ascii="Garamond" w:hAnsi="Garamond" w:eastAsia="Aptos" w:cs="Times New Roman"/>
                <w:sz w:val="22"/>
              </w:rPr>
            </w:pPr>
          </w:p>
        </w:tc>
      </w:tr>
      <w:tr w:rsidRPr="001415C7" w:rsidR="0001458E" w:rsidTr="0001458E" w14:paraId="09D1942C" w14:textId="77777777">
        <w:tc>
          <w:tcPr>
            <w:tcW w:w="1513" w:type="dxa"/>
          </w:tcPr>
          <w:p w:rsidRPr="001415C7" w:rsidR="0001458E" w:rsidP="00E12423" w:rsidRDefault="0001458E" w14:paraId="5006BB8F" w14:textId="1D2499D2">
            <w:pPr>
              <w:spacing w:line="259" w:lineRule="auto"/>
              <w:ind w:firstLine="0"/>
              <w:rPr>
                <w:rFonts w:ascii="Garamond" w:hAnsi="Garamond" w:eastAsia="Aptos" w:cs="Times New Roman"/>
                <w:sz w:val="22"/>
              </w:rPr>
            </w:pPr>
            <w:r w:rsidRPr="001415C7">
              <w:rPr>
                <w:rFonts w:ascii="Garamond" w:hAnsi="Garamond" w:eastAsia="Aptos" w:cs="Times New Roman"/>
                <w:sz w:val="22"/>
              </w:rPr>
              <w:t xml:space="preserve">Small gas </w:t>
            </w:r>
            <w:r w:rsidRPr="001415C7" w:rsidR="00D70E86">
              <w:rPr>
                <w:rFonts w:ascii="Garamond" w:hAnsi="Garamond" w:eastAsia="Aptos" w:cs="Times New Roman"/>
                <w:sz w:val="22"/>
              </w:rPr>
              <w:t xml:space="preserve">corporations </w:t>
            </w:r>
            <w:r w:rsidRPr="001415C7">
              <w:rPr>
                <w:rFonts w:ascii="Garamond" w:hAnsi="Garamond" w:eastAsia="Aptos" w:cs="Times New Roman"/>
                <w:sz w:val="22"/>
              </w:rPr>
              <w:t>(SCE’s Catalina Operations, West Coast, Alpine)</w:t>
            </w:r>
          </w:p>
        </w:tc>
        <w:tc>
          <w:tcPr>
            <w:tcW w:w="1282" w:type="dxa"/>
            <w:vAlign w:val="center"/>
          </w:tcPr>
          <w:p w:rsidRPr="001415C7" w:rsidR="0001458E" w:rsidP="00E12423" w:rsidRDefault="0001458E" w14:paraId="2D562CC0" w14:textId="77777777">
            <w:pPr>
              <w:spacing w:line="259" w:lineRule="auto"/>
              <w:ind w:firstLine="0"/>
              <w:jc w:val="right"/>
              <w:rPr>
                <w:rFonts w:ascii="Garamond" w:hAnsi="Garamond" w:eastAsia="Aptos" w:cs="Times New Roman"/>
                <w:sz w:val="22"/>
              </w:rPr>
            </w:pPr>
          </w:p>
        </w:tc>
        <w:tc>
          <w:tcPr>
            <w:tcW w:w="1435" w:type="dxa"/>
            <w:vAlign w:val="center"/>
          </w:tcPr>
          <w:p w:rsidRPr="001415C7" w:rsidR="0001458E" w:rsidP="00E12423" w:rsidRDefault="0001458E" w14:paraId="5DFF8662"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&lt; 1%</w:t>
            </w:r>
          </w:p>
        </w:tc>
        <w:tc>
          <w:tcPr>
            <w:tcW w:w="2686" w:type="dxa"/>
            <w:gridSpan w:val="2"/>
            <w:vAlign w:val="center"/>
          </w:tcPr>
          <w:p w:rsidRPr="001415C7" w:rsidR="0001458E" w:rsidP="0001458E" w:rsidRDefault="0001458E" w14:paraId="2ED34621" w14:textId="77777777">
            <w:pPr>
              <w:spacing w:line="259" w:lineRule="auto"/>
              <w:ind w:firstLine="0"/>
              <w:jc w:val="center"/>
              <w:rPr>
                <w:rFonts w:ascii="Garamond" w:hAnsi="Garamond" w:eastAsia="Aptos" w:cs="Times New Roman"/>
                <w:sz w:val="22"/>
              </w:rPr>
            </w:pPr>
            <w:r w:rsidRPr="001415C7">
              <w:rPr>
                <w:rFonts w:ascii="Garamond" w:hAnsi="Garamond" w:eastAsia="Aptos" w:cs="Times New Roman"/>
                <w:sz w:val="22"/>
              </w:rPr>
              <w:t>1</w:t>
            </w:r>
          </w:p>
        </w:tc>
        <w:tc>
          <w:tcPr>
            <w:tcW w:w="2434" w:type="dxa"/>
            <w:vMerge/>
          </w:tcPr>
          <w:p w:rsidRPr="001415C7" w:rsidR="0001458E" w:rsidP="0001458E" w:rsidRDefault="0001458E" w14:paraId="7A36225F" w14:textId="77777777">
            <w:pPr>
              <w:spacing w:line="259" w:lineRule="auto"/>
              <w:ind w:firstLine="0"/>
              <w:rPr>
                <w:rFonts w:ascii="Garamond" w:hAnsi="Garamond" w:eastAsia="Aptos" w:cs="Times New Roman"/>
                <w:sz w:val="22"/>
              </w:rPr>
            </w:pPr>
          </w:p>
        </w:tc>
      </w:tr>
    </w:tbl>
    <w:p w:rsidRPr="001415C7" w:rsidR="006B7FE2" w:rsidP="00C10A33" w:rsidRDefault="006B7FE2" w14:paraId="52B351C0" w14:textId="77777777">
      <w:pPr>
        <w:pStyle w:val="Standard"/>
        <w:ind w:firstLine="0"/>
      </w:pPr>
    </w:p>
    <w:p w:rsidRPr="001415C7" w:rsidR="006C551C" w:rsidP="006B7FE2" w:rsidRDefault="006B7FE2" w14:paraId="6B7BBB3E" w14:textId="47C66943">
      <w:pPr>
        <w:pStyle w:val="Standard"/>
      </w:pPr>
      <w:r w:rsidRPr="001415C7">
        <w:t xml:space="preserve">Even though the Commission will cap the number of projects per utility that it may allow to be implemented from the first and second round of applications, </w:t>
      </w:r>
      <w:r w:rsidRPr="001415C7" w:rsidR="00D70E86">
        <w:t>gas corporations</w:t>
      </w:r>
      <w:r w:rsidRPr="001415C7" w:rsidR="00B012E0">
        <w:t xml:space="preserve"> </w:t>
      </w:r>
      <w:r w:rsidRPr="001415C7" w:rsidR="007B2B15">
        <w:t xml:space="preserve">may submit </w:t>
      </w:r>
      <w:r w:rsidRPr="001415C7" w:rsidR="00B012E0">
        <w:t>up to three additional proposals in anticipation of possible attrition among the approved projects, as projects may not move forward for a variety of reasons.</w:t>
      </w:r>
      <w:r w:rsidRPr="001415C7" w:rsidR="00D85181">
        <w:t xml:space="preserve"> </w:t>
      </w:r>
      <w:r w:rsidRPr="001415C7">
        <w:t xml:space="preserve">It is also possible that a proposed </w:t>
      </w:r>
      <w:r w:rsidRPr="001415C7" w:rsidR="00E13C28">
        <w:t xml:space="preserve">pilot </w:t>
      </w:r>
      <w:r w:rsidRPr="001415C7">
        <w:t xml:space="preserve">project may obtain </w:t>
      </w:r>
      <w:r w:rsidRPr="001415C7" w:rsidR="00477E76">
        <w:t xml:space="preserve">the consent of </w:t>
      </w:r>
      <w:r w:rsidRPr="001415C7">
        <w:t>100</w:t>
      </w:r>
      <w:r w:rsidRPr="001415C7" w:rsidR="00954F27">
        <w:t xml:space="preserve"> percent</w:t>
      </w:r>
      <w:r w:rsidRPr="001415C7">
        <w:t xml:space="preserve"> </w:t>
      </w:r>
      <w:r w:rsidRPr="001415C7" w:rsidR="00477E76">
        <w:t xml:space="preserve">of </w:t>
      </w:r>
      <w:r w:rsidRPr="001415C7">
        <w:t>property owner</w:t>
      </w:r>
      <w:r w:rsidRPr="001415C7" w:rsidR="00477E76">
        <w:t>s</w:t>
      </w:r>
      <w:r w:rsidRPr="001415C7">
        <w:t xml:space="preserve"> </w:t>
      </w:r>
      <w:r w:rsidRPr="001415C7" w:rsidR="00477E76">
        <w:t>with natural gas service within the project boundary</w:t>
      </w:r>
      <w:r w:rsidRPr="001415C7" w:rsidR="00E16667">
        <w:t>,</w:t>
      </w:r>
      <w:r w:rsidRPr="001415C7" w:rsidR="00477E76">
        <w:t xml:space="preserve"> </w:t>
      </w:r>
      <w:r w:rsidRPr="001415C7">
        <w:t xml:space="preserve">and </w:t>
      </w:r>
      <w:r w:rsidRPr="001415C7" w:rsidR="00477E76">
        <w:t>if so</w:t>
      </w:r>
      <w:r w:rsidRPr="001415C7" w:rsidR="008B34E0">
        <w:t xml:space="preserve">, that pilot project would </w:t>
      </w:r>
      <w:r w:rsidRPr="001415C7" w:rsidR="002C715C">
        <w:lastRenderedPageBreak/>
        <w:t xml:space="preserve">neither </w:t>
      </w:r>
      <w:r w:rsidRPr="001415C7">
        <w:t xml:space="preserve">count toward </w:t>
      </w:r>
      <w:r w:rsidRPr="001415C7" w:rsidR="002C715C">
        <w:t xml:space="preserve">the </w:t>
      </w:r>
      <w:r w:rsidRPr="001415C7" w:rsidR="00C36601">
        <w:t xml:space="preserve">utility-specific </w:t>
      </w:r>
      <w:r w:rsidRPr="001415C7" w:rsidR="002C715C">
        <w:t xml:space="preserve">caps nor </w:t>
      </w:r>
      <w:r w:rsidRPr="001415C7">
        <w:t xml:space="preserve">the </w:t>
      </w:r>
      <w:r w:rsidRPr="001415C7" w:rsidR="00E13C28">
        <w:t xml:space="preserve">statewide </w:t>
      </w:r>
      <w:r w:rsidRPr="001415C7" w:rsidR="002A4826">
        <w:t>30</w:t>
      </w:r>
      <w:r w:rsidRPr="001415C7" w:rsidR="00C23997">
        <w:t>-</w:t>
      </w:r>
      <w:r w:rsidRPr="001415C7" w:rsidR="002A4826">
        <w:t xml:space="preserve">pilot project </w:t>
      </w:r>
      <w:r w:rsidRPr="001415C7" w:rsidR="00477E76">
        <w:t>limit</w:t>
      </w:r>
      <w:r w:rsidRPr="001415C7">
        <w:t xml:space="preserve">.  </w:t>
      </w:r>
      <w:r w:rsidRPr="001415C7" w:rsidR="00E124C3">
        <w:t xml:space="preserve"> </w:t>
      </w:r>
    </w:p>
    <w:p w:rsidRPr="001415C7" w:rsidR="005939A5" w:rsidP="00A12092" w:rsidRDefault="00102CBF" w14:paraId="6355EDAF" w14:textId="241EA150">
      <w:pPr>
        <w:pStyle w:val="Heading1"/>
        <w:numPr>
          <w:ilvl w:val="0"/>
          <w:numId w:val="1"/>
        </w:numPr>
      </w:pPr>
      <w:bookmarkStart w:name="_Toc228261669" w:id="40"/>
      <w:bookmarkStart w:name="_Toc233633605" w:id="41"/>
      <w:r w:rsidRPr="001415C7">
        <w:t xml:space="preserve">Project Parameters and Application Development </w:t>
      </w:r>
      <w:r w:rsidRPr="001415C7" w:rsidR="00932E66">
        <w:t>Requirements</w:t>
      </w:r>
      <w:bookmarkEnd w:id="40"/>
      <w:bookmarkEnd w:id="41"/>
    </w:p>
    <w:p w:rsidRPr="001415C7" w:rsidR="00BE7DEB" w:rsidP="00BE7DEB" w:rsidRDefault="00BE7DEB" w14:paraId="3370462B" w14:textId="078F641C">
      <w:pPr>
        <w:pStyle w:val="Standard"/>
      </w:pPr>
      <w:r w:rsidRPr="001415C7">
        <w:t>This section describes the parameters (i.e., characteristics, limits, and requirements) that each pilot must meet</w:t>
      </w:r>
      <w:r w:rsidRPr="001415C7" w:rsidR="00AF363F">
        <w:t xml:space="preserve">, </w:t>
      </w:r>
      <w:r w:rsidRPr="001415C7">
        <w:t>provides guidance</w:t>
      </w:r>
      <w:r w:rsidRPr="001415C7" w:rsidR="00860314">
        <w:t>,</w:t>
      </w:r>
      <w:r w:rsidRPr="001415C7">
        <w:t xml:space="preserve"> and sets requirements that the gas </w:t>
      </w:r>
      <w:r w:rsidRPr="001415C7" w:rsidR="00FE4203">
        <w:t xml:space="preserve">corporations </w:t>
      </w:r>
      <w:r w:rsidRPr="001415C7">
        <w:t xml:space="preserve">(and other regulated stakeholders) must follow during the project identification process (i.e., the application development process). Subsequent sections provide guidance on how applicants </w:t>
      </w:r>
      <w:r w:rsidRPr="001415C7" w:rsidR="008C0852">
        <w:t>are expected to</w:t>
      </w:r>
      <w:r w:rsidRPr="001415C7">
        <w:t xml:space="preserve"> record the costs and benefits of their proposed projects, calculate the projects’ </w:t>
      </w:r>
      <w:r w:rsidRPr="001415C7" w:rsidR="00007A79">
        <w:t>cost effective</w:t>
      </w:r>
      <w:r w:rsidRPr="001415C7">
        <w:t xml:space="preserve">ness, and seek to recover those costs. The application section identifies the information </w:t>
      </w:r>
      <w:r w:rsidRPr="001415C7" w:rsidR="002073CD">
        <w:t>to</w:t>
      </w:r>
      <w:r w:rsidRPr="001415C7">
        <w:t xml:space="preserve"> include in application</w:t>
      </w:r>
      <w:r w:rsidRPr="001415C7" w:rsidR="002073CD">
        <w:t>s.</w:t>
      </w:r>
      <w:r w:rsidRPr="001415C7">
        <w:t xml:space="preserve"> </w:t>
      </w:r>
    </w:p>
    <w:p w:rsidRPr="001415C7" w:rsidR="009F1388" w:rsidP="009F1388" w:rsidRDefault="009F1388" w14:paraId="1F4E6667" w14:textId="4915B3AC">
      <w:pPr>
        <w:pStyle w:val="Heading2"/>
        <w:numPr>
          <w:ilvl w:val="1"/>
          <w:numId w:val="1"/>
        </w:numPr>
      </w:pPr>
      <w:bookmarkStart w:name="_Toc228261671" w:id="42"/>
      <w:bookmarkStart w:name="_Toc233633606" w:id="43"/>
      <w:r w:rsidRPr="001415C7">
        <w:t>Project Locations, Sizes</w:t>
      </w:r>
      <w:r w:rsidRPr="001415C7" w:rsidR="006E2415">
        <w:t xml:space="preserve">, </w:t>
      </w:r>
      <w:r w:rsidRPr="001415C7">
        <w:t>and Boundar</w:t>
      </w:r>
      <w:r w:rsidRPr="001415C7" w:rsidR="006E2415">
        <w:t>y Shapes</w:t>
      </w:r>
      <w:bookmarkEnd w:id="42"/>
      <w:bookmarkEnd w:id="43"/>
    </w:p>
    <w:p w:rsidRPr="001415C7" w:rsidR="009F1388" w:rsidP="009F1388" w:rsidRDefault="009F1388" w14:paraId="1DBB5071" w14:textId="3F7AF4E2">
      <w:r w:rsidRPr="001415C7">
        <w:t xml:space="preserve">Parties recommend that each pilot </w:t>
      </w:r>
      <w:r w:rsidRPr="001415C7" w:rsidR="00224B61">
        <w:t xml:space="preserve">project </w:t>
      </w:r>
      <w:r w:rsidRPr="001415C7">
        <w:t>application should include the following information.</w:t>
      </w:r>
    </w:p>
    <w:p w:rsidRPr="001415C7" w:rsidR="009F1388" w:rsidP="00A37687" w:rsidRDefault="009F1388" w14:paraId="3609BC6B" w14:textId="77777777">
      <w:pPr>
        <w:pStyle w:val="ListParagraph"/>
        <w:numPr>
          <w:ilvl w:val="0"/>
          <w:numId w:val="11"/>
        </w:numPr>
        <w:spacing w:after="160" w:line="278" w:lineRule="auto"/>
        <w:ind w:left="1080"/>
        <w:contextualSpacing/>
      </w:pPr>
      <w:r w:rsidRPr="001415C7">
        <w:t>Locations:</w:t>
      </w:r>
      <w:r w:rsidRPr="001415C7">
        <w:rPr>
          <w:rStyle w:val="FootnoteReference"/>
        </w:rPr>
        <w:footnoteReference w:id="37"/>
      </w:r>
    </w:p>
    <w:p w:rsidRPr="001415C7" w:rsidR="009F1388" w:rsidP="00A37687" w:rsidRDefault="009F1388" w14:paraId="2E8E25A5" w14:textId="77777777">
      <w:pPr>
        <w:pStyle w:val="ListParagraph"/>
        <w:numPr>
          <w:ilvl w:val="1"/>
          <w:numId w:val="11"/>
        </w:numPr>
        <w:spacing w:after="160" w:line="278" w:lineRule="auto"/>
        <w:ind w:left="1440"/>
        <w:contextualSpacing/>
      </w:pPr>
      <w:r w:rsidRPr="001415C7">
        <w:t>Project locations (San Francisco)</w:t>
      </w:r>
    </w:p>
    <w:p w:rsidRPr="001415C7" w:rsidR="009F1388" w:rsidP="00A37687" w:rsidRDefault="009F1388" w14:paraId="1E46FD71" w14:textId="77777777">
      <w:pPr>
        <w:pStyle w:val="ListParagraph"/>
        <w:numPr>
          <w:ilvl w:val="2"/>
          <w:numId w:val="11"/>
        </w:numPr>
        <w:spacing w:after="160" w:line="278" w:lineRule="auto"/>
        <w:ind w:right="1440"/>
        <w:contextualSpacing/>
      </w:pPr>
      <w:r w:rsidRPr="001415C7">
        <w:t>by census tract (SoCalGas and SDG&amp;E)</w:t>
      </w:r>
    </w:p>
    <w:p w:rsidRPr="001415C7" w:rsidR="009F1388" w:rsidP="00A37687" w:rsidRDefault="009F1388" w14:paraId="24758B01" w14:textId="3302F61B">
      <w:pPr>
        <w:pStyle w:val="ListParagraph"/>
        <w:numPr>
          <w:ilvl w:val="1"/>
          <w:numId w:val="11"/>
        </w:numPr>
        <w:spacing w:line="278" w:lineRule="auto"/>
        <w:ind w:left="1440" w:right="1440"/>
        <w:contextualSpacing/>
      </w:pPr>
      <w:r w:rsidRPr="001415C7">
        <w:t xml:space="preserve">CalEnviroScreen scores for the census tracts in the pilot </w:t>
      </w:r>
      <w:r w:rsidRPr="001415C7" w:rsidR="00367F7E">
        <w:t xml:space="preserve">project </w:t>
      </w:r>
      <w:r w:rsidRPr="001415C7">
        <w:t>area (San Francisco)</w:t>
      </w:r>
    </w:p>
    <w:p w:rsidRPr="001415C7" w:rsidR="009F1388" w:rsidP="00A37687" w:rsidRDefault="009F1388" w14:paraId="4C626C9F" w14:textId="609AB4E2">
      <w:pPr>
        <w:pStyle w:val="ListParagraph"/>
        <w:numPr>
          <w:ilvl w:val="1"/>
          <w:numId w:val="11"/>
        </w:numPr>
        <w:spacing w:after="160" w:line="278" w:lineRule="auto"/>
        <w:ind w:left="1440" w:right="1440"/>
        <w:contextualSpacing/>
      </w:pPr>
      <w:r w:rsidRPr="001415C7">
        <w:t>Demonstration that all proposed pilot projects fall within Commission-designated PNDZs (Cal Advocates)</w:t>
      </w:r>
    </w:p>
    <w:p w:rsidRPr="001415C7" w:rsidR="009F1388" w:rsidP="00D816A4" w:rsidRDefault="009F1388" w14:paraId="76EDDFA2" w14:textId="77777777">
      <w:pPr>
        <w:pStyle w:val="ListParagraph"/>
        <w:numPr>
          <w:ilvl w:val="0"/>
          <w:numId w:val="11"/>
        </w:numPr>
        <w:spacing w:after="160" w:line="278" w:lineRule="auto"/>
        <w:ind w:left="1080"/>
        <w:contextualSpacing/>
      </w:pPr>
      <w:r w:rsidRPr="001415C7">
        <w:t>Customer Count:</w:t>
      </w:r>
      <w:r w:rsidRPr="001415C7">
        <w:rPr>
          <w:rStyle w:val="FootnoteReference"/>
        </w:rPr>
        <w:footnoteReference w:id="38"/>
      </w:r>
    </w:p>
    <w:p w:rsidRPr="001415C7" w:rsidR="009F1388" w:rsidP="00A37687" w:rsidRDefault="009F1388" w14:paraId="1EA93BD2" w14:textId="3E1F193A">
      <w:pPr>
        <w:pStyle w:val="ListParagraph"/>
        <w:numPr>
          <w:ilvl w:val="1"/>
          <w:numId w:val="11"/>
        </w:numPr>
        <w:spacing w:line="278" w:lineRule="auto"/>
        <w:ind w:left="1440" w:right="1440"/>
        <w:contextualSpacing/>
      </w:pPr>
      <w:r w:rsidRPr="001415C7">
        <w:lastRenderedPageBreak/>
        <w:t>by rate class</w:t>
      </w:r>
      <w:r w:rsidRPr="001415C7" w:rsidR="00E825CB">
        <w:t xml:space="preserve">, including </w:t>
      </w:r>
      <w:r w:rsidRPr="001415C7" w:rsidR="008C4982">
        <w:t>the number of small commercial customers</w:t>
      </w:r>
      <w:r w:rsidRPr="001415C7">
        <w:t xml:space="preserve"> (Cal Advocates, SoCalGas and SDG&amp;E, Southwest Gas)</w:t>
      </w:r>
    </w:p>
    <w:p w:rsidRPr="001415C7" w:rsidR="009F1388" w:rsidP="00A37687" w:rsidRDefault="009F1388" w14:paraId="5D68A567" w14:textId="77777777">
      <w:pPr>
        <w:pStyle w:val="ListParagraph"/>
        <w:numPr>
          <w:ilvl w:val="1"/>
          <w:numId w:val="11"/>
        </w:numPr>
        <w:spacing w:line="278" w:lineRule="auto"/>
        <w:ind w:left="1440" w:right="1440"/>
        <w:contextualSpacing/>
      </w:pPr>
      <w:r w:rsidRPr="001415C7">
        <w:t>by electric provider (Southwest Gas)</w:t>
      </w:r>
    </w:p>
    <w:p w:rsidRPr="001415C7" w:rsidR="009F1388" w:rsidP="00A37687" w:rsidRDefault="009F1388" w14:paraId="129E5084" w14:textId="77777777">
      <w:pPr>
        <w:pStyle w:val="ListParagraph"/>
        <w:numPr>
          <w:ilvl w:val="1"/>
          <w:numId w:val="11"/>
        </w:numPr>
        <w:spacing w:line="278" w:lineRule="auto"/>
        <w:ind w:left="1440" w:right="1440"/>
        <w:contextualSpacing/>
      </w:pPr>
      <w:r w:rsidRPr="001415C7">
        <w:t>by enrollment status in income-qualified programs (Cal Advocates)</w:t>
      </w:r>
    </w:p>
    <w:p w:rsidRPr="001415C7" w:rsidR="00E56B37" w:rsidP="00A37687" w:rsidRDefault="00E56B37" w14:paraId="6F0AB08B" w14:textId="5D323899">
      <w:pPr>
        <w:pStyle w:val="ListParagraph"/>
        <w:numPr>
          <w:ilvl w:val="1"/>
          <w:numId w:val="11"/>
        </w:numPr>
        <w:spacing w:line="278" w:lineRule="auto"/>
        <w:ind w:left="1440" w:right="1440"/>
        <w:contextualSpacing/>
      </w:pPr>
      <w:r w:rsidRPr="001415C7">
        <w:t>by enrollment in medical baseline (</w:t>
      </w:r>
      <w:r w:rsidRPr="001415C7" w:rsidR="0057187D">
        <w:t>CforAT)</w:t>
      </w:r>
    </w:p>
    <w:p w:rsidRPr="001415C7" w:rsidR="009F1388" w:rsidP="00A37687" w:rsidRDefault="009F1388" w14:paraId="5E83813D" w14:textId="77777777">
      <w:pPr>
        <w:pStyle w:val="ListParagraph"/>
        <w:numPr>
          <w:ilvl w:val="1"/>
          <w:numId w:val="11"/>
        </w:numPr>
        <w:spacing w:line="278" w:lineRule="auto"/>
        <w:ind w:left="1440" w:right="1440"/>
        <w:contextualSpacing/>
      </w:pPr>
      <w:r w:rsidRPr="001415C7">
        <w:t>by DAC status (Southwest Gas)</w:t>
      </w:r>
    </w:p>
    <w:p w:rsidRPr="001415C7" w:rsidR="009F1388" w:rsidP="00A37687" w:rsidRDefault="009F1388" w14:paraId="40B6FB1C" w14:textId="2866D013">
      <w:pPr>
        <w:pStyle w:val="ListParagraph"/>
        <w:numPr>
          <w:ilvl w:val="1"/>
          <w:numId w:val="11"/>
        </w:numPr>
        <w:spacing w:line="278" w:lineRule="auto"/>
        <w:ind w:left="1440" w:right="1440"/>
        <w:contextualSpacing/>
      </w:pPr>
      <w:r w:rsidRPr="001415C7">
        <w:t>by ESJ status (San Francisco)</w:t>
      </w:r>
    </w:p>
    <w:p w:rsidRPr="001415C7" w:rsidR="00513E82" w:rsidP="009F1388" w:rsidRDefault="009F1388" w14:paraId="1C515D0C" w14:textId="2E490CEC">
      <w:r w:rsidRPr="001415C7">
        <w:t xml:space="preserve">Cal Advocates </w:t>
      </w:r>
      <w:r w:rsidRPr="001415C7" w:rsidR="00121B53">
        <w:t xml:space="preserve">recommends </w:t>
      </w:r>
      <w:r w:rsidRPr="001415C7">
        <w:t>that the customer counts should be provided at a more detailed level than just at the project level; Cal Advocates recommends the Public Use Microdata Area (PUMA) level of detail, at minimum.</w:t>
      </w:r>
      <w:r w:rsidRPr="001415C7">
        <w:rPr>
          <w:rStyle w:val="FootnoteReference"/>
        </w:rPr>
        <w:footnoteReference w:id="39"/>
      </w:r>
    </w:p>
    <w:p w:rsidRPr="001415C7" w:rsidR="00BD4EB8" w:rsidP="00BD4EB8" w:rsidRDefault="00CA0ABF" w14:paraId="131325E2" w14:textId="572F7BE8">
      <w:bookmarkStart w:name="_Toc228261672" w:id="44"/>
      <w:r w:rsidRPr="001415C7">
        <w:t xml:space="preserve">Cal Advocates’ comments </w:t>
      </w:r>
      <w:r w:rsidRPr="001415C7" w:rsidR="00DE726C">
        <w:t>assume that</w:t>
      </w:r>
      <w:r w:rsidRPr="001415C7" w:rsidR="00BB45B2">
        <w:t xml:space="preserve"> </w:t>
      </w:r>
      <w:r w:rsidRPr="001415C7" w:rsidR="00F22608">
        <w:t xml:space="preserve">all projects must overlap with </w:t>
      </w:r>
      <w:r w:rsidRPr="001415C7" w:rsidR="00025679">
        <w:t>Priority Neighborhood Decarbonization Zones</w:t>
      </w:r>
      <w:r w:rsidRPr="001415C7" w:rsidR="00F22608">
        <w:t xml:space="preserve">, </w:t>
      </w:r>
      <w:r w:rsidRPr="001415C7" w:rsidR="0092282D">
        <w:t>b</w:t>
      </w:r>
      <w:r w:rsidRPr="001415C7" w:rsidR="004423AA">
        <w:t xml:space="preserve">ut </w:t>
      </w:r>
      <w:r w:rsidRPr="001415C7" w:rsidR="00C72035">
        <w:t>SB 1221 does not</w:t>
      </w:r>
      <w:r w:rsidRPr="001415C7" w:rsidR="558A379C">
        <w:t xml:space="preserve"> explicitly</w:t>
      </w:r>
      <w:r w:rsidRPr="001415C7" w:rsidR="00C72035">
        <w:t xml:space="preserve"> </w:t>
      </w:r>
      <w:r w:rsidRPr="001415C7" w:rsidR="00542B53">
        <w:t>require the</w:t>
      </w:r>
      <w:r w:rsidRPr="001415C7" w:rsidR="00E82950">
        <w:t xml:space="preserve"> pilots to be exclusively within the PNDZs.</w:t>
      </w:r>
      <w:r w:rsidRPr="001415C7" w:rsidR="00542B53">
        <w:t xml:space="preserve"> </w:t>
      </w:r>
      <w:r w:rsidRPr="001415C7" w:rsidR="00E82950">
        <w:t xml:space="preserve">In this early stage of the pilot program, the </w:t>
      </w:r>
      <w:r w:rsidRPr="001415C7" w:rsidR="00BD4EB8">
        <w:t xml:space="preserve">Commission </w:t>
      </w:r>
      <w:r w:rsidRPr="001415C7" w:rsidR="00102BAD">
        <w:t xml:space="preserve">believes it is prudent to allow pilots outside of the PNDZs if they otherwise meet the applicable statutory criteria. Applications for these pilot </w:t>
      </w:r>
      <w:r w:rsidRPr="001415C7" w:rsidR="00942405">
        <w:t>project</w:t>
      </w:r>
      <w:r w:rsidRPr="001415C7" w:rsidR="00102BAD">
        <w:t xml:space="preserve"> areas must</w:t>
      </w:r>
      <w:r w:rsidRPr="001415C7" w:rsidR="00BD4EB8">
        <w:t xml:space="preserve"> describe how each project location meets </w:t>
      </w:r>
      <w:r w:rsidRPr="001415C7" w:rsidR="00EA6F34">
        <w:t>some or all of</w:t>
      </w:r>
      <w:r w:rsidRPr="001415C7" w:rsidR="00BD4EB8">
        <w:t xml:space="preserve"> the criteria set by Code Section 662(a).</w:t>
      </w:r>
      <w:r w:rsidRPr="001415C7" w:rsidR="00BD4EB8">
        <w:rPr>
          <w:rStyle w:val="FootnoteReference"/>
        </w:rPr>
        <w:footnoteReference w:id="40"/>
      </w:r>
      <w:r w:rsidRPr="001415C7" w:rsidR="00BD4EB8">
        <w:t xml:space="preserve"> Applicants should design their projects to meet the pilot program’s requirements (e.g., </w:t>
      </w:r>
      <w:r w:rsidRPr="001415C7" w:rsidR="00007A79">
        <w:t>cost effective</w:t>
      </w:r>
      <w:r w:rsidRPr="001415C7" w:rsidR="00BD4EB8">
        <w:t xml:space="preserve">ness, </w:t>
      </w:r>
      <w:r w:rsidRPr="001415C7" w:rsidR="00BD4EB8">
        <w:lastRenderedPageBreak/>
        <w:t xml:space="preserve">outreach to various stakeholders). </w:t>
      </w:r>
      <w:r w:rsidRPr="001415C7" w:rsidR="004423AA">
        <w:t xml:space="preserve">Accordingly, this decision does not set restrictions on the location or geographic size of a </w:t>
      </w:r>
      <w:r w:rsidRPr="001415C7" w:rsidR="00EE0513">
        <w:t>pilot project area</w:t>
      </w:r>
      <w:r w:rsidRPr="001415C7" w:rsidR="004423AA">
        <w:t>.</w:t>
      </w:r>
    </w:p>
    <w:p w:rsidRPr="001415C7" w:rsidR="00BD4EB8" w:rsidP="00BD4EB8" w:rsidRDefault="00BD4EB8" w14:paraId="60A0FDC8" w14:textId="6A1EBAEE">
      <w:r w:rsidRPr="001415C7">
        <w:t xml:space="preserve">Applicants should show the project boundary in their application. The project boundary does not need to be contiguous or a specific shape, but </w:t>
      </w:r>
      <w:r w:rsidRPr="001415C7" w:rsidR="00765046">
        <w:t xml:space="preserve">the </w:t>
      </w:r>
      <w:r w:rsidRPr="001415C7" w:rsidR="00311C8D">
        <w:t>a</w:t>
      </w:r>
      <w:r w:rsidRPr="001415C7" w:rsidR="00765046">
        <w:t xml:space="preserve">pplicant should </w:t>
      </w:r>
      <w:r w:rsidRPr="001415C7" w:rsidR="00677819">
        <w:t xml:space="preserve">explain the rationale if the </w:t>
      </w:r>
      <w:r w:rsidRPr="001415C7" w:rsidR="00EE0513">
        <w:t>pilot project area</w:t>
      </w:r>
      <w:r w:rsidRPr="001415C7" w:rsidR="00677819">
        <w:t xml:space="preserve"> is not contiguous. </w:t>
      </w:r>
      <w:r w:rsidRPr="001415C7" w:rsidR="00092ACE">
        <w:t xml:space="preserve">For example, </w:t>
      </w:r>
      <w:r w:rsidRPr="001415C7" w:rsidR="003E5B3C">
        <w:t xml:space="preserve">a </w:t>
      </w:r>
      <w:r w:rsidRPr="001415C7" w:rsidR="00EE0513">
        <w:t>pilot project area</w:t>
      </w:r>
      <w:r w:rsidRPr="001415C7" w:rsidR="003E5B3C">
        <w:t xml:space="preserve"> might </w:t>
      </w:r>
      <w:r w:rsidRPr="001415C7" w:rsidR="00BE7409">
        <w:t xml:space="preserve">have </w:t>
      </w:r>
      <w:r w:rsidRPr="001415C7" w:rsidR="00016689">
        <w:t xml:space="preserve">noncontiguous </w:t>
      </w:r>
      <w:r w:rsidRPr="001415C7" w:rsidR="00B76C81">
        <w:t>streets or cul-de-sac</w:t>
      </w:r>
      <w:r w:rsidRPr="001415C7" w:rsidR="005E305E">
        <w:t>s</w:t>
      </w:r>
      <w:r w:rsidRPr="001415C7" w:rsidR="002C5399">
        <w:t xml:space="preserve"> in the same neighborhood that </w:t>
      </w:r>
      <w:r w:rsidRPr="001415C7" w:rsidR="00786E00">
        <w:t>are</w:t>
      </w:r>
      <w:r w:rsidRPr="001415C7" w:rsidR="002C5399">
        <w:t xml:space="preserve"> served </w:t>
      </w:r>
      <w:r w:rsidRPr="001415C7" w:rsidR="005E305E">
        <w:t xml:space="preserve">by </w:t>
      </w:r>
      <w:r w:rsidRPr="001415C7" w:rsidR="00F661B9">
        <w:t>the same gas main.</w:t>
      </w:r>
      <w:r w:rsidRPr="001415C7" w:rsidR="00786E00">
        <w:t xml:space="preserve"> </w:t>
      </w:r>
    </w:p>
    <w:p w:rsidRPr="001415C7" w:rsidR="002C33B6" w:rsidP="002C33B6" w:rsidRDefault="002C33B6" w14:paraId="7282FD4D" w14:textId="77777777">
      <w:r w:rsidRPr="001415C7">
        <w:t>This decision requires</w:t>
      </w:r>
      <w:r w:rsidRPr="001415C7" w:rsidDel="00270C1F">
        <w:t xml:space="preserve"> </w:t>
      </w:r>
      <w:r w:rsidRPr="001415C7">
        <w:t>applicants to, at a minimum, include the following information in their applications:</w:t>
      </w:r>
    </w:p>
    <w:p w:rsidRPr="001415C7" w:rsidR="002C33B6" w:rsidP="004A6EE8" w:rsidRDefault="002C33B6" w14:paraId="263C6B29" w14:textId="77777777">
      <w:pPr>
        <w:pStyle w:val="ListParagraph"/>
        <w:numPr>
          <w:ilvl w:val="0"/>
          <w:numId w:val="15"/>
        </w:numPr>
        <w:ind w:left="990" w:hanging="270"/>
      </w:pPr>
      <w:r w:rsidRPr="001415C7">
        <w:t>Maps showing the boundaries of proposed projects.</w:t>
      </w:r>
    </w:p>
    <w:p w:rsidRPr="001415C7" w:rsidR="002C33B6" w:rsidP="002C33B6" w:rsidRDefault="002C33B6" w14:paraId="76E7C4DB" w14:textId="77777777">
      <w:pPr>
        <w:pStyle w:val="CoL"/>
        <w:numPr>
          <w:ilvl w:val="1"/>
          <w:numId w:val="15"/>
        </w:numPr>
      </w:pPr>
      <w:r w:rsidRPr="001415C7">
        <w:t>A map of the applicant’s service territory showing the boundaries of all the proposed projects; and</w:t>
      </w:r>
    </w:p>
    <w:p w:rsidRPr="001415C7" w:rsidR="002C33B6" w:rsidP="002C33B6" w:rsidRDefault="002C33B6" w14:paraId="3477F1E8" w14:textId="77777777">
      <w:pPr>
        <w:pStyle w:val="ListParagraph"/>
        <w:numPr>
          <w:ilvl w:val="1"/>
          <w:numId w:val="15"/>
        </w:numPr>
      </w:pPr>
      <w:r w:rsidRPr="001415C7">
        <w:t>Individual maps for each proposed project.</w:t>
      </w:r>
    </w:p>
    <w:p w:rsidRPr="001415C7" w:rsidR="002C33B6" w:rsidP="004A6EE8" w:rsidRDefault="002C33B6" w14:paraId="78881DEE" w14:textId="77777777">
      <w:pPr>
        <w:pStyle w:val="ListParagraph"/>
        <w:numPr>
          <w:ilvl w:val="0"/>
          <w:numId w:val="15"/>
        </w:numPr>
        <w:ind w:left="990" w:hanging="270"/>
      </w:pPr>
      <w:r w:rsidRPr="001415C7">
        <w:t>For each project:</w:t>
      </w:r>
    </w:p>
    <w:p w:rsidRPr="001415C7" w:rsidR="002C33B6" w:rsidP="002C33B6" w:rsidRDefault="002C33B6" w14:paraId="18F12CB3" w14:textId="36CA9F6E">
      <w:pPr>
        <w:pStyle w:val="ListParagraph"/>
        <w:numPr>
          <w:ilvl w:val="1"/>
          <w:numId w:val="15"/>
        </w:numPr>
      </w:pPr>
      <w:r w:rsidRPr="001415C7">
        <w:t xml:space="preserve">List of the census tracts that overlap with the pilot </w:t>
      </w:r>
      <w:r w:rsidRPr="001415C7" w:rsidR="00942405">
        <w:t xml:space="preserve">project </w:t>
      </w:r>
      <w:r w:rsidRPr="001415C7">
        <w:t>area. The application should provide each census tract’s CalEnviroScreen score, DAC</w:t>
      </w:r>
      <w:r w:rsidRPr="001415C7" w:rsidR="0049686F">
        <w:t xml:space="preserve"> status</w:t>
      </w:r>
      <w:r w:rsidRPr="001415C7">
        <w:t>, and the number of affected customers residing within it.</w:t>
      </w:r>
    </w:p>
    <w:p w:rsidRPr="001415C7" w:rsidR="00B9659A" w:rsidP="002C33B6" w:rsidRDefault="00B9659A" w14:paraId="048747D2" w14:textId="2D0BADB8">
      <w:pPr>
        <w:pStyle w:val="ListParagraph"/>
        <w:numPr>
          <w:ilvl w:val="1"/>
          <w:numId w:val="15"/>
        </w:numPr>
      </w:pPr>
      <w:r w:rsidRPr="001415C7">
        <w:t xml:space="preserve">Number of properties inside the </w:t>
      </w:r>
      <w:r w:rsidRPr="001415C7" w:rsidR="00DF4833">
        <w:t xml:space="preserve">pilot project area </w:t>
      </w:r>
      <w:r w:rsidRPr="001415C7" w:rsidR="00B871EB">
        <w:t>(by property type)</w:t>
      </w:r>
      <w:r w:rsidRPr="001415C7" w:rsidR="00403D99">
        <w:t>.</w:t>
      </w:r>
    </w:p>
    <w:p w:rsidRPr="001415C7" w:rsidR="000F59BD" w:rsidP="002C33B6" w:rsidRDefault="003C0369" w14:paraId="1EEF0A71" w14:textId="1DABCD31">
      <w:pPr>
        <w:pStyle w:val="ListParagraph"/>
        <w:numPr>
          <w:ilvl w:val="1"/>
          <w:numId w:val="15"/>
        </w:numPr>
      </w:pPr>
      <w:r w:rsidRPr="001415C7">
        <w:t xml:space="preserve">Number of </w:t>
      </w:r>
      <w:r w:rsidRPr="001415C7" w:rsidR="005F1C79">
        <w:t xml:space="preserve">property </w:t>
      </w:r>
      <w:r w:rsidRPr="001415C7" w:rsidR="00DF4833">
        <w:t>owners in pilot project area.</w:t>
      </w:r>
    </w:p>
    <w:p w:rsidRPr="001415C7" w:rsidR="00830F4F" w:rsidP="002C33B6" w:rsidRDefault="002C33B6" w14:paraId="6E463481" w14:textId="10146807">
      <w:pPr>
        <w:pStyle w:val="ListParagraph"/>
        <w:numPr>
          <w:ilvl w:val="1"/>
          <w:numId w:val="15"/>
        </w:numPr>
      </w:pPr>
      <w:r w:rsidRPr="001415C7">
        <w:t>Number of gas customers in the project boundary (by customer class, by enrollment in income-qualified programs).</w:t>
      </w:r>
    </w:p>
    <w:p w:rsidRPr="001415C7" w:rsidR="002C33B6" w:rsidP="00E619EB" w:rsidRDefault="002C33B6" w14:paraId="4CA1E742" w14:textId="40FA5AA5">
      <w:pPr>
        <w:pStyle w:val="ListParagraph"/>
        <w:numPr>
          <w:ilvl w:val="1"/>
          <w:numId w:val="15"/>
        </w:numPr>
      </w:pPr>
      <w:r w:rsidRPr="001415C7">
        <w:t>Number of electric</w:t>
      </w:r>
      <w:r w:rsidRPr="001415C7" w:rsidR="6246BAC9">
        <w:t xml:space="preserve"> </w:t>
      </w:r>
      <w:r w:rsidRPr="001415C7" w:rsidR="63FF4AE1">
        <w:t>and gas</w:t>
      </w:r>
      <w:r w:rsidRPr="001415C7">
        <w:t xml:space="preserve"> customers in the project boundary (by electric </w:t>
      </w:r>
      <w:r w:rsidRPr="001415C7" w:rsidR="1990E1E7">
        <w:t xml:space="preserve">or gas </w:t>
      </w:r>
      <w:r w:rsidRPr="001415C7">
        <w:t>utility</w:t>
      </w:r>
      <w:r w:rsidRPr="001415C7" w:rsidR="00F247C3">
        <w:t>;</w:t>
      </w:r>
      <w:r w:rsidRPr="001415C7">
        <w:t xml:space="preserve"> by customer class</w:t>
      </w:r>
      <w:r w:rsidRPr="001415C7" w:rsidR="001A3D25">
        <w:t>, including a designation of small commercial customers</w:t>
      </w:r>
      <w:r w:rsidRPr="001415C7" w:rsidR="00F247C3">
        <w:t>;</w:t>
      </w:r>
      <w:r w:rsidRPr="001415C7">
        <w:t xml:space="preserve"> by enrollment in income-qualified programs</w:t>
      </w:r>
      <w:r w:rsidRPr="001415C7" w:rsidR="00F247C3">
        <w:t xml:space="preserve">; </w:t>
      </w:r>
      <w:r w:rsidR="00C82D88">
        <w:t xml:space="preserve">and </w:t>
      </w:r>
      <w:r w:rsidRPr="001415C7" w:rsidR="00F247C3">
        <w:t>by enrollment in medical baseline</w:t>
      </w:r>
      <w:r w:rsidRPr="001415C7">
        <w:t>).</w:t>
      </w:r>
    </w:p>
    <w:p w:rsidRPr="001415C7" w:rsidR="00830F4F" w:rsidP="002C33B6" w:rsidRDefault="002C33B6" w14:paraId="208ABE5B" w14:textId="63912F0C">
      <w:pPr>
        <w:pStyle w:val="ListParagraph"/>
        <w:numPr>
          <w:ilvl w:val="1"/>
          <w:numId w:val="15"/>
        </w:numPr>
      </w:pPr>
      <w:r w:rsidRPr="001415C7">
        <w:t xml:space="preserve">List of the federally recognized tribal lands the </w:t>
      </w:r>
      <w:r w:rsidRPr="001415C7" w:rsidR="00EE0513">
        <w:t>pilot project area</w:t>
      </w:r>
      <w:r w:rsidRPr="001415C7">
        <w:t xml:space="preserve"> overlaps with.</w:t>
      </w:r>
    </w:p>
    <w:p w:rsidRPr="001415C7" w:rsidR="002C33B6" w:rsidP="00E619EB" w:rsidRDefault="002C33B6" w14:paraId="61790551" w14:textId="7FDFAC01">
      <w:pPr>
        <w:pStyle w:val="ListParagraph"/>
        <w:numPr>
          <w:ilvl w:val="1"/>
          <w:numId w:val="15"/>
        </w:numPr>
      </w:pPr>
      <w:r w:rsidRPr="001415C7">
        <w:lastRenderedPageBreak/>
        <w:t>List of the</w:t>
      </w:r>
      <w:r w:rsidRPr="001415C7" w:rsidR="006062E0">
        <w:t xml:space="preserve"> tribes on California’s Native American Heritage Commission list that are affiliated with areas overlapping the project area</w:t>
      </w:r>
      <w:r w:rsidRPr="001415C7">
        <w:t>.</w:t>
      </w:r>
    </w:p>
    <w:p w:rsidRPr="001415C7" w:rsidR="002C33B6" w:rsidP="00445F16" w:rsidRDefault="002C33B6" w14:paraId="314E91C3" w14:textId="3522E2D7">
      <w:pPr>
        <w:pStyle w:val="ListParagraph"/>
        <w:numPr>
          <w:ilvl w:val="1"/>
          <w:numId w:val="15"/>
        </w:numPr>
      </w:pPr>
      <w:r w:rsidRPr="001415C7">
        <w:t xml:space="preserve">List of prevailing languages in the </w:t>
      </w:r>
      <w:r w:rsidRPr="001415C7" w:rsidR="00EE0513">
        <w:t>pilot project area</w:t>
      </w:r>
      <w:r w:rsidRPr="001415C7">
        <w:t>, including estimated portion of residents that speak those languages.</w:t>
      </w:r>
    </w:p>
    <w:p w:rsidRPr="001415C7" w:rsidR="00BD4EB8" w:rsidP="00445F16" w:rsidRDefault="00BD4EB8" w14:paraId="654B9A82" w14:textId="42D69DEC">
      <w:r w:rsidRPr="001415C7">
        <w:t xml:space="preserve">This decision requires applicants to include </w:t>
      </w:r>
      <w:r w:rsidRPr="001415C7" w:rsidR="001B079C">
        <w:t>all</w:t>
      </w:r>
      <w:r w:rsidRPr="001415C7">
        <w:t xml:space="preserve"> the information </w:t>
      </w:r>
      <w:r w:rsidRPr="001415C7" w:rsidR="00C24513">
        <w:t xml:space="preserve">listed above </w:t>
      </w:r>
      <w:r w:rsidRPr="001415C7" w:rsidR="003F368A">
        <w:t>consistent with parties’ requests</w:t>
      </w:r>
      <w:r w:rsidRPr="001415C7">
        <w:t>. With regard to PDNZ(s), applications must identify the PNDZ(s) with which their pilot projects overlap and/or describe how each project location meet</w:t>
      </w:r>
      <w:r w:rsidRPr="001415C7" w:rsidR="00DA3C60">
        <w:t>s</w:t>
      </w:r>
      <w:r w:rsidRPr="001415C7" w:rsidR="00373994">
        <w:t xml:space="preserve"> some or all of</w:t>
      </w:r>
      <w:r w:rsidRPr="001415C7">
        <w:t xml:space="preserve"> the criteria set by Code Sections 662(a)(1) or (2) and (3)-(4). For projects that cross multiple census tracts, the information below should be broken out by census tract</w:t>
      </w:r>
      <w:r w:rsidRPr="001415C7" w:rsidDel="00270C1F">
        <w:t xml:space="preserve"> for consistency with the granularity used by the CalEnviroScreen tool</w:t>
      </w:r>
      <w:r w:rsidRPr="001415C7">
        <w:t>; if certain data are not available at the census tract-level, applicants shall confer with Energy Division staff to determine the appropriate granularity at which they should provide the information.</w:t>
      </w:r>
      <w:r w:rsidRPr="001415C7" w:rsidR="002C33B6">
        <w:t xml:space="preserve"> </w:t>
      </w:r>
    </w:p>
    <w:p w:rsidRPr="001415C7" w:rsidR="00BD4EB8" w:rsidP="00BD4EB8" w:rsidRDefault="00BD4EB8" w14:paraId="207366EA" w14:textId="77777777">
      <w:pPr>
        <w:ind w:firstLine="360"/>
      </w:pPr>
      <w:r w:rsidRPr="001415C7">
        <w:t>Finally, applicants may include any other information that they believe would be useful or necessary for the Commission to assess the application.</w:t>
      </w:r>
    </w:p>
    <w:p w:rsidRPr="001415C7" w:rsidR="00E34286" w:rsidP="001B29A9" w:rsidRDefault="00E34286" w14:paraId="1490A384" w14:textId="16DE2556">
      <w:pPr>
        <w:pStyle w:val="Heading2"/>
        <w:numPr>
          <w:ilvl w:val="1"/>
          <w:numId w:val="1"/>
        </w:numPr>
      </w:pPr>
      <w:bookmarkStart w:name="_Toc233633607" w:id="45"/>
      <w:r w:rsidRPr="001415C7">
        <w:t>Customer Offerings</w:t>
      </w:r>
      <w:bookmarkEnd w:id="44"/>
      <w:bookmarkEnd w:id="45"/>
    </w:p>
    <w:p w:rsidRPr="001415C7" w:rsidR="00765B47" w:rsidP="00E34286" w:rsidRDefault="00644EF2" w14:paraId="05E0EE33" w14:textId="29469A0D">
      <w:pPr>
        <w:pStyle w:val="Heading3"/>
        <w:numPr>
          <w:ilvl w:val="2"/>
          <w:numId w:val="1"/>
        </w:numPr>
      </w:pPr>
      <w:bookmarkStart w:name="_Toc228261673" w:id="46"/>
      <w:bookmarkStart w:name="_Toc233633608" w:id="47"/>
      <w:r w:rsidRPr="001415C7">
        <w:t>Appliance Replacement and Home Remediation</w:t>
      </w:r>
      <w:bookmarkEnd w:id="46"/>
      <w:bookmarkEnd w:id="47"/>
    </w:p>
    <w:p w:rsidRPr="001415C7" w:rsidR="00B80FE2" w:rsidP="00B80FE2" w:rsidRDefault="00B80FE2" w14:paraId="22A6A9F4" w14:textId="00EF83B8">
      <w:r w:rsidRPr="001415C7">
        <w:t xml:space="preserve">San Francisco recommends that the gas </w:t>
      </w:r>
      <w:r w:rsidRPr="001415C7" w:rsidR="0070191B">
        <w:t xml:space="preserve">corporations </w:t>
      </w:r>
      <w:r w:rsidRPr="001415C7">
        <w:t>should offer the participating customers a range of appliances to choose from and provide those customers with the contact information for help with maintenance and troubleshooting of the new equipment and appliances.</w:t>
      </w:r>
      <w:r w:rsidRPr="001415C7">
        <w:rPr>
          <w:rStyle w:val="FootnoteReference"/>
        </w:rPr>
        <w:t xml:space="preserve"> </w:t>
      </w:r>
      <w:r w:rsidRPr="001415C7">
        <w:rPr>
          <w:rStyle w:val="FootnoteReference"/>
        </w:rPr>
        <w:footnoteReference w:id="41"/>
      </w:r>
      <w:r w:rsidRPr="001415C7" w:rsidR="00FB60B8">
        <w:t xml:space="preserve"> Cal Advocates recommends that the pilots should use established technologies rather than </w:t>
      </w:r>
      <w:r w:rsidRPr="001415C7" w:rsidR="00FB60B8">
        <w:lastRenderedPageBreak/>
        <w:t>technologies still in the research and development phase.</w:t>
      </w:r>
      <w:r w:rsidRPr="001415C7" w:rsidR="00FB60B8">
        <w:rPr>
          <w:rStyle w:val="FootnoteReference"/>
        </w:rPr>
        <w:footnoteReference w:id="42"/>
      </w:r>
      <w:r w:rsidRPr="001415C7" w:rsidR="00FB60B8">
        <w:t xml:space="preserve"> They want to avoid a scenario where the technology could require significant maintenance or replacement shortly after installation or could void residents’ insurance or warranties because of its state of development.</w:t>
      </w:r>
      <w:r w:rsidRPr="001415C7" w:rsidR="00FB60B8">
        <w:rPr>
          <w:rStyle w:val="FootnoteReference"/>
        </w:rPr>
        <w:footnoteReference w:id="43"/>
      </w:r>
    </w:p>
    <w:p w:rsidRPr="001415C7" w:rsidR="0011011D" w:rsidP="0011011D" w:rsidRDefault="0011011D" w14:paraId="6E91E348" w14:textId="7E6912C3">
      <w:bookmarkStart w:name="_Toc228261674" w:id="48"/>
      <w:bookmarkStart w:name="_Toc8123721" w:id="49"/>
      <w:r w:rsidRPr="001415C7">
        <w:t>Elk Grove recommends that participants not be required to pay the upfront cost for any of the capital investments (e.g., appliances, home remediation costs, etc</w:t>
      </w:r>
      <w:r w:rsidRPr="001415C7" w:rsidR="00920DAE">
        <w:t>.</w:t>
      </w:r>
      <w:r w:rsidRPr="001415C7">
        <w:t>).</w:t>
      </w:r>
      <w:r w:rsidRPr="001415C7">
        <w:rPr>
          <w:rStyle w:val="FootnoteReference"/>
        </w:rPr>
        <w:footnoteReference w:id="44"/>
      </w:r>
      <w:r w:rsidRPr="001415C7">
        <w:t xml:space="preserve"> Indicated Shippers disagree, arguing that behind-the-meter (BTM) costs should be paid for by the customers who benefit from them.</w:t>
      </w:r>
      <w:r w:rsidRPr="001415C7">
        <w:rPr>
          <w:rStyle w:val="FootnoteReference"/>
        </w:rPr>
        <w:footnoteReference w:id="45"/>
      </w:r>
    </w:p>
    <w:p w:rsidRPr="00203ABF" w:rsidR="0011011D" w:rsidP="004C78E9" w:rsidRDefault="0011011D" w14:paraId="58EF256E" w14:textId="584091DA">
      <w:r w:rsidRPr="001415C7">
        <w:t xml:space="preserve">This decision requires applicants to replace </w:t>
      </w:r>
      <w:r w:rsidRPr="001415C7" w:rsidR="00594111">
        <w:t>customers’</w:t>
      </w:r>
      <w:r w:rsidRPr="001415C7">
        <w:t xml:space="preserve"> </w:t>
      </w:r>
      <w:r w:rsidRPr="001415C7" w:rsidR="0066629B">
        <w:t>existing</w:t>
      </w:r>
      <w:r w:rsidRPr="001415C7">
        <w:t xml:space="preserve"> natural gas-fueled appliances with new </w:t>
      </w:r>
      <w:r w:rsidRPr="001415C7" w:rsidDel="00C63A61">
        <w:t xml:space="preserve">appliances </w:t>
      </w:r>
      <w:r w:rsidRPr="001415C7" w:rsidR="00B90B5F">
        <w:t xml:space="preserve">to </w:t>
      </w:r>
      <w:r w:rsidRPr="001415C7" w:rsidR="00DB7112">
        <w:t>effectuate</w:t>
      </w:r>
      <w:r w:rsidRPr="001415C7" w:rsidR="005C7856">
        <w:t xml:space="preserve"> </w:t>
      </w:r>
      <w:r w:rsidRPr="001415C7" w:rsidDel="00C63A61">
        <w:t>the ZEA</w:t>
      </w:r>
      <w:r w:rsidRPr="001415C7">
        <w:t xml:space="preserve">. </w:t>
      </w:r>
      <w:r w:rsidRPr="001415C7" w:rsidR="004C78E9">
        <w:t xml:space="preserve"> </w:t>
      </w:r>
      <w:r w:rsidRPr="001415C7">
        <w:t xml:space="preserve">Applicants </w:t>
      </w:r>
      <w:r w:rsidRPr="001415C7" w:rsidR="42EC1D16">
        <w:t xml:space="preserve">must describe </w:t>
      </w:r>
      <w:r w:rsidRPr="001415C7">
        <w:t>the appliances they propose to offer</w:t>
      </w:r>
      <w:r w:rsidRPr="001415C7" w:rsidR="00773A63">
        <w:t xml:space="preserve">, </w:t>
      </w:r>
      <w:r w:rsidRPr="001415C7" w:rsidR="759E7DCB">
        <w:t xml:space="preserve">make a demonstration that </w:t>
      </w:r>
      <w:r w:rsidRPr="001415C7" w:rsidR="00947274">
        <w:t xml:space="preserve">all </w:t>
      </w:r>
      <w:r w:rsidRPr="001415C7">
        <w:t xml:space="preserve">customers </w:t>
      </w:r>
      <w:r w:rsidRPr="001415C7" w:rsidR="00B248B4">
        <w:t xml:space="preserve">will </w:t>
      </w:r>
      <w:r w:rsidRPr="001415C7">
        <w:t>receive suitable substitute energy service</w:t>
      </w:r>
      <w:r w:rsidRPr="001415C7" w:rsidR="00773A63">
        <w:t>,</w:t>
      </w:r>
      <w:r w:rsidRPr="001415C7">
        <w:rPr>
          <w:rStyle w:val="FootnoteReference"/>
        </w:rPr>
        <w:footnoteReference w:id="46"/>
      </w:r>
      <w:r w:rsidRPr="001415C7">
        <w:t xml:space="preserve"> and </w:t>
      </w:r>
      <w:r w:rsidRPr="001415C7" w:rsidR="00D46073">
        <w:t xml:space="preserve">show </w:t>
      </w:r>
      <w:r w:rsidRPr="001415C7" w:rsidR="005D700F">
        <w:t xml:space="preserve">that </w:t>
      </w:r>
      <w:r w:rsidRPr="001415C7">
        <w:t>low-income</w:t>
      </w:r>
      <w:r w:rsidRPr="001415C7" w:rsidR="00434B11">
        <w:rPr>
          <w:rStyle w:val="FootnoteReference"/>
        </w:rPr>
        <w:footnoteReference w:id="47"/>
      </w:r>
      <w:r w:rsidRPr="001415C7">
        <w:t xml:space="preserve"> customers</w:t>
      </w:r>
      <w:r w:rsidRPr="001415C7" w:rsidR="005D700F">
        <w:t xml:space="preserve"> in particular</w:t>
      </w:r>
      <w:r w:rsidRPr="001415C7">
        <w:t xml:space="preserve"> receive affordable, adequate, and efficient service.</w:t>
      </w:r>
      <w:r w:rsidRPr="001415C7">
        <w:rPr>
          <w:rStyle w:val="FootnoteReference"/>
        </w:rPr>
        <w:footnoteReference w:id="48"/>
      </w:r>
      <w:r w:rsidRPr="001415C7">
        <w:t xml:space="preserve"> </w:t>
      </w:r>
      <w:r w:rsidRPr="001415C7" w:rsidR="00D64DF0">
        <w:t>In explain</w:t>
      </w:r>
      <w:r w:rsidRPr="001415C7" w:rsidR="6C0E1F4A">
        <w:t>ing</w:t>
      </w:r>
      <w:r w:rsidRPr="001415C7" w:rsidR="00D64DF0">
        <w:t xml:space="preserve"> their </w:t>
      </w:r>
      <w:r w:rsidRPr="001415C7" w:rsidR="0B19BA8A">
        <w:t>application</w:t>
      </w:r>
      <w:r w:rsidRPr="001415C7" w:rsidR="00D64DF0">
        <w:t>,</w:t>
      </w:r>
      <w:r w:rsidRPr="001415C7" w:rsidR="00311C8D">
        <w:t xml:space="preserve"> applicant</w:t>
      </w:r>
      <w:r w:rsidRPr="001415C7" w:rsidR="006D5ED9">
        <w:t xml:space="preserve">s </w:t>
      </w:r>
      <w:r w:rsidRPr="001415C7" w:rsidR="003179CE">
        <w:t xml:space="preserve">are encouraged to </w:t>
      </w:r>
      <w:r w:rsidRPr="001415C7" w:rsidR="58BFCB06">
        <w:t>reference</w:t>
      </w:r>
      <w:r w:rsidRPr="001415C7" w:rsidR="00E85902">
        <w:t xml:space="preserve"> lessons learned </w:t>
      </w:r>
      <w:r w:rsidRPr="001415C7" w:rsidR="004C1BE5">
        <w:t xml:space="preserve">and best </w:t>
      </w:r>
      <w:r w:rsidRPr="001415C7" w:rsidR="56F76144">
        <w:t xml:space="preserve">practices from experiences with </w:t>
      </w:r>
      <w:r w:rsidRPr="001415C7" w:rsidR="00E85902">
        <w:t xml:space="preserve">similar programs. </w:t>
      </w:r>
      <w:r w:rsidRPr="001415C7">
        <w:t xml:space="preserve">Applicants may choose to offer participants a menu of options for each appliance or choose to provide a single </w:t>
      </w:r>
      <w:r w:rsidRPr="001415C7" w:rsidR="00C02502">
        <w:t xml:space="preserve">no-cost </w:t>
      </w:r>
      <w:r w:rsidRPr="001415C7" w:rsidR="00133E44">
        <w:t>offerin</w:t>
      </w:r>
      <w:r w:rsidRPr="001415C7" w:rsidR="00535A8D">
        <w:t>g</w:t>
      </w:r>
      <w:r w:rsidRPr="001415C7">
        <w:t xml:space="preserve">; either way, </w:t>
      </w:r>
      <w:r w:rsidRPr="001415C7" w:rsidR="00B0472F">
        <w:t>t</w:t>
      </w:r>
      <w:r w:rsidRPr="001415C7">
        <w:t xml:space="preserve">he applicant must provide appliances that carry at least an industry-standard new appliance </w:t>
      </w:r>
      <w:r w:rsidRPr="001415C7">
        <w:lastRenderedPageBreak/>
        <w:t>warranty</w:t>
      </w:r>
      <w:r w:rsidRPr="001415C7" w:rsidR="007A637A">
        <w:t xml:space="preserve"> and </w:t>
      </w:r>
      <w:r w:rsidRPr="001415C7" w:rsidR="00725C4F">
        <w:t xml:space="preserve">comply with </w:t>
      </w:r>
      <w:r w:rsidRPr="001415C7" w:rsidR="00221CFC">
        <w:t xml:space="preserve">California’s </w:t>
      </w:r>
      <w:r w:rsidRPr="001415C7" w:rsidR="005C323C">
        <w:t>appliance efficiency standards</w:t>
      </w:r>
      <w:r w:rsidRPr="001415C7" w:rsidR="00216F7F">
        <w:t>,</w:t>
      </w:r>
      <w:r w:rsidRPr="001415C7" w:rsidR="005C323C">
        <w:t xml:space="preserve"> as </w:t>
      </w:r>
      <w:r w:rsidRPr="001415C7" w:rsidR="00C379E4">
        <w:t xml:space="preserve">adopted in Title 20 of </w:t>
      </w:r>
      <w:r w:rsidRPr="001415C7" w:rsidR="00D35D4E">
        <w:t>the California Code of Regulations</w:t>
      </w:r>
      <w:r w:rsidRPr="001415C7">
        <w:t>.</w:t>
      </w:r>
      <w:r w:rsidRPr="001415C7" w:rsidR="006A41F5">
        <w:t xml:space="preserve"> </w:t>
      </w:r>
      <w:r w:rsidRPr="001415C7" w:rsidR="6DFFF5DC">
        <w:t>T</w:t>
      </w:r>
      <w:r w:rsidRPr="001415C7" w:rsidR="00ED2246">
        <w:t xml:space="preserve">he applicant </w:t>
      </w:r>
      <w:r w:rsidRPr="001415C7" w:rsidR="0013146B">
        <w:t xml:space="preserve">must at minimum </w:t>
      </w:r>
      <w:r w:rsidRPr="001415C7" w:rsidR="0064723E">
        <w:t xml:space="preserve">offer </w:t>
      </w:r>
      <w:r w:rsidRPr="001415C7" w:rsidR="0013146B">
        <w:t xml:space="preserve">recipients </w:t>
      </w:r>
      <w:r w:rsidRPr="001415C7" w:rsidR="00DA577C">
        <w:t>a</w:t>
      </w:r>
      <w:r w:rsidRPr="001415C7" w:rsidR="0013146B">
        <w:t xml:space="preserve"> no</w:t>
      </w:r>
      <w:r w:rsidRPr="001415C7" w:rsidR="002E6B0E">
        <w:t>-</w:t>
      </w:r>
      <w:r w:rsidRPr="001415C7" w:rsidR="0013146B">
        <w:t xml:space="preserve">cost option </w:t>
      </w:r>
      <w:r w:rsidRPr="001415C7" w:rsidR="00CE2FAD">
        <w:t xml:space="preserve">for all </w:t>
      </w:r>
      <w:r w:rsidRPr="001415C7" w:rsidR="00C751C7">
        <w:t>necessary</w:t>
      </w:r>
      <w:r w:rsidRPr="001415C7" w:rsidR="00B426E7">
        <w:t xml:space="preserve"> appliances, upgrades, and remediation </w:t>
      </w:r>
      <w:r w:rsidRPr="001415C7" w:rsidR="00D86264">
        <w:t xml:space="preserve">to </w:t>
      </w:r>
      <w:r w:rsidRPr="001415C7" w:rsidR="006407AC">
        <w:t>implement the</w:t>
      </w:r>
      <w:r w:rsidRPr="001415C7" w:rsidR="00E27E74">
        <w:t xml:space="preserve"> zero-emission alternative</w:t>
      </w:r>
      <w:r w:rsidRPr="001415C7" w:rsidR="00A53451">
        <w:t>. T</w:t>
      </w:r>
      <w:r w:rsidRPr="001415C7" w:rsidR="00F61110">
        <w:t>he applicant</w:t>
      </w:r>
      <w:r w:rsidRPr="001415C7" w:rsidR="7EA17DCF">
        <w:t xml:space="preserve"> may provide additional or more premium options </w:t>
      </w:r>
      <w:r w:rsidRPr="001415C7" w:rsidR="788ECBB3">
        <w:t>that would require the recipient to contribute additional funds</w:t>
      </w:r>
      <w:r w:rsidRPr="001415C7" w:rsidR="003A30D3">
        <w:t>.</w:t>
      </w:r>
      <w:r w:rsidRPr="001415C7" w:rsidR="0088094E">
        <w:t xml:space="preserve"> </w:t>
      </w:r>
    </w:p>
    <w:p w:rsidRPr="001415C7" w:rsidR="0011011D" w:rsidP="0011011D" w:rsidRDefault="0011011D" w14:paraId="697BE452" w14:textId="37263B30">
      <w:r w:rsidRPr="001415C7">
        <w:t>Applica</w:t>
      </w:r>
      <w:r w:rsidRPr="001415C7" w:rsidR="00BC18E5">
        <w:t xml:space="preserve">tions shall </w:t>
      </w:r>
      <w:r w:rsidRPr="001415C7" w:rsidR="00E00714">
        <w:t>propos</w:t>
      </w:r>
      <w:r w:rsidRPr="001415C7" w:rsidR="009F0752">
        <w:t xml:space="preserve">e </w:t>
      </w:r>
      <w:r w:rsidRPr="001415C7" w:rsidR="0096038C">
        <w:t xml:space="preserve">ways to provide pilot participants with the </w:t>
      </w:r>
      <w:r w:rsidRPr="001415C7">
        <w:t xml:space="preserve">remediation services necessary to </w:t>
      </w:r>
      <w:r w:rsidRPr="001415C7" w:rsidR="00735186">
        <w:t xml:space="preserve">safely </w:t>
      </w:r>
      <w:r w:rsidRPr="001415C7">
        <w:t>install</w:t>
      </w:r>
      <w:r w:rsidRPr="001415C7" w:rsidR="00FB6EC5">
        <w:t xml:space="preserve"> </w:t>
      </w:r>
      <w:r w:rsidRPr="001415C7" w:rsidR="004E6FA0">
        <w:t>the new</w:t>
      </w:r>
      <w:r w:rsidRPr="001415C7" w:rsidR="006741D3">
        <w:t xml:space="preserve"> </w:t>
      </w:r>
      <w:r w:rsidRPr="001415C7">
        <w:t xml:space="preserve">appliances. </w:t>
      </w:r>
      <w:r w:rsidRPr="001415C7" w:rsidR="58ECBC3D">
        <w:t>These</w:t>
      </w:r>
      <w:r w:rsidRPr="001415C7" w:rsidR="00870E36">
        <w:t xml:space="preserve"> upgrades are required because they are prerequisites for the </w:t>
      </w:r>
      <w:r w:rsidRPr="001415C7" w:rsidR="006741D3">
        <w:t>installation and safe operation of the replacement appliances</w:t>
      </w:r>
      <w:r w:rsidRPr="001415C7" w:rsidR="000A6C50">
        <w:t>.</w:t>
      </w:r>
      <w:r w:rsidRPr="001415C7">
        <w:t xml:space="preserve"> These </w:t>
      </w:r>
      <w:r w:rsidRPr="001415C7" w:rsidR="008A5CF0">
        <w:t>upgrades</w:t>
      </w:r>
      <w:r w:rsidRPr="001415C7">
        <w:t xml:space="preserve"> could include</w:t>
      </w:r>
      <w:r w:rsidRPr="001415C7" w:rsidR="00544654">
        <w:t>,</w:t>
      </w:r>
      <w:r w:rsidRPr="001415C7">
        <w:t xml:space="preserve"> but are not limited to</w:t>
      </w:r>
      <w:r w:rsidRPr="001415C7" w:rsidR="00544654">
        <w:t>,</w:t>
      </w:r>
      <w:r w:rsidRPr="001415C7">
        <w:t xml:space="preserve"> service panel upgrades</w:t>
      </w:r>
      <w:r w:rsidRPr="001415C7" w:rsidR="254E115B">
        <w:t xml:space="preserve"> and</w:t>
      </w:r>
      <w:r w:rsidRPr="001415C7">
        <w:t xml:space="preserve"> </w:t>
      </w:r>
      <w:r w:rsidRPr="001415C7" w:rsidR="00D93F42">
        <w:t>load management devices</w:t>
      </w:r>
      <w:r w:rsidRPr="001415C7" w:rsidR="565AF347">
        <w:t>.</w:t>
      </w:r>
      <w:r w:rsidRPr="001415C7">
        <w:t xml:space="preserve"> Services to increase </w:t>
      </w:r>
      <w:r w:rsidRPr="001415C7" w:rsidR="00007A79">
        <w:t>cost effective</w:t>
      </w:r>
      <w:r w:rsidRPr="001415C7">
        <w:t>ness, such as energy-efficient insulation, may be included; the Commission encourages applicants to make use of existing programs (e.g., the Energy Savings Assistance Program) and non-ratepayer sources of funds when available.</w:t>
      </w:r>
    </w:p>
    <w:p w:rsidRPr="001415C7" w:rsidR="0011011D" w:rsidP="0011011D" w:rsidRDefault="0011011D" w14:paraId="50F30530" w14:textId="6311F8A0">
      <w:pPr>
        <w:pStyle w:val="Standard"/>
      </w:pPr>
      <w:r w:rsidRPr="001415C7">
        <w:t xml:space="preserve">Furthermore, applicants may provide additional ZEA options (e.g., energy efficiency, demand response devices, adding heating and/or cooling capabilities not previously on site, etc.) provided the </w:t>
      </w:r>
      <w:r w:rsidRPr="001415C7" w:rsidR="664CE2ED">
        <w:t>cost of the additional ZEA options is relatively marginal in relation to t</w:t>
      </w:r>
      <w:r w:rsidRPr="001415C7" w:rsidR="60E8DD56">
        <w:t xml:space="preserve">he overall ZEA budget and </w:t>
      </w:r>
      <w:r w:rsidRPr="001415C7" w:rsidR="00ED0939">
        <w:t xml:space="preserve">applications show the project </w:t>
      </w:r>
      <w:r w:rsidRPr="001415C7">
        <w:t xml:space="preserve">is </w:t>
      </w:r>
      <w:r w:rsidRPr="001415C7" w:rsidR="00007A79">
        <w:t>cost effective</w:t>
      </w:r>
      <w:r w:rsidRPr="001415C7">
        <w:t>.</w:t>
      </w:r>
    </w:p>
    <w:p w:rsidRPr="001415C7" w:rsidR="0011011D" w:rsidP="0011011D" w:rsidRDefault="00B0472F" w14:paraId="161AF5C1" w14:textId="584C6ACD">
      <w:r w:rsidRPr="001415C7">
        <w:t>This decision does not require a</w:t>
      </w:r>
      <w:r w:rsidRPr="001415C7" w:rsidR="0011011D">
        <w:t xml:space="preserve">pplicants to provide the affected customers/property owners with all replacement appliances or the home-remediation measures at zero upfront cost, but the applicant must provide an explanation if it chooses not to do so. This explanation must describe how, despite requiring up-front contributions, the pilot will ensure all customers </w:t>
      </w:r>
      <w:r w:rsidRPr="001415C7" w:rsidR="0011011D">
        <w:lastRenderedPageBreak/>
        <w:t xml:space="preserve">receive suitable substitute energy service and low-income customers receive affordable, adequate, and efficient service.  </w:t>
      </w:r>
    </w:p>
    <w:p w:rsidRPr="001415C7" w:rsidR="0011011D" w:rsidP="0011011D" w:rsidRDefault="0011011D" w14:paraId="2352B57F" w14:textId="32908D20">
      <w:r w:rsidRPr="001415C7">
        <w:t xml:space="preserve">Applications must include a description of the appliances and </w:t>
      </w:r>
      <w:r w:rsidRPr="001415C7" w:rsidR="00C218FA">
        <w:t xml:space="preserve">building </w:t>
      </w:r>
      <w:r w:rsidRPr="001415C7">
        <w:t xml:space="preserve">remediation services the applicant plans to offer customers and cost estimates for </w:t>
      </w:r>
      <w:r w:rsidRPr="001415C7" w:rsidR="007A7317">
        <w:t>materials</w:t>
      </w:r>
      <w:r w:rsidRPr="001415C7">
        <w:t xml:space="preserve"> and services.</w:t>
      </w:r>
    </w:p>
    <w:p w:rsidRPr="001415C7" w:rsidR="006218F0" w:rsidP="00E34286" w:rsidRDefault="006218F0" w14:paraId="2E23DA42" w14:textId="16FB8537">
      <w:pPr>
        <w:pStyle w:val="Heading3"/>
        <w:numPr>
          <w:ilvl w:val="2"/>
          <w:numId w:val="1"/>
        </w:numPr>
      </w:pPr>
      <w:bookmarkStart w:name="_Toc233633609" w:id="50"/>
      <w:r w:rsidRPr="001415C7">
        <w:t>Enrollment in Complementary Programs</w:t>
      </w:r>
      <w:bookmarkEnd w:id="48"/>
      <w:bookmarkEnd w:id="50"/>
    </w:p>
    <w:p w:rsidRPr="001415C7" w:rsidR="00A402DC" w:rsidP="00107601" w:rsidRDefault="00A402DC" w14:paraId="75124CE1" w14:textId="07E3C8B2">
      <w:r w:rsidRPr="001415C7">
        <w:t xml:space="preserve">Parties recommend a variety of </w:t>
      </w:r>
      <w:r w:rsidRPr="001415C7" w:rsidR="00756152">
        <w:t xml:space="preserve">complementary rates and services that </w:t>
      </w:r>
      <w:r w:rsidRPr="001415C7" w:rsidR="0070191B">
        <w:t xml:space="preserve">gas corporations </w:t>
      </w:r>
      <w:r w:rsidRPr="001415C7" w:rsidR="00756152">
        <w:t xml:space="preserve">could offer to improve </w:t>
      </w:r>
      <w:r w:rsidRPr="001415C7" w:rsidR="00352742">
        <w:t>the participants’ electr</w:t>
      </w:r>
      <w:r w:rsidRPr="001415C7" w:rsidR="00107601">
        <w:t xml:space="preserve">ic conversion experience. </w:t>
      </w:r>
      <w:r w:rsidRPr="001415C7">
        <w:t>Elk Grove suggests that utilities should offer on-bill financing to reduce or eliminate the participants’ financial risk.</w:t>
      </w:r>
      <w:r w:rsidRPr="001415C7">
        <w:rPr>
          <w:rStyle w:val="FootnoteReference"/>
        </w:rPr>
        <w:t xml:space="preserve"> </w:t>
      </w:r>
      <w:r w:rsidRPr="001415C7">
        <w:rPr>
          <w:rStyle w:val="FootnoteReference"/>
        </w:rPr>
        <w:footnoteReference w:id="49"/>
      </w:r>
      <w:r w:rsidRPr="001415C7">
        <w:t xml:space="preserve"> SBUA recommends that gas </w:t>
      </w:r>
      <w:r w:rsidRPr="001415C7" w:rsidR="0070191B">
        <w:t xml:space="preserve">corporations </w:t>
      </w:r>
      <w:r w:rsidRPr="001415C7">
        <w:t>provide offerings tailored to small business customers such as increased incentives, financing options, technical assistance, and direct outreach to small business areas such as restaurants.</w:t>
      </w:r>
      <w:r w:rsidRPr="001415C7">
        <w:rPr>
          <w:rStyle w:val="FootnoteReference"/>
        </w:rPr>
        <w:t xml:space="preserve"> </w:t>
      </w:r>
      <w:r w:rsidRPr="001415C7">
        <w:rPr>
          <w:rStyle w:val="FootnoteReference"/>
        </w:rPr>
        <w:footnoteReference w:id="50"/>
      </w:r>
      <w:r w:rsidRPr="001415C7" w:rsidR="00107601">
        <w:t xml:space="preserve"> </w:t>
      </w:r>
      <w:r w:rsidRPr="001415C7">
        <w:t>San Francisco recommends that the electric utilities should offer customers enrollment in the most beneficial rate schedule as well as any available energy efficiency, demand response, and weatherization programs.</w:t>
      </w:r>
      <w:r w:rsidRPr="001415C7">
        <w:rPr>
          <w:rStyle w:val="FootnoteReference"/>
        </w:rPr>
        <w:footnoteReference w:id="51"/>
      </w:r>
    </w:p>
    <w:p w:rsidRPr="001415C7" w:rsidR="00641EF4" w:rsidP="00107601" w:rsidRDefault="00641EF4" w14:paraId="4BB8D291" w14:textId="5F5E7792">
      <w:r w:rsidRPr="001415C7">
        <w:t xml:space="preserve">This decision requires the </w:t>
      </w:r>
      <w:r w:rsidRPr="001415C7" w:rsidR="007A7317">
        <w:t xml:space="preserve">participating </w:t>
      </w:r>
      <w:r w:rsidRPr="001415C7" w:rsidR="00257C94">
        <w:t xml:space="preserve">gas corporations </w:t>
      </w:r>
      <w:r w:rsidRPr="001415C7">
        <w:t>to identify the existing</w:t>
      </w:r>
      <w:r w:rsidRPr="001415C7" w:rsidR="005521C8">
        <w:t>, relevant</w:t>
      </w:r>
      <w:r w:rsidRPr="001415C7">
        <w:t xml:space="preserve"> programs </w:t>
      </w:r>
      <w:r w:rsidRPr="001415C7" w:rsidR="00B16594">
        <w:t xml:space="preserve">available in their service </w:t>
      </w:r>
      <w:r w:rsidRPr="001415C7" w:rsidR="00ED3F19">
        <w:t xml:space="preserve">territories </w:t>
      </w:r>
      <w:r w:rsidRPr="001415C7" w:rsidR="00E90EC9">
        <w:t xml:space="preserve">that could reduce </w:t>
      </w:r>
      <w:r w:rsidRPr="001415C7" w:rsidR="00CA1219">
        <w:t xml:space="preserve">costs </w:t>
      </w:r>
      <w:r w:rsidRPr="001415C7" w:rsidR="001F586D">
        <w:t>or improve outcomes</w:t>
      </w:r>
      <w:r w:rsidRPr="001415C7" w:rsidR="00191DD7">
        <w:t xml:space="preserve"> </w:t>
      </w:r>
      <w:r w:rsidRPr="001415C7" w:rsidR="001F586D">
        <w:t xml:space="preserve">for the affected customers </w:t>
      </w:r>
      <w:r w:rsidRPr="001415C7">
        <w:t xml:space="preserve">(e.g., CARE, FERA, Medical Baseline, ESA), </w:t>
      </w:r>
      <w:r w:rsidRPr="001415C7" w:rsidR="000C3999">
        <w:t xml:space="preserve">and make that information available to all property owners and customers in a pilot project area and, as appropriate, provide </w:t>
      </w:r>
      <w:r w:rsidRPr="001415C7" w:rsidR="000C3999">
        <w:lastRenderedPageBreak/>
        <w:t>enrollment assistance.</w:t>
      </w:r>
      <w:r w:rsidRPr="001415C7" w:rsidR="00993611">
        <w:rPr>
          <w:rStyle w:val="FootnoteReference"/>
        </w:rPr>
        <w:footnoteReference w:id="52"/>
      </w:r>
      <w:r w:rsidRPr="001415C7">
        <w:t xml:space="preserve"> This includes assisting </w:t>
      </w:r>
      <w:r w:rsidRPr="001415C7" w:rsidR="00DB0242">
        <w:t xml:space="preserve">customers </w:t>
      </w:r>
      <w:r w:rsidRPr="001415C7">
        <w:t xml:space="preserve">in choosing the best rate schedule to adopt. If </w:t>
      </w:r>
      <w:r w:rsidRPr="001415C7" w:rsidR="0070191B">
        <w:t xml:space="preserve">applicants </w:t>
      </w:r>
      <w:r w:rsidRPr="001415C7">
        <w:t xml:space="preserve">wish to offer </w:t>
      </w:r>
      <w:r w:rsidRPr="001415C7" w:rsidR="00E855BD">
        <w:t xml:space="preserve">additional </w:t>
      </w:r>
      <w:r w:rsidRPr="001415C7">
        <w:t>technical assistance or similar services, they may include the proposal in their applications</w:t>
      </w:r>
      <w:r w:rsidRPr="001415C7" w:rsidR="00E855BD">
        <w:t xml:space="preserve"> with justification</w:t>
      </w:r>
      <w:r w:rsidRPr="001415C7" w:rsidR="00055BFE">
        <w:t>. However,</w:t>
      </w:r>
      <w:r w:rsidRPr="001415C7">
        <w:t xml:space="preserve"> this decision does not require them to do so.</w:t>
      </w:r>
      <w:r w:rsidRPr="001415C7" w:rsidR="008D0A15">
        <w:t xml:space="preserve"> </w:t>
      </w:r>
    </w:p>
    <w:p w:rsidRPr="001415C7" w:rsidR="00B87F25" w:rsidP="00B87F25" w:rsidRDefault="00B87F25" w14:paraId="6781C997" w14:textId="77777777">
      <w:pPr>
        <w:pStyle w:val="Heading3"/>
        <w:numPr>
          <w:ilvl w:val="2"/>
          <w:numId w:val="1"/>
        </w:numPr>
      </w:pPr>
      <w:bookmarkStart w:name="_Toc228261675" w:id="51"/>
      <w:bookmarkStart w:name="_Toc233633610" w:id="52"/>
      <w:r w:rsidRPr="001415C7">
        <w:t>Further Considerations</w:t>
      </w:r>
      <w:bookmarkEnd w:id="51"/>
      <w:bookmarkEnd w:id="52"/>
    </w:p>
    <w:p w:rsidRPr="001415C7" w:rsidR="00B87F25" w:rsidP="00B87F25" w:rsidRDefault="00B87F25" w14:paraId="791FA442" w14:textId="4DD3FD8D">
      <w:r w:rsidRPr="001415C7">
        <w:t>San Francisco recommends that customers who reside in communities where the 67</w:t>
      </w:r>
      <w:r w:rsidRPr="001415C7" w:rsidR="00954F27">
        <w:t xml:space="preserve"> percent</w:t>
      </w:r>
      <w:r w:rsidRPr="001415C7">
        <w:t xml:space="preserve"> </w:t>
      </w:r>
      <w:r w:rsidRPr="001415C7" w:rsidR="00055BFE">
        <w:t xml:space="preserve">property owner </w:t>
      </w:r>
      <w:r w:rsidRPr="001415C7">
        <w:t>consent threshold was not met still be given an incentive to decommission their gas service line and obtain replacement appliances at no or reduced cost.</w:t>
      </w:r>
      <w:r w:rsidRPr="001415C7">
        <w:rPr>
          <w:rStyle w:val="FootnoteReference"/>
        </w:rPr>
        <w:t xml:space="preserve"> </w:t>
      </w:r>
      <w:r w:rsidRPr="001415C7">
        <w:rPr>
          <w:rStyle w:val="FootnoteReference"/>
        </w:rPr>
        <w:footnoteReference w:id="53"/>
      </w:r>
    </w:p>
    <w:p w:rsidRPr="001415C7" w:rsidR="00B87F25" w:rsidP="00B87F25" w:rsidRDefault="00B87F25" w14:paraId="74471F1E" w14:textId="48FF362D">
      <w:pPr>
        <w:pStyle w:val="Standard"/>
      </w:pPr>
      <w:r w:rsidRPr="001415C7">
        <w:t xml:space="preserve">The Commission does not adopt San Francisco’s recommendation </w:t>
      </w:r>
      <w:r w:rsidRPr="001415C7" w:rsidR="00404F16">
        <w:t>to require</w:t>
      </w:r>
      <w:r w:rsidRPr="001415C7">
        <w:t xml:space="preserve"> utilities to offer subsidized electric conversion to interested </w:t>
      </w:r>
      <w:r w:rsidRPr="001415C7" w:rsidR="00F80EFD">
        <w:t xml:space="preserve">customers </w:t>
      </w:r>
      <w:r w:rsidRPr="001415C7">
        <w:t>in communities that did not meet the 67</w:t>
      </w:r>
      <w:r w:rsidRPr="001415C7" w:rsidR="00954F27">
        <w:t xml:space="preserve"> percent</w:t>
      </w:r>
      <w:r w:rsidRPr="001415C7">
        <w:t xml:space="preserve"> consent threshold</w:t>
      </w:r>
      <w:r w:rsidRPr="001415C7" w:rsidR="005C033C">
        <w:t xml:space="preserve"> as part of this program</w:t>
      </w:r>
      <w:r w:rsidRPr="001415C7">
        <w:t xml:space="preserve">. </w:t>
      </w:r>
      <w:r w:rsidRPr="001415C7" w:rsidR="00B83A03">
        <w:t xml:space="preserve">A primary </w:t>
      </w:r>
      <w:r w:rsidRPr="001415C7">
        <w:t xml:space="preserve">purpose of </w:t>
      </w:r>
      <w:r w:rsidRPr="001415C7" w:rsidR="00F80EFD">
        <w:t xml:space="preserve">SB </w:t>
      </w:r>
      <w:r w:rsidRPr="001415C7" w:rsidDel="00CD0AC7" w:rsidR="00F80EFD">
        <w:t xml:space="preserve">1221 </w:t>
      </w:r>
      <w:r w:rsidRPr="001415C7">
        <w:t xml:space="preserve">is to identify </w:t>
      </w:r>
      <w:r w:rsidRPr="001415C7" w:rsidR="00007A79">
        <w:t>cost effective</w:t>
      </w:r>
      <w:r w:rsidRPr="001415C7">
        <w:t>, scalable decarbonization strategies</w:t>
      </w:r>
      <w:r w:rsidRPr="001415C7" w:rsidR="00F2180B">
        <w:t xml:space="preserve"> through </w:t>
      </w:r>
      <w:r w:rsidRPr="001415C7" w:rsidR="00103C6A">
        <w:t>targeted</w:t>
      </w:r>
      <w:r w:rsidRPr="001415C7" w:rsidR="00A223E4">
        <w:t xml:space="preserve"> decommissioning of the gas distribution system</w:t>
      </w:r>
      <w:r w:rsidRPr="001415C7">
        <w:t xml:space="preserve">, and </w:t>
      </w:r>
      <w:r w:rsidRPr="001415C7" w:rsidR="0014264F">
        <w:t>without savings from avoided pipeline repair or replacement</w:t>
      </w:r>
      <w:r w:rsidRPr="001415C7" w:rsidR="00404F16">
        <w:t xml:space="preserve"> or sources not funded by ratepayers</w:t>
      </w:r>
      <w:r w:rsidRPr="001415C7" w:rsidR="0014264F">
        <w:t>, there is no funding to provide incentives</w:t>
      </w:r>
      <w:r w:rsidRPr="001415C7">
        <w:t>.</w:t>
      </w:r>
    </w:p>
    <w:p w:rsidRPr="001415C7" w:rsidR="002D11F7" w:rsidP="002D11F7" w:rsidRDefault="00A86F3C" w14:paraId="1E414EF3" w14:textId="5784AFCA">
      <w:pPr>
        <w:pStyle w:val="Heading2"/>
        <w:numPr>
          <w:ilvl w:val="1"/>
          <w:numId w:val="1"/>
        </w:numPr>
      </w:pPr>
      <w:bookmarkStart w:name="_Toc228261676" w:id="53"/>
      <w:bookmarkStart w:name="_Toc233633611" w:id="54"/>
      <w:r w:rsidRPr="001415C7">
        <w:t xml:space="preserve">Customer </w:t>
      </w:r>
      <w:r w:rsidRPr="001415C7" w:rsidR="00E34286">
        <w:t>Impacts</w:t>
      </w:r>
      <w:bookmarkEnd w:id="53"/>
      <w:bookmarkEnd w:id="54"/>
    </w:p>
    <w:p w:rsidRPr="001415C7" w:rsidR="002D11F7" w:rsidP="00932E66" w:rsidRDefault="00932E66" w14:paraId="28AB2905" w14:textId="5F8F9EDC">
      <w:pPr>
        <w:pStyle w:val="Heading3"/>
        <w:numPr>
          <w:ilvl w:val="2"/>
          <w:numId w:val="1"/>
        </w:numPr>
      </w:pPr>
      <w:bookmarkStart w:name="_Toc228261677" w:id="55"/>
      <w:bookmarkStart w:name="_Toc233633612" w:id="56"/>
      <w:r w:rsidRPr="001415C7">
        <w:t>Affordability and Consumer Protections</w:t>
      </w:r>
      <w:bookmarkEnd w:id="55"/>
      <w:bookmarkEnd w:id="56"/>
    </w:p>
    <w:p w:rsidRPr="001415C7" w:rsidR="007E0A83" w:rsidP="007E0A83" w:rsidRDefault="007C312B" w14:paraId="6E27EE69" w14:textId="3F96F3B4">
      <w:r w:rsidRPr="001415C7">
        <w:t>Code</w:t>
      </w:r>
      <w:r w:rsidRPr="001415C7" w:rsidR="007E0A83">
        <w:t xml:space="preserve"> Section 663(b)(3) requires the Commission to establish “[requirements] and programs to ensure that a substitute for gas service for low-income customers is affordable, adequate, efficient, and just and reasonable.”</w:t>
      </w:r>
    </w:p>
    <w:p w:rsidRPr="001415C7" w:rsidR="00D82FA9" w:rsidP="00D82FA9" w:rsidRDefault="00D82FA9" w14:paraId="52E28291" w14:textId="501CD378">
      <w:pPr>
        <w:pStyle w:val="Standard"/>
      </w:pPr>
      <w:bookmarkStart w:name="_Toc228261678" w:id="57"/>
      <w:r w:rsidRPr="001415C7">
        <w:lastRenderedPageBreak/>
        <w:t xml:space="preserve">This decision does not set global definitions or thresholds to determine whether the </w:t>
      </w:r>
      <w:r w:rsidRPr="001415C7" w:rsidR="00F80EFD">
        <w:t xml:space="preserve">substitute energy </w:t>
      </w:r>
      <w:r w:rsidRPr="001415C7">
        <w:t xml:space="preserve">service is affordable, adequate, or efficient. </w:t>
      </w:r>
      <w:r w:rsidRPr="001415C7" w:rsidR="003C5528">
        <w:t>Instead</w:t>
      </w:r>
      <w:r w:rsidRPr="001415C7">
        <w:t>, the</w:t>
      </w:r>
      <w:r w:rsidRPr="001415C7" w:rsidR="00E51CD4">
        <w:t xml:space="preserve"> </w:t>
      </w:r>
      <w:r w:rsidRPr="001415C7">
        <w:t xml:space="preserve">Commission </w:t>
      </w:r>
      <w:r w:rsidRPr="001415C7" w:rsidR="003C5528">
        <w:t>may</w:t>
      </w:r>
      <w:r w:rsidRPr="001415C7">
        <w:t xml:space="preserve"> </w:t>
      </w:r>
      <w:r w:rsidRPr="001415C7" w:rsidR="00456FD0">
        <w:t>evaluate in</w:t>
      </w:r>
      <w:r w:rsidRPr="001415C7" w:rsidR="006740CC">
        <w:t xml:space="preserve"> a </w:t>
      </w:r>
      <w:r w:rsidRPr="001415C7" w:rsidR="00704341">
        <w:t xml:space="preserve">subsequent </w:t>
      </w:r>
      <w:r w:rsidRPr="001415C7" w:rsidR="006740CC">
        <w:t xml:space="preserve">decision this year </w:t>
      </w:r>
      <w:r w:rsidRPr="001415C7" w:rsidR="004C5B33">
        <w:t xml:space="preserve">how to determine </w:t>
      </w:r>
      <w:r w:rsidRPr="001415C7" w:rsidR="00456FD0">
        <w:t xml:space="preserve">whether substitute energy service </w:t>
      </w:r>
      <w:r w:rsidRPr="001415C7">
        <w:t xml:space="preserve">is affordable, adequate, efficient and just and reasonable </w:t>
      </w:r>
      <w:r w:rsidRPr="001415C7" w:rsidR="007E6810">
        <w:t>after</w:t>
      </w:r>
      <w:r w:rsidRPr="001415C7">
        <w:t xml:space="preserve"> further record development. First-round applicants must include a discussion of how their project meets the requirement of Code Section 663(b)(3).</w:t>
      </w:r>
    </w:p>
    <w:p w:rsidRPr="001415C7" w:rsidR="007C312B" w:rsidP="007C312B" w:rsidRDefault="007C312B" w14:paraId="24E43FF6" w14:textId="56817DAA">
      <w:pPr>
        <w:pStyle w:val="Heading3"/>
        <w:numPr>
          <w:ilvl w:val="2"/>
          <w:numId w:val="1"/>
        </w:numPr>
      </w:pPr>
      <w:bookmarkStart w:name="_Toc233633613" w:id="58"/>
      <w:r w:rsidRPr="001415C7">
        <w:t>Bill Impacts</w:t>
      </w:r>
      <w:bookmarkEnd w:id="57"/>
      <w:bookmarkEnd w:id="58"/>
    </w:p>
    <w:p w:rsidRPr="001415C7" w:rsidR="008767D1" w:rsidP="008767D1" w:rsidRDefault="008767D1" w14:paraId="36B8CDE0" w14:textId="28E9EC76">
      <w:r w:rsidRPr="001415C7">
        <w:t xml:space="preserve">Parties recommend that each pilot application should include some or </w:t>
      </w:r>
      <w:r w:rsidRPr="001415C7" w:rsidR="00C1532F">
        <w:t>all</w:t>
      </w:r>
      <w:r w:rsidRPr="001415C7">
        <w:t xml:space="preserve"> the following information:</w:t>
      </w:r>
      <w:r w:rsidRPr="001415C7">
        <w:rPr>
          <w:rStyle w:val="FootnoteReference"/>
        </w:rPr>
        <w:footnoteReference w:id="54"/>
      </w:r>
    </w:p>
    <w:p w:rsidRPr="001415C7" w:rsidR="008767D1" w:rsidP="00A37687" w:rsidRDefault="008767D1" w14:paraId="6ABEC976" w14:textId="77777777">
      <w:pPr>
        <w:pStyle w:val="ListParagraph"/>
        <w:numPr>
          <w:ilvl w:val="0"/>
          <w:numId w:val="12"/>
        </w:numPr>
        <w:spacing w:line="278" w:lineRule="auto"/>
        <w:ind w:left="1080" w:right="1440"/>
      </w:pPr>
      <w:r w:rsidRPr="001415C7">
        <w:t>Impact on non-participating gas customers (Elk Grove)</w:t>
      </w:r>
    </w:p>
    <w:p w:rsidRPr="001415C7" w:rsidR="008767D1" w:rsidP="00A37687" w:rsidRDefault="008767D1" w14:paraId="3443B1D3" w14:textId="43E55AB0">
      <w:pPr>
        <w:pStyle w:val="ListParagraph"/>
        <w:numPr>
          <w:ilvl w:val="0"/>
          <w:numId w:val="12"/>
        </w:numPr>
        <w:spacing w:line="278" w:lineRule="auto"/>
        <w:ind w:left="1080" w:right="1440"/>
      </w:pPr>
      <w:r w:rsidRPr="001415C7">
        <w:t>Impact on non-participating electric customers (Elk Grove</w:t>
      </w:r>
      <w:r w:rsidRPr="001415C7" w:rsidR="007C4453">
        <w:t>, Indicated Ship</w:t>
      </w:r>
      <w:r w:rsidRPr="001415C7" w:rsidR="00302779">
        <w:t>pers</w:t>
      </w:r>
      <w:r w:rsidRPr="001415C7">
        <w:t>)</w:t>
      </w:r>
    </w:p>
    <w:p w:rsidRPr="001415C7" w:rsidR="008767D1" w:rsidP="00A37687" w:rsidRDefault="008767D1" w14:paraId="2409AC18" w14:textId="77777777">
      <w:pPr>
        <w:pStyle w:val="ListParagraph"/>
        <w:numPr>
          <w:ilvl w:val="0"/>
          <w:numId w:val="12"/>
        </w:numPr>
        <w:spacing w:line="278" w:lineRule="auto"/>
        <w:ind w:left="1080" w:right="1440"/>
      </w:pPr>
      <w:r w:rsidRPr="001415C7">
        <w:t>Impact on participants’ bills</w:t>
      </w:r>
    </w:p>
    <w:p w:rsidRPr="001415C7" w:rsidR="008767D1" w:rsidP="00A37687" w:rsidRDefault="008767D1" w14:paraId="221BD04A" w14:textId="58B5F17B">
      <w:pPr>
        <w:pStyle w:val="ListParagraph"/>
        <w:numPr>
          <w:ilvl w:val="1"/>
          <w:numId w:val="12"/>
        </w:numPr>
        <w:ind w:right="1440"/>
      </w:pPr>
      <w:r w:rsidRPr="001415C7">
        <w:t>All participants (Elk Grove</w:t>
      </w:r>
      <w:r w:rsidRPr="001415C7" w:rsidR="00D30B8C">
        <w:t>, Southwest Gas</w:t>
      </w:r>
      <w:r w:rsidRPr="001415C7">
        <w:t>)</w:t>
      </w:r>
    </w:p>
    <w:p w:rsidRPr="001415C7" w:rsidR="008767D1" w:rsidP="00A37687" w:rsidRDefault="008767D1" w14:paraId="201269DF" w14:textId="77777777">
      <w:pPr>
        <w:pStyle w:val="ListParagraph"/>
        <w:numPr>
          <w:ilvl w:val="1"/>
          <w:numId w:val="12"/>
        </w:numPr>
        <w:ind w:right="1440"/>
      </w:pPr>
      <w:r w:rsidRPr="001415C7">
        <w:t>Participants enrolled in income-qualified programs (Elk Grove)</w:t>
      </w:r>
    </w:p>
    <w:p w:rsidRPr="001415C7" w:rsidR="0094285B" w:rsidP="00A37687" w:rsidRDefault="008767D1" w14:paraId="1B79A3D4" w14:textId="04414668">
      <w:pPr>
        <w:pStyle w:val="ListParagraph"/>
        <w:numPr>
          <w:ilvl w:val="1"/>
          <w:numId w:val="12"/>
        </w:numPr>
        <w:ind w:right="1440"/>
      </w:pPr>
      <w:r w:rsidRPr="001415C7">
        <w:t>Participants not enrolled in income-qualified programs (Elk Grove)</w:t>
      </w:r>
    </w:p>
    <w:p w:rsidRPr="001415C7" w:rsidR="00FD2995" w:rsidP="00FD2995" w:rsidRDefault="00FD2995" w14:paraId="612802CD" w14:textId="2D3C9894">
      <w:pPr>
        <w:pStyle w:val="Standard"/>
      </w:pPr>
      <w:r w:rsidRPr="001415C7">
        <w:t>This decision requires applications to include a</w:t>
      </w:r>
      <w:r w:rsidRPr="001415C7" w:rsidR="00E91F69">
        <w:t>n approximate</w:t>
      </w:r>
      <w:r w:rsidRPr="001415C7">
        <w:t xml:space="preserve"> comparison of </w:t>
      </w:r>
      <w:r w:rsidRPr="001415C7" w:rsidR="00FC658F">
        <w:t xml:space="preserve">aggregate </w:t>
      </w:r>
      <w:r w:rsidRPr="001415C7">
        <w:t xml:space="preserve">pre- and post-pilot total energy bills (i.e., combined bill for natural gas and electricity) </w:t>
      </w:r>
      <w:r w:rsidRPr="001415C7" w:rsidR="006C7651">
        <w:t xml:space="preserve">across </w:t>
      </w:r>
      <w:r w:rsidRPr="001415C7">
        <w:t xml:space="preserve">pilot participants. </w:t>
      </w:r>
      <w:r w:rsidRPr="001415C7" w:rsidR="005C139D">
        <w:t>The comparison should specify the assumptions used (e.g., electric rate schedule and energy usage).</w:t>
      </w:r>
      <w:r w:rsidRPr="001415C7" w:rsidR="00E445CA">
        <w:t xml:space="preserve"> </w:t>
      </w:r>
      <w:r w:rsidRPr="001415C7">
        <w:t>Specifically,</w:t>
      </w:r>
      <w:r w:rsidRPr="001415C7" w:rsidR="00E445CA">
        <w:t xml:space="preserve"> </w:t>
      </w:r>
      <w:r w:rsidRPr="001415C7">
        <w:t xml:space="preserve">the application must calculate and show the 25th, 50th, 75th, and 90th percentile for </w:t>
      </w:r>
      <w:r w:rsidRPr="001415C7">
        <w:lastRenderedPageBreak/>
        <w:t xml:space="preserve">gross change in </w:t>
      </w:r>
      <w:r w:rsidRPr="001415C7" w:rsidR="00F17C8D">
        <w:t>monthly energy bills and monthly energy use</w:t>
      </w:r>
      <w:r w:rsidRPr="001415C7">
        <w:t xml:space="preserve"> and percentage change in </w:t>
      </w:r>
      <w:r w:rsidRPr="001415C7" w:rsidR="00871C63">
        <w:t>monthly energy bills and monthly energy use</w:t>
      </w:r>
      <w:r w:rsidRPr="001415C7">
        <w:t>.</w:t>
      </w:r>
      <w:r w:rsidRPr="001415C7" w:rsidR="00871C63">
        <w:rPr>
          <w:rStyle w:val="FootnoteReference"/>
        </w:rPr>
        <w:footnoteReference w:id="55"/>
      </w:r>
      <w:r w:rsidRPr="001415C7">
        <w:t xml:space="preserve">. </w:t>
      </w:r>
      <w:r w:rsidRPr="001415C7" w:rsidR="002D401C">
        <w:t xml:space="preserve">The applicant should conduct this analysis for three customer segments: first, </w:t>
      </w:r>
      <w:r w:rsidRPr="001415C7">
        <w:t>all customer</w:t>
      </w:r>
      <w:r w:rsidRPr="001415C7" w:rsidR="00450CB9">
        <w:t>s in the pilot project area</w:t>
      </w:r>
      <w:r w:rsidRPr="001415C7" w:rsidR="002D401C">
        <w:t>; second,</w:t>
      </w:r>
      <w:r w:rsidRPr="001415C7">
        <w:t xml:space="preserve"> for customers enrolled in income-qualified programs </w:t>
      </w:r>
      <w:r w:rsidRPr="001415C7" w:rsidR="00450CB9">
        <w:t xml:space="preserve">in the pilot project area </w:t>
      </w:r>
      <w:r w:rsidRPr="001415C7">
        <w:t>(e.g., CARE, FERA)</w:t>
      </w:r>
      <w:r w:rsidRPr="001415C7" w:rsidR="002D401C">
        <w:t>; third,</w:t>
      </w:r>
      <w:r w:rsidRPr="001415C7">
        <w:t xml:space="preserve"> for customers </w:t>
      </w:r>
      <w:r w:rsidRPr="001415C7" w:rsidR="00450CB9">
        <w:t xml:space="preserve">in the pilot project area </w:t>
      </w:r>
      <w:r w:rsidRPr="001415C7">
        <w:t>not enrolled in income-qualified programs.</w:t>
      </w:r>
    </w:p>
    <w:p w:rsidRPr="001415C7" w:rsidR="00FD2995" w:rsidP="00FD2995" w:rsidRDefault="00FD2995" w14:paraId="39E94A20" w14:textId="5AE911DF">
      <w:pPr>
        <w:pStyle w:val="Standard"/>
      </w:pPr>
      <w:r w:rsidRPr="001415C7">
        <w:t xml:space="preserve">As discussed in a later section, the applicants must provide prospective participants with estimates of how the pilot would affect their total energy bills. </w:t>
      </w:r>
    </w:p>
    <w:p w:rsidRPr="001415C7" w:rsidR="00B87F25" w:rsidP="00B87F25" w:rsidRDefault="00B87F25" w14:paraId="24642544" w14:textId="368CF465">
      <w:pPr>
        <w:pStyle w:val="Heading2"/>
      </w:pPr>
      <w:bookmarkStart w:name="_Toc228261679" w:id="59"/>
      <w:bookmarkStart w:name="_Toc233633614" w:id="60"/>
      <w:r w:rsidRPr="001415C7">
        <w:t xml:space="preserve">Infrastructure </w:t>
      </w:r>
      <w:r w:rsidRPr="001415C7" w:rsidR="000D6BF1">
        <w:t>Impacts</w:t>
      </w:r>
      <w:bookmarkEnd w:id="59"/>
      <w:bookmarkEnd w:id="60"/>
    </w:p>
    <w:p w:rsidRPr="001415C7" w:rsidR="000D6BF1" w:rsidP="000D6BF1" w:rsidRDefault="000D6BF1" w14:paraId="684DD578" w14:textId="18F9E25C">
      <w:pPr>
        <w:pStyle w:val="Heading3"/>
      </w:pPr>
      <w:bookmarkStart w:name="_Toc228261680" w:id="61"/>
      <w:bookmarkStart w:name="_Toc233633615" w:id="62"/>
      <w:r w:rsidRPr="001415C7">
        <w:t>Gas Infrastructure</w:t>
      </w:r>
      <w:bookmarkEnd w:id="61"/>
      <w:bookmarkEnd w:id="62"/>
    </w:p>
    <w:p w:rsidRPr="001415C7" w:rsidR="00F228B9" w:rsidP="00E619EB" w:rsidRDefault="00F228B9" w14:paraId="655F76EE" w14:textId="73AE12E8">
      <w:bookmarkStart w:name="_Toc228261681" w:id="63"/>
      <w:r w:rsidRPr="001415C7">
        <w:t>Parties recommend that each pilot application should include some or all of the following information</w:t>
      </w:r>
      <w:r w:rsidR="005E2BB1">
        <w:t>:</w:t>
      </w:r>
      <w:r w:rsidRPr="001415C7" w:rsidR="005E2BB1">
        <w:rPr>
          <w:rStyle w:val="FootnoteReference"/>
        </w:rPr>
        <w:footnoteReference w:id="56"/>
      </w:r>
    </w:p>
    <w:p w:rsidR="00830F4F" w:rsidP="004A6EE8" w:rsidRDefault="00830F4F" w14:paraId="5A084AB7" w14:textId="3EE17CCF">
      <w:pPr>
        <w:pStyle w:val="ListParagraph"/>
        <w:numPr>
          <w:ilvl w:val="0"/>
          <w:numId w:val="12"/>
        </w:numPr>
        <w:spacing w:line="278" w:lineRule="auto"/>
        <w:ind w:left="1080" w:right="1440"/>
      </w:pPr>
      <w:r>
        <w:t xml:space="preserve">Location </w:t>
      </w:r>
      <w:r w:rsidRPr="001415C7">
        <w:t>and length of existing gas mains in the pilot project area (both the mains the applicant proposes to decommission and the mains the applicant proposes to continue operating) (Southwest Gas)</w:t>
      </w:r>
    </w:p>
    <w:p w:rsidRPr="001415C7" w:rsidR="00F228B9" w:rsidP="004A6EE8" w:rsidRDefault="00F228B9" w14:paraId="1A6268E5" w14:textId="74A0DB41">
      <w:pPr>
        <w:pStyle w:val="ListParagraph"/>
        <w:numPr>
          <w:ilvl w:val="0"/>
          <w:numId w:val="12"/>
        </w:numPr>
        <w:spacing w:line="278" w:lineRule="auto"/>
        <w:ind w:left="1080" w:right="1440"/>
      </w:pPr>
      <w:r w:rsidRPr="001415C7">
        <w:t>Pipe materials and diameters (Southwest Gas)</w:t>
      </w:r>
    </w:p>
    <w:p w:rsidRPr="001415C7" w:rsidR="00F228B9" w:rsidP="004A6EE8" w:rsidRDefault="00F228B9" w14:paraId="4C5EEA43" w14:textId="77777777">
      <w:pPr>
        <w:pStyle w:val="ListParagraph"/>
        <w:numPr>
          <w:ilvl w:val="0"/>
          <w:numId w:val="12"/>
        </w:numPr>
        <w:spacing w:line="278" w:lineRule="auto"/>
        <w:ind w:left="1080" w:right="1440"/>
      </w:pPr>
      <w:r w:rsidRPr="001415C7">
        <w:t>Locations and costs associated with the gas infrastructure the pilot proposes to decommission (i.e., cost of decommissioning and the cost of investment and maintenance that would be necessary but for the decommissioning) (Cal Advocates)</w:t>
      </w:r>
    </w:p>
    <w:p w:rsidRPr="001415C7" w:rsidR="00F228B9" w:rsidP="004A6EE8" w:rsidRDefault="00F228B9" w14:paraId="704DFAB5" w14:textId="77777777">
      <w:pPr>
        <w:pStyle w:val="ListParagraph"/>
        <w:numPr>
          <w:ilvl w:val="0"/>
          <w:numId w:val="12"/>
        </w:numPr>
        <w:spacing w:line="278" w:lineRule="auto"/>
        <w:ind w:left="1080" w:right="1440"/>
      </w:pPr>
      <w:r w:rsidRPr="001415C7">
        <w:t>A map showing non-confidential energy infrastructure (Indicated Shippers)</w:t>
      </w:r>
    </w:p>
    <w:p w:rsidRPr="001415C7" w:rsidR="00F228B9" w:rsidP="004A6EE8" w:rsidRDefault="00F228B9" w14:paraId="7A97E0F2" w14:textId="08B63259">
      <w:pPr>
        <w:pStyle w:val="ListParagraph"/>
        <w:numPr>
          <w:ilvl w:val="0"/>
          <w:numId w:val="12"/>
        </w:numPr>
        <w:spacing w:line="278" w:lineRule="auto"/>
        <w:ind w:left="1080" w:right="1440"/>
      </w:pPr>
      <w:r w:rsidRPr="001415C7">
        <w:lastRenderedPageBreak/>
        <w:t>A hydraulic feasibility assessment conducted by the gas</w:t>
      </w:r>
      <w:r w:rsidRPr="001415C7" w:rsidR="0070191B">
        <w:t xml:space="preserve"> corporation</w:t>
      </w:r>
      <w:r w:rsidRPr="001415C7">
        <w:t xml:space="preserve"> that indicates the proposed pilot is technically feasible (San Francisco)</w:t>
      </w:r>
    </w:p>
    <w:p w:rsidRPr="001415C7" w:rsidR="00480A42" w:rsidP="00F228B9" w:rsidRDefault="00F228B9" w14:paraId="018B9F11" w14:textId="19490525">
      <w:pPr>
        <w:pStyle w:val="Standard"/>
      </w:pPr>
      <w:r w:rsidRPr="001415C7">
        <w:t xml:space="preserve">This decision requires applicants to include the information described above, </w:t>
      </w:r>
      <w:r w:rsidRPr="001415C7" w:rsidR="00F9216B">
        <w:t xml:space="preserve">except </w:t>
      </w:r>
      <w:r w:rsidRPr="001415C7">
        <w:t>a hydraulic feasibility assessment</w:t>
      </w:r>
      <w:r w:rsidRPr="001415C7" w:rsidR="00CB348E">
        <w:t xml:space="preserve"> and instead</w:t>
      </w:r>
      <w:r w:rsidRPr="001415C7">
        <w:t xml:space="preserve">, this decision requires applicants to describe the feasibility analyses they </w:t>
      </w:r>
      <w:r w:rsidRPr="001415C7" w:rsidR="00887D69">
        <w:t>deem</w:t>
      </w:r>
      <w:r w:rsidRPr="001415C7">
        <w:t xml:space="preserve"> necessary and the results of those analyses. </w:t>
      </w:r>
      <w:r w:rsidRPr="001415C7" w:rsidR="00587878">
        <w:t xml:space="preserve">The record does not </w:t>
      </w:r>
      <w:r w:rsidRPr="001415C7" w:rsidR="00375659">
        <w:t>demonstrate that</w:t>
      </w:r>
      <w:r w:rsidRPr="001415C7" w:rsidR="00587878">
        <w:t xml:space="preserve"> hydraulic feasibility assessments </w:t>
      </w:r>
      <w:r w:rsidRPr="001415C7" w:rsidR="00375659">
        <w:t>would</w:t>
      </w:r>
      <w:r w:rsidRPr="001415C7" w:rsidR="00587878">
        <w:t xml:space="preserve"> be necessary</w:t>
      </w:r>
      <w:r w:rsidRPr="001415C7" w:rsidR="00375659">
        <w:t xml:space="preserve"> for every pilot site, so setting a blanket requirement may be unnecessary.</w:t>
      </w:r>
    </w:p>
    <w:p w:rsidRPr="001415C7" w:rsidR="00F228B9" w:rsidP="00F228B9" w:rsidRDefault="00850D18" w14:paraId="2F9D9309" w14:textId="50B625DF">
      <w:pPr>
        <w:pStyle w:val="Standard"/>
      </w:pPr>
      <w:r w:rsidRPr="001415C7">
        <w:t xml:space="preserve">Each proposed project must </w:t>
      </w:r>
      <w:r w:rsidRPr="001415C7" w:rsidR="00C25BFF">
        <w:t xml:space="preserve">reduce or eliminate future gas </w:t>
      </w:r>
      <w:r w:rsidRPr="001415C7" w:rsidR="004D1CDC">
        <w:t xml:space="preserve">infrastructure costs that would otherwise occur, </w:t>
      </w:r>
      <w:r w:rsidRPr="001415C7" w:rsidR="00110E9A">
        <w:t>typically</w:t>
      </w:r>
      <w:r w:rsidRPr="001415C7" w:rsidR="004D1CDC">
        <w:t xml:space="preserve"> by avoiding </w:t>
      </w:r>
      <w:r w:rsidRPr="001415C7" w:rsidR="00A912ED">
        <w:t xml:space="preserve">the replacement </w:t>
      </w:r>
      <w:r w:rsidRPr="001415C7" w:rsidR="00E94B94">
        <w:t xml:space="preserve">or repair </w:t>
      </w:r>
      <w:r w:rsidRPr="001415C7" w:rsidR="00A912ED">
        <w:t xml:space="preserve">of </w:t>
      </w:r>
      <w:r w:rsidRPr="001415C7" w:rsidR="00CC019B">
        <w:t xml:space="preserve">distribution mains or service lines. </w:t>
      </w:r>
      <w:r w:rsidRPr="001415C7" w:rsidR="00D20253">
        <w:t>Gas infrastructure</w:t>
      </w:r>
      <w:r w:rsidRPr="001415C7" w:rsidR="00110E9A">
        <w:t xml:space="preserve"> </w:t>
      </w:r>
      <w:r w:rsidRPr="001415C7" w:rsidR="009330F5">
        <w:t>projects</w:t>
      </w:r>
      <w:r w:rsidRPr="001415C7" w:rsidR="00110E9A">
        <w:t xml:space="preserve"> that</w:t>
      </w:r>
      <w:r w:rsidRPr="001415C7" w:rsidR="00CD2D2C">
        <w:t xml:space="preserve"> would otherwise occur include, but are not limited to, </w:t>
      </w:r>
      <w:r w:rsidRPr="001415C7" w:rsidR="003D459D">
        <w:t xml:space="preserve">all </w:t>
      </w:r>
      <w:r w:rsidRPr="001415C7" w:rsidR="00CA2323">
        <w:t>gas distribution replacement projects</w:t>
      </w:r>
      <w:r w:rsidRPr="001415C7" w:rsidR="00CD2D2C">
        <w:t xml:space="preserve"> </w:t>
      </w:r>
      <w:r w:rsidRPr="001415C7" w:rsidR="00612790">
        <w:t>shown</w:t>
      </w:r>
      <w:r w:rsidRPr="001415C7" w:rsidR="00CD2D2C">
        <w:t xml:space="preserve"> on the gas </w:t>
      </w:r>
      <w:r w:rsidRPr="001415C7" w:rsidR="0070191B">
        <w:t xml:space="preserve">corporations’ </w:t>
      </w:r>
      <w:r w:rsidRPr="001415C7" w:rsidR="00CD2D2C">
        <w:t xml:space="preserve">SB 1221 maps. </w:t>
      </w:r>
      <w:r w:rsidRPr="001415C7" w:rsidR="00F228B9">
        <w:t xml:space="preserve">Applicants shall calculate avoided gas infrastructure costs using the template developed </w:t>
      </w:r>
      <w:r w:rsidRPr="001415C7" w:rsidR="00E2480C">
        <w:t>by</w:t>
      </w:r>
      <w:r w:rsidRPr="001415C7" w:rsidR="00F228B9">
        <w:t xml:space="preserve"> Energy Division staff and made available on the Commission’s SB 1221 Implementation webpage; this template </w:t>
      </w:r>
      <w:r w:rsidRPr="001415C7" w:rsidR="0092347E">
        <w:t>calculates avoided costs using district averages and</w:t>
      </w:r>
      <w:r w:rsidRPr="001415C7" w:rsidR="00F228B9">
        <w:t xml:space="preserve"> is discussed in more detail in the section on Cost Effectiveness.</w:t>
      </w:r>
    </w:p>
    <w:p w:rsidRPr="001415C7" w:rsidR="000D6BF1" w:rsidP="000D6BF1" w:rsidRDefault="000D6BF1" w14:paraId="5B5F2661" w14:textId="6856CC26">
      <w:pPr>
        <w:pStyle w:val="Heading3"/>
      </w:pPr>
      <w:bookmarkStart w:name="_Toc233633616" w:id="64"/>
      <w:r w:rsidRPr="001415C7">
        <w:t>Electric Infrastructure</w:t>
      </w:r>
      <w:bookmarkEnd w:id="63"/>
      <w:bookmarkEnd w:id="64"/>
    </w:p>
    <w:p w:rsidRPr="001415C7" w:rsidR="00455389" w:rsidP="00455389" w:rsidRDefault="00455389" w14:paraId="214524EF" w14:textId="1B6F06AE">
      <w:pPr>
        <w:pStyle w:val="Standard"/>
      </w:pPr>
      <w:r w:rsidRPr="001415C7">
        <w:t xml:space="preserve">Cal Advocates, San Francisco, and Southwest Gas recommend that each application should include the electric utility’s assessment of the </w:t>
      </w:r>
      <w:r w:rsidRPr="001415C7" w:rsidR="00D20253">
        <w:t xml:space="preserve">pilot project’s </w:t>
      </w:r>
      <w:r w:rsidRPr="001415C7">
        <w:t>anticipated impacts to the electric grid.</w:t>
      </w:r>
      <w:r w:rsidRPr="001415C7">
        <w:rPr>
          <w:vertAlign w:val="superscript"/>
        </w:rPr>
        <w:footnoteReference w:id="57"/>
      </w:r>
      <w:r w:rsidRPr="001415C7">
        <w:t xml:space="preserve"> Cal Advocates and Elk Grove suggest including a list of the front-of-the-meter and behind-the-meter electrical </w:t>
      </w:r>
      <w:r w:rsidRPr="001415C7">
        <w:lastRenderedPageBreak/>
        <w:t>upgrades necessary to accommodate the pilot</w:t>
      </w:r>
      <w:r w:rsidRPr="001415C7" w:rsidR="00D20253">
        <w:t xml:space="preserve"> project</w:t>
      </w:r>
      <w:r w:rsidRPr="001415C7">
        <w:t>; Cal Advocates asks for the forecasted costs of each these upgrades.</w:t>
      </w:r>
      <w:r w:rsidRPr="001415C7">
        <w:rPr>
          <w:vertAlign w:val="superscript"/>
        </w:rPr>
        <w:footnoteReference w:id="58"/>
      </w:r>
    </w:p>
    <w:p w:rsidRPr="001415C7" w:rsidR="00455389" w:rsidP="00455389" w:rsidRDefault="00455389" w14:paraId="74A6A82F" w14:textId="4C6B1DBD">
      <w:pPr>
        <w:pStyle w:val="Standard"/>
      </w:pPr>
      <w:r w:rsidRPr="001415C7">
        <w:t>Cal Advocates notes that gas</w:t>
      </w:r>
      <w:r w:rsidRPr="001415C7" w:rsidR="00280B57">
        <w:t>-</w:t>
      </w:r>
      <w:r w:rsidRPr="001415C7">
        <w:t>to</w:t>
      </w:r>
      <w:r w:rsidRPr="001415C7" w:rsidR="00280B57">
        <w:t>-</w:t>
      </w:r>
      <w:r w:rsidRPr="001415C7">
        <w:t xml:space="preserve">electric conversion will cause electric loads to increase, which may trigger the need for upgrades to the local grid. Accordingly, Cal Advocates recommend that gas </w:t>
      </w:r>
      <w:r w:rsidRPr="001415C7" w:rsidR="001C2159">
        <w:t xml:space="preserve">corporations </w:t>
      </w:r>
      <w:r w:rsidRPr="001415C7">
        <w:t>analyze historical customer gas usage to inform electric load impacts.</w:t>
      </w:r>
      <w:r w:rsidRPr="001415C7">
        <w:rPr>
          <w:vertAlign w:val="superscript"/>
        </w:rPr>
        <w:footnoteReference w:id="59"/>
      </w:r>
      <w:r w:rsidRPr="001415C7">
        <w:t xml:space="preserve"> San Francisco recommends requiring gas </w:t>
      </w:r>
      <w:r w:rsidRPr="001415C7" w:rsidR="001C2159">
        <w:t xml:space="preserve">corporations </w:t>
      </w:r>
      <w:r w:rsidRPr="001415C7">
        <w:t xml:space="preserve">to </w:t>
      </w:r>
      <w:r w:rsidRPr="001415C7" w:rsidR="0073492C">
        <w:t>p</w:t>
      </w:r>
      <w:r w:rsidRPr="001415C7" w:rsidR="00231483">
        <w:t>rovide the appropriate electric utilities with</w:t>
      </w:r>
      <w:r w:rsidRPr="001415C7">
        <w:t xml:space="preserve"> the information necessary for </w:t>
      </w:r>
      <w:r w:rsidRPr="001415C7" w:rsidR="00231483">
        <w:t>them</w:t>
      </w:r>
      <w:r w:rsidRPr="001415C7">
        <w:t xml:space="preserve"> to forecast the increased load and grid impacts caused by the proposed projects.</w:t>
      </w:r>
      <w:r w:rsidRPr="001415C7">
        <w:rPr>
          <w:vertAlign w:val="superscript"/>
        </w:rPr>
        <w:footnoteReference w:id="60"/>
      </w:r>
    </w:p>
    <w:p w:rsidRPr="001415C7" w:rsidR="00455389" w:rsidP="00455389" w:rsidRDefault="00455389" w14:paraId="388EF83A" w14:textId="34ADFBF3">
      <w:pPr>
        <w:pStyle w:val="Standard"/>
      </w:pPr>
      <w:r w:rsidRPr="001415C7">
        <w:t xml:space="preserve">Cal Advocates recommend close coordination between gas and electric utilities on this front, noting that the </w:t>
      </w:r>
      <w:r w:rsidRPr="001415C7" w:rsidR="00096E5C">
        <w:t>Integrated Capacity Analysis (</w:t>
      </w:r>
      <w:r w:rsidRPr="001415C7">
        <w:t>ICA</w:t>
      </w:r>
      <w:r w:rsidRPr="001415C7" w:rsidR="00096E5C">
        <w:t>)</w:t>
      </w:r>
      <w:r w:rsidRPr="001415C7">
        <w:t xml:space="preserve"> Layer on the SB 1221 maps currently does</w:t>
      </w:r>
      <w:r w:rsidRPr="001415C7" w:rsidR="00361FBB">
        <w:t xml:space="preserve"> not</w:t>
      </w:r>
      <w:r w:rsidRPr="001415C7">
        <w:t xml:space="preserve"> contain up-to-date data; furthermore, since pilot projects may target areas with gas infrastructure work planned as far out as 2035, the utilities must consider forecasted grid capacity in addition to current capacity. Cal Advocates recommends the annual electric Grid Needs Assessment </w:t>
      </w:r>
      <w:r w:rsidRPr="001415C7" w:rsidR="008D5EC6">
        <w:t xml:space="preserve">(GNA) </w:t>
      </w:r>
      <w:r w:rsidRPr="001415C7">
        <w:t>as a starting point.</w:t>
      </w:r>
      <w:r w:rsidRPr="001415C7">
        <w:rPr>
          <w:vertAlign w:val="superscript"/>
        </w:rPr>
        <w:footnoteReference w:id="61"/>
      </w:r>
      <w:r w:rsidRPr="001415C7" w:rsidR="008A55F2">
        <w:t xml:space="preserve"> CMUA notes that no public maps equivalent to ICA maps are available from electric POUs and requests that the Commission allow POUs to conduct “an electric capacity screening – not a full grid capacity evaluation.”</w:t>
      </w:r>
      <w:r w:rsidRPr="001415C7" w:rsidR="008A55F2">
        <w:rPr>
          <w:rStyle w:val="FootnoteReference"/>
        </w:rPr>
        <w:footnoteReference w:id="62"/>
      </w:r>
    </w:p>
    <w:p w:rsidRPr="001415C7" w:rsidR="0065178D" w:rsidP="00455389" w:rsidRDefault="0065178D" w14:paraId="5272DCC8" w14:textId="4460B101">
      <w:pPr>
        <w:pStyle w:val="Standard"/>
      </w:pPr>
      <w:r w:rsidRPr="001415C7">
        <w:lastRenderedPageBreak/>
        <w:t>Contra Costa</w:t>
      </w:r>
      <w:r w:rsidRPr="001415C7" w:rsidR="008F1BE1">
        <w:t xml:space="preserve"> and TURN recommend the Commission </w:t>
      </w:r>
      <w:r w:rsidRPr="001415C7" w:rsidR="002E3C52">
        <w:t xml:space="preserve">authorize </w:t>
      </w:r>
      <w:r w:rsidRPr="001415C7" w:rsidR="001C2159">
        <w:t xml:space="preserve">applicants </w:t>
      </w:r>
      <w:r w:rsidRPr="001415C7" w:rsidR="002E3C52">
        <w:t>to provide BTM upgrades to support electrification (e.g., panel upgrades)</w:t>
      </w:r>
      <w:r w:rsidRPr="001415C7" w:rsidR="002600DB">
        <w:t xml:space="preserve">. The </w:t>
      </w:r>
      <w:r w:rsidRPr="001415C7" w:rsidR="000815AA">
        <w:t>Joint CCAs and NRDC/Sierra Club recommend that applicants utilize panel optimization measures or demonstrate how they can avoid infrastructure upgrades.</w:t>
      </w:r>
      <w:r w:rsidRPr="001415C7" w:rsidR="00264F93">
        <w:rPr>
          <w:rStyle w:val="FootnoteReference"/>
        </w:rPr>
        <w:footnoteReference w:id="63"/>
      </w:r>
    </w:p>
    <w:p w:rsidRPr="001415C7" w:rsidR="00455389" w:rsidP="00455389" w:rsidRDefault="003A014C" w14:paraId="31AB1FC4" w14:textId="11A7566C">
      <w:pPr>
        <w:pStyle w:val="Standard"/>
      </w:pPr>
      <w:r w:rsidRPr="001415C7">
        <w:t xml:space="preserve">Cal Advocates, San Francisco, SCE, and CMUA </w:t>
      </w:r>
      <w:r w:rsidRPr="001415C7" w:rsidR="00411BA9">
        <w:t xml:space="preserve">note that for electric utilities to conduct the type of in-depth infrastructure analysis described above, gas utilities must be able to </w:t>
      </w:r>
      <w:r w:rsidRPr="001415C7" w:rsidR="001C7623">
        <w:t>provide the electric utilities with</w:t>
      </w:r>
      <w:r w:rsidRPr="001415C7" w:rsidR="00411BA9">
        <w:t xml:space="preserve"> </w:t>
      </w:r>
      <w:r w:rsidRPr="001415C7" w:rsidR="001C7623">
        <w:t>protected customer information (e.g., location, historical load, etc</w:t>
      </w:r>
      <w:r w:rsidRPr="001415C7" w:rsidR="007A67FE">
        <w:t>.</w:t>
      </w:r>
      <w:r w:rsidRPr="001415C7" w:rsidR="001C7623">
        <w:t>).</w:t>
      </w:r>
      <w:r w:rsidRPr="001415C7">
        <w:t xml:space="preserve"> SCE and CMUA request that the </w:t>
      </w:r>
      <w:r w:rsidRPr="001415C7" w:rsidR="001C7623">
        <w:t>Commission modify the</w:t>
      </w:r>
      <w:r w:rsidRPr="001415C7">
        <w:t xml:space="preserve"> non-disclosure agreement provided for the SB 1221 Maps to </w:t>
      </w:r>
      <w:r w:rsidRPr="001415C7" w:rsidR="001C7623">
        <w:t xml:space="preserve">allow </w:t>
      </w:r>
      <w:r w:rsidRPr="001415C7" w:rsidR="00E37767">
        <w:t>the utilities to share this data</w:t>
      </w:r>
      <w:r w:rsidRPr="001415C7">
        <w:t>.</w:t>
      </w:r>
      <w:r w:rsidRPr="001415C7">
        <w:rPr>
          <w:rStyle w:val="FootnoteReference"/>
        </w:rPr>
        <w:footnoteReference w:id="64"/>
      </w:r>
    </w:p>
    <w:p w:rsidRPr="001415C7" w:rsidR="00124586" w:rsidP="002F483B" w:rsidRDefault="00380A3D" w14:paraId="210F37BC" w14:textId="5BAB291A">
      <w:pPr>
        <w:pStyle w:val="Standard"/>
      </w:pPr>
      <w:r w:rsidRPr="001415C7">
        <w:t xml:space="preserve">CMUA and Southwest Gas recommend that gas utilities begin collaborating with electric utilities as soon as the gas utility begins </w:t>
      </w:r>
      <w:r w:rsidRPr="001415C7" w:rsidR="00EE521F">
        <w:t>contemplating gas infrastructure</w:t>
      </w:r>
      <w:r w:rsidRPr="001415C7">
        <w:t xml:space="preserve"> replacement projects so that the utilities can align on locations, feasibility, and project timing.</w:t>
      </w:r>
      <w:r w:rsidRPr="001415C7">
        <w:rPr>
          <w:vertAlign w:val="superscript"/>
        </w:rPr>
        <w:footnoteReference w:id="65"/>
      </w:r>
      <w:r w:rsidRPr="001415C7">
        <w:t xml:space="preserve"> SoCalGas and SDG&amp;E disagree, proposing that gas utilities wait to obtain detailed studies of electric capacity until the Commission has provisionally approved a project; during the project development process, they suggest that gas utilities could look to any publicly</w:t>
      </w:r>
      <w:r w:rsidRPr="001415C7" w:rsidR="004B0300">
        <w:t xml:space="preserve"> </w:t>
      </w:r>
      <w:r w:rsidRPr="001415C7">
        <w:t>available grid readiness information that electric utilities already provide (e.g., the ICA or GNA).</w:t>
      </w:r>
      <w:r w:rsidRPr="001415C7">
        <w:rPr>
          <w:vertAlign w:val="superscript"/>
        </w:rPr>
        <w:footnoteReference w:id="66"/>
      </w:r>
    </w:p>
    <w:p w:rsidRPr="001415C7" w:rsidR="00A579EC" w:rsidP="00A579EC" w:rsidRDefault="00A579EC" w14:paraId="15A6B7A0" w14:textId="0C79FAF0">
      <w:pPr>
        <w:pStyle w:val="Standard"/>
      </w:pPr>
      <w:r w:rsidRPr="001415C7">
        <w:lastRenderedPageBreak/>
        <w:t xml:space="preserve">This decision requires applications to include information regarding any anticipated electric infrastructure upgrades necessary to support the full electrification of the customer premises within the respective pilot zones. The gas utility’s cost effectiveness calculations must account for the cost of any incremental electric infrastructure upgrades triggered by proposed projects. As discussed in a later section, the Commission will require each application to include a demonstration that each project is </w:t>
      </w:r>
      <w:r w:rsidRPr="001415C7" w:rsidR="00007A79">
        <w:t>cost effective</w:t>
      </w:r>
      <w:r w:rsidRPr="001415C7" w:rsidR="009F2EC6">
        <w:t>,</w:t>
      </w:r>
      <w:r w:rsidRPr="001415C7">
        <w:t xml:space="preserve"> and that calculation must take into account the ratepayer-funded costs of the incremental electrical infrastructure upgrades necessary to implement the project. The application must include cost estimates that are detailed and specific enough for the applicant to demonstrate that each proposed project will be </w:t>
      </w:r>
      <w:r w:rsidRPr="001415C7" w:rsidR="00007A79">
        <w:t>cost effective</w:t>
      </w:r>
      <w:r w:rsidRPr="001415C7">
        <w:t>.</w:t>
      </w:r>
    </w:p>
    <w:p w:rsidRPr="001415C7" w:rsidR="005B29E0" w:rsidP="00A579EC" w:rsidRDefault="00A579EC" w14:paraId="49DE4952" w14:textId="4CFC67C8">
      <w:pPr>
        <w:pStyle w:val="Standard"/>
      </w:pPr>
      <w:r w:rsidRPr="001415C7">
        <w:t xml:space="preserve">This decision does not stipulate that applicants must use the ICA, Grid Needs Analysis (GNA), or any other specific tool or methodology to estimate the magnitude and cost of the anticipated electrical upgrades. </w:t>
      </w:r>
      <w:r w:rsidRPr="001415C7" w:rsidR="00531ECC">
        <w:t xml:space="preserve">Each of those tools serves specific purposes and </w:t>
      </w:r>
      <w:r w:rsidRPr="001415C7" w:rsidR="00DB57EB">
        <w:t xml:space="preserve">may not reflect </w:t>
      </w:r>
      <w:r w:rsidRPr="001415C7" w:rsidR="003B458F">
        <w:t xml:space="preserve">whether or </w:t>
      </w:r>
      <w:r w:rsidRPr="001415C7" w:rsidR="007E4C97">
        <w:t xml:space="preserve">how </w:t>
      </w:r>
      <w:r w:rsidRPr="001415C7" w:rsidR="00DB57EB">
        <w:t>the</w:t>
      </w:r>
      <w:r w:rsidRPr="001415C7" w:rsidR="00E700AB">
        <w:t xml:space="preserve"> </w:t>
      </w:r>
      <w:r w:rsidRPr="001415C7" w:rsidR="008410A8">
        <w:t>electric utility</w:t>
      </w:r>
      <w:r w:rsidRPr="001415C7" w:rsidR="007E4C97">
        <w:t xml:space="preserve"> would </w:t>
      </w:r>
      <w:r w:rsidRPr="001415C7" w:rsidR="003B458F">
        <w:t xml:space="preserve">upgrade infrastructure to </w:t>
      </w:r>
      <w:r w:rsidRPr="001415C7" w:rsidR="007B1598">
        <w:t>accommodate the pilot project.</w:t>
      </w:r>
      <w:r w:rsidRPr="001415C7" w:rsidR="00DB57EB">
        <w:t xml:space="preserve"> </w:t>
      </w:r>
      <w:r w:rsidRPr="001415C7">
        <w:t xml:space="preserve">Instead, the applicant must, in cooperation with the electric utility that serves the pilot </w:t>
      </w:r>
      <w:r w:rsidRPr="001415C7" w:rsidR="00942405">
        <w:t xml:space="preserve">project </w:t>
      </w:r>
      <w:r w:rsidRPr="001415C7">
        <w:t>areas, provide the following information:</w:t>
      </w:r>
      <w:r w:rsidRPr="001415C7" w:rsidR="002C3F25">
        <w:rPr>
          <w:rStyle w:val="FootnoteReference"/>
        </w:rPr>
        <w:footnoteReference w:id="67"/>
      </w:r>
    </w:p>
    <w:p w:rsidRPr="001415C7" w:rsidR="007C41CD" w:rsidP="004A6EE8" w:rsidRDefault="007C41CD" w14:paraId="7BE2E082" w14:textId="3E9C820F">
      <w:pPr>
        <w:pStyle w:val="ListParagraph"/>
        <w:numPr>
          <w:ilvl w:val="0"/>
          <w:numId w:val="12"/>
        </w:numPr>
        <w:spacing w:line="278" w:lineRule="auto"/>
        <w:ind w:left="1080" w:right="1440"/>
      </w:pPr>
      <w:bookmarkStart w:name="_Toc228261682" w:id="65"/>
      <w:r w:rsidRPr="001415C7">
        <w:t xml:space="preserve">Descriptions and cost estimates of the electric infrastructure upgrades that the electric utility plans or expects will be necessary to provide service to the </w:t>
      </w:r>
      <w:r w:rsidRPr="001415C7" w:rsidR="00EE0513">
        <w:t>pilot project area</w:t>
      </w:r>
      <w:r w:rsidRPr="001415C7">
        <w:t>s if the projects were not expected to occur.</w:t>
      </w:r>
      <w:r w:rsidRPr="004A6EE8">
        <w:footnoteReference w:id="68"/>
      </w:r>
    </w:p>
    <w:p w:rsidRPr="001415C7" w:rsidR="007C41CD" w:rsidP="004A6EE8" w:rsidRDefault="007C41CD" w14:paraId="49CBC3C0" w14:textId="15364E1F">
      <w:pPr>
        <w:pStyle w:val="ListParagraph"/>
        <w:numPr>
          <w:ilvl w:val="0"/>
          <w:numId w:val="12"/>
        </w:numPr>
        <w:spacing w:line="278" w:lineRule="auto"/>
        <w:ind w:left="1080" w:right="1440"/>
      </w:pPr>
      <w:r w:rsidRPr="001415C7">
        <w:lastRenderedPageBreak/>
        <w:t xml:space="preserve">Descriptions and cost estimates of the incremental electric infrastructure upgrades that the electric utility anticipates would be necessary to provide service to the </w:t>
      </w:r>
      <w:r w:rsidRPr="001415C7" w:rsidR="00EE0513">
        <w:t>pilot project area</w:t>
      </w:r>
      <w:r w:rsidRPr="001415C7">
        <w:t>s if the projects were to occur, if any. This should include all the electric infrastructure upgrades not described and costed out in the Customer Offerings section of this decision.</w:t>
      </w:r>
    </w:p>
    <w:p w:rsidRPr="001415C7" w:rsidR="007C41CD" w:rsidP="004A6EE8" w:rsidRDefault="007C41CD" w14:paraId="29218594" w14:textId="417825DD">
      <w:pPr>
        <w:pStyle w:val="ListParagraph"/>
        <w:numPr>
          <w:ilvl w:val="0"/>
          <w:numId w:val="12"/>
        </w:numPr>
        <w:spacing w:line="278" w:lineRule="auto"/>
        <w:ind w:left="1080" w:right="1440"/>
      </w:pPr>
      <w:r w:rsidRPr="001415C7">
        <w:t>A demonstration that the project design evaluated and took advantage of all possible ways to avoid or minimize the need for upgrades to electric infrastructure (e.g., service lines, transformers, etc.), including pursuing alternatives to service upsizing that allow the premise</w:t>
      </w:r>
      <w:r w:rsidRPr="001415C7" w:rsidR="00E3508E">
        <w:t>s</w:t>
      </w:r>
      <w:r w:rsidRPr="001415C7">
        <w:t xml:space="preserve"> to fully electrify safely (i.e., without the risk of exceeding the electric service capacity of the customer premise</w:t>
      </w:r>
      <w:r w:rsidRPr="001415C7" w:rsidR="00E3508E">
        <w:t>s</w:t>
      </w:r>
      <w:r w:rsidRPr="001415C7">
        <w:t>) or why they were ruled out.</w:t>
      </w:r>
      <w:r w:rsidRPr="004A6EE8">
        <w:footnoteReference w:id="69"/>
      </w:r>
      <w:r w:rsidRPr="001415C7">
        <w:t xml:space="preserve"> Alternatives to service upsizing include, but are not limited to, the use of the following panel and service optimization strategies: (1) meter socket adapters, (2) circuit splitting devices and/or circuit pausers, (3) “smart” electrical panels and/or sub-panels, (4) load management devices, and (5) power-efficient appliances. Any electric infrastructure upgrade needs identified after these strategies have been pursued and not found to be feasible should be in alignment with the upgrade size limits for building electrification set in D.25-06-034 adopted in the Building Decarbonization proceeding. While electrical panel replacement is generally discouraged if alternatives exist, applications must propose the replacement of any </w:t>
      </w:r>
      <w:r w:rsidRPr="001415C7">
        <w:lastRenderedPageBreak/>
        <w:t>electrical panels that are known or found to have safety defects or are otherwise subject to recall.</w:t>
      </w:r>
    </w:p>
    <w:p w:rsidRPr="001415C7" w:rsidR="007C41CD" w:rsidP="007C41CD" w:rsidRDefault="007C41CD" w14:paraId="060E36AA" w14:textId="77777777">
      <w:pPr>
        <w:pStyle w:val="Standard"/>
      </w:pPr>
      <w:r w:rsidRPr="001415C7">
        <w:t>In cases where gas or electric utilities must share confidential customer data to support electric grid readiness analysis (e.g., providing historical gas usage data to the electric utility to support electric load forecasts), the gas or electric utilities shall develop and execute non-disclosure agreements with the relevant parties. Any data sharing must be consistent with privacy law and existing Commission rules.</w:t>
      </w:r>
    </w:p>
    <w:p w:rsidRPr="001415C7" w:rsidR="00EA4BB7" w:rsidP="00EA4BB7" w:rsidRDefault="00EA4BB7" w14:paraId="066D9A05" w14:textId="4C8B5806">
      <w:pPr>
        <w:pStyle w:val="Heading2"/>
      </w:pPr>
      <w:bookmarkStart w:name="_Toc233633617" w:id="66"/>
      <w:r w:rsidRPr="001415C7">
        <w:t>Non-Energy Benefits</w:t>
      </w:r>
      <w:bookmarkEnd w:id="65"/>
      <w:r w:rsidRPr="001415C7" w:rsidR="00A277DA">
        <w:t xml:space="preserve"> and Project Prioritization</w:t>
      </w:r>
      <w:bookmarkEnd w:id="66"/>
    </w:p>
    <w:p w:rsidRPr="001415C7" w:rsidR="006A5DB1" w:rsidP="006A5DB1" w:rsidRDefault="006A5DB1" w14:paraId="6B953730" w14:textId="315AC5C2">
      <w:pPr>
        <w:pStyle w:val="Heading3"/>
      </w:pPr>
      <w:bookmarkStart w:name="_Toc228261683" w:id="67"/>
      <w:bookmarkStart w:name="_Toc233633618" w:id="68"/>
      <w:r w:rsidRPr="001415C7">
        <w:t>Climate Impacts</w:t>
      </w:r>
      <w:bookmarkEnd w:id="67"/>
      <w:bookmarkEnd w:id="68"/>
    </w:p>
    <w:p w:rsidRPr="001415C7" w:rsidR="00945D24" w:rsidP="00945D24" w:rsidRDefault="00945D24" w14:paraId="7D8AE6A1" w14:textId="47B6D935">
      <w:r w:rsidRPr="001415C7">
        <w:t xml:space="preserve">Cal Advocates recommends that the pilot projects should aim to reduce net greenhouse gas and particulate emissions or, at </w:t>
      </w:r>
      <w:r w:rsidRPr="001415C7" w:rsidR="00E24923">
        <w:t xml:space="preserve">a </w:t>
      </w:r>
      <w:r w:rsidRPr="001415C7">
        <w:t>minimum, be climate neutral.</w:t>
      </w:r>
      <w:r w:rsidRPr="001415C7">
        <w:rPr>
          <w:rStyle w:val="FootnoteReference"/>
        </w:rPr>
        <w:footnoteReference w:id="70"/>
      </w:r>
      <w:r w:rsidRPr="001415C7">
        <w:t xml:space="preserve"> Cal Advocates recommends against allowing pilots to purchase zero-emission offsets in order to claim GHG reductions.</w:t>
      </w:r>
      <w:r w:rsidRPr="001415C7">
        <w:rPr>
          <w:rStyle w:val="FootnoteReference"/>
        </w:rPr>
        <w:footnoteReference w:id="71"/>
      </w:r>
    </w:p>
    <w:p w:rsidRPr="001415C7" w:rsidR="00945D24" w:rsidP="00945D24" w:rsidRDefault="00945D24" w14:paraId="54BE9E94" w14:textId="77777777">
      <w:r w:rsidRPr="001415C7">
        <w:t>Parties recommend that each pilot application should include some or all of the following information:</w:t>
      </w:r>
      <w:r w:rsidRPr="001415C7">
        <w:rPr>
          <w:rStyle w:val="FootnoteReference"/>
        </w:rPr>
        <w:footnoteReference w:id="72"/>
      </w:r>
    </w:p>
    <w:p w:rsidRPr="001415C7" w:rsidR="00945D24" w:rsidP="00BB1713" w:rsidRDefault="00945D24" w14:paraId="2FD689C7" w14:textId="77777777">
      <w:pPr>
        <w:pStyle w:val="ListBullet"/>
        <w:ind w:right="1440"/>
      </w:pPr>
      <w:r w:rsidRPr="001415C7">
        <w:t>Changes in GHG emissions (San Francisco; SoCalGas and SDG&amp;E; Southwest Gas)</w:t>
      </w:r>
    </w:p>
    <w:p w:rsidRPr="001415C7" w:rsidR="00945D24" w:rsidP="00BB1713" w:rsidRDefault="00945D24" w14:paraId="5470745A" w14:textId="77777777">
      <w:pPr>
        <w:pStyle w:val="ListBullet"/>
        <w:ind w:right="1440"/>
      </w:pPr>
      <w:r w:rsidRPr="001415C7">
        <w:t>Changes in particulate emissions (SoCalGas and SDG&amp;E).</w:t>
      </w:r>
    </w:p>
    <w:p w:rsidRPr="001415C7" w:rsidR="000A4CF3" w:rsidP="00BB1713" w:rsidRDefault="00945D24" w14:paraId="5D2CFF9D" w14:textId="2D8C401B">
      <w:pPr>
        <w:pStyle w:val="ListBullet"/>
        <w:ind w:right="1440"/>
      </w:pPr>
      <w:r w:rsidRPr="001415C7">
        <w:t>Changes in transportation emissions (SoCalGas and SDG&amp;E).</w:t>
      </w:r>
    </w:p>
    <w:p w:rsidRPr="001415C7" w:rsidR="002F284F" w:rsidP="0082639B" w:rsidRDefault="0082639B" w14:paraId="4AA98E93" w14:textId="3951769D">
      <w:pPr>
        <w:pStyle w:val="Standard"/>
      </w:pPr>
      <w:r w:rsidRPr="001415C7">
        <w:t xml:space="preserve">This decision requires applications to include forecasts of the proposed projects’ impact on annual gas consumption and GHG emissions because the </w:t>
      </w:r>
      <w:r w:rsidRPr="001415C7">
        <w:lastRenderedPageBreak/>
        <w:t xml:space="preserve">goals of the program include promoting decarbonization and the adoption of zero emission alternatives to natural gas service. For the purposes of standardization, applications shall calculate avoided GHG emissions using the Commission’s Avoided Cost Calculator. </w:t>
      </w:r>
    </w:p>
    <w:p w:rsidRPr="001415C7" w:rsidR="00672372" w:rsidP="008050F0" w:rsidRDefault="006A5DB1" w14:paraId="5509532A" w14:textId="11170C19">
      <w:pPr>
        <w:pStyle w:val="Heading3"/>
      </w:pPr>
      <w:bookmarkStart w:name="_Toc228261684" w:id="69"/>
      <w:bookmarkStart w:name="_Toc233633619" w:id="70"/>
      <w:r w:rsidRPr="001415C7">
        <w:t>High-Road Jobs</w:t>
      </w:r>
      <w:bookmarkEnd w:id="69"/>
      <w:bookmarkEnd w:id="70"/>
    </w:p>
    <w:p w:rsidRPr="001415C7" w:rsidR="002A7FB4" w:rsidP="002A7FB4" w:rsidRDefault="002A7FB4" w14:paraId="49991BBE" w14:textId="77777777">
      <w:pPr>
        <w:pStyle w:val="Standard"/>
      </w:pPr>
      <w:r w:rsidRPr="001415C7">
        <w:t>Section 663(b)(6) requires the Commission to establish a “preference for pilot projects that provide prevailing wages and use high road job programs.” Scoping Issue 16 asks how “gas corporations [should] demonstrate a preference for projects that provide prevailing wages and use high-road jobs programs” and whether the “Commission [should] consider definitions of high road job programs in other state laws to implement this provision.” There is no single definition of a high-road job, but parties generally convey “high road jobs” are jobs that pay prevailing wages, hire union members, and recruit from apprentice programs.</w:t>
      </w:r>
      <w:r w:rsidRPr="001415C7">
        <w:rPr>
          <w:vertAlign w:val="superscript"/>
        </w:rPr>
        <w:footnoteReference w:id="73"/>
      </w:r>
      <w:r w:rsidRPr="001415C7">
        <w:t xml:space="preserve"> The Labor Coalition offers that “high road jobs programs” is best understood to mean state-certified apprenticeship programs administered by the California Department of Industrial Relations.</w:t>
      </w:r>
      <w:r w:rsidRPr="001415C7">
        <w:rPr>
          <w:vertAlign w:val="superscript"/>
        </w:rPr>
        <w:footnoteReference w:id="74"/>
      </w:r>
      <w:r w:rsidRPr="001415C7">
        <w:t xml:space="preserve"> </w:t>
      </w:r>
    </w:p>
    <w:p w:rsidRPr="001415C7" w:rsidR="002A7FB4" w:rsidP="002A7FB4" w:rsidRDefault="002A7FB4" w14:paraId="11CA2443" w14:textId="77777777">
      <w:pPr>
        <w:pStyle w:val="Standard"/>
      </w:pPr>
      <w:r w:rsidRPr="001415C7">
        <w:t>CUE asks the Commission to “give preference to contractors who provide high-quality, high-road jobs that pay prevailing wages” for BTM work.</w:t>
      </w:r>
      <w:r w:rsidRPr="001415C7">
        <w:rPr>
          <w:vertAlign w:val="superscript"/>
        </w:rPr>
        <w:footnoteReference w:id="75"/>
      </w:r>
      <w:r w:rsidRPr="001415C7">
        <w:t xml:space="preserve"> CUE and the Labor Coalition argue that high-road contractors do better work, create </w:t>
      </w:r>
      <w:r w:rsidRPr="001415C7">
        <w:lastRenderedPageBreak/>
        <w:t>higher customer satisfaction, and provide better working conditions and career ladders than non-high road contractors do.</w:t>
      </w:r>
      <w:r w:rsidRPr="001415C7">
        <w:rPr>
          <w:vertAlign w:val="superscript"/>
        </w:rPr>
        <w:footnoteReference w:id="76"/>
      </w:r>
      <w:r w:rsidRPr="001415C7">
        <w:t xml:space="preserve"> </w:t>
      </w:r>
    </w:p>
    <w:p w:rsidRPr="001415C7" w:rsidR="002A7FB4" w:rsidP="002A7FB4" w:rsidRDefault="002A7FB4" w14:paraId="12DDE8D2" w14:textId="5F5FB87A">
      <w:pPr>
        <w:pStyle w:val="Standard"/>
      </w:pPr>
      <w:r w:rsidRPr="001415C7">
        <w:t xml:space="preserve">The Labor Coalition argues that one of the barriers to availability of union labor for BTM work is that there is not a predictable and steady volume of BTM work. To help address this, the Labor Coalition recommends requiring </w:t>
      </w:r>
      <w:r w:rsidRPr="001415C7" w:rsidR="00CB4E3D">
        <w:t xml:space="preserve">gas corporations </w:t>
      </w:r>
      <w:r w:rsidRPr="001415C7">
        <w:t>to include in their pilot application a “BTM Bundling Plan that identifies how BTM workloads will be bundled and streamlined to facilitate the deployment of skilled, trained, high-road crews.”</w:t>
      </w:r>
      <w:r w:rsidRPr="001415C7">
        <w:rPr>
          <w:vertAlign w:val="superscript"/>
        </w:rPr>
        <w:footnoteReference w:id="77"/>
      </w:r>
      <w:r w:rsidRPr="001415C7">
        <w:t xml:space="preserve"> </w:t>
      </w:r>
    </w:p>
    <w:p w:rsidRPr="001415C7" w:rsidR="002A7FB4" w:rsidP="002A7FB4" w:rsidRDefault="002A7FB4" w14:paraId="663988E4" w14:textId="6BBB0E0D">
      <w:pPr>
        <w:pStyle w:val="Standard"/>
      </w:pPr>
      <w:r w:rsidRPr="001415C7">
        <w:t xml:space="preserve">SoCalGas and SDG&amp;E suggest that </w:t>
      </w:r>
      <w:r w:rsidRPr="001415C7" w:rsidR="00237219">
        <w:t xml:space="preserve">gas corporations </w:t>
      </w:r>
      <w:r w:rsidRPr="001415C7">
        <w:t>can, when soliciting bids from contractors to perform work in this program, request that contractors disclose how they will perform the work in accordance with prevailing wages and high-road job programs.</w:t>
      </w:r>
      <w:r w:rsidRPr="001415C7">
        <w:rPr>
          <w:vertAlign w:val="superscript"/>
        </w:rPr>
        <w:footnoteReference w:id="78"/>
      </w:r>
      <w:r w:rsidRPr="001415C7">
        <w:t xml:space="preserve"> They further recommend that any preference for contractors with high-road jobs should be one of the factors, but not the sole deciding factor, when selecting among contractor bids.</w:t>
      </w:r>
      <w:r w:rsidRPr="001415C7">
        <w:rPr>
          <w:vertAlign w:val="superscript"/>
        </w:rPr>
        <w:footnoteReference w:id="79"/>
      </w:r>
      <w:r w:rsidRPr="001415C7">
        <w:t xml:space="preserve"> PG&amp;E agrees, arguing that </w:t>
      </w:r>
      <w:r w:rsidRPr="001415C7" w:rsidR="00237219">
        <w:t xml:space="preserve">applicants </w:t>
      </w:r>
      <w:r w:rsidRPr="001415C7">
        <w:t xml:space="preserve">should have flexibility in selecting the appropriate contractors for each job because </w:t>
      </w:r>
      <w:r w:rsidRPr="001415C7" w:rsidR="00864A45">
        <w:t xml:space="preserve">there </w:t>
      </w:r>
      <w:r w:rsidRPr="001415C7">
        <w:t>are “likely to be circumstances where a contractor has specialized skills, a very small workforce, or operates in a part of our service territory with limited labor resources” and that strict labor requirements could materially restrict the utilities’ ability to source and retain the appropriate contractors – especially for BTM work.</w:t>
      </w:r>
      <w:r w:rsidRPr="001415C7">
        <w:rPr>
          <w:vertAlign w:val="superscript"/>
        </w:rPr>
        <w:footnoteReference w:id="80"/>
      </w:r>
    </w:p>
    <w:p w:rsidRPr="001415C7" w:rsidR="002A7FB4" w:rsidP="002A7FB4" w:rsidRDefault="002A7FB4" w14:paraId="48459368" w14:textId="021707BB">
      <w:pPr>
        <w:pStyle w:val="Standard"/>
      </w:pPr>
      <w:r w:rsidRPr="001415C7">
        <w:lastRenderedPageBreak/>
        <w:t xml:space="preserve">San Francisco, SoCalGas and SDG&amp;E also suggest that </w:t>
      </w:r>
      <w:r w:rsidRPr="001415C7" w:rsidR="00237219">
        <w:t xml:space="preserve">gas corporations </w:t>
      </w:r>
      <w:r w:rsidRPr="001415C7">
        <w:t>consider the CEC’s Equitable Building Decarbonization Direct Install Program Guidelines (EBD Guidelines) for workforce practices.</w:t>
      </w:r>
      <w:r w:rsidRPr="001415C7">
        <w:rPr>
          <w:vertAlign w:val="superscript"/>
        </w:rPr>
        <w:footnoteReference w:id="81"/>
      </w:r>
      <w:r w:rsidRPr="001415C7">
        <w:t xml:space="preserve"> The Labor Coalition requests the Commission adopt stronger requirements than those outlined in the EBD Guidelines, as the EBD Guidelines lack requirements for hiring from apprenticeships programs, do not provide guidance for bundling BTM projects, do not set compliance or reporting mechanisms requirements, and do not mandate consultation with labor groups.</w:t>
      </w:r>
      <w:r w:rsidRPr="001415C7">
        <w:rPr>
          <w:vertAlign w:val="superscript"/>
        </w:rPr>
        <w:footnoteReference w:id="82"/>
      </w:r>
    </w:p>
    <w:p w:rsidRPr="001415C7" w:rsidR="002A7FB4" w:rsidP="002A7FB4" w:rsidRDefault="002A7FB4" w14:paraId="3034CAEF" w14:textId="06AA2B3E">
      <w:pPr>
        <w:pStyle w:val="Standard"/>
      </w:pPr>
      <w:r w:rsidRPr="001415C7">
        <w:t>CCR REN offer</w:t>
      </w:r>
      <w:r w:rsidRPr="001415C7" w:rsidR="009F7375">
        <w:t>s</w:t>
      </w:r>
      <w:r w:rsidRPr="001415C7">
        <w:t xml:space="preserve"> that participating utilities could support high-road jobs by providing additional funding to Workforce Education and Training (WE&amp;T) initiatives</w:t>
      </w:r>
      <w:r w:rsidRPr="001415C7" w:rsidR="009F7375">
        <w:t xml:space="preserve">, and the Joint CCAs </w:t>
      </w:r>
      <w:r w:rsidRPr="001415C7" w:rsidR="00AB79E0">
        <w:t>encourage coordination with existing workforce initiatives run by regional energy networks</w:t>
      </w:r>
      <w:r w:rsidRPr="001415C7">
        <w:t>.</w:t>
      </w:r>
      <w:r w:rsidRPr="001415C7">
        <w:rPr>
          <w:vertAlign w:val="superscript"/>
        </w:rPr>
        <w:footnoteReference w:id="83"/>
      </w:r>
      <w:r w:rsidRPr="001415C7">
        <w:t xml:space="preserve"> The Labor Coalition strongly opposes this recommendation, arguing that WE&amp;T offerings do not support high-road jobs programs and instead include activities such as remedial education, English-language classes, and non-comprehensive energy trainings.</w:t>
      </w:r>
      <w:r w:rsidRPr="001415C7">
        <w:rPr>
          <w:vertAlign w:val="superscript"/>
        </w:rPr>
        <w:footnoteReference w:id="84"/>
      </w:r>
    </w:p>
    <w:p w:rsidRPr="001415C7" w:rsidR="002A7FB4" w:rsidP="002A7FB4" w:rsidRDefault="002A7FB4" w14:paraId="7459F79B" w14:textId="77777777">
      <w:pPr>
        <w:pStyle w:val="Standard"/>
      </w:pPr>
      <w:r w:rsidRPr="001415C7">
        <w:t>The Labor Coalition asks the Commission to require participating utilities to engage with local building and construction trade councils, for both the utility and the councils to produce summaries of each meeting, and for the utility to include those summaries in their project application.</w:t>
      </w:r>
      <w:r w:rsidRPr="001415C7">
        <w:rPr>
          <w:vertAlign w:val="superscript"/>
        </w:rPr>
        <w:footnoteReference w:id="85"/>
      </w:r>
    </w:p>
    <w:p w:rsidRPr="001415C7" w:rsidR="002A7FB4" w:rsidP="002A7FB4" w:rsidRDefault="002A7FB4" w14:paraId="3A7CEBC5" w14:textId="77777777">
      <w:pPr>
        <w:pStyle w:val="Standard"/>
      </w:pPr>
      <w:r w:rsidRPr="001415C7">
        <w:lastRenderedPageBreak/>
        <w:t>San Francisco recommends that gas utilities conduct outreach to a diverse set of licensed contractors, prioritizing local contractors located in or near the Priority Neighborhood Decarbonization Zones.</w:t>
      </w:r>
      <w:r w:rsidRPr="001415C7">
        <w:rPr>
          <w:vertAlign w:val="superscript"/>
        </w:rPr>
        <w:footnoteReference w:id="86"/>
      </w:r>
    </w:p>
    <w:p w:rsidRPr="001415C7" w:rsidR="00C53AFB" w:rsidP="002A7FB4" w:rsidRDefault="00CC1336" w14:paraId="616DDC0E" w14:textId="55B3E692">
      <w:pPr>
        <w:pStyle w:val="Standard"/>
      </w:pPr>
      <w:r w:rsidRPr="001415C7">
        <w:t>SB 1221 requires the Commission to</w:t>
      </w:r>
      <w:r w:rsidRPr="001415C7" w:rsidR="00BB2D36">
        <w:t xml:space="preserve"> establish a preference for pilot projects that provide prevailing wage and use high road job programs</w:t>
      </w:r>
      <w:r w:rsidRPr="001415C7" w:rsidR="00D928A5">
        <w:t xml:space="preserve">. This decision meets the statutory requirement not </w:t>
      </w:r>
      <w:r w:rsidRPr="001415C7" w:rsidR="0015604C">
        <w:t xml:space="preserve">by setting requirements or mandating project design elements, but instead by requiring applicants to </w:t>
      </w:r>
      <w:r w:rsidRPr="001415C7" w:rsidR="008436E7">
        <w:t xml:space="preserve">establish a </w:t>
      </w:r>
      <w:r w:rsidRPr="001415C7" w:rsidR="00AB1F78">
        <w:t>preference for pilot projects that provide prevailing wages and use high road job programs and to describe in their applications how</w:t>
      </w:r>
      <w:r w:rsidRPr="001415C7" w:rsidR="00613212">
        <w:t xml:space="preserve"> </w:t>
      </w:r>
      <w:r w:rsidRPr="001415C7" w:rsidR="00902133">
        <w:t>they established and implemented that preference</w:t>
      </w:r>
      <w:r w:rsidRPr="001415C7" w:rsidR="00C3770D">
        <w:t xml:space="preserve">. </w:t>
      </w:r>
      <w:r w:rsidRPr="001415C7" w:rsidR="00483EE0">
        <w:t xml:space="preserve">Applicants shall specifically describe how they took into account definitions of high road job programs in other state laws. </w:t>
      </w:r>
    </w:p>
    <w:p w:rsidRPr="001415C7" w:rsidR="00D73FD6" w:rsidP="00936F73" w:rsidRDefault="00D73FD6" w14:paraId="09B72E30" w14:textId="1A281949">
      <w:pPr>
        <w:pStyle w:val="Heading3"/>
        <w:numPr>
          <w:ilvl w:val="2"/>
          <w:numId w:val="1"/>
        </w:numPr>
      </w:pPr>
      <w:bookmarkStart w:name="_Toc233633620" w:id="71"/>
      <w:r w:rsidRPr="001415C7">
        <w:t>Project Prioritization</w:t>
      </w:r>
      <w:bookmarkEnd w:id="71"/>
    </w:p>
    <w:p w:rsidRPr="001415C7" w:rsidR="00D73FD6" w:rsidP="00936F73" w:rsidRDefault="00D73FD6" w14:paraId="3AEC9EBD" w14:textId="354D9438">
      <w:pPr>
        <w:pStyle w:val="Standard"/>
      </w:pPr>
      <w:r w:rsidRPr="001415C7">
        <w:t>SB 1221</w:t>
      </w:r>
      <w:r w:rsidRPr="001415C7" w:rsidR="008437DA">
        <w:t xml:space="preserve"> </w:t>
      </w:r>
      <w:r w:rsidRPr="001415C7" w:rsidR="00BB3669">
        <w:t xml:space="preserve">contains several provisions that discuss </w:t>
      </w:r>
      <w:r w:rsidRPr="001415C7" w:rsidR="0035772E">
        <w:t xml:space="preserve">whether and how the Commission should </w:t>
      </w:r>
      <w:r w:rsidRPr="001415C7" w:rsidR="00086ED6">
        <w:t>give preference or priority to projects that achieve certain goals.</w:t>
      </w:r>
      <w:r w:rsidRPr="001415C7" w:rsidR="00A76FA4">
        <w:t xml:space="preserve"> The bill </w:t>
      </w:r>
      <w:r w:rsidRPr="001415C7" w:rsidR="00297627">
        <w:t xml:space="preserve">tasked the Commission to </w:t>
      </w:r>
      <w:r w:rsidRPr="001415C7" w:rsidR="00754915">
        <w:t xml:space="preserve">designate </w:t>
      </w:r>
      <w:r w:rsidRPr="001415C7" w:rsidR="005A68A5">
        <w:t>PNDZs</w:t>
      </w:r>
      <w:r w:rsidRPr="001415C7" w:rsidR="004601AA">
        <w:t>,</w:t>
      </w:r>
      <w:r w:rsidRPr="001415C7" w:rsidR="00726F5B">
        <w:rPr>
          <w:rStyle w:val="FootnoteReference"/>
        </w:rPr>
        <w:footnoteReference w:id="87"/>
      </w:r>
      <w:r w:rsidRPr="001415C7" w:rsidR="004712C2">
        <w:t xml:space="preserve"> authorized the Commission to </w:t>
      </w:r>
      <w:r w:rsidRPr="001415C7" w:rsidR="001F1D7D">
        <w:t xml:space="preserve">consider </w:t>
      </w:r>
      <w:r w:rsidRPr="001415C7" w:rsidR="004712C2">
        <w:t xml:space="preserve">nonenergy benefits </w:t>
      </w:r>
      <w:r w:rsidRPr="001415C7" w:rsidR="001F1D7D">
        <w:t xml:space="preserve">in </w:t>
      </w:r>
      <w:r w:rsidRPr="001415C7" w:rsidR="004712C2">
        <w:t>prioritiz</w:t>
      </w:r>
      <w:r w:rsidRPr="001415C7" w:rsidR="001F1D7D">
        <w:t>ing</w:t>
      </w:r>
      <w:r w:rsidRPr="001415C7" w:rsidR="004712C2">
        <w:t xml:space="preserve"> pilot projects</w:t>
      </w:r>
      <w:r w:rsidRPr="001415C7" w:rsidR="004601AA">
        <w:t>,</w:t>
      </w:r>
      <w:r w:rsidRPr="001415C7" w:rsidR="009279F4">
        <w:rPr>
          <w:rStyle w:val="FootnoteReference"/>
        </w:rPr>
        <w:footnoteReference w:id="88"/>
      </w:r>
      <w:r w:rsidRPr="001415C7" w:rsidR="00DC7A78">
        <w:t xml:space="preserve"> and required the Commission to establish </w:t>
      </w:r>
      <w:r w:rsidRPr="001415C7" w:rsidR="008A780B">
        <w:t>a preference for pilot projects that provide prevailing wages and use high road job programs.</w:t>
      </w:r>
      <w:r w:rsidRPr="001415C7" w:rsidR="008A780B">
        <w:rPr>
          <w:rStyle w:val="FootnoteReference"/>
        </w:rPr>
        <w:footnoteReference w:id="89"/>
      </w:r>
      <w:r w:rsidRPr="001415C7" w:rsidR="00E56E99">
        <w:t xml:space="preserve"> </w:t>
      </w:r>
      <w:r w:rsidRPr="001415C7" w:rsidR="00D276EA">
        <w:t xml:space="preserve">In </w:t>
      </w:r>
      <w:r w:rsidRPr="001415C7" w:rsidR="001641AE">
        <w:t>determining PNDZs</w:t>
      </w:r>
      <w:r w:rsidRPr="001415C7" w:rsidR="00FD3C90">
        <w:t xml:space="preserve">, </w:t>
      </w:r>
      <w:r w:rsidRPr="001415C7" w:rsidR="000C44C5">
        <w:t xml:space="preserve">SB 1221 directs the </w:t>
      </w:r>
      <w:r w:rsidRPr="001415C7" w:rsidR="006838F9">
        <w:t>C</w:t>
      </w:r>
      <w:r w:rsidRPr="001415C7" w:rsidR="000C44C5">
        <w:t xml:space="preserve">ommission to consider factors including, but not limited to, </w:t>
      </w:r>
      <w:r w:rsidRPr="001415C7" w:rsidR="00662B5D">
        <w:t>the “</w:t>
      </w:r>
      <w:r w:rsidRPr="001415C7" w:rsidR="00525FFF">
        <w:t>[</w:t>
      </w:r>
      <w:r w:rsidRPr="001415C7" w:rsidR="00662B5D">
        <w:t>presence</w:t>
      </w:r>
      <w:r w:rsidRPr="001415C7" w:rsidR="00525FFF">
        <w:t>]</w:t>
      </w:r>
      <w:r w:rsidRPr="001415C7" w:rsidR="00662B5D">
        <w:t xml:space="preserve"> of disadvantaged or low-income communities in high-temperature climate zones or low-temperature climate zones that disproportionately lack cooling or heating,” the </w:t>
      </w:r>
      <w:r w:rsidRPr="001415C7" w:rsidR="00525FFF">
        <w:t xml:space="preserve">“[presence] of environmental and social justice </w:t>
      </w:r>
      <w:r w:rsidRPr="001415C7" w:rsidR="00525FFF">
        <w:lastRenderedPageBreak/>
        <w:t>communities as defined in the commission’s Environmental and Social Justice Action Plan,” the “[availability] of supportive local government or community partners</w:t>
      </w:r>
      <w:r w:rsidRPr="001415C7" w:rsidR="0097148F">
        <w:t>,</w:t>
      </w:r>
      <w:r w:rsidRPr="001415C7" w:rsidR="00182348">
        <w:t>”</w:t>
      </w:r>
      <w:r w:rsidRPr="001415C7" w:rsidR="0097148F">
        <w:t xml:space="preserve"> </w:t>
      </w:r>
      <w:r w:rsidRPr="001415C7" w:rsidR="00182348">
        <w:t xml:space="preserve">and </w:t>
      </w:r>
      <w:r w:rsidRPr="001415C7" w:rsidR="00311783">
        <w:t xml:space="preserve">the </w:t>
      </w:r>
      <w:r w:rsidRPr="001415C7" w:rsidR="005713CF">
        <w:t>“</w:t>
      </w:r>
      <w:r w:rsidRPr="001415C7" w:rsidR="00F75AEE">
        <w:t xml:space="preserve">concentration of </w:t>
      </w:r>
      <w:r w:rsidRPr="001415C7" w:rsidR="008B59B3">
        <w:t xml:space="preserve">gas </w:t>
      </w:r>
      <w:r w:rsidRPr="001415C7" w:rsidR="002222A2">
        <w:t xml:space="preserve">distribution line replacement </w:t>
      </w:r>
      <w:r w:rsidRPr="001415C7" w:rsidR="008B59B3">
        <w:t>projects.</w:t>
      </w:r>
      <w:r w:rsidRPr="001415C7" w:rsidR="00F75AEE">
        <w:t>”</w:t>
      </w:r>
      <w:r w:rsidRPr="001415C7" w:rsidR="00F75AEE">
        <w:rPr>
          <w:rStyle w:val="FootnoteReference"/>
        </w:rPr>
        <w:footnoteReference w:id="90"/>
      </w:r>
      <w:r w:rsidRPr="001415C7" w:rsidR="00A15CBD">
        <w:t xml:space="preserve"> </w:t>
      </w:r>
      <w:r w:rsidRPr="001415C7" w:rsidR="00E56E99">
        <w:t xml:space="preserve">Additionally, </w:t>
      </w:r>
      <w:r w:rsidRPr="001415C7" w:rsidR="00B206EF">
        <w:t>Se</w:t>
      </w:r>
      <w:r w:rsidRPr="001415C7" w:rsidR="00C93176">
        <w:t>c</w:t>
      </w:r>
      <w:r w:rsidRPr="001415C7" w:rsidR="00B206EF">
        <w:t xml:space="preserve">tion 1(c) of </w:t>
      </w:r>
      <w:r w:rsidRPr="001415C7" w:rsidR="00E56E99">
        <w:t>SB 1221</w:t>
      </w:r>
      <w:r w:rsidRPr="001415C7" w:rsidDel="00102BC7" w:rsidR="00E56E99">
        <w:t xml:space="preserve"> </w:t>
      </w:r>
      <w:r w:rsidRPr="001415C7" w:rsidR="00B206EF">
        <w:t>states that it is the “intent of the Legislature that pilot projects authorized by the Public Utilities Commission will provide lessons, including by identifying, documenting, and reporting on key challenges and successes, hurdles to customer participation, cost and affordability implications, customer satisfaction, and other outcomes concerning natural gas corporation distribution system decommissioning and electrification.”</w:t>
      </w:r>
      <w:r w:rsidRPr="001415C7" w:rsidR="009B174F">
        <w:t xml:space="preserve"> </w:t>
      </w:r>
      <w:r w:rsidRPr="001415C7" w:rsidR="00106E71">
        <w:t>These</w:t>
      </w:r>
      <w:r w:rsidRPr="001415C7" w:rsidR="003D3D18">
        <w:t xml:space="preserve"> intentions</w:t>
      </w:r>
      <w:r w:rsidRPr="001415C7" w:rsidR="00106E71">
        <w:t>, taken in totality, provide guidance for applicants in developing their proposals and for the Commission in reviewing and approving the proposals. The Commission will consider</w:t>
      </w:r>
      <w:r w:rsidRPr="001415C7" w:rsidR="0012550B">
        <w:t xml:space="preserve"> how</w:t>
      </w:r>
      <w:r w:rsidRPr="001415C7" w:rsidR="00106E71">
        <w:t xml:space="preserve"> the pilots </w:t>
      </w:r>
      <w:r w:rsidRPr="001415C7" w:rsidR="003B3607">
        <w:t xml:space="preserve">address these priorities both </w:t>
      </w:r>
      <w:r w:rsidRPr="001415C7" w:rsidR="00106E71">
        <w:t>individually and as a group</w:t>
      </w:r>
      <w:r w:rsidRPr="001415C7" w:rsidR="481EDDD0">
        <w:t>.</w:t>
      </w:r>
      <w:r w:rsidRPr="001415C7" w:rsidR="00106E71">
        <w:t xml:space="preserve"> </w:t>
      </w:r>
    </w:p>
    <w:p w:rsidRPr="001415C7" w:rsidR="006A5DB1" w:rsidP="00EF78C6" w:rsidRDefault="006A5DB1" w14:paraId="24E8E6AA" w14:textId="5AB91714">
      <w:pPr>
        <w:pStyle w:val="Heading2"/>
        <w:numPr>
          <w:ilvl w:val="1"/>
          <w:numId w:val="1"/>
        </w:numPr>
      </w:pPr>
      <w:bookmarkStart w:name="_Toc228261685" w:id="72"/>
      <w:bookmarkStart w:name="_Toc233633621" w:id="73"/>
      <w:r w:rsidRPr="001415C7">
        <w:t>Senate Bill 410 Compliance</w:t>
      </w:r>
      <w:bookmarkEnd w:id="72"/>
      <w:bookmarkEnd w:id="73"/>
    </w:p>
    <w:p w:rsidRPr="001415C7" w:rsidR="007A5692" w:rsidP="00BB6AEA" w:rsidRDefault="00D351EB" w14:paraId="17224DA9" w14:textId="3D5BBB2C">
      <w:pPr>
        <w:pStyle w:val="Standard"/>
      </w:pPr>
      <w:r w:rsidRPr="001415C7">
        <w:t xml:space="preserve">The </w:t>
      </w:r>
      <w:r w:rsidRPr="001415C7" w:rsidR="0040398A">
        <w:t xml:space="preserve">Sempra </w:t>
      </w:r>
      <w:r w:rsidRPr="001415C7">
        <w:t>Utilities seek an exemption from the energization timelines established in D.24-09-020 due to the “special circumstances of approvals and funding related to the pilot program.”</w:t>
      </w:r>
      <w:r w:rsidRPr="001415C7">
        <w:rPr>
          <w:rStyle w:val="FootnoteReference"/>
        </w:rPr>
        <w:footnoteReference w:id="91"/>
      </w:r>
      <w:r w:rsidRPr="001415C7">
        <w:t xml:space="preserve"> CUE recommends the development of workplans to demonstrate compliance with average and maximum energization timelines adopted in R.24-01-018.</w:t>
      </w:r>
      <w:r w:rsidRPr="001415C7">
        <w:rPr>
          <w:rStyle w:val="FootnoteReference"/>
        </w:rPr>
        <w:footnoteReference w:id="92"/>
      </w:r>
      <w:r w:rsidRPr="001415C7">
        <w:t xml:space="preserve"> </w:t>
      </w:r>
      <w:r w:rsidRPr="001415C7" w:rsidR="00BB6AEA">
        <w:t xml:space="preserve">CUE asks the Commission to require participating dual-fuel utilities to take actions to demonstrate compliance with certain provisions of SB 410. First, CUE recommends the Commission require the utilities to provide a workplan to demonstrate that their pilots will comply with the energization timelines established in R.24-01-018, the proceeding the </w:t>
      </w:r>
      <w:r w:rsidRPr="001415C7" w:rsidR="00BB6AEA">
        <w:lastRenderedPageBreak/>
        <w:t>Commission opened to implement SB 410; second, CUE suggests the Commission require the utilities to file an addendum to the workforce development plans required by Section 935</w:t>
      </w:r>
      <w:r w:rsidRPr="001415C7" w:rsidR="00D72B76">
        <w:t xml:space="preserve"> and</w:t>
      </w:r>
      <w:r w:rsidRPr="001415C7" w:rsidR="00BB6AEA">
        <w:t xml:space="preserve"> set in place by SB 410.</w:t>
      </w:r>
      <w:r w:rsidRPr="001415C7" w:rsidR="00BB6AEA">
        <w:rPr>
          <w:vertAlign w:val="superscript"/>
        </w:rPr>
        <w:footnoteReference w:id="93"/>
      </w:r>
      <w:r w:rsidRPr="001415C7" w:rsidR="00BB6AEA">
        <w:t xml:space="preserve"> </w:t>
      </w:r>
    </w:p>
    <w:p w:rsidRPr="001415C7" w:rsidR="00A56B46" w:rsidP="00BB1713" w:rsidRDefault="00407631" w14:paraId="035C997E" w14:textId="032855D0">
      <w:pPr>
        <w:pStyle w:val="Standard"/>
      </w:pPr>
      <w:r w:rsidRPr="001415C7">
        <w:t xml:space="preserve">This decision denies the </w:t>
      </w:r>
      <w:r w:rsidRPr="001415C7" w:rsidR="00ED6442">
        <w:t>Sempra</w:t>
      </w:r>
      <w:r w:rsidRPr="001415C7">
        <w:t xml:space="preserve"> Utilities’ request for an exemption from the energization timelines established in D.24-09-020. </w:t>
      </w:r>
      <w:r w:rsidRPr="001415C7" w:rsidR="00CF0419">
        <w:t xml:space="preserve">Exemptions or exceptions to those timelines are more properly sought in R.24-01-018. </w:t>
      </w:r>
      <w:r w:rsidRPr="001415C7" w:rsidR="00BB6AEA">
        <w:t>This decision does not address</w:t>
      </w:r>
      <w:r w:rsidRPr="001415C7" w:rsidR="007A5692">
        <w:t xml:space="preserve"> </w:t>
      </w:r>
      <w:r w:rsidRPr="001415C7" w:rsidR="00BB6AEA">
        <w:t>CUE’s recommendations because they are outside the scope of this proceeding and should properly be addressed in R.24-01-018.</w:t>
      </w:r>
    </w:p>
    <w:p w:rsidRPr="001415C7" w:rsidR="00F33D79" w:rsidP="00F33D79" w:rsidRDefault="00F33D79" w14:paraId="41032237" w14:textId="7628E760">
      <w:pPr>
        <w:pStyle w:val="Heading1"/>
        <w:numPr>
          <w:ilvl w:val="0"/>
          <w:numId w:val="1"/>
        </w:numPr>
      </w:pPr>
      <w:bookmarkStart w:name="_Toc228261686" w:id="74"/>
      <w:bookmarkStart w:name="_Toc233633622" w:id="75"/>
      <w:r w:rsidRPr="001415C7">
        <w:t xml:space="preserve">Coordination </w:t>
      </w:r>
      <w:r w:rsidRPr="001415C7" w:rsidR="00F53A8B">
        <w:t>Among Stakeholders</w:t>
      </w:r>
      <w:bookmarkEnd w:id="74"/>
      <w:bookmarkEnd w:id="75"/>
    </w:p>
    <w:p w:rsidRPr="001415C7" w:rsidR="00F33D79" w:rsidP="00F33D79" w:rsidRDefault="00F33D79" w14:paraId="4C64FBBF" w14:textId="0C376603">
      <w:pPr>
        <w:pStyle w:val="Heading2"/>
        <w:numPr>
          <w:ilvl w:val="1"/>
          <w:numId w:val="1"/>
        </w:numPr>
      </w:pPr>
      <w:bookmarkStart w:name="_Toc228261687" w:id="76"/>
      <w:bookmarkStart w:name="_Toc233633623" w:id="77"/>
      <w:r w:rsidRPr="001415C7">
        <w:t>Information Sharing and Confidentiality Concerns</w:t>
      </w:r>
      <w:bookmarkEnd w:id="76"/>
      <w:bookmarkEnd w:id="77"/>
    </w:p>
    <w:p w:rsidRPr="001415C7" w:rsidR="00A56B46" w:rsidP="00A56B46" w:rsidRDefault="00A56B46" w14:paraId="0B88464F" w14:textId="3EB300EB">
      <w:r w:rsidRPr="001415C7">
        <w:t xml:space="preserve">SoCalGas and SDG&amp;E express concern that the Commission’s existing privacy decisions require utilities to minimize the customer data that </w:t>
      </w:r>
      <w:r w:rsidRPr="001415C7" w:rsidR="00C71D34">
        <w:t xml:space="preserve">they </w:t>
      </w:r>
      <w:r w:rsidRPr="001415C7">
        <w:t>share without explicit customer consent and request that the Commission provide detailed direction regarding data sharing and coordination.</w:t>
      </w:r>
      <w:r w:rsidRPr="001415C7">
        <w:rPr>
          <w:rStyle w:val="FootnoteReference"/>
        </w:rPr>
        <w:footnoteReference w:id="94"/>
      </w:r>
      <w:r w:rsidRPr="001415C7">
        <w:t xml:space="preserve"> SoCalGas and SDG&amp;E </w:t>
      </w:r>
      <w:r w:rsidRPr="001415C7" w:rsidR="00981534">
        <w:t>suggest</w:t>
      </w:r>
      <w:r w:rsidRPr="001415C7">
        <w:t xml:space="preserve"> that current policy and law could present impediments around all types of data sharing; for example, they imply that the gas utility must obtain customer consent before sharing the customer’s contact information with potential partners such as local governments, CBOs, or the like.</w:t>
      </w:r>
      <w:r w:rsidRPr="001415C7">
        <w:rPr>
          <w:rStyle w:val="FootnoteReference"/>
        </w:rPr>
        <w:footnoteReference w:id="95"/>
      </w:r>
    </w:p>
    <w:p w:rsidRPr="001415C7" w:rsidR="00A56B46" w:rsidP="00F540F7" w:rsidRDefault="00843D61" w14:paraId="7A723C82" w14:textId="01958E07">
      <w:pPr>
        <w:pStyle w:val="Standard"/>
      </w:pPr>
      <w:r w:rsidRPr="001415C7">
        <w:t xml:space="preserve">Outreach and engagement efforts </w:t>
      </w:r>
      <w:r w:rsidRPr="001415C7" w:rsidR="00EF0DD8">
        <w:t xml:space="preserve">may </w:t>
      </w:r>
      <w:r w:rsidRPr="001415C7">
        <w:t xml:space="preserve">require utilities to share confidential customer </w:t>
      </w:r>
      <w:r w:rsidRPr="001415C7" w:rsidR="007573C6">
        <w:t xml:space="preserve">contact </w:t>
      </w:r>
      <w:r w:rsidRPr="001415C7">
        <w:t>information</w:t>
      </w:r>
      <w:r w:rsidRPr="001415C7" w:rsidR="008F1214">
        <w:t xml:space="preserve"> with </w:t>
      </w:r>
      <w:r w:rsidRPr="001415C7" w:rsidR="00496809">
        <w:t>coordinating</w:t>
      </w:r>
      <w:r w:rsidRPr="001415C7" w:rsidR="00D4146C">
        <w:t xml:space="preserve"> entities</w:t>
      </w:r>
      <w:r w:rsidRPr="001415C7" w:rsidR="00392B79">
        <w:t>. The utilities</w:t>
      </w:r>
      <w:r w:rsidRPr="001415C7">
        <w:t xml:space="preserve"> </w:t>
      </w:r>
      <w:r w:rsidRPr="001415C7" w:rsidR="00F540F7">
        <w:t>shall</w:t>
      </w:r>
      <w:r w:rsidRPr="001415C7">
        <w:t xml:space="preserve"> </w:t>
      </w:r>
      <w:r w:rsidRPr="001415C7" w:rsidR="00392B79">
        <w:t xml:space="preserve">exercise prudence in determining with whom they share this information and take </w:t>
      </w:r>
      <w:r w:rsidRPr="001415C7" w:rsidR="005F255B">
        <w:t>all legally</w:t>
      </w:r>
      <w:r w:rsidRPr="001415C7" w:rsidR="00392B79">
        <w:t xml:space="preserve"> appropriate steps to </w:t>
      </w:r>
      <w:r w:rsidRPr="001415C7" w:rsidR="00121EFA">
        <w:t xml:space="preserve">safeguard the data, </w:t>
      </w:r>
      <w:r w:rsidRPr="001415C7" w:rsidR="005F255B">
        <w:t xml:space="preserve">in compliance with </w:t>
      </w:r>
      <w:r w:rsidRPr="001415C7" w:rsidR="005F255B">
        <w:lastRenderedPageBreak/>
        <w:t>relevant law and Commission rules. In addition,</w:t>
      </w:r>
      <w:r w:rsidRPr="001415C7" w:rsidR="00121EFA">
        <w:t xml:space="preserve"> utilities </w:t>
      </w:r>
      <w:r w:rsidRPr="001415C7" w:rsidR="00F540F7">
        <w:t>shall</w:t>
      </w:r>
      <w:r w:rsidRPr="001415C7" w:rsidR="00121EFA">
        <w:t xml:space="preserve"> develop and execute </w:t>
      </w:r>
      <w:r w:rsidRPr="001415C7" w:rsidR="0021353D">
        <w:t>nondisclosure agreements (</w:t>
      </w:r>
      <w:r w:rsidRPr="001415C7" w:rsidR="00121EFA">
        <w:t>NDAs</w:t>
      </w:r>
      <w:r w:rsidRPr="001415C7" w:rsidR="0021353D">
        <w:t>)</w:t>
      </w:r>
      <w:r w:rsidRPr="001415C7" w:rsidR="00121EFA">
        <w:t xml:space="preserve"> with </w:t>
      </w:r>
      <w:r w:rsidRPr="001415C7" w:rsidR="00D4146C">
        <w:t xml:space="preserve">the </w:t>
      </w:r>
      <w:r w:rsidRPr="001415C7" w:rsidR="00A029CC">
        <w:t>coordinating</w:t>
      </w:r>
      <w:r w:rsidRPr="001415C7" w:rsidR="00D4146C">
        <w:t xml:space="preserve"> entities </w:t>
      </w:r>
      <w:r w:rsidRPr="001415C7" w:rsidR="00121EFA">
        <w:t>as necessary.</w:t>
      </w:r>
      <w:r w:rsidRPr="001415C7" w:rsidR="000D5944">
        <w:t xml:space="preserve"> Utilities may look</w:t>
      </w:r>
      <w:r w:rsidRPr="001415C7" w:rsidR="00095173">
        <w:t xml:space="preserve"> for guidance </w:t>
      </w:r>
      <w:r w:rsidRPr="001415C7" w:rsidR="00DC4B1F">
        <w:t>from</w:t>
      </w:r>
      <w:r w:rsidRPr="001415C7" w:rsidR="000D5944">
        <w:t xml:space="preserve"> other Commission decisions on programs such as the Energy Savings Assistance Program</w:t>
      </w:r>
      <w:r w:rsidRPr="001415C7" w:rsidR="008C4907">
        <w:t xml:space="preserve"> or the </w:t>
      </w:r>
      <w:r w:rsidRPr="001415C7" w:rsidR="00226975">
        <w:t xml:space="preserve">Community Help and Awareness of Natural Gas and Electric Services (CHANGES) </w:t>
      </w:r>
      <w:r w:rsidRPr="001415C7" w:rsidR="008C4907">
        <w:t>program</w:t>
      </w:r>
      <w:r w:rsidRPr="001415C7" w:rsidR="00B26925">
        <w:t xml:space="preserve"> where utilities coordinate with CBOs for outreach purposes.</w:t>
      </w:r>
    </w:p>
    <w:p w:rsidRPr="001415C7" w:rsidR="00F53A8B" w:rsidP="6E8A9C55" w:rsidRDefault="00A029CC" w14:paraId="60FA82BB" w14:textId="617666A7">
      <w:pPr>
        <w:pStyle w:val="Heading2"/>
      </w:pPr>
      <w:bookmarkStart w:name="_Toc233633624" w:id="78"/>
      <w:r w:rsidRPr="001415C7">
        <w:t xml:space="preserve">Coordinating </w:t>
      </w:r>
      <w:r w:rsidRPr="001415C7" w:rsidR="002935EF">
        <w:t>Entit</w:t>
      </w:r>
      <w:r w:rsidRPr="001415C7">
        <w:t>ies</w:t>
      </w:r>
      <w:bookmarkEnd w:id="78"/>
      <w:r w:rsidRPr="001415C7">
        <w:t xml:space="preserve"> </w:t>
      </w:r>
    </w:p>
    <w:p w:rsidRPr="001415C7" w:rsidR="00BF40FA" w:rsidP="00BF40FA" w:rsidRDefault="00BF40FA" w14:paraId="3E2AFD19" w14:textId="72B0F3FF">
      <w:bookmarkStart w:name="_Toc228261689" w:id="79"/>
      <w:r w:rsidRPr="001415C7">
        <w:t>Code Section 663(b)(7) obligates the Commission to set a requirement that “gas corporations and electrical corporations, local publicly-owned electric utilities, load-serving entities, local governments, and, if feasible, core transport agents affected by the pilot project coordinate and collaborate.”</w:t>
      </w:r>
    </w:p>
    <w:p w:rsidRPr="001415C7" w:rsidR="00BF40FA" w:rsidP="00BF40FA" w:rsidRDefault="00BF40FA" w14:paraId="123C6D3E" w14:textId="77777777">
      <w:r w:rsidRPr="001415C7">
        <w:t>CCR REN, Elk Grove, and LGSEC recommend that the gas utilities hold regular coordination meetings to convene all the organizations serving the pilot regions (e.g., public and investor-owned utilities, local governments, core transport agents, CBOs, organizations that provide workforce education and training).</w:t>
      </w:r>
      <w:r w:rsidRPr="001415C7">
        <w:rPr>
          <w:rStyle w:val="FootnoteReference"/>
        </w:rPr>
        <w:footnoteReference w:id="96"/>
      </w:r>
      <w:r w:rsidRPr="001415C7">
        <w:t xml:space="preserve"> Some parties refer to these meetings as a Technical Advisor Committee, and most suggest that this process should begin during the project development phase and carry through the implementation phase.</w:t>
      </w:r>
      <w:r w:rsidRPr="001415C7">
        <w:rPr>
          <w:rStyle w:val="FootnoteReference"/>
        </w:rPr>
        <w:footnoteReference w:id="97"/>
      </w:r>
      <w:r w:rsidRPr="001415C7">
        <w:t xml:space="preserve"> SoCalGas and SDG&amp;E agree that gas utilities should conduct early and active outreach to local stakeholders.</w:t>
      </w:r>
      <w:r w:rsidRPr="001415C7">
        <w:rPr>
          <w:rStyle w:val="FootnoteReference"/>
        </w:rPr>
        <w:t xml:space="preserve"> </w:t>
      </w:r>
      <w:r w:rsidRPr="001415C7">
        <w:rPr>
          <w:rStyle w:val="FootnoteReference"/>
        </w:rPr>
        <w:footnoteReference w:id="98"/>
      </w:r>
    </w:p>
    <w:p w:rsidRPr="001415C7" w:rsidR="00BF40FA" w:rsidP="00BF40FA" w:rsidRDefault="00BF40FA" w14:paraId="3337B01A" w14:textId="2DE6C3C3">
      <w:r w:rsidRPr="001415C7">
        <w:lastRenderedPageBreak/>
        <w:t xml:space="preserve">San Francisco recommends that the utilities demonstrate that </w:t>
      </w:r>
      <w:r w:rsidRPr="001415C7" w:rsidR="00B568CD">
        <w:t>there is</w:t>
      </w:r>
      <w:r w:rsidRPr="001415C7">
        <w:t xml:space="preserve"> indicated interest from a local organization (i.e., local government, CBO, etc.) for each project in their applications.</w:t>
      </w:r>
      <w:r w:rsidRPr="001415C7">
        <w:rPr>
          <w:rStyle w:val="FootnoteReference"/>
        </w:rPr>
        <w:footnoteReference w:id="99"/>
      </w:r>
    </w:p>
    <w:p w:rsidRPr="001415C7" w:rsidR="00BF40FA" w:rsidP="00BF40FA" w:rsidRDefault="00BF40FA" w14:paraId="7A6BA158" w14:textId="77777777">
      <w:pPr>
        <w:rPr>
          <w:rStyle w:val="FootnoteReference"/>
        </w:rPr>
      </w:pPr>
      <w:r w:rsidRPr="001415C7">
        <w:t>San Francisco recommends that each application should include a list of identified (i.e., confirmed) project partners, and SoCalGas and SDG&amp;E recommend documenting whether the gas utility has engaged with local governments or other local organizations.</w:t>
      </w:r>
      <w:r w:rsidRPr="001415C7">
        <w:rPr>
          <w:rStyle w:val="FootnoteReference"/>
        </w:rPr>
        <w:footnoteReference w:id="100"/>
      </w:r>
    </w:p>
    <w:p w:rsidRPr="001415C7" w:rsidR="00BF40FA" w:rsidP="00BF40FA" w:rsidRDefault="00BF40FA" w14:paraId="0E19AD40" w14:textId="08F0D467">
      <w:r w:rsidRPr="001415C7">
        <w:t xml:space="preserve">San Francisco recommends that local organizations should have a point of contact at the utilities and be able to propose pilot programs during the project planning process; they also recommend </w:t>
      </w:r>
      <w:r w:rsidRPr="001415C7" w:rsidR="00273ABD">
        <w:t xml:space="preserve">that </w:t>
      </w:r>
      <w:r w:rsidRPr="001415C7" w:rsidR="00912E66">
        <w:t>organizations</w:t>
      </w:r>
      <w:r w:rsidRPr="001415C7">
        <w:t xml:space="preserve"> that suggest projects should be committed to supporting the implementation of any pilots they propose.</w:t>
      </w:r>
      <w:r w:rsidRPr="001415C7">
        <w:rPr>
          <w:rStyle w:val="FootnoteReference"/>
        </w:rPr>
        <w:footnoteReference w:id="101"/>
      </w:r>
    </w:p>
    <w:p w:rsidRPr="001415C7" w:rsidR="00BF40FA" w:rsidP="00BF40FA" w:rsidRDefault="00BF40FA" w14:paraId="0A182288" w14:textId="1A112E9D">
      <w:r w:rsidRPr="001415C7">
        <w:t>Southwest Gas asserts that electric and gas utilities must coordinate their outreach to ensure consistency and efficacy of their communications and that this coordination must begin at project onset and continue throughout.</w:t>
      </w:r>
      <w:r w:rsidRPr="001415C7">
        <w:rPr>
          <w:rStyle w:val="FootnoteReference"/>
        </w:rPr>
        <w:footnoteReference w:id="102"/>
      </w:r>
      <w:r w:rsidRPr="001415C7">
        <w:t xml:space="preserve"> This requirement applies to customer communications as well as efforts to coordinate with community partners, coordinators, and other stakeholders; the requirement also holds true for both the project identification and implementation phases.</w:t>
      </w:r>
      <w:r w:rsidRPr="001415C7">
        <w:rPr>
          <w:rStyle w:val="FootnoteReference"/>
        </w:rPr>
        <w:footnoteReference w:id="103"/>
      </w:r>
    </w:p>
    <w:p w:rsidRPr="001415C7" w:rsidR="00BF40FA" w:rsidP="00BF40FA" w:rsidRDefault="00BF40FA" w14:paraId="5AF16A4F" w14:textId="5D592AF5">
      <w:r w:rsidRPr="001415C7">
        <w:t xml:space="preserve">D.25-12-042 required SDG&amp;E, SoCalGas, PG&amp;E and Southwest Gas to provide reports on the outreach required by the decision and to submit proposals </w:t>
      </w:r>
      <w:r w:rsidRPr="001415C7">
        <w:lastRenderedPageBreak/>
        <w:t>for ongoing outreach beyond April 1, 2026. PG&amp;E’s outreach plans include creating a standardized tracking process for interested potential collaborators and potential projects, a project screening framework pending stakeholder input and CPUC direction, and a method to inform potential collaborators about potential projects in their area.</w:t>
      </w:r>
      <w:r w:rsidRPr="001415C7">
        <w:rPr>
          <w:rStyle w:val="FootnoteReference"/>
        </w:rPr>
        <w:footnoteReference w:id="104"/>
      </w:r>
      <w:r w:rsidRPr="001415C7">
        <w:t xml:space="preserve"> </w:t>
      </w:r>
    </w:p>
    <w:p w:rsidRPr="001415C7" w:rsidR="00BF40FA" w:rsidP="00E541B0" w:rsidRDefault="00BF40FA" w14:paraId="5A183AFD" w14:textId="4D980E5F">
      <w:pPr>
        <w:pStyle w:val="Standard"/>
      </w:pPr>
      <w:r w:rsidRPr="001415C7">
        <w:t xml:space="preserve">This decision requires pilot applicants to engage with local </w:t>
      </w:r>
      <w:r w:rsidRPr="001415C7" w:rsidR="00B81FDE">
        <w:t xml:space="preserve">entities </w:t>
      </w:r>
      <w:r w:rsidRPr="001415C7">
        <w:t>to ensure they are aware of the proposed pilot projects and can contribute as appropriate. This decision further requires the large gas utilities to develop a method to advertise the existence of the pilot program on their SB 1221 webpages; to inform local partners about the program and describe how they can apply to participate or provide input; and to develop a standardized internal process for tracking and following up on expressions of interest they receive.</w:t>
      </w:r>
    </w:p>
    <w:p w:rsidRPr="001415C7" w:rsidR="00BF40FA" w:rsidP="00BF40FA" w:rsidRDefault="00BF40FA" w14:paraId="6E9BD9A5" w14:textId="2A38223B">
      <w:pPr>
        <w:pStyle w:val="Standard"/>
      </w:pPr>
      <w:r w:rsidRPr="001415C7">
        <w:t xml:space="preserve">Applications </w:t>
      </w:r>
      <w:r w:rsidRPr="001415C7" w:rsidR="001426B9">
        <w:t xml:space="preserve">shall </w:t>
      </w:r>
      <w:r w:rsidRPr="001415C7">
        <w:t xml:space="preserve">document the utilities’ outreach efforts, specifying to whom they reached out, at what frequency, how the outreach was conducted, forms of communication used, </w:t>
      </w:r>
      <w:r w:rsidRPr="001415C7" w:rsidR="00A07EC4">
        <w:t xml:space="preserve">and </w:t>
      </w:r>
      <w:r w:rsidRPr="001415C7">
        <w:t xml:space="preserve">what response was received. That is, the application </w:t>
      </w:r>
      <w:r w:rsidRPr="001415C7" w:rsidR="001B379F">
        <w:t xml:space="preserve">shall </w:t>
      </w:r>
      <w:r w:rsidRPr="001415C7">
        <w:t xml:space="preserve">include sufficient detail for the Commission to assess whether the outreach was conducted in good faith, timely, complete, and coordinated with local </w:t>
      </w:r>
      <w:r w:rsidRPr="001415C7" w:rsidR="003A2825">
        <w:t>entities</w:t>
      </w:r>
      <w:r w:rsidRPr="001415C7">
        <w:t xml:space="preserve">. </w:t>
      </w:r>
      <w:r w:rsidRPr="001415C7" w:rsidR="001426B9">
        <w:t xml:space="preserve">In particular, the application shall describe the applicant’s process to </w:t>
      </w:r>
      <w:r w:rsidRPr="001415C7" w:rsidR="00735067">
        <w:t xml:space="preserve">review and select CBOs with whom they chose to work and </w:t>
      </w:r>
      <w:r w:rsidRPr="001415C7" w:rsidR="26C246EF">
        <w:t xml:space="preserve">explain </w:t>
      </w:r>
      <w:r w:rsidRPr="001415C7" w:rsidR="00735067">
        <w:t xml:space="preserve">their choice to work – or not work – with CBOs. </w:t>
      </w:r>
      <w:r w:rsidRPr="001415C7">
        <w:t xml:space="preserve">Applications shall list the local </w:t>
      </w:r>
      <w:r w:rsidRPr="001415C7" w:rsidR="0090543A">
        <w:t xml:space="preserve">entities </w:t>
      </w:r>
      <w:r w:rsidRPr="001415C7">
        <w:t xml:space="preserve">with whom the applicants are coordinating and include any letters of support. </w:t>
      </w:r>
      <w:r w:rsidRPr="001415C7" w:rsidR="008A6A06">
        <w:t xml:space="preserve">The applications shall include a list of </w:t>
      </w:r>
      <w:r w:rsidRPr="001415C7" w:rsidR="00035FF3">
        <w:t xml:space="preserve">local </w:t>
      </w:r>
      <w:r w:rsidRPr="001415C7" w:rsidR="001D7DDD">
        <w:t xml:space="preserve">entities that </w:t>
      </w:r>
      <w:r w:rsidRPr="001415C7" w:rsidR="00035FF3">
        <w:t xml:space="preserve">recommended the </w:t>
      </w:r>
      <w:r w:rsidRPr="001415C7" w:rsidR="002E4767">
        <w:t>gas corporation explore or propose a specific pilot project or a project in a specific region. In cases where the</w:t>
      </w:r>
      <w:r w:rsidRPr="001415C7" w:rsidR="005B0813">
        <w:t xml:space="preserve"> gas corporation did not </w:t>
      </w:r>
      <w:r w:rsidRPr="001415C7" w:rsidR="00EA7A31">
        <w:t xml:space="preserve">include the </w:t>
      </w:r>
      <w:r w:rsidRPr="001415C7" w:rsidR="00EA7A31">
        <w:lastRenderedPageBreak/>
        <w:t xml:space="preserve">recommended proposals in their applications, the </w:t>
      </w:r>
      <w:r w:rsidRPr="001415C7" w:rsidR="008437EB">
        <w:t>gas corporation shall explain their rationale.</w:t>
      </w:r>
    </w:p>
    <w:p w:rsidRPr="001415C7" w:rsidR="00BF40FA" w:rsidP="00BF40FA" w:rsidRDefault="00F123A6" w14:paraId="6BF971B2" w14:textId="1FE91D7D">
      <w:pPr>
        <w:pStyle w:val="Standard"/>
      </w:pPr>
      <w:r w:rsidRPr="001415C7">
        <w:t xml:space="preserve">This decision requires applications to include a description of how the </w:t>
      </w:r>
      <w:r w:rsidRPr="001415C7" w:rsidR="005C796A">
        <w:t xml:space="preserve">gas corporation </w:t>
      </w:r>
      <w:r w:rsidRPr="001415C7">
        <w:t xml:space="preserve">will </w:t>
      </w:r>
      <w:r w:rsidRPr="001415C7" w:rsidR="005C796A">
        <w:t xml:space="preserve">keep </w:t>
      </w:r>
      <w:r w:rsidRPr="001415C7" w:rsidR="00C64F79">
        <w:t>coordinating entities</w:t>
      </w:r>
      <w:r w:rsidRPr="001415C7" w:rsidR="00BF40FA">
        <w:t xml:space="preserve">, the community, and other relevant stakeholders up to date </w:t>
      </w:r>
      <w:r w:rsidRPr="001415C7" w:rsidR="005C796A">
        <w:t xml:space="preserve">on the pilot implementation process </w:t>
      </w:r>
      <w:r w:rsidRPr="001415C7" w:rsidR="00BF40FA">
        <w:t xml:space="preserve">and provide </w:t>
      </w:r>
      <w:r w:rsidRPr="001415C7" w:rsidR="005C796A">
        <w:t xml:space="preserve">them opportunities to give </w:t>
      </w:r>
      <w:r w:rsidRPr="001415C7" w:rsidR="00BF40FA">
        <w:t>input into the process.</w:t>
      </w:r>
    </w:p>
    <w:p w:rsidRPr="001415C7" w:rsidR="00912CB0" w:rsidP="00912CB0" w:rsidRDefault="006117EC" w14:paraId="7F99BFDB" w14:textId="4297CB08">
      <w:pPr>
        <w:pStyle w:val="Heading1"/>
        <w:numPr>
          <w:ilvl w:val="0"/>
          <w:numId w:val="1"/>
        </w:numPr>
      </w:pPr>
      <w:bookmarkStart w:name="_Toc233633625" w:id="80"/>
      <w:bookmarkEnd w:id="79"/>
      <w:r w:rsidRPr="001415C7">
        <w:t xml:space="preserve">Obtaining Consent </w:t>
      </w:r>
      <w:r w:rsidRPr="001415C7" w:rsidR="0050282E">
        <w:t xml:space="preserve">and </w:t>
      </w:r>
      <w:r w:rsidRPr="001415C7" w:rsidR="00ED2734">
        <w:t>Outreach</w:t>
      </w:r>
      <w:r w:rsidRPr="001415C7" w:rsidR="0050282E">
        <w:t xml:space="preserve"> Requirements</w:t>
      </w:r>
      <w:bookmarkEnd w:id="80"/>
    </w:p>
    <w:p w:rsidRPr="001415C7" w:rsidR="00912CB0" w:rsidP="00912CB0" w:rsidRDefault="00926526" w14:paraId="1A269B72" w14:textId="7EFFB8DE">
      <w:pPr>
        <w:pStyle w:val="Heading2"/>
        <w:numPr>
          <w:ilvl w:val="1"/>
          <w:numId w:val="1"/>
        </w:numPr>
      </w:pPr>
      <w:bookmarkStart w:name="_Toc228261690" w:id="81"/>
      <w:bookmarkStart w:name="_Toc233633626" w:id="82"/>
      <w:r w:rsidRPr="001415C7">
        <w:t>Obtain</w:t>
      </w:r>
      <w:r w:rsidRPr="001415C7" w:rsidR="004B3CCB">
        <w:t>ing and Documenting</w:t>
      </w:r>
      <w:r w:rsidRPr="001415C7" w:rsidR="00912CB0">
        <w:t xml:space="preserve"> Property</w:t>
      </w:r>
      <w:r w:rsidRPr="001415C7" w:rsidR="004564E2">
        <w:t xml:space="preserve"> </w:t>
      </w:r>
      <w:r w:rsidRPr="001415C7" w:rsidR="00912CB0">
        <w:t>Owner Consent</w:t>
      </w:r>
      <w:bookmarkEnd w:id="81"/>
      <w:bookmarkEnd w:id="82"/>
    </w:p>
    <w:p w:rsidRPr="001415C7" w:rsidR="00B05102" w:rsidP="00B05102" w:rsidRDefault="00B05102" w14:paraId="3ECCB8E4" w14:textId="77777777">
      <w:r w:rsidRPr="001415C7">
        <w:t>Code Section 663(b)(4) obligates the Commission to set a requirement that “no less than 67 percent of the property owners with natural gas service within the pilot project boundary consent to the pilot project” and for notifications about the pilot project to “include information about the anticipated costs and benefits of the zero-emission alternative offering.”</w:t>
      </w:r>
    </w:p>
    <w:p w:rsidRPr="001415C7" w:rsidR="00B05102" w:rsidP="00B05102" w:rsidRDefault="00B05102" w14:paraId="4EDDE9C7" w14:textId="77777777">
      <w:r w:rsidRPr="001415C7">
        <w:t>SoCalGas and SDG&amp;E request that the Commission provide gas utilities with clear guidance about how applicants should demonstrate that 67 percent of the impacted property owners consent to the project.</w:t>
      </w:r>
      <w:r w:rsidRPr="001415C7">
        <w:rPr>
          <w:rStyle w:val="FootnoteReference"/>
        </w:rPr>
        <w:t xml:space="preserve"> </w:t>
      </w:r>
      <w:r w:rsidRPr="001415C7">
        <w:rPr>
          <w:rStyle w:val="FootnoteReference"/>
        </w:rPr>
        <w:footnoteReference w:id="105"/>
      </w:r>
    </w:p>
    <w:p w:rsidRPr="001415C7" w:rsidR="00B05102" w:rsidP="00B05102" w:rsidRDefault="00B05102" w14:paraId="325E6729" w14:textId="33642937">
      <w:r w:rsidRPr="001415C7">
        <w:t xml:space="preserve">Cal Advocates and San Francisco recommend that each application should include a demonstration that </w:t>
      </w:r>
      <w:r w:rsidRPr="001415C7" w:rsidR="71F523F0">
        <w:t xml:space="preserve">the owners of </w:t>
      </w:r>
      <w:r w:rsidRPr="001415C7">
        <w:t>67 percent or more of the propert</w:t>
      </w:r>
      <w:r w:rsidRPr="001415C7" w:rsidR="14E6B693">
        <w:t xml:space="preserve">ies </w:t>
      </w:r>
      <w:r w:rsidRPr="001415C7">
        <w:t xml:space="preserve">have consented to the project (as opposed to seeking authorization that is conditioned on later obtaining </w:t>
      </w:r>
      <w:r w:rsidRPr="001415C7" w:rsidR="502FAB79">
        <w:t>property owner consent</w:t>
      </w:r>
      <w:r w:rsidRPr="001415C7">
        <w:t xml:space="preserve"> ).</w:t>
      </w:r>
      <w:r w:rsidRPr="001415C7">
        <w:rPr>
          <w:rStyle w:val="FootnoteReference"/>
        </w:rPr>
        <w:footnoteReference w:id="106"/>
      </w:r>
      <w:r w:rsidRPr="001415C7">
        <w:t xml:space="preserve"> SoCalGas and SDG&amp;E recommend that gas utilities not be required to </w:t>
      </w:r>
      <w:r w:rsidRPr="001415C7" w:rsidR="7597D15F">
        <w:t>make this showing</w:t>
      </w:r>
      <w:r w:rsidRPr="001415C7">
        <w:t xml:space="preserve"> until after the Commission provisionally approves the pilot projects.</w:t>
      </w:r>
      <w:r w:rsidRPr="001415C7">
        <w:rPr>
          <w:rStyle w:val="FootnoteReference"/>
        </w:rPr>
        <w:footnoteReference w:id="107"/>
      </w:r>
    </w:p>
    <w:p w:rsidRPr="001415C7" w:rsidR="00B05102" w:rsidP="00B05102" w:rsidRDefault="00B05102" w14:paraId="6AA87100" w14:textId="77777777">
      <w:r w:rsidRPr="001415C7">
        <w:lastRenderedPageBreak/>
        <w:t>SoCalGas and SDG&amp;E and Southwest Gas recommend that utilities seeking final project approval should include a description of the consenting and non-consenting customers.</w:t>
      </w:r>
      <w:r w:rsidRPr="001415C7">
        <w:rPr>
          <w:rStyle w:val="FootnoteReference"/>
        </w:rPr>
        <w:footnoteReference w:id="108"/>
      </w:r>
    </w:p>
    <w:p w:rsidRPr="001415C7" w:rsidR="00B05102" w:rsidP="00B05102" w:rsidRDefault="00B05102" w14:paraId="7C525FB8" w14:textId="78183FB8">
      <w:pPr>
        <w:pStyle w:val="NormalWeb"/>
        <w:spacing w:before="0" w:beforeAutospacing="0" w:after="0" w:afterAutospacing="0" w:line="360" w:lineRule="auto"/>
        <w:ind w:firstLine="720"/>
        <w:rPr>
          <w:rFonts w:ascii="Book Antiqua" w:hAnsi="Book Antiqua"/>
          <w:sz w:val="26"/>
          <w:szCs w:val="26"/>
        </w:rPr>
      </w:pPr>
      <w:r w:rsidRPr="001415C7">
        <w:rPr>
          <w:rFonts w:ascii="Book Antiqua" w:hAnsi="Book Antiqua"/>
          <w:sz w:val="26"/>
          <w:szCs w:val="26"/>
        </w:rPr>
        <w:t xml:space="preserve">This decision requires applications </w:t>
      </w:r>
      <w:r w:rsidR="002E4BCA">
        <w:rPr>
          <w:rFonts w:ascii="Book Antiqua" w:hAnsi="Book Antiqua"/>
          <w:sz w:val="26"/>
          <w:szCs w:val="26"/>
        </w:rPr>
        <w:t xml:space="preserve">to </w:t>
      </w:r>
      <w:r w:rsidRPr="001415C7" w:rsidR="00A199F2">
        <w:rPr>
          <w:rFonts w:ascii="Book Antiqua" w:hAnsi="Book Antiqua"/>
          <w:sz w:val="26"/>
          <w:szCs w:val="26"/>
        </w:rPr>
        <w:t xml:space="preserve">demonstrate that the applicant has a reasonable expectation that </w:t>
      </w:r>
      <w:r w:rsidRPr="001415C7" w:rsidR="00EF03FF">
        <w:rPr>
          <w:rFonts w:ascii="Book Antiqua" w:hAnsi="Book Antiqua"/>
          <w:sz w:val="26"/>
          <w:szCs w:val="26"/>
        </w:rPr>
        <w:t xml:space="preserve">no less than 67 percent of the property owners with natural gas service within the pilot project </w:t>
      </w:r>
      <w:r w:rsidRPr="001415C7" w:rsidR="00AD5F88">
        <w:rPr>
          <w:rFonts w:ascii="Book Antiqua" w:hAnsi="Book Antiqua"/>
          <w:sz w:val="26"/>
          <w:szCs w:val="26"/>
        </w:rPr>
        <w:t>area</w:t>
      </w:r>
      <w:r w:rsidRPr="001415C7" w:rsidR="00D172FE">
        <w:rPr>
          <w:rFonts w:ascii="Book Antiqua" w:hAnsi="Book Antiqua"/>
          <w:sz w:val="26"/>
          <w:szCs w:val="26"/>
        </w:rPr>
        <w:t xml:space="preserve"> </w:t>
      </w:r>
      <w:r w:rsidRPr="001415C7" w:rsidR="00CE0C63">
        <w:rPr>
          <w:rFonts w:ascii="Book Antiqua" w:hAnsi="Book Antiqua"/>
          <w:sz w:val="26"/>
          <w:szCs w:val="26"/>
        </w:rPr>
        <w:t>would consent to participate in the project</w:t>
      </w:r>
      <w:r w:rsidRPr="001415C7" w:rsidR="00F36592">
        <w:rPr>
          <w:rFonts w:ascii="Book Antiqua" w:hAnsi="Book Antiqua"/>
          <w:sz w:val="26"/>
          <w:szCs w:val="26"/>
        </w:rPr>
        <w:t>.</w:t>
      </w:r>
      <w:r w:rsidRPr="001415C7" w:rsidR="3FCE2DBE">
        <w:rPr>
          <w:rFonts w:ascii="Book Antiqua" w:hAnsi="Book Antiqua"/>
          <w:sz w:val="26"/>
          <w:szCs w:val="26"/>
        </w:rPr>
        <w:t xml:space="preserve"> </w:t>
      </w:r>
      <w:r w:rsidRPr="001415C7" w:rsidR="3FCE2DBE">
        <w:rPr>
          <w:rFonts w:ascii="Book Antiqua" w:hAnsi="Book Antiqua" w:eastAsia="Book Antiqua" w:cs="Book Antiqua"/>
          <w:sz w:val="26"/>
          <w:szCs w:val="26"/>
        </w:rPr>
        <w:t>Applicants should explain in their applications what evidence supports the reasonable expectation that they anticipate achieving the required consent.</w:t>
      </w:r>
      <w:r w:rsidRPr="001415C7" w:rsidR="00B95793">
        <w:rPr>
          <w:rFonts w:ascii="Book Antiqua" w:hAnsi="Book Antiqua"/>
          <w:sz w:val="26"/>
          <w:szCs w:val="26"/>
        </w:rPr>
        <w:t xml:space="preserve"> </w:t>
      </w:r>
      <w:r w:rsidRPr="001415C7" w:rsidR="00F36592">
        <w:rPr>
          <w:rFonts w:ascii="Book Antiqua" w:hAnsi="Book Antiqua"/>
          <w:sz w:val="26"/>
          <w:szCs w:val="26"/>
        </w:rPr>
        <w:t>G</w:t>
      </w:r>
      <w:r w:rsidRPr="001415C7" w:rsidR="00B95793">
        <w:rPr>
          <w:rFonts w:ascii="Book Antiqua" w:hAnsi="Book Antiqua"/>
          <w:sz w:val="26"/>
          <w:szCs w:val="26"/>
        </w:rPr>
        <w:t>iven the potential for att</w:t>
      </w:r>
      <w:r w:rsidRPr="001415C7" w:rsidR="007C56EE">
        <w:rPr>
          <w:rFonts w:ascii="Book Antiqua" w:hAnsi="Book Antiqua"/>
          <w:sz w:val="26"/>
          <w:szCs w:val="26"/>
        </w:rPr>
        <w:t xml:space="preserve">rition, the Commission encourages applicants to </w:t>
      </w:r>
      <w:r w:rsidRPr="001415C7" w:rsidR="00DF3954">
        <w:rPr>
          <w:rFonts w:ascii="Book Antiqua" w:hAnsi="Book Antiqua"/>
          <w:sz w:val="26"/>
          <w:szCs w:val="26"/>
        </w:rPr>
        <w:t>propose projects for which they anticipate more than 67 percent of the property owners would consent to participate</w:t>
      </w:r>
      <w:r w:rsidRPr="001415C7">
        <w:rPr>
          <w:rFonts w:ascii="Book Antiqua" w:hAnsi="Book Antiqua"/>
          <w:sz w:val="26"/>
          <w:szCs w:val="26"/>
        </w:rPr>
        <w:t xml:space="preserve">. </w:t>
      </w:r>
      <w:r w:rsidRPr="001415C7" w:rsidR="00C10761">
        <w:rPr>
          <w:rFonts w:ascii="Book Antiqua" w:hAnsi="Book Antiqua"/>
          <w:sz w:val="26"/>
          <w:szCs w:val="26"/>
        </w:rPr>
        <w:t xml:space="preserve"> </w:t>
      </w:r>
      <w:r w:rsidRPr="001415C7">
        <w:rPr>
          <w:rFonts w:ascii="Book Antiqua" w:hAnsi="Book Antiqua"/>
          <w:sz w:val="26"/>
          <w:szCs w:val="26"/>
        </w:rPr>
        <w:t xml:space="preserve">Once the Commission approves a pilot, the </w:t>
      </w:r>
      <w:r w:rsidRPr="001415C7" w:rsidR="002E4D05">
        <w:rPr>
          <w:rFonts w:ascii="Book Antiqua" w:hAnsi="Book Antiqua"/>
          <w:sz w:val="26"/>
          <w:szCs w:val="26"/>
        </w:rPr>
        <w:t xml:space="preserve">gas corporation </w:t>
      </w:r>
      <w:r w:rsidRPr="001415C7">
        <w:rPr>
          <w:rFonts w:ascii="Book Antiqua" w:hAnsi="Book Antiqua"/>
          <w:sz w:val="26"/>
          <w:szCs w:val="26"/>
        </w:rPr>
        <w:t xml:space="preserve">shall obtain binding consent documents from </w:t>
      </w:r>
      <w:r w:rsidRPr="001415C7" w:rsidR="0035617F">
        <w:rPr>
          <w:rFonts w:ascii="Book Antiqua" w:hAnsi="Book Antiqua"/>
          <w:sz w:val="26"/>
          <w:szCs w:val="26"/>
        </w:rPr>
        <w:t xml:space="preserve">the owners of </w:t>
      </w:r>
      <w:r w:rsidRPr="001415C7">
        <w:rPr>
          <w:rFonts w:ascii="Book Antiqua" w:hAnsi="Book Antiqua"/>
          <w:sz w:val="26"/>
          <w:szCs w:val="26"/>
        </w:rPr>
        <w:t>67 percent or more of the propert</w:t>
      </w:r>
      <w:r w:rsidRPr="001415C7" w:rsidR="0035617F">
        <w:rPr>
          <w:rFonts w:ascii="Book Antiqua" w:hAnsi="Book Antiqua"/>
          <w:sz w:val="26"/>
          <w:szCs w:val="26"/>
        </w:rPr>
        <w:t>ies</w:t>
      </w:r>
      <w:r w:rsidRPr="001415C7">
        <w:rPr>
          <w:rFonts w:ascii="Book Antiqua" w:hAnsi="Book Antiqua"/>
          <w:sz w:val="26"/>
          <w:szCs w:val="26"/>
        </w:rPr>
        <w:t xml:space="preserve"> before investing capital.</w:t>
      </w:r>
    </w:p>
    <w:p w:rsidRPr="001415C7" w:rsidR="00EB4410" w:rsidP="45A6633E" w:rsidRDefault="79F78D4C" w14:paraId="6A5674C0" w14:textId="234DF900">
      <w:pPr>
        <w:pStyle w:val="NormalWeb"/>
        <w:spacing w:before="0" w:beforeAutospacing="0" w:after="0" w:afterAutospacing="0" w:line="360" w:lineRule="auto"/>
        <w:ind w:firstLine="720"/>
        <w:rPr>
          <w:rFonts w:ascii="Book Antiqua" w:hAnsi="Book Antiqua"/>
          <w:sz w:val="26"/>
          <w:szCs w:val="26"/>
        </w:rPr>
      </w:pPr>
      <w:r w:rsidRPr="45A6633E">
        <w:rPr>
          <w:rFonts w:ascii="Book Antiqua" w:hAnsi="Book Antiqua"/>
          <w:sz w:val="26"/>
          <w:szCs w:val="26"/>
        </w:rPr>
        <w:t xml:space="preserve">Once the Commission has approved a pilot, the </w:t>
      </w:r>
      <w:r w:rsidRPr="45A6633E" w:rsidR="356720EF">
        <w:rPr>
          <w:rFonts w:ascii="Book Antiqua" w:hAnsi="Book Antiqua"/>
          <w:sz w:val="26"/>
          <w:szCs w:val="26"/>
        </w:rPr>
        <w:t>applicant</w:t>
      </w:r>
      <w:r w:rsidRPr="45A6633E">
        <w:rPr>
          <w:rFonts w:ascii="Book Antiqua" w:hAnsi="Book Antiqua"/>
          <w:sz w:val="26"/>
          <w:szCs w:val="26"/>
        </w:rPr>
        <w:t xml:space="preserve"> shall obtain binding </w:t>
      </w:r>
      <w:r w:rsidRPr="45A6633E" w:rsidR="1DDDF148">
        <w:rPr>
          <w:rFonts w:ascii="Book Antiqua" w:hAnsi="Book Antiqua"/>
          <w:sz w:val="26"/>
          <w:szCs w:val="26"/>
        </w:rPr>
        <w:t xml:space="preserve">notarized </w:t>
      </w:r>
      <w:r w:rsidRPr="45A6633E">
        <w:rPr>
          <w:rFonts w:ascii="Book Antiqua" w:hAnsi="Book Antiqua"/>
          <w:sz w:val="26"/>
          <w:szCs w:val="26"/>
        </w:rPr>
        <w:t xml:space="preserve">consent </w:t>
      </w:r>
      <w:r w:rsidRPr="45A6633E" w:rsidR="293A970B">
        <w:rPr>
          <w:rFonts w:ascii="Book Antiqua" w:hAnsi="Book Antiqua"/>
          <w:sz w:val="26"/>
          <w:szCs w:val="26"/>
        </w:rPr>
        <w:t xml:space="preserve">agreements </w:t>
      </w:r>
      <w:r w:rsidRPr="45A6633E">
        <w:rPr>
          <w:rFonts w:ascii="Book Antiqua" w:hAnsi="Book Antiqua"/>
          <w:sz w:val="26"/>
          <w:szCs w:val="26"/>
        </w:rPr>
        <w:t>from</w:t>
      </w:r>
      <w:r w:rsidRPr="45A6633E" w:rsidR="318AAAB9">
        <w:rPr>
          <w:rFonts w:ascii="Book Antiqua" w:hAnsi="Book Antiqua"/>
          <w:sz w:val="26"/>
          <w:szCs w:val="26"/>
        </w:rPr>
        <w:t xml:space="preserve"> the </w:t>
      </w:r>
      <w:r w:rsidRPr="45A6633E" w:rsidR="2694E146">
        <w:rPr>
          <w:rFonts w:ascii="Book Antiqua" w:hAnsi="Book Antiqua"/>
          <w:sz w:val="26"/>
          <w:szCs w:val="26"/>
        </w:rPr>
        <w:t xml:space="preserve">properties owners as described above </w:t>
      </w:r>
      <w:r w:rsidRPr="45A6633E" w:rsidR="3C645879">
        <w:rPr>
          <w:rFonts w:ascii="Book Antiqua" w:hAnsi="Book Antiqua" w:eastAsia="Segoe UI" w:cs="Segoe UI"/>
          <w:color w:val="242424"/>
          <w:sz w:val="26"/>
          <w:szCs w:val="26"/>
        </w:rPr>
        <w:t>b</w:t>
      </w:r>
      <w:r w:rsidRPr="45A6633E" w:rsidR="406074B9">
        <w:rPr>
          <w:rFonts w:ascii="Book Antiqua" w:hAnsi="Book Antiqua" w:eastAsia="Segoe UI" w:cs="Segoe UI"/>
          <w:color w:val="242424"/>
          <w:sz w:val="26"/>
          <w:szCs w:val="26"/>
        </w:rPr>
        <w:t xml:space="preserve">efore beginning building remediation work or </w:t>
      </w:r>
      <w:r w:rsidRPr="45A6633E" w:rsidR="1AA63623">
        <w:rPr>
          <w:rFonts w:ascii="Book Antiqua" w:hAnsi="Book Antiqua" w:eastAsia="Segoe UI" w:cs="Segoe UI"/>
          <w:color w:val="242424"/>
          <w:sz w:val="26"/>
          <w:szCs w:val="26"/>
        </w:rPr>
        <w:t xml:space="preserve">removing existing appliances in properties where the ZEA is to be implemented. </w:t>
      </w:r>
      <w:r w:rsidRPr="45A6633E">
        <w:rPr>
          <w:rFonts w:ascii="Book Antiqua" w:hAnsi="Book Antiqua"/>
          <w:sz w:val="26"/>
          <w:szCs w:val="26"/>
        </w:rPr>
        <w:t>Prior to obtaining binding consent</w:t>
      </w:r>
      <w:r w:rsidRPr="45A6633E" w:rsidR="293A970B">
        <w:rPr>
          <w:rFonts w:ascii="Book Antiqua" w:hAnsi="Book Antiqua"/>
          <w:sz w:val="26"/>
          <w:szCs w:val="26"/>
        </w:rPr>
        <w:t xml:space="preserve"> agreements</w:t>
      </w:r>
      <w:r w:rsidRPr="45A6633E">
        <w:rPr>
          <w:rFonts w:ascii="Book Antiqua" w:hAnsi="Book Antiqua"/>
          <w:sz w:val="26"/>
          <w:szCs w:val="26"/>
        </w:rPr>
        <w:t xml:space="preserve">, the </w:t>
      </w:r>
      <w:r w:rsidRPr="45A6633E" w:rsidR="0E2ABB38">
        <w:rPr>
          <w:rFonts w:ascii="Book Antiqua" w:hAnsi="Book Antiqua"/>
          <w:sz w:val="26"/>
          <w:szCs w:val="26"/>
        </w:rPr>
        <w:t xml:space="preserve">gas corporation </w:t>
      </w:r>
      <w:r w:rsidRPr="45A6633E">
        <w:rPr>
          <w:rFonts w:ascii="Book Antiqua" w:hAnsi="Book Antiqua"/>
          <w:sz w:val="26"/>
          <w:szCs w:val="26"/>
        </w:rPr>
        <w:t xml:space="preserve">shall provide the property owners updated information about the pilot, including a summary of the appliances and services the applicant will provide, timelines, installation logistics, gas service discontinuation processes, estimated bill impacts, </w:t>
      </w:r>
      <w:r w:rsidRPr="45A6633E" w:rsidR="48758075">
        <w:rPr>
          <w:rFonts w:ascii="Book Antiqua" w:hAnsi="Book Antiqua"/>
          <w:sz w:val="26"/>
          <w:szCs w:val="26"/>
        </w:rPr>
        <w:t xml:space="preserve">and the </w:t>
      </w:r>
      <w:r w:rsidRPr="45A6633E" w:rsidR="2A52921B">
        <w:rPr>
          <w:rFonts w:ascii="Book Antiqua" w:hAnsi="Book Antiqua"/>
          <w:sz w:val="26"/>
          <w:szCs w:val="26"/>
        </w:rPr>
        <w:t>obligations and responsibilities th</w:t>
      </w:r>
      <w:r w:rsidRPr="45A6633E" w:rsidR="1A37E0E1">
        <w:rPr>
          <w:rFonts w:ascii="Book Antiqua" w:hAnsi="Book Antiqua"/>
          <w:sz w:val="26"/>
          <w:szCs w:val="26"/>
        </w:rPr>
        <w:t>at participation would impose on the property owner and</w:t>
      </w:r>
      <w:r w:rsidRPr="45A6633E" w:rsidR="5420F635">
        <w:rPr>
          <w:rFonts w:ascii="Book Antiqua" w:hAnsi="Book Antiqua"/>
          <w:sz w:val="26"/>
          <w:szCs w:val="26"/>
        </w:rPr>
        <w:t>, if applicable</w:t>
      </w:r>
      <w:r w:rsidRPr="45A6633E" w:rsidR="76960F81">
        <w:rPr>
          <w:rFonts w:ascii="Book Antiqua" w:hAnsi="Book Antiqua"/>
          <w:sz w:val="26"/>
          <w:szCs w:val="26"/>
        </w:rPr>
        <w:t>,</w:t>
      </w:r>
      <w:r w:rsidRPr="45A6633E" w:rsidR="1A37E0E1">
        <w:rPr>
          <w:rFonts w:ascii="Book Antiqua" w:hAnsi="Book Antiqua"/>
          <w:sz w:val="26"/>
          <w:szCs w:val="26"/>
        </w:rPr>
        <w:t xml:space="preserve"> their tenants</w:t>
      </w:r>
      <w:r w:rsidRPr="45A6633E" w:rsidR="3DE73649">
        <w:rPr>
          <w:rFonts w:ascii="Book Antiqua" w:hAnsi="Book Antiqua"/>
          <w:sz w:val="26"/>
          <w:szCs w:val="26"/>
        </w:rPr>
        <w:t>.</w:t>
      </w:r>
      <w:r w:rsidRPr="45A6633E" w:rsidR="41D132D4">
        <w:rPr>
          <w:rFonts w:ascii="Book Antiqua" w:hAnsi="Book Antiqua"/>
          <w:sz w:val="26"/>
          <w:szCs w:val="26"/>
        </w:rPr>
        <w:t xml:space="preserve"> The</w:t>
      </w:r>
      <w:r w:rsidRPr="45A6633E" w:rsidR="43C831DA">
        <w:rPr>
          <w:rFonts w:ascii="Book Antiqua" w:hAnsi="Book Antiqua"/>
          <w:sz w:val="26"/>
          <w:szCs w:val="26"/>
        </w:rPr>
        <w:t xml:space="preserve"> applicant shall </w:t>
      </w:r>
      <w:r w:rsidRPr="45A6633E" w:rsidR="7C77E74D">
        <w:rPr>
          <w:rFonts w:ascii="Book Antiqua" w:hAnsi="Book Antiqua"/>
          <w:sz w:val="26"/>
          <w:szCs w:val="26"/>
        </w:rPr>
        <w:t>give</w:t>
      </w:r>
      <w:r w:rsidRPr="45A6633E" w:rsidR="43C831DA">
        <w:rPr>
          <w:rFonts w:ascii="Book Antiqua" w:hAnsi="Book Antiqua"/>
          <w:sz w:val="26"/>
          <w:szCs w:val="26"/>
        </w:rPr>
        <w:t xml:space="preserve"> the</w:t>
      </w:r>
      <w:r w:rsidRPr="45A6633E" w:rsidR="41D132D4">
        <w:rPr>
          <w:rFonts w:ascii="Book Antiqua" w:hAnsi="Book Antiqua"/>
          <w:sz w:val="26"/>
          <w:szCs w:val="26"/>
        </w:rPr>
        <w:t xml:space="preserve"> electric utility </w:t>
      </w:r>
      <w:r w:rsidRPr="45A6633E" w:rsidR="6B54DADB">
        <w:rPr>
          <w:rFonts w:ascii="Book Antiqua" w:hAnsi="Book Antiqua"/>
          <w:sz w:val="26"/>
          <w:szCs w:val="26"/>
        </w:rPr>
        <w:lastRenderedPageBreak/>
        <w:t xml:space="preserve">an opportunity to review and comment on </w:t>
      </w:r>
      <w:r w:rsidRPr="45A6633E" w:rsidR="04C06363">
        <w:rPr>
          <w:rFonts w:ascii="Book Antiqua" w:hAnsi="Book Antiqua"/>
          <w:sz w:val="26"/>
          <w:szCs w:val="26"/>
        </w:rPr>
        <w:t xml:space="preserve">the </w:t>
      </w:r>
      <w:r w:rsidRPr="45A6633E" w:rsidR="41D132D4">
        <w:rPr>
          <w:rFonts w:ascii="Book Antiqua" w:hAnsi="Book Antiqua"/>
          <w:sz w:val="26"/>
          <w:szCs w:val="26"/>
        </w:rPr>
        <w:t xml:space="preserve">bill impact materials before they are </w:t>
      </w:r>
      <w:r w:rsidRPr="45A6633E" w:rsidR="1B880B6C">
        <w:rPr>
          <w:rFonts w:ascii="Book Antiqua" w:hAnsi="Book Antiqua"/>
          <w:sz w:val="26"/>
          <w:szCs w:val="26"/>
        </w:rPr>
        <w:t>provided</w:t>
      </w:r>
      <w:r w:rsidRPr="45A6633E" w:rsidR="094F247D">
        <w:rPr>
          <w:rFonts w:ascii="Book Antiqua" w:hAnsi="Book Antiqua"/>
          <w:sz w:val="26"/>
          <w:szCs w:val="26"/>
        </w:rPr>
        <w:t>,</w:t>
      </w:r>
      <w:r w:rsidRPr="45A6633E" w:rsidR="019BB87F">
        <w:rPr>
          <w:rFonts w:ascii="Book Antiqua" w:hAnsi="Book Antiqua"/>
          <w:sz w:val="26"/>
          <w:szCs w:val="26"/>
        </w:rPr>
        <w:t xml:space="preserve"> as described above</w:t>
      </w:r>
      <w:r w:rsidRPr="45A6633E" w:rsidR="5EB353A5">
        <w:rPr>
          <w:rFonts w:ascii="Book Antiqua" w:hAnsi="Book Antiqua"/>
          <w:sz w:val="26"/>
          <w:szCs w:val="26"/>
        </w:rPr>
        <w:t>.</w:t>
      </w:r>
    </w:p>
    <w:p w:rsidRPr="001415C7" w:rsidR="001177CA" w:rsidP="71C16739" w:rsidRDefault="001177CA" w14:paraId="51098A44" w14:textId="7953005B">
      <w:pPr>
        <w:pStyle w:val="NormalWeb"/>
        <w:spacing w:before="0" w:beforeAutospacing="0" w:after="0" w:afterAutospacing="0" w:line="360" w:lineRule="auto"/>
        <w:ind w:firstLine="720"/>
        <w:rPr>
          <w:rFonts w:ascii="Book Antiqua" w:hAnsi="Book Antiqua"/>
          <w:sz w:val="26"/>
          <w:szCs w:val="26"/>
        </w:rPr>
      </w:pPr>
      <w:r w:rsidRPr="001415C7">
        <w:rPr>
          <w:rFonts w:ascii="Book Antiqua" w:hAnsi="Book Antiqua"/>
          <w:sz w:val="26"/>
          <w:szCs w:val="26"/>
        </w:rPr>
        <w:t xml:space="preserve">Finally, </w:t>
      </w:r>
      <w:r w:rsidRPr="001415C7" w:rsidR="008B6FF0">
        <w:rPr>
          <w:rFonts w:ascii="Book Antiqua" w:hAnsi="Book Antiqua"/>
          <w:sz w:val="26"/>
          <w:szCs w:val="26"/>
        </w:rPr>
        <w:t>the</w:t>
      </w:r>
      <w:r w:rsidRPr="001415C7">
        <w:rPr>
          <w:rFonts w:ascii="Book Antiqua" w:hAnsi="Book Antiqua"/>
          <w:sz w:val="26"/>
          <w:szCs w:val="26"/>
        </w:rPr>
        <w:t xml:space="preserve"> various forms of property ownership, as well as property-specific agreements, may impose different legal requirements regarding who may execute a binding agreement on behalf of the property owner. The </w:t>
      </w:r>
      <w:r w:rsidRPr="001415C7" w:rsidR="008B6FF0">
        <w:rPr>
          <w:rFonts w:ascii="Book Antiqua" w:hAnsi="Book Antiqua"/>
          <w:sz w:val="26"/>
          <w:szCs w:val="26"/>
        </w:rPr>
        <w:t>applicant</w:t>
      </w:r>
      <w:r w:rsidRPr="001415C7">
        <w:rPr>
          <w:rFonts w:ascii="Book Antiqua" w:hAnsi="Book Antiqua"/>
          <w:sz w:val="26"/>
          <w:szCs w:val="26"/>
        </w:rPr>
        <w:t xml:space="preserve"> must </w:t>
      </w:r>
      <w:r w:rsidRPr="001415C7" w:rsidR="00030656">
        <w:rPr>
          <w:rFonts w:ascii="Book Antiqua" w:hAnsi="Book Antiqua"/>
          <w:sz w:val="26"/>
          <w:szCs w:val="26"/>
        </w:rPr>
        <w:t>obtain and</w:t>
      </w:r>
      <w:r w:rsidRPr="001415C7">
        <w:rPr>
          <w:rFonts w:ascii="Book Antiqua" w:hAnsi="Book Antiqua"/>
          <w:sz w:val="26"/>
          <w:szCs w:val="26"/>
        </w:rPr>
        <w:t xml:space="preserve"> retain sufficient documentation to demonstrate </w:t>
      </w:r>
      <w:r w:rsidRPr="001415C7" w:rsidR="00377213">
        <w:rPr>
          <w:rFonts w:ascii="Book Antiqua" w:hAnsi="Book Antiqua"/>
          <w:sz w:val="26"/>
          <w:szCs w:val="26"/>
        </w:rPr>
        <w:t xml:space="preserve">how it </w:t>
      </w:r>
      <w:r w:rsidRPr="001415C7" w:rsidR="00453BCB">
        <w:rPr>
          <w:rFonts w:ascii="Book Antiqua" w:hAnsi="Book Antiqua"/>
          <w:sz w:val="26"/>
          <w:szCs w:val="26"/>
        </w:rPr>
        <w:t>determined that a given individual or entity is</w:t>
      </w:r>
      <w:r w:rsidRPr="001415C7" w:rsidR="00377213">
        <w:rPr>
          <w:rFonts w:ascii="Book Antiqua" w:hAnsi="Book Antiqua"/>
          <w:sz w:val="26"/>
          <w:szCs w:val="26"/>
        </w:rPr>
        <w:t xml:space="preserve"> </w:t>
      </w:r>
      <w:r w:rsidRPr="001415C7" w:rsidR="00092CCC">
        <w:rPr>
          <w:rFonts w:ascii="Book Antiqua" w:hAnsi="Book Antiqua"/>
          <w:sz w:val="26"/>
          <w:szCs w:val="26"/>
        </w:rPr>
        <w:t xml:space="preserve">the property owner and </w:t>
      </w:r>
      <w:r w:rsidRPr="001415C7" w:rsidR="00F42E1C">
        <w:rPr>
          <w:rFonts w:ascii="Book Antiqua" w:hAnsi="Book Antiqua"/>
          <w:sz w:val="26"/>
          <w:szCs w:val="26"/>
        </w:rPr>
        <w:t xml:space="preserve">that the signatory to the consent agreement </w:t>
      </w:r>
      <w:r w:rsidRPr="001415C7" w:rsidR="001620A1">
        <w:rPr>
          <w:rFonts w:ascii="Book Antiqua" w:hAnsi="Book Antiqua"/>
          <w:sz w:val="26"/>
          <w:szCs w:val="26"/>
        </w:rPr>
        <w:t>is authorized</w:t>
      </w:r>
      <w:r w:rsidRPr="001415C7" w:rsidR="00FA336E">
        <w:rPr>
          <w:rFonts w:ascii="Book Antiqua" w:hAnsi="Book Antiqua"/>
          <w:sz w:val="26"/>
          <w:szCs w:val="26"/>
        </w:rPr>
        <w:t xml:space="preserve"> to </w:t>
      </w:r>
      <w:r w:rsidRPr="001415C7" w:rsidR="00986380">
        <w:rPr>
          <w:rFonts w:ascii="Book Antiqua" w:hAnsi="Book Antiqua"/>
          <w:sz w:val="26"/>
          <w:szCs w:val="26"/>
        </w:rPr>
        <w:t>act</w:t>
      </w:r>
      <w:r w:rsidRPr="001415C7" w:rsidR="00FA336E">
        <w:rPr>
          <w:rFonts w:ascii="Book Antiqua" w:hAnsi="Book Antiqua"/>
          <w:sz w:val="26"/>
          <w:szCs w:val="26"/>
        </w:rPr>
        <w:t xml:space="preserve"> </w:t>
      </w:r>
      <w:r w:rsidRPr="001415C7" w:rsidR="00986380">
        <w:rPr>
          <w:rFonts w:ascii="Book Antiqua" w:hAnsi="Book Antiqua"/>
          <w:sz w:val="26"/>
          <w:szCs w:val="26"/>
        </w:rPr>
        <w:t xml:space="preserve">on behalf of </w:t>
      </w:r>
      <w:r w:rsidRPr="001415C7" w:rsidR="00377213">
        <w:rPr>
          <w:rFonts w:ascii="Book Antiqua" w:hAnsi="Book Antiqua"/>
          <w:sz w:val="26"/>
          <w:szCs w:val="26"/>
        </w:rPr>
        <w:t>the property owner.</w:t>
      </w:r>
      <w:r w:rsidRPr="001415C7">
        <w:rPr>
          <w:rFonts w:ascii="Book Antiqua" w:hAnsi="Book Antiqua"/>
          <w:sz w:val="26"/>
          <w:szCs w:val="26"/>
        </w:rPr>
        <w:t xml:space="preserve"> </w:t>
      </w:r>
      <w:r w:rsidRPr="001415C7" w:rsidR="0005298C">
        <w:rPr>
          <w:rFonts w:ascii="Book Antiqua" w:hAnsi="Book Antiqua"/>
          <w:sz w:val="26"/>
          <w:szCs w:val="26"/>
        </w:rPr>
        <w:t xml:space="preserve">Once the applicant has obtained consent from </w:t>
      </w:r>
      <w:r w:rsidRPr="001415C7" w:rsidR="3E519D28">
        <w:rPr>
          <w:rFonts w:ascii="Book Antiqua" w:hAnsi="Book Antiqua"/>
          <w:sz w:val="26"/>
          <w:szCs w:val="26"/>
        </w:rPr>
        <w:t xml:space="preserve">the owners of </w:t>
      </w:r>
      <w:r w:rsidRPr="001415C7" w:rsidR="0005298C">
        <w:rPr>
          <w:rFonts w:ascii="Book Antiqua" w:hAnsi="Book Antiqua"/>
          <w:sz w:val="26"/>
          <w:szCs w:val="26"/>
        </w:rPr>
        <w:t>67 percent or more of the propert</w:t>
      </w:r>
      <w:r w:rsidRPr="001415C7" w:rsidR="73A7F1BF">
        <w:rPr>
          <w:rFonts w:ascii="Book Antiqua" w:hAnsi="Book Antiqua"/>
          <w:sz w:val="26"/>
          <w:szCs w:val="26"/>
        </w:rPr>
        <w:t>ies</w:t>
      </w:r>
      <w:r w:rsidRPr="001415C7" w:rsidR="5B142F66">
        <w:rPr>
          <w:rFonts w:ascii="Book Antiqua" w:hAnsi="Book Antiqua"/>
          <w:sz w:val="26"/>
          <w:szCs w:val="26"/>
        </w:rPr>
        <w:t xml:space="preserve"> in the pilot project area and </w:t>
      </w:r>
      <w:r w:rsidRPr="001415C7" w:rsidR="00A6021A">
        <w:rPr>
          <w:rFonts w:ascii="Book Antiqua" w:hAnsi="Book Antiqua"/>
          <w:sz w:val="26"/>
          <w:szCs w:val="26"/>
        </w:rPr>
        <w:t>has determined to move forward with the project, the applicant shall</w:t>
      </w:r>
      <w:r w:rsidRPr="001415C7" w:rsidR="000B0696">
        <w:rPr>
          <w:rFonts w:ascii="Book Antiqua" w:hAnsi="Book Antiqua"/>
          <w:sz w:val="26"/>
          <w:szCs w:val="26"/>
        </w:rPr>
        <w:t xml:space="preserve"> file and serve</w:t>
      </w:r>
      <w:r w:rsidRPr="001415C7" w:rsidR="00A6021A">
        <w:rPr>
          <w:rFonts w:ascii="Book Antiqua" w:hAnsi="Book Antiqua"/>
          <w:sz w:val="26"/>
          <w:szCs w:val="26"/>
        </w:rPr>
        <w:t xml:space="preserve"> </w:t>
      </w:r>
      <w:r w:rsidRPr="001415C7" w:rsidR="0008376D">
        <w:rPr>
          <w:rFonts w:ascii="Book Antiqua" w:hAnsi="Book Antiqua"/>
          <w:sz w:val="26"/>
          <w:szCs w:val="26"/>
        </w:rPr>
        <w:t xml:space="preserve">a </w:t>
      </w:r>
      <w:r w:rsidRPr="001415C7" w:rsidR="000B0696">
        <w:rPr>
          <w:rFonts w:ascii="Book Antiqua" w:hAnsi="Book Antiqua"/>
          <w:sz w:val="26"/>
          <w:szCs w:val="26"/>
        </w:rPr>
        <w:t>Tier 1 Advice Letter containing copies of the binding consent agreements obtained from the property owners.</w:t>
      </w:r>
      <w:r w:rsidRPr="001415C7" w:rsidR="00CF3510">
        <w:rPr>
          <w:rStyle w:val="FootnoteReference"/>
          <w:rFonts w:ascii="Book Antiqua" w:hAnsi="Book Antiqua"/>
          <w:sz w:val="26"/>
          <w:szCs w:val="26"/>
        </w:rPr>
        <w:footnoteReference w:id="109"/>
      </w:r>
      <w:r w:rsidRPr="001415C7" w:rsidR="000B0696">
        <w:rPr>
          <w:rFonts w:ascii="Book Antiqua" w:hAnsi="Book Antiqua"/>
          <w:sz w:val="26"/>
          <w:szCs w:val="26"/>
        </w:rPr>
        <w:t xml:space="preserve"> The applicant shall file this advice letter before investing </w:t>
      </w:r>
      <w:r w:rsidRPr="001415C7" w:rsidR="0048728B">
        <w:rPr>
          <w:rFonts w:ascii="Book Antiqua" w:hAnsi="Book Antiqua"/>
          <w:sz w:val="26"/>
          <w:szCs w:val="26"/>
        </w:rPr>
        <w:t xml:space="preserve">capital </w:t>
      </w:r>
      <w:r w:rsidRPr="001415C7" w:rsidR="00E754BB">
        <w:rPr>
          <w:rFonts w:ascii="Book Antiqua" w:hAnsi="Book Antiqua"/>
          <w:sz w:val="26"/>
          <w:szCs w:val="26"/>
        </w:rPr>
        <w:t>in work as part of the pilot project</w:t>
      </w:r>
      <w:r w:rsidRPr="001415C7" w:rsidR="000B0696">
        <w:rPr>
          <w:rFonts w:ascii="Book Antiqua" w:hAnsi="Book Antiqua"/>
          <w:sz w:val="26"/>
          <w:szCs w:val="26"/>
        </w:rPr>
        <w:t>.</w:t>
      </w:r>
    </w:p>
    <w:p w:rsidRPr="001415C7" w:rsidR="00155495" w:rsidP="00155495" w:rsidRDefault="00DD4BF6" w14:paraId="17772F6F" w14:textId="2829A882">
      <w:pPr>
        <w:pStyle w:val="Heading2"/>
        <w:numPr>
          <w:ilvl w:val="1"/>
          <w:numId w:val="1"/>
        </w:numPr>
      </w:pPr>
      <w:bookmarkStart w:name="_Toc233633627" w:id="83"/>
      <w:r w:rsidRPr="001415C7">
        <w:t>Outreach and Engagement</w:t>
      </w:r>
      <w:bookmarkEnd w:id="83"/>
    </w:p>
    <w:p w:rsidRPr="001415C7" w:rsidR="00EB4410" w:rsidP="00EB4410" w:rsidRDefault="00EB4410" w14:paraId="6EC00F3A" w14:textId="46C31A75">
      <w:r w:rsidRPr="001415C7">
        <w:t xml:space="preserve">The following sections </w:t>
      </w:r>
      <w:r w:rsidRPr="001415C7" w:rsidR="002E5F64">
        <w:t xml:space="preserve">and Appendix A </w:t>
      </w:r>
      <w:r w:rsidRPr="001415C7">
        <w:t xml:space="preserve">describe the outreach responsibilities of the applicant before, during, and after pilot implementation. These responsibilities are presented for three groups listed in SB 1221: property owners, affected customers, and master-metered tenants. </w:t>
      </w:r>
      <w:r w:rsidRPr="001415C7" w:rsidR="310B8877">
        <w:t xml:space="preserve">Where </w:t>
      </w:r>
      <w:r w:rsidRPr="001415C7">
        <w:t xml:space="preserve">the </w:t>
      </w:r>
      <w:r w:rsidRPr="001415C7" w:rsidR="00BF4C64">
        <w:t>affected customer</w:t>
      </w:r>
      <w:r w:rsidRPr="001415C7">
        <w:t xml:space="preserve"> </w:t>
      </w:r>
      <w:r w:rsidRPr="001415C7" w:rsidR="59D04C99">
        <w:t xml:space="preserve">is </w:t>
      </w:r>
      <w:r w:rsidRPr="001415C7">
        <w:t>different from the property owner</w:t>
      </w:r>
      <w:r w:rsidRPr="001415C7" w:rsidR="28622996">
        <w:t xml:space="preserve">, </w:t>
      </w:r>
      <w:r w:rsidRPr="001415C7">
        <w:t xml:space="preserve">the </w:t>
      </w:r>
      <w:r w:rsidRPr="001415C7" w:rsidR="004564EE">
        <w:t xml:space="preserve">applicant </w:t>
      </w:r>
      <w:r w:rsidRPr="001415C7">
        <w:t xml:space="preserve">shall conduct outreach to both the property owner (for consent and decision-making purposes) and the affected customer </w:t>
      </w:r>
      <w:r w:rsidRPr="001415C7" w:rsidR="00717EB3">
        <w:t xml:space="preserve">or master-metered tenant </w:t>
      </w:r>
      <w:r w:rsidRPr="001415C7">
        <w:t>(for service-related and impact-related information) to meet the statutory requirements.</w:t>
      </w:r>
    </w:p>
    <w:p w:rsidRPr="001415C7" w:rsidR="00EB4410" w:rsidP="00D65638" w:rsidRDefault="00DD4BF6" w14:paraId="67CD9B68" w14:textId="5C5640AF">
      <w:pPr>
        <w:pStyle w:val="Heading3"/>
        <w:numPr>
          <w:ilvl w:val="2"/>
          <w:numId w:val="1"/>
        </w:numPr>
      </w:pPr>
      <w:bookmarkStart w:name="_Toc233633628" w:id="84"/>
      <w:r w:rsidRPr="001415C7">
        <w:lastRenderedPageBreak/>
        <w:t>Notification</w:t>
      </w:r>
      <w:r w:rsidRPr="001415C7" w:rsidR="0050599C">
        <w:t xml:space="preserve"> and Engagement</w:t>
      </w:r>
      <w:r w:rsidRPr="001415C7">
        <w:t xml:space="preserve"> Requirements</w:t>
      </w:r>
      <w:r w:rsidRPr="001415C7" w:rsidR="0050599C">
        <w:t xml:space="preserve"> for Property Owners and Affected Customers</w:t>
      </w:r>
      <w:bookmarkEnd w:id="84"/>
    </w:p>
    <w:p w:rsidRPr="001415C7" w:rsidR="00332FD6" w:rsidP="00332FD6" w:rsidRDefault="0090350C" w14:paraId="5CDAA1C6" w14:textId="522C58EF">
      <w:r w:rsidRPr="001415C7">
        <w:t xml:space="preserve">Code Section 663(b)(4) requires </w:t>
      </w:r>
      <w:r w:rsidRPr="001415C7" w:rsidR="0054020A">
        <w:t xml:space="preserve">the Commission to ensure </w:t>
      </w:r>
      <w:r w:rsidRPr="001415C7">
        <w:t xml:space="preserve">that </w:t>
      </w:r>
      <w:r w:rsidRPr="001415C7" w:rsidR="00332FD6">
        <w:t>notifications about the pilot project are provided to both property owners and affected customers. While the statute expressly requires</w:t>
      </w:r>
      <w:r w:rsidRPr="001415C7" w:rsidR="00FE0585">
        <w:t xml:space="preserve"> </w:t>
      </w:r>
      <w:r w:rsidRPr="001415C7" w:rsidR="00F76717">
        <w:t xml:space="preserve">that no less than </w:t>
      </w:r>
      <w:r w:rsidRPr="001415C7" w:rsidR="00332FD6">
        <w:t xml:space="preserve">67 percent </w:t>
      </w:r>
      <w:r w:rsidRPr="001415C7" w:rsidR="004C6522">
        <w:t xml:space="preserve">of the </w:t>
      </w:r>
      <w:r w:rsidRPr="001415C7" w:rsidR="00F76717">
        <w:t xml:space="preserve">property owners </w:t>
      </w:r>
      <w:r w:rsidRPr="001415C7" w:rsidR="00991106">
        <w:t xml:space="preserve">with natural gas </w:t>
      </w:r>
      <w:r w:rsidRPr="001415C7" w:rsidR="003633AD">
        <w:t>service</w:t>
      </w:r>
      <w:r w:rsidRPr="001415C7" w:rsidR="00991106">
        <w:t xml:space="preserve"> within the project boundary</w:t>
      </w:r>
      <w:r w:rsidRPr="001415C7" w:rsidR="0060645A">
        <w:t xml:space="preserve"> consent to the pilot</w:t>
      </w:r>
      <w:r w:rsidRPr="001415C7" w:rsidR="00332FD6">
        <w:t xml:space="preserve">, it separately mandates that notifications be provided to both property owners and affected customers and that such notifications include information about the anticipated costs and benefits of the zero-emission alternative offering and be made available in the zone’s prevailing languages. </w:t>
      </w:r>
    </w:p>
    <w:p w:rsidRPr="001415C7" w:rsidR="0090350C" w:rsidP="0090350C" w:rsidRDefault="0090350C" w14:paraId="7F894523" w14:textId="37F12D17">
      <w:r w:rsidRPr="001415C7">
        <w:t xml:space="preserve">SoCalGas and SDG&amp;E ask whether the utility should engage with stakeholders other than property owners; whether the utility should be required to obtain consent from both the property owner and all impacted customers (they argue yes); </w:t>
      </w:r>
      <w:r w:rsidRPr="001415C7" w:rsidR="00537587">
        <w:t xml:space="preserve">and, </w:t>
      </w:r>
      <w:r w:rsidRPr="001415C7">
        <w:t>how the utility should engage with customers when the property owner consented to the project but the customers do not wish to participate.</w:t>
      </w:r>
      <w:r w:rsidRPr="001415C7">
        <w:rPr>
          <w:rStyle w:val="FootnoteReference"/>
        </w:rPr>
        <w:footnoteReference w:id="110"/>
      </w:r>
      <w:r w:rsidRPr="001415C7">
        <w:t xml:space="preserve"> SoCalGas and SDG&amp;E express significant concern about the legal risks and logistical challenges associated with moving forward with the project in cases where the customer does not support the project.</w:t>
      </w:r>
      <w:r w:rsidRPr="001415C7">
        <w:rPr>
          <w:rStyle w:val="FootnoteReference"/>
        </w:rPr>
        <w:t xml:space="preserve"> </w:t>
      </w:r>
      <w:r w:rsidRPr="001415C7">
        <w:rPr>
          <w:rStyle w:val="FootnoteReference"/>
        </w:rPr>
        <w:footnoteReference w:id="111"/>
      </w:r>
      <w:r w:rsidRPr="001415C7" w:rsidR="005738A7">
        <w:t xml:space="preserve"> </w:t>
      </w:r>
    </w:p>
    <w:p w:rsidRPr="001415C7" w:rsidR="005B68B2" w:rsidP="009C4701" w:rsidRDefault="009A0814" w14:paraId="2B0543E1" w14:textId="28FEC98F">
      <w:pPr>
        <w:pStyle w:val="Standard"/>
      </w:pPr>
      <w:r w:rsidRPr="001415C7">
        <w:t>As discussed below, statute requires the Commission</w:t>
      </w:r>
      <w:r w:rsidRPr="001415C7" w:rsidR="00D8469B">
        <w:t xml:space="preserve"> to ensure that affected customers</w:t>
      </w:r>
      <w:r w:rsidRPr="001415C7">
        <w:t xml:space="preserve"> </w:t>
      </w:r>
      <w:r w:rsidRPr="001415C7" w:rsidR="00D8469B">
        <w:t xml:space="preserve">and tenants of master-metered properties (i.e., not just property owners) are notified and engaged with. This decision addresses the utility’s responsibilities </w:t>
      </w:r>
      <w:r w:rsidRPr="001415C7" w:rsidR="009F1E14">
        <w:t>in that area in subsequent sections.</w:t>
      </w:r>
    </w:p>
    <w:p w:rsidRPr="001415C7" w:rsidR="009F1E14" w:rsidP="00405404" w:rsidRDefault="009F1E14" w14:paraId="6FAE0DB8" w14:textId="00418957">
      <w:pPr>
        <w:pStyle w:val="Standard"/>
      </w:pPr>
      <w:r w:rsidRPr="001415C7">
        <w:lastRenderedPageBreak/>
        <w:t xml:space="preserve">This decision does not adopt the Sempra Utilities’ suggestion to require applicants to obtain consent from both the property owner and </w:t>
      </w:r>
      <w:r w:rsidRPr="001415C7" w:rsidR="00A03B2B">
        <w:t>affected customers</w:t>
      </w:r>
      <w:r w:rsidRPr="001415C7" w:rsidR="00524B36">
        <w:t xml:space="preserve"> because </w:t>
      </w:r>
      <w:r w:rsidRPr="001415C7" w:rsidR="000969E9">
        <w:t>the</w:t>
      </w:r>
      <w:r w:rsidRPr="001415C7" w:rsidR="001474E5">
        <w:t xml:space="preserve"> </w:t>
      </w:r>
      <w:r w:rsidRPr="001415C7" w:rsidR="00FF6EAA">
        <w:t>plain language of</w:t>
      </w:r>
      <w:r w:rsidRPr="001415C7" w:rsidR="000969E9">
        <w:t xml:space="preserve"> SB 1221 </w:t>
      </w:r>
      <w:r w:rsidRPr="001415C7" w:rsidR="00FF6EAA">
        <w:t>requires</w:t>
      </w:r>
      <w:r w:rsidRPr="001415C7" w:rsidR="00F81917">
        <w:t xml:space="preserve"> </w:t>
      </w:r>
      <w:r w:rsidRPr="001415C7" w:rsidR="00AC35F7">
        <w:t>consent only from property owners</w:t>
      </w:r>
      <w:r w:rsidRPr="001415C7" w:rsidR="003601B4">
        <w:t>, as noted by UCAN</w:t>
      </w:r>
      <w:r w:rsidRPr="001415C7" w:rsidR="007B72A7">
        <w:t>.</w:t>
      </w:r>
      <w:r w:rsidRPr="001415C7" w:rsidR="003601B4">
        <w:rPr>
          <w:rStyle w:val="FootnoteReference"/>
        </w:rPr>
        <w:footnoteReference w:id="112"/>
      </w:r>
      <w:r w:rsidRPr="001415C7" w:rsidR="00AC35F7">
        <w:t xml:space="preserve"> SB 1221 </w:t>
      </w:r>
      <w:r w:rsidRPr="001415C7" w:rsidR="000341D3">
        <w:t xml:space="preserve">explicitly </w:t>
      </w:r>
      <w:r w:rsidRPr="001415C7" w:rsidR="00CC41EC">
        <w:t xml:space="preserve">recognizes that </w:t>
      </w:r>
      <w:r w:rsidRPr="001415C7" w:rsidR="00A04E60">
        <w:t xml:space="preserve">the pilot </w:t>
      </w:r>
      <w:r w:rsidRPr="001415C7" w:rsidR="00367F7E">
        <w:t xml:space="preserve">project </w:t>
      </w:r>
      <w:r w:rsidRPr="001415C7" w:rsidR="00A04E60">
        <w:t>areas will include customers who are not property owners (e.g., tenants in master-metered properties)</w:t>
      </w:r>
      <w:r w:rsidRPr="001415C7" w:rsidR="00FB303F">
        <w:t>,</w:t>
      </w:r>
      <w:r w:rsidRPr="001415C7" w:rsidR="00A04E60">
        <w:t xml:space="preserve"> so it is </w:t>
      </w:r>
      <w:r w:rsidRPr="001415C7" w:rsidR="00C33D86">
        <w:t xml:space="preserve">clear that </w:t>
      </w:r>
      <w:r w:rsidRPr="001415C7" w:rsidR="00CD2293">
        <w:t>SB 1221 consent requirements were deliberately constructed</w:t>
      </w:r>
      <w:r w:rsidRPr="001415C7" w:rsidR="008D5B9F">
        <w:t>.</w:t>
      </w:r>
    </w:p>
    <w:p w:rsidRPr="001415C7" w:rsidR="00405404" w:rsidP="009C4701" w:rsidRDefault="007D4E9D" w14:paraId="698BD3DE" w14:textId="73D57477">
      <w:pPr>
        <w:pStyle w:val="Standard"/>
      </w:pPr>
      <w:r w:rsidRPr="001415C7">
        <w:t xml:space="preserve">Regarding scenarios where a property </w:t>
      </w:r>
      <w:r w:rsidRPr="001415C7" w:rsidR="00DB2252">
        <w:t>owner consents</w:t>
      </w:r>
      <w:r w:rsidRPr="001415C7" w:rsidR="00F26155">
        <w:t xml:space="preserve"> but the affected customer or tenant </w:t>
      </w:r>
      <w:r w:rsidRPr="001415C7" w:rsidR="006E7D85">
        <w:t>d</w:t>
      </w:r>
      <w:r w:rsidRPr="001415C7" w:rsidR="00767032">
        <w:t>oes not support the pilot project</w:t>
      </w:r>
      <w:r w:rsidRPr="001415C7" w:rsidR="00F26155">
        <w:t xml:space="preserve">, the </w:t>
      </w:r>
      <w:r w:rsidRPr="001415C7" w:rsidR="008B06BD">
        <w:t xml:space="preserve">applicant should </w:t>
      </w:r>
      <w:r w:rsidRPr="001415C7" w:rsidR="004421CC">
        <w:t xml:space="preserve">nonetheless attempt to </w:t>
      </w:r>
      <w:r w:rsidRPr="001415C7" w:rsidR="008B06BD">
        <w:t>co</w:t>
      </w:r>
      <w:r w:rsidRPr="001415C7" w:rsidR="00C20E21">
        <w:t xml:space="preserve">mmunicate </w:t>
      </w:r>
      <w:r w:rsidRPr="001415C7" w:rsidR="008B06BD">
        <w:t xml:space="preserve">with </w:t>
      </w:r>
      <w:r w:rsidRPr="001415C7" w:rsidR="00C20E21">
        <w:t xml:space="preserve">the affected customer or tenant </w:t>
      </w:r>
      <w:r w:rsidRPr="001415C7" w:rsidR="004F6CDA">
        <w:t>to</w:t>
      </w:r>
      <w:r w:rsidRPr="001415C7" w:rsidR="00C20E21">
        <w:t xml:space="preserve"> coordinate</w:t>
      </w:r>
      <w:r w:rsidRPr="001415C7" w:rsidR="008B06BD">
        <w:t xml:space="preserve"> </w:t>
      </w:r>
      <w:r w:rsidRPr="001415C7" w:rsidR="008544E5">
        <w:t>project implementation</w:t>
      </w:r>
      <w:r w:rsidRPr="001415C7" w:rsidR="00FC0357">
        <w:t>,</w:t>
      </w:r>
      <w:r w:rsidRPr="001415C7" w:rsidR="008544E5">
        <w:t xml:space="preserve"> </w:t>
      </w:r>
      <w:r w:rsidRPr="001415C7" w:rsidR="0037683D">
        <w:t>as well as the</w:t>
      </w:r>
      <w:r w:rsidRPr="001415C7" w:rsidR="008B06BD">
        <w:t xml:space="preserve"> property owner. </w:t>
      </w:r>
      <w:r w:rsidRPr="001415C7" w:rsidR="004408FB">
        <w:t xml:space="preserve">It will be the property owner’s responsibility </w:t>
      </w:r>
      <w:r w:rsidRPr="001415C7" w:rsidR="00040633">
        <w:t xml:space="preserve">to facilitate </w:t>
      </w:r>
      <w:r w:rsidRPr="001415C7" w:rsidR="00D52F4C">
        <w:t>access to the property for applicable installations.</w:t>
      </w:r>
    </w:p>
    <w:p w:rsidRPr="001415C7" w:rsidR="71C16739" w:rsidP="71C16739" w:rsidRDefault="00D06D6C" w14:paraId="22F209C7" w14:textId="6D3E7FD5">
      <w:pPr>
        <w:pStyle w:val="Standard"/>
      </w:pPr>
      <w:r w:rsidRPr="001415C7">
        <w:t>The Commission</w:t>
      </w:r>
      <w:r w:rsidRPr="001415C7" w:rsidR="00F52301">
        <w:t xml:space="preserve"> expect</w:t>
      </w:r>
      <w:r w:rsidRPr="001415C7">
        <w:t>s</w:t>
      </w:r>
      <w:r w:rsidRPr="001415C7" w:rsidR="00F52301">
        <w:t xml:space="preserve"> applicants </w:t>
      </w:r>
      <w:r w:rsidRPr="001415C7" w:rsidR="00E463BC">
        <w:t xml:space="preserve">in developing proposed pilots </w:t>
      </w:r>
      <w:r w:rsidRPr="001415C7" w:rsidR="00F52301">
        <w:t xml:space="preserve">to </w:t>
      </w:r>
      <w:r w:rsidRPr="001415C7" w:rsidR="00E463BC">
        <w:t xml:space="preserve">take into consideration </w:t>
      </w:r>
      <w:r w:rsidRPr="001415C7" w:rsidR="00BE75E7">
        <w:t>how</w:t>
      </w:r>
      <w:r w:rsidRPr="001415C7" w:rsidR="00414563">
        <w:t xml:space="preserve"> customer suppor</w:t>
      </w:r>
      <w:r w:rsidRPr="001415C7" w:rsidR="00003B44">
        <w:t>t</w:t>
      </w:r>
      <w:r w:rsidRPr="001415C7" w:rsidR="00E463BC">
        <w:t xml:space="preserve"> </w:t>
      </w:r>
      <w:r w:rsidRPr="001415C7" w:rsidR="00714D55">
        <w:t>could affect</w:t>
      </w:r>
      <w:r w:rsidRPr="001415C7" w:rsidR="00E463BC">
        <w:t xml:space="preserve"> pilot viability</w:t>
      </w:r>
      <w:r w:rsidRPr="001415C7" w:rsidR="006F51FF">
        <w:t xml:space="preserve"> and encourage them to </w:t>
      </w:r>
      <w:r w:rsidRPr="001415C7" w:rsidR="00F410E5">
        <w:t>foster and assess customer interest</w:t>
      </w:r>
      <w:r w:rsidRPr="001415C7" w:rsidR="000D24D8">
        <w:t xml:space="preserve"> and to describe their </w:t>
      </w:r>
      <w:r w:rsidRPr="001415C7" w:rsidR="00715DDF">
        <w:t>customer engagement efforts in their applications</w:t>
      </w:r>
      <w:r w:rsidRPr="001415C7" w:rsidR="00003B44">
        <w:t>.</w:t>
      </w:r>
      <w:r w:rsidRPr="001415C7" w:rsidR="005178FC">
        <w:t xml:space="preserve"> </w:t>
      </w:r>
      <w:r w:rsidRPr="001415C7" w:rsidR="301CD5E2">
        <w:t xml:space="preserve"> </w:t>
      </w:r>
    </w:p>
    <w:p w:rsidRPr="001415C7" w:rsidR="00C125F9" w:rsidP="002A3ABB" w:rsidRDefault="002A3ABB" w14:paraId="051C7FF2" w14:textId="42E7AB6F">
      <w:pPr>
        <w:pStyle w:val="Heading3"/>
        <w:numPr>
          <w:ilvl w:val="2"/>
          <w:numId w:val="1"/>
        </w:numPr>
      </w:pPr>
      <w:bookmarkStart w:name="_Toc233633629" w:id="85"/>
      <w:r w:rsidRPr="001415C7">
        <w:t xml:space="preserve">Notification and </w:t>
      </w:r>
      <w:r w:rsidRPr="001415C7" w:rsidR="00CE0C84">
        <w:t xml:space="preserve">Engagement </w:t>
      </w:r>
      <w:r w:rsidRPr="001415C7">
        <w:t>Requirements</w:t>
      </w:r>
      <w:r w:rsidRPr="001415C7" w:rsidR="00CE0C84">
        <w:t xml:space="preserve"> for </w:t>
      </w:r>
      <w:bookmarkStart w:name="_Toc228261694" w:id="86"/>
      <w:r w:rsidRPr="001415C7" w:rsidR="00CE0C84">
        <w:t>Tenants of Master-Metered Properties</w:t>
      </w:r>
      <w:bookmarkEnd w:id="85"/>
      <w:bookmarkEnd w:id="86"/>
    </w:p>
    <w:p w:rsidRPr="001415C7" w:rsidR="001D5CA3" w:rsidP="001D5CA3" w:rsidRDefault="001D5CA3" w14:paraId="2735A1AA" w14:textId="62BB1620">
      <w:r w:rsidRPr="001415C7">
        <w:t xml:space="preserve">Code Section 663(b)(5) obligates the Commission to set a requirement </w:t>
      </w:r>
      <w:r w:rsidRPr="001415C7" w:rsidR="00BA5835">
        <w:t xml:space="preserve">for </w:t>
      </w:r>
      <w:r w:rsidRPr="001415C7">
        <w:t>“addressing master-metered properties to ensure tenants receive adequate notification and engagement.”</w:t>
      </w:r>
    </w:p>
    <w:p w:rsidRPr="001415C7" w:rsidR="001D5CA3" w:rsidP="001D5CA3" w:rsidRDefault="001D5CA3" w14:paraId="2879EDD5" w14:textId="2C6386E0">
      <w:r w:rsidRPr="001415C7">
        <w:t>CCR REN asserts that tenants in master-metered properties should receive the same treatment as non-master metered customers.</w:t>
      </w:r>
      <w:r w:rsidRPr="001415C7">
        <w:rPr>
          <w:rStyle w:val="FootnoteReference"/>
        </w:rPr>
        <w:t xml:space="preserve"> </w:t>
      </w:r>
      <w:r w:rsidRPr="001415C7">
        <w:rPr>
          <w:rStyle w:val="FootnoteReference"/>
        </w:rPr>
        <w:footnoteReference w:id="113"/>
      </w:r>
      <w:r w:rsidRPr="001415C7" w:rsidR="008455D3">
        <w:t xml:space="preserve"> </w:t>
      </w:r>
      <w:r w:rsidRPr="001415C7">
        <w:t xml:space="preserve">San Francisco </w:t>
      </w:r>
      <w:r w:rsidRPr="001415C7">
        <w:lastRenderedPageBreak/>
        <w:t>recommends that the gas utilities coordinate with property managers to conduct outreach to tenants.</w:t>
      </w:r>
      <w:r w:rsidRPr="001415C7">
        <w:rPr>
          <w:rStyle w:val="FootnoteReference"/>
        </w:rPr>
        <w:footnoteReference w:id="114"/>
      </w:r>
    </w:p>
    <w:p w:rsidRPr="001415C7" w:rsidR="007858AA" w:rsidP="71C16739" w:rsidRDefault="003D0ED1" w14:paraId="3C5F3C1C" w14:textId="222EDF06">
      <w:r w:rsidRPr="001415C7">
        <w:t xml:space="preserve">This decision requires applicants </w:t>
      </w:r>
      <w:r w:rsidRPr="001415C7" w:rsidR="00185DCD">
        <w:t xml:space="preserve">to </w:t>
      </w:r>
      <w:r w:rsidRPr="001415C7" w:rsidR="00B97AB7">
        <w:t>notify and engage</w:t>
      </w:r>
      <w:r w:rsidRPr="001415C7" w:rsidR="00096A65">
        <w:t xml:space="preserve"> </w:t>
      </w:r>
      <w:r w:rsidRPr="001415C7" w:rsidR="00550D62">
        <w:t>tenants of master-metered properties using</w:t>
      </w:r>
      <w:r w:rsidRPr="001415C7" w:rsidR="0095773C">
        <w:t xml:space="preserve">, to the extent possible, the same methods they would use to contact property owners or affected customers (e.g., </w:t>
      </w:r>
      <w:r w:rsidRPr="001415C7" w:rsidR="00550D62">
        <w:t>mailing notices to the service address, delivering door hangers, or posting notices in common areas</w:t>
      </w:r>
      <w:r w:rsidRPr="001415C7" w:rsidR="0095773C">
        <w:t>)</w:t>
      </w:r>
      <w:r w:rsidRPr="001415C7" w:rsidR="00550D62">
        <w:t>.</w:t>
      </w:r>
      <w:r w:rsidRPr="001415C7" w:rsidR="009B4AA1">
        <w:t xml:space="preserve"> </w:t>
      </w:r>
      <w:r w:rsidRPr="001415C7" w:rsidR="51DFA079">
        <w:t xml:space="preserve">Utilities shall </w:t>
      </w:r>
      <w:r w:rsidRPr="001415C7" w:rsidR="009B4AA1">
        <w:t xml:space="preserve">coordinate with property owners </w:t>
      </w:r>
      <w:r w:rsidRPr="001415C7" w:rsidR="00486E7D">
        <w:t>and managers</w:t>
      </w:r>
      <w:r w:rsidRPr="001415C7" w:rsidR="009B4AA1">
        <w:t xml:space="preserve"> to support tenant notification</w:t>
      </w:r>
      <w:r w:rsidRPr="001415C7" w:rsidR="00185DCD">
        <w:t xml:space="preserve"> </w:t>
      </w:r>
      <w:r w:rsidRPr="001415C7" w:rsidR="00BE1952">
        <w:t>f</w:t>
      </w:r>
      <w:r w:rsidRPr="001415C7" w:rsidR="00550D62">
        <w:t>or master-metered properties</w:t>
      </w:r>
      <w:r w:rsidRPr="001415C7" w:rsidR="5D3FDEFC">
        <w:t xml:space="preserve">. </w:t>
      </w:r>
      <w:r w:rsidRPr="001415C7" w:rsidR="009D2036">
        <w:t xml:space="preserve">Gas corporations shall </w:t>
      </w:r>
      <w:r w:rsidRPr="001415C7" w:rsidR="003D7CCE">
        <w:t xml:space="preserve">provide evidence </w:t>
      </w:r>
      <w:r w:rsidRPr="001415C7" w:rsidR="79F06C91">
        <w:t>in their applications</w:t>
      </w:r>
      <w:r w:rsidRPr="001415C7" w:rsidR="6AF233FF">
        <w:t xml:space="preserve"> that</w:t>
      </w:r>
      <w:r w:rsidRPr="001415C7" w:rsidR="79F06C91">
        <w:t xml:space="preserve"> </w:t>
      </w:r>
      <w:r w:rsidRPr="001415C7" w:rsidR="00550D62">
        <w:t xml:space="preserve">property owners </w:t>
      </w:r>
      <w:r w:rsidRPr="001415C7" w:rsidR="19A096AD">
        <w:t xml:space="preserve">of master metered properties </w:t>
      </w:r>
      <w:r w:rsidRPr="001415C7" w:rsidR="00550D62">
        <w:t>provide</w:t>
      </w:r>
      <w:r w:rsidRPr="001415C7" w:rsidR="2917820C">
        <w:t>d</w:t>
      </w:r>
      <w:r w:rsidRPr="001415C7" w:rsidR="00550D62">
        <w:t xml:space="preserve"> </w:t>
      </w:r>
      <w:r w:rsidRPr="001415C7" w:rsidR="00071580">
        <w:t xml:space="preserve">the utility with </w:t>
      </w:r>
      <w:r w:rsidRPr="001415C7" w:rsidR="00550D62">
        <w:t xml:space="preserve">reasonable access </w:t>
      </w:r>
      <w:r w:rsidRPr="001415C7" w:rsidR="00071580">
        <w:t xml:space="preserve">to their properties to </w:t>
      </w:r>
      <w:r w:rsidRPr="001415C7" w:rsidR="78F80A6D">
        <w:t>allow for</w:t>
      </w:r>
      <w:r w:rsidRPr="001415C7" w:rsidR="00071580">
        <w:t xml:space="preserve"> </w:t>
      </w:r>
      <w:r w:rsidRPr="001415C7" w:rsidR="00550D62">
        <w:t xml:space="preserve">tenant notification. </w:t>
      </w:r>
    </w:p>
    <w:p w:rsidRPr="001415C7" w:rsidR="001D5CA3" w:rsidP="003A0ABF" w:rsidRDefault="00B23DBF" w14:paraId="78905A1D" w14:textId="19CC4CE0">
      <w:pPr>
        <w:pStyle w:val="Heading3"/>
        <w:numPr>
          <w:ilvl w:val="2"/>
          <w:numId w:val="1"/>
        </w:numPr>
      </w:pPr>
      <w:bookmarkStart w:name="_Toc228261695" w:id="87"/>
      <w:bookmarkStart w:name="_Toc233633630" w:id="88"/>
      <w:r w:rsidRPr="001415C7">
        <w:t>Outreach Content, Delivery Method, and Timing</w:t>
      </w:r>
      <w:bookmarkEnd w:id="87"/>
      <w:bookmarkEnd w:id="88"/>
    </w:p>
    <w:p w:rsidRPr="001415C7" w:rsidR="00B23DBF" w:rsidP="00B23DBF" w:rsidRDefault="00B23DBF" w14:paraId="0CE048C7" w14:textId="77777777">
      <w:r w:rsidRPr="001415C7">
        <w:t>San Francisco recommends providing an overview of the entire program and its key elements.</w:t>
      </w:r>
      <w:r w:rsidRPr="001415C7">
        <w:rPr>
          <w:rStyle w:val="FootnoteReference"/>
        </w:rPr>
        <w:t xml:space="preserve"> </w:t>
      </w:r>
      <w:r w:rsidRPr="001415C7">
        <w:rPr>
          <w:rStyle w:val="FootnoteReference"/>
        </w:rPr>
        <w:footnoteReference w:id="115"/>
      </w:r>
    </w:p>
    <w:p w:rsidRPr="001415C7" w:rsidR="00B23DBF" w:rsidP="00B23DBF" w:rsidRDefault="00B23DBF" w14:paraId="1354A3CE" w14:textId="77777777">
      <w:pPr>
        <w:rPr>
          <w:rStyle w:val="FootnoteReference"/>
        </w:rPr>
      </w:pPr>
      <w:r w:rsidRPr="001415C7">
        <w:t>San Francisco recommends providing potential participants with loaner cooktops to test induction cooking to address concern over the quality and use of electric cookware.</w:t>
      </w:r>
      <w:r w:rsidRPr="001415C7">
        <w:rPr>
          <w:rStyle w:val="FootnoteReference"/>
        </w:rPr>
        <w:t xml:space="preserve"> </w:t>
      </w:r>
      <w:r w:rsidRPr="001415C7">
        <w:rPr>
          <w:rStyle w:val="FootnoteReference"/>
        </w:rPr>
        <w:footnoteReference w:id="116"/>
      </w:r>
    </w:p>
    <w:p w:rsidRPr="001415C7" w:rsidR="00B23DBF" w:rsidP="00B23DBF" w:rsidRDefault="00B23DBF" w14:paraId="311CE171" w14:textId="77777777">
      <w:r w:rsidRPr="001415C7">
        <w:t>San Francisco recommends providing potential participants with the contact information for utility representatives as well as web sites that share additional information.</w:t>
      </w:r>
      <w:r w:rsidRPr="001415C7">
        <w:rPr>
          <w:rStyle w:val="FootnoteReference"/>
        </w:rPr>
        <w:t xml:space="preserve"> </w:t>
      </w:r>
      <w:r w:rsidRPr="001415C7">
        <w:rPr>
          <w:rStyle w:val="FootnoteReference"/>
        </w:rPr>
        <w:footnoteReference w:id="117"/>
      </w:r>
    </w:p>
    <w:p w:rsidRPr="001415C7" w:rsidR="00B23DBF" w:rsidP="00B23DBF" w:rsidRDefault="00B23DBF" w14:paraId="3C016A18" w14:textId="2750EDA2">
      <w:r w:rsidRPr="001415C7">
        <w:lastRenderedPageBreak/>
        <w:t>Cal Advocates, CforAT, and Elk Grove recommend the gas utilities provide impacted customers with detailed information about both the project’s financial cost and benefits (e.g., bill impacts and house remediation costs and benefits);</w:t>
      </w:r>
      <w:r w:rsidRPr="001415C7">
        <w:rPr>
          <w:rStyle w:val="FootnoteReference"/>
        </w:rPr>
        <w:t xml:space="preserve"> </w:t>
      </w:r>
      <w:r w:rsidRPr="001415C7">
        <w:rPr>
          <w:rStyle w:val="FootnoteReference"/>
        </w:rPr>
        <w:footnoteReference w:id="118"/>
      </w:r>
      <w:r w:rsidRPr="001415C7">
        <w:t xml:space="preserve"> CforAT also suggests communicating the project’s anticipated public health benefits (e.g., reduced medical costs due to air quality improvements).</w:t>
      </w:r>
      <w:r w:rsidRPr="001415C7">
        <w:rPr>
          <w:rStyle w:val="FootnoteReference"/>
        </w:rPr>
        <w:footnoteReference w:id="119"/>
      </w:r>
      <w:r w:rsidRPr="001415C7">
        <w:t xml:space="preserve"> Elk Grove agrees and suggests also including information about available incentives, rebates, and subsidies as well as a description  of the potential increase in property value, comfort and appliance efficiency and community-level benefits such as job creation.</w:t>
      </w:r>
      <w:r w:rsidRPr="001415C7">
        <w:rPr>
          <w:rStyle w:val="FootnoteReference"/>
        </w:rPr>
        <w:footnoteReference w:id="120"/>
      </w:r>
      <w:r w:rsidRPr="001415C7">
        <w:t xml:space="preserve"> San Francisco and Elk Grove recommend providing an overview of the timeline with key milestones (e.g., construct start, expected service interruptions.)</w:t>
      </w:r>
      <w:r w:rsidRPr="001415C7">
        <w:rPr>
          <w:rStyle w:val="FootnoteReference"/>
        </w:rPr>
        <w:footnoteReference w:id="121"/>
      </w:r>
      <w:r w:rsidRPr="001415C7">
        <w:t xml:space="preserve"> CforAT suggests this information could increase public support for the projects.</w:t>
      </w:r>
    </w:p>
    <w:p w:rsidRPr="001415C7" w:rsidR="00B23DBF" w:rsidP="00B23DBF" w:rsidRDefault="00B23DBF" w14:paraId="1D4FDD7B" w14:textId="66B915F3">
      <w:r w:rsidRPr="001415C7">
        <w:t>Elk Grove and Southwest Gas recommend that notifications should include a description of the responsibilities of each party (i.e., the gas utility, electric utility, etc</w:t>
      </w:r>
      <w:r w:rsidRPr="001415C7" w:rsidR="00D67E94">
        <w:t>.</w:t>
      </w:r>
      <w:r w:rsidRPr="001415C7">
        <w:t>) so that all stakeholders understand their role in the process.</w:t>
      </w:r>
      <w:r w:rsidRPr="001415C7">
        <w:rPr>
          <w:rStyle w:val="FootnoteReference"/>
        </w:rPr>
        <w:footnoteReference w:id="122"/>
      </w:r>
    </w:p>
    <w:p w:rsidRPr="001415C7" w:rsidR="00B23DBF" w:rsidP="00B23DBF" w:rsidRDefault="00B23DBF" w14:paraId="1BF08B75" w14:textId="77777777">
      <w:r w:rsidRPr="001415C7">
        <w:lastRenderedPageBreak/>
        <w:t>Elk Grove recommends that notifications should include contact information for utility representatives, technical assistance, multilingual materials and translation services.</w:t>
      </w:r>
      <w:r w:rsidRPr="001415C7">
        <w:rPr>
          <w:rStyle w:val="FootnoteReference"/>
        </w:rPr>
        <w:footnoteReference w:id="123"/>
      </w:r>
    </w:p>
    <w:p w:rsidRPr="001415C7" w:rsidR="00B23DBF" w:rsidP="00B23DBF" w:rsidRDefault="00B23DBF" w14:paraId="7622BDD3" w14:textId="658BEAA9">
      <w:r w:rsidRPr="001415C7">
        <w:t>Southwest Gas recommends that notifications should describe all of precursor work that must be done to enable electrification (e.g. home remediation, electrical upgrades, etc</w:t>
      </w:r>
      <w:r w:rsidRPr="001415C7" w:rsidR="004544DC">
        <w:t>.</w:t>
      </w:r>
      <w:r w:rsidRPr="001415C7">
        <w:t>).</w:t>
      </w:r>
      <w:r w:rsidRPr="001415C7">
        <w:rPr>
          <w:rStyle w:val="FootnoteReference"/>
        </w:rPr>
        <w:footnoteReference w:id="124"/>
      </w:r>
    </w:p>
    <w:p w:rsidRPr="001415C7" w:rsidR="00B23DBF" w:rsidP="00B23DBF" w:rsidRDefault="00B23DBF" w14:paraId="2DD93BF1" w14:textId="77777777">
      <w:r w:rsidRPr="001415C7">
        <w:t>Southwest Gas recommends that notifications should list any sources of non-ratepayer funding.</w:t>
      </w:r>
      <w:r w:rsidRPr="001415C7">
        <w:rPr>
          <w:rStyle w:val="FootnoteReference"/>
        </w:rPr>
        <w:footnoteReference w:id="125"/>
      </w:r>
    </w:p>
    <w:p w:rsidRPr="001415C7" w:rsidR="00B23DBF" w:rsidP="00B23DBF" w:rsidRDefault="00B23DBF" w14:paraId="2523E236" w14:textId="77777777">
      <w:r w:rsidRPr="001415C7">
        <w:t>Southwest Gas suggests that all notifications should clearly describe how the customers can opt into, voice support for, raise concerns about, or oppose the potential projects.</w:t>
      </w:r>
      <w:r w:rsidRPr="001415C7">
        <w:rPr>
          <w:rStyle w:val="FootnoteReference"/>
        </w:rPr>
        <w:footnoteReference w:id="126"/>
      </w:r>
    </w:p>
    <w:p w:rsidRPr="001415C7" w:rsidR="00B23DBF" w:rsidP="00B23DBF" w:rsidRDefault="00B23DBF" w14:paraId="6CA9EAA3" w14:textId="71102F81">
      <w:r w:rsidRPr="001415C7">
        <w:t>CforAT recommends that all communications should be designed with a priority on making the communications simple to understand. CforAT recommends in-language outreach and the use of accessible formats, using multiple trusted and neutral sources, not relying exclusively on digital communications, using plain language (i.e., avoiding jargon and legal language to the extent possible), and developing community-specific approaches rather than boilerplate text or standardized templates.</w:t>
      </w:r>
      <w:r w:rsidRPr="001415C7">
        <w:rPr>
          <w:rStyle w:val="FootnoteReference"/>
        </w:rPr>
        <w:footnoteReference w:id="127"/>
      </w:r>
      <w:r w:rsidRPr="001415C7">
        <w:t xml:space="preserve"> Elk Grove supports specific messaging tailored toward disadvantaged, vulnerable, and non-English speaking communities.</w:t>
      </w:r>
      <w:r w:rsidRPr="001415C7">
        <w:rPr>
          <w:rStyle w:val="FootnoteReference"/>
        </w:rPr>
        <w:footnoteReference w:id="128"/>
      </w:r>
      <w:r w:rsidRPr="001415C7">
        <w:t xml:space="preserve"> Cal Advocates and Elk Grove, in a similar vein, recommend that </w:t>
      </w:r>
      <w:r w:rsidRPr="001415C7">
        <w:lastRenderedPageBreak/>
        <w:t>each pilot application should include evidence that the affected customers “have a clear understanding of the implications of the pilot, [the] direct costs customers will pay and changes to their total energy costs, and potential end of gas [service.]”</w:t>
      </w:r>
      <w:r w:rsidRPr="001415C7">
        <w:rPr>
          <w:rStyle w:val="FootnoteReference"/>
        </w:rPr>
        <w:footnoteReference w:id="129"/>
      </w:r>
    </w:p>
    <w:p w:rsidRPr="001415C7" w:rsidR="00B23DBF" w:rsidP="00B23DBF" w:rsidRDefault="00B23DBF" w14:paraId="4D9B68D3" w14:textId="77777777">
      <w:r w:rsidRPr="001415C7">
        <w:t>Elk Grove recommends that each application should describe how the gas utility will solicit, incorporate, and respond to community input.</w:t>
      </w:r>
      <w:r w:rsidRPr="001415C7">
        <w:rPr>
          <w:rStyle w:val="FootnoteReference"/>
        </w:rPr>
        <w:t xml:space="preserve"> </w:t>
      </w:r>
      <w:r w:rsidRPr="001415C7">
        <w:rPr>
          <w:rStyle w:val="FootnoteReference"/>
        </w:rPr>
        <w:footnoteReference w:id="130"/>
      </w:r>
      <w:r w:rsidRPr="001415C7">
        <w:t xml:space="preserve"> </w:t>
      </w:r>
    </w:p>
    <w:p w:rsidRPr="001415C7" w:rsidR="00B23DBF" w:rsidP="00B23DBF" w:rsidRDefault="00B23DBF" w14:paraId="5E1138FF" w14:textId="77777777">
      <w:r w:rsidRPr="001415C7">
        <w:t>Elk Grove recommends delivering notifications to customers during the application development and planning phase, once projects are proposed and approved, before work begins, and at other key milestones.</w:t>
      </w:r>
      <w:r w:rsidRPr="001415C7">
        <w:rPr>
          <w:rStyle w:val="FootnoteReference"/>
        </w:rPr>
        <w:footnoteReference w:id="131"/>
      </w:r>
    </w:p>
    <w:p w:rsidRPr="001415C7" w:rsidR="008A4D4D" w:rsidP="008A4D4D" w:rsidRDefault="001B14A9" w14:paraId="5B00A712" w14:textId="33FB5527">
      <w:r w:rsidRPr="001415C7">
        <w:t>Appendix A</w:t>
      </w:r>
      <w:r w:rsidRPr="001415C7" w:rsidR="00244450">
        <w:t xml:space="preserve"> </w:t>
      </w:r>
      <w:r w:rsidRPr="001415C7" w:rsidR="006354F6">
        <w:t>lists</w:t>
      </w:r>
      <w:r w:rsidRPr="001415C7" w:rsidR="006F343B">
        <w:t xml:space="preserve"> the </w:t>
      </w:r>
      <w:r w:rsidRPr="001415C7" w:rsidR="007F4A66">
        <w:t xml:space="preserve">notification requirements this decision imposes on </w:t>
      </w:r>
      <w:r w:rsidRPr="001415C7" w:rsidR="00E90B5D">
        <w:t>applicants</w:t>
      </w:r>
      <w:r w:rsidRPr="001415C7" w:rsidR="006354F6">
        <w:t>.</w:t>
      </w:r>
      <w:r w:rsidRPr="001415C7" w:rsidR="00E262C9">
        <w:t xml:space="preserve"> </w:t>
      </w:r>
      <w:r w:rsidRPr="001415C7" w:rsidR="00F233AC">
        <w:t xml:space="preserve">As described in Appendix A, </w:t>
      </w:r>
      <w:r w:rsidRPr="001415C7" w:rsidR="00AD239F">
        <w:t xml:space="preserve">applicants must provide notification and information to </w:t>
      </w:r>
      <w:r w:rsidRPr="001415C7" w:rsidR="00374285">
        <w:t xml:space="preserve">property owners, affected customers, and master-metered tenants at certain points throughout the pilot development and implementation process, including during the project development phase; </w:t>
      </w:r>
      <w:r w:rsidRPr="001415C7" w:rsidR="001053D5">
        <w:t xml:space="preserve">once consent </w:t>
      </w:r>
      <w:r w:rsidRPr="001415C7" w:rsidR="003C56DF">
        <w:t>has been obtained from property owners</w:t>
      </w:r>
      <w:r w:rsidRPr="001415C7" w:rsidR="00232753">
        <w:t>;</w:t>
      </w:r>
      <w:r w:rsidRPr="001415C7" w:rsidR="003C56DF">
        <w:t xml:space="preserve"> and </w:t>
      </w:r>
      <w:r w:rsidRPr="001415C7" w:rsidR="008B0262">
        <w:t>on an ongoing basis once implementation work begins.</w:t>
      </w:r>
      <w:r w:rsidRPr="001415C7" w:rsidR="001053D5">
        <w:t xml:space="preserve"> </w:t>
      </w:r>
      <w:r w:rsidRPr="001415C7" w:rsidR="006354F6">
        <w:t>T</w:t>
      </w:r>
      <w:r w:rsidRPr="001415C7" w:rsidR="00E262C9">
        <w:t xml:space="preserve">he </w:t>
      </w:r>
      <w:r w:rsidRPr="001415C7" w:rsidR="00207719">
        <w:t>discussion below</w:t>
      </w:r>
      <w:r w:rsidRPr="001415C7" w:rsidR="00C475E2">
        <w:t xml:space="preserve"> provides</w:t>
      </w:r>
      <w:r w:rsidRPr="001415C7" w:rsidR="00E90B5D">
        <w:t xml:space="preserve"> more detailed description of the information </w:t>
      </w:r>
      <w:r w:rsidRPr="001415C7" w:rsidR="00077418">
        <w:t>applicants must provide.</w:t>
      </w:r>
      <w:r w:rsidRPr="001415C7" w:rsidR="00F80945">
        <w:t xml:space="preserve"> </w:t>
      </w:r>
    </w:p>
    <w:p w:rsidRPr="001415C7" w:rsidR="00F32FB6" w:rsidP="00234CE2" w:rsidRDefault="00241373" w14:paraId="7FB5B8A6" w14:textId="77777777">
      <w:pPr>
        <w:ind w:right="1440"/>
      </w:pPr>
      <w:r w:rsidRPr="001415C7">
        <w:t>The Overview of the SB 1221 Pilot Program and Project Proposal must include:</w:t>
      </w:r>
      <w:r w:rsidRPr="001415C7" w:rsidR="00234CE2">
        <w:t xml:space="preserve"> </w:t>
      </w:r>
    </w:p>
    <w:p w:rsidRPr="001415C7" w:rsidR="00F32FB6" w:rsidP="004A6EE8" w:rsidRDefault="00F32FB6" w14:paraId="01108245" w14:textId="48E8C742">
      <w:pPr>
        <w:pStyle w:val="ListParagraph"/>
        <w:numPr>
          <w:ilvl w:val="0"/>
          <w:numId w:val="17"/>
        </w:numPr>
        <w:ind w:left="1080" w:right="1440"/>
      </w:pPr>
      <w:r w:rsidRPr="001415C7">
        <w:t>An overview of the origin and purpose of the program.</w:t>
      </w:r>
    </w:p>
    <w:p w:rsidRPr="001415C7" w:rsidR="00992CE7" w:rsidP="004A6EE8" w:rsidRDefault="00992CE7" w14:paraId="5B225331" w14:textId="5BAC023D">
      <w:pPr>
        <w:pStyle w:val="ListParagraph"/>
        <w:numPr>
          <w:ilvl w:val="0"/>
          <w:numId w:val="17"/>
        </w:numPr>
        <w:ind w:left="1080" w:right="1440"/>
      </w:pPr>
      <w:r w:rsidRPr="001415C7">
        <w:t xml:space="preserve">A map of the </w:t>
      </w:r>
      <w:r w:rsidRPr="001415C7" w:rsidR="00EE0513">
        <w:t>pilot project area</w:t>
      </w:r>
      <w:r w:rsidRPr="001415C7">
        <w:t>.</w:t>
      </w:r>
    </w:p>
    <w:p w:rsidRPr="001415C7" w:rsidR="00992CE7" w:rsidP="004A6EE8" w:rsidRDefault="00992CE7" w14:paraId="113F606D" w14:textId="2A945633">
      <w:pPr>
        <w:pStyle w:val="ListParagraph"/>
        <w:numPr>
          <w:ilvl w:val="0"/>
          <w:numId w:val="17"/>
        </w:numPr>
        <w:ind w:left="1080" w:right="1440"/>
      </w:pPr>
      <w:r w:rsidRPr="001415C7">
        <w:t xml:space="preserve">A timeline of key events that impact that individual (e.g., the </w:t>
      </w:r>
      <w:r w:rsidRPr="001415C7" w:rsidR="00337195">
        <w:t>estimated</w:t>
      </w:r>
      <w:r w:rsidRPr="001415C7" w:rsidR="008439CE">
        <w:t xml:space="preserve"> </w:t>
      </w:r>
      <w:r w:rsidRPr="001415C7">
        <w:t xml:space="preserve">window during which home remediation </w:t>
      </w:r>
      <w:r w:rsidRPr="001415C7">
        <w:lastRenderedPageBreak/>
        <w:t xml:space="preserve">will start/end, the </w:t>
      </w:r>
      <w:r w:rsidRPr="001415C7" w:rsidR="001B396B">
        <w:t>estimated</w:t>
      </w:r>
      <w:r w:rsidRPr="001415C7">
        <w:t xml:space="preserve"> time window during which appliance replacement will start/end).</w:t>
      </w:r>
      <w:r w:rsidRPr="001415C7">
        <w:rPr>
          <w:rStyle w:val="FootnoteReference"/>
        </w:rPr>
        <w:footnoteReference w:id="132"/>
      </w:r>
    </w:p>
    <w:p w:rsidRPr="001415C7" w:rsidR="00992CE7" w:rsidP="004A6EE8" w:rsidRDefault="00F32FB6" w14:paraId="54D0BF61" w14:textId="019872F6">
      <w:pPr>
        <w:pStyle w:val="ListParagraph"/>
        <w:numPr>
          <w:ilvl w:val="0"/>
          <w:numId w:val="17"/>
        </w:numPr>
        <w:ind w:left="1080" w:right="1440"/>
      </w:pPr>
      <w:r w:rsidRPr="001415C7">
        <w:t>A clear statement</w:t>
      </w:r>
      <w:r w:rsidRPr="001415C7" w:rsidR="00234CE2">
        <w:t xml:space="preserve"> that the projects are irreversible and natural gas service will not return.</w:t>
      </w:r>
    </w:p>
    <w:p w:rsidRPr="001415C7" w:rsidR="00234CE2" w:rsidP="00234CE2" w:rsidRDefault="00234CE2" w14:paraId="223A4121" w14:textId="3812B213">
      <w:pPr>
        <w:ind w:right="1440"/>
      </w:pPr>
      <w:r w:rsidRPr="001415C7">
        <w:t xml:space="preserve">The </w:t>
      </w:r>
      <w:r w:rsidRPr="001415C7" w:rsidR="00733DBC">
        <w:t>Costs and Benefits of the</w:t>
      </w:r>
      <w:r w:rsidRPr="001415C7" w:rsidR="00D624EF">
        <w:t xml:space="preserve"> Proposed Project</w:t>
      </w:r>
      <w:r w:rsidRPr="001415C7" w:rsidR="00733DBC">
        <w:t xml:space="preserve"> </w:t>
      </w:r>
      <w:r w:rsidRPr="001415C7">
        <w:t>must include:</w:t>
      </w:r>
    </w:p>
    <w:p w:rsidRPr="001415C7" w:rsidR="00992CE7" w:rsidP="004A6EE8" w:rsidRDefault="00D624EF" w14:paraId="401F96E7" w14:textId="0A70E4E7">
      <w:pPr>
        <w:pStyle w:val="ListParagraph"/>
        <w:numPr>
          <w:ilvl w:val="0"/>
          <w:numId w:val="17"/>
        </w:numPr>
        <w:ind w:left="1080" w:right="1440"/>
      </w:pPr>
      <w:r w:rsidRPr="001415C7">
        <w:t>A description of the project the applicant proposes that will affect the stakeholder, including a list of the replacement appliances that the property owner will be able to choose from and information on the warranty or performance guarantees and the value of those appliances; the home remediation services the applicant will provide and the cost of those services</w:t>
      </w:r>
      <w:r w:rsidRPr="001415C7" w:rsidR="00992CE7">
        <w:t>.</w:t>
      </w:r>
    </w:p>
    <w:p w:rsidRPr="001415C7" w:rsidR="00B23DBF" w:rsidP="004A6EE8" w:rsidRDefault="00FD1CEE" w14:paraId="6CF099C8" w14:textId="367EE182">
      <w:pPr>
        <w:pStyle w:val="ListParagraph"/>
        <w:numPr>
          <w:ilvl w:val="0"/>
          <w:numId w:val="17"/>
        </w:numPr>
        <w:ind w:left="1080" w:right="1440"/>
      </w:pPr>
      <w:r w:rsidRPr="001415C7">
        <w:t>An estimate of the o</w:t>
      </w:r>
      <w:r w:rsidRPr="001415C7" w:rsidR="00FB4DA2">
        <w:t xml:space="preserve">ne-time and ongoing costs that the </w:t>
      </w:r>
      <w:r w:rsidRPr="001415C7">
        <w:t>contacted individual</w:t>
      </w:r>
      <w:r w:rsidRPr="001415C7" w:rsidR="00FB4DA2">
        <w:t xml:space="preserve"> will have to pay for</w:t>
      </w:r>
      <w:r w:rsidRPr="001415C7" w:rsidR="00E77A6C">
        <w:t>,</w:t>
      </w:r>
      <w:r w:rsidRPr="001415C7" w:rsidR="004D1A43">
        <w:t xml:space="preserve"> including individualized bill estimates</w:t>
      </w:r>
      <w:r w:rsidRPr="001415C7">
        <w:t>.</w:t>
      </w:r>
    </w:p>
    <w:p w:rsidRPr="001415C7" w:rsidR="00B23DBF" w:rsidP="005C1DE2" w:rsidRDefault="00992CE7" w14:paraId="11849A08" w14:textId="7C1076CC">
      <w:pPr>
        <w:pStyle w:val="Standard"/>
      </w:pPr>
      <w:r w:rsidRPr="001415C7">
        <w:t xml:space="preserve">The applicant must also provide </w:t>
      </w:r>
      <w:r w:rsidRPr="001415C7" w:rsidR="00064C9F">
        <w:t>c</w:t>
      </w:r>
      <w:r w:rsidRPr="001415C7" w:rsidR="00B23DBF">
        <w:t>ontact</w:t>
      </w:r>
      <w:r w:rsidRPr="001415C7" w:rsidR="00CB3178">
        <w:t xml:space="preserve"> information </w:t>
      </w:r>
      <w:r w:rsidRPr="001415C7" w:rsidR="000B731A">
        <w:t>for an individual who can answer</w:t>
      </w:r>
      <w:r w:rsidRPr="001415C7" w:rsidR="00CB3178">
        <w:t xml:space="preserve"> </w:t>
      </w:r>
      <w:r w:rsidRPr="001415C7" w:rsidR="000B731A">
        <w:t>question</w:t>
      </w:r>
      <w:r w:rsidRPr="001415C7" w:rsidR="0051357F">
        <w:t>s</w:t>
      </w:r>
      <w:r w:rsidRPr="001415C7" w:rsidR="000B731A">
        <w:t xml:space="preserve"> about the pilot</w:t>
      </w:r>
      <w:r w:rsidRPr="001415C7" w:rsidR="00064C9F">
        <w:t xml:space="preserve"> and an opportunity for the contacted individual to provide feedback. This should include the d</w:t>
      </w:r>
      <w:r w:rsidRPr="001415C7" w:rsidR="000B731A">
        <w:t>ates and times for any planned c</w:t>
      </w:r>
      <w:r w:rsidRPr="001415C7" w:rsidR="00B23DBF">
        <w:t>ommunity forums and direct engagement</w:t>
      </w:r>
      <w:r w:rsidRPr="001415C7" w:rsidR="005C1DE2">
        <w:t xml:space="preserve">, and, unless the applicant </w:t>
      </w:r>
      <w:r w:rsidRPr="001415C7" w:rsidR="00D5306E">
        <w:t>finds a better approach to soliciting feedback, a project-specific email address to which the contacted individual can write and provide their feedback.</w:t>
      </w:r>
      <w:r w:rsidRPr="001415C7" w:rsidR="005C1DE2">
        <w:t xml:space="preserve"> </w:t>
      </w:r>
    </w:p>
    <w:p w:rsidRPr="001415C7" w:rsidR="007C6149" w:rsidP="005C1DE2" w:rsidRDefault="00D6000C" w14:paraId="35B5626D" w14:textId="7B142D74">
      <w:pPr>
        <w:pStyle w:val="Standard"/>
      </w:pPr>
      <w:r w:rsidRPr="001415C7">
        <w:t>This i</w:t>
      </w:r>
      <w:r w:rsidRPr="001415C7" w:rsidR="007C6149">
        <w:t xml:space="preserve">nformation must be provided in clear, simple language </w:t>
      </w:r>
      <w:r w:rsidRPr="001415C7" w:rsidR="001359B4">
        <w:t xml:space="preserve">to ensure customers understand </w:t>
      </w:r>
      <w:r w:rsidRPr="001415C7">
        <w:t xml:space="preserve">the obligations and requirements </w:t>
      </w:r>
      <w:r w:rsidRPr="001415C7" w:rsidR="008A03BD">
        <w:t>of the program</w:t>
      </w:r>
      <w:r w:rsidRPr="001415C7">
        <w:t>. Furthermore,</w:t>
      </w:r>
      <w:r w:rsidRPr="001415C7" w:rsidR="001359B4">
        <w:t xml:space="preserve"> communications must </w:t>
      </w:r>
      <w:r w:rsidRPr="001415C7" w:rsidR="007C6149">
        <w:t>be available in the prevailing languages</w:t>
      </w:r>
      <w:r w:rsidRPr="001415C7" w:rsidR="001359B4">
        <w:t xml:space="preserve"> of the pilot</w:t>
      </w:r>
      <w:r w:rsidRPr="001415C7" w:rsidR="0019609A">
        <w:t xml:space="preserve"> project</w:t>
      </w:r>
      <w:r w:rsidRPr="001415C7" w:rsidR="001359B4">
        <w:t xml:space="preserve"> area.</w:t>
      </w:r>
      <w:r w:rsidRPr="001415C7" w:rsidR="009256E1">
        <w:t xml:space="preserve"> Finally, communications must be available in accessible formats and, for customer</w:t>
      </w:r>
      <w:r w:rsidRPr="001415C7" w:rsidR="0085402C">
        <w:t>s</w:t>
      </w:r>
      <w:r w:rsidRPr="001415C7" w:rsidR="009256E1">
        <w:t xml:space="preserve"> who already receive communications in accessible </w:t>
      </w:r>
      <w:r w:rsidRPr="001415C7" w:rsidR="009256E1">
        <w:lastRenderedPageBreak/>
        <w:t>formats (e.g., in large print), proactively provided according to the customer’s needs.</w:t>
      </w:r>
    </w:p>
    <w:p w:rsidRPr="001415C7" w:rsidR="00D5306E" w:rsidP="005C1DE2" w:rsidRDefault="00D5306E" w14:paraId="5A304161" w14:textId="53D4962B">
      <w:pPr>
        <w:pStyle w:val="Standard"/>
      </w:pPr>
      <w:r w:rsidRPr="001415C7">
        <w:t xml:space="preserve">The requirements above ensure that </w:t>
      </w:r>
      <w:r w:rsidRPr="001415C7" w:rsidR="005259D3">
        <w:t>the applicants will meet the statutory obligations regarding the timing and recipients of information and that</w:t>
      </w:r>
      <w:r w:rsidRPr="001415C7" w:rsidR="7FA38C2C">
        <w:t xml:space="preserve"> property owners, affected customers, </w:t>
      </w:r>
      <w:r w:rsidRPr="001415C7" w:rsidR="00B0389E">
        <w:t xml:space="preserve">and tenants of master-metered properties </w:t>
      </w:r>
      <w:r w:rsidRPr="001415C7" w:rsidR="005259D3">
        <w:t>have opportunity to understand and comment on the proposed projects.</w:t>
      </w:r>
    </w:p>
    <w:p w:rsidRPr="001415C7" w:rsidR="007346ED" w:rsidP="007346ED" w:rsidRDefault="007346ED" w14:paraId="73B976F2" w14:textId="77777777">
      <w:pPr>
        <w:pStyle w:val="Heading3"/>
        <w:numPr>
          <w:ilvl w:val="2"/>
          <w:numId w:val="1"/>
        </w:numPr>
      </w:pPr>
      <w:bookmarkStart w:name="_Toc233633631" w:id="89"/>
      <w:r w:rsidRPr="001415C7">
        <w:t>Documentation of Outreach</w:t>
      </w:r>
      <w:bookmarkEnd w:id="89"/>
    </w:p>
    <w:p w:rsidRPr="001415C7" w:rsidR="007346ED" w:rsidP="007346ED" w:rsidRDefault="007346ED" w14:paraId="2D150A97" w14:textId="77777777">
      <w:r w:rsidRPr="001415C7">
        <w:t>Southwest Gas recommends that gas utilities maintain thorough records of all the customer outreach (e.g., mail sent, public meetings held, door hangers distributed, etc.) during the project identification process; they further recommend that gas utilities continue this documentation during the implementation process and include all these records to support any pilot evaluation process.</w:t>
      </w:r>
      <w:r w:rsidRPr="001415C7">
        <w:rPr>
          <w:rStyle w:val="FootnoteReference"/>
        </w:rPr>
        <w:footnoteReference w:id="133"/>
      </w:r>
      <w:r w:rsidRPr="001415C7">
        <w:t xml:space="preserve"> Cal Advocates agrees, stating that the pilot administrators should track customer approval through and beyond the pilot period, noting that SB 1221 states the pilots will provide value by documenting the pilots’ key challenges and successes. Cal Advocates asserts that a multi-year satisfaction survey of pilot participants will provide insight into the customer-reported benefits and drawbacks of the pilots and inform future decarbonization activities.</w:t>
      </w:r>
      <w:r w:rsidRPr="001415C7">
        <w:rPr>
          <w:rStyle w:val="FootnoteReference"/>
        </w:rPr>
        <w:footnoteReference w:id="134"/>
      </w:r>
      <w:r w:rsidRPr="001415C7">
        <w:t xml:space="preserve"> CCR REN recommends funding CBOs to document engagement activities.</w:t>
      </w:r>
      <w:r w:rsidRPr="001415C7">
        <w:rPr>
          <w:rStyle w:val="FootnoteReference"/>
        </w:rPr>
        <w:footnoteReference w:id="135"/>
      </w:r>
    </w:p>
    <w:p w:rsidRPr="001415C7" w:rsidR="0066476D" w:rsidP="009C4701" w:rsidRDefault="0066476D" w14:paraId="79C9F08A" w14:textId="5857D8B2">
      <w:pPr>
        <w:pStyle w:val="Standard"/>
      </w:pPr>
      <w:r w:rsidRPr="001415C7">
        <w:t>The</w:t>
      </w:r>
      <w:r w:rsidRPr="001415C7" w:rsidR="0084779C">
        <w:t xml:space="preserve"> applicant shall document </w:t>
      </w:r>
      <w:r w:rsidRPr="001415C7" w:rsidR="00206807">
        <w:t xml:space="preserve">their pre-application outreach by including </w:t>
      </w:r>
      <w:r w:rsidRPr="001415C7" w:rsidR="00035488">
        <w:t xml:space="preserve">in their application </w:t>
      </w:r>
      <w:r w:rsidRPr="001415C7" w:rsidR="00942CF5">
        <w:t xml:space="preserve">the copies of their outreach materials and summaries of engagement activities described in Appendix A. </w:t>
      </w:r>
      <w:r w:rsidRPr="001415C7" w:rsidR="00157698">
        <w:t xml:space="preserve">After project implementation </w:t>
      </w:r>
      <w:r w:rsidRPr="001415C7" w:rsidR="00157698">
        <w:lastRenderedPageBreak/>
        <w:t>begins, the applicant shall document their outreach by filing and serving Tier 1 Advice Letters each year on November 1</w:t>
      </w:r>
      <w:r w:rsidRPr="001415C7" w:rsidR="00FF52B2">
        <w:t>. These advice letters shall contain the materials identified in Appendix A.</w:t>
      </w:r>
    </w:p>
    <w:p w:rsidRPr="001415C7" w:rsidR="008B47DE" w:rsidP="71C16739" w:rsidRDefault="008B47DE" w14:paraId="5A0500CE" w14:textId="7BE2116F">
      <w:pPr>
        <w:pStyle w:val="Heading3"/>
      </w:pPr>
      <w:bookmarkStart w:name="_Toc228261696" w:id="90"/>
      <w:bookmarkStart w:name="_Toc233633632" w:id="91"/>
      <w:r w:rsidRPr="001415C7">
        <w:t>Outreach</w:t>
      </w:r>
      <w:r w:rsidRPr="001415C7" w:rsidR="2D8E13FA">
        <w:t xml:space="preserve"> by </w:t>
      </w:r>
      <w:r w:rsidRPr="001415C7" w:rsidR="00A029CC">
        <w:t>Coordinating</w:t>
      </w:r>
      <w:r w:rsidRPr="001415C7" w:rsidR="2D8E13FA">
        <w:t xml:space="preserve"> Entities and CBOs</w:t>
      </w:r>
      <w:bookmarkEnd w:id="90"/>
      <w:bookmarkEnd w:id="91"/>
    </w:p>
    <w:p w:rsidRPr="001415C7" w:rsidR="003824BC" w:rsidP="003824BC" w:rsidRDefault="003824BC" w14:paraId="50154B28" w14:textId="77777777">
      <w:r w:rsidRPr="001415C7">
        <w:t>CforAT recommends the utilities work with community-based organizations that support communities with high rates of asthma, poor air quality, and larger populations of disabled residents and/or residents enrolled in the medical baseline program.</w:t>
      </w:r>
      <w:r w:rsidRPr="001415C7">
        <w:rPr>
          <w:rStyle w:val="FootnoteReference"/>
        </w:rPr>
        <w:footnoteReference w:id="136"/>
      </w:r>
      <w:r w:rsidRPr="001415C7">
        <w:t xml:space="preserve"> CforAT recommends the gas utilities conduct initial outreach to these organizations during the project identification phase and expanded outreach, including offers of financial support, during the implementation phase.</w:t>
      </w:r>
      <w:r w:rsidRPr="001415C7">
        <w:rPr>
          <w:rStyle w:val="FootnoteReference"/>
        </w:rPr>
        <w:footnoteReference w:id="137"/>
      </w:r>
      <w:r w:rsidRPr="001415C7">
        <w:t xml:space="preserve"> San Francisco and CCR REN also support working with CBOs, RENs, and local governments – whichever is the trusted messenger appropriate to the community – to conduct community and customer engagement.</w:t>
      </w:r>
      <w:r w:rsidRPr="001415C7">
        <w:rPr>
          <w:rStyle w:val="FootnoteReference"/>
        </w:rPr>
        <w:footnoteReference w:id="138"/>
      </w:r>
      <w:r w:rsidRPr="001415C7">
        <w:t xml:space="preserve"> </w:t>
      </w:r>
    </w:p>
    <w:p w:rsidRPr="001415C7" w:rsidR="003824BC" w:rsidP="004566AA" w:rsidRDefault="003824BC" w14:paraId="5BF12F7F" w14:textId="77777777">
      <w:pPr>
        <w:pStyle w:val="Standard"/>
      </w:pPr>
      <w:r w:rsidRPr="001415C7">
        <w:t>CCR REN and CforAT recommend that the gas utilities provide financial support to CBOs to ensure they have sufficient resources for community engagement.</w:t>
      </w:r>
      <w:r w:rsidRPr="001415C7">
        <w:rPr>
          <w:rStyle w:val="FootnoteReference"/>
        </w:rPr>
        <w:footnoteReference w:id="139"/>
      </w:r>
    </w:p>
    <w:p w:rsidRPr="001415C7" w:rsidR="00DE6891" w:rsidP="00445F16" w:rsidRDefault="001C489E" w14:paraId="035FBFDA" w14:textId="71140610">
      <w:pPr>
        <w:pStyle w:val="Standard"/>
      </w:pPr>
      <w:r w:rsidRPr="001415C7">
        <w:t>This decision recognizes that CBOs</w:t>
      </w:r>
      <w:r w:rsidRPr="001415C7" w:rsidR="000821D7">
        <w:t xml:space="preserve"> and other nonprofits</w:t>
      </w:r>
      <w:r w:rsidRPr="001415C7">
        <w:t xml:space="preserve"> can be an important resource for effective and trusted outreach</w:t>
      </w:r>
      <w:r w:rsidRPr="001415C7" w:rsidR="008E39E5">
        <w:t>, but CBOs may not be available or appropriate for every pilot at every stage. This decision authorize</w:t>
      </w:r>
      <w:r w:rsidRPr="001415C7" w:rsidR="00DD4A51">
        <w:t>s</w:t>
      </w:r>
      <w:r w:rsidRPr="001415C7" w:rsidR="003824BC">
        <w:t xml:space="preserve"> </w:t>
      </w:r>
      <w:r w:rsidRPr="001415C7" w:rsidR="008E39E5">
        <w:lastRenderedPageBreak/>
        <w:t xml:space="preserve">applicants to </w:t>
      </w:r>
      <w:r w:rsidRPr="001415C7" w:rsidR="003824BC">
        <w:t>fund CBO</w:t>
      </w:r>
      <w:r w:rsidRPr="001415C7" w:rsidR="004566AA">
        <w:t xml:space="preserve">s </w:t>
      </w:r>
      <w:r w:rsidRPr="001415C7" w:rsidR="00DD4A51">
        <w:t xml:space="preserve">as necessary and prudent to support </w:t>
      </w:r>
      <w:r w:rsidRPr="001415C7" w:rsidR="00296F96">
        <w:t>the notification, outreach</w:t>
      </w:r>
      <w:r w:rsidRPr="001415C7" w:rsidR="00625835">
        <w:t>, and engagement requirements established in this section and in Appendix A.</w:t>
      </w:r>
      <w:bookmarkStart w:name="_Toc228261698" w:id="92"/>
    </w:p>
    <w:p w:rsidRPr="001415C7" w:rsidR="00757B16" w:rsidP="00595C9C" w:rsidRDefault="00757B16" w14:paraId="127978CA" w14:textId="4F726C11">
      <w:pPr>
        <w:pStyle w:val="Heading2"/>
        <w:numPr>
          <w:ilvl w:val="1"/>
          <w:numId w:val="1"/>
        </w:numPr>
      </w:pPr>
      <w:bookmarkStart w:name="_Ref230873711" w:id="93"/>
      <w:bookmarkStart w:name="_Toc233633633" w:id="94"/>
      <w:r w:rsidRPr="001415C7">
        <w:t>Authorization to Establish Memorandum Accounts</w:t>
      </w:r>
      <w:r w:rsidRPr="001415C7" w:rsidR="00595C9C">
        <w:t xml:space="preserve"> for Administrative and Outreach Costs</w:t>
      </w:r>
      <w:bookmarkEnd w:id="93"/>
      <w:bookmarkEnd w:id="94"/>
    </w:p>
    <w:p w:rsidRPr="001415C7" w:rsidR="00757B16" w:rsidP="00757B16" w:rsidRDefault="00757B16" w14:paraId="591B8F49" w14:textId="6FA7980E">
      <w:pPr>
        <w:pStyle w:val="Standard"/>
      </w:pPr>
      <w:r w:rsidRPr="001415C7">
        <w:t xml:space="preserve">This decision authorizes the gas corporations that plan to file an application to implement pilot projects to establish a memorandum account to record the administrative and outreach costs they incur in the course of developing their application. </w:t>
      </w:r>
      <w:r w:rsidRPr="001415C7" w:rsidR="1FDF86ED">
        <w:t xml:space="preserve">Gas </w:t>
      </w:r>
      <w:r w:rsidRPr="001415C7" w:rsidR="34F1D195">
        <w:t>corporations</w:t>
      </w:r>
      <w:r w:rsidRPr="001415C7" w:rsidR="1FDF86ED">
        <w:t xml:space="preserve"> </w:t>
      </w:r>
      <w:r w:rsidRPr="001415C7">
        <w:t>shall establish subaccounts for each of the pilot</w:t>
      </w:r>
      <w:r w:rsidRPr="001415C7" w:rsidR="00F243DC">
        <w:t xml:space="preserve"> projects</w:t>
      </w:r>
      <w:r w:rsidRPr="001415C7">
        <w:t xml:space="preserve"> they propose and allocate the administrative and outreach costs to specific pilot</w:t>
      </w:r>
      <w:r w:rsidRPr="001415C7" w:rsidR="00F243DC">
        <w:t xml:space="preserve"> projects</w:t>
      </w:r>
      <w:r w:rsidRPr="001415C7">
        <w:t>, to the extent possible. Applicants may request a reasonableness review of those pilot development costs in their applications.</w:t>
      </w:r>
      <w:r w:rsidRPr="001415C7" w:rsidR="00C310FF">
        <w:rPr>
          <w:rStyle w:val="FootnoteReference"/>
        </w:rPr>
        <w:footnoteReference w:id="140"/>
      </w:r>
      <w:r w:rsidRPr="001415C7">
        <w:t xml:space="preserve"> These memorandum accounts serve the ratepayer interest because, without these accounts, utilities may not be willing to conduct outreach or provide funding to </w:t>
      </w:r>
      <w:r w:rsidRPr="001415C7" w:rsidR="00C64F79">
        <w:t>coordinating entities</w:t>
      </w:r>
      <w:r w:rsidRPr="001415C7">
        <w:t xml:space="preserve"> (e.g., CBOs) that would advance the goals of this pilot program.</w:t>
      </w:r>
    </w:p>
    <w:p w:rsidRPr="001415C7" w:rsidR="00B24D67" w:rsidP="00757B16" w:rsidRDefault="00CC45AC" w14:paraId="699392A1" w14:textId="1B6D0B98">
      <w:pPr>
        <w:pStyle w:val="Standard"/>
      </w:pPr>
      <w:r w:rsidRPr="001415C7">
        <w:t>Applications shall describe how the applicant plans to distinguish</w:t>
      </w:r>
      <w:r w:rsidRPr="001415C7" w:rsidR="002B55E7">
        <w:t xml:space="preserve"> </w:t>
      </w:r>
      <w:r w:rsidRPr="001415C7" w:rsidR="00284105">
        <w:t xml:space="preserve">between administrative and outreach costs that </w:t>
      </w:r>
      <w:r w:rsidRPr="001415C7" w:rsidR="00A80477">
        <w:t xml:space="preserve">can be attributed to individual pilot projects (and how the applicant will allocate those costs </w:t>
      </w:r>
      <w:r w:rsidRPr="001415C7" w:rsidR="00FD7930">
        <w:t xml:space="preserve">to individual pilots) </w:t>
      </w:r>
      <w:r w:rsidRPr="001415C7" w:rsidR="00DD4156">
        <w:t>and administrative costs that</w:t>
      </w:r>
      <w:r w:rsidRPr="001415C7" w:rsidR="00285DB7">
        <w:t xml:space="preserve"> cannot be attributed to individual pilot projects.</w:t>
      </w:r>
    </w:p>
    <w:p w:rsidRPr="001415C7" w:rsidR="3B59DE19" w:rsidRDefault="34D45417" w14:paraId="6EE85CC1" w14:textId="09156170">
      <w:pPr>
        <w:rPr>
          <w:rFonts w:eastAsia="Book Antiqua" w:cs="Book Antiqua"/>
          <w:szCs w:val="26"/>
        </w:rPr>
      </w:pPr>
      <w:r w:rsidRPr="001415C7">
        <w:rPr>
          <w:rFonts w:eastAsia="Book Antiqua" w:cs="Book Antiqua"/>
          <w:szCs w:val="26"/>
        </w:rPr>
        <w:t xml:space="preserve">Gas corporations may file a Tier 2 Advice Letter to request authority to recover the costs incurred in support of projects that were ultimately not included in a proposal, the utility shall justify its expenditures, explain why the </w:t>
      </w:r>
      <w:r w:rsidRPr="001415C7">
        <w:rPr>
          <w:rFonts w:eastAsia="Book Antiqua" w:cs="Book Antiqua"/>
          <w:szCs w:val="26"/>
        </w:rPr>
        <w:lastRenderedPageBreak/>
        <w:t>projects were ultimately not included in a proposal, and share any lessons learned from the process.</w:t>
      </w:r>
    </w:p>
    <w:p w:rsidRPr="001415C7" w:rsidR="00757B16" w:rsidP="00757B16" w:rsidRDefault="00757B16" w14:paraId="4F47D9C0" w14:textId="23478E52">
      <w:pPr>
        <w:pStyle w:val="Standard"/>
      </w:pPr>
      <w:r w:rsidRPr="001415C7">
        <w:t>This decision does not authorize the gas corporations to establish memorandum or balancing accounts to record the costs of project implementation. The applications may include a request to establish accounts to record project implementation costs.</w:t>
      </w:r>
    </w:p>
    <w:p w:rsidRPr="001415C7" w:rsidR="00102CBF" w:rsidP="1262AED4" w:rsidRDefault="00AB0F59" w14:paraId="7D326DD1" w14:textId="0C345905">
      <w:pPr>
        <w:pStyle w:val="Heading1"/>
      </w:pPr>
      <w:bookmarkStart w:name="_Toc233633634" w:id="95"/>
      <w:r w:rsidRPr="001415C7">
        <w:t>Cost Effectiveness</w:t>
      </w:r>
      <w:bookmarkEnd w:id="92"/>
      <w:bookmarkEnd w:id="95"/>
    </w:p>
    <w:p w:rsidRPr="001415C7" w:rsidR="00046751" w:rsidP="00046751" w:rsidRDefault="00046751" w14:paraId="40FBADDD" w14:textId="02448857">
      <w:pPr>
        <w:pStyle w:val="Standard"/>
      </w:pPr>
      <w:r w:rsidRPr="001415C7">
        <w:t>Code Section 663(a) requires the Commission to</w:t>
      </w:r>
      <w:r w:rsidRPr="001415C7" w:rsidR="00934F72">
        <w:t xml:space="preserve"> ensure </w:t>
      </w:r>
      <w:r w:rsidRPr="001415C7" w:rsidR="00D353DE">
        <w:t xml:space="preserve">that </w:t>
      </w:r>
      <w:r w:rsidRPr="001415C7" w:rsidR="00934F72">
        <w:t xml:space="preserve">the pilot program “facilitates the </w:t>
      </w:r>
      <w:r w:rsidRPr="001415C7" w:rsidR="00007A79">
        <w:t>cost effective</w:t>
      </w:r>
      <w:r w:rsidRPr="001415C7" w:rsidR="00934F72">
        <w:t xml:space="preserve"> decarbonization of priority neighborhood decarbonization zones</w:t>
      </w:r>
      <w:r w:rsidRPr="001415C7" w:rsidR="00D353DE">
        <w:t>.</w:t>
      </w:r>
      <w:r w:rsidRPr="001415C7" w:rsidR="00934F72">
        <w:t>”</w:t>
      </w:r>
      <w:r w:rsidRPr="001415C7">
        <w:t xml:space="preserve"> </w:t>
      </w:r>
      <w:r w:rsidRPr="001415C7" w:rsidR="009C3F45">
        <w:t>Code Section 663(b)(2)</w:t>
      </w:r>
      <w:r w:rsidRPr="001415C7" w:rsidR="00BD7EB2">
        <w:t xml:space="preserve"> requires the Commission to establish “[criteria] and methodology for determining the </w:t>
      </w:r>
      <w:r w:rsidRPr="001415C7" w:rsidR="00007A79">
        <w:t>cost effective</w:t>
      </w:r>
      <w:r w:rsidRPr="001415C7" w:rsidR="00BD7EB2">
        <w:t>ness of a zero-emission alternative as compared to replacement, repair, or continued operation of the affected asset of the gas system</w:t>
      </w:r>
      <w:r w:rsidRPr="001415C7" w:rsidR="00B13A7F">
        <w:t xml:space="preserve">,” and further elaborates that “[the] </w:t>
      </w:r>
      <w:r w:rsidRPr="001415C7" w:rsidR="00BD7EB2">
        <w:t>total cost incurred by the gas corporation for the zero-emission alternative shall be less than the total cost that would have otherwise occurred.</w:t>
      </w:r>
      <w:r w:rsidRPr="001415C7" w:rsidR="00B13A7F">
        <w:t xml:space="preserve">” The same code section clarifies that while non-energy benefits may be considered in prioritizing pilot projects, the Commission shall not use them to calculate </w:t>
      </w:r>
      <w:r w:rsidRPr="001415C7" w:rsidR="00007A79">
        <w:t>cost effective</w:t>
      </w:r>
      <w:r w:rsidRPr="001415C7" w:rsidR="00B13A7F">
        <w:t>ness.</w:t>
      </w:r>
    </w:p>
    <w:p w:rsidRPr="001415C7" w:rsidR="001C28FC" w:rsidP="008144A1" w:rsidRDefault="00E62BF5" w14:paraId="170434D0" w14:textId="1A2F351E">
      <w:pPr>
        <w:pStyle w:val="Standard"/>
      </w:pPr>
      <w:r w:rsidRPr="001415C7">
        <w:t xml:space="preserve">Accordingly, the Commission must </w:t>
      </w:r>
      <w:r w:rsidRPr="001415C7" w:rsidR="004705B5">
        <w:t xml:space="preserve">define how </w:t>
      </w:r>
      <w:r w:rsidRPr="001415C7" w:rsidR="00007A79">
        <w:t>cost effective</w:t>
      </w:r>
      <w:r w:rsidRPr="001415C7" w:rsidR="004705B5">
        <w:t xml:space="preserve">ness should be calculated for </w:t>
      </w:r>
      <w:r w:rsidRPr="001415C7" w:rsidR="001832BD">
        <w:t>purposes of project eligibility</w:t>
      </w:r>
      <w:r w:rsidRPr="001415C7" w:rsidR="00583D6B">
        <w:t xml:space="preserve">, including </w:t>
      </w:r>
      <w:r w:rsidRPr="001415C7" w:rsidR="00AE6FAB">
        <w:t>which costs and benefits should be included in that test</w:t>
      </w:r>
      <w:r w:rsidRPr="001415C7" w:rsidR="005B3B0B">
        <w:t>.</w:t>
      </w:r>
    </w:p>
    <w:p w:rsidRPr="001415C7" w:rsidR="002C4D6C" w:rsidP="002C4D6C" w:rsidRDefault="002C4D6C" w14:paraId="04E740BA" w14:textId="664F947E">
      <w:pPr>
        <w:pStyle w:val="Heading2"/>
        <w:numPr>
          <w:ilvl w:val="1"/>
          <w:numId w:val="1"/>
        </w:numPr>
        <w:spacing w:after="160" w:line="278" w:lineRule="auto"/>
        <w:contextualSpacing/>
      </w:pPr>
      <w:bookmarkStart w:name="_Toc233633635" w:id="96"/>
      <w:r w:rsidRPr="001415C7">
        <w:t>Net Present Value</w:t>
      </w:r>
      <w:r w:rsidRPr="001415C7" w:rsidR="00970C13">
        <w:t xml:space="preserve"> and Discount Rate</w:t>
      </w:r>
      <w:bookmarkEnd w:id="96"/>
    </w:p>
    <w:p w:rsidRPr="001415C7" w:rsidR="0027565D" w:rsidP="009C4701" w:rsidRDefault="009A0E00" w14:paraId="4E6D5374" w14:textId="20158CA1">
      <w:pPr>
        <w:pStyle w:val="Standard"/>
      </w:pPr>
      <w:r w:rsidRPr="001415C7">
        <w:t xml:space="preserve">Cal Advocates, the Joint CCAs, Indicated Shippers, </w:t>
      </w:r>
      <w:r w:rsidRPr="001415C7" w:rsidR="00F121F9">
        <w:t xml:space="preserve">PG&amp;E, </w:t>
      </w:r>
      <w:r w:rsidRPr="001415C7">
        <w:t>the Sempra Utilities, SCE, the Sierra Club</w:t>
      </w:r>
      <w:r w:rsidRPr="001415C7" w:rsidR="00BD3271">
        <w:t xml:space="preserve"> and NRDC</w:t>
      </w:r>
      <w:r w:rsidRPr="001415C7">
        <w:t xml:space="preserve">, </w:t>
      </w:r>
      <w:r w:rsidRPr="001415C7" w:rsidR="00F121F9">
        <w:t xml:space="preserve">and </w:t>
      </w:r>
      <w:r w:rsidRPr="001415C7">
        <w:t>TURN</w:t>
      </w:r>
      <w:r w:rsidRPr="001415C7" w:rsidR="00F121F9">
        <w:t xml:space="preserve"> all support the use of net-pr</w:t>
      </w:r>
      <w:r w:rsidRPr="001415C7" w:rsidR="00970C13">
        <w:t xml:space="preserve">esent value calculations to calculate projects’ </w:t>
      </w:r>
      <w:r w:rsidRPr="001415C7" w:rsidR="00007A79">
        <w:t>cost effective</w:t>
      </w:r>
      <w:r w:rsidRPr="001415C7" w:rsidR="00970C13">
        <w:t>ness but have different perspectives on the appropriate discount rate to use.</w:t>
      </w:r>
      <w:r w:rsidRPr="001415C7" w:rsidR="00BD3271">
        <w:t xml:space="preserve"> </w:t>
      </w:r>
      <w:r w:rsidRPr="001415C7" w:rsidR="00382D1C">
        <w:t xml:space="preserve">The two bookends </w:t>
      </w:r>
      <w:r w:rsidRPr="001415C7" w:rsidR="00382D1C">
        <w:lastRenderedPageBreak/>
        <w:t xml:space="preserve">are a societal discount rate (which is lower and meant to represent the customer’s time-value of money) and the utility’s weighted average cost of capital (WACC, which is higher and </w:t>
      </w:r>
      <w:r w:rsidRPr="001415C7" w:rsidR="003E236B">
        <w:t>more closely represents the utility’s time-value of money</w:t>
      </w:r>
      <w:r w:rsidRPr="001415C7" w:rsidR="00382D1C">
        <w:t>)</w:t>
      </w:r>
      <w:r w:rsidRPr="001415C7" w:rsidR="003E236B">
        <w:t>.</w:t>
      </w:r>
      <w:r w:rsidRPr="001415C7" w:rsidR="00382D1C">
        <w:t xml:space="preserve"> </w:t>
      </w:r>
      <w:r w:rsidRPr="001415C7" w:rsidR="005D4327">
        <w:t>T</w:t>
      </w:r>
      <w:r w:rsidRPr="001415C7" w:rsidR="00BD3271">
        <w:t>he Sierra Club and NRDC</w:t>
      </w:r>
      <w:r w:rsidRPr="001415C7" w:rsidR="005D203A">
        <w:t xml:space="preserve"> recommend the </w:t>
      </w:r>
      <w:r w:rsidRPr="001415C7" w:rsidR="00653752">
        <w:t xml:space="preserve">Commission adopt </w:t>
      </w:r>
      <w:r w:rsidRPr="001415C7" w:rsidR="003E236B">
        <w:t>a societal discount rate</w:t>
      </w:r>
      <w:r w:rsidRPr="001415C7" w:rsidR="001917B3">
        <w:t>, while TURN suggest</w:t>
      </w:r>
      <w:r w:rsidRPr="001415C7" w:rsidR="00366809">
        <w:t>s</w:t>
      </w:r>
      <w:r w:rsidRPr="001415C7" w:rsidR="001917B3">
        <w:t xml:space="preserve"> the Commission use a number closer to the utility’s WACC.</w:t>
      </w:r>
      <w:r w:rsidRPr="001415C7" w:rsidR="005E6F20">
        <w:rPr>
          <w:rStyle w:val="FootnoteReference"/>
        </w:rPr>
        <w:footnoteReference w:id="141"/>
      </w:r>
    </w:p>
    <w:p w:rsidRPr="001415C7" w:rsidR="001409FD" w:rsidP="001409FD" w:rsidRDefault="005C5B0C" w14:paraId="0DEDBB54" w14:textId="4CFBE865">
      <w:pPr>
        <w:pStyle w:val="Standard"/>
      </w:pPr>
      <w:r w:rsidRPr="001415C7">
        <w:t xml:space="preserve">This decision </w:t>
      </w:r>
      <w:r w:rsidRPr="001415C7" w:rsidR="00A54F68">
        <w:t xml:space="preserve">determines that </w:t>
      </w:r>
      <w:r w:rsidRPr="001415C7" w:rsidR="00007A79">
        <w:t>cost effective</w:t>
      </w:r>
      <w:r w:rsidRPr="001415C7">
        <w:t>ness</w:t>
      </w:r>
      <w:r w:rsidRPr="001415C7" w:rsidR="00A54F68">
        <w:t xml:space="preserve"> will be calculated </w:t>
      </w:r>
      <w:r w:rsidRPr="001415C7">
        <w:t xml:space="preserve">by comparing the </w:t>
      </w:r>
      <w:r w:rsidRPr="001415C7" w:rsidR="00411BFE">
        <w:t>net present value</w:t>
      </w:r>
      <w:r w:rsidRPr="001415C7">
        <w:t xml:space="preserve"> of the</w:t>
      </w:r>
      <w:r w:rsidRPr="001415C7" w:rsidR="001105A3">
        <w:t xml:space="preserve"> </w:t>
      </w:r>
      <w:r w:rsidRPr="001415C7" w:rsidR="00DC550F">
        <w:t xml:space="preserve">avoided </w:t>
      </w:r>
      <w:r w:rsidRPr="001415C7" w:rsidR="001105A3">
        <w:t xml:space="preserve">gas </w:t>
      </w:r>
      <w:r w:rsidRPr="001415C7" w:rsidR="002B1532">
        <w:t>investment</w:t>
      </w:r>
      <w:r w:rsidRPr="001415C7" w:rsidR="001D5FE1">
        <w:t xml:space="preserve">s and maintenance </w:t>
      </w:r>
      <w:r w:rsidRPr="001415C7" w:rsidR="006D47E2">
        <w:t>to the</w:t>
      </w:r>
      <w:r w:rsidRPr="001415C7" w:rsidR="0034601F">
        <w:t xml:space="preserve"> </w:t>
      </w:r>
      <w:r w:rsidRPr="001415C7" w:rsidR="008A4B10">
        <w:t>cost</w:t>
      </w:r>
      <w:r w:rsidRPr="001415C7" w:rsidR="00560CD5">
        <w:t>s</w:t>
      </w:r>
      <w:r w:rsidRPr="001415C7" w:rsidR="008A4B10">
        <w:t xml:space="preserve"> of implementing the zero</w:t>
      </w:r>
      <w:r w:rsidRPr="001415C7" w:rsidR="00387BEB">
        <w:t>-</w:t>
      </w:r>
      <w:r w:rsidRPr="001415C7" w:rsidR="008A4B10">
        <w:t>emission alternative for affected customers</w:t>
      </w:r>
      <w:r w:rsidRPr="001415C7" w:rsidR="00DC10E8">
        <w:t>.</w:t>
      </w:r>
      <w:r w:rsidRPr="001415C7" w:rsidR="001409FD">
        <w:t xml:space="preserve"> This calculation does not include the change in participants’ total energy costs.</w:t>
      </w:r>
    </w:p>
    <w:p w:rsidRPr="001415C7" w:rsidR="7C978852" w:rsidP="009C4701" w:rsidRDefault="7C978852" w14:paraId="4438E3ED" w14:textId="770F370A">
      <w:pPr>
        <w:pStyle w:val="Standard"/>
        <w:rPr>
          <w:rFonts w:eastAsia="Aptos" w:cs="Aptos"/>
          <w:szCs w:val="26"/>
        </w:rPr>
      </w:pPr>
      <w:r w:rsidRPr="001415C7">
        <w:rPr>
          <w:rFonts w:eastAsia="Aptos" w:cs="Aptos"/>
          <w:szCs w:val="26"/>
        </w:rPr>
        <w:t xml:space="preserve">Public Utilities Code Section 663(b)(2) directs the Commission to compare the costs incurred by the gas corporation for the zero-emission alternative against the costs that otherwise would have been incurred for replacement, repair, or continued operation of the affected gas asset. </w:t>
      </w:r>
      <w:r w:rsidRPr="001415C7" w:rsidR="00F46654">
        <w:rPr>
          <w:rFonts w:eastAsia="Aptos" w:cs="Aptos"/>
          <w:szCs w:val="26"/>
        </w:rPr>
        <w:t>Consistent with statute</w:t>
      </w:r>
      <w:r w:rsidRPr="001415C7">
        <w:rPr>
          <w:rFonts w:eastAsia="Aptos" w:cs="Aptos"/>
          <w:szCs w:val="26"/>
        </w:rPr>
        <w:t xml:space="preserve">, this </w:t>
      </w:r>
      <w:r w:rsidRPr="001415C7" w:rsidR="00007A79">
        <w:rPr>
          <w:rFonts w:eastAsia="Aptos" w:cs="Aptos"/>
          <w:szCs w:val="26"/>
        </w:rPr>
        <w:t>cost effective</w:t>
      </w:r>
      <w:r w:rsidRPr="001415C7">
        <w:rPr>
          <w:rFonts w:eastAsia="Aptos" w:cs="Aptos"/>
          <w:szCs w:val="26"/>
        </w:rPr>
        <w:t>ness framework focuses on utility-incurred costs rather than total customer energy costs Accordingly, this NPV calculation does not include changes in participants’ total energy bills, because those costs are not borne by the utility.</w:t>
      </w:r>
    </w:p>
    <w:p w:rsidRPr="001415C7" w:rsidR="7C978852" w:rsidP="009C4701" w:rsidRDefault="7C978852" w14:paraId="25E90F16" w14:textId="6D0A136E">
      <w:pPr>
        <w:pStyle w:val="Standard"/>
        <w:rPr>
          <w:rFonts w:eastAsia="Aptos" w:cs="Aptos"/>
          <w:szCs w:val="26"/>
        </w:rPr>
      </w:pPr>
      <w:r w:rsidRPr="001415C7">
        <w:rPr>
          <w:rFonts w:eastAsia="Aptos" w:cs="Aptos"/>
          <w:szCs w:val="26"/>
        </w:rPr>
        <w:t xml:space="preserve">Both the NPV of avoided-gas infrastructure calculation and the NPV of the ZEA pilot cost calculations will use the </w:t>
      </w:r>
      <w:r w:rsidRPr="001415C7" w:rsidR="0062436E">
        <w:rPr>
          <w:rFonts w:eastAsia="Aptos" w:cs="Aptos"/>
          <w:szCs w:val="26"/>
        </w:rPr>
        <w:t xml:space="preserve">applicant’s </w:t>
      </w:r>
      <w:r w:rsidRPr="001415C7">
        <w:rPr>
          <w:rFonts w:eastAsia="Aptos" w:cs="Aptos"/>
          <w:szCs w:val="26"/>
        </w:rPr>
        <w:t xml:space="preserve">weighted average cost of capital (WACC) as the discount rate, because the WACC more accurately reflects the utility’s </w:t>
      </w:r>
      <w:r w:rsidRPr="001415C7" w:rsidR="1E94A9EC">
        <w:rPr>
          <w:rFonts w:eastAsia="Aptos" w:cs="Aptos"/>
          <w:szCs w:val="26"/>
        </w:rPr>
        <w:t xml:space="preserve">opportunity </w:t>
      </w:r>
      <w:r w:rsidRPr="001415C7">
        <w:rPr>
          <w:rFonts w:eastAsia="Aptos" w:cs="Aptos"/>
          <w:szCs w:val="26"/>
        </w:rPr>
        <w:t>cost of financing proposed projects and its time value of money than would an alternative discount rate, such as societal discount rate.</w:t>
      </w:r>
      <w:r w:rsidRPr="001415C7" w:rsidR="00441935">
        <w:rPr>
          <w:rFonts w:eastAsia="Aptos" w:cs="Aptos"/>
          <w:szCs w:val="26"/>
        </w:rPr>
        <w:t xml:space="preserve"> </w:t>
      </w:r>
      <w:r w:rsidRPr="001415C7" w:rsidR="00441935">
        <w:rPr>
          <w:rFonts w:eastAsia="Aptos" w:cs="Aptos"/>
          <w:szCs w:val="26"/>
        </w:rPr>
        <w:lastRenderedPageBreak/>
        <w:t>CPUC precedents and guidance documents have expressly used and endorsed using the WACC as the discount rate in NPV calculations.</w:t>
      </w:r>
      <w:r w:rsidRPr="001415C7" w:rsidR="00441935">
        <w:rPr>
          <w:rStyle w:val="FootnoteReference"/>
          <w:rFonts w:eastAsia="Aptos" w:cs="Aptos"/>
          <w:szCs w:val="26"/>
        </w:rPr>
        <w:footnoteReference w:id="142"/>
      </w:r>
    </w:p>
    <w:p w:rsidRPr="001415C7" w:rsidR="622F197F" w:rsidP="622F197F" w:rsidRDefault="7C978852" w14:paraId="2828786A" w14:textId="5A6E15D9">
      <w:pPr>
        <w:pStyle w:val="Standard"/>
        <w:rPr>
          <w:szCs w:val="26"/>
        </w:rPr>
      </w:pPr>
      <w:r w:rsidRPr="001415C7">
        <w:rPr>
          <w:rFonts w:eastAsia="Aptos" w:cs="Aptos"/>
          <w:szCs w:val="26"/>
        </w:rPr>
        <w:t xml:space="preserve">Because one objective of SB 1221 is to evaluate the </w:t>
      </w:r>
      <w:r w:rsidRPr="001415C7" w:rsidR="00007A79">
        <w:rPr>
          <w:rFonts w:eastAsia="Aptos" w:cs="Aptos"/>
          <w:szCs w:val="26"/>
        </w:rPr>
        <w:t>cost effective</w:t>
      </w:r>
      <w:r w:rsidRPr="001415C7">
        <w:rPr>
          <w:rFonts w:eastAsia="Aptos" w:cs="Aptos"/>
          <w:szCs w:val="26"/>
        </w:rPr>
        <w:t xml:space="preserve">ness of different decarbonization approaches, it is appropriate to assess </w:t>
      </w:r>
      <w:r w:rsidRPr="001415C7" w:rsidR="00007A79">
        <w:rPr>
          <w:rFonts w:eastAsia="Aptos" w:cs="Aptos"/>
          <w:szCs w:val="26"/>
        </w:rPr>
        <w:t>cost effective</w:t>
      </w:r>
      <w:r w:rsidRPr="001415C7">
        <w:rPr>
          <w:rFonts w:eastAsia="Aptos" w:cs="Aptos"/>
          <w:szCs w:val="26"/>
        </w:rPr>
        <w:t>ness at the level of individual pilots rather than across an applicant’s entire pilot portfolio.</w:t>
      </w:r>
      <w:r w:rsidRPr="001415C7" w:rsidR="4B8810B8">
        <w:rPr>
          <w:rFonts w:eastAsia="Aptos" w:cs="Aptos"/>
          <w:szCs w:val="26"/>
        </w:rPr>
        <w:t xml:space="preserve"> </w:t>
      </w:r>
    </w:p>
    <w:p w:rsidRPr="001415C7" w:rsidR="002C4D6C" w:rsidP="002C4D6C" w:rsidRDefault="00F738DB" w14:paraId="4BB8C09A" w14:textId="74A61C46">
      <w:pPr>
        <w:pStyle w:val="Heading2"/>
        <w:numPr>
          <w:ilvl w:val="1"/>
          <w:numId w:val="1"/>
        </w:numPr>
        <w:spacing w:after="160" w:line="278" w:lineRule="auto"/>
        <w:contextualSpacing/>
      </w:pPr>
      <w:bookmarkStart w:name="_Toc233633636" w:id="97"/>
      <w:r w:rsidRPr="001415C7">
        <w:t xml:space="preserve">Cost Effectiveness </w:t>
      </w:r>
      <w:r w:rsidRPr="001415C7" w:rsidR="0068192F">
        <w:t>W</w:t>
      </w:r>
      <w:r w:rsidRPr="001415C7">
        <w:t xml:space="preserve">ith and </w:t>
      </w:r>
      <w:r w:rsidRPr="001415C7" w:rsidR="0068192F">
        <w:t>W</w:t>
      </w:r>
      <w:r w:rsidRPr="001415C7">
        <w:t xml:space="preserve">ithout Administrative Costs and </w:t>
      </w:r>
      <w:r w:rsidRPr="001415C7" w:rsidR="0068192F">
        <w:t>Funds from Non-Ratepayer Sources</w:t>
      </w:r>
      <w:bookmarkEnd w:id="97"/>
    </w:p>
    <w:p w:rsidRPr="001415C7" w:rsidR="001443A1" w:rsidP="001443A1" w:rsidRDefault="005F001A" w14:paraId="4F5B6C4B" w14:textId="477D010E">
      <w:pPr>
        <w:pStyle w:val="Standard"/>
      </w:pPr>
      <w:r w:rsidRPr="001415C7">
        <w:t xml:space="preserve">The applicant shall conduct </w:t>
      </w:r>
      <w:r w:rsidRPr="001415C7" w:rsidR="000B70EF">
        <w:t xml:space="preserve">four </w:t>
      </w:r>
      <w:r w:rsidRPr="001415C7" w:rsidR="00007A79">
        <w:t>cost effective</w:t>
      </w:r>
      <w:r w:rsidRPr="001415C7">
        <w:t xml:space="preserve">ness calculations: one calculation </w:t>
      </w:r>
      <w:r w:rsidRPr="001415C7" w:rsidR="002917E9">
        <w:t>that excludes costs funded by sources other than ratepayers</w:t>
      </w:r>
      <w:r w:rsidRPr="001415C7" w:rsidR="00FF380C">
        <w:t xml:space="preserve"> and </w:t>
      </w:r>
      <w:r w:rsidRPr="001415C7" w:rsidR="004610DC">
        <w:t>excludes costs for project administration and outreach;</w:t>
      </w:r>
      <w:r w:rsidRPr="001415C7" w:rsidR="00E92519">
        <w:t xml:space="preserve"> one calculation that includes costs funded by sources other than ratepayers and excludes costs for project administration and outreach;</w:t>
      </w:r>
      <w:r w:rsidRPr="001415C7" w:rsidR="004610DC">
        <w:t xml:space="preserve"> </w:t>
      </w:r>
      <w:r w:rsidRPr="001415C7" w:rsidR="00E92519">
        <w:t xml:space="preserve">one calculation that excludes costs funded by sources other than ratepayers and </w:t>
      </w:r>
      <w:r w:rsidRPr="001415C7" w:rsidR="00E03403">
        <w:t xml:space="preserve">includes </w:t>
      </w:r>
      <w:r w:rsidRPr="001415C7" w:rsidR="00E92519">
        <w:t>costs for project administration and outreach;</w:t>
      </w:r>
      <w:r w:rsidRPr="001415C7" w:rsidR="00E03403">
        <w:t xml:space="preserve"> and, one calculation that </w:t>
      </w:r>
      <w:r w:rsidRPr="001415C7" w:rsidR="00CF718E">
        <w:t xml:space="preserve">includes </w:t>
      </w:r>
      <w:r w:rsidRPr="001415C7" w:rsidR="00E03403">
        <w:t xml:space="preserve">costs funded by sources other than ratepayers and </w:t>
      </w:r>
      <w:r w:rsidRPr="001415C7" w:rsidR="00CF718E">
        <w:t xml:space="preserve">also includes </w:t>
      </w:r>
      <w:r w:rsidRPr="001415C7" w:rsidR="00E03403">
        <w:t>costs for project administration and outreac</w:t>
      </w:r>
      <w:r w:rsidRPr="001415C7" w:rsidR="00504595">
        <w:t>h</w:t>
      </w:r>
      <w:r w:rsidRPr="001415C7" w:rsidR="002917E9">
        <w:t xml:space="preserve">. The final determination of </w:t>
      </w:r>
      <w:r w:rsidRPr="001415C7" w:rsidR="00007A79">
        <w:t>cost effective</w:t>
      </w:r>
      <w:r w:rsidRPr="001415C7" w:rsidR="002917E9">
        <w:t xml:space="preserve">ness </w:t>
      </w:r>
      <w:r w:rsidRPr="001415C7" w:rsidR="007E19BD">
        <w:t xml:space="preserve">should be based on the calculation that </w:t>
      </w:r>
      <w:r w:rsidRPr="001415C7" w:rsidR="00CF718E">
        <w:t xml:space="preserve">excludes </w:t>
      </w:r>
      <w:r w:rsidRPr="001415C7" w:rsidR="007E19BD">
        <w:t xml:space="preserve">costs funded by </w:t>
      </w:r>
      <w:r w:rsidRPr="001415C7" w:rsidR="00916E2E">
        <w:t>non-</w:t>
      </w:r>
      <w:r w:rsidRPr="001415C7" w:rsidR="007E19BD">
        <w:t>ratepayer</w:t>
      </w:r>
      <w:r w:rsidRPr="001415C7" w:rsidR="00916E2E">
        <w:t xml:space="preserve"> sources</w:t>
      </w:r>
      <w:r w:rsidRPr="001415C7" w:rsidR="00CF718E">
        <w:t xml:space="preserve"> and excludes </w:t>
      </w:r>
      <w:r w:rsidRPr="001415C7" w:rsidR="00504595">
        <w:t xml:space="preserve">administrative </w:t>
      </w:r>
      <w:r w:rsidRPr="001415C7" w:rsidR="00504595">
        <w:lastRenderedPageBreak/>
        <w:t>and outreach costs.</w:t>
      </w:r>
      <w:r w:rsidRPr="001415C7" w:rsidR="00F91E59">
        <w:rPr>
          <w:rStyle w:val="FootnoteReference"/>
        </w:rPr>
        <w:footnoteReference w:id="143"/>
      </w:r>
      <w:r w:rsidRPr="001415C7" w:rsidR="00504595">
        <w:t xml:space="preserve"> T</w:t>
      </w:r>
      <w:r w:rsidRPr="001415C7" w:rsidR="007E19BD">
        <w:t xml:space="preserve">he </w:t>
      </w:r>
      <w:r w:rsidRPr="001415C7" w:rsidR="00504595">
        <w:t xml:space="preserve">remaining </w:t>
      </w:r>
      <w:r w:rsidRPr="001415C7" w:rsidR="007E19BD">
        <w:t>calculation</w:t>
      </w:r>
      <w:r w:rsidRPr="001415C7" w:rsidR="00504595">
        <w:t>s</w:t>
      </w:r>
      <w:r w:rsidRPr="001415C7" w:rsidR="007E19BD">
        <w:t xml:space="preserve"> </w:t>
      </w:r>
      <w:r w:rsidRPr="001415C7" w:rsidR="00AD3883">
        <w:t xml:space="preserve">will help determine whether the proposed pilot could be </w:t>
      </w:r>
      <w:r w:rsidRPr="001415C7" w:rsidR="00007A79">
        <w:t>cost effective</w:t>
      </w:r>
      <w:r w:rsidRPr="001415C7" w:rsidR="00AD3883">
        <w:t>ly replicated at scale.</w:t>
      </w:r>
      <w:r w:rsidRPr="001415C7" w:rsidR="00F2568C">
        <w:rPr>
          <w:rStyle w:val="FootnoteReference"/>
        </w:rPr>
        <w:footnoteReference w:id="144"/>
      </w:r>
      <w:r w:rsidRPr="001415C7" w:rsidR="00AD5960">
        <w:t xml:space="preserve"> </w:t>
      </w:r>
    </w:p>
    <w:p w:rsidRPr="001415C7" w:rsidR="00982C8D" w:rsidP="00982C8D" w:rsidRDefault="00982C8D" w14:paraId="15999114" w14:textId="77777777">
      <w:pPr>
        <w:pStyle w:val="Heading2"/>
        <w:numPr>
          <w:ilvl w:val="1"/>
          <w:numId w:val="1"/>
        </w:numPr>
        <w:spacing w:after="160" w:line="278" w:lineRule="auto"/>
        <w:contextualSpacing/>
      </w:pPr>
      <w:bookmarkStart w:name="_Toc233633637" w:id="98"/>
      <w:bookmarkStart w:name="_Toc228261699" w:id="99"/>
      <w:r w:rsidRPr="001415C7">
        <w:t>Costs Included in Cost Effectiveness Calculation</w:t>
      </w:r>
      <w:bookmarkEnd w:id="98"/>
    </w:p>
    <w:p w:rsidRPr="001415C7" w:rsidR="0027262B" w:rsidP="0027262B" w:rsidRDefault="0027262B" w14:paraId="10550A12" w14:textId="5CF96414">
      <w:pPr>
        <w:pStyle w:val="Standard"/>
      </w:pPr>
      <w:r w:rsidRPr="001415C7">
        <w:t xml:space="preserve">Applicants shall include the net present value of the following costs in their </w:t>
      </w:r>
      <w:r w:rsidRPr="001415C7" w:rsidR="00007A79">
        <w:t>cost effective</w:t>
      </w:r>
      <w:r w:rsidRPr="001415C7">
        <w:t xml:space="preserve">ness calculations: the cost of purchasing and installing </w:t>
      </w:r>
      <w:r w:rsidRPr="001415C7" w:rsidR="00743E58">
        <w:t>zero-emission alte</w:t>
      </w:r>
      <w:r w:rsidRPr="001415C7" w:rsidR="003756AE">
        <w:t xml:space="preserve">rnatives (e.g., </w:t>
      </w:r>
      <w:r w:rsidRPr="001415C7" w:rsidR="00620968">
        <w:t xml:space="preserve">new </w:t>
      </w:r>
      <w:r w:rsidRPr="001415C7" w:rsidR="00032384">
        <w:t>electric appliances)</w:t>
      </w:r>
      <w:r w:rsidRPr="001415C7" w:rsidR="0071277D">
        <w:t xml:space="preserve">; the cost of providing the </w:t>
      </w:r>
      <w:r w:rsidRPr="001415C7" w:rsidR="000E55F0">
        <w:t>property</w:t>
      </w:r>
      <w:r w:rsidRPr="001415C7" w:rsidR="0071277D">
        <w:t xml:space="preserve"> remediation services</w:t>
      </w:r>
      <w:r w:rsidRPr="001415C7" w:rsidR="005829D7">
        <w:t xml:space="preserve"> that are</w:t>
      </w:r>
      <w:r w:rsidRPr="001415C7" w:rsidR="007C7EBE">
        <w:t xml:space="preserve"> necessary to support </w:t>
      </w:r>
      <w:r w:rsidRPr="001415C7" w:rsidR="003756AE">
        <w:t xml:space="preserve">any </w:t>
      </w:r>
      <w:r w:rsidRPr="001415C7" w:rsidR="00CC7FFE">
        <w:t>new appliances (e.g., service panel upgrades</w:t>
      </w:r>
      <w:r w:rsidRPr="001415C7" w:rsidR="00032384">
        <w:t>, pans compatible with induction stoves</w:t>
      </w:r>
      <w:r w:rsidRPr="001415C7" w:rsidR="00CC7FFE">
        <w:t>)</w:t>
      </w:r>
      <w:r w:rsidRPr="001415C7" w:rsidR="004C56ED">
        <w:t>; the</w:t>
      </w:r>
      <w:r w:rsidRPr="001415C7" w:rsidR="00046B33">
        <w:t xml:space="preserve"> cost</w:t>
      </w:r>
      <w:r w:rsidRPr="001415C7" w:rsidR="00B71B99">
        <w:t xml:space="preserve"> of</w:t>
      </w:r>
      <w:r w:rsidRPr="001415C7" w:rsidR="004C56ED">
        <w:t xml:space="preserve"> incremental </w:t>
      </w:r>
      <w:r w:rsidRPr="001415C7" w:rsidR="00406AF2">
        <w:t>electric infrastructure made necessary by the pilot project (both customer-sited and utility-owned)</w:t>
      </w:r>
      <w:r w:rsidRPr="001415C7" w:rsidR="00695931">
        <w:t xml:space="preserve"> that could not be mitigated </w:t>
      </w:r>
      <w:r w:rsidRPr="001415C7" w:rsidR="008D1AFC">
        <w:t>by load management devices or other strategies to minimize grid upgrades</w:t>
      </w:r>
      <w:r w:rsidRPr="001415C7" w:rsidR="00046B33">
        <w:t xml:space="preserve">; </w:t>
      </w:r>
      <w:r w:rsidRPr="001415C7" w:rsidR="000E55F0">
        <w:t xml:space="preserve">and, </w:t>
      </w:r>
      <w:r w:rsidRPr="001415C7" w:rsidR="00046B33">
        <w:t>gas infrastructure decommissioning costs.</w:t>
      </w:r>
      <w:r w:rsidRPr="001415C7" w:rsidR="00173CCA">
        <w:t xml:space="preserve"> </w:t>
      </w:r>
      <w:r w:rsidRPr="001415C7" w:rsidR="006D09E0">
        <w:t>The applicant shall calculate the NPV</w:t>
      </w:r>
      <w:r w:rsidRPr="001415C7" w:rsidR="005944C4">
        <w:t xml:space="preserve"> of the BTM </w:t>
      </w:r>
      <w:r w:rsidRPr="001415C7" w:rsidR="003C49AD">
        <w:t>costs</w:t>
      </w:r>
      <w:r w:rsidRPr="001415C7" w:rsidR="006D09E0">
        <w:t xml:space="preserve"> under the assumption that the Commission approves the </w:t>
      </w:r>
      <w:r w:rsidRPr="001415C7" w:rsidR="003C49AD">
        <w:t>amortization period the applicant requested</w:t>
      </w:r>
      <w:r w:rsidRPr="001415C7" w:rsidR="000E55F0">
        <w:t xml:space="preserve"> (discussed in the following section)</w:t>
      </w:r>
      <w:r w:rsidRPr="001415C7" w:rsidR="003C49AD">
        <w:t>.</w:t>
      </w:r>
      <w:r w:rsidRPr="001415C7" w:rsidR="005944C4">
        <w:t xml:space="preserve"> </w:t>
      </w:r>
    </w:p>
    <w:p w:rsidRPr="001415C7" w:rsidR="00B24BD4" w:rsidP="00B24BD4" w:rsidRDefault="00B24BD4" w14:paraId="6D64B868" w14:textId="3DBBDDF7">
      <w:pPr>
        <w:pStyle w:val="Standard"/>
      </w:pPr>
      <w:r w:rsidRPr="001415C7">
        <w:t xml:space="preserve">The eligible costs represent the incremental costs attributable to a specific pilot project that are borne by either the gas utility that is losing customers </w:t>
      </w:r>
      <w:r w:rsidRPr="001415C7" w:rsidR="00A711E8">
        <w:t>or</w:t>
      </w:r>
      <w:r w:rsidRPr="001415C7">
        <w:t xml:space="preserve"> the electric utility (or utilities) that will see increased load. </w:t>
      </w:r>
      <w:r w:rsidRPr="001415C7" w:rsidR="00B13C42">
        <w:t xml:space="preserve">The eligible costs are the costs that either the applicant or the </w:t>
      </w:r>
      <w:r w:rsidRPr="001415C7" w:rsidR="00270104">
        <w:t xml:space="preserve">electric utility will incur specifically because of the pilot project and will be passed on to all utility customers. </w:t>
      </w:r>
    </w:p>
    <w:p w:rsidRPr="001415C7" w:rsidR="008C0AC5" w:rsidP="0027262B" w:rsidRDefault="00294366" w14:paraId="1F7511B9" w14:textId="3A8BD411">
      <w:pPr>
        <w:pStyle w:val="Standard"/>
      </w:pPr>
      <w:r w:rsidRPr="001415C7">
        <w:t xml:space="preserve">Applicants shall exclude the </w:t>
      </w:r>
      <w:r w:rsidRPr="001415C7" w:rsidR="00A75FA1">
        <w:t xml:space="preserve">following costs from their </w:t>
      </w:r>
      <w:r w:rsidRPr="001415C7" w:rsidR="00007A79">
        <w:t>cost effective</w:t>
      </w:r>
      <w:r w:rsidRPr="001415C7" w:rsidR="00A75FA1">
        <w:t xml:space="preserve">ness calculations: </w:t>
      </w:r>
      <w:r w:rsidRPr="001415C7" w:rsidR="00D3068A">
        <w:t>any forecasted</w:t>
      </w:r>
      <w:r w:rsidRPr="001415C7" w:rsidR="00C23175">
        <w:t xml:space="preserve"> </w:t>
      </w:r>
      <w:r w:rsidRPr="001415C7" w:rsidR="00B71B99">
        <w:t xml:space="preserve">operations and maintenance </w:t>
      </w:r>
      <w:r w:rsidRPr="001415C7" w:rsidR="00D3068A">
        <w:t xml:space="preserve">for the replacement </w:t>
      </w:r>
      <w:r w:rsidRPr="001415C7" w:rsidR="00D3068A">
        <w:lastRenderedPageBreak/>
        <w:t>appliances</w:t>
      </w:r>
      <w:r w:rsidRPr="001415C7" w:rsidR="00ED08BC">
        <w:t>, end-of-life replacement of the new appliances,</w:t>
      </w:r>
      <w:r w:rsidRPr="001415C7" w:rsidR="00AE676C">
        <w:t xml:space="preserve"> and the cost of electric infrastructure upgrades that would have occurred without the pilot project. </w:t>
      </w:r>
      <w:r w:rsidRPr="001415C7" w:rsidR="001D376F">
        <w:t>The operations</w:t>
      </w:r>
      <w:r w:rsidRPr="001415C7" w:rsidR="0070021B">
        <w:t xml:space="preserve">, </w:t>
      </w:r>
      <w:r w:rsidRPr="001415C7" w:rsidR="001D376F">
        <w:t>maintenance</w:t>
      </w:r>
      <w:r w:rsidRPr="001415C7" w:rsidR="0070021B">
        <w:t>, and replacement</w:t>
      </w:r>
      <w:r w:rsidRPr="001415C7" w:rsidR="001D376F">
        <w:t xml:space="preserve"> costs for the </w:t>
      </w:r>
      <w:r w:rsidRPr="001415C7" w:rsidR="613EC366">
        <w:t xml:space="preserve">eventual </w:t>
      </w:r>
      <w:r w:rsidRPr="001415C7" w:rsidR="001D376F">
        <w:t xml:space="preserve">replacement </w:t>
      </w:r>
      <w:r w:rsidRPr="001415C7" w:rsidR="6C5BF72E">
        <w:t xml:space="preserve">of </w:t>
      </w:r>
      <w:r w:rsidRPr="001415C7" w:rsidR="5E90CE5E">
        <w:t xml:space="preserve">the </w:t>
      </w:r>
      <w:r w:rsidRPr="001415C7" w:rsidR="001D376F">
        <w:t xml:space="preserve">appliances </w:t>
      </w:r>
      <w:r w:rsidRPr="001415C7" w:rsidR="2A19F216">
        <w:t xml:space="preserve">provided through the pilot project </w:t>
      </w:r>
      <w:r w:rsidRPr="001415C7" w:rsidR="001D376F">
        <w:t xml:space="preserve">will </w:t>
      </w:r>
      <w:r w:rsidRPr="001415C7" w:rsidR="0095DC5F">
        <w:t xml:space="preserve">not be paid for by the gas utility </w:t>
      </w:r>
      <w:r w:rsidRPr="001415C7" w:rsidR="00FE5E90">
        <w:t>and thus should not count to</w:t>
      </w:r>
      <w:r w:rsidRPr="001415C7" w:rsidR="00A84079">
        <w:t>ward the cost</w:t>
      </w:r>
      <w:r w:rsidRPr="001415C7" w:rsidR="001A0550">
        <w:t>-</w:t>
      </w:r>
      <w:r w:rsidRPr="001415C7" w:rsidR="00A84079">
        <w:t>effectiveness calculation</w:t>
      </w:r>
      <w:r w:rsidRPr="001415C7" w:rsidR="38FE278E">
        <w:t>,</w:t>
      </w:r>
      <w:r w:rsidRPr="001415C7" w:rsidR="00A84079">
        <w:t xml:space="preserve"> </w:t>
      </w:r>
      <w:r w:rsidRPr="001415C7" w:rsidDel="00A84079">
        <w:t xml:space="preserve">as it </w:t>
      </w:r>
      <w:r w:rsidRPr="001415C7" w:rsidR="00A84079">
        <w:t xml:space="preserve">is calculated from the </w:t>
      </w:r>
      <w:r w:rsidRPr="001415C7" w:rsidR="00EC088D">
        <w:t>utility’s</w:t>
      </w:r>
      <w:r w:rsidRPr="001415C7" w:rsidR="00A84079">
        <w:t xml:space="preserve"> point of view.</w:t>
      </w:r>
      <w:r w:rsidRPr="001415C7" w:rsidR="00567CB5">
        <w:t xml:space="preserve"> Electric infrastructure upgrades that would otherwise have occurred – even if they are necessary to enable to the pilot project </w:t>
      </w:r>
      <w:r w:rsidRPr="001415C7" w:rsidR="00E91016">
        <w:t>–</w:t>
      </w:r>
      <w:r w:rsidRPr="001415C7" w:rsidR="00567CB5">
        <w:t xml:space="preserve"> </w:t>
      </w:r>
      <w:r w:rsidRPr="001415C7" w:rsidR="00E91016">
        <w:t xml:space="preserve">should not count toward the project’s costs because the </w:t>
      </w:r>
      <w:r w:rsidRPr="001415C7" w:rsidR="00100CD2">
        <w:t xml:space="preserve">electric </w:t>
      </w:r>
      <w:r w:rsidRPr="001415C7" w:rsidR="00E91016">
        <w:t>utility’s customers would have borne those costs even without the pilot project.</w:t>
      </w:r>
      <w:r w:rsidRPr="001415C7" w:rsidR="00735B54">
        <w:t xml:space="preserve"> Gas corporations shall explain in their app</w:t>
      </w:r>
      <w:r w:rsidRPr="001415C7" w:rsidR="00A307E5">
        <w:t xml:space="preserve">lication </w:t>
      </w:r>
      <w:r w:rsidRPr="001415C7" w:rsidR="00784D4C">
        <w:t xml:space="preserve">how they determined which electric infrastructure </w:t>
      </w:r>
      <w:r w:rsidRPr="001415C7" w:rsidR="00CE4F4D">
        <w:t xml:space="preserve">costs </w:t>
      </w:r>
      <w:r w:rsidRPr="001415C7" w:rsidR="004B08EF">
        <w:t xml:space="preserve">would have already </w:t>
      </w:r>
      <w:r w:rsidRPr="001415C7" w:rsidR="00CE4F4D">
        <w:t xml:space="preserve">be </w:t>
      </w:r>
      <w:r w:rsidRPr="001415C7" w:rsidR="007D742B">
        <w:t>incurred</w:t>
      </w:r>
      <w:r w:rsidRPr="001415C7" w:rsidR="00CE4F4D">
        <w:t xml:space="preserve"> </w:t>
      </w:r>
      <w:r w:rsidRPr="001415C7" w:rsidR="004B08EF">
        <w:t>(</w:t>
      </w:r>
      <w:r w:rsidRPr="001415C7" w:rsidR="0027269B">
        <w:t xml:space="preserve">e.g., </w:t>
      </w:r>
      <w:r w:rsidRPr="001415C7" w:rsidR="00105B9F">
        <w:t xml:space="preserve">Did </w:t>
      </w:r>
      <w:r w:rsidRPr="001415C7" w:rsidR="00640633">
        <w:t>the electric utility already set aside funding for the project?</w:t>
      </w:r>
      <w:r w:rsidRPr="001415C7" w:rsidR="009B7A36">
        <w:t xml:space="preserve"> </w:t>
      </w:r>
      <w:r w:rsidRPr="001415C7" w:rsidR="00105B9F">
        <w:t>Did the electric utility</w:t>
      </w:r>
      <w:r w:rsidRPr="001415C7" w:rsidR="008C67F1">
        <w:t xml:space="preserve"> include the project in one of its planning processes, either public or internal?).</w:t>
      </w:r>
      <w:r w:rsidRPr="001415C7" w:rsidR="003E6FD8">
        <w:t xml:space="preserve"> Electric utilities that work with a gas corporation to develop these cost estimates may, but are not required to, </w:t>
      </w:r>
      <w:r w:rsidRPr="001415C7" w:rsidR="00CD0A08">
        <w:t xml:space="preserve">utilize the results of their Distribution Planning Process, Grid Needs Assessment, and Integration Capacity Analysis </w:t>
      </w:r>
      <w:r w:rsidRPr="001415C7" w:rsidR="00A47BD7">
        <w:t>tools</w:t>
      </w:r>
      <w:r w:rsidRPr="001415C7" w:rsidR="00CD0A08">
        <w:t>.</w:t>
      </w:r>
    </w:p>
    <w:p w:rsidRPr="001415C7" w:rsidR="006911C6" w:rsidP="0027262B" w:rsidRDefault="006911C6" w14:paraId="0719DD3D" w14:textId="0DD31DCE">
      <w:pPr>
        <w:pStyle w:val="Standard"/>
      </w:pPr>
      <w:r w:rsidRPr="001415C7">
        <w:t xml:space="preserve">While the commission does not require applicants to include administrative and outreach costs in their </w:t>
      </w:r>
      <w:r w:rsidRPr="001415C7" w:rsidR="00007A79">
        <w:t>cost effective</w:t>
      </w:r>
      <w:r w:rsidRPr="001415C7">
        <w:t xml:space="preserve">ness calculations, the Commission </w:t>
      </w:r>
      <w:r w:rsidRPr="001415C7" w:rsidR="002C7D93">
        <w:t xml:space="preserve">directs utilities to limit their administrative and outreach costs to </w:t>
      </w:r>
      <w:r w:rsidRPr="001415C7" w:rsidR="004C3AC5">
        <w:t xml:space="preserve">no more than </w:t>
      </w:r>
      <w:r w:rsidRPr="001415C7" w:rsidR="00814BB6">
        <w:t xml:space="preserve">ten </w:t>
      </w:r>
      <w:r w:rsidRPr="001415C7" w:rsidR="004C3AC5">
        <w:t>percent of each pilot’s cost</w:t>
      </w:r>
      <w:r w:rsidRPr="001415C7" w:rsidR="00733ACF">
        <w:t xml:space="preserve"> unless the applicant requests</w:t>
      </w:r>
      <w:r w:rsidRPr="001415C7" w:rsidR="003B57E1">
        <w:t>,</w:t>
      </w:r>
      <w:r w:rsidRPr="001415C7" w:rsidR="00733ACF">
        <w:t xml:space="preserve"> and the Commission approves</w:t>
      </w:r>
      <w:r w:rsidRPr="001415C7" w:rsidR="003B57E1">
        <w:t>,</w:t>
      </w:r>
      <w:r w:rsidRPr="001415C7" w:rsidR="00733ACF">
        <w:t xml:space="preserve"> a case-by-case exemption</w:t>
      </w:r>
      <w:r w:rsidRPr="001415C7" w:rsidR="00511A14">
        <w:t xml:space="preserve">. Funding </w:t>
      </w:r>
      <w:r w:rsidRPr="001415C7" w:rsidR="18AF7FEA">
        <w:t xml:space="preserve">by the gas corporations to CBOs and other entities </w:t>
      </w:r>
      <w:r w:rsidRPr="001415C7" w:rsidR="1E38FC85">
        <w:t xml:space="preserve">for </w:t>
      </w:r>
      <w:r w:rsidRPr="001415C7" w:rsidR="0011606D">
        <w:t>project development costs directly attributable to a specific pilot count toward the ten percent cap</w:t>
      </w:r>
      <w:r w:rsidRPr="001415C7" w:rsidR="004C3AC5">
        <w:t xml:space="preserve">. The Commission will address the methodology to </w:t>
      </w:r>
      <w:r w:rsidRPr="001415C7" w:rsidR="00733ACF">
        <w:t>allocate shared administrative and outreach costs to individual pilots at a later point in this proceeding.</w:t>
      </w:r>
    </w:p>
    <w:p w:rsidRPr="001415C7" w:rsidR="00294366" w:rsidP="0027262B" w:rsidRDefault="00D11D1A" w14:paraId="3E3A39D4" w14:textId="46B84524">
      <w:pPr>
        <w:pStyle w:val="Standard"/>
      </w:pPr>
      <w:r w:rsidRPr="001415C7">
        <w:lastRenderedPageBreak/>
        <w:t xml:space="preserve">Discussed in more detail below, the Commission intends to </w:t>
      </w:r>
      <w:r w:rsidRPr="001415C7" w:rsidR="00A83DD7">
        <w:t>authorize</w:t>
      </w:r>
      <w:r w:rsidRPr="001415C7">
        <w:t xml:space="preserve"> a shareholder incentive mechanism </w:t>
      </w:r>
      <w:r w:rsidRPr="001415C7" w:rsidR="0088374C">
        <w:t>in which</w:t>
      </w:r>
      <w:r w:rsidRPr="001415C7" w:rsidR="00237711">
        <w:t xml:space="preserve"> </w:t>
      </w:r>
      <w:r w:rsidRPr="001415C7" w:rsidR="000C43DD">
        <w:t>the utility</w:t>
      </w:r>
      <w:r w:rsidRPr="001415C7" w:rsidR="009452A5">
        <w:t>’s shareholders</w:t>
      </w:r>
      <w:r w:rsidRPr="001415C7" w:rsidR="000C43DD">
        <w:t xml:space="preserve">, under certain conditions, </w:t>
      </w:r>
      <w:r w:rsidRPr="001415C7" w:rsidR="0088374C">
        <w:t xml:space="preserve">would </w:t>
      </w:r>
      <w:r w:rsidRPr="001415C7" w:rsidR="009452A5">
        <w:t>retain a portion of the savings from the pilot project. The applicant should not include</w:t>
      </w:r>
      <w:r w:rsidRPr="001415C7" w:rsidR="00281AEA">
        <w:t xml:space="preserve"> any shareholder incentive payments as a cost in the </w:t>
      </w:r>
      <w:r w:rsidRPr="001415C7" w:rsidR="00007A79">
        <w:t>cost effective</w:t>
      </w:r>
      <w:r w:rsidRPr="001415C7" w:rsidR="00281AEA">
        <w:t>ness calculation</w:t>
      </w:r>
      <w:r w:rsidRPr="001415C7" w:rsidR="0088374C">
        <w:t>.</w:t>
      </w:r>
      <w:r w:rsidRPr="001415C7" w:rsidR="002E1011">
        <w:t xml:space="preserve"> </w:t>
      </w:r>
      <w:r w:rsidRPr="001415C7" w:rsidR="0088374C">
        <w:t>Since</w:t>
      </w:r>
      <w:r w:rsidRPr="001415C7" w:rsidR="002E1011">
        <w:t xml:space="preserve"> the shareholder incentive would be </w:t>
      </w:r>
      <w:r w:rsidRPr="001415C7" w:rsidR="006A154A">
        <w:t xml:space="preserve">a proportion of the realized savings, the </w:t>
      </w:r>
      <w:r w:rsidRPr="001415C7" w:rsidR="00A46C4C">
        <w:t xml:space="preserve">incentive would only apply in cases where the pilot project was expected to be cost effective and </w:t>
      </w:r>
      <w:r w:rsidRPr="001415C7" w:rsidR="00A623CB">
        <w:t>would, by design, never cause a</w:t>
      </w:r>
      <w:r w:rsidRPr="001415C7" w:rsidR="00CC4DC8">
        <w:t xml:space="preserve">n otherwise </w:t>
      </w:r>
      <w:r w:rsidRPr="001415C7" w:rsidR="00816FE2">
        <w:t>cost-effective</w:t>
      </w:r>
      <w:r w:rsidRPr="001415C7" w:rsidR="00CC4DC8">
        <w:t xml:space="preserve"> pilot not to move forward.</w:t>
      </w:r>
    </w:p>
    <w:p w:rsidRPr="001415C7" w:rsidR="00982C8D" w:rsidP="00982C8D" w:rsidRDefault="00982C8D" w14:paraId="584D52ED" w14:textId="77777777">
      <w:pPr>
        <w:pStyle w:val="Heading2"/>
        <w:numPr>
          <w:ilvl w:val="1"/>
          <w:numId w:val="1"/>
        </w:numPr>
        <w:spacing w:after="160" w:line="278" w:lineRule="auto"/>
        <w:contextualSpacing/>
      </w:pPr>
      <w:bookmarkStart w:name="_Toc233633638" w:id="100"/>
      <w:r w:rsidRPr="001415C7">
        <w:t>Benefits Included in Cost Effectiveness Calculation</w:t>
      </w:r>
      <w:bookmarkEnd w:id="100"/>
    </w:p>
    <w:p w:rsidRPr="001415C7" w:rsidR="00982C8D" w:rsidP="004972B0" w:rsidRDefault="002066BC" w14:paraId="05246C30" w14:textId="6FDFF50C">
      <w:pPr>
        <w:pStyle w:val="Standard"/>
      </w:pPr>
      <w:r w:rsidRPr="001415C7">
        <w:t xml:space="preserve">The financial benefits of </w:t>
      </w:r>
      <w:r w:rsidRPr="001415C7" w:rsidR="0079752C">
        <w:t xml:space="preserve">a </w:t>
      </w:r>
      <w:r w:rsidRPr="001415C7">
        <w:t xml:space="preserve">pilot project come from </w:t>
      </w:r>
      <w:r w:rsidRPr="001415C7" w:rsidR="0079752C">
        <w:t xml:space="preserve">the avoided costs that would otherwise be necessary </w:t>
      </w:r>
      <w:r w:rsidRPr="001415C7" w:rsidR="000C7D9B">
        <w:t>for</w:t>
      </w:r>
      <w:r w:rsidRPr="001415C7" w:rsidR="0079752C">
        <w:t xml:space="preserve"> gas infrastructure that is being decommissioned as part of the project. Accordingly, a</w:t>
      </w:r>
      <w:r w:rsidRPr="001415C7" w:rsidR="00F81D54">
        <w:t xml:space="preserve">pplicants shall include the net present value of the following </w:t>
      </w:r>
      <w:r w:rsidRPr="001415C7" w:rsidR="0053506C">
        <w:t xml:space="preserve">benefits </w:t>
      </w:r>
      <w:r w:rsidRPr="001415C7" w:rsidR="00F81D54">
        <w:t xml:space="preserve">in their </w:t>
      </w:r>
      <w:r w:rsidRPr="001415C7" w:rsidR="00007A79">
        <w:t>cost effective</w:t>
      </w:r>
      <w:r w:rsidRPr="001415C7" w:rsidR="00F81D54">
        <w:t xml:space="preserve">ness calculations: the gas infrastructure capital investments </w:t>
      </w:r>
      <w:r w:rsidRPr="001415C7" w:rsidR="004972B0">
        <w:t>and operational and maintenance costs the utility would otherwise have incurred, if not for the proposed project.</w:t>
      </w:r>
      <w:r w:rsidRPr="001415C7" w:rsidR="00E925E5">
        <w:t xml:space="preserve"> These benefits represent </w:t>
      </w:r>
      <w:r w:rsidRPr="001415C7" w:rsidR="2CF894FF">
        <w:t xml:space="preserve">part of </w:t>
      </w:r>
      <w:r w:rsidRPr="001415C7" w:rsidR="00E925E5">
        <w:t>the avoided revenue requirement that the gas utility would otherwise have to collect from its customers if not for the proposed project.</w:t>
      </w:r>
    </w:p>
    <w:p w:rsidRPr="001415C7" w:rsidR="000333D5" w:rsidP="000333D5" w:rsidRDefault="000333D5" w14:paraId="026D4C04" w14:textId="723B1AEB">
      <w:pPr>
        <w:pStyle w:val="Standard"/>
      </w:pPr>
      <w:r w:rsidRPr="001415C7">
        <w:t xml:space="preserve">As in the previous section, eligible benefits represent the one-time and recurring costs </w:t>
      </w:r>
      <w:r w:rsidRPr="001415C7" w:rsidR="001E5753">
        <w:t>that will be avoided because of the</w:t>
      </w:r>
      <w:r w:rsidRPr="001415C7">
        <w:t xml:space="preserve"> specific pilot project that</w:t>
      </w:r>
      <w:r w:rsidRPr="001415C7" w:rsidR="001E5753">
        <w:t xml:space="preserve"> would </w:t>
      </w:r>
      <w:r w:rsidRPr="001415C7" w:rsidR="006D1F71">
        <w:t>be</w:t>
      </w:r>
      <w:r w:rsidRPr="001415C7">
        <w:t xml:space="preserve"> borne by the gas utility</w:t>
      </w:r>
      <w:r w:rsidRPr="001415C7" w:rsidR="007A6456">
        <w:t>.</w:t>
      </w:r>
    </w:p>
    <w:p w:rsidRPr="001415C7" w:rsidR="000333D5" w:rsidP="006911C6" w:rsidRDefault="008820A7" w14:paraId="64C55C28" w14:textId="7DC8BF8C">
      <w:pPr>
        <w:pStyle w:val="Standard"/>
      </w:pPr>
      <w:r w:rsidRPr="001415C7">
        <w:t xml:space="preserve">Applicants shall calculate avoided gas infrastructure costs using the template developed </w:t>
      </w:r>
      <w:r w:rsidRPr="001415C7" w:rsidR="7AE26827">
        <w:t>by</w:t>
      </w:r>
      <w:r w:rsidRPr="001415C7">
        <w:t xml:space="preserve"> Energy Division staff and made available on the SB 1221 Implementation webpage. This template will incorporate district average costs, systemwide costs, and </w:t>
      </w:r>
      <w:r w:rsidRPr="001415C7" w:rsidR="006A3417">
        <w:t>the utility’s weighted average cost of capital</w:t>
      </w:r>
      <w:r w:rsidRPr="001415C7">
        <w:t xml:space="preserve"> to provide a </w:t>
      </w:r>
      <w:r w:rsidRPr="001415C7">
        <w:lastRenderedPageBreak/>
        <w:t xml:space="preserve">transparent method to calculate avoided costs. </w:t>
      </w:r>
      <w:r w:rsidRPr="001415C7" w:rsidR="00BE1D96">
        <w:t xml:space="preserve">The Commission will notify the service list when this template is made available and provide parties with an opportunity to provide comment. </w:t>
      </w:r>
      <w:r w:rsidRPr="001415C7">
        <w:t>In addition to providing cost estimates developed using Energy Division’s template, if the applicant asserts that a particular project’s costs are expected to be significantly different from district averages, the applicant may also include a project-specific avoided gas infrastructure cost estimate with a verifiable rationale and all supporting data to show why the avoided gas project costs are expected to be significantly different.</w:t>
      </w:r>
    </w:p>
    <w:p w:rsidRPr="001415C7" w:rsidR="0054480D" w:rsidP="00A45DB3" w:rsidRDefault="00AB0F59" w14:paraId="317E1E61" w14:textId="252B31DB">
      <w:pPr>
        <w:pStyle w:val="Heading1"/>
        <w:numPr>
          <w:ilvl w:val="0"/>
          <w:numId w:val="1"/>
        </w:numPr>
      </w:pPr>
      <w:bookmarkStart w:name="_Toc233633639" w:id="101"/>
      <w:r w:rsidRPr="001415C7">
        <w:t>Cost Recovery</w:t>
      </w:r>
      <w:bookmarkEnd w:id="99"/>
      <w:bookmarkEnd w:id="101"/>
    </w:p>
    <w:p w:rsidRPr="001415C7" w:rsidR="0027382E" w:rsidP="0027382E" w:rsidRDefault="0027382E" w14:paraId="4D924111" w14:textId="77777777">
      <w:pPr>
        <w:pStyle w:val="Standard"/>
      </w:pPr>
      <w:r w:rsidRPr="001415C7">
        <w:t>Pub. Util. Code Section 663(b)(8)-(9) directs the Commission to establish</w:t>
      </w:r>
    </w:p>
    <w:p w:rsidRPr="001415C7" w:rsidR="0027382E" w:rsidP="0027382E" w:rsidRDefault="0027382E" w14:paraId="7ED6F54D" w14:textId="2A3C6104">
      <w:pPr>
        <w:pStyle w:val="BlockQuote"/>
      </w:pPr>
      <w:r w:rsidRPr="001415C7">
        <w:t>“</w:t>
      </w:r>
      <w:r w:rsidRPr="001415C7" w:rsidR="00415868">
        <w:t>[a]</w:t>
      </w:r>
      <w:r w:rsidRPr="001415C7">
        <w:t xml:space="preserve"> requirement that gas corporations recover costs related to the pilot projects that are deemed just and reasonable and a requirement that prohibits a gas corporation from recovering behind-the-meter costs associated with the pilot projects as capital costs that are afforded a rate of return,”</w:t>
      </w:r>
      <w:r w:rsidRPr="001415C7">
        <w:rPr>
          <w:rStyle w:val="FootnoteReference"/>
        </w:rPr>
        <w:t xml:space="preserve"> </w:t>
      </w:r>
      <w:r w:rsidRPr="001415C7">
        <w:t>and</w:t>
      </w:r>
    </w:p>
    <w:p w:rsidRPr="001415C7" w:rsidR="007D688C" w:rsidP="008144A1" w:rsidRDefault="0027382E" w14:paraId="62BC3446" w14:textId="20C4732B">
      <w:pPr>
        <w:pStyle w:val="BlockQuote"/>
      </w:pPr>
      <w:r w:rsidRPr="001415C7">
        <w:t>“</w:t>
      </w:r>
      <w:r w:rsidRPr="001415C7" w:rsidR="00415868">
        <w:t>[t</w:t>
      </w:r>
      <w:r w:rsidRPr="001415C7">
        <w:t>he</w:t>
      </w:r>
      <w:r w:rsidRPr="001415C7" w:rsidR="00415868">
        <w:t>]</w:t>
      </w:r>
      <w:r w:rsidRPr="001415C7">
        <w:t xml:space="preserve"> appropriate rate of return and recovery period that a gas corporation is eligible to receive for its costs to implement a zero-emission alternative. A gas corporation shall not receive ratepayer funding for the costs of a zero-emission alternative that are covered by incentives under federal, state, or local laws.”</w:t>
      </w:r>
    </w:p>
    <w:p w:rsidRPr="001415C7" w:rsidR="001E24AE" w:rsidP="008144A1" w:rsidRDefault="001E24AE" w14:paraId="7A191B8F" w14:textId="77777777">
      <w:pPr>
        <w:pStyle w:val="BlockQuote"/>
      </w:pPr>
    </w:p>
    <w:p w:rsidRPr="001415C7" w:rsidR="00D67077" w:rsidP="002F477B" w:rsidRDefault="008E1E04" w14:paraId="00DCE16A" w14:textId="0773E211">
      <w:pPr>
        <w:pStyle w:val="Standard"/>
      </w:pPr>
      <w:r w:rsidRPr="001415C7">
        <w:t xml:space="preserve"> PG&amp;E, </w:t>
      </w:r>
      <w:r w:rsidRPr="001415C7" w:rsidR="00077F07">
        <w:t xml:space="preserve">SCE, </w:t>
      </w:r>
      <w:r w:rsidRPr="001415C7" w:rsidR="002F477B">
        <w:t xml:space="preserve">the Sempra Utilities, the Sierra Club and NRDC, and </w:t>
      </w:r>
      <w:r w:rsidRPr="001415C7" w:rsidR="005F42FB">
        <w:t>Southwest Gas</w:t>
      </w:r>
      <w:r w:rsidRPr="001415C7" w:rsidR="002F477B">
        <w:t xml:space="preserve"> all </w:t>
      </w:r>
      <w:r w:rsidRPr="001415C7" w:rsidR="00116FCF">
        <w:t xml:space="preserve">support treating BTM costs as regulatory assets </w:t>
      </w:r>
      <w:r w:rsidRPr="001415C7" w:rsidR="006B4BB5">
        <w:t>that could earn a rate of return.</w:t>
      </w:r>
      <w:r w:rsidRPr="001415C7" w:rsidR="006B4BB5">
        <w:rPr>
          <w:rStyle w:val="FootnoteReference"/>
        </w:rPr>
        <w:footnoteReference w:id="145"/>
      </w:r>
      <w:r w:rsidRPr="001415C7" w:rsidR="0033508C">
        <w:t xml:space="preserve"> PG&amp;E</w:t>
      </w:r>
      <w:r w:rsidRPr="001415C7" w:rsidR="00472DE9">
        <w:t xml:space="preserve">, </w:t>
      </w:r>
      <w:r w:rsidRPr="001415C7" w:rsidR="0033508C">
        <w:t>the Sierra Club and NRDC</w:t>
      </w:r>
      <w:r w:rsidRPr="001415C7" w:rsidR="00472DE9">
        <w:t>, and the Sempra Utilities</w:t>
      </w:r>
      <w:r w:rsidRPr="001415C7" w:rsidR="0033508C">
        <w:t xml:space="preserve"> point to the Commission’s Mobile Home Park</w:t>
      </w:r>
      <w:r w:rsidRPr="001415C7" w:rsidR="00801A8D">
        <w:t xml:space="preserve"> (MHP)</w:t>
      </w:r>
      <w:r w:rsidRPr="001415C7" w:rsidR="0033508C">
        <w:t xml:space="preserve"> program as precedent</w:t>
      </w:r>
      <w:r w:rsidRPr="001415C7" w:rsidR="00472DE9">
        <w:t>;</w:t>
      </w:r>
      <w:r w:rsidRPr="001415C7" w:rsidR="0033508C">
        <w:t xml:space="preserve"> SCE </w:t>
      </w:r>
      <w:r w:rsidRPr="001415C7" w:rsidR="009274F0">
        <w:t xml:space="preserve">states that regulatory asset treatment would minimize near-term </w:t>
      </w:r>
      <w:r w:rsidRPr="001415C7" w:rsidR="009274F0">
        <w:lastRenderedPageBreak/>
        <w:t>rate impacts</w:t>
      </w:r>
      <w:r w:rsidRPr="001415C7" w:rsidR="00C4787B">
        <w:t xml:space="preserve">; and Southwest Gas </w:t>
      </w:r>
      <w:r w:rsidRPr="001415C7" w:rsidR="00D67077">
        <w:t>states that this approach is not prohibited by SB 1221.</w:t>
      </w:r>
      <w:r w:rsidRPr="001415C7" w:rsidR="00AB2F28">
        <w:t xml:space="preserve"> CUE and Indicated Shippers argue that the MHP program is not analogous to th</w:t>
      </w:r>
      <w:r w:rsidRPr="001415C7" w:rsidR="00801A8D">
        <w:t>is pilot program because SB 1221 contains an explicit statutory prohibition on earning a rate of return, while the MHP program does not.</w:t>
      </w:r>
    </w:p>
    <w:p w:rsidRPr="001415C7" w:rsidR="001E24AE" w:rsidP="002F477B" w:rsidRDefault="009274F0" w14:paraId="0620E5D5" w14:textId="6E870456">
      <w:pPr>
        <w:pStyle w:val="Standard"/>
      </w:pPr>
      <w:r w:rsidRPr="001415C7">
        <w:t xml:space="preserve"> </w:t>
      </w:r>
      <w:r w:rsidRPr="001415C7" w:rsidR="00E76D89">
        <w:t xml:space="preserve">CUE, Indicated Shippers, </w:t>
      </w:r>
      <w:r w:rsidRPr="001415C7" w:rsidR="000F39DB">
        <w:t xml:space="preserve">SBUA, and TURN </w:t>
      </w:r>
      <w:r w:rsidRPr="001415C7" w:rsidR="002663E6">
        <w:t>all oppose treating BTM costs as regulatory assets that earn a rate of return, stating that this approach is explicitly forbidden by Code Section 663(b)(8).</w:t>
      </w:r>
      <w:r w:rsidRPr="001415C7" w:rsidR="006F0E7A">
        <w:rPr>
          <w:rStyle w:val="FootnoteReference"/>
        </w:rPr>
        <w:footnoteReference w:id="146"/>
      </w:r>
    </w:p>
    <w:p w:rsidRPr="001415C7" w:rsidR="005C3232" w:rsidP="002F477B" w:rsidRDefault="005C3232" w14:paraId="15BF1594" w14:textId="1969572C">
      <w:pPr>
        <w:pStyle w:val="Standard"/>
      </w:pPr>
      <w:r w:rsidRPr="001415C7">
        <w:t xml:space="preserve">TURN proposes that the Commission authorize </w:t>
      </w:r>
      <w:r w:rsidRPr="001415C7" w:rsidR="00A711AC">
        <w:t xml:space="preserve">gas utilities to </w:t>
      </w:r>
      <w:r w:rsidRPr="001415C7" w:rsidR="00230049">
        <w:t xml:space="preserve">treat BTM costs as expenses </w:t>
      </w:r>
      <w:r w:rsidRPr="001415C7" w:rsidR="0068134C">
        <w:t xml:space="preserve">but allow </w:t>
      </w:r>
      <w:r w:rsidRPr="001415C7" w:rsidR="007316FC">
        <w:t xml:space="preserve">utilities to </w:t>
      </w:r>
      <w:r w:rsidRPr="001415C7" w:rsidR="00C03612">
        <w:t>amortize the costs</w:t>
      </w:r>
      <w:r w:rsidRPr="001415C7" w:rsidR="008352E2">
        <w:t xml:space="preserve"> over </w:t>
      </w:r>
      <w:r w:rsidRPr="001415C7" w:rsidR="00E56CFE">
        <w:t>the average useful life of the BTM measures</w:t>
      </w:r>
      <w:r w:rsidRPr="001415C7" w:rsidR="00E4023A">
        <w:t xml:space="preserve"> and to recover the cost of financing</w:t>
      </w:r>
      <w:r w:rsidRPr="001415C7" w:rsidR="002D0FB8">
        <w:t xml:space="preserve"> </w:t>
      </w:r>
      <w:r w:rsidRPr="001415C7" w:rsidR="00E55B0C">
        <w:t xml:space="preserve">the amortized expense. </w:t>
      </w:r>
      <w:r w:rsidRPr="001415C7" w:rsidR="00765016">
        <w:t xml:space="preserve">In other words, if a utility were to </w:t>
      </w:r>
      <w:r w:rsidRPr="001415C7" w:rsidR="00B44CA2">
        <w:t>amortize a</w:t>
      </w:r>
      <w:r w:rsidRPr="001415C7" w:rsidR="001D22A5">
        <w:t xml:space="preserve"> </w:t>
      </w:r>
      <w:r w:rsidRPr="001415C7" w:rsidR="00B44CA2">
        <w:t>$100</w:t>
      </w:r>
      <w:r w:rsidRPr="001415C7" w:rsidR="00CE1BAA">
        <w:t xml:space="preserve"> expense over five years and incurred $5 in interest costs each year for financing that amortization, t</w:t>
      </w:r>
      <w:r w:rsidRPr="001415C7" w:rsidR="00E5270C">
        <w:t>he utility could recover $25 ($20 in direct costs and $5 in financing costs) annually for five years.</w:t>
      </w:r>
      <w:r w:rsidRPr="001415C7" w:rsidR="00393ACB">
        <w:t xml:space="preserve"> TURN recommends </w:t>
      </w:r>
      <w:r w:rsidRPr="001415C7" w:rsidR="00A973A8">
        <w:t xml:space="preserve">setting financing costs as </w:t>
      </w:r>
      <w:r w:rsidRPr="001415C7" w:rsidR="00FB6257">
        <w:t xml:space="preserve">either </w:t>
      </w:r>
      <w:r w:rsidRPr="001415C7" w:rsidR="00302F02">
        <w:t>the interest rate for the memorandum account to which the costs are recorded or the utility</w:t>
      </w:r>
      <w:r w:rsidRPr="001415C7" w:rsidR="00825871">
        <w:t>’</w:t>
      </w:r>
      <w:r w:rsidRPr="001415C7" w:rsidR="00302F02">
        <w:t>s authorized cost of debt.</w:t>
      </w:r>
      <w:r w:rsidRPr="001415C7" w:rsidR="00302F02">
        <w:rPr>
          <w:rStyle w:val="FootnoteReference"/>
        </w:rPr>
        <w:footnoteReference w:id="147"/>
      </w:r>
    </w:p>
    <w:p w:rsidRPr="001415C7" w:rsidR="001E24AE" w:rsidP="00CE7300" w:rsidRDefault="00B20360" w14:paraId="5489B3AE" w14:textId="5BE69164">
      <w:pPr>
        <w:pStyle w:val="Standard"/>
      </w:pPr>
      <w:r w:rsidRPr="001415C7">
        <w:t xml:space="preserve">SCE supports an amortization period of ten to fifteen years; </w:t>
      </w:r>
      <w:r w:rsidRPr="001415C7" w:rsidR="00C1606A">
        <w:t>PG</w:t>
      </w:r>
      <w:r w:rsidRPr="001415C7" w:rsidR="006363FA">
        <w:t>&amp;E, the Sempra Utilities,</w:t>
      </w:r>
      <w:r w:rsidRPr="001415C7" w:rsidR="00C1606A">
        <w:t xml:space="preserve"> and the </w:t>
      </w:r>
      <w:r w:rsidRPr="001415C7">
        <w:t xml:space="preserve">Sierra Club and NRDC </w:t>
      </w:r>
      <w:r w:rsidRPr="001415C7" w:rsidR="00C1606A">
        <w:t>recommend ten years</w:t>
      </w:r>
      <w:r w:rsidRPr="001415C7" w:rsidR="006363FA">
        <w:t>;</w:t>
      </w:r>
      <w:r w:rsidRPr="001415C7" w:rsidR="00C1606A">
        <w:t xml:space="preserve"> </w:t>
      </w:r>
      <w:r w:rsidRPr="001415C7" w:rsidR="006363FA">
        <w:t xml:space="preserve">and Southwest Gas recommends </w:t>
      </w:r>
      <w:r w:rsidRPr="001415C7" w:rsidR="00CE7300">
        <w:t>case-by-case amortization periods.</w:t>
      </w:r>
      <w:r w:rsidRPr="001415C7" w:rsidR="00CE7300">
        <w:rPr>
          <w:rStyle w:val="FootnoteReference"/>
        </w:rPr>
        <w:footnoteReference w:id="148"/>
      </w:r>
    </w:p>
    <w:p w:rsidRPr="001415C7" w:rsidR="005055BB" w:rsidP="00A34FED" w:rsidRDefault="005055BB" w14:paraId="5ABB3561" w14:textId="560B3ED6">
      <w:pPr>
        <w:pStyle w:val="Heading2"/>
      </w:pPr>
      <w:bookmarkStart w:name="_Toc233633640" w:id="102"/>
      <w:bookmarkStart w:name="_Toc228261700" w:id="103"/>
      <w:r w:rsidRPr="001415C7">
        <w:lastRenderedPageBreak/>
        <w:t xml:space="preserve">Authorized Return </w:t>
      </w:r>
      <w:r w:rsidRPr="001415C7" w:rsidR="00E4700C">
        <w:t xml:space="preserve">and Recovery Period for </w:t>
      </w:r>
      <w:r w:rsidRPr="001415C7" w:rsidR="001A1D1A">
        <w:t>Pilot Project</w:t>
      </w:r>
      <w:r w:rsidRPr="001415C7" w:rsidR="00E4700C">
        <w:t xml:space="preserve"> Expenditures</w:t>
      </w:r>
      <w:bookmarkEnd w:id="102"/>
    </w:p>
    <w:p w:rsidRPr="001415C7" w:rsidR="005055BB" w:rsidP="005055BB" w:rsidRDefault="00C83AB3" w14:paraId="50B80A94" w14:textId="2FB17417">
      <w:pPr>
        <w:pStyle w:val="Standard"/>
      </w:pPr>
      <w:r w:rsidRPr="001415C7">
        <w:t xml:space="preserve">Code Sections 663(b)(8) and 663(b)(9) </w:t>
      </w:r>
      <w:r w:rsidRPr="001415C7" w:rsidR="008F235A">
        <w:t xml:space="preserve">prohibit gas corporations </w:t>
      </w:r>
      <w:r w:rsidRPr="001415C7" w:rsidR="00D750DB">
        <w:t xml:space="preserve">from </w:t>
      </w:r>
      <w:r w:rsidRPr="001415C7" w:rsidR="002A1B01">
        <w:t xml:space="preserve">recovering </w:t>
      </w:r>
      <w:r w:rsidRPr="001415C7" w:rsidR="00D750DB">
        <w:t>behind-the-meter costs</w:t>
      </w:r>
      <w:r w:rsidRPr="001415C7" w:rsidR="002A1B01">
        <w:t xml:space="preserve"> as capital costs</w:t>
      </w:r>
      <w:r w:rsidRPr="001415C7" w:rsidR="0045492B">
        <w:t>,</w:t>
      </w:r>
      <w:r w:rsidRPr="001415C7" w:rsidR="00D750DB">
        <w:t xml:space="preserve"> </w:t>
      </w:r>
      <w:r w:rsidRPr="001415C7" w:rsidR="00CB53C2">
        <w:t xml:space="preserve">but </w:t>
      </w:r>
      <w:r w:rsidRPr="001415C7" w:rsidR="00D750DB">
        <w:t>require</w:t>
      </w:r>
      <w:r w:rsidRPr="001415C7" w:rsidR="00CB53C2">
        <w:t>s</w:t>
      </w:r>
      <w:r w:rsidRPr="001415C7" w:rsidR="00D750DB">
        <w:t xml:space="preserve"> the Commission to determine</w:t>
      </w:r>
      <w:r w:rsidRPr="001415C7" w:rsidR="0045492B">
        <w:t xml:space="preserve"> the rate of return the gas corporation is eligible to receive for </w:t>
      </w:r>
      <w:r w:rsidRPr="001415C7" w:rsidR="00991667">
        <w:t xml:space="preserve">its </w:t>
      </w:r>
      <w:r w:rsidRPr="001415C7" w:rsidR="007147EE">
        <w:t>costs incurred to implement the zero-emission alternative and the appropriate recovery period for all the costs incurred to implement the zero-emission alternative, including behind-the</w:t>
      </w:r>
      <w:r w:rsidRPr="001415C7" w:rsidR="00203889">
        <w:t>-</w:t>
      </w:r>
      <w:r w:rsidRPr="001415C7" w:rsidR="007147EE">
        <w:t>meter costs.</w:t>
      </w:r>
    </w:p>
    <w:p w:rsidRPr="001415C7" w:rsidR="00626C5A" w:rsidP="005055BB" w:rsidRDefault="007F5061" w14:paraId="113D9A6D" w14:textId="51ACD0D8">
      <w:pPr>
        <w:pStyle w:val="Standard"/>
      </w:pPr>
      <w:r w:rsidRPr="001415C7">
        <w:t xml:space="preserve">Some </w:t>
      </w:r>
      <w:r w:rsidRPr="001415C7" w:rsidR="00222A3B">
        <w:t xml:space="preserve">of the activities that the gas and electric utilities will undertake to implement these pilots are </w:t>
      </w:r>
      <w:r w:rsidRPr="001415C7" w:rsidR="00CA0B4D">
        <w:t>part of their business-as-usual operation</w:t>
      </w:r>
      <w:r w:rsidRPr="001415C7" w:rsidR="00E95245">
        <w:t xml:space="preserve">s: the gas utilities’ core responsibilities include </w:t>
      </w:r>
      <w:r w:rsidRPr="001415C7" w:rsidR="00237916">
        <w:t xml:space="preserve">evaluating the need for infrastructure upgrades and decommissioning gas infrastructure </w:t>
      </w:r>
      <w:r w:rsidRPr="001415C7" w:rsidR="00210955">
        <w:t>they no longer intend to use</w:t>
      </w:r>
      <w:r w:rsidRPr="001415C7" w:rsidR="0028565A">
        <w:t>.</w:t>
      </w:r>
      <w:r w:rsidRPr="001415C7" w:rsidR="00210955">
        <w:t xml:space="preserve"> </w:t>
      </w:r>
      <w:r w:rsidRPr="001415C7" w:rsidR="0028565A">
        <w:t>S</w:t>
      </w:r>
      <w:r w:rsidRPr="001415C7" w:rsidR="004A3FBF">
        <w:t>imilarly, the</w:t>
      </w:r>
      <w:r w:rsidRPr="001415C7" w:rsidR="00210955">
        <w:t xml:space="preserve"> electric utilities</w:t>
      </w:r>
      <w:r w:rsidRPr="001415C7" w:rsidR="004A3FBF">
        <w:t xml:space="preserve"> continuously</w:t>
      </w:r>
      <w:r w:rsidRPr="001415C7" w:rsidR="00210955">
        <w:t xml:space="preserve"> plan for load growth and upgrade inf</w:t>
      </w:r>
      <w:r w:rsidRPr="001415C7" w:rsidR="004A3FBF">
        <w:t xml:space="preserve">rastructure to accommodate that planned growth. </w:t>
      </w:r>
      <w:r w:rsidRPr="001415C7" w:rsidR="00626C5A">
        <w:t xml:space="preserve">The Commission has established mechanisms for utilities to record and recover </w:t>
      </w:r>
      <w:r w:rsidRPr="001415C7" w:rsidR="00BC3E27">
        <w:t>those costs and</w:t>
      </w:r>
      <w:r w:rsidRPr="001415C7" w:rsidR="00AD41C0">
        <w:t>,</w:t>
      </w:r>
      <w:r w:rsidRPr="001415C7" w:rsidR="00BC3E27">
        <w:t xml:space="preserve"> in some cases, earn a rate of return</w:t>
      </w:r>
      <w:r w:rsidRPr="001415C7" w:rsidR="009D6D13">
        <w:t xml:space="preserve"> on those expenditures. </w:t>
      </w:r>
      <w:r w:rsidRPr="001415C7" w:rsidR="00BC3E27">
        <w:t xml:space="preserve"> </w:t>
      </w:r>
    </w:p>
    <w:p w:rsidRPr="001415C7" w:rsidR="00203889" w:rsidP="005055BB" w:rsidRDefault="0068240C" w14:paraId="76E40D76" w14:textId="41B716D9">
      <w:pPr>
        <w:pStyle w:val="Standard"/>
      </w:pPr>
      <w:r w:rsidRPr="001415C7">
        <w:t>The activities unique to these pilot</w:t>
      </w:r>
      <w:r w:rsidRPr="001415C7" w:rsidR="008A4496">
        <w:t>s</w:t>
      </w:r>
      <w:r w:rsidRPr="001415C7">
        <w:t xml:space="preserve"> include the application development </w:t>
      </w:r>
      <w:r w:rsidRPr="001415C7" w:rsidR="00DB795C">
        <w:t>process</w:t>
      </w:r>
      <w:r w:rsidRPr="001415C7">
        <w:t>, pilot administration, outreach and engagement costs, behind-the-meter activities, and</w:t>
      </w:r>
      <w:r w:rsidRPr="001415C7" w:rsidR="00DC0A25">
        <w:t xml:space="preserve"> pilot evaluations.</w:t>
      </w:r>
      <w:r w:rsidRPr="001415C7" w:rsidR="002D6709">
        <w:t xml:space="preserve"> </w:t>
      </w:r>
      <w:r w:rsidRPr="001415C7" w:rsidR="00610AF6">
        <w:t>SB</w:t>
      </w:r>
      <w:r w:rsidRPr="001415C7" w:rsidR="001D7163">
        <w:t xml:space="preserve"> </w:t>
      </w:r>
      <w:r w:rsidRPr="001415C7" w:rsidR="00610AF6">
        <w:t>1221</w:t>
      </w:r>
      <w:r w:rsidRPr="001415C7" w:rsidR="002D6709">
        <w:t xml:space="preserve"> prohibits the </w:t>
      </w:r>
      <w:r w:rsidRPr="001415C7" w:rsidR="009B4ECD">
        <w:t xml:space="preserve">gas utilities from </w:t>
      </w:r>
      <w:r w:rsidRPr="001415C7" w:rsidR="0027651A">
        <w:t xml:space="preserve">recovering </w:t>
      </w:r>
      <w:r w:rsidRPr="001415C7" w:rsidR="009B4ECD">
        <w:t>behind-the-meter costs</w:t>
      </w:r>
      <w:r w:rsidRPr="001415C7" w:rsidR="00434F47">
        <w:t xml:space="preserve"> </w:t>
      </w:r>
      <w:r w:rsidRPr="001415C7" w:rsidR="00F279F7">
        <w:t>as capital costs</w:t>
      </w:r>
      <w:r w:rsidRPr="001415C7" w:rsidR="008E4263">
        <w:t xml:space="preserve"> afforded a rate of return</w:t>
      </w:r>
      <w:r w:rsidRPr="001415C7" w:rsidR="007A5FDA">
        <w:t>,</w:t>
      </w:r>
      <w:r w:rsidRPr="001415C7" w:rsidR="00694D68">
        <w:t xml:space="preserve"> and the remaining </w:t>
      </w:r>
      <w:r w:rsidRPr="001415C7" w:rsidR="007A5FDA">
        <w:t xml:space="preserve">pilot-specific </w:t>
      </w:r>
      <w:r w:rsidRPr="001415C7" w:rsidR="00694D68">
        <w:t xml:space="preserve">activities </w:t>
      </w:r>
      <w:r w:rsidRPr="001415C7" w:rsidR="007A5FDA">
        <w:t xml:space="preserve">(e.g., </w:t>
      </w:r>
      <w:r w:rsidRPr="001415C7" w:rsidR="00534C74">
        <w:t>outreach)</w:t>
      </w:r>
      <w:r w:rsidRPr="001415C7" w:rsidR="00694D68">
        <w:t xml:space="preserve"> </w:t>
      </w:r>
      <w:r w:rsidRPr="001415C7" w:rsidR="007A5FDA">
        <w:t xml:space="preserve">are </w:t>
      </w:r>
      <w:r w:rsidRPr="001415C7" w:rsidR="00534C74">
        <w:t>traditionally treated as operating expenses</w:t>
      </w:r>
      <w:r w:rsidRPr="001415C7" w:rsidR="00976549">
        <w:t xml:space="preserve">. </w:t>
      </w:r>
      <w:r w:rsidRPr="001415C7" w:rsidR="00BE188C">
        <w:t xml:space="preserve">Accordingly, this decision does not authorize </w:t>
      </w:r>
      <w:r w:rsidRPr="001415C7" w:rsidR="004B12AF">
        <w:t xml:space="preserve">utilities to </w:t>
      </w:r>
      <w:r w:rsidRPr="001415C7" w:rsidR="00534C74">
        <w:t xml:space="preserve">earn </w:t>
      </w:r>
      <w:r w:rsidRPr="001415C7" w:rsidR="00C4076C">
        <w:t>their authorized rate of return on</w:t>
      </w:r>
      <w:r w:rsidRPr="001415C7" w:rsidR="00534C74">
        <w:t xml:space="preserve"> </w:t>
      </w:r>
      <w:r w:rsidRPr="001415C7" w:rsidR="004B12AF">
        <w:t xml:space="preserve">BTM </w:t>
      </w:r>
      <w:r w:rsidRPr="001415C7" w:rsidR="00C4076C">
        <w:t>capital</w:t>
      </w:r>
      <w:r w:rsidRPr="001415C7" w:rsidR="004B12AF">
        <w:t xml:space="preserve"> costs.</w:t>
      </w:r>
      <w:r w:rsidRPr="001415C7" w:rsidR="00976549">
        <w:t xml:space="preserve"> As the cost of the behind-the-meter activities may be significant and may vary between pilots, this decision </w:t>
      </w:r>
      <w:r w:rsidRPr="001415C7" w:rsidR="00830317">
        <w:t>adopts a variant of TURN’s proposal:</w:t>
      </w:r>
      <w:r w:rsidRPr="001415C7" w:rsidR="00976549">
        <w:t xml:space="preserve"> applicants </w:t>
      </w:r>
      <w:r w:rsidRPr="001415C7" w:rsidR="00830317">
        <w:t>shall</w:t>
      </w:r>
      <w:r w:rsidRPr="001415C7" w:rsidR="00976549">
        <w:t xml:space="preserve"> </w:t>
      </w:r>
      <w:r w:rsidRPr="001415C7" w:rsidR="00AE2EFA">
        <w:t>record</w:t>
      </w:r>
      <w:r w:rsidRPr="001415C7" w:rsidR="00393D61">
        <w:t xml:space="preserve"> </w:t>
      </w:r>
      <w:r w:rsidRPr="001415C7" w:rsidR="0059556B">
        <w:t>BTM</w:t>
      </w:r>
      <w:r w:rsidRPr="001415C7" w:rsidR="00393D61">
        <w:t xml:space="preserve"> costs</w:t>
      </w:r>
      <w:r w:rsidRPr="001415C7" w:rsidR="00BE41C0">
        <w:t xml:space="preserve"> </w:t>
      </w:r>
      <w:r w:rsidRPr="001415C7" w:rsidR="00AE2EFA">
        <w:t xml:space="preserve">as expenses and may </w:t>
      </w:r>
      <w:r w:rsidRPr="001415C7" w:rsidDel="007266A5" w:rsidR="00BE41C0">
        <w:t>amortize</w:t>
      </w:r>
      <w:r w:rsidRPr="001415C7" w:rsidR="00BE41C0">
        <w:t xml:space="preserve"> </w:t>
      </w:r>
      <w:r w:rsidRPr="001415C7" w:rsidR="00AE2EFA">
        <w:t>those</w:t>
      </w:r>
      <w:r w:rsidRPr="001415C7" w:rsidDel="000A5789" w:rsidR="00373E23">
        <w:t xml:space="preserve"> </w:t>
      </w:r>
      <w:r w:rsidRPr="001415C7" w:rsidR="00373E23">
        <w:t xml:space="preserve">costs </w:t>
      </w:r>
      <w:r w:rsidRPr="001415C7" w:rsidR="00C92060">
        <w:t xml:space="preserve">over a period </w:t>
      </w:r>
      <w:r w:rsidRPr="001415C7" w:rsidR="00850FF6">
        <w:t>of no more</w:t>
      </w:r>
      <w:r w:rsidRPr="001415C7" w:rsidR="00C92060">
        <w:t xml:space="preserve"> than </w:t>
      </w:r>
      <w:r w:rsidRPr="001415C7" w:rsidR="00850FF6">
        <w:t>ten years</w:t>
      </w:r>
      <w:r w:rsidRPr="001415C7" w:rsidR="00F233EB">
        <w:t xml:space="preserve">. </w:t>
      </w:r>
      <w:r w:rsidRPr="001415C7" w:rsidR="004B12AF">
        <w:lastRenderedPageBreak/>
        <w:t xml:space="preserve">Applicants may </w:t>
      </w:r>
      <w:r w:rsidRPr="001415C7" w:rsidR="00991638">
        <w:t xml:space="preserve">recover </w:t>
      </w:r>
      <w:r w:rsidRPr="001415C7" w:rsidR="00EA161D">
        <w:t xml:space="preserve">financing costs for BTM assets </w:t>
      </w:r>
      <w:r w:rsidRPr="001415C7" w:rsidR="00612FB5">
        <w:t xml:space="preserve">at either the interest rate of the account to which the BTM costs are recorded or at the utility’s authorized cost of </w:t>
      </w:r>
      <w:r w:rsidRPr="001415C7" w:rsidR="0073142F">
        <w:t>debt</w:t>
      </w:r>
      <w:r w:rsidRPr="001415C7" w:rsidR="00AE3A18">
        <w:t xml:space="preserve">. </w:t>
      </w:r>
    </w:p>
    <w:p w:rsidRPr="001415C7" w:rsidR="0030415C" w:rsidP="005055BB" w:rsidRDefault="0030415C" w14:paraId="3F8EE399" w14:textId="34C5E379">
      <w:pPr>
        <w:pStyle w:val="Standard"/>
      </w:pPr>
      <w:r w:rsidRPr="001415C7">
        <w:t xml:space="preserve">Accordingly, this decision authorizes the </w:t>
      </w:r>
      <w:r w:rsidRPr="001415C7" w:rsidR="00960089">
        <w:t>applicants</w:t>
      </w:r>
      <w:r w:rsidRPr="001415C7">
        <w:t xml:space="preserve"> to</w:t>
      </w:r>
      <w:r w:rsidRPr="001415C7" w:rsidR="00960089">
        <w:t>, in their applications,</w:t>
      </w:r>
      <w:r w:rsidRPr="001415C7">
        <w:t xml:space="preserve"> request authority to establish </w:t>
      </w:r>
      <w:r w:rsidRPr="001415C7" w:rsidR="00F72091">
        <w:t xml:space="preserve">balancing accounts to record the costs incurred for BTM work during pilot implementation. </w:t>
      </w:r>
      <w:r w:rsidRPr="001415C7" w:rsidR="00C308A5">
        <w:t xml:space="preserve">The application shall propose and justify a cap on expenditures based on the forecasted </w:t>
      </w:r>
      <w:r w:rsidRPr="001415C7" w:rsidR="00E609C3">
        <w:t>costs of the ZEA implementation</w:t>
      </w:r>
      <w:r w:rsidRPr="001415C7" w:rsidR="00EF6CDE">
        <w:t xml:space="preserve"> (including financing costs based on the appropriate cost of debt) and</w:t>
      </w:r>
      <w:r w:rsidRPr="001415C7" w:rsidR="002E0715">
        <w:t xml:space="preserve"> shall propose </w:t>
      </w:r>
      <w:r w:rsidRPr="001415C7" w:rsidR="00DE44D7">
        <w:t xml:space="preserve">to expense </w:t>
      </w:r>
      <w:r w:rsidRPr="001415C7" w:rsidR="00B468C9">
        <w:t xml:space="preserve">the costs or recover the costs </w:t>
      </w:r>
      <w:r w:rsidRPr="001415C7" w:rsidR="00DE44D7">
        <w:t xml:space="preserve">over </w:t>
      </w:r>
      <w:r w:rsidRPr="001415C7" w:rsidR="002E0715">
        <w:t xml:space="preserve">an amortization period </w:t>
      </w:r>
      <w:r w:rsidRPr="001415C7" w:rsidR="009458BD">
        <w:t xml:space="preserve">proposed by </w:t>
      </w:r>
      <w:r w:rsidRPr="001415C7" w:rsidR="00A97F6E">
        <w:t>the applicant</w:t>
      </w:r>
      <w:r w:rsidRPr="001415C7" w:rsidR="003D5EB9">
        <w:t>.</w:t>
      </w:r>
    </w:p>
    <w:p w:rsidRPr="001415C7" w:rsidR="00467AC4" w:rsidP="008F0F9E" w:rsidRDefault="00C265D9" w14:paraId="75229ED7" w14:textId="0EBAC3F8">
      <w:pPr>
        <w:pStyle w:val="Standard"/>
      </w:pPr>
      <w:r w:rsidRPr="001415C7">
        <w:t xml:space="preserve">This approach meets the statutory requirements and </w:t>
      </w:r>
      <w:r w:rsidRPr="001415C7" w:rsidR="008F0F9E">
        <w:t>comports with existing ratemaking guidance.</w:t>
      </w:r>
      <w:r w:rsidRPr="001415C7" w:rsidR="00467AC4">
        <w:t xml:space="preserve"> </w:t>
      </w:r>
    </w:p>
    <w:p w:rsidRPr="001415C7" w:rsidR="00D1528C" w:rsidP="00A34FED" w:rsidRDefault="00D1528C" w14:paraId="0A089C18" w14:textId="43C742C8">
      <w:pPr>
        <w:pStyle w:val="Heading2"/>
      </w:pPr>
      <w:bookmarkStart w:name="_Toc233633641" w:id="104"/>
      <w:r w:rsidRPr="001415C7">
        <w:t xml:space="preserve">Shareholder Incentive </w:t>
      </w:r>
      <w:r w:rsidRPr="001415C7" w:rsidR="00A04A3B">
        <w:t>Based on Avoided Costs</w:t>
      </w:r>
      <w:bookmarkEnd w:id="104"/>
    </w:p>
    <w:p w:rsidRPr="001415C7" w:rsidR="00673B8D" w:rsidP="002D164F" w:rsidRDefault="007F1A9C" w14:paraId="0386C2E4" w14:textId="16F9EC90">
      <w:pPr>
        <w:pStyle w:val="Standard"/>
      </w:pPr>
      <w:r w:rsidRPr="001415C7">
        <w:t xml:space="preserve">The Commission intends to establish </w:t>
      </w:r>
      <w:r w:rsidRPr="001415C7" w:rsidR="00673B8D">
        <w:t>a performance-based shareholder incentive mechanism to</w:t>
      </w:r>
      <w:r w:rsidRPr="001415C7" w:rsidR="00583494">
        <w:t xml:space="preserve"> provide incentives for gas corporations to pursue pilot projects</w:t>
      </w:r>
      <w:r w:rsidRPr="001415C7" w:rsidR="00E32EB7">
        <w:t>,</w:t>
      </w:r>
      <w:r w:rsidRPr="001415C7" w:rsidR="00583494">
        <w:t xml:space="preserve"> consistent with statutory </w:t>
      </w:r>
      <w:r w:rsidRPr="001415C7" w:rsidR="00407399">
        <w:t>goals</w:t>
      </w:r>
      <w:r w:rsidRPr="001415C7" w:rsidR="00583494">
        <w:t xml:space="preserve">. </w:t>
      </w:r>
      <w:r w:rsidRPr="001415C7" w:rsidR="00D46811">
        <w:t xml:space="preserve">The incentive should </w:t>
      </w:r>
      <w:r w:rsidRPr="001415C7" w:rsidR="00673B8D">
        <w:t xml:space="preserve">encourage utility participation in pilot programs by offering </w:t>
      </w:r>
      <w:r w:rsidRPr="001415C7" w:rsidR="00446E20">
        <w:t xml:space="preserve">an </w:t>
      </w:r>
      <w:r w:rsidRPr="001415C7" w:rsidR="00673B8D">
        <w:t xml:space="preserve">opportunity </w:t>
      </w:r>
      <w:r w:rsidRPr="001415C7" w:rsidR="00446E20">
        <w:t xml:space="preserve">to earn shareholder awards </w:t>
      </w:r>
      <w:r w:rsidRPr="001415C7" w:rsidR="00523A37">
        <w:t xml:space="preserve">up to a set percentage of </w:t>
      </w:r>
      <w:r w:rsidRPr="001415C7" w:rsidR="00446E20">
        <w:t xml:space="preserve">the pilots’ </w:t>
      </w:r>
      <w:r w:rsidRPr="001415C7" w:rsidR="00523A37">
        <w:t xml:space="preserve">actual </w:t>
      </w:r>
      <w:r w:rsidRPr="001415C7" w:rsidR="00446E20">
        <w:t>cost savings</w:t>
      </w:r>
      <w:r w:rsidRPr="001415C7" w:rsidR="001923B8">
        <w:t xml:space="preserve">, </w:t>
      </w:r>
      <w:r w:rsidRPr="001415C7" w:rsidR="006F23D9">
        <w:t xml:space="preserve">based on the </w:t>
      </w:r>
      <w:r w:rsidRPr="001415C7" w:rsidR="001923B8">
        <w:t>project’s realized savings and the effective implementation of the pilot</w:t>
      </w:r>
      <w:r w:rsidRPr="001415C7" w:rsidR="0018258B">
        <w:t>.</w:t>
      </w:r>
      <w:r w:rsidRPr="001415C7" w:rsidR="00613A6C">
        <w:t xml:space="preserve"> </w:t>
      </w:r>
      <w:r w:rsidRPr="001415C7" w:rsidR="007075BE">
        <w:t>The Commission will further develop this incentive mechanism in track 4 of this proceeding.</w:t>
      </w:r>
      <w:r w:rsidRPr="001415C7" w:rsidR="00761663">
        <w:t xml:space="preserve"> </w:t>
      </w:r>
      <w:r w:rsidRPr="001415C7" w:rsidR="002D164F">
        <w:t xml:space="preserve">The shareholder incentive proposed here is specific to the pilot projects </w:t>
      </w:r>
      <w:r w:rsidRPr="001415C7" w:rsidR="00621598">
        <w:t>subject to this pilot program</w:t>
      </w:r>
      <w:r w:rsidRPr="001415C7" w:rsidR="002D164F">
        <w:t xml:space="preserve">, and the performance-based shareholder incentive mechanism proposed herein is to encourage utilities to pursue these pilots.  </w:t>
      </w:r>
    </w:p>
    <w:p w:rsidRPr="001415C7" w:rsidR="00A34FED" w:rsidP="00A34FED" w:rsidRDefault="00C9409E" w14:paraId="38809527" w14:textId="1061911C">
      <w:pPr>
        <w:pStyle w:val="Heading2"/>
      </w:pPr>
      <w:bookmarkStart w:name="_Toc233633642" w:id="105"/>
      <w:r w:rsidRPr="001415C7">
        <w:lastRenderedPageBreak/>
        <w:t>Priority Neighborhood Decarbonization Zone Outreach Costs</w:t>
      </w:r>
      <w:bookmarkEnd w:id="103"/>
      <w:bookmarkEnd w:id="105"/>
    </w:p>
    <w:p w:rsidRPr="001415C7" w:rsidR="003447C2" w:rsidP="003447C2" w:rsidRDefault="009C1537" w14:paraId="763080BD" w14:textId="305B1D0C">
      <w:pPr>
        <w:pStyle w:val="Standard"/>
      </w:pPr>
      <w:r w:rsidRPr="001415C7">
        <w:t xml:space="preserve">D.25-12-042 authorized the gas utilities to file a motion </w:t>
      </w:r>
      <w:r w:rsidRPr="001415C7" w:rsidR="00531E90">
        <w:t xml:space="preserve">requesting </w:t>
      </w:r>
      <w:r w:rsidRPr="001415C7">
        <w:t>authority to track costs associated with complying with directives of conducting outreach, hosting and recording one information session</w:t>
      </w:r>
      <w:r w:rsidRPr="001415C7" w:rsidR="00C8545E">
        <w:t>,</w:t>
      </w:r>
      <w:r w:rsidRPr="001415C7">
        <w:t xml:space="preserve"> and </w:t>
      </w:r>
      <w:r w:rsidRPr="001415C7" w:rsidR="00C8545E">
        <w:t xml:space="preserve">filing </w:t>
      </w:r>
      <w:r w:rsidRPr="001415C7">
        <w:t>a report on these activities by April 1, 2026.</w:t>
      </w:r>
      <w:r w:rsidRPr="001415C7">
        <w:rPr>
          <w:rStyle w:val="FootnoteReference"/>
        </w:rPr>
        <w:footnoteReference w:id="149"/>
      </w:r>
      <w:r w:rsidRPr="001415C7">
        <w:t xml:space="preserve"> PG&amp;E, SDG&amp;E and SoCalGas filed motions requesting to amend their respective SB 1221 Memorandum Accounts established by D.25-07-016. All utilities requested the effective date to be the date of each respective motion filing, and all propose filing a Tier 1 AL upon approval of the respective motions to start recording approved costs.</w:t>
      </w:r>
      <w:r w:rsidRPr="001415C7">
        <w:rPr>
          <w:rStyle w:val="FootnoteReference"/>
        </w:rPr>
        <w:footnoteReference w:id="150"/>
      </w:r>
      <w:r w:rsidRPr="001415C7">
        <w:t xml:space="preserve">  </w:t>
      </w:r>
    </w:p>
    <w:p w:rsidRPr="001415C7" w:rsidR="009C1537" w:rsidP="003447C2" w:rsidRDefault="003447C2" w14:paraId="3711A857" w14:textId="6D2D2787">
      <w:pPr>
        <w:pStyle w:val="Standard"/>
        <w:rPr>
          <w:lang w:val="en-ZW"/>
        </w:rPr>
      </w:pPr>
      <w:r w:rsidRPr="001415C7">
        <w:t xml:space="preserve">PG&amp;E’s </w:t>
      </w:r>
      <w:r w:rsidRPr="001415C7">
        <w:rPr>
          <w:lang w:val="en-ZW"/>
        </w:rPr>
        <w:t xml:space="preserve">Motion to Amend SB 1221 Memorandum Account was unopposed. Indicated Shippers recommends the Commission deny the </w:t>
      </w:r>
      <w:r w:rsidRPr="001415C7" w:rsidR="000A4C70">
        <w:rPr>
          <w:lang w:val="en-ZW"/>
        </w:rPr>
        <w:t xml:space="preserve">Sempra Utilities’ </w:t>
      </w:r>
      <w:r w:rsidRPr="001415C7">
        <w:rPr>
          <w:lang w:val="en-ZW"/>
        </w:rPr>
        <w:t>Joint Motion to Amend SB 1221 Memorandum Account on the grounds that it constitutes a petition for modification of D.25-07-016 as “</w:t>
      </w:r>
      <w:r w:rsidRPr="001415C7">
        <w:t>it would alter the scope of those fully litigated and finalized decisions.”</w:t>
      </w:r>
      <w:r w:rsidRPr="001415C7">
        <w:rPr>
          <w:rStyle w:val="FootnoteReference"/>
        </w:rPr>
        <w:footnoteReference w:id="151"/>
      </w:r>
      <w:r w:rsidRPr="001415C7">
        <w:t xml:space="preserve"> It also argues that D.25-07-016 limited costs tracked in this memorandum account to implementation of SB 1221 mapping costs and that D.25-12-042 stated “the Commission considered and rejected requests to use those existing accounts to track the costs of complying with that decision.”</w:t>
      </w:r>
      <w:r w:rsidRPr="001415C7">
        <w:rPr>
          <w:rStyle w:val="FootnoteReference"/>
        </w:rPr>
        <w:footnoteReference w:id="152"/>
      </w:r>
    </w:p>
    <w:p w:rsidRPr="001415C7" w:rsidR="00684483" w:rsidP="00684483" w:rsidRDefault="00684483" w14:paraId="47E560E5" w14:textId="42AB3F19">
      <w:pPr>
        <w:pStyle w:val="Standard"/>
      </w:pPr>
      <w:bookmarkStart w:name="_Toc228261701" w:id="106"/>
      <w:r w:rsidRPr="001415C7">
        <w:t>This decision recognizes that the utilities have unforeseen costs including annual mapping requirements and related outreach and notification. While prior decisions in the proceeding denied amending the SB</w:t>
      </w:r>
      <w:r w:rsidRPr="001415C7" w:rsidR="00944BBF">
        <w:t xml:space="preserve"> </w:t>
      </w:r>
      <w:r w:rsidRPr="001415C7">
        <w:t xml:space="preserve">1221 Mapping </w:t>
      </w:r>
      <w:r w:rsidRPr="001415C7">
        <w:lastRenderedPageBreak/>
        <w:t xml:space="preserve">Memorandum Accounts that were authorized by D.25-07-016, this decision </w:t>
      </w:r>
      <w:r w:rsidRPr="001415C7" w:rsidR="00634C60">
        <w:t xml:space="preserve">authorizes </w:t>
      </w:r>
      <w:r w:rsidRPr="001415C7">
        <w:t xml:space="preserve">the </w:t>
      </w:r>
      <w:r w:rsidRPr="001415C7" w:rsidR="000472E9">
        <w:t xml:space="preserve">gas </w:t>
      </w:r>
      <w:r w:rsidRPr="001415C7" w:rsidR="002816E1">
        <w:t>corporations</w:t>
      </w:r>
      <w:r w:rsidRPr="001415C7" w:rsidR="00FD28FB">
        <w:t xml:space="preserve"> to </w:t>
      </w:r>
      <w:r w:rsidRPr="001415C7" w:rsidR="0038082E">
        <w:t xml:space="preserve">submit advice letters to </w:t>
      </w:r>
      <w:r w:rsidRPr="001415C7" w:rsidR="00616552">
        <w:t xml:space="preserve">establish sub-accounts to </w:t>
      </w:r>
      <w:r w:rsidRPr="001415C7" w:rsidR="00FD28FB">
        <w:t>record t</w:t>
      </w:r>
      <w:r w:rsidRPr="001415C7" w:rsidR="0010353B">
        <w:t>o</w:t>
      </w:r>
      <w:r w:rsidRPr="001415C7" w:rsidR="00FD28FB">
        <w:t xml:space="preserve"> </w:t>
      </w:r>
      <w:r w:rsidRPr="001415C7" w:rsidR="006467EE">
        <w:t>the SB 1221</w:t>
      </w:r>
      <w:r w:rsidRPr="001415C7" w:rsidR="00594546">
        <w:t xml:space="preserve"> Mapping memorandum accounts additional costs </w:t>
      </w:r>
      <w:r w:rsidRPr="001415C7" w:rsidR="00026E30">
        <w:t>consisting of</w:t>
      </w:r>
      <w:r w:rsidRPr="001415C7" w:rsidR="00594546">
        <w:t xml:space="preserve"> </w:t>
      </w:r>
      <w:r w:rsidRPr="001415C7">
        <w:t>administrative costs and pilot program application</w:t>
      </w:r>
      <w:r w:rsidRPr="001415C7" w:rsidR="005D655E">
        <w:t>-</w:t>
      </w:r>
      <w:r w:rsidRPr="001415C7">
        <w:t>related outreach and notification</w:t>
      </w:r>
      <w:r w:rsidRPr="001415C7" w:rsidR="00DA5F0E">
        <w:t xml:space="preserve"> </w:t>
      </w:r>
      <w:r w:rsidRPr="001415C7" w:rsidR="00613A15">
        <w:t>costs,</w:t>
      </w:r>
      <w:r w:rsidRPr="001415C7" w:rsidR="00DA5F0E">
        <w:t xml:space="preserve"> </w:t>
      </w:r>
      <w:r w:rsidRPr="001415C7" w:rsidR="0038082E">
        <w:t>which will allow them</w:t>
      </w:r>
      <w:r w:rsidRPr="001415C7" w:rsidR="005B49EB">
        <w:t xml:space="preserve"> </w:t>
      </w:r>
      <w:r w:rsidRPr="001415C7" w:rsidR="00613A15">
        <w:t xml:space="preserve">to </w:t>
      </w:r>
      <w:r w:rsidRPr="001415C7" w:rsidR="00690848">
        <w:t>request</w:t>
      </w:r>
      <w:r w:rsidRPr="001415C7" w:rsidR="00DA5F0E">
        <w:t xml:space="preserve"> </w:t>
      </w:r>
      <w:r w:rsidRPr="001415C7" w:rsidR="00383F30">
        <w:t>cost recovery</w:t>
      </w:r>
      <w:r w:rsidRPr="001415C7" w:rsidR="005F7F4E">
        <w:t xml:space="preserve"> in subsequent applications</w:t>
      </w:r>
      <w:r w:rsidRPr="001415C7">
        <w:t xml:space="preserve">. </w:t>
      </w:r>
      <w:r w:rsidRPr="001415C7" w:rsidR="00CA1AB1">
        <w:t xml:space="preserve">Applicants may record and request recovery of </w:t>
      </w:r>
      <w:r w:rsidRPr="001415C7" w:rsidR="00E85352">
        <w:t>the costs they incurred in exploring or developing a project, even if the applicant did not include that project in their final application, so long as those costs were prudently incurred.</w:t>
      </w:r>
      <w:r w:rsidRPr="001415C7">
        <w:t xml:space="preserve"> Doing so advances the explicit goals of this program, thereby advancing the state and ratepayers’ interests. </w:t>
      </w:r>
    </w:p>
    <w:p w:rsidRPr="001415C7" w:rsidR="00AB0F59" w:rsidP="00A12092" w:rsidRDefault="00AB0F59" w14:paraId="66691594" w14:textId="453E28C9">
      <w:pPr>
        <w:pStyle w:val="Heading1"/>
        <w:numPr>
          <w:ilvl w:val="0"/>
          <w:numId w:val="1"/>
        </w:numPr>
      </w:pPr>
      <w:bookmarkStart w:name="_Toc233633643" w:id="107"/>
      <w:r w:rsidRPr="001415C7">
        <w:t xml:space="preserve">Application </w:t>
      </w:r>
      <w:r w:rsidRPr="001415C7" w:rsidR="00F011B0">
        <w:t xml:space="preserve">Submittal </w:t>
      </w:r>
      <w:r w:rsidRPr="001415C7">
        <w:t>Process</w:t>
      </w:r>
      <w:bookmarkEnd w:id="106"/>
      <w:bookmarkEnd w:id="107"/>
    </w:p>
    <w:p w:rsidRPr="001415C7" w:rsidR="00C63116" w:rsidP="00C63116" w:rsidRDefault="00944CF7" w14:paraId="566AA224" w14:textId="346FEF5A">
      <w:pPr>
        <w:pStyle w:val="Standard"/>
      </w:pPr>
      <w:r w:rsidRPr="001415C7">
        <w:t xml:space="preserve">Energy Division staff will </w:t>
      </w:r>
      <w:r w:rsidRPr="001415C7" w:rsidR="0061533D">
        <w:t xml:space="preserve">create and post on the Commission’s website an application guide that includes a checklist of the required contents of </w:t>
      </w:r>
      <w:r w:rsidRPr="001415C7" w:rsidR="0016387E">
        <w:t>the application.</w:t>
      </w:r>
      <w:r w:rsidRPr="001415C7" w:rsidR="0061533D">
        <w:t xml:space="preserve"> </w:t>
      </w:r>
      <w:r w:rsidRPr="001415C7">
        <w:t xml:space="preserve"> </w:t>
      </w:r>
    </w:p>
    <w:p w:rsidRPr="001415C7" w:rsidR="00272933" w:rsidP="006E539D" w:rsidRDefault="00AB0F59" w14:paraId="56AC3111" w14:textId="5B7921EA">
      <w:pPr>
        <w:pStyle w:val="Heading1"/>
        <w:numPr>
          <w:ilvl w:val="0"/>
          <w:numId w:val="1"/>
        </w:numPr>
      </w:pPr>
      <w:bookmarkStart w:name="_Toc228261702" w:id="108"/>
      <w:bookmarkStart w:name="_Toc233633644" w:id="109"/>
      <w:r w:rsidRPr="001415C7">
        <w:t>Data Collection, Reporting, and Evaluation</w:t>
      </w:r>
      <w:bookmarkEnd w:id="108"/>
      <w:bookmarkEnd w:id="109"/>
    </w:p>
    <w:p w:rsidRPr="001415C7" w:rsidR="006E539D" w:rsidP="006E539D" w:rsidRDefault="006E539D" w14:paraId="5934A392" w14:textId="0C15D820">
      <w:r w:rsidRPr="001415C7">
        <w:t xml:space="preserve">SBUA recommends that the pilot projects should collect information to help understand the needs and energy usage of small commercial customers, suggesting the </w:t>
      </w:r>
      <w:r w:rsidRPr="001415C7" w:rsidR="004A3A60">
        <w:t>California Energy Commission</w:t>
      </w:r>
      <w:r w:rsidRPr="001415C7">
        <w:t xml:space="preserve"> </w:t>
      </w:r>
      <w:r w:rsidRPr="001415C7" w:rsidR="004A3A60">
        <w:t>(</w:t>
      </w:r>
      <w:r w:rsidRPr="001415C7">
        <w:t>CEC</w:t>
      </w:r>
      <w:r w:rsidRPr="001415C7" w:rsidR="004A3A60">
        <w:t>)</w:t>
      </w:r>
      <w:r w:rsidRPr="001415C7">
        <w:t>’s commercial end-use survey as a model.</w:t>
      </w:r>
      <w:r w:rsidRPr="001415C7">
        <w:rPr>
          <w:rStyle w:val="FootnoteReference"/>
        </w:rPr>
        <w:footnoteReference w:id="153"/>
      </w:r>
    </w:p>
    <w:p w:rsidRPr="001415C7" w:rsidR="006E539D" w:rsidP="006E539D" w:rsidRDefault="006E539D" w14:paraId="5373F673" w14:textId="77777777">
      <w:r w:rsidRPr="001415C7">
        <w:t>Southwest Gas recommends collecting certain information to evaluate the pilot projects:</w:t>
      </w:r>
    </w:p>
    <w:p w:rsidRPr="001415C7" w:rsidR="006E539D" w:rsidP="00BB1713" w:rsidRDefault="006E539D" w14:paraId="22C26E86" w14:textId="77777777">
      <w:pPr>
        <w:pStyle w:val="ListBullet"/>
        <w:ind w:right="1440"/>
      </w:pPr>
      <w:r w:rsidRPr="001415C7">
        <w:t>Customer feedback;</w:t>
      </w:r>
    </w:p>
    <w:p w:rsidRPr="001415C7" w:rsidR="006E539D" w:rsidP="00BB1713" w:rsidRDefault="006E539D" w14:paraId="1816CEDE" w14:textId="77777777">
      <w:pPr>
        <w:pStyle w:val="ListBullet"/>
        <w:ind w:right="1440"/>
      </w:pPr>
      <w:r w:rsidRPr="001415C7">
        <w:t>Number of impacted customers;</w:t>
      </w:r>
    </w:p>
    <w:p w:rsidRPr="001415C7" w:rsidR="006E539D" w:rsidP="00BB1713" w:rsidRDefault="006E539D" w14:paraId="3E0AD95D" w14:textId="77777777">
      <w:pPr>
        <w:pStyle w:val="ListBullet"/>
        <w:ind w:right="1440"/>
      </w:pPr>
      <w:r w:rsidRPr="001415C7">
        <w:t>Estimated vs actual outcomes for all predictions (e.g., estimated vs actual impacts to customer bills); and,</w:t>
      </w:r>
    </w:p>
    <w:p w:rsidRPr="001415C7" w:rsidR="006E539D" w:rsidP="00BB1713" w:rsidRDefault="006E539D" w14:paraId="0DA00F9A" w14:textId="01A59D37">
      <w:pPr>
        <w:pStyle w:val="ListBullet"/>
        <w:ind w:right="1440"/>
      </w:pPr>
      <w:r w:rsidRPr="001415C7">
        <w:lastRenderedPageBreak/>
        <w:t>Customer engagement frequency, method, and efficacy.</w:t>
      </w:r>
      <w:r w:rsidRPr="001415C7">
        <w:rPr>
          <w:rStyle w:val="FootnoteReference"/>
        </w:rPr>
        <w:footnoteReference w:id="154"/>
      </w:r>
    </w:p>
    <w:p w:rsidRPr="001415C7" w:rsidR="006E539D" w:rsidP="00A53E30" w:rsidRDefault="00D7039E" w14:paraId="1D6F7DAA" w14:textId="119B0401">
      <w:pPr>
        <w:pStyle w:val="Standard"/>
      </w:pPr>
      <w:r w:rsidRPr="001415C7">
        <w:t xml:space="preserve">This decision does not establish data collection, reporting, and evaluation requirements. The Commission will address those issues in </w:t>
      </w:r>
      <w:r w:rsidRPr="001415C7" w:rsidR="00C77E5E">
        <w:t>t</w:t>
      </w:r>
      <w:r w:rsidRPr="001415C7">
        <w:t>rack 4 of this proceeding.</w:t>
      </w:r>
    </w:p>
    <w:p w:rsidRPr="001415C7" w:rsidR="00603238" w:rsidP="00A12092" w:rsidRDefault="00603238" w14:paraId="0AE6106C" w14:textId="4F2B997D">
      <w:pPr>
        <w:pStyle w:val="Heading1"/>
        <w:numPr>
          <w:ilvl w:val="0"/>
          <w:numId w:val="1"/>
        </w:numPr>
      </w:pPr>
      <w:bookmarkStart w:name="_Toc228261703" w:id="110"/>
      <w:bookmarkStart w:name="_Toc233633645" w:id="111"/>
      <w:r w:rsidRPr="001415C7">
        <w:t>Summary of Public Comment</w:t>
      </w:r>
      <w:bookmarkEnd w:id="110"/>
      <w:bookmarkEnd w:id="111"/>
    </w:p>
    <w:p w:rsidRPr="001415C7" w:rsidR="00603238" w:rsidP="00284D8D" w:rsidRDefault="00603238" w14:paraId="1490F9B8" w14:textId="77777777">
      <w:pPr>
        <w:rPr>
          <w:rFonts w:ascii="Calibri" w:hAnsi="Calibri"/>
          <w:sz w:val="22"/>
        </w:rPr>
      </w:pPr>
      <w:r w:rsidRPr="001415C7">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1415C7" w:rsidR="00C0562B" w:rsidP="00C0562B" w:rsidRDefault="00C0562B" w14:paraId="686C1B34" w14:textId="2BD074A7">
      <w:pPr>
        <w:pStyle w:val="Standard"/>
      </w:pPr>
      <w:r w:rsidRPr="001415C7">
        <w:t xml:space="preserve">By </w:t>
      </w:r>
      <w:r w:rsidRPr="00203ABF" w:rsidR="000A3EA5">
        <w:t>June 27</w:t>
      </w:r>
      <w:r w:rsidRPr="001415C7">
        <w:t xml:space="preserve">, 2026, the Commission had received </w:t>
      </w:r>
      <w:r w:rsidRPr="001415C7" w:rsidR="003F2EE9">
        <w:t>6</w:t>
      </w:r>
      <w:r w:rsidRPr="001415C7" w:rsidR="000A3EA5">
        <w:t>30</w:t>
      </w:r>
      <w:r w:rsidRPr="001415C7">
        <w:t xml:space="preserve"> comments from members of the public relevant to establishment of the SB 1221 pilot program. Commenters were individuals, as well as representatives from community organizations, local governments, and the Sacramento Metropolitan Air Quality Management District. </w:t>
      </w:r>
      <w:r w:rsidRPr="001415C7" w:rsidR="00A30454">
        <w:t xml:space="preserve">There were comments in support of the proposed pilots, praising the potential benefits to </w:t>
      </w:r>
      <w:r w:rsidRPr="001415C7" w:rsidR="009433B9">
        <w:t xml:space="preserve">participants’ health, improved safety, and the environment. Comments expressing opposition to the pilot program </w:t>
      </w:r>
      <w:r w:rsidRPr="001415C7" w:rsidR="009C2685">
        <w:t>expressed concerns about an unreliable electric grid, preferences for gas appliances, and higher costs of electric appliances and of electricity as a fuel.</w:t>
      </w:r>
    </w:p>
    <w:p w:rsidRPr="001415C7" w:rsidR="004A1EAD" w:rsidP="00A12092" w:rsidRDefault="004A1EAD" w14:paraId="76DCB5CD" w14:textId="77777777">
      <w:pPr>
        <w:pStyle w:val="Heading1"/>
        <w:numPr>
          <w:ilvl w:val="0"/>
          <w:numId w:val="1"/>
        </w:numPr>
      </w:pPr>
      <w:bookmarkStart w:name="_Toc228261705" w:id="112"/>
      <w:bookmarkStart w:name="_Toc233633646" w:id="113"/>
      <w:bookmarkStart w:name="_Toc8123723" w:id="114"/>
      <w:bookmarkEnd w:id="49"/>
      <w:r w:rsidRPr="001415C7">
        <w:t>Procedural Matters</w:t>
      </w:r>
      <w:bookmarkEnd w:id="112"/>
      <w:bookmarkEnd w:id="113"/>
    </w:p>
    <w:p w:rsidRPr="001415C7" w:rsidR="004A1EAD" w:rsidP="004A1EAD" w:rsidRDefault="004A1EAD" w14:paraId="0C377F73" w14:textId="5A28D4F9">
      <w:pPr>
        <w:pStyle w:val="Standard"/>
      </w:pPr>
      <w:r w:rsidRPr="001415C7">
        <w:t>This decision affirms all rulings made by the Administrative Law Judge</w:t>
      </w:r>
      <w:r w:rsidRPr="001415C7" w:rsidR="00C72BD2">
        <w:t>s</w:t>
      </w:r>
      <w:r w:rsidRPr="001415C7">
        <w:t xml:space="preserve"> and assigned Commissioner in this proceeding. All motions not ruled on are deemed denied.</w:t>
      </w:r>
    </w:p>
    <w:p w:rsidRPr="001415C7" w:rsidR="005939A5" w:rsidP="00A12092" w:rsidRDefault="005939A5" w14:paraId="48210990" w14:textId="77777777">
      <w:pPr>
        <w:pStyle w:val="Heading1"/>
        <w:numPr>
          <w:ilvl w:val="0"/>
          <w:numId w:val="1"/>
        </w:numPr>
      </w:pPr>
      <w:bookmarkStart w:name="_Toc228261706" w:id="115"/>
      <w:bookmarkStart w:name="_Toc233633647" w:id="116"/>
      <w:r w:rsidRPr="001415C7">
        <w:lastRenderedPageBreak/>
        <w:t>Comments on Proposed Decision</w:t>
      </w:r>
      <w:bookmarkEnd w:id="114"/>
      <w:bookmarkEnd w:id="115"/>
      <w:bookmarkEnd w:id="116"/>
    </w:p>
    <w:p w:rsidRPr="001415C7" w:rsidR="00B941FE" w:rsidP="005C58FA" w:rsidRDefault="005C58FA" w14:paraId="4E1C4C87" w14:textId="77777777">
      <w:pPr>
        <w:pStyle w:val="Standard"/>
      </w:pPr>
      <w:r w:rsidRPr="001415C7">
        <w:t xml:space="preserve">The proposed decision of Commissioner </w:t>
      </w:r>
      <w:r w:rsidRPr="001415C7" w:rsidR="00F6210B">
        <w:t>Karen Douglas</w:t>
      </w:r>
      <w:r w:rsidRPr="001415C7">
        <w:t xml:space="preserve"> in this matter was mailed to the parties in accordance with Section 311 of the Public Utilities Code and comments were allowed under Rule 14.3 of the Commission’s Rules of Practice and Procedure.  </w:t>
      </w:r>
    </w:p>
    <w:p w:rsidRPr="001415C7" w:rsidR="00845984" w:rsidP="005C58FA" w:rsidRDefault="005C58FA" w14:paraId="7D9E560B" w14:textId="270EE42C">
      <w:pPr>
        <w:pStyle w:val="Standard"/>
      </w:pPr>
      <w:r w:rsidRPr="001415C7">
        <w:t xml:space="preserve">Comments were filed on </w:t>
      </w:r>
      <w:r w:rsidRPr="001415C7" w:rsidR="00484942">
        <w:t xml:space="preserve">June 18, 2026 by </w:t>
      </w:r>
      <w:r w:rsidRPr="001415C7" w:rsidR="00E54E89">
        <w:t xml:space="preserve">the Building Decarbonization Coalition (BDC), </w:t>
      </w:r>
      <w:r w:rsidRPr="001415C7" w:rsidR="00845984">
        <w:t>Cal Advocates</w:t>
      </w:r>
      <w:r w:rsidRPr="001415C7" w:rsidR="00E54E89">
        <w:t xml:space="preserve">, CCR REN, CforAT, CMUA, CUE, </w:t>
      </w:r>
      <w:r w:rsidRPr="001415C7" w:rsidR="00DA4F34">
        <w:t xml:space="preserve">the East Contra Costa Healthy Homes Collaborative (ECCHHC), </w:t>
      </w:r>
      <w:r w:rsidRPr="001415C7" w:rsidR="00E54E89">
        <w:t xml:space="preserve">Indicated Shippers, the Joint CCAs, PG&amp;E, San Francisco, SBUA, SCE, the Sierra Club and NRDC, </w:t>
      </w:r>
      <w:r w:rsidRPr="001415C7" w:rsidR="00FA0A08">
        <w:t xml:space="preserve">the Sempra </w:t>
      </w:r>
      <w:r w:rsidRPr="001415C7" w:rsidR="00F63AD5">
        <w:t>Utilities</w:t>
      </w:r>
      <w:r w:rsidRPr="001415C7" w:rsidR="00FA0A08">
        <w:t>, Southwest Gas, and UCAN.</w:t>
      </w:r>
    </w:p>
    <w:p w:rsidRPr="001415C7" w:rsidR="005939A5" w:rsidP="005C58FA" w:rsidRDefault="00484942" w14:paraId="4DDCE397" w14:textId="271FCD2F">
      <w:pPr>
        <w:pStyle w:val="Standard"/>
      </w:pPr>
      <w:r w:rsidRPr="001415C7">
        <w:t>R</w:t>
      </w:r>
      <w:r w:rsidRPr="001415C7" w:rsidR="005C58FA">
        <w:t xml:space="preserve">eply comments were filed on </w:t>
      </w:r>
      <w:r w:rsidRPr="001415C7">
        <w:t>June 2023, 2026</w:t>
      </w:r>
      <w:r w:rsidRPr="001415C7" w:rsidR="00F63AD5">
        <w:t>,</w:t>
      </w:r>
      <w:r w:rsidRPr="001415C7">
        <w:t xml:space="preserve"> </w:t>
      </w:r>
      <w:r w:rsidRPr="001415C7" w:rsidR="005C58FA">
        <w:t xml:space="preserve">by </w:t>
      </w:r>
      <w:r w:rsidRPr="001415C7" w:rsidR="001C7EE9">
        <w:t xml:space="preserve">BDC, </w:t>
      </w:r>
      <w:r w:rsidRPr="001415C7" w:rsidR="00670A2A">
        <w:t>CUE,</w:t>
      </w:r>
      <w:r w:rsidRPr="001415C7" w:rsidR="009C2490">
        <w:t xml:space="preserve"> CMUA</w:t>
      </w:r>
      <w:r w:rsidRPr="001415C7" w:rsidR="00670A2A">
        <w:t xml:space="preserve"> Indicated Shippers, </w:t>
      </w:r>
      <w:r w:rsidRPr="001415C7" w:rsidR="009C2490">
        <w:t xml:space="preserve">the Joint CCAs, the Local Government Sustainable Energy Coalition, </w:t>
      </w:r>
      <w:r w:rsidRPr="001415C7" w:rsidR="00670A2A">
        <w:t xml:space="preserve">PG&amp;E, SBUA, SCE, the Sempra Utilities, </w:t>
      </w:r>
      <w:r w:rsidRPr="001415C7" w:rsidR="009C2490">
        <w:t>and UCAN</w:t>
      </w:r>
      <w:r w:rsidRPr="001415C7" w:rsidR="00670A2A">
        <w:t xml:space="preserve">. </w:t>
      </w:r>
    </w:p>
    <w:p w:rsidRPr="001415C7" w:rsidR="00B941FE" w:rsidP="00106BF8" w:rsidRDefault="00B63706" w14:paraId="174A5080" w14:textId="35904BC1">
      <w:pPr>
        <w:pStyle w:val="Standard"/>
        <w:rPr>
          <w:rFonts w:eastAsia="Book Antiqua" w:cs="Book Antiqua"/>
        </w:rPr>
      </w:pPr>
      <w:r w:rsidRPr="001415C7">
        <w:t xml:space="preserve">BDC, SCE, </w:t>
      </w:r>
      <w:r w:rsidRPr="001415C7" w:rsidR="00A24E1A">
        <w:t xml:space="preserve">LGSEC, </w:t>
      </w:r>
      <w:r w:rsidRPr="001415C7">
        <w:t>PG&amp;E, the Sempra Utilities, Sierra Club and NRDC</w:t>
      </w:r>
      <w:r w:rsidRPr="001415C7" w:rsidR="0031483C">
        <w:t xml:space="preserve"> argue the PD should authorize parties to submit project proposals via </w:t>
      </w:r>
      <w:r w:rsidRPr="001415C7" w:rsidR="00172B18">
        <w:t>AL</w:t>
      </w:r>
      <w:r w:rsidRPr="001415C7" w:rsidR="0031483C">
        <w:t xml:space="preserve"> rather than </w:t>
      </w:r>
      <w:r w:rsidRPr="001415C7" w:rsidR="00172B18">
        <w:t xml:space="preserve">an application. The arguments in favor of the AL process </w:t>
      </w:r>
      <w:r w:rsidRPr="001415C7" w:rsidR="00CA7063">
        <w:t xml:space="preserve">primarily argue that the AL process is much faster and provides sufficient opportunity for record building and party input. </w:t>
      </w:r>
      <w:r w:rsidRPr="001415C7" w:rsidR="00975F17">
        <w:t xml:space="preserve">CforAT, CUE, </w:t>
      </w:r>
      <w:r w:rsidRPr="001415C7" w:rsidR="00CA7063">
        <w:t>Indicated Shippers</w:t>
      </w:r>
      <w:r w:rsidRPr="001415C7" w:rsidR="00975F17">
        <w:t>, and TURN</w:t>
      </w:r>
      <w:r w:rsidRPr="001415C7" w:rsidR="00CA7063">
        <w:t xml:space="preserve"> </w:t>
      </w:r>
      <w:r w:rsidRPr="001415C7" w:rsidR="00F34E3F">
        <w:t>argue</w:t>
      </w:r>
      <w:r w:rsidRPr="001415C7" w:rsidR="00665871">
        <w:t xml:space="preserve"> that the application process is necessary to support those goals. </w:t>
      </w:r>
      <w:r w:rsidRPr="001415C7" w:rsidR="5B8E4732">
        <w:rPr>
          <w:rFonts w:eastAsia="Book Antiqua" w:cs="Book Antiqua"/>
        </w:rPr>
        <w:t xml:space="preserve"> This decision continues to require applications for the first round of project proposals </w:t>
      </w:r>
      <w:r w:rsidRPr="001415C7" w:rsidR="439D61C4">
        <w:t>and explains</w:t>
      </w:r>
      <w:r w:rsidRPr="001415C7" w:rsidR="5B8E4732">
        <w:t xml:space="preserve"> </w:t>
      </w:r>
      <w:r w:rsidRPr="001415C7" w:rsidR="5B8E4732">
        <w:rPr>
          <w:rFonts w:eastAsia="Book Antiqua" w:cs="Book Antiqua"/>
        </w:rPr>
        <w:t>that the Commission will consider an AL pathway for future submissions</w:t>
      </w:r>
      <w:r w:rsidRPr="001415C7" w:rsidR="2B804DB4">
        <w:rPr>
          <w:rFonts w:eastAsia="Book Antiqua" w:cs="Book Antiqua"/>
        </w:rPr>
        <w:t>, as discussed above</w:t>
      </w:r>
      <w:r w:rsidRPr="001415C7" w:rsidR="5B8E4732">
        <w:rPr>
          <w:rFonts w:eastAsia="Book Antiqua" w:cs="Book Antiqua"/>
        </w:rPr>
        <w:t xml:space="preserve">. </w:t>
      </w:r>
    </w:p>
    <w:p w:rsidRPr="001415C7" w:rsidR="00950076" w:rsidP="005C58FA" w:rsidRDefault="00950076" w14:paraId="7ADA208B" w14:textId="6E12C183">
      <w:pPr>
        <w:pStyle w:val="Standard"/>
      </w:pPr>
      <w:r w:rsidRPr="001415C7">
        <w:t xml:space="preserve">CMUA, </w:t>
      </w:r>
      <w:r w:rsidRPr="001415C7" w:rsidR="00E936BD">
        <w:t xml:space="preserve">LGSEC, </w:t>
      </w:r>
      <w:r w:rsidRPr="001415C7">
        <w:t>PG&amp;E, San Francisco, SCE, and the Sempra Utilities all request the first application deadline be extended</w:t>
      </w:r>
      <w:r w:rsidRPr="001415C7" w:rsidR="00536D5F">
        <w:t>; these requests range</w:t>
      </w:r>
      <w:r w:rsidRPr="001415C7" w:rsidR="0007567D">
        <w:t>d</w:t>
      </w:r>
      <w:r w:rsidRPr="001415C7" w:rsidR="00536D5F">
        <w:t xml:space="preserve"> from </w:t>
      </w:r>
      <w:r w:rsidRPr="001415C7" w:rsidR="0007567D">
        <w:t>four months</w:t>
      </w:r>
      <w:r w:rsidRPr="001415C7" w:rsidR="00536D5F">
        <w:t xml:space="preserve"> to a full year. The decision has been modified to </w:t>
      </w:r>
      <w:r w:rsidRPr="001415C7" w:rsidR="00CA6ED7">
        <w:t>set the first deadline as April 1, 2</w:t>
      </w:r>
      <w:r w:rsidRPr="001415C7" w:rsidR="00BB1E0C">
        <w:t>02</w:t>
      </w:r>
      <w:r w:rsidRPr="001415C7" w:rsidR="00CA6ED7">
        <w:t>7</w:t>
      </w:r>
      <w:r w:rsidRPr="001415C7" w:rsidR="007C151C">
        <w:t>,</w:t>
      </w:r>
      <w:r w:rsidRPr="001415C7" w:rsidR="00493005">
        <w:t xml:space="preserve"> and the second deadline as January 15, 2028</w:t>
      </w:r>
      <w:r w:rsidRPr="001415C7" w:rsidR="00CA6ED7">
        <w:t>.</w:t>
      </w:r>
    </w:p>
    <w:p w:rsidRPr="001415C7" w:rsidR="0098794C" w:rsidP="005C58FA" w:rsidRDefault="0098794C" w14:paraId="59396B4B" w14:textId="4ABB60DD">
      <w:pPr>
        <w:pStyle w:val="Standard"/>
      </w:pPr>
      <w:r w:rsidRPr="001415C7">
        <w:lastRenderedPageBreak/>
        <w:t xml:space="preserve">SCE </w:t>
      </w:r>
      <w:r w:rsidRPr="001415C7" w:rsidR="005633F6">
        <w:t xml:space="preserve">requests authority for </w:t>
      </w:r>
      <w:r w:rsidRPr="001415C7" w:rsidR="00D2428F">
        <w:t>single-fuel gas IOUs to jointly file and co-administer pilots</w:t>
      </w:r>
      <w:r w:rsidRPr="001415C7" w:rsidR="00D40B62">
        <w:t>. The decision has been updated to clarify this is permitted.</w:t>
      </w:r>
    </w:p>
    <w:p w:rsidRPr="001415C7" w:rsidR="00CC387D" w:rsidP="005C58FA" w:rsidRDefault="00CC387D" w14:paraId="53C44A2A" w14:textId="356B8BA7">
      <w:pPr>
        <w:pStyle w:val="Standard"/>
      </w:pPr>
      <w:r w:rsidRPr="001415C7">
        <w:t xml:space="preserve">CMUA asks for the decision to </w:t>
      </w:r>
      <w:r w:rsidRPr="001415C7" w:rsidR="00224298">
        <w:t>state</w:t>
      </w:r>
      <w:r w:rsidRPr="001415C7">
        <w:t xml:space="preserve"> that this</w:t>
      </w:r>
      <w:r w:rsidRPr="001415C7" w:rsidR="00224298">
        <w:t xml:space="preserve"> decision does not compel POUs to participate in a given project or to dedicate staff resources to project development or implementation. The decision</w:t>
      </w:r>
      <w:r w:rsidRPr="001415C7" w:rsidR="0BFF51DB">
        <w:t xml:space="preserve"> does not </w:t>
      </w:r>
      <w:r w:rsidRPr="00203ABF" w:rsidR="4461BADF">
        <w:t>adopt this recommendation</w:t>
      </w:r>
      <w:r w:rsidRPr="001415C7" w:rsidR="0BFF51DB">
        <w:t xml:space="preserve"> because</w:t>
      </w:r>
      <w:r w:rsidRPr="00203ABF" w:rsidR="0BFF51DB">
        <w:t xml:space="preserve"> </w:t>
      </w:r>
      <w:r w:rsidRPr="00203ABF" w:rsidR="47E68413">
        <w:t xml:space="preserve">this decision does </w:t>
      </w:r>
      <w:r w:rsidRPr="00203ABF" w:rsidR="73DC0E74">
        <w:t xml:space="preserve">not </w:t>
      </w:r>
      <w:r w:rsidRPr="00203ABF" w:rsidR="47E68413">
        <w:t xml:space="preserve">impose any requirements on local </w:t>
      </w:r>
      <w:r w:rsidRPr="00203ABF" w:rsidR="1745538E">
        <w:t xml:space="preserve">publicly </w:t>
      </w:r>
      <w:r w:rsidRPr="00203ABF" w:rsidR="47E68413">
        <w:t>ow</w:t>
      </w:r>
      <w:r w:rsidRPr="00203ABF" w:rsidR="7405F78E">
        <w:t xml:space="preserve">ned </w:t>
      </w:r>
      <w:r w:rsidRPr="00203ABF" w:rsidR="15B605FB">
        <w:t>electric</w:t>
      </w:r>
      <w:r w:rsidRPr="00203ABF" w:rsidR="7405F78E">
        <w:t xml:space="preserve"> utilities </w:t>
      </w:r>
      <w:r w:rsidRPr="00203ABF" w:rsidR="47E68413">
        <w:t>beyond those set forth in the statute.</w:t>
      </w:r>
    </w:p>
    <w:p w:rsidRPr="001415C7" w:rsidR="00AC1EE5" w:rsidP="005C58FA" w:rsidRDefault="00AC1EE5" w14:paraId="25161473" w14:textId="79D95490">
      <w:pPr>
        <w:pStyle w:val="Standard"/>
      </w:pPr>
      <w:r w:rsidRPr="001415C7">
        <w:t xml:space="preserve">CCR REN asks for regional energy networks to be added to the definition of coordinating entities; the decision </w:t>
      </w:r>
      <w:r w:rsidRPr="001415C7" w:rsidR="035ECB5C">
        <w:t xml:space="preserve">does not adopt this recommendation because </w:t>
      </w:r>
      <w:r w:rsidRPr="001415C7" w:rsidR="54BEAB03">
        <w:t xml:space="preserve">regional energy networks </w:t>
      </w:r>
      <w:r w:rsidRPr="001415C7" w:rsidR="035ECB5C">
        <w:t xml:space="preserve">are </w:t>
      </w:r>
      <w:r w:rsidRPr="001415C7" w:rsidR="3FD60EB8">
        <w:t xml:space="preserve">not </w:t>
      </w:r>
      <w:r w:rsidRPr="001415C7" w:rsidR="2DEEFDCC">
        <w:t>listed</w:t>
      </w:r>
      <w:r w:rsidRPr="001415C7" w:rsidR="42476A86">
        <w:t xml:space="preserve"> </w:t>
      </w:r>
      <w:r w:rsidRPr="001415C7" w:rsidR="2DEEFDCC">
        <w:t xml:space="preserve">among the entities </w:t>
      </w:r>
      <w:r w:rsidRPr="001415C7" w:rsidR="42476A86">
        <w:t>set forth in Pub</w:t>
      </w:r>
      <w:r w:rsidRPr="001415C7" w:rsidR="6438A44E">
        <w:t>.</w:t>
      </w:r>
      <w:r w:rsidRPr="001415C7" w:rsidR="42476A86">
        <w:t xml:space="preserve"> Util</w:t>
      </w:r>
      <w:r w:rsidRPr="001415C7" w:rsidR="00BD50CB">
        <w:t>.</w:t>
      </w:r>
      <w:r w:rsidRPr="001415C7" w:rsidR="42476A86">
        <w:t xml:space="preserve"> Code Section 663(b)(7). </w:t>
      </w:r>
    </w:p>
    <w:p w:rsidRPr="00203ABF" w:rsidR="00852FA5" w:rsidP="005C58FA" w:rsidRDefault="00214EBE" w14:paraId="1CC1E42D" w14:textId="345E4543">
      <w:pPr>
        <w:pStyle w:val="Standard"/>
      </w:pPr>
      <w:r w:rsidRPr="001415C7">
        <w:t>CMUA, PG&amp;E, and UCAN</w:t>
      </w:r>
      <w:r w:rsidRPr="001415C7" w:rsidR="00796EC0">
        <w:t xml:space="preserve"> indicate that the requirement to obtain non-binding consent before submitting an application could delay timeframes</w:t>
      </w:r>
      <w:r w:rsidRPr="001415C7" w:rsidR="00484D52">
        <w:t>,</w:t>
      </w:r>
      <w:r w:rsidRPr="001415C7" w:rsidR="00796EC0">
        <w:t xml:space="preserve"> cause logistical </w:t>
      </w:r>
      <w:r w:rsidRPr="001415C7" w:rsidR="00484D52">
        <w:t xml:space="preserve">challenges, and/or cause customer confusion and dissatisfaction. The decision has been updated to remove the requirement for applicants to obtain non-binding consent and instead requires applicants to </w:t>
      </w:r>
      <w:r w:rsidRPr="001415C7" w:rsidR="00DC634B">
        <w:t>demonstrate</w:t>
      </w:r>
      <w:r w:rsidRPr="001415C7" w:rsidR="002D514E">
        <w:t xml:space="preserve"> that</w:t>
      </w:r>
      <w:r w:rsidRPr="001415C7" w:rsidR="00B20E72">
        <w:t xml:space="preserve"> </w:t>
      </w:r>
      <w:r w:rsidRPr="001415C7" w:rsidR="00D97A8F">
        <w:t>there is sufficient interest and support from property owners to meet the 67 percent threshold.</w:t>
      </w:r>
      <w:r w:rsidRPr="001415C7" w:rsidR="00EA10B7">
        <w:t xml:space="preserve"> </w:t>
      </w:r>
    </w:p>
    <w:p w:rsidRPr="00203ABF" w:rsidR="0094052C" w:rsidP="005C58FA" w:rsidRDefault="0094052C" w14:paraId="28EF462C" w14:textId="7F53611C">
      <w:pPr>
        <w:pStyle w:val="Standard"/>
      </w:pPr>
      <w:r w:rsidRPr="001415C7">
        <w:t xml:space="preserve">Cal Advocates requests the </w:t>
      </w:r>
      <w:r w:rsidRPr="001415C7" w:rsidR="008B2D81">
        <w:t>Commission direct applicants to include information about customers that do not consent so the Commission has visibility into opposition to the proposed pilots. This decision</w:t>
      </w:r>
      <w:r w:rsidRPr="00203ABF" w:rsidR="00FC13C4">
        <w:t xml:space="preserve"> </w:t>
      </w:r>
      <w:r w:rsidRPr="001415C7" w:rsidR="4F9AC5E9">
        <w:t>does not adopt this recommendation</w:t>
      </w:r>
      <w:r w:rsidRPr="001415C7" w:rsidR="008B2D81">
        <w:t>.</w:t>
      </w:r>
    </w:p>
    <w:p w:rsidRPr="001415C7" w:rsidR="00E26D77" w:rsidP="005C58FA" w:rsidRDefault="00E26D77" w14:paraId="0F04C7C3" w14:textId="612006F9">
      <w:pPr>
        <w:pStyle w:val="Standard"/>
      </w:pPr>
      <w:r w:rsidRPr="001415C7">
        <w:t>PG&amp;E</w:t>
      </w:r>
      <w:r w:rsidRPr="001415C7" w:rsidR="00D14521">
        <w:t xml:space="preserve">, </w:t>
      </w:r>
      <w:r w:rsidRPr="001415C7">
        <w:t xml:space="preserve">the Sempra </w:t>
      </w:r>
      <w:r w:rsidRPr="001415C7" w:rsidR="00D14521">
        <w:t>U</w:t>
      </w:r>
      <w:r w:rsidRPr="001415C7">
        <w:t>tilities</w:t>
      </w:r>
      <w:r w:rsidRPr="001415C7" w:rsidR="00D14521">
        <w:t>, and the Sierra Club and NRDC</w:t>
      </w:r>
      <w:r w:rsidRPr="001415C7">
        <w:t xml:space="preserve"> argue that gas corporations should be eligible to earn their full rate of return on BTM costs</w:t>
      </w:r>
      <w:r w:rsidRPr="001415C7" w:rsidR="00F353D7">
        <w:t>.</w:t>
      </w:r>
      <w:r w:rsidRPr="001415C7" w:rsidR="00016EDA">
        <w:t xml:space="preserve"> </w:t>
      </w:r>
      <w:r w:rsidRPr="001415C7" w:rsidR="003033DF">
        <w:t xml:space="preserve">Cal Advocates, </w:t>
      </w:r>
      <w:r w:rsidRPr="001415C7" w:rsidR="00016EDA">
        <w:t>CUE</w:t>
      </w:r>
      <w:r w:rsidRPr="001415C7" w:rsidR="00312002">
        <w:t>,</w:t>
      </w:r>
      <w:r w:rsidRPr="001415C7" w:rsidR="00F54890">
        <w:t xml:space="preserve"> </w:t>
      </w:r>
      <w:r w:rsidRPr="001415C7" w:rsidR="00016EDA">
        <w:t>Indicated Shippers</w:t>
      </w:r>
      <w:r w:rsidRPr="001415C7" w:rsidR="00312002">
        <w:t>,</w:t>
      </w:r>
      <w:r w:rsidRPr="001415C7" w:rsidR="00A24E1A">
        <w:t xml:space="preserve"> LGSEC,</w:t>
      </w:r>
      <w:r w:rsidRPr="001415C7" w:rsidR="00312002">
        <w:t xml:space="preserve"> and SBUA</w:t>
      </w:r>
      <w:r w:rsidRPr="001415C7" w:rsidR="00016EDA">
        <w:t xml:space="preserve"> support the determination that gas corporations cannot earn their full </w:t>
      </w:r>
      <w:r w:rsidRPr="001415C7" w:rsidR="1D482650">
        <w:t xml:space="preserve">capital </w:t>
      </w:r>
      <w:r w:rsidRPr="001415C7" w:rsidR="00016EDA">
        <w:t xml:space="preserve">rate of return </w:t>
      </w:r>
      <w:r w:rsidRPr="001415C7" w:rsidR="00016EDA">
        <w:lastRenderedPageBreak/>
        <w:t xml:space="preserve">on </w:t>
      </w:r>
      <w:r w:rsidRPr="001415C7" w:rsidR="0087337D">
        <w:t>BTM assets.</w:t>
      </w:r>
      <w:r w:rsidRPr="001415C7" w:rsidR="00F353D7">
        <w:t xml:space="preserve"> PG&amp;E, the Sempra Utilities, and the Sierra Club and NRDC request clarification of whether and how BTM work will be treated as a regulatory asset. This decision does not authorize </w:t>
      </w:r>
      <w:r w:rsidRPr="001415C7" w:rsidR="00286912">
        <w:t xml:space="preserve">gas corporations to earn their full </w:t>
      </w:r>
      <w:r w:rsidRPr="001415C7" w:rsidR="00A8B440">
        <w:t xml:space="preserve">capital </w:t>
      </w:r>
      <w:r w:rsidRPr="001415C7" w:rsidR="00286912">
        <w:t>rate of return on BTM work</w:t>
      </w:r>
      <w:r w:rsidRPr="001415C7" w:rsidR="3AEEB324">
        <w:t>.</w:t>
      </w:r>
    </w:p>
    <w:p w:rsidRPr="00203ABF" w:rsidR="00DF3076" w:rsidP="005C58FA" w:rsidRDefault="00DF3076" w14:paraId="545764A8" w14:textId="5F636D68">
      <w:pPr>
        <w:pStyle w:val="Standard"/>
      </w:pPr>
      <w:r w:rsidRPr="001415C7">
        <w:t xml:space="preserve">SCE </w:t>
      </w:r>
      <w:r w:rsidRPr="001415C7" w:rsidR="00EC435F">
        <w:t>requests the decision grant electric utilities to recover their prudently</w:t>
      </w:r>
      <w:r w:rsidRPr="001415C7" w:rsidR="00D35B76">
        <w:t xml:space="preserve"> </w:t>
      </w:r>
      <w:r w:rsidRPr="001415C7" w:rsidR="00EC435F">
        <w:t xml:space="preserve">incurred administrative and outreach costs in a manner similar to applicants; this decision </w:t>
      </w:r>
      <w:r w:rsidRPr="001415C7" w:rsidR="7BAFE3EA">
        <w:t>does not adopt this recommendation</w:t>
      </w:r>
      <w:r w:rsidRPr="001415C7" w:rsidR="0034123D">
        <w:t>.</w:t>
      </w:r>
    </w:p>
    <w:p w:rsidRPr="001415C7" w:rsidR="00BA7E27" w:rsidP="005C58FA" w:rsidRDefault="00BA7E27" w14:paraId="6FD1EF21" w14:textId="11DCAEEE">
      <w:pPr>
        <w:pStyle w:val="Standard"/>
      </w:pPr>
      <w:r w:rsidRPr="001415C7">
        <w:t xml:space="preserve">The Sierra Club and NRDC request a change to the phrasing of Conclusion of Law 53 to </w:t>
      </w:r>
      <w:r w:rsidRPr="001415C7" w:rsidR="00204ADF">
        <w:t>increase clarity</w:t>
      </w:r>
      <w:r w:rsidRPr="001415C7">
        <w:t xml:space="preserve"> </w:t>
      </w:r>
      <w:r w:rsidRPr="001415C7" w:rsidR="00D248B7">
        <w:t>regarding cost recovery</w:t>
      </w:r>
      <w:r w:rsidRPr="001415C7" w:rsidR="0987E9B4">
        <w:t>; this decision does not adopt this recommendation.</w:t>
      </w:r>
    </w:p>
    <w:p w:rsidRPr="00203ABF" w:rsidR="00783FB8" w:rsidP="00783FB8" w:rsidRDefault="00D6323A" w14:paraId="7A759E37" w14:textId="43A5DD52">
      <w:pPr>
        <w:pStyle w:val="Standard"/>
      </w:pPr>
      <w:r w:rsidRPr="001415C7">
        <w:t xml:space="preserve">CMUA asks </w:t>
      </w:r>
      <w:r w:rsidRPr="001415C7" w:rsidR="00587AFF">
        <w:t xml:space="preserve">the Commission to state that </w:t>
      </w:r>
      <w:r w:rsidRPr="001415C7" w:rsidR="003D596B">
        <w:t xml:space="preserve">the electric utility serving the pilot area </w:t>
      </w:r>
      <w:r w:rsidRPr="001415C7" w:rsidR="006270AC">
        <w:t xml:space="preserve">will be reimbursed for </w:t>
      </w:r>
      <w:r w:rsidRPr="001415C7" w:rsidR="0074482E">
        <w:t>incremental elec</w:t>
      </w:r>
      <w:r w:rsidRPr="001415C7" w:rsidR="00E501B6">
        <w:t>t</w:t>
      </w:r>
      <w:r w:rsidRPr="001415C7" w:rsidR="0074482E">
        <w:t>ric infrastructure upgrades. Th</w:t>
      </w:r>
      <w:r w:rsidRPr="001415C7" w:rsidR="17B772A9">
        <w:t>is decision</w:t>
      </w:r>
      <w:r w:rsidR="00863993">
        <w:t xml:space="preserve"> </w:t>
      </w:r>
      <w:r w:rsidRPr="001415C7" w:rsidR="0074482E">
        <w:t>does not adopt this recommendation</w:t>
      </w:r>
      <w:r w:rsidRPr="001415C7" w:rsidR="6D8EBF27">
        <w:t>.</w:t>
      </w:r>
    </w:p>
    <w:p w:rsidRPr="001415C7" w:rsidR="00491B5D" w:rsidP="005C58FA" w:rsidRDefault="00491B5D" w14:paraId="2F2184D2" w14:textId="422F3015">
      <w:pPr>
        <w:pStyle w:val="Standard"/>
      </w:pPr>
      <w:r w:rsidRPr="001415C7">
        <w:t xml:space="preserve">Cal Advocates asks the Commission to clarify that </w:t>
      </w:r>
      <w:r w:rsidRPr="001415C7" w:rsidR="000F7CF9">
        <w:t>CBO funding and project development costs count toward the</w:t>
      </w:r>
      <w:r w:rsidRPr="001415C7" w:rsidR="00511A14">
        <w:t xml:space="preserve"> ten percent cap on</w:t>
      </w:r>
      <w:r w:rsidRPr="001415C7" w:rsidR="000F7CF9">
        <w:t xml:space="preserve"> </w:t>
      </w:r>
      <w:r w:rsidRPr="001415C7">
        <w:t xml:space="preserve">outreach and administrative costs, to set a $3 million cap on development costs, and to require </w:t>
      </w:r>
      <w:r w:rsidRPr="001415C7" w:rsidR="006D1EA8">
        <w:t xml:space="preserve">corporations that seek recovery of project development costs for projects </w:t>
      </w:r>
      <w:r w:rsidRPr="001415C7" w:rsidR="0060213A">
        <w:t xml:space="preserve">that a corporation explored but did not include as a project proposal to </w:t>
      </w:r>
      <w:r w:rsidRPr="001415C7" w:rsidR="00EE11FA">
        <w:t xml:space="preserve">explain why the project was not viable and provide lessons learned. </w:t>
      </w:r>
      <w:r w:rsidRPr="001415C7" w:rsidR="001D5C0A">
        <w:t xml:space="preserve">Indicated Shippers agree with the ten percent cap. </w:t>
      </w:r>
      <w:r w:rsidRPr="001415C7" w:rsidR="00EE11FA">
        <w:t xml:space="preserve">This decision </w:t>
      </w:r>
      <w:r w:rsidRPr="001415C7" w:rsidR="00511A14">
        <w:t xml:space="preserve">is updated </w:t>
      </w:r>
      <w:r w:rsidRPr="001415C7" w:rsidR="178B54B7">
        <w:t>in response to this comment.</w:t>
      </w:r>
      <w:r w:rsidRPr="001415C7" w:rsidR="00DB7BBE">
        <w:t xml:space="preserve"> The</w:t>
      </w:r>
      <w:r w:rsidRPr="001415C7" w:rsidR="007A25BF">
        <w:t xml:space="preserve"> decision further</w:t>
      </w:r>
      <w:r w:rsidRPr="001415C7" w:rsidR="00DB7BBE">
        <w:t xml:space="preserve"> </w:t>
      </w:r>
      <w:r w:rsidRPr="001415C7" w:rsidR="00EE11FA">
        <w:t xml:space="preserve">requires an explanation </w:t>
      </w:r>
      <w:r w:rsidRPr="001415C7" w:rsidR="00045144">
        <w:t>for projects that did not move forward but does not cap development costs as the projects are nascent and a $3 million cap would not be based in the record.</w:t>
      </w:r>
      <w:r w:rsidRPr="001415C7" w:rsidR="00EE11FA">
        <w:t xml:space="preserve"> </w:t>
      </w:r>
    </w:p>
    <w:p w:rsidRPr="00203ABF" w:rsidR="00254331" w:rsidP="005C58FA" w:rsidRDefault="00CD5AE9" w14:paraId="6BAFFADC" w14:textId="71ABC979">
      <w:pPr>
        <w:pStyle w:val="Standard"/>
      </w:pPr>
      <w:r w:rsidRPr="001415C7">
        <w:t>BDC, CforAT</w:t>
      </w:r>
      <w:r w:rsidRPr="001415C7" w:rsidR="0091402E">
        <w:t xml:space="preserve">, the Sierra Club and NRDC, and </w:t>
      </w:r>
      <w:r w:rsidRPr="001415C7" w:rsidR="001D274D">
        <w:t xml:space="preserve">UCAN request the Commission set </w:t>
      </w:r>
      <w:r w:rsidRPr="001415C7" w:rsidR="002B3685">
        <w:t xml:space="preserve">more prescriptive requirements </w:t>
      </w:r>
      <w:r w:rsidRPr="001415C7" w:rsidR="001F2C01">
        <w:t>for how applicants should engage with CBOs</w:t>
      </w:r>
      <w:r w:rsidRPr="001415C7" w:rsidR="00CB68F4">
        <w:t xml:space="preserve"> and other local partners</w:t>
      </w:r>
      <w:r w:rsidRPr="001415C7" w:rsidR="00AF0E3C">
        <w:t>.</w:t>
      </w:r>
      <w:r w:rsidRPr="001415C7" w:rsidR="008D5D47">
        <w:t xml:space="preserve"> This decision requires applicants to </w:t>
      </w:r>
      <w:r w:rsidRPr="001415C7" w:rsidR="008D5D47">
        <w:lastRenderedPageBreak/>
        <w:t xml:space="preserve">describe their process to review and select CBOs with whom they choose to work and justify their choice to work or not work with CBOs. </w:t>
      </w:r>
      <w:r w:rsidRPr="001415C7" w:rsidR="00254331">
        <w:t xml:space="preserve">The Sempra Utilities request authority to record outreach and project development costs to a balancing account rather than a memorandum account. </w:t>
      </w:r>
      <w:r w:rsidRPr="001415C7" w:rsidR="00651BB9">
        <w:t>Th</w:t>
      </w:r>
      <w:r w:rsidRPr="001415C7" w:rsidR="32A5C307">
        <w:t>is decision does not adopt this recommendation</w:t>
      </w:r>
      <w:r w:rsidRPr="001415C7" w:rsidR="00AC2798">
        <w:t>.</w:t>
      </w:r>
    </w:p>
    <w:p w:rsidR="001F23F6" w:rsidP="00583A2A" w:rsidRDefault="001F23F6" w14:paraId="473C4551" w14:textId="2BD4E8D7">
      <w:pPr>
        <w:pStyle w:val="Standard"/>
      </w:pPr>
      <w:r w:rsidRPr="001415C7">
        <w:t xml:space="preserve">Sierra Club and NRDC </w:t>
      </w:r>
      <w:r w:rsidRPr="001415C7" w:rsidR="006E175F">
        <w:t>request clarification</w:t>
      </w:r>
      <w:r w:rsidRPr="001415C7" w:rsidR="000423B1">
        <w:t xml:space="preserve"> that </w:t>
      </w:r>
      <w:r w:rsidRPr="001415C7" w:rsidR="006E175F">
        <w:t xml:space="preserve">a gas utility is entitled to recover costs under </w:t>
      </w:r>
      <w:r w:rsidRPr="001415C7" w:rsidR="000D58F0">
        <w:t xml:space="preserve">the amortization and </w:t>
      </w:r>
      <w:r w:rsidRPr="001415C7" w:rsidR="00583A2A">
        <w:t>interest rate options specified in this decision.  The decision phrasing is clarified to this effect</w:t>
      </w:r>
      <w:r w:rsidRPr="001415C7" w:rsidR="006E175F">
        <w:t>.</w:t>
      </w:r>
    </w:p>
    <w:p w:rsidRPr="001415C7" w:rsidR="009B5966" w:rsidP="00583A2A" w:rsidRDefault="009B5966" w14:paraId="14F45711" w14:textId="4F6799DB">
      <w:pPr>
        <w:pStyle w:val="Standard"/>
      </w:pPr>
      <w:r w:rsidRPr="009B5966">
        <w:t>The Sempra Utilities request authority to record outreach and project development costs to a balancing account rather than a memorandum account. This decision does not adopt this recommendation</w:t>
      </w:r>
      <w:r>
        <w:t>.</w:t>
      </w:r>
    </w:p>
    <w:p w:rsidRPr="001415C7" w:rsidR="002611E6" w:rsidP="005C58FA" w:rsidRDefault="7AF2034C" w14:paraId="187B63BD" w14:textId="34B5951E">
      <w:pPr>
        <w:pStyle w:val="Standard"/>
      </w:pPr>
      <w:r>
        <w:t>Cal Advocates argue</w:t>
      </w:r>
      <w:r w:rsidR="03266EC4">
        <w:t>s</w:t>
      </w:r>
      <w:r>
        <w:t xml:space="preserve"> the shareholder incentive should </w:t>
      </w:r>
      <w:r w:rsidR="73219693">
        <w:t>not be adopted without further record development</w:t>
      </w:r>
      <w:r w:rsidR="5E4AD761">
        <w:t>,</w:t>
      </w:r>
      <w:r w:rsidR="73219693">
        <w:t xml:space="preserve"> and CUE argues against its inclusion at all. T</w:t>
      </w:r>
      <w:r>
        <w:t>he Sierra</w:t>
      </w:r>
      <w:r w:rsidR="73219693">
        <w:t xml:space="preserve"> Club and NRDC</w:t>
      </w:r>
      <w:r>
        <w:t xml:space="preserve"> </w:t>
      </w:r>
      <w:r w:rsidR="73219693">
        <w:t xml:space="preserve">argue the Commission should tailor the </w:t>
      </w:r>
      <w:r w:rsidR="2EBDD7EE">
        <w:t>incentives to encourage projects in DACs and low-income communities. The Commission will address this issue in more depth later in the proceeding and will include an opportunity for party comment and record development. The decision as written does not adopt a specific mechanism</w:t>
      </w:r>
      <w:r w:rsidR="7D4BB46D">
        <w:t>. An additional sentence clarifies that equity considerations could be included later when the issue is addressed</w:t>
      </w:r>
      <w:r w:rsidR="2EBDD7EE">
        <w:t>.</w:t>
      </w:r>
    </w:p>
    <w:p w:rsidRPr="001415C7" w:rsidR="00371190" w:rsidP="005C58FA" w:rsidRDefault="00371190" w14:paraId="37924581" w14:textId="68253464">
      <w:pPr>
        <w:pStyle w:val="Standard"/>
      </w:pPr>
      <w:r w:rsidRPr="001415C7">
        <w:t>BDC and UCAN suggest removing utility-specific allocations after the first round and San Francisco suggests the Commission consider reallocating unused spots within a given application period.</w:t>
      </w:r>
      <w:r w:rsidRPr="001415C7" w:rsidR="008F62D9">
        <w:t xml:space="preserve"> This </w:t>
      </w:r>
      <w:r w:rsidR="000B2A9E">
        <w:t>recommendation is not adopted.</w:t>
      </w:r>
    </w:p>
    <w:p w:rsidRPr="001415C7" w:rsidR="006A3588" w:rsidP="005C58FA" w:rsidRDefault="00A96C80" w14:paraId="67308700" w14:textId="67C0F034">
      <w:pPr>
        <w:pStyle w:val="Standard"/>
      </w:pPr>
      <w:r w:rsidRPr="001415C7">
        <w:t xml:space="preserve">Multiple parties identified an inconsistency between ZEA definitions included in the body of the decision and Conclusion of Law 7. </w:t>
      </w:r>
      <w:r w:rsidRPr="001415C7" w:rsidR="006A3588">
        <w:t xml:space="preserve">San Francisco and </w:t>
      </w:r>
      <w:r w:rsidRPr="001415C7" w:rsidR="00345F1A">
        <w:t xml:space="preserve">Sierra Club and NRDC </w:t>
      </w:r>
      <w:r w:rsidRPr="001415C7" w:rsidR="00D843DE">
        <w:t>ask for the Commission to clarify that ZEAs must be zero-emission resources.</w:t>
      </w:r>
      <w:r w:rsidRPr="001415C7">
        <w:t xml:space="preserve"> Sempra and Southwest Gas </w:t>
      </w:r>
      <w:r w:rsidRPr="001415C7" w:rsidR="00854D00">
        <w:t>request that the zero-</w:t>
      </w:r>
      <w:r w:rsidRPr="001415C7" w:rsidR="00854D00">
        <w:lastRenderedPageBreak/>
        <w:t>emission requirement be removed. This decision removes the “zero emission” criteria to align with statute.</w:t>
      </w:r>
    </w:p>
    <w:p w:rsidRPr="001415C7" w:rsidR="00352958" w:rsidP="005C58FA" w:rsidRDefault="00C71459" w14:paraId="76C921FC" w14:textId="596B9F1F">
      <w:pPr>
        <w:pStyle w:val="Standard"/>
      </w:pPr>
      <w:r w:rsidRPr="001415C7">
        <w:t xml:space="preserve">PG&amp;E and </w:t>
      </w:r>
      <w:r w:rsidRPr="001415C7" w:rsidR="00352958">
        <w:t xml:space="preserve">Southwest Gas </w:t>
      </w:r>
      <w:r w:rsidRPr="001415C7" w:rsidR="00070ECF">
        <w:t xml:space="preserve">request the Commission update </w:t>
      </w:r>
      <w:r w:rsidRPr="001415C7" w:rsidR="00060FD5">
        <w:t xml:space="preserve">the </w:t>
      </w:r>
      <w:r w:rsidRPr="001415C7" w:rsidR="00352958">
        <w:t xml:space="preserve">definition </w:t>
      </w:r>
      <w:r w:rsidRPr="001415C7" w:rsidR="008A2D64">
        <w:t>of “affected customer” to reference the customer of record</w:t>
      </w:r>
      <w:r w:rsidRPr="001415C7" w:rsidR="00352958">
        <w:t xml:space="preserve">. </w:t>
      </w:r>
      <w:r w:rsidRPr="001415C7">
        <w:t>The decision has been updated to reflect this change</w:t>
      </w:r>
      <w:r w:rsidRPr="001415C7" w:rsidR="00352958">
        <w:t>.</w:t>
      </w:r>
    </w:p>
    <w:p w:rsidRPr="001415C7" w:rsidR="00E74A01" w:rsidP="005C58FA" w:rsidRDefault="255497A8" w14:paraId="1BC06618" w14:textId="01FE7D83">
      <w:pPr>
        <w:pStyle w:val="Standard"/>
      </w:pPr>
      <w:r>
        <w:t xml:space="preserve">BDC, </w:t>
      </w:r>
      <w:r w:rsidR="2666340D">
        <w:t xml:space="preserve">CMUA, </w:t>
      </w:r>
      <w:r>
        <w:t xml:space="preserve">the </w:t>
      </w:r>
      <w:r w:rsidR="01D9CF3D">
        <w:t>Joint CCAs, San Francisco,</w:t>
      </w:r>
      <w:r w:rsidR="21EC99CE">
        <w:t xml:space="preserve"> and the Sierra Club and NRDC ask for the CPUC to clarify </w:t>
      </w:r>
      <w:r w:rsidR="1AE8E41D">
        <w:t xml:space="preserve">whether </w:t>
      </w:r>
      <w:r w:rsidR="1EA9A59E">
        <w:t xml:space="preserve">applicants are required to offer </w:t>
      </w:r>
      <w:r w:rsidR="4B5C0F40">
        <w:t xml:space="preserve">some level of </w:t>
      </w:r>
      <w:r w:rsidR="1EA9A59E">
        <w:t>property remediation and appliance</w:t>
      </w:r>
      <w:r w:rsidR="4B5C0F40">
        <w:t xml:space="preserve"> replacement at zero cost; some advocate for an expansion of the definition of remediation or a minimum offering. </w:t>
      </w:r>
      <w:r w:rsidR="6C92637F">
        <w:t xml:space="preserve">The decision has been updated to clarify that applicants are </w:t>
      </w:r>
      <w:r w:rsidR="08A3F05C">
        <w:t xml:space="preserve">required to provide a </w:t>
      </w:r>
      <w:r w:rsidR="34DB7A0C">
        <w:t>no</w:t>
      </w:r>
      <w:r w:rsidR="08A3F05C">
        <w:t>-cost option and may provide other options, with justification.</w:t>
      </w:r>
    </w:p>
    <w:p w:rsidRPr="001415C7" w:rsidR="00EB523A" w:rsidP="005C58FA" w:rsidRDefault="00EB523A" w14:paraId="0298689D" w14:textId="10927B5F">
      <w:pPr>
        <w:pStyle w:val="Standard"/>
      </w:pPr>
      <w:r w:rsidRPr="001415C7">
        <w:t xml:space="preserve">CforAT </w:t>
      </w:r>
      <w:r w:rsidRPr="001415C7" w:rsidR="00E4658F">
        <w:t xml:space="preserve">requests the </w:t>
      </w:r>
      <w:r w:rsidRPr="001415C7" w:rsidR="004466DD">
        <w:t xml:space="preserve">Commission </w:t>
      </w:r>
      <w:r w:rsidRPr="001415C7" w:rsidR="00E4658F">
        <w:t>require applicants to provide outreach materials in accessible formats</w:t>
      </w:r>
      <w:r w:rsidRPr="001415C7" w:rsidR="00D20F9B">
        <w:t xml:space="preserve"> and to provide evidence </w:t>
      </w:r>
      <w:r w:rsidRPr="001415C7" w:rsidR="00E153DA">
        <w:t>that it was done</w:t>
      </w:r>
      <w:r w:rsidRPr="001415C7" w:rsidR="00E4658F">
        <w:t>. This recommendation is adopted.</w:t>
      </w:r>
    </w:p>
    <w:p w:rsidRPr="001415C7" w:rsidR="004466DD" w:rsidP="005C58FA" w:rsidRDefault="004466DD" w14:paraId="47C78611" w14:textId="6F210C9D">
      <w:pPr>
        <w:pStyle w:val="Standard"/>
      </w:pPr>
      <w:r w:rsidRPr="001415C7">
        <w:t xml:space="preserve">SBUA requests the Commission require applicants to </w:t>
      </w:r>
      <w:r w:rsidRPr="001415C7" w:rsidR="00581F75">
        <w:t xml:space="preserve">state whether there are any small commercial customers in the pilot </w:t>
      </w:r>
      <w:r w:rsidRPr="001415C7" w:rsidR="00992423">
        <w:t xml:space="preserve">area and provide information on any specific needs those customers might have. The decision has been updated to require </w:t>
      </w:r>
      <w:r w:rsidRPr="001415C7" w:rsidR="006B74A5">
        <w:t>applicants to identify the number of small businesses within the pilot area</w:t>
      </w:r>
      <w:r w:rsidRPr="001415C7" w:rsidR="00947172">
        <w:t>.</w:t>
      </w:r>
    </w:p>
    <w:p w:rsidRPr="001415C7" w:rsidR="00E34D03" w:rsidP="005C58FA" w:rsidRDefault="00E34D03" w14:paraId="2C98CCC7" w14:textId="331F59AC">
      <w:pPr>
        <w:pStyle w:val="Standard"/>
      </w:pPr>
      <w:r w:rsidRPr="001415C7">
        <w:t>The Sempra Utilities</w:t>
      </w:r>
      <w:r w:rsidRPr="001415C7" w:rsidR="008855EC">
        <w:t xml:space="preserve"> ask the Commission not to require the </w:t>
      </w:r>
      <w:r w:rsidRPr="001415C7" w:rsidR="00DE3821">
        <w:t xml:space="preserve">gas corporations </w:t>
      </w:r>
      <w:r w:rsidRPr="001415C7" w:rsidR="008855EC">
        <w:t xml:space="preserve">to disclose tenants’ expected bill impacts to </w:t>
      </w:r>
      <w:r w:rsidRPr="001415C7" w:rsidR="00814F36">
        <w:t>property owners for customer confidentiality concerns</w:t>
      </w:r>
      <w:r w:rsidRPr="001415C7" w:rsidR="006231C8">
        <w:t>. UCAN agrees</w:t>
      </w:r>
      <w:r w:rsidRPr="001415C7" w:rsidR="00814F36">
        <w:t xml:space="preserve">. </w:t>
      </w:r>
      <w:r w:rsidRPr="001415C7" w:rsidR="00DE3821">
        <w:t xml:space="preserve">This decision is updated to require the gas corporations to provide representative </w:t>
      </w:r>
      <w:r w:rsidRPr="001415C7" w:rsidR="00CE6B3E">
        <w:t xml:space="preserve">bill impact analyses </w:t>
      </w:r>
      <w:r w:rsidRPr="001415C7" w:rsidR="00371723">
        <w:t>to property owners</w:t>
      </w:r>
      <w:r w:rsidRPr="001415C7" w:rsidR="00CE6B3E">
        <w:t xml:space="preserve"> that do not disclose individual customer data.</w:t>
      </w:r>
    </w:p>
    <w:p w:rsidRPr="001415C7" w:rsidR="00F348CC" w:rsidP="00F348CC" w:rsidRDefault="00F348CC" w14:paraId="7C7014C3" w14:textId="61EDD839">
      <w:pPr>
        <w:pStyle w:val="Standard"/>
      </w:pPr>
      <w:r w:rsidRPr="001415C7">
        <w:t xml:space="preserve">Southwest Gas states that the electric utility is better positioned to estimate electric bill impacts. In light of this and other parties’ concerns about gas utility </w:t>
      </w:r>
      <w:r w:rsidRPr="001415C7">
        <w:lastRenderedPageBreak/>
        <w:t xml:space="preserve">incentives, the decision is revised to require </w:t>
      </w:r>
      <w:r w:rsidRPr="001415C7" w:rsidR="00402A9A">
        <w:t>gas corporation</w:t>
      </w:r>
      <w:r w:rsidRPr="001415C7" w:rsidR="0078203C">
        <w:t xml:space="preserve">s to provide </w:t>
      </w:r>
      <w:r w:rsidRPr="001415C7">
        <w:t>electric utilities</w:t>
      </w:r>
      <w:r w:rsidRPr="001415C7" w:rsidR="009D3FE0">
        <w:t xml:space="preserve"> the opportunity to review and comment</w:t>
      </w:r>
      <w:r w:rsidRPr="001415C7">
        <w:t xml:space="preserve"> on bill impact informational materials.</w:t>
      </w:r>
    </w:p>
    <w:p w:rsidRPr="001415C7" w:rsidR="009C3C3E" w:rsidP="005C58FA" w:rsidRDefault="0D82C822" w14:paraId="29F9BED4" w14:textId="2DF31972">
      <w:pPr>
        <w:pStyle w:val="Standard"/>
      </w:pPr>
      <w:r>
        <w:t xml:space="preserve">SCE opposes mandatory NDAs for sharing confidential customer information and for </w:t>
      </w:r>
      <w:r w:rsidR="5BA12FF1">
        <w:t xml:space="preserve">gas </w:t>
      </w:r>
      <w:r>
        <w:t>corporations to instead obtain customer consent via participation materials.</w:t>
      </w:r>
      <w:r w:rsidR="0E5856F3">
        <w:t xml:space="preserve"> BDC requests the Commission replace the NDA process w</w:t>
      </w:r>
      <w:r w:rsidR="5795ED7A">
        <w:t xml:space="preserve">ith an approach that lets consenting customers learn which other property owners in their zone must agree. CforAT requests the Commission require NDAs to include a provision </w:t>
      </w:r>
      <w:r w:rsidR="1C04214F">
        <w:t>that affected customers will be notified in case of a data breach.</w:t>
      </w:r>
      <w:r w:rsidR="765DA345">
        <w:t xml:space="preserve"> </w:t>
      </w:r>
      <w:r w:rsidR="398CCD81">
        <w:t>The decision does not adopt these recommendations; however.</w:t>
      </w:r>
      <w:r w:rsidR="5FA41C24">
        <w:t xml:space="preserve"> </w:t>
      </w:r>
      <w:r w:rsidR="782BE986">
        <w:t>T</w:t>
      </w:r>
      <w:r w:rsidR="5FA41C24">
        <w:t>he Commission may explore these topics in more depth at a later date.</w:t>
      </w:r>
    </w:p>
    <w:p w:rsidRPr="001415C7" w:rsidR="00966FED" w:rsidP="005C58FA" w:rsidRDefault="00966FED" w14:paraId="79DA53BF" w14:textId="70C451E7">
      <w:pPr>
        <w:pStyle w:val="Standard"/>
      </w:pPr>
      <w:r w:rsidRPr="001415C7">
        <w:t xml:space="preserve">PG&amp;E, the Sempra Utilities, and Southwest Gas request further Commission guidance on how to engage with customers </w:t>
      </w:r>
      <w:r w:rsidRPr="001415C7" w:rsidR="00F00F41">
        <w:t>that do not consent to pilot participation. This proceeding will address</w:t>
      </w:r>
      <w:r w:rsidRPr="001415C7" w:rsidR="007D61E7">
        <w:t xml:space="preserve"> these issues in a future </w:t>
      </w:r>
      <w:r w:rsidRPr="001415C7" w:rsidR="00FD41DB">
        <w:t>forum</w:t>
      </w:r>
      <w:r w:rsidRPr="001415C7" w:rsidR="007D61E7">
        <w:t>.</w:t>
      </w:r>
    </w:p>
    <w:p w:rsidRPr="001415C7" w:rsidR="001F0C9B" w:rsidP="005C58FA" w:rsidRDefault="001F0C9B" w14:paraId="5A1F1F60" w14:textId="00FEC8A0">
      <w:pPr>
        <w:pStyle w:val="Standard"/>
      </w:pPr>
      <w:r w:rsidRPr="001415C7">
        <w:t>CforAT asks the Commission to order applicants to report</w:t>
      </w:r>
      <w:r w:rsidRPr="001415C7" w:rsidR="00AF20F0">
        <w:t xml:space="preserve"> the number of customers in the pilot area enrolled in medical baseline. This recommendation is adopted.</w:t>
      </w:r>
    </w:p>
    <w:p w:rsidRPr="001415C7" w:rsidR="00AB41EF" w:rsidP="005C58FA" w:rsidRDefault="00AB41EF" w14:paraId="148FC9A2" w14:textId="1735B53C">
      <w:pPr>
        <w:pStyle w:val="Standard"/>
      </w:pPr>
      <w:r w:rsidRPr="001415C7">
        <w:t>BDC asks the Commission to require applicants</w:t>
      </w:r>
      <w:r w:rsidRPr="001415C7" w:rsidR="00C6250F">
        <w:t xml:space="preserve"> to report the location </w:t>
      </w:r>
      <w:r w:rsidRPr="001415C7" w:rsidR="000B1847">
        <w:t>and length of gas service lines</w:t>
      </w:r>
      <w:r w:rsidRPr="001415C7" w:rsidR="002E4CB4">
        <w:t xml:space="preserve"> (not just mains) that will be decommissioned due to the pilot. This recommendation is </w:t>
      </w:r>
      <w:r w:rsidRPr="00203ABF" w:rsidR="00E63445">
        <w:t xml:space="preserve">not </w:t>
      </w:r>
      <w:r w:rsidRPr="001415C7" w:rsidR="002E4CB4">
        <w:t>adopted</w:t>
      </w:r>
      <w:r w:rsidRPr="001415C7" w:rsidR="00E63445">
        <w:t>.</w:t>
      </w:r>
    </w:p>
    <w:p w:rsidRPr="001415C7" w:rsidR="00FA4FC7" w:rsidP="005C58FA" w:rsidRDefault="00D86D41" w14:paraId="00BFBE35" w14:textId="02E32482">
      <w:pPr>
        <w:pStyle w:val="Standard"/>
      </w:pPr>
      <w:r w:rsidRPr="001415C7">
        <w:t>The Sempra Utilities and Southwest Gas argue that the pilots should be limited to PNDZs</w:t>
      </w:r>
      <w:r w:rsidRPr="001415C7" w:rsidR="00AA04D5">
        <w:t>, and BDC</w:t>
      </w:r>
      <w:r w:rsidRPr="001415C7" w:rsidR="00F96C74">
        <w:t>, LGSEC,</w:t>
      </w:r>
      <w:r w:rsidRPr="001415C7" w:rsidR="00AA04D5">
        <w:t xml:space="preserve"> and Sierra Club and NRDC argue that a minimum portion of </w:t>
      </w:r>
      <w:r w:rsidRPr="001415C7" w:rsidR="008B3D5F">
        <w:t>the pro</w:t>
      </w:r>
      <w:r w:rsidRPr="001415C7" w:rsidR="006231C8">
        <w:t>je</w:t>
      </w:r>
      <w:r w:rsidRPr="001415C7" w:rsidR="008B3D5F">
        <w:t>cts should be in PNDZs, DACs, or low-income communities. These recommendations are not adopted.</w:t>
      </w:r>
    </w:p>
    <w:p w:rsidRPr="001415C7" w:rsidR="00BA2A17" w:rsidP="005C58FA" w:rsidRDefault="00BA2A17" w14:paraId="0A92A2F0" w14:textId="25BBCD47">
      <w:pPr>
        <w:pStyle w:val="Standard"/>
      </w:pPr>
      <w:r>
        <w:t>The Sierra Club and NRDC ask the Commission to evaluate cost-effectiveness at the portfolio level</w:t>
      </w:r>
      <w:r w:rsidR="00F852DD">
        <w:t xml:space="preserve">; CUE </w:t>
      </w:r>
      <w:r w:rsidR="005817D2">
        <w:t xml:space="preserve">argues that administrative and outreach </w:t>
      </w:r>
      <w:r w:rsidR="005817D2">
        <w:lastRenderedPageBreak/>
        <w:t>costs should be included in the analysis because they are part of the “total cost” of a project,</w:t>
      </w:r>
      <w:r w:rsidR="00406445">
        <w:t xml:space="preserve"> and Southwest Gas recommends only one cost-effectiveness calculation be used for decisionmaking purposes</w:t>
      </w:r>
      <w:r w:rsidR="00295D04">
        <w:t>.</w:t>
      </w:r>
      <w:r w:rsidR="00EC7738">
        <w:t xml:space="preserve"> </w:t>
      </w:r>
      <w:r w:rsidR="00BC0D95">
        <w:t>Sierra Club and NRDC and CUE do not raise any new arguments, and their recommendations are not adopted. The decision already states the cost effectiveness test that excludes administrative and outreach costs and costs funded by non-ratepayer sources is the calculation applicants should use to determine cost-effectiveness of a given project.</w:t>
      </w:r>
    </w:p>
    <w:p w:rsidR="0067353A" w:rsidP="0067353A" w:rsidRDefault="006D5385" w14:paraId="1FAC1550" w14:textId="730D48DD">
      <w:pPr>
        <w:pStyle w:val="Standard"/>
      </w:pPr>
      <w:r w:rsidRPr="001415C7">
        <w:t xml:space="preserve">BDC and CUE request the Commission address more prescriptive </w:t>
      </w:r>
      <w:r w:rsidRPr="001415C7" w:rsidR="0067353A">
        <w:t xml:space="preserve">requirements for high-road jobs. They do not introduce any new </w:t>
      </w:r>
      <w:r w:rsidRPr="001415C7" w:rsidR="006C7D5F">
        <w:t>arguments</w:t>
      </w:r>
      <w:r w:rsidRPr="001415C7" w:rsidR="003A0EC4">
        <w:t>,</w:t>
      </w:r>
      <w:r w:rsidRPr="001415C7" w:rsidR="0067353A">
        <w:t xml:space="preserve"> and their request is not adopted. </w:t>
      </w:r>
      <w:r w:rsidRPr="001415C7" w:rsidR="006C7D5F">
        <w:t>ECCHHC</w:t>
      </w:r>
      <w:r w:rsidRPr="001415C7" w:rsidR="00195011">
        <w:t xml:space="preserve"> recommends the Commission establish a working group to set prevailing wage</w:t>
      </w:r>
      <w:r w:rsidRPr="001415C7" w:rsidR="000F319C">
        <w:t xml:space="preserve"> and high-road job guidelines for future application rounds; the decision does not adopt that recommendation.</w:t>
      </w:r>
      <w:r w:rsidRPr="001415C7" w:rsidR="006C7D5F">
        <w:t xml:space="preserve"> </w:t>
      </w:r>
      <w:r w:rsidRPr="001415C7" w:rsidR="0067353A">
        <w:t>The Joint CCAs request their position on high road jobs be clarified</w:t>
      </w:r>
      <w:r w:rsidRPr="001415C7" w:rsidR="00BD318F">
        <w:t>, and the decision has been revised to do so.</w:t>
      </w:r>
    </w:p>
    <w:p w:rsidRPr="001415C7" w:rsidR="00AB72B9" w:rsidP="0067353A" w:rsidRDefault="00AB72B9" w14:paraId="260DC4C6" w14:textId="30BEE0D4">
      <w:pPr>
        <w:pStyle w:val="Standard"/>
      </w:pPr>
      <w:r w:rsidRPr="001415C7">
        <w:t>ECCHHC recommends the Commission require applicants to propose strategies to protect tenants from evictions or rent increases as a result of these pilots. The decision does not adopt this recommendation; however, the commission will consider further exploring the topic of tenant protections</w:t>
      </w:r>
      <w:r w:rsidR="0042403B">
        <w:t>.</w:t>
      </w:r>
    </w:p>
    <w:p w:rsidRPr="001415C7" w:rsidR="005939A5" w:rsidP="00A12092" w:rsidRDefault="005939A5" w14:paraId="2E14075A" w14:textId="27E8CA95">
      <w:pPr>
        <w:pStyle w:val="Heading1"/>
        <w:numPr>
          <w:ilvl w:val="0"/>
          <w:numId w:val="1"/>
        </w:numPr>
      </w:pPr>
      <w:bookmarkStart w:name="_Toc8123724" w:id="117"/>
      <w:bookmarkStart w:name="_Toc228261707" w:id="118"/>
      <w:bookmarkStart w:name="_Toc233633648" w:id="119"/>
      <w:r w:rsidRPr="001415C7">
        <w:t>Assignment of Proceeding</w:t>
      </w:r>
      <w:bookmarkEnd w:id="117"/>
      <w:bookmarkEnd w:id="118"/>
      <w:bookmarkEnd w:id="119"/>
    </w:p>
    <w:p w:rsidRPr="001415C7" w:rsidR="005939A5" w:rsidP="006E6574" w:rsidRDefault="008D39D3" w14:paraId="516AC5F6" w14:textId="242458B2">
      <w:pPr>
        <w:pStyle w:val="Standard"/>
      </w:pPr>
      <w:r w:rsidRPr="001415C7">
        <w:t>Karen Douglas</w:t>
      </w:r>
      <w:r w:rsidRPr="001415C7" w:rsidR="005939A5">
        <w:t xml:space="preserve"> </w:t>
      </w:r>
      <w:r w:rsidRPr="001415C7" w:rsidR="00253A6C">
        <w:t xml:space="preserve">is </w:t>
      </w:r>
      <w:r w:rsidRPr="001415C7" w:rsidR="005939A5">
        <w:t xml:space="preserve">the assigned Commissioner and </w:t>
      </w:r>
      <w:r w:rsidRPr="001415C7">
        <w:t>Andrew Dugowson</w:t>
      </w:r>
      <w:r w:rsidRPr="001415C7" w:rsidR="005939A5">
        <w:t xml:space="preserve"> is the assigned Administrative Law Judge in this proceeding.</w:t>
      </w:r>
    </w:p>
    <w:p w:rsidRPr="001415C7" w:rsidR="005939A5" w:rsidP="005939A5" w:rsidRDefault="005939A5" w14:paraId="08394609" w14:textId="77777777">
      <w:pPr>
        <w:pStyle w:val="Dummy"/>
      </w:pPr>
      <w:bookmarkStart w:name="_Toc8123725" w:id="120"/>
      <w:bookmarkStart w:name="_Toc228261708" w:id="121"/>
      <w:bookmarkStart w:name="_Toc233633649" w:id="122"/>
      <w:r w:rsidRPr="001415C7">
        <w:t>Findings of Fact</w:t>
      </w:r>
      <w:bookmarkEnd w:id="120"/>
      <w:bookmarkEnd w:id="121"/>
      <w:bookmarkEnd w:id="122"/>
    </w:p>
    <w:p w:rsidRPr="001415C7" w:rsidR="001E6274" w:rsidP="00C83D7D" w:rsidRDefault="001E6274" w14:paraId="3CF1AD97" w14:textId="77777777">
      <w:pPr>
        <w:pStyle w:val="FoF"/>
      </w:pPr>
      <w:bookmarkStart w:name="_Toc8123726" w:id="123"/>
      <w:bookmarkStart w:name="_Toc228261709" w:id="124"/>
      <w:r w:rsidRPr="001415C7">
        <w:t xml:space="preserve">SB 1221 requires the Commission, on or before January 1, 2026, to designate priority neighborhood decarbonization zones considering, among </w:t>
      </w:r>
      <w:r w:rsidRPr="001415C7">
        <w:lastRenderedPageBreak/>
        <w:t xml:space="preserve">other things, the concentration of gas distribution line replacement projects identified in the maps. </w:t>
      </w:r>
    </w:p>
    <w:p w:rsidRPr="001415C7" w:rsidR="001E6274" w:rsidP="00C83D7D" w:rsidRDefault="001E6274" w14:paraId="1E9D4469" w14:textId="77777777">
      <w:pPr>
        <w:pStyle w:val="FoF"/>
      </w:pPr>
      <w:r w:rsidRPr="001415C7">
        <w:t>In D.25-12-042, the Commission designated the initial priority neighborhood decarbonization zones in compliance with SB 1221.</w:t>
      </w:r>
    </w:p>
    <w:p w:rsidRPr="001415C7" w:rsidR="001E6274" w:rsidP="00C83D7D" w:rsidRDefault="001E6274" w14:paraId="12563FB9" w14:textId="5CE6ABD6">
      <w:pPr>
        <w:pStyle w:val="FoF"/>
      </w:pPr>
      <w:r w:rsidRPr="001415C7">
        <w:t xml:space="preserve">SB 1221 requires the Commission, on or before July 1, 2026, to establish a voluntary program to facilitate the </w:t>
      </w:r>
      <w:r w:rsidRPr="001415C7" w:rsidR="00007A79">
        <w:t>cost effective</w:t>
      </w:r>
      <w:r w:rsidRPr="001415C7">
        <w:t xml:space="preserve"> decarbonization of priority neighborhood decarbonization zones, as defined, not to exceed 30 pilot projects across the state and affecting no more than 1</w:t>
      </w:r>
      <w:r w:rsidRPr="001415C7" w:rsidR="00447FEC">
        <w:t xml:space="preserve"> percent</w:t>
      </w:r>
      <w:r w:rsidRPr="001415C7">
        <w:t xml:space="preserve"> of each gas corporation’s customers within its service territory, except as provided. </w:t>
      </w:r>
    </w:p>
    <w:p w:rsidRPr="001415C7" w:rsidR="001E6274" w:rsidP="00C83D7D" w:rsidRDefault="001E6274" w14:paraId="11D74BF1" w14:textId="77777777">
      <w:pPr>
        <w:pStyle w:val="FoF"/>
      </w:pPr>
      <w:r w:rsidRPr="001415C7">
        <w:t>SB 1221 provides that it is the intent of the Legislature that the Commission authorize gas corporations to deploy a limited and targeted number of pilot projects to decommission portions of the natural gas corporation distribution system.</w:t>
      </w:r>
    </w:p>
    <w:p w:rsidRPr="001415C7" w:rsidR="001E6274" w:rsidP="00C83D7D" w:rsidRDefault="001E6274" w14:paraId="0B8904B7" w14:textId="2C6E4472">
      <w:pPr>
        <w:pStyle w:val="FoF"/>
      </w:pPr>
      <w:r w:rsidRPr="001415C7">
        <w:t xml:space="preserve">This decision establishes a voluntary </w:t>
      </w:r>
      <w:r w:rsidRPr="001415C7" w:rsidR="00B77F1B">
        <w:t xml:space="preserve">neighborhood </w:t>
      </w:r>
      <w:r w:rsidRPr="001415C7">
        <w:t>decarbonization pilot program as required by SB 1221.</w:t>
      </w:r>
    </w:p>
    <w:p w:rsidRPr="001415C7" w:rsidR="001E6274" w:rsidP="00C83D7D" w:rsidRDefault="001E6274" w14:paraId="2286A1BF" w14:textId="77777777">
      <w:pPr>
        <w:pStyle w:val="FoF"/>
      </w:pPr>
      <w:r w:rsidRPr="001415C7">
        <w:t>This pilot program established by this decision complies with the requirements of SB 1221.</w:t>
      </w:r>
    </w:p>
    <w:p w:rsidRPr="001415C7" w:rsidR="005939A5" w:rsidP="005939A5" w:rsidRDefault="005939A5" w14:paraId="3C0D2F58" w14:textId="77777777">
      <w:pPr>
        <w:pStyle w:val="Dummy"/>
      </w:pPr>
      <w:bookmarkStart w:name="_Toc233633650" w:id="125"/>
      <w:r w:rsidRPr="001415C7">
        <w:t>Conclusions of Law</w:t>
      </w:r>
      <w:bookmarkEnd w:id="123"/>
      <w:bookmarkEnd w:id="124"/>
      <w:bookmarkEnd w:id="125"/>
    </w:p>
    <w:p w:rsidRPr="001415C7" w:rsidR="00A16A47" w:rsidP="00BB1713" w:rsidRDefault="00A16A47" w14:paraId="44AC7324" w14:textId="5563BDFF">
      <w:pPr>
        <w:pStyle w:val="CoL"/>
      </w:pPr>
      <w:r>
        <w:t xml:space="preserve">It is reasonable to define </w:t>
      </w:r>
      <w:r w:rsidR="00972F8D">
        <w:t>“affected customer</w:t>
      </w:r>
      <w:r w:rsidR="000B00DA">
        <w:t>,</w:t>
      </w:r>
      <w:r w:rsidR="00972F8D">
        <w:t xml:space="preserve">” for </w:t>
      </w:r>
      <w:r w:rsidR="000B00DA">
        <w:t xml:space="preserve">the purposes of implementing </w:t>
      </w:r>
      <w:r w:rsidR="008D1D9D">
        <w:t xml:space="preserve">Senate Bill (SB) </w:t>
      </w:r>
      <w:r w:rsidR="00972F8D">
        <w:t>1221</w:t>
      </w:r>
      <w:r w:rsidR="000B00DA">
        <w:t xml:space="preserve">, </w:t>
      </w:r>
      <w:r w:rsidR="00972F8D">
        <w:t xml:space="preserve">as the utility </w:t>
      </w:r>
      <w:r w:rsidR="00093A2E">
        <w:t>customer of record</w:t>
      </w:r>
      <w:r w:rsidR="00972F8D">
        <w:t xml:space="preserve"> for a property within the project boundary.</w:t>
      </w:r>
    </w:p>
    <w:p w:rsidRPr="001415C7" w:rsidR="00D36A88" w:rsidP="00D36A88" w:rsidRDefault="00D36A88" w14:paraId="2945A2DB" w14:textId="4542A832">
      <w:pPr>
        <w:pStyle w:val="CoL"/>
      </w:pPr>
      <w:r>
        <w:t xml:space="preserve">It is reasonable to define “coordinating entities,” for the purposes of implementing SB 1221, as the gas corporations and electrical corporations, publicly owned electric utilities, load-serving entities, local governments, core transport agents, and community-based organizations that are based in or serve the pilot </w:t>
      </w:r>
      <w:r w:rsidR="00BA46A1">
        <w:t xml:space="preserve">project </w:t>
      </w:r>
      <w:r>
        <w:t>area.</w:t>
      </w:r>
    </w:p>
    <w:p w:rsidRPr="001415C7" w:rsidR="00972F8D" w:rsidP="00E902CF" w:rsidRDefault="000B00DA" w14:paraId="67363381" w14:textId="1AAAE5FC">
      <w:pPr>
        <w:pStyle w:val="CoL"/>
      </w:pPr>
      <w:r w:rsidRPr="001415C7">
        <w:lastRenderedPageBreak/>
        <w:t xml:space="preserve">It is reasonable to define “gas corporation,” for the purposes of implementing SB 1221, as any </w:t>
      </w:r>
      <w:r w:rsidRPr="001415C7" w:rsidR="00891E5D">
        <w:t xml:space="preserve">gas </w:t>
      </w:r>
      <w:r w:rsidRPr="001415C7" w:rsidR="00D35DF8">
        <w:t xml:space="preserve">distribution </w:t>
      </w:r>
      <w:r w:rsidRPr="001415C7">
        <w:t xml:space="preserve">utility </w:t>
      </w:r>
      <w:r w:rsidRPr="001415C7" w:rsidR="00891E5D">
        <w:t xml:space="preserve">under Commission jurisdiction. </w:t>
      </w:r>
    </w:p>
    <w:p w:rsidRPr="001415C7" w:rsidR="00F77463" w:rsidP="00E902CF" w:rsidRDefault="005365FC" w14:paraId="5BBB6423" w14:textId="7F451966">
      <w:pPr>
        <w:pStyle w:val="CoL"/>
      </w:pPr>
      <w:r w:rsidRPr="001415C7">
        <w:t>It is reasonable to define “master-metered property,” for the purposes of implementing SB 1221, as</w:t>
      </w:r>
      <w:r w:rsidRPr="001415C7" w:rsidR="00F83EAE">
        <w:t xml:space="preserve"> a</w:t>
      </w:r>
      <w:r w:rsidRPr="001415C7" w:rsidR="00CA01C5">
        <w:t xml:space="preserve"> property in which utility service is provided through a single meter to a customer of record, who then distributes, submeters, or allocates the service to multiple end users, including tenants or residents.</w:t>
      </w:r>
    </w:p>
    <w:p w:rsidRPr="001415C7" w:rsidR="008F5939" w:rsidP="008F5939" w:rsidRDefault="00B66B73" w14:paraId="6EC18E94" w14:textId="7A652EB7">
      <w:pPr>
        <w:pStyle w:val="CoL"/>
      </w:pPr>
      <w:r w:rsidRPr="001415C7">
        <w:t>It is reasonable to define a language as a “prevailing language</w:t>
      </w:r>
      <w:r w:rsidRPr="001415C7" w:rsidR="005C7BA2">
        <w:t xml:space="preserve">” in an area, </w:t>
      </w:r>
      <w:r w:rsidRPr="001415C7">
        <w:t xml:space="preserve">for the purposes of implementing SB 1221, </w:t>
      </w:r>
      <w:r w:rsidRPr="001415C7" w:rsidR="005C7BA2">
        <w:t xml:space="preserve">if at least five percent of the </w:t>
      </w:r>
      <w:r w:rsidRPr="001415C7" w:rsidR="007475FF">
        <w:t xml:space="preserve">pilot project </w:t>
      </w:r>
      <w:r w:rsidRPr="001415C7" w:rsidR="005C7BA2">
        <w:t xml:space="preserve">area’s population </w:t>
      </w:r>
      <w:r w:rsidRPr="001415C7" w:rsidR="00875C47">
        <w:t>use the language in question and do not speak English or are unable to effectively communicate in English</w:t>
      </w:r>
      <w:r w:rsidR="00780214">
        <w:t xml:space="preserve"> </w:t>
      </w:r>
      <w:r w:rsidRPr="00780214" w:rsidR="00780214">
        <w:t>and comprise five percent or more of the population in the pilot project area</w:t>
      </w:r>
      <w:r w:rsidRPr="001415C7" w:rsidR="005C7BA2">
        <w:t>.</w:t>
      </w:r>
    </w:p>
    <w:p w:rsidRPr="001415C7" w:rsidR="007257B6" w:rsidP="007257B6" w:rsidRDefault="005C7BA2" w14:paraId="7FA25370" w14:textId="1D16A49C">
      <w:pPr>
        <w:pStyle w:val="CoL"/>
      </w:pPr>
      <w:r w:rsidRPr="001415C7">
        <w:t xml:space="preserve">It is reasonable to define “property owner,” for the purposes of implementing SB 1221, </w:t>
      </w:r>
      <w:r w:rsidRPr="001415C7" w:rsidR="00E13C93">
        <w:t>as the legal owner of record.</w:t>
      </w:r>
    </w:p>
    <w:p w:rsidRPr="001415C7" w:rsidR="007178FA" w:rsidP="000D72A6" w:rsidRDefault="007178FA" w14:paraId="3661BCD8" w14:textId="51B2F681">
      <w:pPr>
        <w:pStyle w:val="CoL"/>
      </w:pPr>
      <w:r w:rsidRPr="001415C7">
        <w:t>It is reasonable to define “Zero Emission Alternative” (ZEA), for the purposes of implementing SB 1221, as a technology that (a) displaces the use of natural gas; (b) does not require new investment in gas distribution lines; (c) supports the pilot goal of decommissioning portions of the natural gas system; (d) does not impede the statutory goal of enabling the gas corporation to cease providing service where the pilot has been implemented;</w:t>
      </w:r>
      <w:r w:rsidRPr="001415C7" w:rsidR="00347B37">
        <w:t xml:space="preserve"> and,</w:t>
      </w:r>
      <w:r w:rsidRPr="001415C7">
        <w:t xml:space="preserve"> (e) is commercially available, reliable, scalable, and safe. </w:t>
      </w:r>
    </w:p>
    <w:p w:rsidRPr="001415C7" w:rsidR="007178FA" w:rsidP="000D72A6" w:rsidRDefault="007178FA" w14:paraId="1B31A897" w14:textId="3D9B98FC">
      <w:pPr>
        <w:pStyle w:val="CoL"/>
      </w:pPr>
      <w:r w:rsidRPr="001415C7">
        <w:t xml:space="preserve">It is reasonable to require </w:t>
      </w:r>
      <w:r w:rsidRPr="001415C7" w:rsidR="00E33EE0">
        <w:t xml:space="preserve">gas corporations </w:t>
      </w:r>
      <w:r w:rsidRPr="001415C7">
        <w:t>that submit pilot proposals to demonstrate that their proposed ZEA meets these minimum requirements.</w:t>
      </w:r>
    </w:p>
    <w:p w:rsidRPr="001415C7" w:rsidR="000D72A6" w:rsidP="000D72A6" w:rsidRDefault="008E68EE" w14:paraId="3B1AB9E8" w14:textId="58DC25D0">
      <w:pPr>
        <w:pStyle w:val="CoL"/>
      </w:pPr>
      <w:r w:rsidRPr="001415C7">
        <w:t xml:space="preserve">It is reasonable to interpret the </w:t>
      </w:r>
      <w:r w:rsidRPr="001415C7" w:rsidR="007257B6">
        <w:t>Code Section 663(a) requirement for the Commission to establish a “voluntary program”</w:t>
      </w:r>
      <w:r w:rsidRPr="001415C7" w:rsidR="00825947">
        <w:t xml:space="preserve"> to mean that the Commission </w:t>
      </w:r>
      <w:r w:rsidRPr="001415C7" w:rsidR="00825947">
        <w:lastRenderedPageBreak/>
        <w:t xml:space="preserve">should </w:t>
      </w:r>
      <w:r w:rsidRPr="001415C7" w:rsidR="00806262">
        <w:t xml:space="preserve">authorize, but not require, </w:t>
      </w:r>
      <w:r w:rsidRPr="001415C7" w:rsidR="007F757B">
        <w:t xml:space="preserve">gas corporations to </w:t>
      </w:r>
      <w:r w:rsidRPr="001415C7" w:rsidR="004B62D3">
        <w:t xml:space="preserve">submit proposals </w:t>
      </w:r>
      <w:r w:rsidRPr="001415C7" w:rsidR="007F757B">
        <w:t>for pilot projects.</w:t>
      </w:r>
    </w:p>
    <w:p w:rsidRPr="001415C7" w:rsidR="00652FF8" w:rsidP="00BB1713" w:rsidRDefault="00652FF8" w14:paraId="7A704EAC" w14:textId="74CF843A">
      <w:pPr>
        <w:pStyle w:val="CoL"/>
      </w:pPr>
      <w:r w:rsidRPr="001415C7">
        <w:t xml:space="preserve">It is reasonable for the Commission to require applicants to submit pilot proposals </w:t>
      </w:r>
      <w:r w:rsidRPr="001415C7" w:rsidR="00702D86">
        <w:t xml:space="preserve">by filing and serving an </w:t>
      </w:r>
      <w:r w:rsidRPr="001415C7">
        <w:t>application.</w:t>
      </w:r>
    </w:p>
    <w:p w:rsidRPr="001415C7" w:rsidR="00652FF8" w:rsidP="00BB1713" w:rsidRDefault="00652FF8" w14:paraId="74A13D7F" w14:textId="73021314">
      <w:pPr>
        <w:pStyle w:val="CoL"/>
      </w:pPr>
      <w:r w:rsidRPr="001415C7">
        <w:t xml:space="preserve">It is reasonable for the Commission to set three stages </w:t>
      </w:r>
      <w:r w:rsidRPr="001415C7" w:rsidR="005E3CBA">
        <w:t>(ro</w:t>
      </w:r>
      <w:r w:rsidRPr="001415C7" w:rsidR="00A27D0F">
        <w:t xml:space="preserve">unds) </w:t>
      </w:r>
      <w:r w:rsidRPr="001415C7">
        <w:t xml:space="preserve">of applications, with the first set of applications due by </w:t>
      </w:r>
      <w:r w:rsidRPr="001415C7" w:rsidR="00AA0BB1">
        <w:t>April 1</w:t>
      </w:r>
      <w:r w:rsidRPr="001415C7">
        <w:t>, 202</w:t>
      </w:r>
      <w:r w:rsidRPr="001415C7" w:rsidR="00AA0BB1">
        <w:t>7</w:t>
      </w:r>
      <w:r w:rsidRPr="001415C7">
        <w:t xml:space="preserve">, the second due by </w:t>
      </w:r>
      <w:r w:rsidRPr="001415C7" w:rsidR="00AA0BB1">
        <w:t xml:space="preserve">January </w:t>
      </w:r>
      <w:r w:rsidRPr="001415C7">
        <w:t>15, 202</w:t>
      </w:r>
      <w:r w:rsidRPr="001415C7" w:rsidR="00AA0BB1">
        <w:t>8</w:t>
      </w:r>
      <w:r w:rsidRPr="001415C7">
        <w:t xml:space="preserve">, and the third (if </w:t>
      </w:r>
      <w:r w:rsidRPr="001415C7" w:rsidR="00B634AD">
        <w:t>confirmed by the Commission</w:t>
      </w:r>
      <w:r w:rsidRPr="001415C7">
        <w:t>) due by July 1, 2028.</w:t>
      </w:r>
    </w:p>
    <w:p w:rsidRPr="001415C7" w:rsidR="00652FF8" w:rsidP="00BB1713" w:rsidRDefault="00652FF8" w14:paraId="68C121D4" w14:textId="67EAAE57">
      <w:pPr>
        <w:pStyle w:val="CoL"/>
      </w:pPr>
      <w:r w:rsidRPr="001415C7">
        <w:t>It is reasonable for the Commission to allocate</w:t>
      </w:r>
      <w:r w:rsidRPr="001415C7" w:rsidR="00FB5E65">
        <w:t xml:space="preserve"> the 30-project cap as follows:</w:t>
      </w:r>
      <w:r w:rsidRPr="001415C7">
        <w:t xml:space="preserve"> </w:t>
      </w:r>
      <w:r w:rsidRPr="001415C7" w:rsidR="00B634AD">
        <w:t>fourteen</w:t>
      </w:r>
      <w:r w:rsidRPr="001415C7" w:rsidR="00944AA8">
        <w:t xml:space="preserve"> </w:t>
      </w:r>
      <w:r w:rsidRPr="001415C7">
        <w:t xml:space="preserve">projects to the first round of applications, </w:t>
      </w:r>
      <w:r w:rsidRPr="001415C7" w:rsidR="00B634AD">
        <w:t>fourteen</w:t>
      </w:r>
      <w:r w:rsidRPr="001415C7" w:rsidR="00944AA8">
        <w:t xml:space="preserve"> </w:t>
      </w:r>
      <w:r w:rsidRPr="001415C7">
        <w:t xml:space="preserve">projects to the second round of applications, </w:t>
      </w:r>
      <w:r w:rsidRPr="001415C7" w:rsidR="00B634AD">
        <w:t xml:space="preserve">two projects </w:t>
      </w:r>
      <w:r w:rsidRPr="001415C7" w:rsidR="005C016D">
        <w:t xml:space="preserve">to be submitted in either the first or second round, </w:t>
      </w:r>
      <w:r w:rsidRPr="001415C7">
        <w:t xml:space="preserve">and </w:t>
      </w:r>
      <w:r w:rsidRPr="001415C7" w:rsidR="00046EE9">
        <w:t>the balance of the 30</w:t>
      </w:r>
      <w:r w:rsidRPr="001415C7" w:rsidR="00B46D12">
        <w:t>-</w:t>
      </w:r>
      <w:r w:rsidRPr="001415C7" w:rsidR="00046EE9">
        <w:t>project cap</w:t>
      </w:r>
      <w:r w:rsidRPr="001415C7">
        <w:t xml:space="preserve"> to the third round of applications.</w:t>
      </w:r>
    </w:p>
    <w:p w:rsidRPr="001415C7" w:rsidR="00652FF8" w:rsidP="00BB1713" w:rsidRDefault="00652FF8" w14:paraId="543BA30C" w14:textId="09DA52E8">
      <w:pPr>
        <w:pStyle w:val="CoL"/>
      </w:pPr>
      <w:r w:rsidRPr="001415C7">
        <w:t xml:space="preserve">It is reasonable for the Commission to allocate the </w:t>
      </w:r>
      <w:r w:rsidRPr="001415C7" w:rsidR="00FB5E65">
        <w:t>30-</w:t>
      </w:r>
      <w:r w:rsidRPr="001415C7">
        <w:t xml:space="preserve">project cap among gas corporations proportionately to their share of demand served in 2024 according to the 2025 California Gas Report, except for </w:t>
      </w:r>
      <w:r w:rsidRPr="001415C7" w:rsidR="00C6493F">
        <w:t>one</w:t>
      </w:r>
      <w:r w:rsidRPr="001415C7">
        <w:t xml:space="preserve"> project allocated to Southwest Gas</w:t>
      </w:r>
      <w:r w:rsidRPr="001415C7" w:rsidR="00C6493F">
        <w:t xml:space="preserve"> and one project allocated to the small gas utilities</w:t>
      </w:r>
      <w:r w:rsidRPr="001415C7">
        <w:t>.</w:t>
      </w:r>
    </w:p>
    <w:p w:rsidRPr="001415C7" w:rsidR="00907BA7" w:rsidP="008244F6" w:rsidRDefault="00411A5C" w14:paraId="004D4E78" w14:textId="2ED2158F">
      <w:pPr>
        <w:pStyle w:val="CoL"/>
      </w:pPr>
      <w:r w:rsidRPr="001415C7">
        <w:t>It is reasonable</w:t>
      </w:r>
      <w:r w:rsidRPr="001415C7" w:rsidR="00907BA7">
        <w:t xml:space="preserve"> for the Commission</w:t>
      </w:r>
      <w:r w:rsidRPr="001415C7">
        <w:t xml:space="preserve"> to allocate</w:t>
      </w:r>
      <w:r w:rsidRPr="001415C7" w:rsidR="001C48D4">
        <w:t xml:space="preserve"> the project cap</w:t>
      </w:r>
      <w:r w:rsidRPr="001415C7">
        <w:t xml:space="preserve"> to gas corporations for implementation </w:t>
      </w:r>
      <w:r w:rsidRPr="001415C7" w:rsidR="00F50F03">
        <w:t xml:space="preserve">in </w:t>
      </w:r>
      <w:r w:rsidRPr="001415C7">
        <w:t>the first and second round as follows: seven projects to PG&amp;E</w:t>
      </w:r>
      <w:r w:rsidRPr="001415C7" w:rsidR="00F12C89">
        <w:t xml:space="preserve"> in the first round, seven projects to PG&amp;E in the second round</w:t>
      </w:r>
      <w:r w:rsidRPr="001415C7">
        <w:t xml:space="preserve">, </w:t>
      </w:r>
      <w:r w:rsidRPr="001415C7" w:rsidR="002D0241">
        <w:t xml:space="preserve">seven </w:t>
      </w:r>
      <w:r w:rsidRPr="001415C7">
        <w:t>projects to SoCalGas</w:t>
      </w:r>
      <w:r w:rsidRPr="001415C7" w:rsidR="002D0241">
        <w:t xml:space="preserve"> and </w:t>
      </w:r>
      <w:r w:rsidRPr="001415C7">
        <w:t>SDG&amp;E</w:t>
      </w:r>
      <w:r w:rsidRPr="001415C7" w:rsidR="00F12C89">
        <w:t xml:space="preserve"> in the first round, seven projects to SoCalGas and SDG&amp;E in the second round</w:t>
      </w:r>
      <w:r w:rsidRPr="001415C7">
        <w:t xml:space="preserve">, one project </w:t>
      </w:r>
      <w:r w:rsidRPr="001415C7" w:rsidR="00F12C89">
        <w:t>to</w:t>
      </w:r>
      <w:r w:rsidRPr="001415C7">
        <w:t xml:space="preserve"> Southwest Gas</w:t>
      </w:r>
      <w:r w:rsidRPr="001415C7" w:rsidR="00F12C89">
        <w:t xml:space="preserve"> across both rounds, and one project to the small gas utilities across both rounds</w:t>
      </w:r>
      <w:r w:rsidRPr="001415C7">
        <w:t xml:space="preserve">. </w:t>
      </w:r>
    </w:p>
    <w:p w:rsidRPr="001415C7" w:rsidR="00652FF8" w:rsidP="00BB1713" w:rsidRDefault="00652FF8" w14:paraId="0EEAE5D2" w14:textId="6DA2CD97">
      <w:pPr>
        <w:pStyle w:val="CoL"/>
      </w:pPr>
      <w:r w:rsidRPr="001415C7">
        <w:t xml:space="preserve">It is reasonable for the Commission not to set restrictions on the location or geographic size of </w:t>
      </w:r>
      <w:r w:rsidRPr="001415C7" w:rsidR="001C0D68">
        <w:t xml:space="preserve">a </w:t>
      </w:r>
      <w:r w:rsidRPr="001415C7" w:rsidR="00E720FA">
        <w:t xml:space="preserve">pilot </w:t>
      </w:r>
      <w:r w:rsidRPr="001415C7">
        <w:t>project area.</w:t>
      </w:r>
    </w:p>
    <w:p w:rsidRPr="001415C7" w:rsidR="008E7A47" w:rsidP="008E7A47" w:rsidRDefault="008E7A47" w14:paraId="34022A59" w14:textId="55C50C3E">
      <w:pPr>
        <w:pStyle w:val="CoL"/>
      </w:pPr>
      <w:r w:rsidRPr="001415C7">
        <w:lastRenderedPageBreak/>
        <w:t>It is reasonable to require applicants, at a minimum, to include the following location information in their applications:</w:t>
      </w:r>
    </w:p>
    <w:p w:rsidRPr="001415C7" w:rsidR="008E7A47" w:rsidP="008E7A47" w:rsidRDefault="00751795" w14:paraId="521F7458" w14:textId="27CA0DA0">
      <w:pPr>
        <w:pStyle w:val="CoL"/>
        <w:numPr>
          <w:ilvl w:val="1"/>
          <w:numId w:val="4"/>
        </w:numPr>
      </w:pPr>
      <w:r w:rsidRPr="001415C7">
        <w:t xml:space="preserve">A map of the applicant’s service territory </w:t>
      </w:r>
      <w:r w:rsidRPr="001415C7" w:rsidR="008E7A47">
        <w:t xml:space="preserve">showing the boundaries of </w:t>
      </w:r>
      <w:r w:rsidRPr="001415C7">
        <w:t xml:space="preserve">all the </w:t>
      </w:r>
      <w:r w:rsidRPr="001415C7" w:rsidR="008E7A47">
        <w:t>proposed</w:t>
      </w:r>
      <w:r w:rsidRPr="001415C7" w:rsidR="00BA5B36">
        <w:t xml:space="preserve"> pilot</w:t>
      </w:r>
      <w:r w:rsidRPr="001415C7" w:rsidR="008E7A47">
        <w:t xml:space="preserve"> projects; and</w:t>
      </w:r>
    </w:p>
    <w:p w:rsidRPr="001415C7" w:rsidR="008E7A47" w:rsidP="008E7A47" w:rsidRDefault="008E7A47" w14:paraId="1BBF2FE9" w14:textId="1DFD487B">
      <w:pPr>
        <w:pStyle w:val="CoL"/>
        <w:numPr>
          <w:ilvl w:val="1"/>
          <w:numId w:val="4"/>
        </w:numPr>
      </w:pPr>
      <w:r w:rsidRPr="001415C7">
        <w:t xml:space="preserve">Individual maps for each proposed </w:t>
      </w:r>
      <w:r w:rsidRPr="001415C7" w:rsidR="00BA5B36">
        <w:t xml:space="preserve">pilot </w:t>
      </w:r>
      <w:r w:rsidRPr="001415C7">
        <w:t>project.</w:t>
      </w:r>
    </w:p>
    <w:p w:rsidRPr="001415C7" w:rsidR="008E7A47" w:rsidP="008E7A47" w:rsidRDefault="008E7A47" w14:paraId="109DAC41" w14:textId="77777777">
      <w:pPr>
        <w:pStyle w:val="CoL"/>
      </w:pPr>
      <w:r w:rsidRPr="001415C7">
        <w:t>It is reasonable to require applicants, at a minimum, to include the following location information for each project:</w:t>
      </w:r>
    </w:p>
    <w:p w:rsidRPr="001415C7" w:rsidR="009A36B7" w:rsidP="009A36B7" w:rsidRDefault="009A36B7" w14:paraId="42F725B8" w14:textId="6183ABFA">
      <w:pPr>
        <w:pStyle w:val="ListParagraph"/>
        <w:numPr>
          <w:ilvl w:val="1"/>
          <w:numId w:val="4"/>
        </w:numPr>
      </w:pPr>
      <w:r w:rsidRPr="001415C7">
        <w:t xml:space="preserve">List of the census tracts that overlap with the pilot </w:t>
      </w:r>
      <w:r w:rsidRPr="001415C7" w:rsidR="00BA46A1">
        <w:t xml:space="preserve">project </w:t>
      </w:r>
      <w:r w:rsidRPr="001415C7">
        <w:t>area. The application should provide each census tract’s CalEnviroScreen score, DAC</w:t>
      </w:r>
      <w:r w:rsidRPr="001415C7" w:rsidR="00304E94">
        <w:t xml:space="preserve"> status</w:t>
      </w:r>
      <w:r w:rsidRPr="001415C7">
        <w:t>, and the number of affected customers residing within it.</w:t>
      </w:r>
    </w:p>
    <w:p w:rsidRPr="001415C7" w:rsidR="00CE4C44" w:rsidP="00CE4C44" w:rsidRDefault="00CE4C44" w14:paraId="7CB6DD0D" w14:textId="77777777">
      <w:pPr>
        <w:pStyle w:val="CoL"/>
        <w:numPr>
          <w:ilvl w:val="1"/>
          <w:numId w:val="4"/>
        </w:numPr>
      </w:pPr>
      <w:r w:rsidRPr="001415C7">
        <w:rPr>
          <w:rStyle w:val="normaltextrun"/>
          <w:rFonts w:cs="Segoe UI"/>
          <w:szCs w:val="26"/>
        </w:rPr>
        <w:t>Number of </w:t>
      </w:r>
      <w:r w:rsidRPr="001415C7">
        <w:rPr>
          <w:rStyle w:val="findhit"/>
          <w:rFonts w:cs="Segoe UI"/>
          <w:szCs w:val="26"/>
        </w:rPr>
        <w:t>properties</w:t>
      </w:r>
      <w:r w:rsidRPr="001415C7">
        <w:rPr>
          <w:rStyle w:val="normaltextrun"/>
          <w:rFonts w:cs="Segoe UI"/>
          <w:szCs w:val="26"/>
        </w:rPr>
        <w:t> inside the pilot project area (by property type).</w:t>
      </w:r>
      <w:r w:rsidRPr="001415C7">
        <w:rPr>
          <w:rStyle w:val="eop"/>
          <w:rFonts w:cs="Segoe UI"/>
          <w:szCs w:val="26"/>
        </w:rPr>
        <w:t> </w:t>
      </w:r>
    </w:p>
    <w:p w:rsidRPr="001415C7" w:rsidR="00CE4C44" w:rsidP="00CE4C44" w:rsidRDefault="00CE4C44" w14:paraId="0E4B47D8" w14:textId="169159DC">
      <w:pPr>
        <w:pStyle w:val="CoL"/>
        <w:numPr>
          <w:ilvl w:val="1"/>
          <w:numId w:val="4"/>
        </w:numPr>
      </w:pPr>
      <w:r w:rsidRPr="001415C7">
        <w:rPr>
          <w:rStyle w:val="normaltextrun"/>
          <w:rFonts w:cs="Segoe UI"/>
          <w:szCs w:val="26"/>
        </w:rPr>
        <w:t>Number of property owners in pilot project area.</w:t>
      </w:r>
      <w:r w:rsidRPr="001415C7">
        <w:rPr>
          <w:rStyle w:val="eop"/>
          <w:rFonts w:cs="Segoe UI"/>
          <w:szCs w:val="26"/>
        </w:rPr>
        <w:t> </w:t>
      </w:r>
    </w:p>
    <w:p w:rsidRPr="001415C7" w:rsidR="009A36B7" w:rsidP="009A36B7" w:rsidRDefault="009A36B7" w14:paraId="3A27348E" w14:textId="77777777">
      <w:pPr>
        <w:pStyle w:val="ListParagraph"/>
        <w:numPr>
          <w:ilvl w:val="1"/>
          <w:numId w:val="4"/>
        </w:numPr>
      </w:pPr>
      <w:r w:rsidRPr="001415C7">
        <w:t>Number of gas customers in the project boundary (by customer class, by enrollment in income-qualified programs).</w:t>
      </w:r>
    </w:p>
    <w:p w:rsidRPr="001415C7" w:rsidR="009A36B7" w:rsidP="009A36B7" w:rsidRDefault="009A36B7" w14:paraId="0D17F026" w14:textId="71EE3AC9">
      <w:pPr>
        <w:pStyle w:val="ListParagraph"/>
        <w:numPr>
          <w:ilvl w:val="1"/>
          <w:numId w:val="4"/>
        </w:numPr>
      </w:pPr>
      <w:r w:rsidRPr="001415C7">
        <w:t>Number of electric customers in the project boundary (by electric utility</w:t>
      </w:r>
      <w:r w:rsidRPr="001415C7" w:rsidR="004C17A2">
        <w:t>;</w:t>
      </w:r>
      <w:r w:rsidRPr="001415C7">
        <w:t xml:space="preserve"> by customer class</w:t>
      </w:r>
      <w:r w:rsidRPr="001415C7" w:rsidR="00B9177F">
        <w:t>, including a designation of small commercial customers</w:t>
      </w:r>
      <w:r w:rsidRPr="001415C7" w:rsidR="004C17A2">
        <w:t>;</w:t>
      </w:r>
      <w:r w:rsidRPr="001415C7">
        <w:t xml:space="preserve"> by enrollment in income-qualified programs</w:t>
      </w:r>
      <w:r w:rsidRPr="001415C7" w:rsidR="004C17A2">
        <w:t xml:space="preserve">; </w:t>
      </w:r>
      <w:r w:rsidR="007E20F3">
        <w:t xml:space="preserve">and </w:t>
      </w:r>
      <w:r w:rsidRPr="001415C7" w:rsidR="004C17A2">
        <w:t>by enrollment in medical baseline</w:t>
      </w:r>
      <w:r w:rsidRPr="001415C7">
        <w:t>).</w:t>
      </w:r>
    </w:p>
    <w:p w:rsidRPr="001415C7" w:rsidR="009A36B7" w:rsidP="009A36B7" w:rsidRDefault="009A36B7" w14:paraId="6A649CFF" w14:textId="77777777">
      <w:pPr>
        <w:pStyle w:val="ListParagraph"/>
        <w:numPr>
          <w:ilvl w:val="1"/>
          <w:numId w:val="4"/>
        </w:numPr>
      </w:pPr>
      <w:r w:rsidRPr="001415C7">
        <w:t>List of the federally recognized tribal lands the project area overlaps with.</w:t>
      </w:r>
    </w:p>
    <w:p w:rsidRPr="001415C7" w:rsidR="009A36B7" w:rsidP="009A36B7" w:rsidRDefault="009A36B7" w14:paraId="30E7CF82" w14:textId="293B56DD">
      <w:pPr>
        <w:pStyle w:val="ListParagraph"/>
        <w:numPr>
          <w:ilvl w:val="1"/>
          <w:numId w:val="4"/>
        </w:numPr>
      </w:pPr>
      <w:r w:rsidRPr="001415C7">
        <w:t>List of the</w:t>
      </w:r>
      <w:r w:rsidRPr="001415C7" w:rsidR="00F74584">
        <w:t xml:space="preserve"> tribes on California’s Native American Heritage Commission list that are affiliated with areas overlapping the project area</w:t>
      </w:r>
      <w:r w:rsidRPr="001415C7">
        <w:t>.</w:t>
      </w:r>
    </w:p>
    <w:p w:rsidRPr="001415C7" w:rsidR="008E7A47" w:rsidP="009A36B7" w:rsidRDefault="009A36B7" w14:paraId="7C0E5FF6" w14:textId="6D1A54F8">
      <w:pPr>
        <w:pStyle w:val="ListParagraph"/>
        <w:numPr>
          <w:ilvl w:val="1"/>
          <w:numId w:val="4"/>
        </w:numPr>
      </w:pPr>
      <w:r w:rsidRPr="001415C7">
        <w:t xml:space="preserve">List of prevailing languages in the </w:t>
      </w:r>
      <w:r w:rsidRPr="001415C7" w:rsidR="00EE0513">
        <w:t>pilot project area</w:t>
      </w:r>
      <w:r w:rsidRPr="001415C7">
        <w:t>, including estimated portion of residents that speak those languages</w:t>
      </w:r>
      <w:r w:rsidRPr="001415C7" w:rsidR="008E7A47">
        <w:t>.</w:t>
      </w:r>
    </w:p>
    <w:p w:rsidRPr="001415C7" w:rsidR="00397B3A" w:rsidP="0012240D" w:rsidRDefault="00652FF8" w14:paraId="32697E67" w14:textId="32A455B2">
      <w:pPr>
        <w:pStyle w:val="CoL"/>
      </w:pPr>
      <w:r w:rsidRPr="001415C7">
        <w:t>It is reasonable for the Commission to require</w:t>
      </w:r>
      <w:r w:rsidRPr="001415C7" w:rsidR="0012240D">
        <w:t xml:space="preserve"> applications to include the information </w:t>
      </w:r>
      <w:r w:rsidRPr="001415C7" w:rsidR="00EB470A">
        <w:t>in</w:t>
      </w:r>
      <w:r w:rsidRPr="001415C7" w:rsidR="0012240D">
        <w:t xml:space="preserve"> the application template that the Commission’s Energy Division will post on the Commission website.</w:t>
      </w:r>
    </w:p>
    <w:p w:rsidRPr="001415C7" w:rsidR="00652FF8" w:rsidP="0012240D" w:rsidRDefault="00652FF8" w14:paraId="1F0E5934" w14:textId="7FF68E21">
      <w:pPr>
        <w:pStyle w:val="CoL"/>
      </w:pPr>
      <w:r w:rsidRPr="001415C7">
        <w:lastRenderedPageBreak/>
        <w:t xml:space="preserve">It is reasonable for the Commission to require pilot proposals to include the replacement of pilot participants’ natural gas-fueled appliances with new appliances </w:t>
      </w:r>
      <w:r w:rsidRPr="001415C7" w:rsidR="000075FE">
        <w:t xml:space="preserve">powered </w:t>
      </w:r>
      <w:r w:rsidRPr="001415C7">
        <w:t>by the ZEA.</w:t>
      </w:r>
    </w:p>
    <w:p w:rsidRPr="001415C7" w:rsidR="00652FF8" w:rsidP="00BB1713" w:rsidRDefault="00652FF8" w14:paraId="0480EF78" w14:textId="648027D0">
      <w:pPr>
        <w:pStyle w:val="CoL"/>
      </w:pPr>
      <w:r>
        <w:t xml:space="preserve">It is reasonable for the Commission to require any replacement appliances </w:t>
      </w:r>
      <w:r w:rsidR="003E4EEA">
        <w:t xml:space="preserve">(1) </w:t>
      </w:r>
      <w:r>
        <w:t xml:space="preserve">to </w:t>
      </w:r>
      <w:r w:rsidR="00C95393">
        <w:t xml:space="preserve">carry </w:t>
      </w:r>
      <w:r>
        <w:t>an industry-standard warranty</w:t>
      </w:r>
      <w:r w:rsidR="0017024B">
        <w:t xml:space="preserve"> and</w:t>
      </w:r>
      <w:r w:rsidR="003E4EEA">
        <w:t xml:space="preserve"> (2) to</w:t>
      </w:r>
      <w:r w:rsidR="00E30900">
        <w:t xml:space="preserve"> </w:t>
      </w:r>
      <w:r w:rsidR="0017024B">
        <w:t>comply with California’s appliance efficiency standards, as adopted in Title 20 of the California Code of Regulations</w:t>
      </w:r>
      <w:r>
        <w:t>, if applicable.</w:t>
      </w:r>
    </w:p>
    <w:p w:rsidRPr="001415C7" w:rsidR="00652FF8" w:rsidP="00BB1713" w:rsidRDefault="00652FF8" w14:paraId="616F7E52" w14:textId="2F8EC136">
      <w:pPr>
        <w:pStyle w:val="CoL"/>
      </w:pPr>
      <w:r w:rsidRPr="001415C7">
        <w:t xml:space="preserve">It is reasonable for the Commission to require pilot proposals to include the </w:t>
      </w:r>
      <w:r w:rsidRPr="001415C7" w:rsidR="003717EB">
        <w:t xml:space="preserve">property </w:t>
      </w:r>
      <w:r w:rsidRPr="001415C7">
        <w:t xml:space="preserve">remediation services necessary for the applicant to install and the participant to safely </w:t>
      </w:r>
      <w:r w:rsidRPr="001415C7" w:rsidR="00251B8F">
        <w:t xml:space="preserve">and conveniently </w:t>
      </w:r>
      <w:r w:rsidRPr="001415C7">
        <w:t>use their electric appliances.</w:t>
      </w:r>
    </w:p>
    <w:p w:rsidRPr="001415C7" w:rsidR="00652FF8" w:rsidP="00BB1713" w:rsidRDefault="00652FF8" w14:paraId="0D4E04AE" w14:textId="642AFD14">
      <w:pPr>
        <w:pStyle w:val="CoL"/>
      </w:pPr>
      <w:r w:rsidRPr="001415C7">
        <w:t xml:space="preserve">It is reasonable for the Commission to require pilot proposals to include a plan to identify the existing programs that pilot participants qualify for, </w:t>
      </w:r>
      <w:r w:rsidRPr="001415C7" w:rsidR="00E42DC5">
        <w:t xml:space="preserve">to </w:t>
      </w:r>
      <w:r w:rsidRPr="001415C7">
        <w:t>present that information to the participants in a clear manner</w:t>
      </w:r>
      <w:r w:rsidRPr="001415C7" w:rsidR="0011044F">
        <w:t>,</w:t>
      </w:r>
      <w:r w:rsidRPr="001415C7">
        <w:t xml:space="preserve"> and </w:t>
      </w:r>
      <w:r w:rsidRPr="001415C7" w:rsidR="00E42DC5">
        <w:t xml:space="preserve">to </w:t>
      </w:r>
      <w:r w:rsidRPr="001415C7">
        <w:t>assist those participants in enrolling in the programs for which they qualify.</w:t>
      </w:r>
    </w:p>
    <w:p w:rsidRPr="001415C7" w:rsidR="00235248" w:rsidRDefault="00235248" w14:paraId="47EE652E" w14:textId="12970624">
      <w:pPr>
        <w:pStyle w:val="CoL"/>
      </w:pPr>
      <w:r w:rsidRPr="001415C7">
        <w:t xml:space="preserve">It is reasonable to require first-round applications to include a discussion of how their </w:t>
      </w:r>
      <w:r w:rsidRPr="001415C7" w:rsidR="00D935A2">
        <w:t xml:space="preserve">proposed </w:t>
      </w:r>
      <w:r w:rsidRPr="001415C7">
        <w:t>project</w:t>
      </w:r>
      <w:r w:rsidRPr="001415C7" w:rsidR="00781F0D">
        <w:t>s</w:t>
      </w:r>
      <w:r w:rsidRPr="001415C7">
        <w:t xml:space="preserve"> </w:t>
      </w:r>
      <w:r w:rsidRPr="001415C7" w:rsidR="00D935A2">
        <w:t xml:space="preserve">ensure that </w:t>
      </w:r>
      <w:r w:rsidRPr="001415C7" w:rsidR="00435944">
        <w:t>the</w:t>
      </w:r>
      <w:r w:rsidRPr="001415C7" w:rsidR="00D935A2">
        <w:t xml:space="preserve"> substitute for gas service for low-income customers is affordable, adequate, efficient, and just and reasonable, as required by</w:t>
      </w:r>
      <w:r w:rsidRPr="001415C7">
        <w:t xml:space="preserve"> Code Section 663(b)(3).</w:t>
      </w:r>
    </w:p>
    <w:p w:rsidRPr="001415C7" w:rsidR="00652FF8" w:rsidP="00BB1713" w:rsidRDefault="00652FF8" w14:paraId="0516487A" w14:textId="35238A54">
      <w:pPr>
        <w:pStyle w:val="CoL"/>
      </w:pPr>
      <w:r w:rsidRPr="001415C7">
        <w:t xml:space="preserve">It is reasonable for the Commission to </w:t>
      </w:r>
      <w:r w:rsidRPr="001415C7" w:rsidR="003A798A">
        <w:t>r</w:t>
      </w:r>
      <w:r w:rsidRPr="001415C7" w:rsidR="00C01791">
        <w:t>equire applications to include a comparison of estimated aggregate pre- and post-pilot total energy bills (i.e., combined bill for natural gas and electricity) across pilot participants as follows</w:t>
      </w:r>
      <w:r w:rsidRPr="001415C7" w:rsidR="0044157C">
        <w:t>. Specifically, it is reasonable to require</w:t>
      </w:r>
      <w:r w:rsidRPr="001415C7" w:rsidR="00C01791">
        <w:t xml:space="preserve"> the application </w:t>
      </w:r>
      <w:r w:rsidRPr="001415C7" w:rsidR="0044157C">
        <w:t xml:space="preserve">to include </w:t>
      </w:r>
      <w:r w:rsidRPr="001415C7" w:rsidR="00C01791">
        <w:t>show the 25th, 50th, 75th, and 90th percentile for gross change in monthly energy bills and monthly energy use and percentage change in monthly energy bills and monthly energy use</w:t>
      </w:r>
      <w:r w:rsidRPr="001415C7" w:rsidR="00967BC3">
        <w:t xml:space="preserve"> and pe</w:t>
      </w:r>
      <w:r w:rsidRPr="001415C7" w:rsidR="576BBF09">
        <w:t>r</w:t>
      </w:r>
      <w:r w:rsidRPr="001415C7" w:rsidR="00967BC3">
        <w:t>form the analysis</w:t>
      </w:r>
      <w:r w:rsidRPr="001415C7" w:rsidR="00C01791">
        <w:t xml:space="preserve"> for </w:t>
      </w:r>
      <w:r w:rsidRPr="001415C7" w:rsidR="0044157C">
        <w:t>three customers</w:t>
      </w:r>
      <w:r w:rsidRPr="001415C7" w:rsidR="002A300B">
        <w:t>: first, all customers in the pilot project area;</w:t>
      </w:r>
      <w:r w:rsidRPr="001415C7" w:rsidR="0044157C">
        <w:t xml:space="preserve"> </w:t>
      </w:r>
      <w:r w:rsidRPr="001415C7" w:rsidR="002A300B">
        <w:t>second</w:t>
      </w:r>
      <w:r w:rsidRPr="001415C7" w:rsidR="00C01791">
        <w:t>, for customers</w:t>
      </w:r>
      <w:r w:rsidRPr="001415C7" w:rsidR="002A300B">
        <w:t xml:space="preserve"> in the pilot project area</w:t>
      </w:r>
      <w:r w:rsidRPr="001415C7" w:rsidR="00C01791">
        <w:t xml:space="preserve"> enrolled in </w:t>
      </w:r>
      <w:r w:rsidRPr="001415C7" w:rsidR="00C01791">
        <w:lastRenderedPageBreak/>
        <w:t>income-qualified programs (e.g., California Alternative Rate for Energy)</w:t>
      </w:r>
      <w:r w:rsidRPr="001415C7" w:rsidR="002A300B">
        <w:t>; and, third</w:t>
      </w:r>
      <w:r w:rsidRPr="001415C7" w:rsidR="00C01791">
        <w:t xml:space="preserve"> for customers</w:t>
      </w:r>
      <w:r w:rsidRPr="001415C7" w:rsidR="002A300B">
        <w:t xml:space="preserve"> in the pilot project area </w:t>
      </w:r>
      <w:r w:rsidRPr="001415C7" w:rsidR="00C01791">
        <w:t xml:space="preserve"> not enrolled in income-qualified programs</w:t>
      </w:r>
      <w:r w:rsidRPr="001415C7">
        <w:t>.</w:t>
      </w:r>
    </w:p>
    <w:p w:rsidRPr="001415C7" w:rsidR="001541CC" w:rsidP="00E619EB" w:rsidRDefault="00652FF8" w14:paraId="445A8FE4" w14:textId="54285B3D">
      <w:pPr>
        <w:pStyle w:val="CoL"/>
      </w:pPr>
      <w:r w:rsidRPr="001415C7">
        <w:t>It is reasonable for the Commission to require pilot proposals to include</w:t>
      </w:r>
      <w:r w:rsidR="00B1072C">
        <w:t>:</w:t>
      </w:r>
      <w:r w:rsidRPr="001415C7">
        <w:t xml:space="preserve"> </w:t>
      </w:r>
    </w:p>
    <w:p w:rsidR="00B1072C" w:rsidP="004A6EE8" w:rsidRDefault="00B1072C" w14:paraId="2B170932" w14:textId="6603DA78">
      <w:pPr>
        <w:pStyle w:val="ListParagraph"/>
        <w:numPr>
          <w:ilvl w:val="1"/>
          <w:numId w:val="24"/>
        </w:numPr>
        <w:ind w:left="1080" w:right="1440"/>
      </w:pPr>
      <w:r>
        <w:t>Location and length of existing gas mains the applicant proposes to decommission</w:t>
      </w:r>
    </w:p>
    <w:p w:rsidR="00B1072C" w:rsidP="004A6EE8" w:rsidRDefault="00B1072C" w14:paraId="12461682" w14:textId="62427889">
      <w:pPr>
        <w:pStyle w:val="ListParagraph"/>
        <w:numPr>
          <w:ilvl w:val="1"/>
          <w:numId w:val="24"/>
        </w:numPr>
        <w:ind w:left="1080" w:right="1440"/>
      </w:pPr>
      <w:r>
        <w:t>Pipe materials and diameters</w:t>
      </w:r>
    </w:p>
    <w:p w:rsidRPr="001415C7" w:rsidR="00652FF8" w:rsidP="004A6EE8" w:rsidRDefault="00652FF8" w14:paraId="2AB1D448" w14:textId="601EA252">
      <w:pPr>
        <w:pStyle w:val="ListParagraph"/>
        <w:numPr>
          <w:ilvl w:val="1"/>
          <w:numId w:val="24"/>
        </w:numPr>
        <w:ind w:left="1080" w:right="1440"/>
      </w:pPr>
      <w:r w:rsidRPr="001415C7">
        <w:t xml:space="preserve">Locations and costs associated with the gas infrastructure the pilot proposes to </w:t>
      </w:r>
      <w:r w:rsidRPr="001415C7" w:rsidR="00BA1725">
        <w:t>deco</w:t>
      </w:r>
      <w:r w:rsidRPr="001415C7" w:rsidR="00636CDD">
        <w:t>m</w:t>
      </w:r>
      <w:r w:rsidRPr="001415C7" w:rsidR="00BA1725">
        <w:t xml:space="preserve">mission </w:t>
      </w:r>
      <w:r w:rsidRPr="001415C7">
        <w:t>(i.e., cost of decommissioning and the cost of investment and maintenance that would be necessary but for the decommissioning)</w:t>
      </w:r>
    </w:p>
    <w:p w:rsidRPr="001415C7" w:rsidR="00652FF8" w:rsidP="004A6EE8" w:rsidRDefault="00652FF8" w14:paraId="0329A0BB" w14:textId="77777777">
      <w:pPr>
        <w:pStyle w:val="ListParagraph"/>
        <w:numPr>
          <w:ilvl w:val="1"/>
          <w:numId w:val="24"/>
        </w:numPr>
        <w:ind w:left="1080" w:right="1440"/>
      </w:pPr>
      <w:r w:rsidRPr="001415C7">
        <w:t>A map showing non-confidential energy infrastructure</w:t>
      </w:r>
    </w:p>
    <w:p w:rsidRPr="001415C7" w:rsidR="00652FF8" w:rsidP="004A6EE8" w:rsidRDefault="00652FF8" w14:paraId="6F07DFDA" w14:textId="79157D1B">
      <w:pPr>
        <w:pStyle w:val="ListParagraph"/>
        <w:numPr>
          <w:ilvl w:val="1"/>
          <w:numId w:val="24"/>
        </w:numPr>
        <w:ind w:left="1080" w:right="1440"/>
      </w:pPr>
      <w:r w:rsidRPr="001415C7">
        <w:t xml:space="preserve">A description </w:t>
      </w:r>
      <w:r w:rsidRPr="001415C7" w:rsidR="004978DC">
        <w:t xml:space="preserve">of </w:t>
      </w:r>
      <w:r w:rsidRPr="001415C7">
        <w:t>the feasibility analyses the applicant deemed necessary and the results of those analyses</w:t>
      </w:r>
    </w:p>
    <w:p w:rsidRPr="001415C7" w:rsidR="00652FF8" w:rsidP="00BB1713" w:rsidRDefault="00652FF8" w14:paraId="1C2397B3" w14:textId="193AA7C2">
      <w:pPr>
        <w:pStyle w:val="CoL"/>
      </w:pPr>
      <w:r w:rsidRPr="001415C7">
        <w:t>It is reasonable for the Commission to require pilot proposals to include:</w:t>
      </w:r>
    </w:p>
    <w:p w:rsidRPr="001415C7" w:rsidR="00386BFC" w:rsidP="004A6EE8" w:rsidRDefault="00386BFC" w14:paraId="1CDD2059" w14:textId="1275B117">
      <w:pPr>
        <w:pStyle w:val="ListParagraph"/>
        <w:numPr>
          <w:ilvl w:val="1"/>
          <w:numId w:val="24"/>
        </w:numPr>
        <w:ind w:left="1080" w:right="1440"/>
      </w:pPr>
      <w:r w:rsidRPr="001415C7">
        <w:t xml:space="preserve">Descriptions of the electric infrastructure upgrades that the electric utility plans or expects will be necessary to provide service to the </w:t>
      </w:r>
      <w:r w:rsidRPr="001415C7" w:rsidR="00EE0513">
        <w:t>pilot project area</w:t>
      </w:r>
      <w:r w:rsidRPr="001415C7">
        <w:t>s if the projects were not expected to occur</w:t>
      </w:r>
    </w:p>
    <w:p w:rsidRPr="001415C7" w:rsidR="00386BFC" w:rsidP="004A6EE8" w:rsidRDefault="00386BFC" w14:paraId="6A2EAA54" w14:textId="48177BAC">
      <w:pPr>
        <w:pStyle w:val="ListParagraph"/>
        <w:numPr>
          <w:ilvl w:val="1"/>
          <w:numId w:val="24"/>
        </w:numPr>
        <w:ind w:left="1080" w:right="1440"/>
      </w:pPr>
      <w:r w:rsidRPr="001415C7">
        <w:t xml:space="preserve">Descriptions and cost estimates of the incremental electric infrastructure upgrades that the electric utility anticipates would be necessary to provide service to the </w:t>
      </w:r>
      <w:r w:rsidRPr="001415C7" w:rsidR="00EE0513">
        <w:t>pilot project area</w:t>
      </w:r>
      <w:r w:rsidRPr="001415C7">
        <w:t>s if the projects were to occur, if any</w:t>
      </w:r>
    </w:p>
    <w:p w:rsidRPr="001415C7" w:rsidR="00386BFC" w:rsidP="004A6EE8" w:rsidRDefault="00386BFC" w14:paraId="59711935" w14:textId="47F057CA">
      <w:pPr>
        <w:pStyle w:val="ListParagraph"/>
        <w:numPr>
          <w:ilvl w:val="1"/>
          <w:numId w:val="24"/>
        </w:numPr>
        <w:ind w:left="1080" w:right="1440"/>
      </w:pPr>
      <w:r w:rsidRPr="001415C7">
        <w:t>A demonstration that the project design evaluated and took advantage of all possible ways to avoid or minimize the need for upgrades to electric infrastructure (e.g., service lines, transformers, etc.), including pursuing alternatives to service upsizing that allow the premises to fully electrify safely (i.e., without the risk of exceeding the electric service capacity of the customer premises) or why they were ruled out</w:t>
      </w:r>
    </w:p>
    <w:p w:rsidRPr="001415C7" w:rsidR="00B151AB" w:rsidP="00386BFC" w:rsidRDefault="00B151AB" w14:paraId="0DE8BF26" w14:textId="34F9CDC0">
      <w:pPr>
        <w:pStyle w:val="CoL"/>
      </w:pPr>
      <w:r w:rsidRPr="001415C7">
        <w:lastRenderedPageBreak/>
        <w:t>It is reasonable for the Commission to require, in cases where a regulated utility must share confidential data related to a pilot (whether the data is related to electric infrastructure or individual customers), that the utility should develop and execute non-disclosure agreements with the relevant parties and ensure that any data sharing is consistent with privacy law and existing Commission rules.</w:t>
      </w:r>
    </w:p>
    <w:p w:rsidRPr="001415C7" w:rsidR="00652FF8" w:rsidP="00B151AB" w:rsidRDefault="00796158" w14:paraId="3208F8B3" w14:textId="525ADEBA">
      <w:pPr>
        <w:pStyle w:val="CoL"/>
      </w:pPr>
      <w:r w:rsidRPr="001415C7">
        <w:t>It is reasonable to require applications to include forecasts of the proposed projects’ impacts on annual gas consumption and avoided GHG emissions, calculated using the Commission’s Avoided Cost Calculator.</w:t>
      </w:r>
    </w:p>
    <w:p w:rsidRPr="001415C7" w:rsidR="00652FF8" w:rsidP="00BB1713" w:rsidRDefault="78DCD63C" w14:paraId="1D39AF37" w14:textId="510F7AAB">
      <w:pPr>
        <w:pStyle w:val="CoL"/>
      </w:pPr>
      <w:r w:rsidRPr="001415C7">
        <w:t xml:space="preserve">It is reasonable </w:t>
      </w:r>
      <w:r w:rsidRPr="001415C7" w:rsidR="0036202E">
        <w:t xml:space="preserve">at this time </w:t>
      </w:r>
      <w:r w:rsidRPr="001415C7">
        <w:t xml:space="preserve">for the Commission to require applications to describe how the applicant took high-road job considerations into account </w:t>
      </w:r>
      <w:r w:rsidRPr="001415C7" w:rsidR="009A72B6">
        <w:t xml:space="preserve">when </w:t>
      </w:r>
      <w:r w:rsidRPr="001415C7" w:rsidR="00555DC5">
        <w:t>developing proposals for pilot projects</w:t>
      </w:r>
      <w:r w:rsidRPr="001415C7">
        <w:t xml:space="preserve"> (including a description of any outreach to local trade organizations) but not set firm requirements or quotas in that area.</w:t>
      </w:r>
      <w:r w:rsidRPr="001415C7" w:rsidR="71DEE89F">
        <w:t xml:space="preserve"> This approach </w:t>
      </w:r>
      <w:r w:rsidRPr="001415C7" w:rsidR="0036202E">
        <w:t>will inform the Commission</w:t>
      </w:r>
      <w:r w:rsidRPr="001415C7" w:rsidR="004B63B6">
        <w:t>’s work to</w:t>
      </w:r>
      <w:r w:rsidRPr="001415C7" w:rsidR="0036202E">
        <w:t xml:space="preserve"> </w:t>
      </w:r>
      <w:r w:rsidRPr="001415C7" w:rsidR="71DEE89F">
        <w:t>fulfill the requirements of Code Section 663(b)(6).</w:t>
      </w:r>
    </w:p>
    <w:p w:rsidRPr="001415C7" w:rsidR="00ED6442" w:rsidP="00BB1713" w:rsidRDefault="00ED6442" w14:paraId="3891CCA6" w14:textId="33FE161F">
      <w:pPr>
        <w:pStyle w:val="CoL"/>
      </w:pPr>
      <w:r w:rsidRPr="001415C7">
        <w:t xml:space="preserve">It is reasonable for the Commission not to grant </w:t>
      </w:r>
      <w:r w:rsidRPr="001415C7" w:rsidR="00924DCF">
        <w:t>pilot projects an exemption from the energization timeline requirements set in Rulemaking (R.) 24-01-018.</w:t>
      </w:r>
    </w:p>
    <w:p w:rsidRPr="001415C7" w:rsidR="00652FF8" w:rsidP="00BB1713" w:rsidRDefault="00652FF8" w14:paraId="49038FB2" w14:textId="2D726E4A">
      <w:pPr>
        <w:pStyle w:val="CoL"/>
      </w:pPr>
      <w:r w:rsidRPr="001415C7">
        <w:t xml:space="preserve">It is reasonable for the Commission to require applicants to engage with </w:t>
      </w:r>
      <w:r w:rsidRPr="001415C7" w:rsidR="00C64F79">
        <w:t>coordinating entities</w:t>
      </w:r>
      <w:r w:rsidRPr="001415C7">
        <w:t xml:space="preserve"> to ensure the </w:t>
      </w:r>
      <w:r w:rsidRPr="001415C7" w:rsidR="00C64F79">
        <w:t>coordinating entities</w:t>
      </w:r>
      <w:r w:rsidRPr="001415C7">
        <w:t xml:space="preserve"> are aware of the proposed pilot projects and can contribute as appropriate. </w:t>
      </w:r>
    </w:p>
    <w:p w:rsidRPr="001415C7" w:rsidR="00652FF8" w:rsidP="00BB1713" w:rsidRDefault="00652FF8" w14:paraId="28AC7AC7" w14:textId="1622D395">
      <w:pPr>
        <w:pStyle w:val="CoL"/>
      </w:pPr>
      <w:r w:rsidRPr="001415C7">
        <w:t>It is reasonable for the Commission to require</w:t>
      </w:r>
      <w:r w:rsidRPr="001415C7" w:rsidR="001B379F">
        <w:t xml:space="preserve"> applications to document their efforts</w:t>
      </w:r>
      <w:r w:rsidRPr="001415C7" w:rsidR="00497271">
        <w:t xml:space="preserve"> to engage with </w:t>
      </w:r>
      <w:r w:rsidRPr="001415C7" w:rsidR="00C64F79">
        <w:t>coordinating entities</w:t>
      </w:r>
      <w:r w:rsidRPr="001415C7" w:rsidR="001B379F">
        <w:t xml:space="preserve"> in sufficient detail for the Commission to assess whether the outreach was conducted in good faith, timely, complete, and coordinated with </w:t>
      </w:r>
      <w:r w:rsidRPr="001415C7" w:rsidR="00C64F79">
        <w:t>coordinating entities</w:t>
      </w:r>
      <w:r w:rsidRPr="001415C7" w:rsidR="001B379F">
        <w:t>.</w:t>
      </w:r>
    </w:p>
    <w:p w:rsidRPr="001415C7" w:rsidR="00652FF8" w:rsidP="00BB1713" w:rsidRDefault="00652FF8" w14:paraId="7BEEF955" w14:textId="511BC528">
      <w:pPr>
        <w:pStyle w:val="CoL"/>
      </w:pPr>
      <w:r w:rsidRPr="001415C7">
        <w:lastRenderedPageBreak/>
        <w:t xml:space="preserve">It is reasonable for the Commission to require applications to list the </w:t>
      </w:r>
      <w:r w:rsidRPr="001415C7" w:rsidR="00C64F79">
        <w:t>coordinating entities</w:t>
      </w:r>
      <w:r w:rsidRPr="001415C7">
        <w:t xml:space="preserve"> with whom the applicants are coordinating and include any letters of support. </w:t>
      </w:r>
    </w:p>
    <w:p w:rsidRPr="001415C7" w:rsidR="00C5020D" w:rsidP="00BB1713" w:rsidRDefault="00C5020D" w14:paraId="200051AA" w14:textId="159AAA02">
      <w:pPr>
        <w:pStyle w:val="CoL"/>
      </w:pPr>
      <w:r w:rsidRPr="001415C7">
        <w:t xml:space="preserve">It is reasonable for the Commission to require applications to describe the applicant’s process to review and select CBOs with whom they chose to work and </w:t>
      </w:r>
      <w:r w:rsidRPr="001415C7" w:rsidR="00B05A85">
        <w:t>explain</w:t>
      </w:r>
      <w:r w:rsidRPr="001415C7">
        <w:t xml:space="preserve"> their choice to work – or not work – with CBOs.</w:t>
      </w:r>
    </w:p>
    <w:p w:rsidRPr="001415C7" w:rsidR="00652FF8" w:rsidP="00BB1713" w:rsidRDefault="00652FF8" w14:paraId="19E0384E" w14:textId="593D14C2">
      <w:pPr>
        <w:pStyle w:val="CoL"/>
      </w:pPr>
      <w:r w:rsidRPr="001415C7">
        <w:t>It is reasonable for the Commission to require applicants</w:t>
      </w:r>
      <w:r w:rsidRPr="001415C7" w:rsidR="00822DB9">
        <w:t xml:space="preserve"> to ensure that coordinating entities, the community, and other relevant stakeholders are kept up to date and can provide input into the pilot implementation process</w:t>
      </w:r>
      <w:r w:rsidRPr="001415C7">
        <w:t>.</w:t>
      </w:r>
    </w:p>
    <w:p w:rsidRPr="001415C7" w:rsidR="00304501" w:rsidP="00065CAF" w:rsidRDefault="00304501" w14:paraId="52F0318C" w14:textId="4FF11DD6">
      <w:pPr>
        <w:pStyle w:val="CoL"/>
      </w:pPr>
      <w:r w:rsidRPr="001415C7">
        <w:t xml:space="preserve">It is reasonable for the Commission to </w:t>
      </w:r>
      <w:r w:rsidRPr="001415C7">
        <w:rPr>
          <w:szCs w:val="26"/>
        </w:rPr>
        <w:t xml:space="preserve">require applications to </w:t>
      </w:r>
      <w:r w:rsidRPr="001415C7" w:rsidR="00D64808">
        <w:rPr>
          <w:szCs w:val="26"/>
        </w:rPr>
        <w:t xml:space="preserve">demonstrate </w:t>
      </w:r>
      <w:r w:rsidRPr="00293EE6" w:rsidR="00293EE6">
        <w:rPr>
          <w:szCs w:val="26"/>
        </w:rPr>
        <w:t>has a reasonable expectation that no less than 67 percent of the property owners with natural gas service within the pilot project area would consent to participate in the project</w:t>
      </w:r>
      <w:r w:rsidRPr="001415C7" w:rsidR="00D64808">
        <w:rPr>
          <w:szCs w:val="26"/>
        </w:rPr>
        <w:t>.</w:t>
      </w:r>
    </w:p>
    <w:p w:rsidRPr="001415C7" w:rsidR="00065CAF" w:rsidP="00065CAF" w:rsidRDefault="00065CAF" w14:paraId="78272C2E" w14:textId="5FAC7F8E">
      <w:pPr>
        <w:pStyle w:val="CoL"/>
      </w:pPr>
      <w:r w:rsidRPr="001415C7">
        <w:t xml:space="preserve">It is reasonable </w:t>
      </w:r>
      <w:r w:rsidRPr="001415C7" w:rsidR="00304501">
        <w:t xml:space="preserve">for the Commission to </w:t>
      </w:r>
      <w:r w:rsidRPr="001415C7">
        <w:t xml:space="preserve">require </w:t>
      </w:r>
      <w:r w:rsidRPr="001415C7" w:rsidR="00B66564">
        <w:t>an applicant</w:t>
      </w:r>
      <w:r w:rsidRPr="001415C7">
        <w:t xml:space="preserve">, after the Commission approves a pilot, to obtain binding consent </w:t>
      </w:r>
      <w:r w:rsidRPr="001415C7" w:rsidR="00EA7B20">
        <w:t xml:space="preserve">agreements </w:t>
      </w:r>
      <w:r w:rsidRPr="001415C7">
        <w:t xml:space="preserve">from </w:t>
      </w:r>
      <w:r w:rsidRPr="001415C7" w:rsidR="00743159">
        <w:t xml:space="preserve">the owners of </w:t>
      </w:r>
      <w:r w:rsidRPr="001415C7">
        <w:t>at least 67 percent of the affected propert</w:t>
      </w:r>
      <w:r w:rsidRPr="001415C7" w:rsidR="00743159">
        <w:t>ies</w:t>
      </w:r>
      <w:r w:rsidRPr="001415C7">
        <w:t xml:space="preserve"> before </w:t>
      </w:r>
      <w:r w:rsidRPr="001415C7" w:rsidR="00110D49">
        <w:t>making capital investments toward the pilot project.</w:t>
      </w:r>
    </w:p>
    <w:p w:rsidRPr="001415C7" w:rsidR="00A204F6" w:rsidP="00065CAF" w:rsidRDefault="00A204F6" w14:paraId="6842A9E7" w14:textId="17A0BCEE">
      <w:pPr>
        <w:pStyle w:val="CoL"/>
      </w:pPr>
      <w:r w:rsidRPr="001415C7">
        <w:t xml:space="preserve">It is reasonable for the Commission to </w:t>
      </w:r>
      <w:r w:rsidRPr="001415C7" w:rsidR="0008376D">
        <w:t xml:space="preserve">require the applicant, </w:t>
      </w:r>
      <w:r w:rsidRPr="001415C7" w:rsidR="0008376D">
        <w:rPr>
          <w:szCs w:val="26"/>
        </w:rPr>
        <w:t xml:space="preserve">once </w:t>
      </w:r>
      <w:r w:rsidRPr="001415C7" w:rsidR="00693E0B">
        <w:rPr>
          <w:szCs w:val="26"/>
        </w:rPr>
        <w:t xml:space="preserve">it has </w:t>
      </w:r>
      <w:r w:rsidRPr="001415C7" w:rsidR="0008376D">
        <w:rPr>
          <w:szCs w:val="26"/>
        </w:rPr>
        <w:t xml:space="preserve">obtained consent from </w:t>
      </w:r>
      <w:r w:rsidRPr="001415C7" w:rsidR="00693E0B">
        <w:rPr>
          <w:szCs w:val="26"/>
        </w:rPr>
        <w:t xml:space="preserve">the owners of at least </w:t>
      </w:r>
      <w:r w:rsidRPr="001415C7" w:rsidR="0008376D">
        <w:rPr>
          <w:szCs w:val="26"/>
        </w:rPr>
        <w:t xml:space="preserve">67 percent of the </w:t>
      </w:r>
      <w:r w:rsidRPr="001415C7" w:rsidR="00693E0B">
        <w:rPr>
          <w:szCs w:val="26"/>
        </w:rPr>
        <w:t xml:space="preserve">affected </w:t>
      </w:r>
      <w:r w:rsidRPr="001415C7" w:rsidR="0008376D">
        <w:rPr>
          <w:szCs w:val="26"/>
        </w:rPr>
        <w:t>propert</w:t>
      </w:r>
      <w:r w:rsidRPr="001415C7" w:rsidR="00693E0B">
        <w:rPr>
          <w:szCs w:val="26"/>
        </w:rPr>
        <w:t>ies</w:t>
      </w:r>
      <w:r w:rsidRPr="001415C7" w:rsidR="0008376D">
        <w:rPr>
          <w:szCs w:val="26"/>
        </w:rPr>
        <w:t xml:space="preserve"> and determined to move forward with the project, to file and serve a Tier 1 Advice Letter containing copies of the binding consent agreements obtained from the property owners.</w:t>
      </w:r>
    </w:p>
    <w:p w:rsidRPr="001415C7" w:rsidR="002E5F64" w:rsidRDefault="002E5F64" w14:paraId="32D85B1C" w14:textId="357DEC89">
      <w:pPr>
        <w:pStyle w:val="CoL"/>
      </w:pPr>
      <w:r w:rsidRPr="001415C7">
        <w:t>It is</w:t>
      </w:r>
      <w:r w:rsidRPr="001415C7" w:rsidR="005E2A9D">
        <w:t xml:space="preserve"> reasonable for the Commission to require applicants to </w:t>
      </w:r>
      <w:r w:rsidRPr="001415C7" w:rsidR="008D7528">
        <w:t>follow the outreach, notification, and documentation requirements listed in Appendix A</w:t>
      </w:r>
      <w:r w:rsidRPr="001415C7" w:rsidR="00D55248">
        <w:t>, including submission of an annual Tier 1 advice letter by November 1</w:t>
      </w:r>
      <w:r w:rsidRPr="001415C7" w:rsidR="008D7528">
        <w:t>.</w:t>
      </w:r>
    </w:p>
    <w:p w:rsidRPr="001415C7" w:rsidR="00F778F4" w:rsidRDefault="7E7C62FF" w14:paraId="656C6358" w14:textId="50F71EC7">
      <w:pPr>
        <w:pStyle w:val="CoL"/>
      </w:pPr>
      <w:r w:rsidRPr="001415C7">
        <w:lastRenderedPageBreak/>
        <w:t xml:space="preserve">It is reasonable for the Commission, in cases where a property owner consents to the pilot project but an affected customer or tenant does not, </w:t>
      </w:r>
      <w:r w:rsidRPr="001415C7" w:rsidR="5BF8BDA8">
        <w:t xml:space="preserve">to require </w:t>
      </w:r>
      <w:r w:rsidRPr="001415C7">
        <w:t xml:space="preserve">the applicant </w:t>
      </w:r>
      <w:r w:rsidRPr="001415C7" w:rsidR="5BF8BDA8">
        <w:t>to</w:t>
      </w:r>
      <w:r w:rsidRPr="001415C7">
        <w:t xml:space="preserve"> coordinate with the property owner to plan for and schedule the necessary steps of the pilot.</w:t>
      </w:r>
    </w:p>
    <w:p w:rsidRPr="001415C7" w:rsidR="00E36916" w:rsidRDefault="00E36916" w14:paraId="026CAADD" w14:textId="722E8516">
      <w:pPr>
        <w:pStyle w:val="CoL"/>
      </w:pPr>
      <w:r w:rsidRPr="001415C7">
        <w:t xml:space="preserve">It is reasonable for the Commission to </w:t>
      </w:r>
      <w:r w:rsidRPr="001415C7">
        <w:rPr>
          <w:szCs w:val="26"/>
        </w:rPr>
        <w:t>require applicants to notify and engage with tenants of master-metered properties using, to the extent possible, the same methods they would use to contact property owners or affected customers</w:t>
      </w:r>
      <w:r w:rsidRPr="001415C7" w:rsidR="008B7F82">
        <w:rPr>
          <w:szCs w:val="26"/>
        </w:rPr>
        <w:t>.</w:t>
      </w:r>
    </w:p>
    <w:p w:rsidRPr="001415C7" w:rsidR="008B7F82" w:rsidP="008B7F82" w:rsidRDefault="008B7F82" w14:paraId="0DD5F1FB" w14:textId="4B39C38D">
      <w:pPr>
        <w:pStyle w:val="CoL"/>
      </w:pPr>
      <w:r w:rsidRPr="001415C7">
        <w:t>It is reasonable for the Commission to authorize applicants to fund Community-Based Organizations as necessary and prudent to support the notification, outreach, and engagement requirements established in this section and in Appendix A.</w:t>
      </w:r>
    </w:p>
    <w:p w:rsidRPr="001415C7" w:rsidR="002315C7" w:rsidP="00203ABF" w:rsidRDefault="00D50D9A" w14:paraId="2FD3317F" w14:textId="3571E693">
      <w:pPr>
        <w:pStyle w:val="CoL"/>
      </w:pPr>
      <w:r w:rsidRPr="001415C7">
        <w:t>It is reasonable for the Commission to authorize gas corporations that plan to file an application to implement pilot projects to establish a memorandum account to record the administrative and outreach costs they incur in the course of developing their application.</w:t>
      </w:r>
    </w:p>
    <w:p w:rsidR="007B186B" w:rsidP="00BB1713" w:rsidRDefault="00B649A9" w14:paraId="4A63CFB2" w14:textId="77777777">
      <w:pPr>
        <w:pStyle w:val="CoL"/>
      </w:pPr>
      <w:r w:rsidRPr="001415C7">
        <w:t xml:space="preserve">It is reasonable for the Commission </w:t>
      </w:r>
      <w:r w:rsidRPr="001415C7" w:rsidR="002347BD">
        <w:t xml:space="preserve">to authorize </w:t>
      </w:r>
      <w:r w:rsidRPr="001415C7">
        <w:t>gas corporations to file a Tier 2 Advice Letter to request authority to recover the</w:t>
      </w:r>
      <w:r w:rsidRPr="001415C7" w:rsidR="00817EB0">
        <w:t xml:space="preserve"> </w:t>
      </w:r>
      <w:r w:rsidRPr="001415C7">
        <w:t>costs incurred in support of projects that were ultimately not included in a proposal</w:t>
      </w:r>
      <w:r w:rsidRPr="001415C7" w:rsidR="00EA4914">
        <w:t>.</w:t>
      </w:r>
      <w:r w:rsidRPr="001415C7" w:rsidR="00817EB0">
        <w:t xml:space="preserve"> </w:t>
      </w:r>
      <w:r w:rsidRPr="001415C7" w:rsidR="00EA4914">
        <w:t>I</w:t>
      </w:r>
      <w:r w:rsidRPr="001415C7">
        <w:t xml:space="preserve">t is reasonable for the Commission to require the utility to justify </w:t>
      </w:r>
      <w:r w:rsidRPr="001415C7" w:rsidR="00EA4914">
        <w:t>those</w:t>
      </w:r>
      <w:r w:rsidRPr="001415C7">
        <w:t xml:space="preserve"> expenditures, explain why the projects were ultimately not included in a proposal, </w:t>
      </w:r>
      <w:r w:rsidRPr="001415C7" w:rsidR="00BF24F3">
        <w:t>and share any lessons learned from the process.</w:t>
      </w:r>
      <w:r w:rsidRPr="001415C7" w:rsidDel="00657C9D" w:rsidR="002F668D">
        <w:t xml:space="preserve"> </w:t>
      </w:r>
    </w:p>
    <w:p w:rsidRPr="001415C7" w:rsidR="00652FF8" w:rsidP="00BB1713" w:rsidRDefault="00652FF8" w14:paraId="3354B54A" w14:textId="64AFE151">
      <w:pPr>
        <w:pStyle w:val="CoL"/>
      </w:pPr>
      <w:r w:rsidRPr="001415C7">
        <w:t xml:space="preserve">It is reasonable for the Commission to direct applicants to evaluate the </w:t>
      </w:r>
      <w:r w:rsidRPr="001415C7" w:rsidR="00007A79">
        <w:t>cost effective</w:t>
      </w:r>
      <w:r w:rsidRPr="001415C7">
        <w:t xml:space="preserve">ness of pilot projects by </w:t>
      </w:r>
      <w:r w:rsidRPr="001415C7" w:rsidR="00491E33">
        <w:t xml:space="preserve">comparing the net present value of the avoided gas investments and maintenance to the costs of implementing the zero-emission </w:t>
      </w:r>
      <w:r w:rsidRPr="001415C7" w:rsidR="00491E33">
        <w:lastRenderedPageBreak/>
        <w:t xml:space="preserve">alternative </w:t>
      </w:r>
      <w:r w:rsidRPr="001415C7">
        <w:t xml:space="preserve">using the applicant’s weighted average cost of capital </w:t>
      </w:r>
      <w:r w:rsidRPr="001415C7" w:rsidR="002C366E">
        <w:t xml:space="preserve">as the discount rate </w:t>
      </w:r>
      <w:r w:rsidRPr="001415C7">
        <w:t>to account for the time value of money.</w:t>
      </w:r>
    </w:p>
    <w:p w:rsidRPr="001415C7" w:rsidR="00733E10" w:rsidP="00105D45" w:rsidRDefault="00917D5D" w14:paraId="52F3CC2C" w14:textId="118A8E44">
      <w:pPr>
        <w:pStyle w:val="CoL"/>
      </w:pPr>
      <w:r w:rsidRPr="001415C7">
        <w:t xml:space="preserve">It is reasonable for the Commission to require applicants to include the net present value of the following costs in their </w:t>
      </w:r>
      <w:r w:rsidRPr="001415C7" w:rsidR="00007A79">
        <w:t xml:space="preserve">cost </w:t>
      </w:r>
      <w:r w:rsidRPr="001415C7">
        <w:t xml:space="preserve">effectiveness calculations: the cost of purchasing and installing zero-emission alternatives (e.g., new electric appliances); the cost of providing the </w:t>
      </w:r>
      <w:r w:rsidRPr="001415C7" w:rsidR="0082542A">
        <w:t xml:space="preserve">property </w:t>
      </w:r>
      <w:r w:rsidRPr="001415C7">
        <w:t xml:space="preserve">remediation services that are necessary to support any new appliances (e.g., service panel upgrades, pans compatible with induction stoves); the cost of incremental electric infrastructure made necessary by the pilot project (both customer-sited and utility-owned) that could not be mitigated by load management devices or other strategies to minimize grid upgrades; </w:t>
      </w:r>
      <w:r w:rsidRPr="001415C7" w:rsidR="00270AAA">
        <w:t xml:space="preserve">and the </w:t>
      </w:r>
      <w:r w:rsidRPr="001415C7">
        <w:t>gas infrastructure decommissioning costs</w:t>
      </w:r>
      <w:r w:rsidRPr="001415C7" w:rsidR="0005356E">
        <w:t>.</w:t>
      </w:r>
    </w:p>
    <w:p w:rsidRPr="001415C7" w:rsidR="00733E10" w:rsidP="00105D45" w:rsidRDefault="002E06D7" w14:paraId="6DEC8701" w14:textId="0B808DBD">
      <w:pPr>
        <w:pStyle w:val="CoL"/>
      </w:pPr>
      <w:r w:rsidRPr="001415C7">
        <w:t>It is reasonable for the Commission to</w:t>
      </w:r>
      <w:r w:rsidRPr="001415C7" w:rsidR="00733E10">
        <w:t xml:space="preserve"> </w:t>
      </w:r>
      <w:r w:rsidRPr="001415C7">
        <w:t xml:space="preserve">require applicants </w:t>
      </w:r>
      <w:r w:rsidRPr="001415C7" w:rsidR="003C061C">
        <w:t xml:space="preserve">to </w:t>
      </w:r>
      <w:r w:rsidRPr="001415C7" w:rsidR="00733E10">
        <w:t xml:space="preserve">exclude the following costs from their </w:t>
      </w:r>
      <w:r w:rsidRPr="001415C7" w:rsidR="00007A79">
        <w:t>cost effective</w:t>
      </w:r>
      <w:r w:rsidRPr="001415C7" w:rsidR="00733E10">
        <w:t xml:space="preserve">ness calculations: program administration costs, including any evaluation or measurement costs; any forecasted operations and maintenance for the replacement appliances; and the cost of electric infrastructure upgrades that would have occurred without the pilot project. </w:t>
      </w:r>
    </w:p>
    <w:p w:rsidRPr="001415C7" w:rsidR="00733E10" w:rsidP="002E06D7" w:rsidRDefault="002E06D7" w14:paraId="3697914D" w14:textId="5DCA46A1">
      <w:pPr>
        <w:pStyle w:val="CoL"/>
      </w:pPr>
      <w:r w:rsidRPr="001415C7">
        <w:t>It is reasonable for the Commission to require a</w:t>
      </w:r>
      <w:r w:rsidRPr="001415C7" w:rsidR="00733E10">
        <w:t xml:space="preserve">pplicants </w:t>
      </w:r>
      <w:r w:rsidRPr="001415C7">
        <w:t>to</w:t>
      </w:r>
      <w:r w:rsidRPr="001415C7" w:rsidR="00733E10">
        <w:t xml:space="preserve"> include the net present value of the following </w:t>
      </w:r>
      <w:r w:rsidRPr="001415C7" w:rsidR="00283578">
        <w:t>benefits</w:t>
      </w:r>
      <w:r w:rsidRPr="001415C7" w:rsidR="00733E10">
        <w:t xml:space="preserve"> in their </w:t>
      </w:r>
      <w:r w:rsidRPr="001415C7" w:rsidR="00007A79">
        <w:t>cost effective</w:t>
      </w:r>
      <w:r w:rsidRPr="001415C7" w:rsidR="00733E10">
        <w:t>ness calculations: the gas infrastructure capital investments and operational and maintenance costs the utility would otherwise have incurred, if not for the proposed project.</w:t>
      </w:r>
    </w:p>
    <w:p w:rsidRPr="001415C7" w:rsidR="00DD5342" w:rsidP="00B07AAB" w:rsidRDefault="00BE1D96" w14:paraId="2190FACC" w14:textId="204AD1F0">
      <w:pPr>
        <w:pStyle w:val="CoL"/>
      </w:pPr>
      <w:r w:rsidRPr="001415C7">
        <w:t>It is reasonable for the Commission to require applicants to calculate avoided gas infrastructure costs using a template developed by Energy Division staff that will be made available on the SB 1221 Implementation webpage.</w:t>
      </w:r>
    </w:p>
    <w:p w:rsidRPr="001415C7" w:rsidR="001107DD" w:rsidP="00B07AAB" w:rsidRDefault="001107DD" w14:paraId="5BA198C1" w14:textId="241C2390">
      <w:pPr>
        <w:pStyle w:val="CoL"/>
      </w:pPr>
      <w:r w:rsidRPr="001415C7">
        <w:t xml:space="preserve">It is reasonable for the Commission to require applicants to conduct </w:t>
      </w:r>
      <w:r w:rsidRPr="001415C7" w:rsidR="00CE4311">
        <w:t xml:space="preserve">four </w:t>
      </w:r>
      <w:r w:rsidRPr="001415C7" w:rsidR="00007A79">
        <w:t>cost effective</w:t>
      </w:r>
      <w:r w:rsidRPr="001415C7">
        <w:t xml:space="preserve">ness calculations: one calculation that excludes costs funded by </w:t>
      </w:r>
      <w:r w:rsidRPr="001415C7">
        <w:lastRenderedPageBreak/>
        <w:t>sources other than ratepayers</w:t>
      </w:r>
      <w:r w:rsidRPr="001415C7" w:rsidR="00626A32">
        <w:t xml:space="preserve"> and administrative costs, and three more with each of the permutations of those costs being included or excluded</w:t>
      </w:r>
      <w:r w:rsidRPr="001415C7">
        <w:t>.</w:t>
      </w:r>
    </w:p>
    <w:p w:rsidRPr="001415C7" w:rsidR="001B4C16" w:rsidP="00B07AAB" w:rsidRDefault="001B4C16" w14:paraId="3E1B5B12" w14:textId="16ADDD24">
      <w:pPr>
        <w:pStyle w:val="CoL"/>
      </w:pPr>
      <w:r w:rsidRPr="001415C7">
        <w:t>It is reasonable for the Commission to require applicants to limit their administrative and outreach costs to no more than ten percent of each pilot’s cost unless the applicant requests</w:t>
      </w:r>
      <w:r w:rsidRPr="001415C7" w:rsidR="00425754">
        <w:t>,</w:t>
      </w:r>
      <w:r w:rsidRPr="001415C7">
        <w:t xml:space="preserve"> and the Commission approves</w:t>
      </w:r>
      <w:r w:rsidRPr="001415C7" w:rsidR="00425754">
        <w:t>,</w:t>
      </w:r>
      <w:r w:rsidRPr="001415C7">
        <w:t xml:space="preserve"> a case-by-case exemption</w:t>
      </w:r>
      <w:r w:rsidRPr="001415C7" w:rsidR="00643D24">
        <w:t>.</w:t>
      </w:r>
    </w:p>
    <w:p w:rsidRPr="001415C7" w:rsidR="00140F2E" w:rsidP="00B07AAB" w:rsidRDefault="00140F2E" w14:paraId="6C1ADA89" w14:textId="4C6E55DA">
      <w:pPr>
        <w:pStyle w:val="CoL"/>
      </w:pPr>
      <w:r w:rsidRPr="001415C7">
        <w:t>It is reasonable for the Commission to authorize applicants to, in their applications, request authority to establish balancing accounts to record the costs incurred for behind-the-meter work during pilot implementation</w:t>
      </w:r>
      <w:r w:rsidRPr="001415C7" w:rsidR="00EF35E4">
        <w:t>.</w:t>
      </w:r>
    </w:p>
    <w:p w:rsidRPr="001415C7" w:rsidR="004E01CA" w:rsidP="00B07AAB" w:rsidRDefault="004E01CA" w14:paraId="14585720" w14:textId="4A6387CC">
      <w:pPr>
        <w:pStyle w:val="CoL"/>
      </w:pPr>
      <w:r w:rsidRPr="001415C7">
        <w:t>It is reasonable for the Commission to require applicants requesting to establish a balancing account to propose and justify a cap on pilot expenditures based on the forecasted costs of the ZEA implementation (including financing costs based on the appropriate cost of debt) and to propose an amortization period over which the applicant will recover the costs.</w:t>
      </w:r>
    </w:p>
    <w:p w:rsidRPr="001415C7" w:rsidR="00EF35E4" w:rsidP="00B07AAB" w:rsidRDefault="00EF35E4" w14:paraId="3C8060FB" w14:textId="3C9D1FE0">
      <w:pPr>
        <w:pStyle w:val="CoL"/>
      </w:pPr>
      <w:r w:rsidRPr="001415C7">
        <w:t xml:space="preserve">It is reasonable for the Commission to authorize applicants to record behind-the-meter costs as expenses and </w:t>
      </w:r>
      <w:r w:rsidRPr="001415C7" w:rsidDel="003542A8">
        <w:t xml:space="preserve">propose to </w:t>
      </w:r>
      <w:r w:rsidRPr="001415C7" w:rsidDel="007266A5">
        <w:t>amortize</w:t>
      </w:r>
      <w:r w:rsidRPr="001415C7">
        <w:t xml:space="preserve"> those</w:t>
      </w:r>
      <w:r w:rsidRPr="001415C7" w:rsidDel="000A5789">
        <w:t xml:space="preserve"> </w:t>
      </w:r>
      <w:r w:rsidRPr="001415C7">
        <w:t xml:space="preserve">costs over a period of no more than ten years. </w:t>
      </w:r>
    </w:p>
    <w:p w:rsidRPr="001415C7" w:rsidR="00EF35E4" w:rsidP="00B07AAB" w:rsidRDefault="00EF35E4" w14:paraId="4BFA4B75" w14:textId="5C25AA28">
      <w:pPr>
        <w:pStyle w:val="CoL"/>
      </w:pPr>
      <w:r w:rsidRPr="001415C7">
        <w:t>It is reasonable for the Commission to</w:t>
      </w:r>
      <w:r w:rsidRPr="001415C7" w:rsidR="006F584D">
        <w:t xml:space="preserve"> authorize applicants to </w:t>
      </w:r>
      <w:r w:rsidRPr="001415C7">
        <w:t xml:space="preserve">recover </w:t>
      </w:r>
      <w:r w:rsidRPr="001415C7" w:rsidR="006F584D">
        <w:t>the costs to finance behind-the-meter work</w:t>
      </w:r>
      <w:r w:rsidRPr="001415C7">
        <w:t xml:space="preserve"> at either the interest rate of the account to which </w:t>
      </w:r>
      <w:r w:rsidRPr="001415C7" w:rsidR="006F584D">
        <w:t>those</w:t>
      </w:r>
      <w:r w:rsidRPr="001415C7">
        <w:t xml:space="preserve"> costs are recorded or at the utility’s authorized cost of debt</w:t>
      </w:r>
      <w:r w:rsidRPr="001415C7" w:rsidR="006F584D">
        <w:t>.</w:t>
      </w:r>
    </w:p>
    <w:p w:rsidRPr="001415C7" w:rsidR="00BB0243" w:rsidP="000A6E05" w:rsidRDefault="005939A5" w14:paraId="3885B4FD" w14:textId="77777777">
      <w:pPr>
        <w:pStyle w:val="Mainex"/>
      </w:pPr>
      <w:bookmarkStart w:name="_Toc228261710" w:id="126"/>
      <w:bookmarkStart w:name="_Toc233633651" w:id="127"/>
      <w:r w:rsidRPr="001415C7">
        <w:t>O</w:t>
      </w:r>
      <w:r w:rsidRPr="001415C7" w:rsidR="00722850">
        <w:t>RDER</w:t>
      </w:r>
      <w:bookmarkEnd w:id="126"/>
      <w:bookmarkEnd w:id="127"/>
    </w:p>
    <w:p w:rsidRPr="001415C7" w:rsidR="00BB0243" w:rsidP="000A6E05" w:rsidRDefault="00BB0243" w14:paraId="7C7D27AC" w14:textId="77777777">
      <w:pPr>
        <w:keepNext/>
      </w:pPr>
      <w:r w:rsidRPr="001415C7">
        <w:rPr>
          <w:b/>
        </w:rPr>
        <w:t>IT IS ORDERED</w:t>
      </w:r>
      <w:r w:rsidRPr="001415C7">
        <w:t xml:space="preserve"> that:</w:t>
      </w:r>
    </w:p>
    <w:p w:rsidRPr="001415C7" w:rsidR="00652FF8" w:rsidP="00BB1713" w:rsidRDefault="000B55E4" w14:paraId="47E76D2F" w14:textId="671D0DA0">
      <w:pPr>
        <w:pStyle w:val="OP"/>
      </w:pPr>
      <w:r w:rsidRPr="001415C7">
        <w:t>Any gas</w:t>
      </w:r>
      <w:r w:rsidRPr="001415C7" w:rsidR="00887A93">
        <w:t xml:space="preserve"> distribution</w:t>
      </w:r>
      <w:r w:rsidRPr="001415C7">
        <w:t xml:space="preserve"> utility regulated by the Commission may</w:t>
      </w:r>
      <w:r w:rsidRPr="001415C7" w:rsidR="00A33F00">
        <w:t xml:space="preserve"> submit </w:t>
      </w:r>
      <w:r w:rsidRPr="001415C7" w:rsidR="00B77F1B">
        <w:t>neighborhood</w:t>
      </w:r>
      <w:r w:rsidRPr="001415C7" w:rsidR="004B179C">
        <w:t xml:space="preserve"> decarbonization </w:t>
      </w:r>
      <w:r w:rsidRPr="001415C7" w:rsidR="00A33F00">
        <w:t>pilot project proposals</w:t>
      </w:r>
      <w:r w:rsidRPr="001415C7" w:rsidR="00652FF8">
        <w:t xml:space="preserve"> </w:t>
      </w:r>
      <w:r w:rsidRPr="001415C7" w:rsidR="00A30FED">
        <w:t>by filing an</w:t>
      </w:r>
      <w:r w:rsidRPr="001415C7" w:rsidR="00652FF8">
        <w:t xml:space="preserve"> application.</w:t>
      </w:r>
    </w:p>
    <w:p w:rsidRPr="001415C7" w:rsidR="00652FF8" w:rsidP="0001458E" w:rsidRDefault="00652FF8" w14:paraId="07165B34" w14:textId="70126E0F">
      <w:pPr>
        <w:pStyle w:val="OP"/>
        <w:numPr>
          <w:ilvl w:val="1"/>
          <w:numId w:val="5"/>
        </w:numPr>
      </w:pPr>
      <w:r w:rsidRPr="001415C7">
        <w:t>The first round of pilot project proposal</w:t>
      </w:r>
      <w:r w:rsidRPr="001415C7" w:rsidR="00543555">
        <w:t xml:space="preserve"> applications</w:t>
      </w:r>
      <w:r w:rsidRPr="001415C7">
        <w:t xml:space="preserve"> shall be </w:t>
      </w:r>
      <w:r w:rsidRPr="001415C7" w:rsidR="00543555">
        <w:t xml:space="preserve">filed </w:t>
      </w:r>
      <w:r w:rsidRPr="001415C7">
        <w:t xml:space="preserve">by </w:t>
      </w:r>
      <w:r w:rsidRPr="001415C7" w:rsidR="003364C2">
        <w:t>April 1, 2027</w:t>
      </w:r>
      <w:r w:rsidRPr="001415C7" w:rsidR="000D5737">
        <w:t>.</w:t>
      </w:r>
    </w:p>
    <w:p w:rsidRPr="001415C7" w:rsidR="00652FF8" w:rsidP="0001458E" w:rsidRDefault="00652FF8" w14:paraId="31725985" w14:textId="7E5D38A3">
      <w:pPr>
        <w:pStyle w:val="OP"/>
        <w:numPr>
          <w:ilvl w:val="1"/>
          <w:numId w:val="5"/>
        </w:numPr>
      </w:pPr>
      <w:r w:rsidRPr="001415C7">
        <w:lastRenderedPageBreak/>
        <w:t>Applicants shall include</w:t>
      </w:r>
      <w:r w:rsidRPr="001415C7" w:rsidR="00C8131E">
        <w:t xml:space="preserve"> in their application the information </w:t>
      </w:r>
      <w:r w:rsidRPr="001415C7" w:rsidR="0087224C">
        <w:t xml:space="preserve">and proposals </w:t>
      </w:r>
      <w:r w:rsidRPr="001415C7" w:rsidR="00C8131E">
        <w:t>required by this decision and by the application template that the Commission’s Energy Division will post on the Commission</w:t>
      </w:r>
      <w:r w:rsidRPr="001415C7" w:rsidR="00CD74D7">
        <w:t>’s</w:t>
      </w:r>
      <w:r w:rsidRPr="001415C7" w:rsidR="00C8131E">
        <w:t xml:space="preserve"> website.</w:t>
      </w:r>
    </w:p>
    <w:p w:rsidRPr="001415C7" w:rsidR="00745F79" w:rsidP="0001458E" w:rsidRDefault="008B5F88" w14:paraId="498E103E" w14:textId="5EA11A73">
      <w:pPr>
        <w:pStyle w:val="OP"/>
        <w:numPr>
          <w:ilvl w:val="1"/>
          <w:numId w:val="5"/>
        </w:numPr>
      </w:pPr>
      <w:r w:rsidRPr="001415C7">
        <w:t xml:space="preserve">The </w:t>
      </w:r>
      <w:r w:rsidRPr="001415C7" w:rsidR="00F5433D">
        <w:t>second round of proposals</w:t>
      </w:r>
      <w:r w:rsidRPr="001415C7" w:rsidR="00AD3BB0">
        <w:t xml:space="preserve"> shall be filed</w:t>
      </w:r>
      <w:r w:rsidRPr="001415C7" w:rsidR="00F5433D">
        <w:t xml:space="preserve"> by </w:t>
      </w:r>
      <w:r w:rsidRPr="001415C7" w:rsidR="00A547D5">
        <w:t>January 15, 2028</w:t>
      </w:r>
      <w:r w:rsidRPr="001415C7">
        <w:t>,</w:t>
      </w:r>
      <w:r w:rsidRPr="001415C7" w:rsidR="00A547D5">
        <w:t xml:space="preserve"> and a third round </w:t>
      </w:r>
      <w:r w:rsidRPr="001415C7">
        <w:t>shall be filed by</w:t>
      </w:r>
      <w:r w:rsidRPr="001415C7" w:rsidR="00A547D5">
        <w:t xml:space="preserve"> </w:t>
      </w:r>
      <w:r w:rsidRPr="001415C7" w:rsidR="00C92C41">
        <w:t>June 1, 2028.</w:t>
      </w:r>
    </w:p>
    <w:p w:rsidRPr="001415C7" w:rsidR="00463A51" w:rsidP="00090017" w:rsidRDefault="003533DA" w14:paraId="6095AD7E" w14:textId="07F5FB13">
      <w:pPr>
        <w:pStyle w:val="OP"/>
      </w:pPr>
      <w:r w:rsidRPr="001415C7">
        <w:t xml:space="preserve">Gas corporations that plan to file an application to implement pilot projects </w:t>
      </w:r>
      <w:r w:rsidRPr="001415C7" w:rsidR="00E95293">
        <w:t>may file a Tier 1 advice letter</w:t>
      </w:r>
      <w:r w:rsidRPr="001415C7">
        <w:t xml:space="preserve"> to establish a memorandum account to record the administrative and outreach costs they incur in the course of developing their application.</w:t>
      </w:r>
    </w:p>
    <w:p w:rsidRPr="001415C7" w:rsidR="00F6397D" w:rsidP="00B3087D" w:rsidRDefault="00E23CBB" w14:paraId="746B18CE" w14:textId="0DB37E57">
      <w:pPr>
        <w:pStyle w:val="OP"/>
      </w:pPr>
      <w:r w:rsidRPr="001415C7">
        <w:t xml:space="preserve">Rulemaking </w:t>
      </w:r>
      <w:r w:rsidRPr="001415C7" w:rsidR="008F3EA5">
        <w:t>24</w:t>
      </w:r>
      <w:r w:rsidRPr="001415C7">
        <w:t>-</w:t>
      </w:r>
      <w:r w:rsidRPr="001415C7" w:rsidR="008F3EA5">
        <w:t>09</w:t>
      </w:r>
      <w:r w:rsidRPr="001415C7">
        <w:t>-</w:t>
      </w:r>
      <w:r w:rsidRPr="001415C7" w:rsidR="008F3EA5">
        <w:t>012</w:t>
      </w:r>
      <w:r w:rsidRPr="001415C7">
        <w:t xml:space="preserve"> </w:t>
      </w:r>
      <w:r w:rsidRPr="001415C7" w:rsidR="00652FF8">
        <w:t>remains open</w:t>
      </w:r>
      <w:r w:rsidRPr="001415C7">
        <w:t>.</w:t>
      </w:r>
    </w:p>
    <w:p w:rsidRPr="001415C7" w:rsidR="008F0116" w:rsidP="008F0116" w:rsidRDefault="008F0116" w14:paraId="4BA39205" w14:textId="77777777">
      <w:r w:rsidRPr="001415C7">
        <w:t>This order is effective today.</w:t>
      </w:r>
    </w:p>
    <w:p w:rsidRPr="001415C7" w:rsidR="00714CF2" w:rsidP="00816E05" w:rsidRDefault="008F0116" w14:paraId="5D2594F8" w14:textId="305B9326">
      <w:r w:rsidRPr="001415C7">
        <w:t xml:space="preserve">Dated </w:t>
      </w:r>
      <w:r w:rsidRPr="001415C7">
        <w:rPr>
          <w:u w:val="single"/>
        </w:rPr>
        <w:tab/>
      </w:r>
      <w:r w:rsidRPr="001415C7">
        <w:rPr>
          <w:u w:val="single"/>
        </w:rPr>
        <w:tab/>
      </w:r>
      <w:r w:rsidRPr="001415C7">
        <w:rPr>
          <w:u w:val="single"/>
        </w:rPr>
        <w:tab/>
      </w:r>
      <w:r w:rsidRPr="001415C7">
        <w:rPr>
          <w:u w:val="single"/>
        </w:rPr>
        <w:tab/>
      </w:r>
      <w:r w:rsidRPr="001415C7">
        <w:rPr>
          <w:u w:val="single"/>
        </w:rPr>
        <w:tab/>
      </w:r>
      <w:r w:rsidRPr="001415C7">
        <w:t xml:space="preserve">, at </w:t>
      </w:r>
      <w:r w:rsidRPr="001415C7" w:rsidR="00C83D7D">
        <w:t>Fort Bragg</w:t>
      </w:r>
      <w:r w:rsidRPr="001415C7">
        <w:t>, California</w:t>
      </w:r>
      <w:r w:rsidRPr="001415C7" w:rsidR="00BB1713">
        <w:t>.</w:t>
      </w:r>
    </w:p>
    <w:p w:rsidRPr="001415C7" w:rsidR="00500ECD" w:rsidP="00500ECD" w:rsidRDefault="00500ECD" w14:paraId="743D90EA" w14:textId="77777777">
      <w:pPr>
        <w:ind w:firstLine="0"/>
      </w:pPr>
    </w:p>
    <w:p w:rsidRPr="001415C7" w:rsidR="00500ECD" w:rsidP="00500ECD" w:rsidRDefault="00500ECD" w14:paraId="22E6DFCB" w14:textId="77777777">
      <w:pPr>
        <w:ind w:firstLine="0"/>
      </w:pPr>
    </w:p>
    <w:p w:rsidRPr="001415C7" w:rsidR="00F80945" w:rsidP="00500ECD" w:rsidRDefault="00F80945" w14:paraId="3A1CE771" w14:textId="77777777">
      <w:pPr>
        <w:ind w:firstLine="0"/>
        <w:sectPr w:rsidRPr="001415C7" w:rsidR="00F80945" w:rsidSect="002A1AAC">
          <w:headerReference w:type="default" r:id="rId14"/>
          <w:footerReference w:type="default" r:id="rId15"/>
          <w:headerReference w:type="first" r:id="rId16"/>
          <w:footerReference w:type="first" r:id="rId17"/>
          <w:pgSz w:w="12240" w:h="15840"/>
          <w:pgMar w:top="1728" w:right="1440" w:bottom="1440" w:left="1440" w:header="720" w:footer="720" w:gutter="0"/>
          <w:pgNumType w:start="2"/>
          <w:cols w:space="720"/>
          <w:titlePg/>
          <w:docGrid w:linePitch="360"/>
        </w:sectPr>
      </w:pPr>
    </w:p>
    <w:p w:rsidRPr="001415C7" w:rsidR="00C727ED" w:rsidP="009C4701" w:rsidRDefault="00C727ED" w14:paraId="3D569160" w14:textId="20500538">
      <w:pPr>
        <w:pStyle w:val="Heading1"/>
        <w:numPr>
          <w:ilvl w:val="0"/>
          <w:numId w:val="0"/>
        </w:numPr>
        <w:ind w:left="720" w:hanging="720"/>
        <w:jc w:val="center"/>
      </w:pPr>
      <w:bookmarkStart w:name="_Toc233633652" w:id="128"/>
      <w:r w:rsidRPr="001415C7">
        <w:lastRenderedPageBreak/>
        <w:t>Appendix A</w:t>
      </w:r>
      <w:bookmarkEnd w:id="128"/>
      <w:r w:rsidRPr="001415C7">
        <w:br w:type="page"/>
      </w:r>
    </w:p>
    <w:p w:rsidRPr="001415C7" w:rsidR="00C727ED" w:rsidP="00F80945" w:rsidRDefault="00C727ED" w14:paraId="45DBB671" w14:textId="77777777">
      <w:pPr>
        <w:jc w:val="center"/>
        <w:rPr>
          <w:b/>
          <w:bCs/>
        </w:rPr>
      </w:pPr>
    </w:p>
    <w:p w:rsidRPr="001415C7" w:rsidR="00F80945" w:rsidP="00F80945" w:rsidRDefault="00F80945" w14:paraId="01E7B0AC" w14:textId="73311744">
      <w:pPr>
        <w:jc w:val="center"/>
        <w:rPr>
          <w:b/>
          <w:bCs/>
        </w:rPr>
      </w:pPr>
      <w:r w:rsidRPr="001415C7">
        <w:rPr>
          <w:b/>
          <w:bCs/>
        </w:rPr>
        <w:t>Table A: Notification and Information Requirements</w:t>
      </w:r>
    </w:p>
    <w:tbl>
      <w:tblPr>
        <w:tblStyle w:val="TableGrid"/>
        <w:tblW w:w="0" w:type="auto"/>
        <w:tblLook w:val="04A0" w:firstRow="1" w:lastRow="0" w:firstColumn="1" w:lastColumn="0" w:noHBand="0" w:noVBand="1"/>
      </w:tblPr>
      <w:tblGrid>
        <w:gridCol w:w="2376"/>
        <w:gridCol w:w="2663"/>
        <w:gridCol w:w="2663"/>
        <w:gridCol w:w="2663"/>
        <w:gridCol w:w="2297"/>
      </w:tblGrid>
      <w:tr w:rsidRPr="001415C7" w:rsidR="00F80945" w14:paraId="1CCD3345" w14:textId="77777777">
        <w:tc>
          <w:tcPr>
            <w:tcW w:w="2425" w:type="dxa"/>
            <w:vMerge w:val="restart"/>
            <w:shd w:val="clear" w:color="auto" w:fill="D9D9D9" w:themeFill="background1" w:themeFillShade="D9"/>
            <w:vAlign w:val="center"/>
          </w:tcPr>
          <w:p w:rsidRPr="001415C7" w:rsidR="00F80945" w:rsidRDefault="00F80945" w14:paraId="30716910" w14:textId="77777777">
            <w:pPr>
              <w:spacing w:line="240" w:lineRule="auto"/>
              <w:ind w:firstLine="0"/>
              <w:jc w:val="center"/>
              <w:rPr>
                <w:b/>
                <w:bCs/>
                <w:sz w:val="20"/>
                <w:szCs w:val="20"/>
              </w:rPr>
            </w:pPr>
            <w:r w:rsidRPr="001415C7">
              <w:rPr>
                <w:b/>
                <w:bCs/>
                <w:sz w:val="20"/>
                <w:szCs w:val="20"/>
              </w:rPr>
              <w:t>Project Phase</w:t>
            </w:r>
          </w:p>
        </w:tc>
        <w:tc>
          <w:tcPr>
            <w:tcW w:w="8190" w:type="dxa"/>
            <w:gridSpan w:val="3"/>
            <w:shd w:val="clear" w:color="auto" w:fill="D9D9D9" w:themeFill="background1" w:themeFillShade="D9"/>
            <w:vAlign w:val="center"/>
          </w:tcPr>
          <w:p w:rsidRPr="001415C7" w:rsidR="00F80945" w:rsidRDefault="00F80945" w14:paraId="09D85599" w14:textId="77777777">
            <w:pPr>
              <w:spacing w:line="240" w:lineRule="auto"/>
              <w:ind w:firstLine="0"/>
              <w:jc w:val="center"/>
              <w:rPr>
                <w:b/>
                <w:bCs/>
                <w:sz w:val="20"/>
                <w:szCs w:val="20"/>
              </w:rPr>
            </w:pPr>
            <w:r w:rsidRPr="001415C7">
              <w:rPr>
                <w:b/>
                <w:bCs/>
                <w:sz w:val="20"/>
                <w:szCs w:val="20"/>
              </w:rPr>
              <w:t>Information Communicated / Obtained</w:t>
            </w:r>
          </w:p>
        </w:tc>
        <w:tc>
          <w:tcPr>
            <w:tcW w:w="2335" w:type="dxa"/>
            <w:vMerge w:val="restart"/>
            <w:shd w:val="clear" w:color="auto" w:fill="D9D9D9" w:themeFill="background1" w:themeFillShade="D9"/>
            <w:vAlign w:val="center"/>
          </w:tcPr>
          <w:p w:rsidRPr="001415C7" w:rsidR="00F80945" w:rsidRDefault="00F80945" w14:paraId="4B587D56" w14:textId="77777777">
            <w:pPr>
              <w:spacing w:line="240" w:lineRule="auto"/>
              <w:ind w:firstLine="0"/>
              <w:jc w:val="center"/>
              <w:rPr>
                <w:b/>
                <w:bCs/>
                <w:sz w:val="20"/>
                <w:szCs w:val="20"/>
              </w:rPr>
            </w:pPr>
            <w:r w:rsidRPr="001415C7">
              <w:rPr>
                <w:b/>
                <w:bCs/>
                <w:sz w:val="20"/>
                <w:szCs w:val="20"/>
              </w:rPr>
              <w:t>Communicating Entity or Entities</w:t>
            </w:r>
          </w:p>
        </w:tc>
      </w:tr>
      <w:tr w:rsidRPr="001415C7" w:rsidR="00F80945" w14:paraId="4DF9EB7C" w14:textId="77777777">
        <w:tc>
          <w:tcPr>
            <w:tcW w:w="2425" w:type="dxa"/>
            <w:vMerge/>
            <w:shd w:val="clear" w:color="auto" w:fill="D9D9D9" w:themeFill="background1" w:themeFillShade="D9"/>
          </w:tcPr>
          <w:p w:rsidRPr="001415C7" w:rsidR="00F80945" w:rsidRDefault="00F80945" w14:paraId="0734AE8B" w14:textId="77777777">
            <w:pPr>
              <w:spacing w:line="240" w:lineRule="auto"/>
              <w:rPr>
                <w:b/>
                <w:bCs/>
                <w:sz w:val="20"/>
                <w:szCs w:val="20"/>
              </w:rPr>
            </w:pPr>
          </w:p>
        </w:tc>
        <w:tc>
          <w:tcPr>
            <w:tcW w:w="2730" w:type="dxa"/>
            <w:shd w:val="clear" w:color="auto" w:fill="D9D9D9" w:themeFill="background1" w:themeFillShade="D9"/>
            <w:vAlign w:val="center"/>
          </w:tcPr>
          <w:p w:rsidRPr="001415C7" w:rsidR="00F80945" w:rsidRDefault="00F80945" w14:paraId="0B18C11F" w14:textId="77777777">
            <w:pPr>
              <w:spacing w:line="240" w:lineRule="auto"/>
              <w:ind w:firstLine="0"/>
              <w:jc w:val="center"/>
              <w:rPr>
                <w:b/>
                <w:bCs/>
                <w:i/>
                <w:iCs/>
                <w:sz w:val="20"/>
                <w:szCs w:val="20"/>
              </w:rPr>
            </w:pPr>
            <w:r w:rsidRPr="001415C7">
              <w:rPr>
                <w:b/>
                <w:bCs/>
                <w:i/>
                <w:iCs/>
                <w:sz w:val="20"/>
                <w:szCs w:val="20"/>
              </w:rPr>
              <w:t>Property Owner</w:t>
            </w:r>
          </w:p>
        </w:tc>
        <w:tc>
          <w:tcPr>
            <w:tcW w:w="2730" w:type="dxa"/>
            <w:shd w:val="clear" w:color="auto" w:fill="D9D9D9" w:themeFill="background1" w:themeFillShade="D9"/>
            <w:vAlign w:val="center"/>
          </w:tcPr>
          <w:p w:rsidRPr="001415C7" w:rsidR="00F80945" w:rsidRDefault="00F80945" w14:paraId="4FB585B2" w14:textId="77777777">
            <w:pPr>
              <w:spacing w:line="240" w:lineRule="auto"/>
              <w:ind w:firstLine="0"/>
              <w:jc w:val="center"/>
              <w:rPr>
                <w:b/>
                <w:bCs/>
                <w:i/>
                <w:iCs/>
                <w:sz w:val="20"/>
                <w:szCs w:val="20"/>
              </w:rPr>
            </w:pPr>
            <w:r w:rsidRPr="001415C7">
              <w:rPr>
                <w:b/>
                <w:bCs/>
                <w:i/>
                <w:iCs/>
                <w:sz w:val="20"/>
                <w:szCs w:val="20"/>
              </w:rPr>
              <w:t>Affected Customer</w:t>
            </w:r>
          </w:p>
        </w:tc>
        <w:tc>
          <w:tcPr>
            <w:tcW w:w="2730" w:type="dxa"/>
            <w:shd w:val="clear" w:color="auto" w:fill="D9D9D9" w:themeFill="background1" w:themeFillShade="D9"/>
            <w:vAlign w:val="center"/>
          </w:tcPr>
          <w:p w:rsidRPr="001415C7" w:rsidR="00F80945" w:rsidRDefault="00F80945" w14:paraId="01D6E9CA" w14:textId="77777777">
            <w:pPr>
              <w:spacing w:line="240" w:lineRule="auto"/>
              <w:ind w:firstLine="0"/>
              <w:jc w:val="center"/>
              <w:rPr>
                <w:b/>
                <w:bCs/>
                <w:i/>
                <w:iCs/>
                <w:sz w:val="20"/>
                <w:szCs w:val="20"/>
              </w:rPr>
            </w:pPr>
            <w:r w:rsidRPr="001415C7">
              <w:rPr>
                <w:b/>
                <w:bCs/>
                <w:i/>
                <w:iCs/>
                <w:sz w:val="20"/>
                <w:szCs w:val="20"/>
              </w:rPr>
              <w:t>Master-Metered Tenant</w:t>
            </w:r>
          </w:p>
        </w:tc>
        <w:tc>
          <w:tcPr>
            <w:tcW w:w="2335" w:type="dxa"/>
            <w:vMerge/>
            <w:shd w:val="clear" w:color="auto" w:fill="D9D9D9" w:themeFill="background1" w:themeFillShade="D9"/>
          </w:tcPr>
          <w:p w:rsidRPr="001415C7" w:rsidR="00F80945" w:rsidRDefault="00F80945" w14:paraId="2CD3A1FB" w14:textId="77777777">
            <w:pPr>
              <w:spacing w:line="240" w:lineRule="auto"/>
              <w:rPr>
                <w:b/>
                <w:bCs/>
                <w:sz w:val="20"/>
                <w:szCs w:val="20"/>
              </w:rPr>
            </w:pPr>
          </w:p>
        </w:tc>
      </w:tr>
      <w:tr w:rsidRPr="001415C7" w:rsidR="00F80945" w14:paraId="4F475CD5" w14:textId="77777777">
        <w:tc>
          <w:tcPr>
            <w:tcW w:w="2425" w:type="dxa"/>
            <w:vMerge w:val="restart"/>
          </w:tcPr>
          <w:p w:rsidRPr="001415C7" w:rsidR="00F80945" w:rsidRDefault="00F80945" w14:paraId="07CBC19A" w14:textId="77777777">
            <w:pPr>
              <w:spacing w:line="240" w:lineRule="auto"/>
              <w:ind w:firstLine="0"/>
              <w:rPr>
                <w:sz w:val="20"/>
                <w:szCs w:val="20"/>
              </w:rPr>
            </w:pPr>
            <w:r w:rsidRPr="001415C7">
              <w:rPr>
                <w:sz w:val="20"/>
                <w:szCs w:val="20"/>
              </w:rPr>
              <w:t>Prior to submitting application</w:t>
            </w:r>
          </w:p>
        </w:tc>
        <w:tc>
          <w:tcPr>
            <w:tcW w:w="2730" w:type="dxa"/>
          </w:tcPr>
          <w:p w:rsidRPr="001415C7" w:rsidR="00F80945" w:rsidRDefault="00F80945" w14:paraId="2ECEE459" w14:textId="77777777">
            <w:pPr>
              <w:spacing w:line="240" w:lineRule="auto"/>
              <w:ind w:firstLine="0"/>
              <w:rPr>
                <w:sz w:val="20"/>
                <w:szCs w:val="20"/>
              </w:rPr>
            </w:pPr>
            <w:r w:rsidRPr="001415C7">
              <w:rPr>
                <w:sz w:val="20"/>
                <w:szCs w:val="20"/>
              </w:rPr>
              <w:t xml:space="preserve">Provided: </w:t>
            </w:r>
          </w:p>
          <w:p w:rsidRPr="001415C7" w:rsidR="00F80945" w:rsidRDefault="00F80945" w14:paraId="521AF509"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6F3737C7" w14:textId="77777777">
            <w:pPr>
              <w:spacing w:line="240" w:lineRule="auto"/>
              <w:ind w:firstLine="0"/>
              <w:rPr>
                <w:sz w:val="20"/>
                <w:szCs w:val="20"/>
              </w:rPr>
            </w:pPr>
            <w:r w:rsidRPr="001415C7">
              <w:rPr>
                <w:sz w:val="20"/>
                <w:szCs w:val="20"/>
              </w:rPr>
              <w:t>- Costs and benefits of the proposed project</w:t>
            </w:r>
          </w:p>
          <w:p w:rsidRPr="001415C7" w:rsidR="00F80945" w:rsidRDefault="00F80945" w14:paraId="3463C182" w14:textId="77777777">
            <w:pPr>
              <w:spacing w:line="240" w:lineRule="auto"/>
              <w:ind w:firstLine="0"/>
              <w:rPr>
                <w:sz w:val="20"/>
                <w:szCs w:val="20"/>
              </w:rPr>
            </w:pPr>
            <w:r w:rsidRPr="001415C7">
              <w:rPr>
                <w:sz w:val="20"/>
                <w:szCs w:val="20"/>
              </w:rPr>
              <w:t>- Costs and responsibilities that would be borne by property owner</w:t>
            </w:r>
          </w:p>
          <w:p w:rsidRPr="001415C7" w:rsidR="00F80945" w:rsidRDefault="00F80945" w14:paraId="72036793" w14:textId="4A108A20">
            <w:pPr>
              <w:spacing w:line="240" w:lineRule="auto"/>
              <w:ind w:firstLine="0"/>
              <w:rPr>
                <w:sz w:val="20"/>
                <w:szCs w:val="20"/>
              </w:rPr>
            </w:pPr>
            <w:r w:rsidRPr="001415C7">
              <w:rPr>
                <w:sz w:val="20"/>
                <w:szCs w:val="20"/>
              </w:rPr>
              <w:t xml:space="preserve">- Estimated average </w:t>
            </w:r>
            <w:r w:rsidRPr="001415C7" w:rsidR="00626F38">
              <w:rPr>
                <w:sz w:val="20"/>
                <w:szCs w:val="20"/>
              </w:rPr>
              <w:t>gas and electric</w:t>
            </w:r>
            <w:r w:rsidRPr="001415C7">
              <w:rPr>
                <w:sz w:val="20"/>
                <w:szCs w:val="20"/>
              </w:rPr>
              <w:t xml:space="preserve"> bill impact for tenants</w:t>
            </w:r>
          </w:p>
          <w:p w:rsidRPr="001415C7" w:rsidR="00F80945" w:rsidRDefault="00F80945" w14:paraId="07A959F5" w14:textId="77777777">
            <w:pPr>
              <w:spacing w:line="240" w:lineRule="auto"/>
              <w:ind w:firstLine="0"/>
              <w:rPr>
                <w:sz w:val="20"/>
                <w:szCs w:val="20"/>
              </w:rPr>
            </w:pPr>
            <w:r w:rsidRPr="001415C7">
              <w:rPr>
                <w:sz w:val="20"/>
                <w:szCs w:val="20"/>
              </w:rPr>
              <w:t>- Contact information</w:t>
            </w:r>
          </w:p>
          <w:p w:rsidRPr="001415C7" w:rsidR="00F80945" w:rsidRDefault="00F80945" w14:paraId="06ECC088" w14:textId="77777777">
            <w:pPr>
              <w:spacing w:line="240" w:lineRule="auto"/>
              <w:ind w:firstLine="0"/>
              <w:rPr>
                <w:sz w:val="20"/>
                <w:szCs w:val="20"/>
              </w:rPr>
            </w:pPr>
            <w:r w:rsidRPr="001415C7">
              <w:rPr>
                <w:sz w:val="20"/>
                <w:szCs w:val="20"/>
              </w:rPr>
              <w:t>- Feedback opportunities</w:t>
            </w:r>
          </w:p>
          <w:p w:rsidRPr="001415C7" w:rsidR="00F80945" w:rsidRDefault="00F80945" w14:paraId="43A2E18C" w14:textId="77777777">
            <w:pPr>
              <w:spacing w:line="240" w:lineRule="auto"/>
              <w:rPr>
                <w:sz w:val="20"/>
                <w:szCs w:val="20"/>
              </w:rPr>
            </w:pPr>
          </w:p>
        </w:tc>
        <w:tc>
          <w:tcPr>
            <w:tcW w:w="2730" w:type="dxa"/>
          </w:tcPr>
          <w:p w:rsidRPr="001415C7" w:rsidR="00F80945" w:rsidRDefault="00F80945" w14:paraId="5AB37DEB" w14:textId="77777777">
            <w:pPr>
              <w:spacing w:line="240" w:lineRule="auto"/>
              <w:ind w:firstLine="0"/>
              <w:rPr>
                <w:sz w:val="20"/>
                <w:szCs w:val="20"/>
              </w:rPr>
            </w:pPr>
            <w:r w:rsidRPr="001415C7">
              <w:rPr>
                <w:sz w:val="20"/>
                <w:szCs w:val="20"/>
              </w:rPr>
              <w:t xml:space="preserve">Provided: </w:t>
            </w:r>
          </w:p>
          <w:p w:rsidRPr="001415C7" w:rsidR="00F80945" w:rsidRDefault="00F80945" w14:paraId="32F273D8"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1A52E649" w14:textId="77777777">
            <w:pPr>
              <w:spacing w:line="240" w:lineRule="auto"/>
              <w:ind w:firstLine="0"/>
              <w:rPr>
                <w:sz w:val="20"/>
                <w:szCs w:val="20"/>
              </w:rPr>
            </w:pPr>
            <w:r w:rsidRPr="001415C7">
              <w:rPr>
                <w:sz w:val="20"/>
                <w:szCs w:val="20"/>
              </w:rPr>
              <w:t>- Costs and benefits of the proposed project relevant to affected customer</w:t>
            </w:r>
          </w:p>
          <w:p w:rsidRPr="001415C7" w:rsidR="00F80945" w:rsidRDefault="00F80945" w14:paraId="79593690" w14:textId="5FD5E991">
            <w:pPr>
              <w:spacing w:line="240" w:lineRule="auto"/>
              <w:ind w:firstLine="0"/>
              <w:rPr>
                <w:sz w:val="20"/>
                <w:szCs w:val="20"/>
              </w:rPr>
            </w:pPr>
            <w:r w:rsidRPr="001415C7">
              <w:rPr>
                <w:sz w:val="20"/>
                <w:szCs w:val="20"/>
              </w:rPr>
              <w:t xml:space="preserve">- Estimated </w:t>
            </w:r>
            <w:r w:rsidRPr="001415C7" w:rsidR="00626F38">
              <w:rPr>
                <w:sz w:val="20"/>
                <w:szCs w:val="20"/>
              </w:rPr>
              <w:t xml:space="preserve">gas and electric </w:t>
            </w:r>
            <w:r w:rsidRPr="001415C7">
              <w:rPr>
                <w:sz w:val="20"/>
                <w:szCs w:val="20"/>
              </w:rPr>
              <w:t>bill impact for affected customer</w:t>
            </w:r>
          </w:p>
          <w:p w:rsidRPr="001415C7" w:rsidR="00F80945" w:rsidRDefault="00F80945" w14:paraId="6E8F2D6B" w14:textId="77777777">
            <w:pPr>
              <w:spacing w:line="240" w:lineRule="auto"/>
              <w:ind w:firstLine="0"/>
              <w:rPr>
                <w:sz w:val="20"/>
                <w:szCs w:val="20"/>
              </w:rPr>
            </w:pPr>
            <w:r w:rsidRPr="001415C7">
              <w:rPr>
                <w:sz w:val="20"/>
                <w:szCs w:val="20"/>
              </w:rPr>
              <w:t>- Contact information</w:t>
            </w:r>
          </w:p>
          <w:p w:rsidRPr="001415C7" w:rsidR="00F80945" w:rsidRDefault="00F80945" w14:paraId="05CE4C7F" w14:textId="77777777">
            <w:pPr>
              <w:spacing w:line="240" w:lineRule="auto"/>
              <w:ind w:firstLine="0"/>
              <w:rPr>
                <w:sz w:val="20"/>
                <w:szCs w:val="20"/>
              </w:rPr>
            </w:pPr>
            <w:r w:rsidRPr="001415C7">
              <w:rPr>
                <w:sz w:val="20"/>
                <w:szCs w:val="20"/>
              </w:rPr>
              <w:t>- Feedback opportunities</w:t>
            </w:r>
          </w:p>
          <w:p w:rsidRPr="001415C7" w:rsidR="00F80945" w:rsidRDefault="00F80945" w14:paraId="565969E5" w14:textId="77777777">
            <w:pPr>
              <w:spacing w:line="240" w:lineRule="auto"/>
              <w:rPr>
                <w:sz w:val="20"/>
                <w:szCs w:val="20"/>
              </w:rPr>
            </w:pPr>
          </w:p>
        </w:tc>
        <w:tc>
          <w:tcPr>
            <w:tcW w:w="2730" w:type="dxa"/>
          </w:tcPr>
          <w:p w:rsidRPr="001415C7" w:rsidR="00F80945" w:rsidRDefault="00F80945" w14:paraId="3F405427" w14:textId="77777777">
            <w:pPr>
              <w:spacing w:line="240" w:lineRule="auto"/>
              <w:ind w:firstLine="0"/>
              <w:rPr>
                <w:sz w:val="20"/>
                <w:szCs w:val="20"/>
              </w:rPr>
            </w:pPr>
            <w:r w:rsidRPr="001415C7">
              <w:rPr>
                <w:sz w:val="20"/>
                <w:szCs w:val="20"/>
              </w:rPr>
              <w:t>Provided:</w:t>
            </w:r>
          </w:p>
          <w:p w:rsidRPr="001415C7" w:rsidR="00F80945" w:rsidRDefault="00F80945" w14:paraId="21E92D78"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09820B25" w14:textId="77777777">
            <w:pPr>
              <w:spacing w:line="240" w:lineRule="auto"/>
              <w:ind w:firstLine="0"/>
              <w:rPr>
                <w:sz w:val="20"/>
                <w:szCs w:val="20"/>
              </w:rPr>
            </w:pPr>
            <w:r w:rsidRPr="001415C7">
              <w:rPr>
                <w:sz w:val="20"/>
                <w:szCs w:val="20"/>
              </w:rPr>
              <w:t>- Costs and benefits of the proposed project relevant to tenant</w:t>
            </w:r>
          </w:p>
          <w:p w:rsidRPr="001415C7" w:rsidR="00F80945" w:rsidRDefault="00F80945" w14:paraId="5CF246E8" w14:textId="1F5BA3B1">
            <w:pPr>
              <w:spacing w:line="240" w:lineRule="auto"/>
              <w:ind w:firstLine="0"/>
              <w:rPr>
                <w:sz w:val="20"/>
                <w:szCs w:val="20"/>
              </w:rPr>
            </w:pPr>
            <w:r w:rsidRPr="001415C7">
              <w:rPr>
                <w:sz w:val="20"/>
                <w:szCs w:val="20"/>
              </w:rPr>
              <w:t xml:space="preserve">- Estimated </w:t>
            </w:r>
            <w:r w:rsidRPr="001415C7" w:rsidR="00626F38">
              <w:rPr>
                <w:sz w:val="20"/>
                <w:szCs w:val="20"/>
              </w:rPr>
              <w:t xml:space="preserve">gas and electric </w:t>
            </w:r>
            <w:r w:rsidRPr="001415C7">
              <w:rPr>
                <w:sz w:val="20"/>
                <w:szCs w:val="20"/>
              </w:rPr>
              <w:t>bill impact for tenant</w:t>
            </w:r>
          </w:p>
          <w:p w:rsidRPr="001415C7" w:rsidR="00F80945" w:rsidRDefault="00F80945" w14:paraId="55972286" w14:textId="77777777">
            <w:pPr>
              <w:spacing w:line="240" w:lineRule="auto"/>
              <w:ind w:firstLine="0"/>
              <w:rPr>
                <w:sz w:val="20"/>
                <w:szCs w:val="20"/>
              </w:rPr>
            </w:pPr>
            <w:r w:rsidRPr="001415C7">
              <w:rPr>
                <w:sz w:val="20"/>
                <w:szCs w:val="20"/>
              </w:rPr>
              <w:t>- Contact information</w:t>
            </w:r>
          </w:p>
          <w:p w:rsidRPr="001415C7" w:rsidR="00F80945" w:rsidRDefault="00F80945" w14:paraId="22144C44" w14:textId="77777777">
            <w:pPr>
              <w:spacing w:line="240" w:lineRule="auto"/>
              <w:ind w:firstLine="0"/>
              <w:rPr>
                <w:sz w:val="20"/>
                <w:szCs w:val="20"/>
              </w:rPr>
            </w:pPr>
            <w:r w:rsidRPr="001415C7">
              <w:rPr>
                <w:sz w:val="20"/>
                <w:szCs w:val="20"/>
              </w:rPr>
              <w:t>- Feedback opportunities</w:t>
            </w:r>
          </w:p>
        </w:tc>
        <w:tc>
          <w:tcPr>
            <w:tcW w:w="2335" w:type="dxa"/>
          </w:tcPr>
          <w:p w:rsidRPr="001415C7" w:rsidR="00F80945" w:rsidRDefault="00F80945" w14:paraId="7FBEA185" w14:textId="77777777">
            <w:pPr>
              <w:spacing w:line="240" w:lineRule="auto"/>
              <w:ind w:firstLine="0"/>
              <w:rPr>
                <w:sz w:val="20"/>
                <w:szCs w:val="20"/>
              </w:rPr>
            </w:pPr>
            <w:r w:rsidRPr="001415C7">
              <w:rPr>
                <w:sz w:val="20"/>
                <w:szCs w:val="20"/>
              </w:rPr>
              <w:t>Gas utility as lead, other partners as appropriate</w:t>
            </w:r>
            <w:r w:rsidRPr="001415C7">
              <w:rPr>
                <w:rStyle w:val="FootnoteReference"/>
                <w:sz w:val="20"/>
                <w:szCs w:val="20"/>
              </w:rPr>
              <w:footnoteReference w:id="155"/>
            </w:r>
          </w:p>
        </w:tc>
      </w:tr>
      <w:tr w:rsidRPr="001415C7" w:rsidR="00F80945" w14:paraId="55C4BCDE" w14:textId="77777777">
        <w:tc>
          <w:tcPr>
            <w:tcW w:w="2425" w:type="dxa"/>
            <w:vMerge/>
          </w:tcPr>
          <w:p w:rsidRPr="001415C7" w:rsidR="00F80945" w:rsidRDefault="00F80945" w14:paraId="7FC13868" w14:textId="77777777">
            <w:pPr>
              <w:spacing w:line="240" w:lineRule="auto"/>
              <w:rPr>
                <w:sz w:val="20"/>
                <w:szCs w:val="20"/>
              </w:rPr>
            </w:pPr>
          </w:p>
        </w:tc>
        <w:tc>
          <w:tcPr>
            <w:tcW w:w="2730" w:type="dxa"/>
          </w:tcPr>
          <w:p w:rsidRPr="001415C7" w:rsidR="00F80945" w:rsidRDefault="00F80945" w14:paraId="329DF69A" w14:textId="77777777">
            <w:pPr>
              <w:spacing w:line="240" w:lineRule="auto"/>
              <w:ind w:firstLine="0"/>
              <w:rPr>
                <w:sz w:val="20"/>
                <w:szCs w:val="20"/>
              </w:rPr>
            </w:pPr>
            <w:r w:rsidRPr="001415C7">
              <w:rPr>
                <w:sz w:val="20"/>
                <w:szCs w:val="20"/>
              </w:rPr>
              <w:t>Obtained: Property owner non-binding expression of interest</w:t>
            </w:r>
          </w:p>
        </w:tc>
        <w:tc>
          <w:tcPr>
            <w:tcW w:w="2730" w:type="dxa"/>
          </w:tcPr>
          <w:p w:rsidRPr="001415C7" w:rsidR="00F80945" w:rsidRDefault="00F80945" w14:paraId="710A3F58" w14:textId="77777777">
            <w:pPr>
              <w:spacing w:line="240" w:lineRule="auto"/>
              <w:ind w:firstLine="0"/>
              <w:rPr>
                <w:sz w:val="20"/>
                <w:szCs w:val="20"/>
              </w:rPr>
            </w:pPr>
            <w:r w:rsidRPr="001415C7">
              <w:rPr>
                <w:sz w:val="20"/>
                <w:szCs w:val="20"/>
              </w:rPr>
              <w:t>Obtained: N/A</w:t>
            </w:r>
          </w:p>
        </w:tc>
        <w:tc>
          <w:tcPr>
            <w:tcW w:w="2730" w:type="dxa"/>
          </w:tcPr>
          <w:p w:rsidRPr="001415C7" w:rsidR="00F80945" w:rsidRDefault="00F80945" w14:paraId="312D0529" w14:textId="77777777">
            <w:pPr>
              <w:spacing w:line="240" w:lineRule="auto"/>
              <w:ind w:firstLine="0"/>
              <w:rPr>
                <w:sz w:val="20"/>
                <w:szCs w:val="20"/>
              </w:rPr>
            </w:pPr>
            <w:r w:rsidRPr="001415C7">
              <w:rPr>
                <w:sz w:val="20"/>
                <w:szCs w:val="20"/>
              </w:rPr>
              <w:t>Obtained: N/A</w:t>
            </w:r>
          </w:p>
        </w:tc>
        <w:tc>
          <w:tcPr>
            <w:tcW w:w="2335" w:type="dxa"/>
          </w:tcPr>
          <w:p w:rsidRPr="001415C7" w:rsidR="00F80945" w:rsidRDefault="00F80945" w14:paraId="272BC8D8" w14:textId="77777777">
            <w:pPr>
              <w:spacing w:line="240" w:lineRule="auto"/>
              <w:ind w:firstLine="0"/>
              <w:rPr>
                <w:sz w:val="20"/>
                <w:szCs w:val="20"/>
              </w:rPr>
            </w:pPr>
            <w:r w:rsidRPr="001415C7">
              <w:rPr>
                <w:sz w:val="20"/>
                <w:szCs w:val="20"/>
              </w:rPr>
              <w:t>Gas utility</w:t>
            </w:r>
          </w:p>
        </w:tc>
      </w:tr>
      <w:tr w:rsidRPr="001415C7" w:rsidR="00F80945" w14:paraId="160116E8" w14:textId="77777777">
        <w:trPr>
          <w:trHeight w:val="70"/>
        </w:trPr>
        <w:tc>
          <w:tcPr>
            <w:tcW w:w="2425" w:type="dxa"/>
          </w:tcPr>
          <w:p w:rsidRPr="001415C7" w:rsidR="00F80945" w:rsidRDefault="00F80945" w14:paraId="778E658A" w14:textId="77777777">
            <w:pPr>
              <w:spacing w:line="240" w:lineRule="auto"/>
              <w:rPr>
                <w:sz w:val="4"/>
                <w:szCs w:val="4"/>
              </w:rPr>
            </w:pPr>
          </w:p>
        </w:tc>
        <w:tc>
          <w:tcPr>
            <w:tcW w:w="2730" w:type="dxa"/>
          </w:tcPr>
          <w:p w:rsidRPr="001415C7" w:rsidR="00F80945" w:rsidRDefault="00F80945" w14:paraId="2CDA579E" w14:textId="77777777">
            <w:pPr>
              <w:spacing w:line="240" w:lineRule="auto"/>
              <w:rPr>
                <w:sz w:val="4"/>
                <w:szCs w:val="4"/>
              </w:rPr>
            </w:pPr>
          </w:p>
        </w:tc>
        <w:tc>
          <w:tcPr>
            <w:tcW w:w="2730" w:type="dxa"/>
          </w:tcPr>
          <w:p w:rsidRPr="001415C7" w:rsidR="00F80945" w:rsidRDefault="00F80945" w14:paraId="4F60253C" w14:textId="77777777">
            <w:pPr>
              <w:spacing w:line="240" w:lineRule="auto"/>
              <w:rPr>
                <w:sz w:val="4"/>
                <w:szCs w:val="4"/>
              </w:rPr>
            </w:pPr>
          </w:p>
        </w:tc>
        <w:tc>
          <w:tcPr>
            <w:tcW w:w="2730" w:type="dxa"/>
          </w:tcPr>
          <w:p w:rsidRPr="001415C7" w:rsidR="00F80945" w:rsidRDefault="00F80945" w14:paraId="36814AA9" w14:textId="77777777">
            <w:pPr>
              <w:spacing w:line="240" w:lineRule="auto"/>
              <w:rPr>
                <w:sz w:val="4"/>
                <w:szCs w:val="4"/>
              </w:rPr>
            </w:pPr>
          </w:p>
        </w:tc>
        <w:tc>
          <w:tcPr>
            <w:tcW w:w="2335" w:type="dxa"/>
          </w:tcPr>
          <w:p w:rsidRPr="001415C7" w:rsidR="00F80945" w:rsidRDefault="00F80945" w14:paraId="191A0366" w14:textId="77777777">
            <w:pPr>
              <w:spacing w:line="240" w:lineRule="auto"/>
              <w:rPr>
                <w:sz w:val="4"/>
                <w:szCs w:val="4"/>
              </w:rPr>
            </w:pPr>
          </w:p>
        </w:tc>
      </w:tr>
      <w:tr w:rsidRPr="001415C7" w:rsidR="00F80945" w14:paraId="5A1A377A" w14:textId="77777777">
        <w:tc>
          <w:tcPr>
            <w:tcW w:w="2425" w:type="dxa"/>
            <w:vMerge w:val="restart"/>
          </w:tcPr>
          <w:p w:rsidRPr="001415C7" w:rsidR="00F80945" w:rsidRDefault="00F80945" w14:paraId="42D87442" w14:textId="0AB8D73B">
            <w:pPr>
              <w:spacing w:line="240" w:lineRule="auto"/>
              <w:ind w:firstLine="0"/>
              <w:rPr>
                <w:sz w:val="20"/>
                <w:szCs w:val="20"/>
              </w:rPr>
            </w:pPr>
            <w:r w:rsidRPr="001415C7">
              <w:rPr>
                <w:sz w:val="20"/>
                <w:szCs w:val="20"/>
              </w:rPr>
              <w:t>After a project is approved by the Commission</w:t>
            </w:r>
          </w:p>
        </w:tc>
        <w:tc>
          <w:tcPr>
            <w:tcW w:w="2730" w:type="dxa"/>
          </w:tcPr>
          <w:p w:rsidRPr="001415C7" w:rsidR="00F80945" w:rsidRDefault="00F80945" w14:paraId="04F0E7BD" w14:textId="77777777">
            <w:pPr>
              <w:spacing w:line="240" w:lineRule="auto"/>
              <w:ind w:firstLine="0"/>
              <w:rPr>
                <w:sz w:val="20"/>
                <w:szCs w:val="20"/>
              </w:rPr>
            </w:pPr>
            <w:r w:rsidRPr="001415C7">
              <w:rPr>
                <w:sz w:val="20"/>
                <w:szCs w:val="20"/>
              </w:rPr>
              <w:t>Provided: Updated information from first communication</w:t>
            </w:r>
          </w:p>
        </w:tc>
        <w:tc>
          <w:tcPr>
            <w:tcW w:w="2730" w:type="dxa"/>
          </w:tcPr>
          <w:p w:rsidRPr="001415C7" w:rsidR="00F80945" w:rsidRDefault="00F80945" w14:paraId="28F6F662" w14:textId="77777777">
            <w:pPr>
              <w:spacing w:line="240" w:lineRule="auto"/>
              <w:ind w:firstLine="0"/>
              <w:rPr>
                <w:sz w:val="20"/>
                <w:szCs w:val="20"/>
              </w:rPr>
            </w:pPr>
            <w:r w:rsidRPr="001415C7">
              <w:rPr>
                <w:sz w:val="20"/>
                <w:szCs w:val="20"/>
              </w:rPr>
              <w:t>Provided: Updated information from first communication</w:t>
            </w:r>
          </w:p>
        </w:tc>
        <w:tc>
          <w:tcPr>
            <w:tcW w:w="2730" w:type="dxa"/>
          </w:tcPr>
          <w:p w:rsidRPr="001415C7" w:rsidR="00F80945" w:rsidRDefault="00F80945" w14:paraId="2556D456" w14:textId="77777777">
            <w:pPr>
              <w:spacing w:line="240" w:lineRule="auto"/>
              <w:ind w:firstLine="0"/>
              <w:rPr>
                <w:sz w:val="20"/>
                <w:szCs w:val="20"/>
              </w:rPr>
            </w:pPr>
            <w:r w:rsidRPr="001415C7">
              <w:rPr>
                <w:sz w:val="20"/>
                <w:szCs w:val="20"/>
              </w:rPr>
              <w:t>Provided: Updated information from first communication</w:t>
            </w:r>
          </w:p>
        </w:tc>
        <w:tc>
          <w:tcPr>
            <w:tcW w:w="2335" w:type="dxa"/>
          </w:tcPr>
          <w:p w:rsidRPr="001415C7" w:rsidR="00F80945" w:rsidRDefault="00F80945" w14:paraId="0F1CACB4" w14:textId="77777777">
            <w:pPr>
              <w:spacing w:line="240" w:lineRule="auto"/>
              <w:ind w:firstLine="0"/>
              <w:rPr>
                <w:sz w:val="20"/>
                <w:szCs w:val="20"/>
              </w:rPr>
            </w:pPr>
            <w:r w:rsidRPr="001415C7">
              <w:rPr>
                <w:sz w:val="20"/>
                <w:szCs w:val="20"/>
              </w:rPr>
              <w:t>Gas utility as lead, other partners as appropriate</w:t>
            </w:r>
          </w:p>
        </w:tc>
      </w:tr>
      <w:tr w:rsidRPr="001415C7" w:rsidR="00F80945" w14:paraId="1DB9C40C" w14:textId="77777777">
        <w:tc>
          <w:tcPr>
            <w:tcW w:w="2425" w:type="dxa"/>
            <w:vMerge/>
          </w:tcPr>
          <w:p w:rsidRPr="001415C7" w:rsidR="00F80945" w:rsidRDefault="00F80945" w14:paraId="3ACF251A" w14:textId="77777777">
            <w:pPr>
              <w:spacing w:line="240" w:lineRule="auto"/>
              <w:rPr>
                <w:sz w:val="20"/>
                <w:szCs w:val="20"/>
              </w:rPr>
            </w:pPr>
          </w:p>
        </w:tc>
        <w:tc>
          <w:tcPr>
            <w:tcW w:w="2730" w:type="dxa"/>
          </w:tcPr>
          <w:p w:rsidRPr="001415C7" w:rsidR="00F80945" w:rsidRDefault="00F80945" w14:paraId="37CF31DC" w14:textId="7025B1AC">
            <w:pPr>
              <w:spacing w:line="240" w:lineRule="auto"/>
              <w:ind w:firstLine="0"/>
              <w:rPr>
                <w:sz w:val="20"/>
                <w:szCs w:val="20"/>
              </w:rPr>
            </w:pPr>
            <w:r w:rsidRPr="001415C7">
              <w:rPr>
                <w:sz w:val="20"/>
                <w:szCs w:val="20"/>
              </w:rPr>
              <w:t xml:space="preserve">Obtained: Property owner </w:t>
            </w:r>
            <w:r w:rsidRPr="001415C7" w:rsidR="004B05C1">
              <w:rPr>
                <w:sz w:val="20"/>
                <w:szCs w:val="20"/>
              </w:rPr>
              <w:t xml:space="preserve">signs </w:t>
            </w:r>
            <w:r w:rsidRPr="001415C7">
              <w:rPr>
                <w:sz w:val="20"/>
                <w:szCs w:val="20"/>
              </w:rPr>
              <w:t>a binding consent agreement</w:t>
            </w:r>
          </w:p>
        </w:tc>
        <w:tc>
          <w:tcPr>
            <w:tcW w:w="2730" w:type="dxa"/>
          </w:tcPr>
          <w:p w:rsidRPr="001415C7" w:rsidR="00F80945" w:rsidRDefault="00F80945" w14:paraId="22B88F7A" w14:textId="77777777">
            <w:pPr>
              <w:spacing w:line="240" w:lineRule="auto"/>
              <w:ind w:firstLine="0"/>
              <w:rPr>
                <w:sz w:val="20"/>
                <w:szCs w:val="20"/>
              </w:rPr>
            </w:pPr>
            <w:r w:rsidRPr="001415C7">
              <w:rPr>
                <w:sz w:val="20"/>
                <w:szCs w:val="20"/>
              </w:rPr>
              <w:t>Obtained: N/A</w:t>
            </w:r>
          </w:p>
        </w:tc>
        <w:tc>
          <w:tcPr>
            <w:tcW w:w="2730" w:type="dxa"/>
          </w:tcPr>
          <w:p w:rsidRPr="001415C7" w:rsidR="00F80945" w:rsidRDefault="00F80945" w14:paraId="1D650AE6" w14:textId="77777777">
            <w:pPr>
              <w:spacing w:line="240" w:lineRule="auto"/>
              <w:ind w:firstLine="0"/>
              <w:rPr>
                <w:sz w:val="20"/>
                <w:szCs w:val="20"/>
              </w:rPr>
            </w:pPr>
            <w:r w:rsidRPr="001415C7">
              <w:rPr>
                <w:sz w:val="20"/>
                <w:szCs w:val="20"/>
              </w:rPr>
              <w:t>Obtained: N/A</w:t>
            </w:r>
          </w:p>
        </w:tc>
        <w:tc>
          <w:tcPr>
            <w:tcW w:w="2335" w:type="dxa"/>
          </w:tcPr>
          <w:p w:rsidRPr="001415C7" w:rsidR="00F80945" w:rsidRDefault="00F80945" w14:paraId="485FC949" w14:textId="77777777">
            <w:pPr>
              <w:spacing w:line="240" w:lineRule="auto"/>
              <w:ind w:firstLine="0"/>
              <w:rPr>
                <w:sz w:val="20"/>
                <w:szCs w:val="20"/>
              </w:rPr>
            </w:pPr>
            <w:r w:rsidRPr="001415C7">
              <w:rPr>
                <w:sz w:val="20"/>
                <w:szCs w:val="20"/>
              </w:rPr>
              <w:t>Gas utility</w:t>
            </w:r>
          </w:p>
        </w:tc>
      </w:tr>
      <w:tr w:rsidRPr="001415C7" w:rsidR="00F80945" w14:paraId="7D01B0FA" w14:textId="77777777">
        <w:tc>
          <w:tcPr>
            <w:tcW w:w="2425" w:type="dxa"/>
          </w:tcPr>
          <w:p w:rsidRPr="001415C7" w:rsidR="00F80945" w:rsidRDefault="00F80945" w14:paraId="7AA2C19E" w14:textId="77777777">
            <w:pPr>
              <w:spacing w:line="240" w:lineRule="auto"/>
              <w:rPr>
                <w:sz w:val="4"/>
                <w:szCs w:val="4"/>
              </w:rPr>
            </w:pPr>
          </w:p>
        </w:tc>
        <w:tc>
          <w:tcPr>
            <w:tcW w:w="2730" w:type="dxa"/>
          </w:tcPr>
          <w:p w:rsidRPr="001415C7" w:rsidR="00F80945" w:rsidRDefault="00F80945" w14:paraId="50EAD29E" w14:textId="77777777">
            <w:pPr>
              <w:spacing w:line="240" w:lineRule="auto"/>
              <w:rPr>
                <w:sz w:val="4"/>
                <w:szCs w:val="4"/>
              </w:rPr>
            </w:pPr>
          </w:p>
        </w:tc>
        <w:tc>
          <w:tcPr>
            <w:tcW w:w="2730" w:type="dxa"/>
          </w:tcPr>
          <w:p w:rsidRPr="001415C7" w:rsidR="00F80945" w:rsidRDefault="00F80945" w14:paraId="5B9ED9C7" w14:textId="77777777">
            <w:pPr>
              <w:spacing w:line="240" w:lineRule="auto"/>
              <w:rPr>
                <w:sz w:val="4"/>
                <w:szCs w:val="4"/>
              </w:rPr>
            </w:pPr>
          </w:p>
        </w:tc>
        <w:tc>
          <w:tcPr>
            <w:tcW w:w="2730" w:type="dxa"/>
          </w:tcPr>
          <w:p w:rsidRPr="001415C7" w:rsidR="00F80945" w:rsidRDefault="00F80945" w14:paraId="78159416" w14:textId="77777777">
            <w:pPr>
              <w:spacing w:line="240" w:lineRule="auto"/>
              <w:rPr>
                <w:sz w:val="4"/>
                <w:szCs w:val="4"/>
              </w:rPr>
            </w:pPr>
          </w:p>
        </w:tc>
        <w:tc>
          <w:tcPr>
            <w:tcW w:w="2335" w:type="dxa"/>
          </w:tcPr>
          <w:p w:rsidRPr="001415C7" w:rsidR="00F80945" w:rsidRDefault="00F80945" w14:paraId="6EDF064D" w14:textId="77777777">
            <w:pPr>
              <w:spacing w:line="240" w:lineRule="auto"/>
              <w:rPr>
                <w:sz w:val="4"/>
                <w:szCs w:val="4"/>
              </w:rPr>
            </w:pPr>
          </w:p>
        </w:tc>
      </w:tr>
      <w:tr w:rsidRPr="001415C7" w:rsidR="00F80945" w14:paraId="11FE44BC" w14:textId="77777777">
        <w:trPr>
          <w:trHeight w:val="890"/>
        </w:trPr>
        <w:tc>
          <w:tcPr>
            <w:tcW w:w="2425" w:type="dxa"/>
          </w:tcPr>
          <w:p w:rsidRPr="001415C7" w:rsidR="00F80945" w:rsidRDefault="00F80945" w14:paraId="44EF7482" w14:textId="711DF902">
            <w:pPr>
              <w:spacing w:line="240" w:lineRule="auto"/>
              <w:ind w:firstLine="0"/>
              <w:rPr>
                <w:sz w:val="20"/>
                <w:szCs w:val="20"/>
              </w:rPr>
            </w:pPr>
            <w:r w:rsidRPr="001415C7">
              <w:rPr>
                <w:sz w:val="20"/>
                <w:szCs w:val="20"/>
              </w:rPr>
              <w:lastRenderedPageBreak/>
              <w:t>After 67 percent consent threshold met and on an ongoing basis as necessary</w:t>
            </w:r>
          </w:p>
        </w:tc>
        <w:tc>
          <w:tcPr>
            <w:tcW w:w="2730" w:type="dxa"/>
          </w:tcPr>
          <w:p w:rsidRPr="001415C7" w:rsidR="00F80945" w:rsidRDefault="00F80945" w14:paraId="31558BA6" w14:textId="77777777">
            <w:pPr>
              <w:spacing w:line="240" w:lineRule="auto"/>
              <w:ind w:firstLine="0"/>
              <w:rPr>
                <w:sz w:val="20"/>
                <w:szCs w:val="20"/>
              </w:rPr>
            </w:pPr>
            <w:r w:rsidRPr="001415C7">
              <w:rPr>
                <w:sz w:val="20"/>
                <w:szCs w:val="20"/>
              </w:rPr>
              <w:t xml:space="preserve">Provided: </w:t>
            </w:r>
          </w:p>
          <w:p w:rsidRPr="001415C7" w:rsidR="00F80945" w:rsidRDefault="00F80945" w14:paraId="39DB32C7"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2937BD1C" w14:textId="77777777">
            <w:pPr>
              <w:spacing w:line="240" w:lineRule="auto"/>
              <w:ind w:firstLine="0"/>
              <w:rPr>
                <w:sz w:val="20"/>
                <w:szCs w:val="20"/>
              </w:rPr>
            </w:pPr>
            <w:r w:rsidRPr="001415C7">
              <w:rPr>
                <w:sz w:val="20"/>
                <w:szCs w:val="20"/>
              </w:rPr>
              <w:t>- Updated information from first communication</w:t>
            </w:r>
          </w:p>
        </w:tc>
        <w:tc>
          <w:tcPr>
            <w:tcW w:w="2730" w:type="dxa"/>
          </w:tcPr>
          <w:p w:rsidRPr="001415C7" w:rsidR="00F80945" w:rsidRDefault="00F80945" w14:paraId="5A5E9338" w14:textId="77777777">
            <w:pPr>
              <w:spacing w:line="240" w:lineRule="auto"/>
              <w:ind w:firstLine="0"/>
              <w:rPr>
                <w:sz w:val="20"/>
                <w:szCs w:val="20"/>
              </w:rPr>
            </w:pPr>
            <w:r w:rsidRPr="001415C7">
              <w:rPr>
                <w:sz w:val="20"/>
                <w:szCs w:val="20"/>
              </w:rPr>
              <w:t>Provided:</w:t>
            </w:r>
          </w:p>
          <w:p w:rsidRPr="001415C7" w:rsidR="00F80945" w:rsidRDefault="00F80945" w14:paraId="7942A016"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0C04568B" w14:textId="77777777">
            <w:pPr>
              <w:spacing w:line="240" w:lineRule="auto"/>
              <w:ind w:firstLine="0"/>
              <w:rPr>
                <w:sz w:val="20"/>
                <w:szCs w:val="20"/>
              </w:rPr>
            </w:pPr>
            <w:r w:rsidRPr="001415C7">
              <w:rPr>
                <w:sz w:val="20"/>
                <w:szCs w:val="20"/>
              </w:rPr>
              <w:t>- Updated information from first communication</w:t>
            </w:r>
          </w:p>
          <w:p w:rsidRPr="001415C7" w:rsidR="00F80945" w:rsidRDefault="00F80945" w14:paraId="1D78D137" w14:textId="77777777">
            <w:pPr>
              <w:spacing w:line="240" w:lineRule="auto"/>
              <w:rPr>
                <w:sz w:val="20"/>
                <w:szCs w:val="20"/>
              </w:rPr>
            </w:pPr>
          </w:p>
        </w:tc>
        <w:tc>
          <w:tcPr>
            <w:tcW w:w="2730" w:type="dxa"/>
          </w:tcPr>
          <w:p w:rsidRPr="001415C7" w:rsidR="00F80945" w:rsidRDefault="00F80945" w14:paraId="3EFEDFBB" w14:textId="77777777">
            <w:pPr>
              <w:spacing w:line="240" w:lineRule="auto"/>
              <w:ind w:firstLine="0"/>
              <w:rPr>
                <w:sz w:val="20"/>
                <w:szCs w:val="20"/>
              </w:rPr>
            </w:pPr>
            <w:r w:rsidRPr="001415C7">
              <w:rPr>
                <w:sz w:val="20"/>
                <w:szCs w:val="20"/>
              </w:rPr>
              <w:t>Provided:</w:t>
            </w:r>
          </w:p>
          <w:p w:rsidRPr="001415C7" w:rsidR="00F80945" w:rsidRDefault="00F80945" w14:paraId="52D9DDFA"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0B259FE2" w14:textId="77777777">
            <w:pPr>
              <w:spacing w:line="240" w:lineRule="auto"/>
              <w:ind w:firstLine="0"/>
              <w:rPr>
                <w:sz w:val="20"/>
                <w:szCs w:val="20"/>
              </w:rPr>
            </w:pPr>
            <w:r w:rsidRPr="001415C7">
              <w:rPr>
                <w:sz w:val="20"/>
                <w:szCs w:val="20"/>
              </w:rPr>
              <w:t>- Updated information from first communication</w:t>
            </w:r>
          </w:p>
          <w:p w:rsidRPr="001415C7" w:rsidR="00F80945" w:rsidRDefault="00F80945" w14:paraId="3D734F55" w14:textId="77777777">
            <w:pPr>
              <w:spacing w:line="240" w:lineRule="auto"/>
              <w:rPr>
                <w:sz w:val="20"/>
                <w:szCs w:val="20"/>
              </w:rPr>
            </w:pPr>
          </w:p>
        </w:tc>
        <w:tc>
          <w:tcPr>
            <w:tcW w:w="2335" w:type="dxa"/>
          </w:tcPr>
          <w:p w:rsidRPr="001415C7" w:rsidR="00F80945" w:rsidRDefault="00F80945" w14:paraId="0BB74C7E" w14:textId="77777777">
            <w:pPr>
              <w:spacing w:line="240" w:lineRule="auto"/>
              <w:ind w:firstLine="0"/>
              <w:rPr>
                <w:sz w:val="20"/>
                <w:szCs w:val="20"/>
              </w:rPr>
            </w:pPr>
            <w:r w:rsidRPr="001415C7">
              <w:rPr>
                <w:sz w:val="20"/>
                <w:szCs w:val="20"/>
              </w:rPr>
              <w:t>Gas utility as lead, other partners as appropriate</w:t>
            </w:r>
          </w:p>
        </w:tc>
      </w:tr>
      <w:tr w:rsidRPr="001415C7" w:rsidR="00F80945" w14:paraId="0CFCFFA8" w14:textId="77777777">
        <w:tc>
          <w:tcPr>
            <w:tcW w:w="2425" w:type="dxa"/>
          </w:tcPr>
          <w:p w:rsidRPr="001415C7" w:rsidR="00F80945" w:rsidRDefault="00F80945" w14:paraId="629F944C" w14:textId="77777777">
            <w:pPr>
              <w:spacing w:line="240" w:lineRule="auto"/>
              <w:rPr>
                <w:sz w:val="4"/>
                <w:szCs w:val="4"/>
              </w:rPr>
            </w:pPr>
          </w:p>
        </w:tc>
        <w:tc>
          <w:tcPr>
            <w:tcW w:w="2730" w:type="dxa"/>
          </w:tcPr>
          <w:p w:rsidRPr="001415C7" w:rsidR="00F80945" w:rsidRDefault="00F80945" w14:paraId="1F0903B3" w14:textId="77777777">
            <w:pPr>
              <w:spacing w:line="240" w:lineRule="auto"/>
              <w:rPr>
                <w:sz w:val="4"/>
                <w:szCs w:val="4"/>
              </w:rPr>
            </w:pPr>
          </w:p>
        </w:tc>
        <w:tc>
          <w:tcPr>
            <w:tcW w:w="2730" w:type="dxa"/>
          </w:tcPr>
          <w:p w:rsidRPr="001415C7" w:rsidR="00F80945" w:rsidRDefault="00F80945" w14:paraId="37DFA692" w14:textId="77777777">
            <w:pPr>
              <w:spacing w:line="240" w:lineRule="auto"/>
              <w:rPr>
                <w:sz w:val="4"/>
                <w:szCs w:val="4"/>
              </w:rPr>
            </w:pPr>
          </w:p>
        </w:tc>
        <w:tc>
          <w:tcPr>
            <w:tcW w:w="2730" w:type="dxa"/>
          </w:tcPr>
          <w:p w:rsidRPr="001415C7" w:rsidR="00F80945" w:rsidRDefault="00F80945" w14:paraId="1A05FFE4" w14:textId="77777777">
            <w:pPr>
              <w:spacing w:line="240" w:lineRule="auto"/>
              <w:rPr>
                <w:sz w:val="4"/>
                <w:szCs w:val="4"/>
              </w:rPr>
            </w:pPr>
          </w:p>
        </w:tc>
        <w:tc>
          <w:tcPr>
            <w:tcW w:w="2335" w:type="dxa"/>
          </w:tcPr>
          <w:p w:rsidRPr="001415C7" w:rsidR="00F80945" w:rsidRDefault="00F80945" w14:paraId="733680ED" w14:textId="77777777">
            <w:pPr>
              <w:spacing w:line="240" w:lineRule="auto"/>
              <w:rPr>
                <w:sz w:val="4"/>
                <w:szCs w:val="4"/>
              </w:rPr>
            </w:pPr>
          </w:p>
        </w:tc>
      </w:tr>
      <w:tr w:rsidRPr="001415C7" w:rsidR="00F80945" w14:paraId="47DA8359" w14:textId="77777777">
        <w:trPr>
          <w:trHeight w:val="305"/>
        </w:trPr>
        <w:tc>
          <w:tcPr>
            <w:tcW w:w="2425" w:type="dxa"/>
          </w:tcPr>
          <w:p w:rsidRPr="001415C7" w:rsidR="00F80945" w:rsidRDefault="00F80945" w14:paraId="60E897BC" w14:textId="77777777">
            <w:pPr>
              <w:spacing w:line="240" w:lineRule="auto"/>
              <w:ind w:firstLine="0"/>
              <w:rPr>
                <w:sz w:val="20"/>
                <w:szCs w:val="20"/>
              </w:rPr>
            </w:pPr>
            <w:r w:rsidRPr="001415C7">
              <w:rPr>
                <w:sz w:val="20"/>
                <w:szCs w:val="20"/>
              </w:rPr>
              <w:t>After project implementation is complete (i.e., all work on non-utility property completed)</w:t>
            </w:r>
          </w:p>
        </w:tc>
        <w:tc>
          <w:tcPr>
            <w:tcW w:w="2730" w:type="dxa"/>
          </w:tcPr>
          <w:p w:rsidRPr="001415C7" w:rsidR="00F80945" w:rsidRDefault="00F80945" w14:paraId="561200FB" w14:textId="77777777">
            <w:pPr>
              <w:spacing w:line="240" w:lineRule="auto"/>
              <w:ind w:firstLine="0"/>
              <w:rPr>
                <w:sz w:val="20"/>
                <w:szCs w:val="20"/>
              </w:rPr>
            </w:pPr>
            <w:r w:rsidRPr="001415C7">
              <w:rPr>
                <w:sz w:val="20"/>
                <w:szCs w:val="20"/>
              </w:rPr>
              <w:t xml:space="preserve">Provided:  </w:t>
            </w:r>
          </w:p>
          <w:p w:rsidRPr="001415C7" w:rsidR="00F80945" w:rsidRDefault="00F80945" w14:paraId="0BBC766D" w14:textId="77777777">
            <w:pPr>
              <w:spacing w:line="240" w:lineRule="auto"/>
              <w:ind w:firstLine="0"/>
              <w:rPr>
                <w:sz w:val="20"/>
                <w:szCs w:val="20"/>
              </w:rPr>
            </w:pPr>
            <w:r w:rsidRPr="001415C7">
              <w:rPr>
                <w:sz w:val="20"/>
                <w:szCs w:val="20"/>
              </w:rPr>
              <w:t>- Notice of completion</w:t>
            </w:r>
          </w:p>
          <w:p w:rsidRPr="001415C7" w:rsidR="00F80945" w:rsidRDefault="00F80945" w14:paraId="5817F3E3" w14:textId="77777777">
            <w:pPr>
              <w:spacing w:line="240" w:lineRule="auto"/>
              <w:ind w:firstLine="0"/>
              <w:rPr>
                <w:sz w:val="20"/>
                <w:szCs w:val="20"/>
              </w:rPr>
            </w:pPr>
            <w:r w:rsidRPr="001415C7">
              <w:rPr>
                <w:sz w:val="20"/>
                <w:szCs w:val="20"/>
              </w:rPr>
              <w:t>- Contact information</w:t>
            </w:r>
          </w:p>
          <w:p w:rsidRPr="001415C7" w:rsidR="00F80945" w:rsidRDefault="00F80945" w14:paraId="29F41F76" w14:textId="77777777">
            <w:pPr>
              <w:spacing w:line="240" w:lineRule="auto"/>
              <w:ind w:firstLine="0"/>
              <w:rPr>
                <w:sz w:val="20"/>
                <w:szCs w:val="20"/>
              </w:rPr>
            </w:pPr>
            <w:r w:rsidRPr="001415C7">
              <w:rPr>
                <w:sz w:val="20"/>
                <w:szCs w:val="20"/>
              </w:rPr>
              <w:t>- Feedback opportunities</w:t>
            </w:r>
          </w:p>
        </w:tc>
        <w:tc>
          <w:tcPr>
            <w:tcW w:w="2730" w:type="dxa"/>
          </w:tcPr>
          <w:p w:rsidRPr="001415C7" w:rsidR="00F80945" w:rsidRDefault="00F80945" w14:paraId="1567BD19" w14:textId="77777777">
            <w:pPr>
              <w:spacing w:line="240" w:lineRule="auto"/>
              <w:ind w:firstLine="0"/>
              <w:rPr>
                <w:sz w:val="20"/>
                <w:szCs w:val="20"/>
              </w:rPr>
            </w:pPr>
            <w:r w:rsidRPr="001415C7">
              <w:rPr>
                <w:sz w:val="20"/>
                <w:szCs w:val="20"/>
              </w:rPr>
              <w:t xml:space="preserve">Provided:  </w:t>
            </w:r>
          </w:p>
          <w:p w:rsidRPr="001415C7" w:rsidR="00F80945" w:rsidRDefault="00F80945" w14:paraId="47CE29A5" w14:textId="77777777">
            <w:pPr>
              <w:spacing w:line="240" w:lineRule="auto"/>
              <w:ind w:firstLine="0"/>
              <w:rPr>
                <w:sz w:val="20"/>
                <w:szCs w:val="20"/>
              </w:rPr>
            </w:pPr>
            <w:r w:rsidRPr="001415C7">
              <w:rPr>
                <w:sz w:val="20"/>
                <w:szCs w:val="20"/>
              </w:rPr>
              <w:t>- Notice of completion</w:t>
            </w:r>
          </w:p>
          <w:p w:rsidRPr="001415C7" w:rsidR="00F80945" w:rsidRDefault="00F80945" w14:paraId="4B20764F" w14:textId="77777777">
            <w:pPr>
              <w:spacing w:line="240" w:lineRule="auto"/>
              <w:ind w:firstLine="0"/>
              <w:rPr>
                <w:sz w:val="20"/>
                <w:szCs w:val="20"/>
              </w:rPr>
            </w:pPr>
            <w:r w:rsidRPr="001415C7">
              <w:rPr>
                <w:sz w:val="20"/>
                <w:szCs w:val="20"/>
              </w:rPr>
              <w:t>- Contact information</w:t>
            </w:r>
          </w:p>
          <w:p w:rsidRPr="001415C7" w:rsidR="00F80945" w:rsidRDefault="00F80945" w14:paraId="37678699" w14:textId="77777777">
            <w:pPr>
              <w:spacing w:line="240" w:lineRule="auto"/>
              <w:ind w:firstLine="0"/>
              <w:rPr>
                <w:sz w:val="20"/>
                <w:szCs w:val="20"/>
              </w:rPr>
            </w:pPr>
            <w:r w:rsidRPr="001415C7">
              <w:rPr>
                <w:sz w:val="20"/>
                <w:szCs w:val="20"/>
              </w:rPr>
              <w:t>- Feedback opportunities</w:t>
            </w:r>
          </w:p>
        </w:tc>
        <w:tc>
          <w:tcPr>
            <w:tcW w:w="2730" w:type="dxa"/>
          </w:tcPr>
          <w:p w:rsidRPr="001415C7" w:rsidR="00F80945" w:rsidRDefault="00F80945" w14:paraId="19A36384" w14:textId="77777777">
            <w:pPr>
              <w:spacing w:line="240" w:lineRule="auto"/>
              <w:ind w:firstLine="0"/>
              <w:rPr>
                <w:sz w:val="20"/>
                <w:szCs w:val="20"/>
              </w:rPr>
            </w:pPr>
            <w:r w:rsidRPr="001415C7">
              <w:rPr>
                <w:sz w:val="20"/>
                <w:szCs w:val="20"/>
              </w:rPr>
              <w:t xml:space="preserve">Provided:  </w:t>
            </w:r>
          </w:p>
          <w:p w:rsidRPr="001415C7" w:rsidR="00F80945" w:rsidRDefault="00F80945" w14:paraId="2C2D80D1" w14:textId="77777777">
            <w:pPr>
              <w:spacing w:line="240" w:lineRule="auto"/>
              <w:ind w:firstLine="0"/>
              <w:rPr>
                <w:sz w:val="20"/>
                <w:szCs w:val="20"/>
              </w:rPr>
            </w:pPr>
            <w:r w:rsidRPr="001415C7">
              <w:rPr>
                <w:sz w:val="20"/>
                <w:szCs w:val="20"/>
              </w:rPr>
              <w:t>- Notice of completion</w:t>
            </w:r>
          </w:p>
          <w:p w:rsidRPr="001415C7" w:rsidR="00F80945" w:rsidRDefault="00F80945" w14:paraId="68B39ECD" w14:textId="77777777">
            <w:pPr>
              <w:spacing w:line="240" w:lineRule="auto"/>
              <w:ind w:firstLine="0"/>
              <w:rPr>
                <w:sz w:val="20"/>
                <w:szCs w:val="20"/>
              </w:rPr>
            </w:pPr>
            <w:r w:rsidRPr="001415C7">
              <w:rPr>
                <w:sz w:val="20"/>
                <w:szCs w:val="20"/>
              </w:rPr>
              <w:t>- Contact information</w:t>
            </w:r>
          </w:p>
          <w:p w:rsidRPr="001415C7" w:rsidR="00F80945" w:rsidRDefault="00F80945" w14:paraId="4DE0063F" w14:textId="77777777">
            <w:pPr>
              <w:spacing w:line="240" w:lineRule="auto"/>
              <w:ind w:firstLine="0"/>
              <w:rPr>
                <w:sz w:val="20"/>
                <w:szCs w:val="20"/>
              </w:rPr>
            </w:pPr>
            <w:r w:rsidRPr="001415C7">
              <w:rPr>
                <w:sz w:val="20"/>
                <w:szCs w:val="20"/>
              </w:rPr>
              <w:t>- Feedback opportunities</w:t>
            </w:r>
          </w:p>
        </w:tc>
        <w:tc>
          <w:tcPr>
            <w:tcW w:w="2335" w:type="dxa"/>
          </w:tcPr>
          <w:p w:rsidRPr="001415C7" w:rsidR="00F80945" w:rsidRDefault="00F80945" w14:paraId="265C8EAE" w14:textId="77777777">
            <w:pPr>
              <w:spacing w:line="240" w:lineRule="auto"/>
              <w:ind w:firstLine="0"/>
              <w:rPr>
                <w:sz w:val="20"/>
                <w:szCs w:val="20"/>
              </w:rPr>
            </w:pPr>
            <w:r w:rsidRPr="001415C7">
              <w:rPr>
                <w:sz w:val="20"/>
                <w:szCs w:val="20"/>
              </w:rPr>
              <w:t>Gas utility as lead, other partners as appropriate</w:t>
            </w:r>
          </w:p>
        </w:tc>
      </w:tr>
    </w:tbl>
    <w:p w:rsidRPr="001415C7" w:rsidR="00F80945" w:rsidP="00F80945" w:rsidRDefault="00F80945" w14:paraId="24EDDAE1" w14:textId="77777777"/>
    <w:p w:rsidRPr="001415C7" w:rsidR="00F80945" w:rsidP="00F80945" w:rsidRDefault="00F80945" w14:paraId="53F2B2A5" w14:textId="77777777">
      <w:pPr>
        <w:spacing w:after="160" w:line="259" w:lineRule="auto"/>
        <w:ind w:firstLine="0"/>
        <w:rPr>
          <w:b/>
          <w:bCs/>
        </w:rPr>
      </w:pPr>
      <w:r w:rsidRPr="001415C7">
        <w:rPr>
          <w:b/>
          <w:bCs/>
        </w:rPr>
        <w:br w:type="page"/>
      </w:r>
    </w:p>
    <w:p w:rsidRPr="001415C7" w:rsidR="00F80945" w:rsidP="00F80945" w:rsidRDefault="00F80945" w14:paraId="20BC33AB" w14:textId="77777777">
      <w:pPr>
        <w:jc w:val="center"/>
        <w:rPr>
          <w:b/>
          <w:bCs/>
        </w:rPr>
      </w:pPr>
      <w:r w:rsidRPr="001415C7">
        <w:rPr>
          <w:b/>
          <w:bCs/>
        </w:rPr>
        <w:lastRenderedPageBreak/>
        <w:t>Table B: Required Documentation of Notifications</w:t>
      </w:r>
    </w:p>
    <w:tbl>
      <w:tblPr>
        <w:tblStyle w:val="TableGrid"/>
        <w:tblW w:w="12957" w:type="dxa"/>
        <w:tblLook w:val="04A0" w:firstRow="1" w:lastRow="0" w:firstColumn="1" w:lastColumn="0" w:noHBand="0" w:noVBand="1"/>
      </w:tblPr>
      <w:tblGrid>
        <w:gridCol w:w="4319"/>
        <w:gridCol w:w="4319"/>
        <w:gridCol w:w="4319"/>
      </w:tblGrid>
      <w:tr w:rsidRPr="001415C7" w:rsidR="00F80945" w14:paraId="750CA429" w14:textId="77777777">
        <w:trPr>
          <w:trHeight w:val="932"/>
        </w:trPr>
        <w:tc>
          <w:tcPr>
            <w:tcW w:w="4319" w:type="dxa"/>
            <w:shd w:val="clear" w:color="auto" w:fill="D9D9D9" w:themeFill="background1" w:themeFillShade="D9"/>
            <w:vAlign w:val="center"/>
          </w:tcPr>
          <w:p w:rsidRPr="001415C7" w:rsidR="00F80945" w:rsidRDefault="00F80945" w14:paraId="6F16E4C9" w14:textId="77777777">
            <w:pPr>
              <w:spacing w:line="240" w:lineRule="auto"/>
              <w:ind w:firstLine="0"/>
              <w:rPr>
                <w:b/>
                <w:bCs/>
                <w:sz w:val="20"/>
                <w:szCs w:val="20"/>
              </w:rPr>
            </w:pPr>
            <w:r w:rsidRPr="001415C7">
              <w:rPr>
                <w:b/>
                <w:bCs/>
                <w:sz w:val="20"/>
                <w:szCs w:val="20"/>
              </w:rPr>
              <w:t>Project Phase</w:t>
            </w:r>
          </w:p>
        </w:tc>
        <w:tc>
          <w:tcPr>
            <w:tcW w:w="4319" w:type="dxa"/>
            <w:shd w:val="clear" w:color="auto" w:fill="D9D9D9" w:themeFill="background1" w:themeFillShade="D9"/>
            <w:vAlign w:val="center"/>
          </w:tcPr>
          <w:p w:rsidRPr="001415C7" w:rsidR="00F80945" w:rsidRDefault="00F80945" w14:paraId="5C53DFAA" w14:textId="77777777">
            <w:pPr>
              <w:spacing w:line="240" w:lineRule="auto"/>
              <w:ind w:firstLine="0"/>
              <w:rPr>
                <w:b/>
                <w:bCs/>
                <w:sz w:val="20"/>
                <w:szCs w:val="20"/>
              </w:rPr>
            </w:pPr>
            <w:r w:rsidRPr="001415C7">
              <w:rPr>
                <w:b/>
                <w:bCs/>
                <w:sz w:val="20"/>
                <w:szCs w:val="20"/>
              </w:rPr>
              <w:t>Documentation Required</w:t>
            </w:r>
          </w:p>
        </w:tc>
        <w:tc>
          <w:tcPr>
            <w:tcW w:w="4319" w:type="dxa"/>
            <w:shd w:val="clear" w:color="auto" w:fill="D9D9D9" w:themeFill="background1" w:themeFillShade="D9"/>
            <w:vAlign w:val="center"/>
          </w:tcPr>
          <w:p w:rsidRPr="001415C7" w:rsidR="00F80945" w:rsidRDefault="00F80945" w14:paraId="18B86523" w14:textId="77777777">
            <w:pPr>
              <w:spacing w:line="240" w:lineRule="auto"/>
              <w:ind w:firstLine="0"/>
              <w:rPr>
                <w:b/>
                <w:bCs/>
                <w:sz w:val="20"/>
                <w:szCs w:val="20"/>
              </w:rPr>
            </w:pPr>
            <w:r w:rsidRPr="001415C7">
              <w:rPr>
                <w:b/>
                <w:bCs/>
                <w:sz w:val="20"/>
                <w:szCs w:val="20"/>
              </w:rPr>
              <w:t>Submission Method and Deadline</w:t>
            </w:r>
          </w:p>
        </w:tc>
      </w:tr>
      <w:tr w:rsidRPr="001415C7" w:rsidR="00F80945" w14:paraId="09612765" w14:textId="77777777">
        <w:trPr>
          <w:trHeight w:val="932"/>
        </w:trPr>
        <w:tc>
          <w:tcPr>
            <w:tcW w:w="4319" w:type="dxa"/>
          </w:tcPr>
          <w:p w:rsidRPr="001415C7" w:rsidR="00F80945" w:rsidRDefault="00F80945" w14:paraId="0102BECC" w14:textId="77777777">
            <w:pPr>
              <w:spacing w:line="240" w:lineRule="auto"/>
              <w:ind w:firstLine="0"/>
              <w:rPr>
                <w:sz w:val="20"/>
                <w:szCs w:val="20"/>
              </w:rPr>
            </w:pPr>
            <w:r w:rsidRPr="001415C7">
              <w:rPr>
                <w:sz w:val="20"/>
                <w:szCs w:val="20"/>
              </w:rPr>
              <w:t>Prior to submitting application</w:t>
            </w:r>
          </w:p>
        </w:tc>
        <w:tc>
          <w:tcPr>
            <w:tcW w:w="4319" w:type="dxa"/>
          </w:tcPr>
          <w:p w:rsidRPr="001415C7" w:rsidR="00F80945" w:rsidRDefault="00F80945" w14:paraId="615E3C00" w14:textId="3F24CED7">
            <w:pPr>
              <w:spacing w:line="240" w:lineRule="auto"/>
              <w:ind w:firstLine="0"/>
              <w:rPr>
                <w:rFonts w:eastAsia="Aptos" w:cs="Arial"/>
                <w:sz w:val="20"/>
                <w:szCs w:val="20"/>
              </w:rPr>
            </w:pPr>
            <w:r w:rsidRPr="001415C7">
              <w:rPr>
                <w:rFonts w:eastAsia="Aptos" w:cs="Arial"/>
                <w:sz w:val="20"/>
                <w:szCs w:val="20"/>
              </w:rPr>
              <w:t xml:space="preserve">- </w:t>
            </w:r>
            <w:r w:rsidRPr="001415C7" w:rsidR="000912B7">
              <w:rPr>
                <w:rFonts w:eastAsia="Aptos" w:cs="Arial"/>
                <w:sz w:val="20"/>
                <w:szCs w:val="20"/>
              </w:rPr>
              <w:t xml:space="preserve">Representative examples </w:t>
            </w:r>
            <w:r w:rsidRPr="001415C7">
              <w:rPr>
                <w:rFonts w:eastAsia="Aptos" w:cs="Arial"/>
                <w:sz w:val="20"/>
                <w:szCs w:val="20"/>
              </w:rPr>
              <w:t>of outreach and communication materials</w:t>
            </w:r>
            <w:r w:rsidRPr="001415C7" w:rsidR="00702E4D">
              <w:rPr>
                <w:rFonts w:eastAsia="Aptos" w:cs="Arial"/>
                <w:sz w:val="20"/>
                <w:szCs w:val="20"/>
              </w:rPr>
              <w:t>, including confirmation that such materials were provided in the prevailing lan</w:t>
            </w:r>
            <w:r w:rsidRPr="001415C7" w:rsidR="00120216">
              <w:rPr>
                <w:rFonts w:eastAsia="Aptos" w:cs="Arial"/>
                <w:sz w:val="20"/>
                <w:szCs w:val="20"/>
              </w:rPr>
              <w:t>guage of the proposed pilot community and in accessible formats</w:t>
            </w:r>
          </w:p>
          <w:p w:rsidRPr="001415C7" w:rsidR="00F80945" w:rsidRDefault="00F80945" w14:paraId="7730A610" w14:textId="77777777">
            <w:pPr>
              <w:spacing w:line="240" w:lineRule="auto"/>
              <w:ind w:firstLine="0"/>
              <w:rPr>
                <w:rFonts w:eastAsia="Aptos" w:cs="Arial"/>
                <w:sz w:val="20"/>
                <w:szCs w:val="20"/>
              </w:rPr>
            </w:pPr>
            <w:r w:rsidRPr="001415C7">
              <w:rPr>
                <w:rFonts w:eastAsia="Aptos" w:cs="Arial"/>
                <w:sz w:val="20"/>
                <w:szCs w:val="20"/>
              </w:rPr>
              <w:t>- Description of outreach methods used and frequency of communications</w:t>
            </w:r>
          </w:p>
          <w:p w:rsidRPr="001415C7" w:rsidR="00F80945" w:rsidRDefault="00F80945" w14:paraId="205FA5DB" w14:textId="77777777">
            <w:pPr>
              <w:spacing w:line="240" w:lineRule="auto"/>
              <w:ind w:firstLine="0"/>
              <w:rPr>
                <w:rFonts w:eastAsia="Aptos" w:cs="Arial"/>
                <w:sz w:val="20"/>
                <w:szCs w:val="20"/>
              </w:rPr>
            </w:pPr>
            <w:r w:rsidRPr="001415C7">
              <w:rPr>
                <w:rFonts w:eastAsia="Aptos" w:cs="Arial"/>
                <w:sz w:val="20"/>
                <w:szCs w:val="20"/>
              </w:rPr>
              <w:t>- List of information provided to property owners, affected customers, and master-metered tenants</w:t>
            </w:r>
          </w:p>
          <w:p w:rsidRPr="001415C7" w:rsidR="00F80945" w:rsidRDefault="00F80945" w14:paraId="106A8792" w14:textId="77777777">
            <w:pPr>
              <w:spacing w:line="240" w:lineRule="auto"/>
              <w:ind w:firstLine="0"/>
              <w:rPr>
                <w:rFonts w:eastAsia="Aptos" w:cs="Arial"/>
                <w:sz w:val="20"/>
                <w:szCs w:val="20"/>
              </w:rPr>
            </w:pPr>
            <w:r w:rsidRPr="001415C7">
              <w:rPr>
                <w:rFonts w:eastAsia="Aptos" w:cs="Arial"/>
                <w:sz w:val="20"/>
                <w:szCs w:val="20"/>
              </w:rPr>
              <w:t>- Copies of the non-binding expressions of interest from property owners</w:t>
            </w:r>
          </w:p>
          <w:p w:rsidRPr="001415C7" w:rsidR="00F80945" w:rsidRDefault="00F80945" w14:paraId="61DFAAAD" w14:textId="77777777">
            <w:pPr>
              <w:spacing w:line="240" w:lineRule="auto"/>
              <w:ind w:firstLine="0"/>
              <w:rPr>
                <w:rFonts w:eastAsia="Aptos" w:cs="Arial"/>
                <w:sz w:val="20"/>
                <w:szCs w:val="20"/>
              </w:rPr>
            </w:pPr>
            <w:r w:rsidRPr="001415C7">
              <w:rPr>
                <w:rFonts w:eastAsia="Aptos" w:cs="Arial"/>
                <w:sz w:val="20"/>
                <w:szCs w:val="20"/>
              </w:rPr>
              <w:t>- List of local partners engaged and description of how they supported outreach</w:t>
            </w:r>
          </w:p>
          <w:p w:rsidRPr="001415C7" w:rsidR="00F80945" w:rsidRDefault="00F80945" w14:paraId="5CA3A95B" w14:textId="77777777">
            <w:pPr>
              <w:spacing w:line="240" w:lineRule="auto"/>
              <w:ind w:firstLine="0"/>
              <w:rPr>
                <w:rFonts w:eastAsia="Aptos" w:cs="Arial"/>
                <w:sz w:val="20"/>
                <w:szCs w:val="20"/>
              </w:rPr>
            </w:pPr>
            <w:r w:rsidRPr="001415C7">
              <w:rPr>
                <w:rFonts w:eastAsia="Aptos" w:cs="Arial"/>
                <w:sz w:val="20"/>
                <w:szCs w:val="20"/>
              </w:rPr>
              <w:t>- Summary of common questions or concerns raised by property owners, affected customers, and tenants</w:t>
            </w:r>
          </w:p>
        </w:tc>
        <w:tc>
          <w:tcPr>
            <w:tcW w:w="4319" w:type="dxa"/>
          </w:tcPr>
          <w:p w:rsidRPr="001415C7" w:rsidR="00F80945" w:rsidRDefault="00F80945" w14:paraId="0DA4E13A" w14:textId="77777777">
            <w:pPr>
              <w:spacing w:line="240" w:lineRule="auto"/>
              <w:ind w:firstLine="0"/>
              <w:rPr>
                <w:sz w:val="20"/>
                <w:szCs w:val="20"/>
              </w:rPr>
            </w:pPr>
            <w:r w:rsidRPr="001415C7">
              <w:rPr>
                <w:sz w:val="20"/>
                <w:szCs w:val="20"/>
              </w:rPr>
              <w:t>Included in application</w:t>
            </w:r>
          </w:p>
        </w:tc>
      </w:tr>
      <w:tr w:rsidRPr="001415C7" w:rsidR="00F80945" w14:paraId="79A484A5" w14:textId="77777777">
        <w:trPr>
          <w:trHeight w:val="109"/>
        </w:trPr>
        <w:tc>
          <w:tcPr>
            <w:tcW w:w="4319" w:type="dxa"/>
          </w:tcPr>
          <w:p w:rsidRPr="001415C7" w:rsidR="00F80945" w:rsidRDefault="00F80945" w14:paraId="6F30FF71" w14:textId="77777777">
            <w:pPr>
              <w:spacing w:line="240" w:lineRule="auto"/>
              <w:rPr>
                <w:sz w:val="4"/>
                <w:szCs w:val="4"/>
              </w:rPr>
            </w:pPr>
          </w:p>
        </w:tc>
        <w:tc>
          <w:tcPr>
            <w:tcW w:w="4319" w:type="dxa"/>
          </w:tcPr>
          <w:p w:rsidRPr="001415C7" w:rsidR="00F80945" w:rsidRDefault="00F80945" w14:paraId="45C48344" w14:textId="77777777">
            <w:pPr>
              <w:spacing w:line="240" w:lineRule="auto"/>
              <w:rPr>
                <w:sz w:val="4"/>
                <w:szCs w:val="4"/>
              </w:rPr>
            </w:pPr>
          </w:p>
        </w:tc>
        <w:tc>
          <w:tcPr>
            <w:tcW w:w="4319" w:type="dxa"/>
          </w:tcPr>
          <w:p w:rsidRPr="001415C7" w:rsidR="00F80945" w:rsidRDefault="00F80945" w14:paraId="1EECB33A" w14:textId="77777777">
            <w:pPr>
              <w:spacing w:line="240" w:lineRule="auto"/>
              <w:rPr>
                <w:sz w:val="4"/>
                <w:szCs w:val="4"/>
              </w:rPr>
            </w:pPr>
          </w:p>
        </w:tc>
      </w:tr>
      <w:tr w:rsidRPr="001415C7" w:rsidR="00F80945" w14:paraId="0915AE81" w14:textId="77777777">
        <w:trPr>
          <w:trHeight w:val="1035"/>
        </w:trPr>
        <w:tc>
          <w:tcPr>
            <w:tcW w:w="4319" w:type="dxa"/>
          </w:tcPr>
          <w:p w:rsidRPr="001415C7" w:rsidR="00F80945" w:rsidRDefault="00F80945" w14:paraId="3781A035" w14:textId="216290EF">
            <w:pPr>
              <w:spacing w:line="240" w:lineRule="auto"/>
              <w:ind w:firstLine="0"/>
              <w:rPr>
                <w:sz w:val="20"/>
                <w:szCs w:val="20"/>
              </w:rPr>
            </w:pPr>
            <w:r w:rsidRPr="001415C7">
              <w:rPr>
                <w:sz w:val="20"/>
                <w:szCs w:val="20"/>
              </w:rPr>
              <w:t>After a project is approved by the Commission</w:t>
            </w:r>
          </w:p>
        </w:tc>
        <w:tc>
          <w:tcPr>
            <w:tcW w:w="4319" w:type="dxa"/>
          </w:tcPr>
          <w:p w:rsidRPr="001415C7" w:rsidR="00F80945" w:rsidRDefault="00F80945" w14:paraId="59FB81FA" w14:textId="77777777">
            <w:pPr>
              <w:spacing w:line="240" w:lineRule="auto"/>
              <w:ind w:firstLine="0"/>
              <w:rPr>
                <w:rFonts w:eastAsia="Aptos" w:cs="Arial"/>
                <w:sz w:val="20"/>
                <w:szCs w:val="20"/>
              </w:rPr>
            </w:pPr>
            <w:r w:rsidRPr="001415C7">
              <w:rPr>
                <w:rFonts w:eastAsia="Aptos" w:cs="Arial"/>
                <w:sz w:val="20"/>
                <w:szCs w:val="20"/>
              </w:rPr>
              <w:t xml:space="preserve">- Copies of binding consent agreements obtained from </w:t>
            </w:r>
            <w:r w:rsidRPr="001415C7" w:rsidR="007234D0">
              <w:rPr>
                <w:rFonts w:eastAsia="Aptos" w:cs="Arial"/>
                <w:sz w:val="20"/>
                <w:szCs w:val="20"/>
              </w:rPr>
              <w:t>the owners of</w:t>
            </w:r>
            <w:r w:rsidRPr="001415C7">
              <w:rPr>
                <w:rFonts w:eastAsia="Aptos" w:cs="Arial"/>
                <w:sz w:val="20"/>
                <w:szCs w:val="20"/>
              </w:rPr>
              <w:t xml:space="preserve"> 67 percent or more of </w:t>
            </w:r>
            <w:r w:rsidRPr="001415C7" w:rsidR="007234D0">
              <w:rPr>
                <w:rFonts w:eastAsia="Aptos" w:cs="Arial"/>
                <w:sz w:val="20"/>
                <w:szCs w:val="20"/>
              </w:rPr>
              <w:t>the impacted properties</w:t>
            </w:r>
          </w:p>
          <w:p w:rsidRPr="001415C7" w:rsidR="00415BA1" w:rsidRDefault="00415BA1" w14:paraId="02EBEB3F" w14:textId="41D9DC00">
            <w:pPr>
              <w:spacing w:line="240" w:lineRule="auto"/>
              <w:ind w:firstLine="0"/>
              <w:rPr>
                <w:sz w:val="20"/>
                <w:szCs w:val="20"/>
              </w:rPr>
            </w:pPr>
          </w:p>
        </w:tc>
        <w:tc>
          <w:tcPr>
            <w:tcW w:w="4319" w:type="dxa"/>
          </w:tcPr>
          <w:p w:rsidRPr="001415C7" w:rsidR="00F80945" w:rsidRDefault="00F80945" w14:paraId="2FAC8922" w14:textId="1BB56C1E">
            <w:pPr>
              <w:spacing w:line="240" w:lineRule="auto"/>
              <w:ind w:firstLine="0"/>
              <w:rPr>
                <w:sz w:val="20"/>
                <w:szCs w:val="20"/>
              </w:rPr>
            </w:pPr>
            <w:r w:rsidRPr="001415C7">
              <w:rPr>
                <w:sz w:val="20"/>
                <w:szCs w:val="20"/>
              </w:rPr>
              <w:t>Tier 1 Advice Letter filed before investing capital</w:t>
            </w:r>
          </w:p>
        </w:tc>
      </w:tr>
      <w:tr w:rsidRPr="001415C7" w:rsidR="00F80945" w14:paraId="52062C26" w14:textId="77777777">
        <w:trPr>
          <w:trHeight w:val="140"/>
        </w:trPr>
        <w:tc>
          <w:tcPr>
            <w:tcW w:w="4319" w:type="dxa"/>
          </w:tcPr>
          <w:p w:rsidRPr="001415C7" w:rsidR="00F80945" w:rsidRDefault="00F80945" w14:paraId="1FD44A7B" w14:textId="77777777">
            <w:pPr>
              <w:spacing w:line="240" w:lineRule="auto"/>
              <w:rPr>
                <w:sz w:val="4"/>
                <w:szCs w:val="4"/>
              </w:rPr>
            </w:pPr>
          </w:p>
        </w:tc>
        <w:tc>
          <w:tcPr>
            <w:tcW w:w="4319" w:type="dxa"/>
          </w:tcPr>
          <w:p w:rsidRPr="001415C7" w:rsidR="00F80945" w:rsidRDefault="00F80945" w14:paraId="2E3A0C54" w14:textId="77777777">
            <w:pPr>
              <w:spacing w:line="240" w:lineRule="auto"/>
              <w:rPr>
                <w:sz w:val="4"/>
                <w:szCs w:val="4"/>
              </w:rPr>
            </w:pPr>
          </w:p>
        </w:tc>
        <w:tc>
          <w:tcPr>
            <w:tcW w:w="4319" w:type="dxa"/>
          </w:tcPr>
          <w:p w:rsidRPr="001415C7" w:rsidR="00F80945" w:rsidRDefault="00F80945" w14:paraId="03F7BC79" w14:textId="77777777">
            <w:pPr>
              <w:spacing w:line="240" w:lineRule="auto"/>
              <w:rPr>
                <w:sz w:val="4"/>
                <w:szCs w:val="4"/>
              </w:rPr>
            </w:pPr>
          </w:p>
        </w:tc>
      </w:tr>
      <w:tr w:rsidRPr="001415C7" w:rsidR="00F80945" w14:paraId="69290AC3" w14:textId="77777777">
        <w:trPr>
          <w:trHeight w:val="1392"/>
        </w:trPr>
        <w:tc>
          <w:tcPr>
            <w:tcW w:w="4319" w:type="dxa"/>
          </w:tcPr>
          <w:p w:rsidRPr="001415C7" w:rsidR="00F80945" w:rsidRDefault="00F80945" w14:paraId="51D87E80" w14:textId="77777777">
            <w:pPr>
              <w:spacing w:line="240" w:lineRule="auto"/>
              <w:ind w:firstLine="0"/>
              <w:rPr>
                <w:sz w:val="20"/>
                <w:szCs w:val="20"/>
              </w:rPr>
            </w:pPr>
            <w:r w:rsidRPr="001415C7">
              <w:rPr>
                <w:sz w:val="20"/>
                <w:szCs w:val="20"/>
              </w:rPr>
              <w:t>After implementation begins and on ongoing basis as necessary</w:t>
            </w:r>
          </w:p>
        </w:tc>
        <w:tc>
          <w:tcPr>
            <w:tcW w:w="4319" w:type="dxa"/>
          </w:tcPr>
          <w:p w:rsidRPr="001415C7" w:rsidR="00F80945" w:rsidRDefault="00F80945" w14:paraId="7979E663" w14:textId="77777777">
            <w:pPr>
              <w:spacing w:line="240" w:lineRule="auto"/>
              <w:ind w:firstLine="0"/>
              <w:rPr>
                <w:rFonts w:eastAsia="Aptos" w:cs="Arial"/>
                <w:sz w:val="20"/>
                <w:szCs w:val="20"/>
              </w:rPr>
            </w:pPr>
            <w:r w:rsidRPr="001415C7">
              <w:rPr>
                <w:rFonts w:eastAsia="Aptos" w:cs="Arial"/>
                <w:sz w:val="20"/>
                <w:szCs w:val="20"/>
              </w:rPr>
              <w:t>- Copies of outreach and communication materials</w:t>
            </w:r>
          </w:p>
          <w:p w:rsidRPr="001415C7" w:rsidR="00F80945" w:rsidRDefault="00F80945" w14:paraId="548867C3" w14:textId="77777777">
            <w:pPr>
              <w:spacing w:line="240" w:lineRule="auto"/>
              <w:ind w:firstLine="0"/>
              <w:rPr>
                <w:rFonts w:eastAsia="Aptos" w:cs="Arial"/>
                <w:sz w:val="20"/>
                <w:szCs w:val="20"/>
              </w:rPr>
            </w:pPr>
            <w:r w:rsidRPr="001415C7">
              <w:rPr>
                <w:rFonts w:eastAsia="Aptos" w:cs="Arial"/>
                <w:sz w:val="20"/>
                <w:szCs w:val="20"/>
              </w:rPr>
              <w:t>- Description of outreach methods used and frequency of communications</w:t>
            </w:r>
          </w:p>
          <w:p w:rsidRPr="001415C7" w:rsidR="00F80945" w:rsidRDefault="00F80945" w14:paraId="1001912A" w14:textId="77777777">
            <w:pPr>
              <w:spacing w:line="240" w:lineRule="auto"/>
              <w:ind w:firstLine="0"/>
              <w:rPr>
                <w:rFonts w:eastAsia="Aptos" w:cs="Arial"/>
                <w:sz w:val="20"/>
                <w:szCs w:val="20"/>
              </w:rPr>
            </w:pPr>
            <w:r w:rsidRPr="001415C7">
              <w:rPr>
                <w:rFonts w:eastAsia="Aptos" w:cs="Arial"/>
                <w:sz w:val="20"/>
                <w:szCs w:val="20"/>
              </w:rPr>
              <w:t>- List of information provided to property owners, affected customers, and master-metered tenants</w:t>
            </w:r>
          </w:p>
          <w:p w:rsidRPr="001415C7" w:rsidR="00F80945" w:rsidRDefault="00F80945" w14:paraId="272AAC43" w14:textId="77777777">
            <w:pPr>
              <w:spacing w:line="240" w:lineRule="auto"/>
              <w:ind w:firstLine="0"/>
              <w:rPr>
                <w:rFonts w:eastAsia="Aptos" w:cs="Arial"/>
                <w:sz w:val="20"/>
                <w:szCs w:val="20"/>
              </w:rPr>
            </w:pPr>
            <w:r w:rsidRPr="001415C7">
              <w:rPr>
                <w:rFonts w:eastAsia="Aptos" w:cs="Arial"/>
                <w:sz w:val="20"/>
                <w:szCs w:val="20"/>
              </w:rPr>
              <w:lastRenderedPageBreak/>
              <w:t>- List of local partners engaged and description of how they supported outreach</w:t>
            </w:r>
          </w:p>
          <w:p w:rsidRPr="001415C7" w:rsidR="00F80945" w:rsidRDefault="00F80945" w14:paraId="2B1F3C11" w14:textId="77777777">
            <w:pPr>
              <w:spacing w:line="240" w:lineRule="auto"/>
              <w:ind w:firstLine="0"/>
              <w:rPr>
                <w:rFonts w:eastAsia="Aptos" w:cs="Arial"/>
                <w:sz w:val="20"/>
                <w:szCs w:val="20"/>
              </w:rPr>
            </w:pPr>
            <w:r w:rsidRPr="001415C7">
              <w:rPr>
                <w:rFonts w:eastAsia="Aptos" w:cs="Arial"/>
                <w:sz w:val="20"/>
                <w:szCs w:val="20"/>
              </w:rPr>
              <w:t>- Summary of common comments, questions or concerns raised by property owners, affected customers, and tenants</w:t>
            </w:r>
          </w:p>
          <w:p w:rsidRPr="001415C7" w:rsidR="00F80945" w:rsidRDefault="00F80945" w14:paraId="685014B7" w14:textId="77777777">
            <w:pPr>
              <w:spacing w:line="240" w:lineRule="auto"/>
              <w:ind w:firstLine="0"/>
              <w:rPr>
                <w:sz w:val="20"/>
                <w:szCs w:val="20"/>
              </w:rPr>
            </w:pPr>
            <w:r w:rsidRPr="001415C7">
              <w:rPr>
                <w:sz w:val="20"/>
                <w:szCs w:val="20"/>
              </w:rPr>
              <w:t>- Summary of issues or concerns that required action from applicant or local partners and how the issues were resolved</w:t>
            </w:r>
          </w:p>
        </w:tc>
        <w:tc>
          <w:tcPr>
            <w:tcW w:w="4319" w:type="dxa"/>
          </w:tcPr>
          <w:p w:rsidRPr="001415C7" w:rsidR="00F80945" w:rsidRDefault="00F80945" w14:paraId="6337A7B1" w14:textId="4E3D854E">
            <w:pPr>
              <w:spacing w:line="240" w:lineRule="auto"/>
              <w:ind w:firstLine="0"/>
              <w:rPr>
                <w:sz w:val="20"/>
                <w:szCs w:val="20"/>
              </w:rPr>
            </w:pPr>
            <w:r w:rsidRPr="001415C7">
              <w:rPr>
                <w:sz w:val="20"/>
                <w:szCs w:val="20"/>
              </w:rPr>
              <w:lastRenderedPageBreak/>
              <w:t>Included as attachments to a Tier 1 Advice letter filed annually on November 1</w:t>
            </w:r>
          </w:p>
        </w:tc>
      </w:tr>
      <w:tr w:rsidRPr="001415C7" w:rsidR="00F80945" w14:paraId="33ADAE3F" w14:textId="77777777">
        <w:trPr>
          <w:trHeight w:val="164"/>
        </w:trPr>
        <w:tc>
          <w:tcPr>
            <w:tcW w:w="4319" w:type="dxa"/>
          </w:tcPr>
          <w:p w:rsidRPr="001415C7" w:rsidR="00F80945" w:rsidRDefault="00F80945" w14:paraId="668ED665" w14:textId="77777777">
            <w:pPr>
              <w:spacing w:line="240" w:lineRule="auto"/>
              <w:rPr>
                <w:sz w:val="4"/>
                <w:szCs w:val="4"/>
              </w:rPr>
            </w:pPr>
          </w:p>
        </w:tc>
        <w:tc>
          <w:tcPr>
            <w:tcW w:w="4319" w:type="dxa"/>
          </w:tcPr>
          <w:p w:rsidRPr="001415C7" w:rsidR="00F80945" w:rsidRDefault="00F80945" w14:paraId="10C3CEB0" w14:textId="77777777">
            <w:pPr>
              <w:spacing w:line="240" w:lineRule="auto"/>
              <w:rPr>
                <w:sz w:val="4"/>
                <w:szCs w:val="4"/>
              </w:rPr>
            </w:pPr>
          </w:p>
        </w:tc>
        <w:tc>
          <w:tcPr>
            <w:tcW w:w="4319" w:type="dxa"/>
          </w:tcPr>
          <w:p w:rsidRPr="001415C7" w:rsidR="00F80945" w:rsidRDefault="00F80945" w14:paraId="42DD024A" w14:textId="77777777">
            <w:pPr>
              <w:spacing w:line="240" w:lineRule="auto"/>
              <w:rPr>
                <w:sz w:val="4"/>
                <w:szCs w:val="4"/>
              </w:rPr>
            </w:pPr>
          </w:p>
        </w:tc>
      </w:tr>
      <w:tr w:rsidR="00F80945" w14:paraId="73F4A913" w14:textId="77777777">
        <w:trPr>
          <w:trHeight w:val="477"/>
        </w:trPr>
        <w:tc>
          <w:tcPr>
            <w:tcW w:w="4319" w:type="dxa"/>
          </w:tcPr>
          <w:p w:rsidRPr="001415C7" w:rsidR="00F80945" w:rsidRDefault="00F80945" w14:paraId="290266CD" w14:textId="77777777">
            <w:pPr>
              <w:spacing w:line="240" w:lineRule="auto"/>
              <w:ind w:firstLine="0"/>
              <w:rPr>
                <w:sz w:val="20"/>
                <w:szCs w:val="20"/>
              </w:rPr>
            </w:pPr>
            <w:r w:rsidRPr="001415C7">
              <w:rPr>
                <w:sz w:val="20"/>
                <w:szCs w:val="20"/>
              </w:rPr>
              <w:t>After project implementation is complete (i.e., all work on non-utility property completed)</w:t>
            </w:r>
          </w:p>
        </w:tc>
        <w:tc>
          <w:tcPr>
            <w:tcW w:w="4319" w:type="dxa"/>
          </w:tcPr>
          <w:p w:rsidRPr="001415C7" w:rsidR="00F80945" w:rsidRDefault="00F80945" w14:paraId="5C2E9DFD" w14:textId="77777777">
            <w:pPr>
              <w:spacing w:line="240" w:lineRule="auto"/>
              <w:ind w:firstLine="0"/>
              <w:rPr>
                <w:sz w:val="20"/>
                <w:szCs w:val="20"/>
              </w:rPr>
            </w:pPr>
            <w:r w:rsidRPr="001415C7">
              <w:rPr>
                <w:sz w:val="20"/>
                <w:szCs w:val="20"/>
              </w:rPr>
              <w:t>- Material necessary to support evaluation of the efficacy of pilot projects as required by Code Section 664(a). The Commission will provide further detail in forthcoming decisions.</w:t>
            </w:r>
          </w:p>
        </w:tc>
        <w:tc>
          <w:tcPr>
            <w:tcW w:w="4319" w:type="dxa"/>
          </w:tcPr>
          <w:p w:rsidRPr="00A83B16" w:rsidR="00F80945" w:rsidRDefault="00A44B8A" w14:paraId="036FD2BF" w14:textId="297D9FF0">
            <w:pPr>
              <w:spacing w:line="240" w:lineRule="auto"/>
              <w:ind w:firstLine="0"/>
              <w:rPr>
                <w:sz w:val="20"/>
                <w:szCs w:val="20"/>
              </w:rPr>
            </w:pPr>
            <w:r w:rsidRPr="001415C7">
              <w:rPr>
                <w:sz w:val="20"/>
                <w:szCs w:val="20"/>
              </w:rPr>
              <w:t>Method and deadline to be discussed in future decisions.</w:t>
            </w:r>
          </w:p>
        </w:tc>
      </w:tr>
    </w:tbl>
    <w:p w:rsidRPr="000C583E" w:rsidR="00F80945" w:rsidP="00F80945" w:rsidRDefault="00F80945" w14:paraId="0C0726E1" w14:textId="77777777">
      <w:pPr>
        <w:jc w:val="center"/>
        <w:rPr>
          <w:b/>
          <w:bCs/>
        </w:rPr>
      </w:pPr>
    </w:p>
    <w:p w:rsidR="00F80945" w:rsidP="00F80945" w:rsidRDefault="00F80945" w14:paraId="096B4BA6" w14:textId="77777777"/>
    <w:p w:rsidR="00F80945" w:rsidP="00F80945" w:rsidRDefault="00F80945" w14:paraId="7441E4D6" w14:textId="77777777"/>
    <w:p w:rsidR="00F80945" w:rsidP="00F80945" w:rsidRDefault="00F80945" w14:paraId="1EF4D52A" w14:textId="77777777"/>
    <w:p w:rsidRPr="00BB1713" w:rsidR="00714CF2" w:rsidP="0001458E" w:rsidRDefault="00714CF2" w14:paraId="1E46F398" w14:textId="77777777">
      <w:pPr>
        <w:ind w:firstLine="0"/>
      </w:pPr>
    </w:p>
    <w:sectPr w:rsidRPr="00BB1713" w:rsidR="00714CF2" w:rsidSect="0001458E">
      <w:pgSz w:w="15840" w:h="12240" w:orient="landscape"/>
      <w:pgMar w:top="1440" w:right="1440" w:bottom="1440" w:left="1728" w:header="720" w:footer="720" w:gutter="0"/>
      <w:pgNumType w:start="2"/>
      <w:cols w:space="720"/>
      <w:titlePg/>
      <w:docGrid w:linePitch="360"/>
    </w:sectPr>
    <w:p>
      <w:r>
        <w:t xml:space="preserve"/>
      </w:r>
    </w:p>
    <w:p>
      <w:r>
        <w:t xml:space="preserve">Attachment 1: </w:t>
      </w:r>
    </w:p>
    <w:p>
      <w:hyperlink w:history="true" r:id="Ra49a39fe449941c4">
        <w:r w:rsidRPr="00CB1292">
          <w:rPr>
            <w:rStyle w:val="Hyperlink"/>
            <w:color w:val="2E74B5" w:themeColor="accent1" w:themeShade="BF"/>
            <w:u w:val="single"/>
          </w:rPr>
          <w:t>REDLINE (Rev. 1) R.24-09-012 DECISION ESTABLISHING APPLICATION PROCESS FOR SB1221.pdf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6BDE" w14:textId="77777777" w:rsidR="008566ED" w:rsidRDefault="008566ED" w:rsidP="0098138E">
      <w:pPr>
        <w:spacing w:line="240" w:lineRule="auto"/>
      </w:pPr>
      <w:r>
        <w:separator/>
      </w:r>
    </w:p>
  </w:endnote>
  <w:endnote w:type="continuationSeparator" w:id="0">
    <w:p w14:paraId="242DE2D5" w14:textId="77777777" w:rsidR="008566ED" w:rsidRDefault="008566E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3456" w14:textId="33056342" w:rsidR="003E3D7D" w:rsidRDefault="00000000" w:rsidP="007E0FEE">
    <w:pPr>
      <w:tabs>
        <w:tab w:val="center" w:pos="4680"/>
      </w:tabs>
      <w:ind w:firstLine="0"/>
      <w:rPr>
        <w:noProof/>
      </w:rPr>
    </w:pPr>
    <w:sdt>
      <w:sdtPr>
        <w:id w:val="-1501028605"/>
        <w:docPartObj>
          <w:docPartGallery w:val="Page Numbers (Bottom of Page)"/>
          <w:docPartUnique/>
        </w:docPartObj>
      </w:sdtPr>
      <w:sdtEndPr>
        <w:rPr>
          <w:noProof/>
        </w:rPr>
      </w:sdtEndPr>
      <w:sdtContent>
        <w:r w:rsidR="00B82579" w:rsidRPr="00120E91">
          <w:rPr>
            <w:sz w:val="16"/>
            <w:szCs w:val="16"/>
          </w:rPr>
          <w:t>609905132</w:t>
        </w:r>
        <w:r w:rsidR="003E3D7D">
          <w:rPr>
            <w:rFonts w:ascii="Arial" w:hAnsi="Arial" w:cs="Arial"/>
            <w:sz w:val="16"/>
            <w:szCs w:val="16"/>
          </w:rPr>
          <w:tab/>
        </w:r>
        <w:r w:rsidR="003E3D7D">
          <w:t xml:space="preserve">- </w:t>
        </w:r>
        <w:r w:rsidR="003E3D7D">
          <w:fldChar w:fldCharType="begin"/>
        </w:r>
        <w:r w:rsidR="003E3D7D">
          <w:instrText xml:space="preserve"> PAGE   \* MERGEFORMAT </w:instrText>
        </w:r>
        <w:r w:rsidR="003E3D7D">
          <w:fldChar w:fldCharType="separate"/>
        </w:r>
        <w:r w:rsidR="003E3D7D">
          <w:rPr>
            <w:noProof/>
          </w:rPr>
          <w:t>2</w:t>
        </w:r>
        <w:r w:rsidR="003E3D7D">
          <w:rPr>
            <w:noProof/>
          </w:rPr>
          <w:fldChar w:fldCharType="end"/>
        </w:r>
      </w:sdtContent>
    </w:sdt>
    <w:r w:rsidR="003E3D7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7004" w14:textId="393CD7B8"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87E" w14:textId="5C804CF0" w:rsidR="00E23CBB" w:rsidRDefault="00E23CBB" w:rsidP="007E0FEE">
    <w:pPr>
      <w:ind w:firstLine="0"/>
      <w:jc w:val="center"/>
    </w:pPr>
    <w:r>
      <w:t>-</w:t>
    </w:r>
    <w:sdt>
      <w:sdtPr>
        <w:id w:val="1060364287"/>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5B4F" w14:textId="0DEECD2E" w:rsidR="00BB1713" w:rsidRDefault="00000000" w:rsidP="007E0FEE">
    <w:pPr>
      <w:tabs>
        <w:tab w:val="center" w:pos="4680"/>
      </w:tabs>
      <w:ind w:firstLine="0"/>
      <w:rPr>
        <w:noProof/>
      </w:rPr>
    </w:pPr>
    <w:sdt>
      <w:sdtPr>
        <w:id w:val="-590238485"/>
        <w:docPartObj>
          <w:docPartGallery w:val="Page Numbers (Bottom of Page)"/>
          <w:docPartUnique/>
        </w:docPartObj>
      </w:sdtPr>
      <w:sdtEndPr>
        <w:rPr>
          <w:noProof/>
        </w:rPr>
      </w:sdtEndPr>
      <w:sdtContent>
        <w:r w:rsidR="00BB1713">
          <w:rPr>
            <w:rFonts w:ascii="Arial" w:hAnsi="Arial" w:cs="Arial"/>
            <w:sz w:val="16"/>
            <w:szCs w:val="16"/>
          </w:rPr>
          <w:tab/>
        </w:r>
        <w:r w:rsidR="00BB1713">
          <w:t xml:space="preserve">- </w:t>
        </w:r>
        <w:r w:rsidR="00BB1713">
          <w:fldChar w:fldCharType="begin"/>
        </w:r>
        <w:r w:rsidR="00BB1713">
          <w:instrText xml:space="preserve"> PAGE   \* MERGEFORMAT </w:instrText>
        </w:r>
        <w:r w:rsidR="00BB1713">
          <w:fldChar w:fldCharType="separate"/>
        </w:r>
        <w:r w:rsidR="00BB1713">
          <w:rPr>
            <w:noProof/>
          </w:rPr>
          <w:t>2</w:t>
        </w:r>
        <w:r w:rsidR="00BB1713">
          <w:rPr>
            <w:noProof/>
          </w:rPr>
          <w:fldChar w:fldCharType="end"/>
        </w:r>
      </w:sdtContent>
    </w:sdt>
    <w:r w:rsidR="00BB171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672F" w14:textId="77777777" w:rsidR="008566ED" w:rsidRDefault="008566ED" w:rsidP="00DF58E7">
      <w:pPr>
        <w:spacing w:line="240" w:lineRule="auto"/>
        <w:ind w:firstLine="0"/>
      </w:pPr>
      <w:r>
        <w:separator/>
      </w:r>
    </w:p>
  </w:footnote>
  <w:footnote w:type="continuationSeparator" w:id="0">
    <w:p w14:paraId="37ACA533" w14:textId="77777777" w:rsidR="008566ED" w:rsidRDefault="008566ED" w:rsidP="00DF58E7">
      <w:pPr>
        <w:spacing w:line="240" w:lineRule="auto"/>
        <w:ind w:firstLine="0"/>
      </w:pPr>
      <w:r>
        <w:continuationSeparator/>
      </w:r>
    </w:p>
  </w:footnote>
  <w:footnote w:type="continuationNotice" w:id="1">
    <w:p w14:paraId="42ED02D7" w14:textId="77777777" w:rsidR="008566ED" w:rsidRPr="00DF58E7" w:rsidRDefault="008566ED" w:rsidP="00DF58E7">
      <w:pPr>
        <w:spacing w:line="240" w:lineRule="auto"/>
        <w:ind w:firstLine="0"/>
        <w:jc w:val="right"/>
        <w:rPr>
          <w:i/>
          <w:sz w:val="22"/>
        </w:rPr>
      </w:pPr>
      <w:r w:rsidRPr="00DF58E7">
        <w:rPr>
          <w:i/>
          <w:sz w:val="22"/>
        </w:rPr>
        <w:t>Footnote continued on next page.</w:t>
      </w:r>
    </w:p>
  </w:footnote>
  <w:footnote w:id="2">
    <w:p w14:paraId="1F289892" w14:textId="4C100707" w:rsidR="00756030" w:rsidRDefault="00756030" w:rsidP="00A33910">
      <w:pPr>
        <w:pStyle w:val="FootnoteText"/>
      </w:pPr>
      <w:r>
        <w:rPr>
          <w:rStyle w:val="FootnoteReference"/>
        </w:rPr>
        <w:footnoteRef/>
      </w:r>
      <w:r>
        <w:t xml:space="preserve"> </w:t>
      </w:r>
      <w:r w:rsidR="00A33910">
        <w:t xml:space="preserve">Order Instituting Rulemaking to Establish Policies, Processes, and Rules to Ensure Safe and Reliable Gas Systems in California and Perform Long-Term Gas System Planning </w:t>
      </w:r>
      <w:r>
        <w:t>at 2.</w:t>
      </w:r>
    </w:p>
  </w:footnote>
  <w:footnote w:id="3">
    <w:p w14:paraId="738CFA9E" w14:textId="77777777" w:rsidR="001A6DF3" w:rsidRDefault="001A6DF3" w:rsidP="001A6DF3">
      <w:pPr>
        <w:pStyle w:val="FootnoteText"/>
      </w:pPr>
      <w:r>
        <w:rPr>
          <w:rStyle w:val="FootnoteReference"/>
        </w:rPr>
        <w:footnoteRef/>
      </w:r>
      <w:r>
        <w:t xml:space="preserve"> </w:t>
      </w:r>
      <w:r>
        <w:rPr>
          <w:i/>
          <w:iCs/>
        </w:rPr>
        <w:t xml:space="preserve">See, e.g., </w:t>
      </w:r>
      <w:r w:rsidRPr="00431DD0">
        <w:t>Cal</w:t>
      </w:r>
      <w:r>
        <w:t>.</w:t>
      </w:r>
      <w:r w:rsidRPr="00431DD0">
        <w:t xml:space="preserve"> </w:t>
      </w:r>
      <w:r w:rsidRPr="00E44CC6">
        <w:rPr>
          <w:lang w:val="de-DE"/>
        </w:rPr>
        <w:t>Unemp. Ins. Code § 1400</w:t>
      </w:r>
      <w:r>
        <w:rPr>
          <w:lang w:val="de-DE"/>
        </w:rPr>
        <w:t>5(r)</w:t>
      </w:r>
      <w:r>
        <w:t>.</w:t>
      </w:r>
    </w:p>
  </w:footnote>
  <w:footnote w:id="4">
    <w:p w14:paraId="39037028" w14:textId="2A5FCC53" w:rsidR="002425D7" w:rsidRPr="00101F66" w:rsidRDefault="002425D7" w:rsidP="002425D7">
      <w:pPr>
        <w:pStyle w:val="FootnoteText"/>
        <w:rPr>
          <w:lang w:val="en-ZW"/>
        </w:rPr>
      </w:pPr>
      <w:r>
        <w:rPr>
          <w:rStyle w:val="FootnoteReference"/>
        </w:rPr>
        <w:footnoteRef/>
      </w:r>
      <w:r>
        <w:t xml:space="preserve"> </w:t>
      </w:r>
      <w:r>
        <w:rPr>
          <w:lang w:val="en-ZW"/>
        </w:rPr>
        <w:t xml:space="preserve">PG&amp;E Opening Comments at 6, </w:t>
      </w:r>
      <w:r w:rsidR="00EB244B">
        <w:rPr>
          <w:lang w:val="en-ZW"/>
        </w:rPr>
        <w:t>Sempra Utilities</w:t>
      </w:r>
      <w:r>
        <w:rPr>
          <w:lang w:val="en-ZW"/>
        </w:rPr>
        <w:t xml:space="preserve"> Opening Comments at 7.</w:t>
      </w:r>
    </w:p>
  </w:footnote>
  <w:footnote w:id="5">
    <w:p w14:paraId="53F28A9E" w14:textId="77777777" w:rsidR="002425D7" w:rsidRPr="00666C8C" w:rsidRDefault="002425D7" w:rsidP="002425D7">
      <w:pPr>
        <w:pStyle w:val="FootnoteText"/>
        <w:rPr>
          <w:lang w:val="en-ZW"/>
        </w:rPr>
      </w:pPr>
      <w:r>
        <w:rPr>
          <w:rStyle w:val="FootnoteReference"/>
        </w:rPr>
        <w:footnoteRef/>
      </w:r>
      <w:r>
        <w:t xml:space="preserve"> </w:t>
      </w:r>
      <w:r>
        <w:rPr>
          <w:lang w:val="en-ZW"/>
        </w:rPr>
        <w:t>NRDC/Sierra Club Opening Comments at 5,</w:t>
      </w:r>
      <w:r w:rsidRPr="00224E85">
        <w:rPr>
          <w:lang w:val="en-ZW"/>
        </w:rPr>
        <w:t xml:space="preserve"> </w:t>
      </w:r>
      <w:r>
        <w:rPr>
          <w:lang w:val="en-ZW"/>
        </w:rPr>
        <w:t>Joint CCAs Opening Comments at 5, CMUA opening Comments at 5.</w:t>
      </w:r>
    </w:p>
  </w:footnote>
  <w:footnote w:id="6">
    <w:p w14:paraId="1ABCB24E" w14:textId="77777777" w:rsidR="002425D7" w:rsidRPr="00666C8C" w:rsidRDefault="002425D7" w:rsidP="002425D7">
      <w:pPr>
        <w:pStyle w:val="FootnoteText"/>
        <w:rPr>
          <w:lang w:val="en-ZW"/>
        </w:rPr>
      </w:pPr>
      <w:r>
        <w:rPr>
          <w:rStyle w:val="FootnoteReference"/>
        </w:rPr>
        <w:footnoteRef/>
      </w:r>
      <w:r>
        <w:t xml:space="preserve"> </w:t>
      </w:r>
      <w:r>
        <w:rPr>
          <w:lang w:val="en-ZW"/>
        </w:rPr>
        <w:t>CMUA Opening Comments at 5.</w:t>
      </w:r>
    </w:p>
  </w:footnote>
  <w:footnote w:id="7">
    <w:p w14:paraId="07055161" w14:textId="783FAE9F" w:rsidR="00D26584" w:rsidRDefault="00D26584">
      <w:pPr>
        <w:pStyle w:val="FootnoteText"/>
      </w:pPr>
      <w:r>
        <w:rPr>
          <w:rStyle w:val="FootnoteReference"/>
        </w:rPr>
        <w:footnoteRef/>
      </w:r>
      <w:r>
        <w:t xml:space="preserve"> </w:t>
      </w:r>
      <w:r w:rsidRPr="00D26584">
        <w:rPr>
          <w:i/>
          <w:iCs/>
        </w:rPr>
        <w:t xml:space="preserve">See, e.g., </w:t>
      </w:r>
      <w:r w:rsidRPr="00D26584">
        <w:t>D.95-02-090, 1995 Cal. PUC LEXIS 141 at *2.</w:t>
      </w:r>
    </w:p>
  </w:footnote>
  <w:footnote w:id="8">
    <w:p w14:paraId="1073283C" w14:textId="382E5210" w:rsidR="00815F01" w:rsidRDefault="00815F01" w:rsidP="00815F01">
      <w:pPr>
        <w:pStyle w:val="FootnoteText"/>
      </w:pPr>
      <w:r>
        <w:rPr>
          <w:rStyle w:val="FootnoteReference"/>
        </w:rPr>
        <w:footnoteRef/>
      </w:r>
      <w:r w:rsidR="000424E9">
        <w:t xml:space="preserve"> </w:t>
      </w:r>
      <w:r>
        <w:t xml:space="preserve">PG&amp;E Opening Comments at 10 </w:t>
      </w:r>
      <w:r w:rsidR="00EB244B">
        <w:t>Sempra Utilities</w:t>
      </w:r>
      <w:r>
        <w:t xml:space="preserve"> Opening Comments at 20.</w:t>
      </w:r>
    </w:p>
  </w:footnote>
  <w:footnote w:id="9">
    <w:p w14:paraId="0906A322" w14:textId="314CBB8C" w:rsidR="008806A0" w:rsidRPr="00DC5B03" w:rsidRDefault="008806A0" w:rsidP="008806A0">
      <w:pPr>
        <w:pStyle w:val="FootnoteText"/>
        <w:rPr>
          <w:lang w:val="en-ZW"/>
        </w:rPr>
      </w:pPr>
      <w:r>
        <w:rPr>
          <w:rStyle w:val="FootnoteReference"/>
        </w:rPr>
        <w:footnoteRef/>
      </w:r>
      <w:r>
        <w:t xml:space="preserve"> </w:t>
      </w:r>
      <w:r w:rsidR="00EF7641">
        <w:rPr>
          <w:lang w:val="en-ZW"/>
        </w:rPr>
        <w:t xml:space="preserve">San Francisco </w:t>
      </w:r>
      <w:r>
        <w:rPr>
          <w:lang w:val="en-ZW"/>
        </w:rPr>
        <w:t>Reply Comments at 1.</w:t>
      </w:r>
    </w:p>
  </w:footnote>
  <w:footnote w:id="10">
    <w:p w14:paraId="5EACF6C3" w14:textId="77777777" w:rsidR="008806A0" w:rsidRPr="00513334" w:rsidRDefault="008806A0" w:rsidP="008806A0">
      <w:pPr>
        <w:pStyle w:val="FootnoteText"/>
        <w:rPr>
          <w:lang w:val="en-ZW"/>
        </w:rPr>
      </w:pPr>
      <w:r>
        <w:rPr>
          <w:rStyle w:val="FootnoteReference"/>
        </w:rPr>
        <w:footnoteRef/>
      </w:r>
      <w:r>
        <w:t xml:space="preserve"> </w:t>
      </w:r>
      <w:r>
        <w:rPr>
          <w:lang w:val="en-ZW"/>
        </w:rPr>
        <w:t>TURN Opening Comments at 7.</w:t>
      </w:r>
    </w:p>
  </w:footnote>
  <w:footnote w:id="11">
    <w:p w14:paraId="600163F8" w14:textId="67C3BC6E" w:rsidR="0095601D" w:rsidRPr="00513334" w:rsidRDefault="0095601D" w:rsidP="0095601D">
      <w:pPr>
        <w:pStyle w:val="FootnoteText"/>
        <w:rPr>
          <w:lang w:val="en-ZW"/>
        </w:rPr>
      </w:pPr>
      <w:r>
        <w:rPr>
          <w:rStyle w:val="FootnoteReference"/>
        </w:rPr>
        <w:footnoteRef/>
      </w:r>
      <w:r>
        <w:t xml:space="preserve"> TURN Opening Comments at 7, CMUA Opening Comments at 11, Joint CCAs Opening Comments at 12, </w:t>
      </w:r>
      <w:r w:rsidR="00EF7641">
        <w:t xml:space="preserve">San Francisco </w:t>
      </w:r>
      <w:r>
        <w:t>Opening Comments at 6, SCE Opening Comments at 11.</w:t>
      </w:r>
    </w:p>
  </w:footnote>
  <w:footnote w:id="12">
    <w:p w14:paraId="3064F8D6" w14:textId="77777777" w:rsidR="0095601D" w:rsidRPr="00253AB7" w:rsidRDefault="0095601D" w:rsidP="0095601D">
      <w:pPr>
        <w:pStyle w:val="FootnoteText"/>
        <w:rPr>
          <w:lang w:val="en-ZW"/>
        </w:rPr>
      </w:pPr>
      <w:r>
        <w:rPr>
          <w:rStyle w:val="FootnoteReference"/>
        </w:rPr>
        <w:footnoteRef/>
      </w:r>
      <w:r>
        <w:t xml:space="preserve"> </w:t>
      </w:r>
      <w:r>
        <w:rPr>
          <w:lang w:val="en-ZW"/>
        </w:rPr>
        <w:t xml:space="preserve">TURN Opening Comments at 7, NRDC/Sierra Club reply Comments at 5, Joint CCAs Reply Comments at 5. </w:t>
      </w:r>
    </w:p>
  </w:footnote>
  <w:footnote w:id="13">
    <w:p w14:paraId="7AB1B2EE" w14:textId="33AC7FC1" w:rsidR="00966D30" w:rsidRDefault="00966D30">
      <w:pPr>
        <w:pStyle w:val="FootnoteText"/>
      </w:pPr>
      <w:r>
        <w:rPr>
          <w:rStyle w:val="FootnoteReference"/>
        </w:rPr>
        <w:footnoteRef/>
      </w:r>
      <w:r>
        <w:t xml:space="preserve"> Cal Advocates Opening Comments at 8</w:t>
      </w:r>
    </w:p>
  </w:footnote>
  <w:footnote w:id="14">
    <w:p w14:paraId="7950BC96" w14:textId="19496EA3" w:rsidR="009308F6" w:rsidRDefault="009308F6">
      <w:pPr>
        <w:pStyle w:val="FootnoteText"/>
      </w:pPr>
      <w:r>
        <w:rPr>
          <w:rStyle w:val="FootnoteReference"/>
        </w:rPr>
        <w:footnoteRef/>
      </w:r>
      <w:r>
        <w:t xml:space="preserve"> </w:t>
      </w:r>
      <w:r w:rsidR="0049491F">
        <w:rPr>
          <w:lang w:val="en-ZW"/>
        </w:rPr>
        <w:t>Joint CCAs</w:t>
      </w:r>
      <w:r w:rsidR="00584BF3">
        <w:rPr>
          <w:lang w:val="en-ZW"/>
        </w:rPr>
        <w:t xml:space="preserve"> Opening Comments at </w:t>
      </w:r>
      <w:r w:rsidR="0049491F">
        <w:rPr>
          <w:lang w:val="en-ZW"/>
        </w:rPr>
        <w:t xml:space="preserve">12, </w:t>
      </w:r>
      <w:r w:rsidR="00C279F1">
        <w:rPr>
          <w:lang w:val="en-ZW"/>
        </w:rPr>
        <w:t xml:space="preserve">Sierra Club and NRDC Opening Comments at 8, </w:t>
      </w:r>
      <w:r>
        <w:rPr>
          <w:lang w:val="en-ZW"/>
        </w:rPr>
        <w:t xml:space="preserve">TURN Opening Comments at </w:t>
      </w:r>
      <w:r w:rsidR="002D3495">
        <w:rPr>
          <w:lang w:val="en-ZW"/>
        </w:rPr>
        <w:t xml:space="preserve">5, </w:t>
      </w:r>
    </w:p>
  </w:footnote>
  <w:footnote w:id="15">
    <w:p w14:paraId="478F88E8" w14:textId="73664663" w:rsidR="0017630D" w:rsidRPr="00AD1FCB" w:rsidRDefault="0017630D" w:rsidP="0017630D">
      <w:pPr>
        <w:pStyle w:val="FootnoteText"/>
        <w:rPr>
          <w:lang w:val="en-ZW"/>
        </w:rPr>
      </w:pPr>
      <w:r>
        <w:rPr>
          <w:rStyle w:val="FootnoteReference"/>
        </w:rPr>
        <w:footnoteRef/>
      </w:r>
      <w:r>
        <w:t xml:space="preserve"> Cal Advocates Opening Comments at 8</w:t>
      </w:r>
      <w:r w:rsidR="000E0F32">
        <w:t xml:space="preserve"> </w:t>
      </w:r>
      <w:r w:rsidR="000A53C9">
        <w:t xml:space="preserve">to </w:t>
      </w:r>
      <w:r>
        <w:t xml:space="preserve">11, Labor Coalition Opening Comments at 13, Indicated Shippers Reply Comments at 9. Pub. Util. Code Section 660(h) defines thermal energy networks as </w:t>
      </w:r>
      <w:r w:rsidR="0022075F">
        <w:t>“</w:t>
      </w:r>
      <w:r>
        <w:t>a network of piped noncombustible fluids used for transferring heat into and out of buildings for purposes of providing zero-emission heating and cooling services.</w:t>
      </w:r>
      <w:r w:rsidR="0022075F">
        <w:t>”</w:t>
      </w:r>
    </w:p>
  </w:footnote>
  <w:footnote w:id="16">
    <w:p w14:paraId="1ADBFC5C" w14:textId="640EF558" w:rsidR="00B1623E" w:rsidRPr="00263F4D" w:rsidRDefault="00B1623E" w:rsidP="00B1623E">
      <w:pPr>
        <w:pStyle w:val="FootnoteText"/>
        <w:rPr>
          <w:lang w:val="en-ZW"/>
        </w:rPr>
      </w:pPr>
      <w:r>
        <w:rPr>
          <w:rStyle w:val="FootnoteReference"/>
        </w:rPr>
        <w:footnoteRef/>
      </w:r>
      <w:r>
        <w:t xml:space="preserve"> </w:t>
      </w:r>
      <w:r>
        <w:rPr>
          <w:lang w:val="en-ZW"/>
        </w:rPr>
        <w:t xml:space="preserve">Cal Advocates Opening Comments at 2, PG&amp;E Opening Comments at 6, SCE opening Comments 5, CUE Opening Comments at 2, </w:t>
      </w:r>
      <w:r w:rsidR="00EB244B">
        <w:rPr>
          <w:lang w:val="en-ZW"/>
        </w:rPr>
        <w:t>Sempra Utilities</w:t>
      </w:r>
      <w:r>
        <w:rPr>
          <w:lang w:val="en-ZW"/>
        </w:rPr>
        <w:t xml:space="preserve"> opening Comments at 7, UCAN Reply Comments at 4, Labor Coalition Opening Comments at 7. </w:t>
      </w:r>
    </w:p>
  </w:footnote>
  <w:footnote w:id="17">
    <w:p w14:paraId="046D16C3" w14:textId="32F87833" w:rsidR="00B1623E" w:rsidRPr="00D36E35" w:rsidRDefault="00B1623E" w:rsidP="00B1623E">
      <w:pPr>
        <w:pStyle w:val="FootnoteText"/>
        <w:rPr>
          <w:lang w:val="en-ZW"/>
        </w:rPr>
      </w:pPr>
      <w:r>
        <w:rPr>
          <w:rStyle w:val="FootnoteReference"/>
        </w:rPr>
        <w:footnoteRef/>
      </w:r>
      <w:r>
        <w:t xml:space="preserve"> </w:t>
      </w:r>
      <w:r>
        <w:rPr>
          <w:lang w:val="en-ZW"/>
        </w:rPr>
        <w:t xml:space="preserve">SWG opening Comments at 2, SWG Reply Comments at 2. </w:t>
      </w:r>
    </w:p>
  </w:footnote>
  <w:footnote w:id="18">
    <w:p w14:paraId="680EF94D" w14:textId="77777777" w:rsidR="00B1623E" w:rsidRPr="00355F59" w:rsidRDefault="00B1623E" w:rsidP="00B1623E">
      <w:pPr>
        <w:pStyle w:val="FootnoteText"/>
        <w:rPr>
          <w:lang w:val="en-ZW"/>
        </w:rPr>
      </w:pPr>
      <w:r>
        <w:rPr>
          <w:rStyle w:val="FootnoteReference"/>
        </w:rPr>
        <w:footnoteRef/>
      </w:r>
      <w:r>
        <w:t xml:space="preserve"> </w:t>
      </w:r>
      <w:r>
        <w:rPr>
          <w:lang w:val="en-ZW"/>
        </w:rPr>
        <w:t>NRDC/Sierra Club Opening Comments at 5.</w:t>
      </w:r>
    </w:p>
  </w:footnote>
  <w:footnote w:id="19">
    <w:p w14:paraId="217EDD3C" w14:textId="77777777" w:rsidR="00B1623E" w:rsidRPr="00765FED" w:rsidRDefault="00B1623E" w:rsidP="00B1623E">
      <w:pPr>
        <w:pStyle w:val="FootnoteText"/>
        <w:rPr>
          <w:lang w:val="en-ZW"/>
        </w:rPr>
      </w:pPr>
      <w:r>
        <w:rPr>
          <w:rStyle w:val="FootnoteReference"/>
        </w:rPr>
        <w:footnoteRef/>
      </w:r>
      <w:r>
        <w:t xml:space="preserve"> </w:t>
      </w:r>
      <w:r>
        <w:rPr>
          <w:lang w:val="en-ZW"/>
        </w:rPr>
        <w:t xml:space="preserve">SCE opening Comments at 6, Joint CCA Reply Comments at 3. </w:t>
      </w:r>
    </w:p>
  </w:footnote>
  <w:footnote w:id="20">
    <w:p w14:paraId="62D11500" w14:textId="77777777" w:rsidR="00432565" w:rsidRPr="00B30185" w:rsidRDefault="00432565" w:rsidP="00432565">
      <w:pPr>
        <w:pStyle w:val="FootnoteText"/>
        <w:rPr>
          <w:lang w:val="en-ZW"/>
        </w:rPr>
      </w:pPr>
      <w:r>
        <w:rPr>
          <w:rStyle w:val="FootnoteReference"/>
        </w:rPr>
        <w:footnoteRef/>
      </w:r>
      <w:r>
        <w:t xml:space="preserve"> </w:t>
      </w:r>
      <w:r>
        <w:rPr>
          <w:lang w:val="en-ZW"/>
        </w:rPr>
        <w:t xml:space="preserve">Indicated Shippers Reply Comments at 4; </w:t>
      </w:r>
      <w:r>
        <w:t>SCE Opening Comments</w:t>
      </w:r>
      <w:r>
        <w:rPr>
          <w:lang w:val="en-ZW"/>
        </w:rPr>
        <w:t xml:space="preserve">. </w:t>
      </w:r>
    </w:p>
  </w:footnote>
  <w:footnote w:id="21">
    <w:p w14:paraId="6ACEB697" w14:textId="77777777" w:rsidR="00B26D35" w:rsidRPr="00667084" w:rsidRDefault="00B26D35" w:rsidP="00B26D35">
      <w:pPr>
        <w:pStyle w:val="FootnoteText"/>
        <w:rPr>
          <w:lang w:val="en-ZW"/>
        </w:rPr>
      </w:pPr>
      <w:r>
        <w:rPr>
          <w:rStyle w:val="FootnoteReference"/>
        </w:rPr>
        <w:footnoteRef/>
      </w:r>
      <w:r>
        <w:t xml:space="preserve"> </w:t>
      </w:r>
      <w:r>
        <w:rPr>
          <w:lang w:val="en-ZW"/>
        </w:rPr>
        <w:t xml:space="preserve">Indicated Shippers Reply Comments at 4-5. </w:t>
      </w:r>
    </w:p>
  </w:footnote>
  <w:footnote w:id="22">
    <w:p w14:paraId="0A1F9092" w14:textId="3E82826E" w:rsidR="00432565" w:rsidRPr="009244A9" w:rsidRDefault="00432565" w:rsidP="00432565">
      <w:pPr>
        <w:pStyle w:val="FootnoteText"/>
        <w:rPr>
          <w:lang w:val="en-ZW"/>
        </w:rPr>
      </w:pPr>
      <w:r>
        <w:rPr>
          <w:rStyle w:val="FootnoteReference"/>
        </w:rPr>
        <w:footnoteRef/>
      </w:r>
      <w:r>
        <w:t xml:space="preserve"> </w:t>
      </w:r>
      <w:r>
        <w:rPr>
          <w:lang w:val="en-ZW"/>
        </w:rPr>
        <w:t xml:space="preserve">CCR REN Opening Comments, Contra Costa Opening Comments, CMUA Opening Comments, CUE Opening Comments, Labor Coalition Opening Comments, </w:t>
      </w:r>
      <w:r w:rsidR="00EF7641">
        <w:rPr>
          <w:lang w:val="en-ZW"/>
        </w:rPr>
        <w:t xml:space="preserve">San Francisco Opening Comments, </w:t>
      </w:r>
      <w:r>
        <w:rPr>
          <w:lang w:val="en-ZW"/>
        </w:rPr>
        <w:t xml:space="preserve">TURN Opening Comments. </w:t>
      </w:r>
    </w:p>
  </w:footnote>
  <w:footnote w:id="23">
    <w:p w14:paraId="77F9F645" w14:textId="2CE72063" w:rsidR="00432565" w:rsidRPr="007B0EFE" w:rsidRDefault="00432565" w:rsidP="00432565">
      <w:pPr>
        <w:pStyle w:val="FootnoteText"/>
        <w:rPr>
          <w:lang w:val="en-ZW"/>
        </w:rPr>
      </w:pPr>
      <w:r>
        <w:rPr>
          <w:rStyle w:val="FootnoteReference"/>
        </w:rPr>
        <w:footnoteRef/>
      </w:r>
      <w:r>
        <w:t xml:space="preserve"> </w:t>
      </w:r>
      <w:r>
        <w:rPr>
          <w:lang w:val="en-ZW"/>
        </w:rPr>
        <w:t xml:space="preserve">NRDC/Sierra Club Opening Comments, </w:t>
      </w:r>
      <w:r w:rsidR="00EB244B">
        <w:rPr>
          <w:lang w:val="en-ZW"/>
        </w:rPr>
        <w:t>Sempra Utilities</w:t>
      </w:r>
      <w:r>
        <w:rPr>
          <w:lang w:val="en-ZW"/>
        </w:rPr>
        <w:t xml:space="preserve"> Opening Comments, PG&amp;E opening Comments, SWG Reply Comments, Joint CCAs Reply Comments, Cal Advocates Reply Comments. </w:t>
      </w:r>
    </w:p>
  </w:footnote>
  <w:footnote w:id="24">
    <w:p w14:paraId="4B69AEF9" w14:textId="77777777" w:rsidR="00432565" w:rsidRPr="00B27CD3" w:rsidRDefault="00432565" w:rsidP="00432565">
      <w:pPr>
        <w:pStyle w:val="FootnoteText"/>
        <w:rPr>
          <w:lang w:val="en-ZW"/>
        </w:rPr>
      </w:pPr>
      <w:r>
        <w:rPr>
          <w:rStyle w:val="FootnoteReference"/>
        </w:rPr>
        <w:footnoteRef/>
      </w:r>
      <w:r>
        <w:t xml:space="preserve"> </w:t>
      </w:r>
      <w:r>
        <w:rPr>
          <w:lang w:val="en-ZW"/>
        </w:rPr>
        <w:t>PG&amp;E Opening Comments at 3-4.</w:t>
      </w:r>
    </w:p>
  </w:footnote>
  <w:footnote w:id="25">
    <w:p w14:paraId="306A74AE" w14:textId="39D253A0" w:rsidR="00432565" w:rsidRPr="0066113E" w:rsidRDefault="00432565" w:rsidP="00432565">
      <w:pPr>
        <w:pStyle w:val="FootnoteText"/>
        <w:rPr>
          <w:lang w:val="en-ZW"/>
        </w:rPr>
      </w:pPr>
      <w:r>
        <w:rPr>
          <w:rStyle w:val="FootnoteReference"/>
        </w:rPr>
        <w:footnoteRef/>
      </w:r>
      <w:r>
        <w:t xml:space="preserve"> </w:t>
      </w:r>
      <w:r w:rsidR="00EB244B">
        <w:rPr>
          <w:lang w:val="en-ZW"/>
        </w:rPr>
        <w:t>Sempra Utilities</w:t>
      </w:r>
      <w:r>
        <w:rPr>
          <w:lang w:val="en-ZW"/>
        </w:rPr>
        <w:t xml:space="preserve"> Opening Comments 2-5.</w:t>
      </w:r>
    </w:p>
  </w:footnote>
  <w:footnote w:id="26">
    <w:p w14:paraId="7F0AF21A" w14:textId="77777777" w:rsidR="00432565" w:rsidRPr="00B27CD3" w:rsidRDefault="00432565" w:rsidP="00432565">
      <w:pPr>
        <w:pStyle w:val="FootnoteText"/>
        <w:rPr>
          <w:lang w:val="en-ZW"/>
        </w:rPr>
      </w:pPr>
      <w:r>
        <w:rPr>
          <w:rStyle w:val="FootnoteReference"/>
        </w:rPr>
        <w:footnoteRef/>
      </w:r>
      <w:r>
        <w:t xml:space="preserve"> </w:t>
      </w:r>
      <w:r>
        <w:rPr>
          <w:lang w:val="en-ZW"/>
        </w:rPr>
        <w:t xml:space="preserve">SCE Opening Comments at 4. </w:t>
      </w:r>
    </w:p>
  </w:footnote>
  <w:footnote w:id="27">
    <w:p w14:paraId="61F6C6CE" w14:textId="77777777" w:rsidR="00432565" w:rsidRPr="00CE39D5" w:rsidRDefault="00432565" w:rsidP="00432565">
      <w:pPr>
        <w:pStyle w:val="FootnoteText"/>
        <w:rPr>
          <w:lang w:val="en-ZW"/>
        </w:rPr>
      </w:pPr>
      <w:r>
        <w:rPr>
          <w:rStyle w:val="FootnoteReference"/>
        </w:rPr>
        <w:footnoteRef/>
      </w:r>
      <w:r>
        <w:t xml:space="preserve"> </w:t>
      </w:r>
      <w:r>
        <w:rPr>
          <w:lang w:val="en-ZW"/>
        </w:rPr>
        <w:t xml:space="preserve">CMUA Opening Comments at 4. </w:t>
      </w:r>
    </w:p>
  </w:footnote>
  <w:footnote w:id="28">
    <w:p w14:paraId="4E5334FB" w14:textId="393A3BCC" w:rsidR="00432565" w:rsidRPr="003E6AB9" w:rsidRDefault="00432565" w:rsidP="00432565">
      <w:pPr>
        <w:pStyle w:val="FootnoteText"/>
        <w:rPr>
          <w:lang w:val="en-ZW"/>
        </w:rPr>
      </w:pPr>
      <w:r>
        <w:rPr>
          <w:rStyle w:val="FootnoteReference"/>
        </w:rPr>
        <w:footnoteRef/>
      </w:r>
      <w:r>
        <w:t xml:space="preserve"> PG&amp;E Opening Comments, NRDC/Sierra Club Opening Comments, </w:t>
      </w:r>
      <w:r w:rsidR="008C6378">
        <w:t xml:space="preserve">San Francisco Opening Comments, </w:t>
      </w:r>
      <w:r>
        <w:t xml:space="preserve">SCE Reply Comments at 10. </w:t>
      </w:r>
    </w:p>
  </w:footnote>
  <w:footnote w:id="29">
    <w:p w14:paraId="69246BCE" w14:textId="54DEFCE9" w:rsidR="00432565" w:rsidRPr="00AB4E15" w:rsidRDefault="00432565" w:rsidP="00432565">
      <w:pPr>
        <w:pStyle w:val="FootnoteText"/>
        <w:rPr>
          <w:lang w:val="en-ZW"/>
        </w:rPr>
      </w:pPr>
      <w:r>
        <w:rPr>
          <w:rStyle w:val="FootnoteReference"/>
        </w:rPr>
        <w:footnoteRef/>
      </w:r>
      <w:r>
        <w:t xml:space="preserve"> </w:t>
      </w:r>
      <w:r>
        <w:rPr>
          <w:lang w:val="en-ZW"/>
        </w:rPr>
        <w:t xml:space="preserve">SCE Opening Comments, </w:t>
      </w:r>
      <w:r w:rsidR="00EB244B">
        <w:rPr>
          <w:lang w:val="en-ZW"/>
        </w:rPr>
        <w:t>Sempra Utilities</w:t>
      </w:r>
      <w:r>
        <w:rPr>
          <w:lang w:val="en-ZW"/>
        </w:rPr>
        <w:t xml:space="preserve"> Opening Comments. </w:t>
      </w:r>
    </w:p>
  </w:footnote>
  <w:footnote w:id="30">
    <w:p w14:paraId="3548A9E2" w14:textId="77777777" w:rsidR="00432565" w:rsidRPr="00864899" w:rsidRDefault="00432565" w:rsidP="00432565">
      <w:pPr>
        <w:pStyle w:val="FootnoteText"/>
        <w:rPr>
          <w:lang w:val="en-ZW"/>
        </w:rPr>
      </w:pPr>
      <w:r>
        <w:rPr>
          <w:rStyle w:val="FootnoteReference"/>
        </w:rPr>
        <w:footnoteRef/>
      </w:r>
      <w:r>
        <w:t xml:space="preserve"> </w:t>
      </w:r>
      <w:r>
        <w:rPr>
          <w:lang w:val="en-ZW"/>
        </w:rPr>
        <w:t>Contra Costa County Opening Comments.</w:t>
      </w:r>
    </w:p>
  </w:footnote>
  <w:footnote w:id="31">
    <w:p w14:paraId="3FAA1A18" w14:textId="77777777" w:rsidR="00432565" w:rsidRPr="006A6F6D" w:rsidRDefault="00432565" w:rsidP="00432565">
      <w:pPr>
        <w:pStyle w:val="FootnoteText"/>
        <w:rPr>
          <w:lang w:val="en-ZW"/>
        </w:rPr>
      </w:pPr>
      <w:r>
        <w:rPr>
          <w:rStyle w:val="FootnoteReference"/>
        </w:rPr>
        <w:footnoteRef/>
      </w:r>
      <w:r>
        <w:t xml:space="preserve"> </w:t>
      </w:r>
      <w:r>
        <w:rPr>
          <w:lang w:val="en-ZW"/>
        </w:rPr>
        <w:t xml:space="preserve">PG&amp;E Opening Comments at 5. </w:t>
      </w:r>
    </w:p>
  </w:footnote>
  <w:footnote w:id="32">
    <w:p w14:paraId="3C8DFE52" w14:textId="75202B45" w:rsidR="000D6717" w:rsidRPr="00D674B0" w:rsidRDefault="000D6717" w:rsidP="000D6717">
      <w:pPr>
        <w:pStyle w:val="FootnoteText"/>
        <w:rPr>
          <w:lang w:val="en-ZW"/>
        </w:rPr>
      </w:pPr>
      <w:r>
        <w:rPr>
          <w:rStyle w:val="FootnoteReference"/>
        </w:rPr>
        <w:footnoteRef/>
      </w:r>
      <w:r>
        <w:t xml:space="preserve"> </w:t>
      </w:r>
      <w:r>
        <w:rPr>
          <w:lang w:val="en-ZW"/>
        </w:rPr>
        <w:t>SWG Opening Comments at 2, Indicated Shippers Reply Comments at 5-6.</w:t>
      </w:r>
    </w:p>
  </w:footnote>
  <w:footnote w:id="33">
    <w:p w14:paraId="5F652561" w14:textId="77777777" w:rsidR="007F1E3C" w:rsidRPr="00F00B6E" w:rsidRDefault="007F1E3C" w:rsidP="007F1E3C">
      <w:pPr>
        <w:pStyle w:val="FootnoteText"/>
        <w:rPr>
          <w:lang w:val="en-ZW"/>
        </w:rPr>
      </w:pPr>
      <w:r>
        <w:rPr>
          <w:rStyle w:val="FootnoteReference"/>
        </w:rPr>
        <w:footnoteRef/>
      </w:r>
      <w:r>
        <w:t xml:space="preserve"> </w:t>
      </w:r>
      <w:r>
        <w:rPr>
          <w:lang w:val="en-ZW"/>
        </w:rPr>
        <w:t xml:space="preserve">SCE Reply Comments at 10. </w:t>
      </w:r>
    </w:p>
  </w:footnote>
  <w:footnote w:id="34">
    <w:p w14:paraId="76E39072" w14:textId="77777777" w:rsidR="00386DE6" w:rsidRPr="001100C6" w:rsidRDefault="00386DE6" w:rsidP="00386DE6">
      <w:pPr>
        <w:pStyle w:val="FootnoteText"/>
        <w:rPr>
          <w:lang w:val="en-ZW"/>
        </w:rPr>
      </w:pPr>
      <w:r>
        <w:rPr>
          <w:rStyle w:val="FootnoteReference"/>
        </w:rPr>
        <w:footnoteRef/>
      </w:r>
      <w:r>
        <w:t xml:space="preserve"> </w:t>
      </w:r>
      <w:r>
        <w:rPr>
          <w:lang w:val="en-ZW"/>
        </w:rPr>
        <w:t>Joint CCAs opening Comments 4, SCE Opening Comments at 5.</w:t>
      </w:r>
    </w:p>
  </w:footnote>
  <w:footnote w:id="35">
    <w:p w14:paraId="6F3401BC" w14:textId="77777777" w:rsidR="004C758B" w:rsidRDefault="004C758B" w:rsidP="004C758B">
      <w:pPr>
        <w:pStyle w:val="FootnoteText"/>
      </w:pPr>
      <w:r>
        <w:rPr>
          <w:rStyle w:val="FootnoteReference"/>
        </w:rPr>
        <w:footnoteRef/>
      </w:r>
      <w:r>
        <w:t xml:space="preserve"> See 2025 California Gas Report: </w:t>
      </w:r>
      <w:hyperlink r:id="rId1" w:history="1">
        <w:r w:rsidRPr="00477A60">
          <w:rPr>
            <w:rStyle w:val="Hyperlink"/>
          </w:rPr>
          <w:t>2025-CA-Gas-Report-FINAL.pdf</w:t>
        </w:r>
      </w:hyperlink>
      <w:r>
        <w:t>.</w:t>
      </w:r>
    </w:p>
  </w:footnote>
  <w:footnote w:id="36">
    <w:p w14:paraId="0A53029C" w14:textId="2ADEC412" w:rsidR="001417B0" w:rsidRDefault="001417B0">
      <w:pPr>
        <w:pStyle w:val="FootnoteText"/>
      </w:pPr>
      <w:r>
        <w:rPr>
          <w:rStyle w:val="FootnoteReference"/>
        </w:rPr>
        <w:footnoteRef/>
      </w:r>
      <w:r>
        <w:t xml:space="preserve"> The numbers in this column add up to more than 100</w:t>
      </w:r>
      <w:r w:rsidR="00CF5D36">
        <w:t xml:space="preserve"> percent</w:t>
      </w:r>
      <w:r>
        <w:t xml:space="preserve"> due to rounding.</w:t>
      </w:r>
    </w:p>
  </w:footnote>
  <w:footnote w:id="37">
    <w:p w14:paraId="2622DB31"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3; San Francisco Opening Comments on Second Amended Scoping Memo at 2; SoCalGas and SDG&amp;E Opening Comments on Second Amended Scoping Memo at 8.</w:t>
      </w:r>
    </w:p>
  </w:footnote>
  <w:footnote w:id="38">
    <w:p w14:paraId="223FB075"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2 to 3; San Francisco Opening Comments on Second Amended Scoping Memo at 2; SoCalGas and SDG&amp;E Opening Comments on Second Amended Scoping Memo at 8; Southwest Gas Opening Comments on Second Amended Scoping Memo at pdf page 4.</w:t>
      </w:r>
    </w:p>
  </w:footnote>
  <w:footnote w:id="39">
    <w:p w14:paraId="00614130"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3.</w:t>
      </w:r>
    </w:p>
  </w:footnote>
  <w:footnote w:id="40">
    <w:p w14:paraId="0D3F8928" w14:textId="77777777" w:rsidR="00BD4EB8" w:rsidRDefault="00BD4EB8" w:rsidP="00BD4EB8">
      <w:pPr>
        <w:pStyle w:val="FootnoteText"/>
      </w:pPr>
      <w:r>
        <w:rPr>
          <w:rStyle w:val="FootnoteReference"/>
        </w:rPr>
        <w:footnoteRef/>
      </w:r>
      <w:r>
        <w:t xml:space="preserve"> Section 662(a) directed the Commission to develop PNDZs by considering:</w:t>
      </w:r>
      <w:r w:rsidRPr="00FC4943">
        <w:t xml:space="preserve"> </w:t>
      </w:r>
    </w:p>
    <w:p w14:paraId="597D761B" w14:textId="77777777" w:rsidR="00BD4EB8" w:rsidRDefault="00BD4EB8" w:rsidP="00A37687">
      <w:pPr>
        <w:pStyle w:val="FootnoteText"/>
        <w:numPr>
          <w:ilvl w:val="0"/>
          <w:numId w:val="14"/>
        </w:numPr>
      </w:pPr>
      <w:r>
        <w:t>Presence of disadvantaged or low-income communities in high-temperature climate zones or low-temperature climate zones that disproportionately lack cooling or heating.</w:t>
      </w:r>
    </w:p>
    <w:p w14:paraId="3D28DAF3" w14:textId="77777777" w:rsidR="00BD4EB8" w:rsidRDefault="00BD4EB8" w:rsidP="00A37687">
      <w:pPr>
        <w:pStyle w:val="FootnoteText"/>
        <w:numPr>
          <w:ilvl w:val="0"/>
          <w:numId w:val="14"/>
        </w:numPr>
      </w:pPr>
      <w:r>
        <w:t>Presence of environmental and social justice communities as defined in the commission’s Environmental and Social Justice Action Plan.</w:t>
      </w:r>
    </w:p>
    <w:p w14:paraId="636480C1" w14:textId="77777777" w:rsidR="00BD4EB8" w:rsidRDefault="00BD4EB8" w:rsidP="00A37687">
      <w:pPr>
        <w:pStyle w:val="FootnoteText"/>
        <w:numPr>
          <w:ilvl w:val="0"/>
          <w:numId w:val="14"/>
        </w:numPr>
      </w:pPr>
      <w:r>
        <w:t>Availability of supportive local government or community partners.</w:t>
      </w:r>
    </w:p>
    <w:p w14:paraId="21AC5C35" w14:textId="77777777" w:rsidR="00BD4EB8" w:rsidRDefault="00BD4EB8" w:rsidP="00A37687">
      <w:pPr>
        <w:pStyle w:val="FootnoteText"/>
        <w:numPr>
          <w:ilvl w:val="0"/>
          <w:numId w:val="14"/>
        </w:numPr>
      </w:pPr>
      <w:r>
        <w:t>Concentration of gas distribution line replacement projects identified in the map submitted pursuant to Section 661.</w:t>
      </w:r>
    </w:p>
  </w:footnote>
  <w:footnote w:id="41">
    <w:p w14:paraId="24D0DD00" w14:textId="77777777" w:rsidR="00B80FE2" w:rsidRDefault="00B80FE2" w:rsidP="00B80FE2">
      <w:pPr>
        <w:pStyle w:val="FootnoteText"/>
      </w:pPr>
      <w:r>
        <w:rPr>
          <w:rStyle w:val="FootnoteReference"/>
        </w:rPr>
        <w:footnoteRef/>
      </w:r>
      <w:r>
        <w:t xml:space="preserve"> San Francisco Opening Comments on Second Amended Scoping Memo at 8.</w:t>
      </w:r>
    </w:p>
  </w:footnote>
  <w:footnote w:id="42">
    <w:p w14:paraId="2E6116AC" w14:textId="77777777" w:rsidR="00FB60B8" w:rsidRDefault="00FB60B8" w:rsidP="00FB60B8">
      <w:pPr>
        <w:pStyle w:val="FootnoteText"/>
      </w:pPr>
      <w:r>
        <w:rPr>
          <w:rStyle w:val="FootnoteReference"/>
        </w:rPr>
        <w:footnoteRef/>
      </w:r>
      <w:r>
        <w:t xml:space="preserve"> Cal Advocates Opening Comments on Second Amended Scoping Memo at 10.</w:t>
      </w:r>
    </w:p>
  </w:footnote>
  <w:footnote w:id="43">
    <w:p w14:paraId="5DAFA01F" w14:textId="77777777" w:rsidR="00FB60B8" w:rsidRDefault="00FB60B8" w:rsidP="00FB60B8">
      <w:pPr>
        <w:pStyle w:val="FootnoteText"/>
      </w:pPr>
      <w:r>
        <w:rPr>
          <w:rStyle w:val="FootnoteReference"/>
        </w:rPr>
        <w:footnoteRef/>
      </w:r>
      <w:r>
        <w:t xml:space="preserve"> Cal Advocates Opening Comments on Second Amended Scoping Memo at 10.</w:t>
      </w:r>
    </w:p>
  </w:footnote>
  <w:footnote w:id="44">
    <w:p w14:paraId="56784DDE" w14:textId="77777777" w:rsidR="0011011D" w:rsidRDefault="0011011D" w:rsidP="0011011D">
      <w:pPr>
        <w:pStyle w:val="FootnoteText"/>
      </w:pPr>
      <w:r>
        <w:rPr>
          <w:rStyle w:val="FootnoteReference"/>
        </w:rPr>
        <w:footnoteRef/>
      </w:r>
      <w:r>
        <w:t xml:space="preserve"> Elk Grove Opening Comments on Second Amended Scoping Memo at 4.</w:t>
      </w:r>
    </w:p>
  </w:footnote>
  <w:footnote w:id="45">
    <w:p w14:paraId="60501B88" w14:textId="77777777" w:rsidR="0011011D" w:rsidRDefault="0011011D" w:rsidP="0011011D">
      <w:pPr>
        <w:pStyle w:val="FootnoteText"/>
      </w:pPr>
      <w:r>
        <w:rPr>
          <w:rStyle w:val="FootnoteReference"/>
        </w:rPr>
        <w:footnoteRef/>
      </w:r>
      <w:r>
        <w:t xml:space="preserve"> Indicated Shippers Opening Comments on Second Amended Scoping Memo at 20.</w:t>
      </w:r>
    </w:p>
  </w:footnote>
  <w:footnote w:id="46">
    <w:p w14:paraId="473B148C" w14:textId="77777777" w:rsidR="0011011D" w:rsidRDefault="0011011D" w:rsidP="0011011D">
      <w:pPr>
        <w:pStyle w:val="FootnoteText"/>
      </w:pPr>
      <w:r>
        <w:rPr>
          <w:rStyle w:val="FootnoteReference"/>
        </w:rPr>
        <w:footnoteRef/>
      </w:r>
      <w:r>
        <w:t xml:space="preserve"> Code Section 660(j).</w:t>
      </w:r>
    </w:p>
  </w:footnote>
  <w:footnote w:id="47">
    <w:p w14:paraId="086BFE08" w14:textId="5078B567" w:rsidR="00434B11" w:rsidRDefault="00434B11">
      <w:pPr>
        <w:pStyle w:val="FootnoteText"/>
      </w:pPr>
      <w:r>
        <w:rPr>
          <w:rStyle w:val="FootnoteReference"/>
        </w:rPr>
        <w:footnoteRef/>
      </w:r>
      <w:r>
        <w:t xml:space="preserve"> </w:t>
      </w:r>
      <w:r w:rsidRPr="00434B11">
        <w:t>Code Section 660(f) defines “low-income” as “having a household income no greater than 80 percent of area median income or qualifying for participation in the California Alternate Rates for Energy (CARE) program or Family Electric Rate Assistance (FERA) program.”</w:t>
      </w:r>
      <w:r>
        <w:t xml:space="preserve"> This decision uses the statutory definition.</w:t>
      </w:r>
    </w:p>
  </w:footnote>
  <w:footnote w:id="48">
    <w:p w14:paraId="40900691" w14:textId="77777777" w:rsidR="0011011D" w:rsidRDefault="0011011D" w:rsidP="0011011D">
      <w:pPr>
        <w:pStyle w:val="FootnoteText"/>
      </w:pPr>
      <w:r>
        <w:rPr>
          <w:rStyle w:val="FootnoteReference"/>
        </w:rPr>
        <w:footnoteRef/>
      </w:r>
      <w:r>
        <w:t xml:space="preserve"> Code Section 663(b)(3).</w:t>
      </w:r>
    </w:p>
  </w:footnote>
  <w:footnote w:id="49">
    <w:p w14:paraId="6101DD53" w14:textId="77777777" w:rsidR="00A402DC" w:rsidRDefault="00A402DC" w:rsidP="00A402DC">
      <w:pPr>
        <w:pStyle w:val="FootnoteText"/>
      </w:pPr>
      <w:r>
        <w:rPr>
          <w:rStyle w:val="FootnoteReference"/>
        </w:rPr>
        <w:footnoteRef/>
      </w:r>
      <w:r>
        <w:t xml:space="preserve"> Elk Grove Opening Comments on Second Amended Scoping Memo at 4.</w:t>
      </w:r>
    </w:p>
  </w:footnote>
  <w:footnote w:id="50">
    <w:p w14:paraId="1F94AB7F" w14:textId="77777777" w:rsidR="00A402DC" w:rsidRDefault="00A402DC" w:rsidP="00A402DC">
      <w:pPr>
        <w:pStyle w:val="FootnoteText"/>
      </w:pPr>
      <w:r>
        <w:rPr>
          <w:rStyle w:val="FootnoteReference"/>
        </w:rPr>
        <w:footnoteRef/>
      </w:r>
      <w:r>
        <w:t xml:space="preserve"> SBUA Opening Comments on Second Amended Scoping Memo at 3.</w:t>
      </w:r>
    </w:p>
  </w:footnote>
  <w:footnote w:id="51">
    <w:p w14:paraId="2583E1A8" w14:textId="77777777" w:rsidR="00A402DC" w:rsidRDefault="00A402DC" w:rsidP="00A402DC">
      <w:pPr>
        <w:pStyle w:val="FootnoteText"/>
      </w:pPr>
      <w:r>
        <w:rPr>
          <w:rStyle w:val="FootnoteReference"/>
        </w:rPr>
        <w:footnoteRef/>
      </w:r>
      <w:r>
        <w:t xml:space="preserve"> San Francisco Opening Comments on Second Amended Scoping Memo at 7 to 8.</w:t>
      </w:r>
    </w:p>
  </w:footnote>
  <w:footnote w:id="52">
    <w:p w14:paraId="3D3A790C" w14:textId="4036B66C" w:rsidR="00993611" w:rsidRDefault="00993611">
      <w:pPr>
        <w:pStyle w:val="FootnoteText"/>
      </w:pPr>
      <w:r>
        <w:rPr>
          <w:rStyle w:val="FootnoteReference"/>
        </w:rPr>
        <w:footnoteRef/>
      </w:r>
      <w:r>
        <w:t xml:space="preserve"> </w:t>
      </w:r>
      <w:r w:rsidR="00211CCF">
        <w:t xml:space="preserve">The gas corporations should </w:t>
      </w:r>
      <w:r w:rsidR="002C382A">
        <w:t>provide this type of information to all customers, including but not limited to low-income customers</w:t>
      </w:r>
      <w:r w:rsidR="00074D78">
        <w:t>.</w:t>
      </w:r>
    </w:p>
  </w:footnote>
  <w:footnote w:id="53">
    <w:p w14:paraId="26DE1447" w14:textId="77777777" w:rsidR="00B87F25" w:rsidRDefault="00B87F25" w:rsidP="00B87F25">
      <w:pPr>
        <w:pStyle w:val="FootnoteText"/>
      </w:pPr>
      <w:r>
        <w:rPr>
          <w:rStyle w:val="FootnoteReference"/>
        </w:rPr>
        <w:footnoteRef/>
      </w:r>
      <w:r>
        <w:t xml:space="preserve"> San Francisco Opening Comments on Second Amended Scoping Memo at 8.</w:t>
      </w:r>
    </w:p>
  </w:footnote>
  <w:footnote w:id="54">
    <w:p w14:paraId="72870A79" w14:textId="52594D77" w:rsidR="008767D1" w:rsidRDefault="008767D1" w:rsidP="008767D1">
      <w:pPr>
        <w:pStyle w:val="FootnoteText"/>
      </w:pPr>
      <w:r>
        <w:rPr>
          <w:rStyle w:val="FootnoteReference"/>
        </w:rPr>
        <w:footnoteRef/>
      </w:r>
      <w:r w:rsidR="00BF1E3A">
        <w:t xml:space="preserve"> </w:t>
      </w:r>
      <w:r w:rsidR="00BF1E3A">
        <w:rPr>
          <w:lang w:val="en-ZW"/>
        </w:rPr>
        <w:t xml:space="preserve">Cal Advocates Opening Comments at </w:t>
      </w:r>
      <w:r w:rsidR="00980793">
        <w:rPr>
          <w:lang w:val="en-ZW"/>
        </w:rPr>
        <w:t xml:space="preserve">2, </w:t>
      </w:r>
      <w:r w:rsidR="007C350E">
        <w:rPr>
          <w:lang w:val="en-ZW"/>
        </w:rPr>
        <w:t xml:space="preserve">CUE Opening Comments at 3, </w:t>
      </w:r>
      <w:r w:rsidR="00E27E6C">
        <w:rPr>
          <w:lang w:val="en-ZW"/>
        </w:rPr>
        <w:t xml:space="preserve">Elk Grove Opening Comments at 7, </w:t>
      </w:r>
      <w:r w:rsidR="00605B51">
        <w:rPr>
          <w:lang w:val="en-ZW"/>
        </w:rPr>
        <w:t>Indicated Shippers Opening Comments at 5</w:t>
      </w:r>
      <w:r w:rsidR="007C4453">
        <w:rPr>
          <w:lang w:val="en-ZW"/>
        </w:rPr>
        <w:t xml:space="preserve"> to 10, </w:t>
      </w:r>
      <w:r w:rsidR="00B82CE3">
        <w:rPr>
          <w:lang w:val="en-ZW"/>
        </w:rPr>
        <w:t xml:space="preserve">Joint CCAs Opening Comments at 5, </w:t>
      </w:r>
      <w:r w:rsidR="00E27E6C">
        <w:rPr>
          <w:lang w:val="en-ZW"/>
        </w:rPr>
        <w:t>Southwest</w:t>
      </w:r>
      <w:r w:rsidR="00ED4F4E">
        <w:rPr>
          <w:lang w:val="en-ZW"/>
        </w:rPr>
        <w:t xml:space="preserve"> Gas Opening Comments at 2</w:t>
      </w:r>
      <w:r>
        <w:t>.</w:t>
      </w:r>
    </w:p>
  </w:footnote>
  <w:footnote w:id="55">
    <w:p w14:paraId="33A0CB0E" w14:textId="227D3C74" w:rsidR="00871C63" w:rsidRDefault="00871C63">
      <w:pPr>
        <w:pStyle w:val="FootnoteText"/>
      </w:pPr>
      <w:r>
        <w:rPr>
          <w:rStyle w:val="FootnoteReference"/>
        </w:rPr>
        <w:footnoteRef/>
      </w:r>
      <w:r>
        <w:t xml:space="preserve"> </w:t>
      </w:r>
      <w:r w:rsidR="00841D14">
        <w:t xml:space="preserve">Monthly energy use refers to consumption of gas and use of electricity. </w:t>
      </w:r>
    </w:p>
  </w:footnote>
  <w:footnote w:id="56">
    <w:p w14:paraId="7125E5C9" w14:textId="77777777" w:rsidR="005E2BB1" w:rsidRDefault="005E2BB1" w:rsidP="005E2BB1">
      <w:pPr>
        <w:pStyle w:val="FootnoteText"/>
      </w:pPr>
      <w:r>
        <w:rPr>
          <w:rStyle w:val="FootnoteReference"/>
        </w:rPr>
        <w:footnoteRef/>
      </w:r>
      <w:r>
        <w:t xml:space="preserve"> Cal Advocates</w:t>
      </w:r>
      <w:r w:rsidRPr="00D64841">
        <w:t xml:space="preserve"> </w:t>
      </w:r>
      <w:r>
        <w:t>Opening Comments on Second Amended Scoping Memo at 3; Indicated Shippers Opening Comments on Second Amended Scoping Memo at 12; San Francisco Opening Comments on Second Amended Scoping Memo at 1; Southwest Gas Opening Comments on Second Amended Scoping Memo at pdf page 4.</w:t>
      </w:r>
    </w:p>
  </w:footnote>
  <w:footnote w:id="57">
    <w:p w14:paraId="7915A26B" w14:textId="77777777" w:rsidR="00455389" w:rsidRDefault="00455389" w:rsidP="00455389">
      <w:pPr>
        <w:pStyle w:val="FootnoteText"/>
      </w:pPr>
      <w:r>
        <w:rPr>
          <w:rStyle w:val="FootnoteReference"/>
        </w:rPr>
        <w:footnoteRef/>
      </w:r>
      <w:r>
        <w:t xml:space="preserve"> Cal Advocates at Opening Comments on Second Amended Scoping Memo at 11; San Francisco Opening Comments on Second Amended Scoping Memo at 7; Southwest Gas Opening Comments on Second Amended Scoping Memo at pdf page 8.</w:t>
      </w:r>
    </w:p>
  </w:footnote>
  <w:footnote w:id="58">
    <w:p w14:paraId="4E04D1FD" w14:textId="77777777" w:rsidR="00455389" w:rsidRDefault="00455389" w:rsidP="00455389">
      <w:pPr>
        <w:pStyle w:val="FootnoteText"/>
      </w:pPr>
      <w:r>
        <w:rPr>
          <w:rStyle w:val="FootnoteReference"/>
        </w:rPr>
        <w:footnoteRef/>
      </w:r>
      <w:r>
        <w:t xml:space="preserve"> Cal Advocates at Opening Comments on Second Amended Scoping Memo at 11; Elk Grove Opening Comments on Second Amended Scoping Memo at 3.</w:t>
      </w:r>
    </w:p>
  </w:footnote>
  <w:footnote w:id="59">
    <w:p w14:paraId="29F8BF23" w14:textId="77777777" w:rsidR="00455389" w:rsidRDefault="00455389" w:rsidP="00455389">
      <w:pPr>
        <w:pStyle w:val="FootnoteText"/>
      </w:pPr>
      <w:r>
        <w:rPr>
          <w:rStyle w:val="FootnoteReference"/>
        </w:rPr>
        <w:footnoteRef/>
      </w:r>
      <w:r>
        <w:t xml:space="preserve"> Cal Advocates at Opening Comments on Second Amended Scoping Memo at 11.</w:t>
      </w:r>
    </w:p>
  </w:footnote>
  <w:footnote w:id="60">
    <w:p w14:paraId="46C96E97" w14:textId="77777777" w:rsidR="00455389" w:rsidRDefault="00455389" w:rsidP="00455389">
      <w:pPr>
        <w:pStyle w:val="FootnoteText"/>
      </w:pPr>
      <w:r>
        <w:rPr>
          <w:rStyle w:val="FootnoteReference"/>
        </w:rPr>
        <w:footnoteRef/>
      </w:r>
      <w:r>
        <w:t xml:space="preserve"> San Francisco Opening Comments on Second Amended Scoping Memo at 7.</w:t>
      </w:r>
    </w:p>
  </w:footnote>
  <w:footnote w:id="61">
    <w:p w14:paraId="38A47EA2" w14:textId="77777777" w:rsidR="00455389" w:rsidRDefault="00455389" w:rsidP="00455389">
      <w:pPr>
        <w:pStyle w:val="FootnoteText"/>
      </w:pPr>
      <w:r>
        <w:rPr>
          <w:rStyle w:val="FootnoteReference"/>
        </w:rPr>
        <w:footnoteRef/>
      </w:r>
      <w:r>
        <w:t xml:space="preserve"> Cal Advocates at Opening Comments on Second Amended Scoping Memo at 11 to 12.</w:t>
      </w:r>
    </w:p>
  </w:footnote>
  <w:footnote w:id="62">
    <w:p w14:paraId="0B47A720" w14:textId="77777777" w:rsidR="008A55F2" w:rsidRPr="005417D7" w:rsidRDefault="008A55F2" w:rsidP="008A55F2">
      <w:pPr>
        <w:pStyle w:val="FootnoteText"/>
        <w:rPr>
          <w:lang w:val="en-ZW"/>
        </w:rPr>
      </w:pPr>
      <w:r>
        <w:rPr>
          <w:rStyle w:val="FootnoteReference"/>
        </w:rPr>
        <w:footnoteRef/>
      </w:r>
      <w:r>
        <w:t xml:space="preserve"> CMUA Reply Comments at 4.</w:t>
      </w:r>
    </w:p>
  </w:footnote>
  <w:footnote w:id="63">
    <w:p w14:paraId="22F4815D" w14:textId="77777777" w:rsidR="00264F93" w:rsidRPr="00C62094" w:rsidRDefault="00264F93" w:rsidP="00264F93">
      <w:pPr>
        <w:pStyle w:val="FootnoteText"/>
        <w:rPr>
          <w:lang w:val="en-ZW"/>
        </w:rPr>
      </w:pPr>
      <w:r>
        <w:rPr>
          <w:rStyle w:val="FootnoteReference"/>
        </w:rPr>
        <w:footnoteRef/>
      </w:r>
      <w:r>
        <w:t xml:space="preserve"> </w:t>
      </w:r>
      <w:r>
        <w:rPr>
          <w:lang w:val="en-ZW"/>
        </w:rPr>
        <w:t>Contra Costa County Opening Comments at 7; Joint CCAs Opening Comments at 12; NRDC/Sierra Club Opening Comments at 13; TURN Opening Comments at 8.</w:t>
      </w:r>
    </w:p>
  </w:footnote>
  <w:footnote w:id="64">
    <w:p w14:paraId="147D6771" w14:textId="77777777" w:rsidR="003A014C" w:rsidRPr="005417D7" w:rsidRDefault="003A014C" w:rsidP="003A014C">
      <w:pPr>
        <w:pStyle w:val="FootnoteText"/>
        <w:rPr>
          <w:lang w:val="en-ZW"/>
        </w:rPr>
      </w:pPr>
      <w:r>
        <w:rPr>
          <w:rStyle w:val="FootnoteReference"/>
        </w:rPr>
        <w:footnoteRef/>
      </w:r>
      <w:r>
        <w:t xml:space="preserve"> </w:t>
      </w:r>
      <w:r>
        <w:rPr>
          <w:lang w:val="en-ZW"/>
        </w:rPr>
        <w:t xml:space="preserve">SCE Opening Comments at 12, CMUA reply Comments at 2. </w:t>
      </w:r>
    </w:p>
  </w:footnote>
  <w:footnote w:id="65">
    <w:p w14:paraId="169A85F6" w14:textId="77777777" w:rsidR="00380A3D" w:rsidRDefault="00380A3D" w:rsidP="00380A3D">
      <w:pPr>
        <w:pStyle w:val="FootnoteText"/>
      </w:pPr>
      <w:r>
        <w:rPr>
          <w:rStyle w:val="FootnoteReference"/>
        </w:rPr>
        <w:footnoteRef/>
      </w:r>
      <w:r>
        <w:t xml:space="preserve"> CMUA Reply Comments on Second Amended Scoping Memo at 4; Southwest Gas Opening Comments on Second Amended Scoping Memo at pdf page 6.</w:t>
      </w:r>
    </w:p>
  </w:footnote>
  <w:footnote w:id="66">
    <w:p w14:paraId="4111D93A" w14:textId="77777777" w:rsidR="00380A3D" w:rsidRDefault="00380A3D" w:rsidP="00380A3D">
      <w:pPr>
        <w:pStyle w:val="FootnoteText"/>
      </w:pPr>
      <w:r>
        <w:rPr>
          <w:rStyle w:val="FootnoteReference"/>
        </w:rPr>
        <w:footnoteRef/>
      </w:r>
      <w:r>
        <w:t xml:space="preserve"> SoCalGas and SDG&amp;E Opening Comments on Second Amended Scoping Memo at 10.</w:t>
      </w:r>
    </w:p>
  </w:footnote>
  <w:footnote w:id="67">
    <w:p w14:paraId="3C22EE7D" w14:textId="119602E6" w:rsidR="002C3F25" w:rsidRDefault="002C3F25">
      <w:pPr>
        <w:pStyle w:val="FootnoteText"/>
      </w:pPr>
      <w:r>
        <w:rPr>
          <w:rStyle w:val="FootnoteReference"/>
        </w:rPr>
        <w:footnoteRef/>
      </w:r>
      <w:r>
        <w:t xml:space="preserve"> </w:t>
      </w:r>
      <w:r w:rsidRPr="002C3F25">
        <w:t>Applications must include this information regardless of whether the local electric utility is regulated by the Commission.</w:t>
      </w:r>
    </w:p>
  </w:footnote>
  <w:footnote w:id="68">
    <w:p w14:paraId="5F3ACC7B" w14:textId="0999640B" w:rsidR="007C41CD" w:rsidRDefault="007C41CD" w:rsidP="007C41CD">
      <w:pPr>
        <w:pStyle w:val="FootnoteText"/>
      </w:pPr>
      <w:r>
        <w:rPr>
          <w:rStyle w:val="FootnoteReference"/>
        </w:rPr>
        <w:footnoteRef/>
      </w:r>
      <w:r>
        <w:t xml:space="preserve"> This category of infrastructure is not limited to projects that have been awarded funds in a General Rate Case (GRC) decision. Electric utilities run studies that plan beyond the four-year GRC lookahead, and this </w:t>
      </w:r>
      <w:r w:rsidR="00007A79">
        <w:t>cost effective</w:t>
      </w:r>
      <w:r>
        <w:t>ness analysis should recognize that fact.</w:t>
      </w:r>
    </w:p>
  </w:footnote>
  <w:footnote w:id="69">
    <w:p w14:paraId="6DC3789A" w14:textId="77777777" w:rsidR="007C41CD" w:rsidRDefault="007C41CD" w:rsidP="007C41CD">
      <w:pPr>
        <w:pStyle w:val="FootnoteText"/>
      </w:pPr>
      <w:r>
        <w:rPr>
          <w:rStyle w:val="FootnoteReference"/>
        </w:rPr>
        <w:footnoteRef/>
      </w:r>
      <w:r>
        <w:t xml:space="preserve"> This requirement is consistent with the Phase 4, Track A Decision the Building Decarbonization proceeding (R.19-01-011), in which the Commission “[</w:t>
      </w:r>
      <w:r w:rsidRPr="00E14A04">
        <w:t>affirm</w:t>
      </w:r>
      <w:r>
        <w:t>ed]</w:t>
      </w:r>
      <w:r w:rsidRPr="00E14A04">
        <w:t xml:space="preserve"> that in cases where service lines exist and are currently serving customers, service upsizing should be avoided unless necessary and only if other reasonable options (e.g., panel optimization solutions) have been exhausted.</w:t>
      </w:r>
      <w:r>
        <w:t>” (D.25-06-034 at 20).</w:t>
      </w:r>
    </w:p>
  </w:footnote>
  <w:footnote w:id="70">
    <w:p w14:paraId="3DD543DE" w14:textId="77777777" w:rsidR="00945D24" w:rsidRDefault="00945D24" w:rsidP="00945D24">
      <w:pPr>
        <w:pStyle w:val="FootnoteText"/>
      </w:pPr>
      <w:r>
        <w:rPr>
          <w:rStyle w:val="FootnoteReference"/>
        </w:rPr>
        <w:footnoteRef/>
      </w:r>
      <w:r>
        <w:t xml:space="preserve"> Cal Advocates Opening Comments on Second Amended Scoping Memo at 6 and 10.</w:t>
      </w:r>
    </w:p>
  </w:footnote>
  <w:footnote w:id="71">
    <w:p w14:paraId="399979FC" w14:textId="77777777" w:rsidR="00945D24" w:rsidRDefault="00945D24" w:rsidP="00945D24">
      <w:pPr>
        <w:pStyle w:val="FootnoteText"/>
      </w:pPr>
      <w:r>
        <w:rPr>
          <w:rStyle w:val="FootnoteReference"/>
        </w:rPr>
        <w:footnoteRef/>
      </w:r>
      <w:r>
        <w:t xml:space="preserve"> Cal Advocates Opening Comments on Second Amended Scoping Memo at 11.</w:t>
      </w:r>
    </w:p>
  </w:footnote>
  <w:footnote w:id="72">
    <w:p w14:paraId="4FE98652" w14:textId="77777777" w:rsidR="00945D24" w:rsidRDefault="00945D24" w:rsidP="00945D24">
      <w:pPr>
        <w:pStyle w:val="FootnoteText"/>
      </w:pPr>
      <w:r>
        <w:rPr>
          <w:rStyle w:val="FootnoteReference"/>
        </w:rPr>
        <w:footnoteRef/>
      </w:r>
      <w:r>
        <w:t xml:space="preserve"> San Francisco Opening Comments on Second Amended Scoping Memo at 3; SoCalGas and SDG&amp;E Opening Comments on Second Amended Scoping Memo at 8;</w:t>
      </w:r>
      <w:r w:rsidRPr="00312D9A">
        <w:t xml:space="preserve"> </w:t>
      </w:r>
      <w:r>
        <w:t>Southwest Gas Opening Comments on Second Amended Scoping Memo at pdf page 5.</w:t>
      </w:r>
    </w:p>
  </w:footnote>
  <w:footnote w:id="73">
    <w:p w14:paraId="3F3121D0" w14:textId="77777777" w:rsidR="002A7FB4" w:rsidRDefault="002A7FB4" w:rsidP="002A7FB4">
      <w:pPr>
        <w:pStyle w:val="FootnoteText"/>
      </w:pPr>
      <w:r>
        <w:rPr>
          <w:rStyle w:val="FootnoteReference"/>
        </w:rPr>
        <w:footnoteRef/>
      </w:r>
      <w:r>
        <w:t xml:space="preserve"> For example, see Labor Coalition Opening Comments on Second Amended Scoping Memo at 4 (“[A</w:t>
      </w:r>
      <w:r w:rsidRPr="00C712B4">
        <w:t>n</w:t>
      </w:r>
      <w:r>
        <w:t>]</w:t>
      </w:r>
      <w:r w:rsidRPr="00C712B4">
        <w:t xml:space="preserve"> agreement that guarantees ongoing investment in training and apprenticeship programs and provides competitive wages and benefits</w:t>
      </w:r>
      <w:r>
        <w:t xml:space="preserve"> [exemplifies] </w:t>
      </w:r>
      <w:r w:rsidRPr="00C712B4">
        <w:t xml:space="preserve">the meaning of </w:t>
      </w:r>
      <w:r>
        <w:t>‘</w:t>
      </w:r>
      <w:r w:rsidRPr="00C712B4">
        <w:t>high-road</w:t>
      </w:r>
      <w:r>
        <w:t>’</w:t>
      </w:r>
      <w:r w:rsidRPr="00C712B4">
        <w:t xml:space="preserve"> jobs</w:t>
      </w:r>
      <w:r>
        <w:t>”).</w:t>
      </w:r>
    </w:p>
  </w:footnote>
  <w:footnote w:id="74">
    <w:p w14:paraId="5AEB0EB0" w14:textId="77777777" w:rsidR="002A7FB4" w:rsidRDefault="002A7FB4" w:rsidP="002A7FB4">
      <w:pPr>
        <w:pStyle w:val="FootnoteText"/>
      </w:pPr>
      <w:r>
        <w:rPr>
          <w:rStyle w:val="FootnoteReference"/>
        </w:rPr>
        <w:footnoteRef/>
      </w:r>
      <w:r>
        <w:t xml:space="preserve"> Labor Coalition Reply Comments on Second Amended Scoping Memo at 5.</w:t>
      </w:r>
    </w:p>
  </w:footnote>
  <w:footnote w:id="75">
    <w:p w14:paraId="069F65E2" w14:textId="77777777" w:rsidR="002A7FB4" w:rsidRDefault="002A7FB4" w:rsidP="002A7FB4">
      <w:pPr>
        <w:pStyle w:val="FootnoteText"/>
      </w:pPr>
      <w:r>
        <w:rPr>
          <w:rStyle w:val="FootnoteReference"/>
        </w:rPr>
        <w:footnoteRef/>
      </w:r>
      <w:r>
        <w:t xml:space="preserve"> CUE Opening Comments on Second Amended Scoping Memo at 7.</w:t>
      </w:r>
    </w:p>
  </w:footnote>
  <w:footnote w:id="76">
    <w:p w14:paraId="2C1450D1" w14:textId="77777777" w:rsidR="002A7FB4" w:rsidRDefault="002A7FB4" w:rsidP="002A7FB4">
      <w:pPr>
        <w:pStyle w:val="FootnoteText"/>
      </w:pPr>
      <w:r>
        <w:rPr>
          <w:rStyle w:val="FootnoteReference"/>
        </w:rPr>
        <w:footnoteRef/>
      </w:r>
      <w:r>
        <w:t xml:space="preserve"> CUE Opening Comments on Second Amended Scoping Memo at 7; Labor Coalition Opening Comments on Second Amended Scoping Memo at 4.</w:t>
      </w:r>
    </w:p>
  </w:footnote>
  <w:footnote w:id="77">
    <w:p w14:paraId="226D20DE" w14:textId="77777777" w:rsidR="002A7FB4" w:rsidRDefault="002A7FB4" w:rsidP="002A7FB4">
      <w:pPr>
        <w:pStyle w:val="FootnoteText"/>
      </w:pPr>
      <w:r>
        <w:rPr>
          <w:rStyle w:val="FootnoteReference"/>
        </w:rPr>
        <w:footnoteRef/>
      </w:r>
      <w:r>
        <w:t xml:space="preserve"> Labor Coalition Opening Comments on Second Amended Scoping Memo at 10.</w:t>
      </w:r>
    </w:p>
  </w:footnote>
  <w:footnote w:id="78">
    <w:p w14:paraId="4F92AE4D" w14:textId="77777777" w:rsidR="002A7FB4" w:rsidRDefault="002A7FB4" w:rsidP="002A7FB4">
      <w:pPr>
        <w:pStyle w:val="FootnoteText"/>
      </w:pPr>
      <w:r>
        <w:rPr>
          <w:rStyle w:val="FootnoteReference"/>
        </w:rPr>
        <w:footnoteRef/>
      </w:r>
      <w:r>
        <w:t xml:space="preserve"> SoCalGas and SDG&amp;E Opening Comments on Second Amended Scoping Memo at 17.</w:t>
      </w:r>
    </w:p>
  </w:footnote>
  <w:footnote w:id="79">
    <w:p w14:paraId="4935AF04" w14:textId="77777777" w:rsidR="002A7FB4" w:rsidRDefault="002A7FB4" w:rsidP="002A7FB4">
      <w:pPr>
        <w:pStyle w:val="FootnoteText"/>
      </w:pPr>
      <w:r>
        <w:rPr>
          <w:rStyle w:val="FootnoteReference"/>
        </w:rPr>
        <w:footnoteRef/>
      </w:r>
      <w:r>
        <w:t xml:space="preserve"> SoCalGas and SDG&amp;E Opening Comments on Second Amended Scoping Memo at 17.</w:t>
      </w:r>
    </w:p>
  </w:footnote>
  <w:footnote w:id="80">
    <w:p w14:paraId="2B880DA3" w14:textId="77777777" w:rsidR="002A7FB4" w:rsidRDefault="002A7FB4" w:rsidP="002A7FB4">
      <w:pPr>
        <w:pStyle w:val="FootnoteText"/>
      </w:pPr>
      <w:r>
        <w:rPr>
          <w:rStyle w:val="FootnoteReference"/>
        </w:rPr>
        <w:footnoteRef/>
      </w:r>
      <w:r>
        <w:t xml:space="preserve"> PG&amp;E Opening Comments on Second Amended Scoping Memo at 9, PG&amp;E Reply Comments on Second Amended Scoping Memo at 4.</w:t>
      </w:r>
    </w:p>
  </w:footnote>
  <w:footnote w:id="81">
    <w:p w14:paraId="1D7FF03F" w14:textId="77777777" w:rsidR="002A7FB4" w:rsidRDefault="002A7FB4" w:rsidP="002A7FB4">
      <w:pPr>
        <w:pStyle w:val="FootnoteText"/>
      </w:pPr>
      <w:r>
        <w:rPr>
          <w:rStyle w:val="FootnoteReference"/>
        </w:rPr>
        <w:footnoteRef/>
      </w:r>
      <w:r>
        <w:t xml:space="preserve"> San Francisco Opening Comments on Second Amended Scoping Memo at 5; SoCalGas and SDG&amp;E Opening Comments on Second Amended Scoping Memo at 17.</w:t>
      </w:r>
    </w:p>
  </w:footnote>
  <w:footnote w:id="82">
    <w:p w14:paraId="5030660B" w14:textId="77777777" w:rsidR="002A7FB4" w:rsidRDefault="002A7FB4" w:rsidP="002A7FB4">
      <w:pPr>
        <w:pStyle w:val="FootnoteText"/>
      </w:pPr>
      <w:r>
        <w:rPr>
          <w:rStyle w:val="FootnoteReference"/>
        </w:rPr>
        <w:footnoteRef/>
      </w:r>
      <w:r>
        <w:t xml:space="preserve"> Labor Coalition Reply Comments on Second Amended Scoping Memo at 6 to 9.</w:t>
      </w:r>
    </w:p>
  </w:footnote>
  <w:footnote w:id="83">
    <w:p w14:paraId="6BC7A6EF" w14:textId="77777777" w:rsidR="002A7FB4" w:rsidRDefault="002A7FB4" w:rsidP="002A7FB4">
      <w:pPr>
        <w:pStyle w:val="FootnoteText"/>
      </w:pPr>
      <w:r>
        <w:rPr>
          <w:rStyle w:val="FootnoteReference"/>
        </w:rPr>
        <w:footnoteRef/>
      </w:r>
      <w:r>
        <w:t xml:space="preserve"> CCR REN Opening Comments on Second Amended Scoping Memo at 3, Joint CCA Opening Comments on Second Amended Scoping Memo at 12.</w:t>
      </w:r>
    </w:p>
  </w:footnote>
  <w:footnote w:id="84">
    <w:p w14:paraId="655C1117" w14:textId="77777777" w:rsidR="002A7FB4" w:rsidRDefault="002A7FB4" w:rsidP="002A7FB4">
      <w:pPr>
        <w:pStyle w:val="FootnoteText"/>
      </w:pPr>
      <w:r>
        <w:rPr>
          <w:rStyle w:val="FootnoteReference"/>
        </w:rPr>
        <w:footnoteRef/>
      </w:r>
      <w:r>
        <w:t xml:space="preserve"> Labor Coalition Reply Comments on Second Amended Scoping Memo at 10.</w:t>
      </w:r>
    </w:p>
  </w:footnote>
  <w:footnote w:id="85">
    <w:p w14:paraId="18087959" w14:textId="77777777" w:rsidR="002A7FB4" w:rsidRDefault="002A7FB4" w:rsidP="002A7FB4">
      <w:pPr>
        <w:pStyle w:val="FootnoteText"/>
      </w:pPr>
      <w:r>
        <w:rPr>
          <w:rStyle w:val="FootnoteReference"/>
        </w:rPr>
        <w:footnoteRef/>
      </w:r>
      <w:r>
        <w:t xml:space="preserve"> Labor Coalition Opening Comments on Second Amended Scoping Memo at 8 to 9.</w:t>
      </w:r>
    </w:p>
  </w:footnote>
  <w:footnote w:id="86">
    <w:p w14:paraId="18240494" w14:textId="77777777" w:rsidR="002A7FB4" w:rsidRDefault="002A7FB4" w:rsidP="002A7FB4">
      <w:pPr>
        <w:pStyle w:val="FootnoteText"/>
      </w:pPr>
      <w:r>
        <w:rPr>
          <w:rStyle w:val="FootnoteReference"/>
        </w:rPr>
        <w:footnoteRef/>
      </w:r>
      <w:r>
        <w:t xml:space="preserve"> San Francisco Opening Comments on Second Amended Scoping Memo at 4.</w:t>
      </w:r>
    </w:p>
  </w:footnote>
  <w:footnote w:id="87">
    <w:p w14:paraId="4F7F2E94" w14:textId="2CC2C52C" w:rsidR="00726F5B" w:rsidRDefault="00726F5B">
      <w:pPr>
        <w:pStyle w:val="FootnoteText"/>
      </w:pPr>
      <w:r>
        <w:rPr>
          <w:rStyle w:val="FootnoteReference"/>
        </w:rPr>
        <w:footnoteRef/>
      </w:r>
      <w:r>
        <w:t xml:space="preserve"> Code Section 662</w:t>
      </w:r>
      <w:r w:rsidR="009279F4">
        <w:t>.</w:t>
      </w:r>
    </w:p>
  </w:footnote>
  <w:footnote w:id="88">
    <w:p w14:paraId="4C58A9E9" w14:textId="022A4E34" w:rsidR="009279F4" w:rsidRDefault="009279F4">
      <w:pPr>
        <w:pStyle w:val="FootnoteText"/>
      </w:pPr>
      <w:r>
        <w:rPr>
          <w:rStyle w:val="FootnoteReference"/>
        </w:rPr>
        <w:footnoteRef/>
      </w:r>
      <w:r>
        <w:t xml:space="preserve"> Code Section 663(b)(2).</w:t>
      </w:r>
    </w:p>
  </w:footnote>
  <w:footnote w:id="89">
    <w:p w14:paraId="37DA46FA" w14:textId="15243C98" w:rsidR="008A780B" w:rsidRDefault="008A780B">
      <w:pPr>
        <w:pStyle w:val="FootnoteText"/>
      </w:pPr>
      <w:r>
        <w:rPr>
          <w:rStyle w:val="FootnoteReference"/>
        </w:rPr>
        <w:footnoteRef/>
      </w:r>
      <w:r>
        <w:t xml:space="preserve"> </w:t>
      </w:r>
      <w:r w:rsidR="00C71C3D">
        <w:t>Code Section 663(b)(6).</w:t>
      </w:r>
    </w:p>
  </w:footnote>
  <w:footnote w:id="90">
    <w:p w14:paraId="4951BB86" w14:textId="451D4A97" w:rsidR="00F75AEE" w:rsidRDefault="00F75AEE">
      <w:pPr>
        <w:pStyle w:val="FootnoteText"/>
      </w:pPr>
      <w:r>
        <w:rPr>
          <w:rStyle w:val="FootnoteReference"/>
        </w:rPr>
        <w:footnoteRef/>
      </w:r>
      <w:r>
        <w:t xml:space="preserve"> Code Section 662(a)</w:t>
      </w:r>
      <w:r w:rsidR="002138F0">
        <w:t>, subsections (1) through (4).</w:t>
      </w:r>
    </w:p>
  </w:footnote>
  <w:footnote w:id="91">
    <w:p w14:paraId="28982E8F" w14:textId="500E72F2" w:rsidR="00D351EB" w:rsidRPr="00696B7F" w:rsidRDefault="00D351EB" w:rsidP="00D351EB">
      <w:pPr>
        <w:pStyle w:val="FootnoteText"/>
        <w:rPr>
          <w:lang w:val="en-ZW"/>
        </w:rPr>
      </w:pPr>
      <w:r>
        <w:rPr>
          <w:rStyle w:val="FootnoteReference"/>
        </w:rPr>
        <w:footnoteRef/>
      </w:r>
      <w:r>
        <w:t xml:space="preserve"> </w:t>
      </w:r>
      <w:r w:rsidR="00EB244B">
        <w:rPr>
          <w:lang w:val="en-ZW"/>
        </w:rPr>
        <w:t>Sempra Utilities</w:t>
      </w:r>
      <w:r>
        <w:rPr>
          <w:lang w:val="en-ZW"/>
        </w:rPr>
        <w:t xml:space="preserve"> Opening Comments at 32.</w:t>
      </w:r>
    </w:p>
  </w:footnote>
  <w:footnote w:id="92">
    <w:p w14:paraId="713EF8B1" w14:textId="77777777" w:rsidR="00D351EB" w:rsidRPr="003C53EC" w:rsidRDefault="00D351EB" w:rsidP="00D351EB">
      <w:pPr>
        <w:pStyle w:val="FootnoteText"/>
        <w:rPr>
          <w:lang w:val="en-ZW"/>
        </w:rPr>
      </w:pPr>
      <w:r>
        <w:rPr>
          <w:rStyle w:val="FootnoteReference"/>
        </w:rPr>
        <w:footnoteRef/>
      </w:r>
      <w:r>
        <w:t xml:space="preserve"> </w:t>
      </w:r>
      <w:r>
        <w:rPr>
          <w:lang w:val="en-ZW"/>
        </w:rPr>
        <w:t>CUE Opening Comments at 8.</w:t>
      </w:r>
    </w:p>
  </w:footnote>
  <w:footnote w:id="93">
    <w:p w14:paraId="465609AA" w14:textId="77777777" w:rsidR="00BB6AEA" w:rsidRDefault="00BB6AEA" w:rsidP="00BB6AEA">
      <w:pPr>
        <w:pStyle w:val="FootnoteText"/>
      </w:pPr>
      <w:r>
        <w:rPr>
          <w:rStyle w:val="FootnoteReference"/>
        </w:rPr>
        <w:footnoteRef/>
      </w:r>
      <w:r>
        <w:t xml:space="preserve"> CUE Opening Comments on Second Amended Scoping Memo at 8.</w:t>
      </w:r>
    </w:p>
  </w:footnote>
  <w:footnote w:id="94">
    <w:p w14:paraId="7B82A3E1" w14:textId="77777777" w:rsidR="00A56B46" w:rsidRDefault="00A56B46" w:rsidP="00A56B46">
      <w:pPr>
        <w:pStyle w:val="FootnoteText"/>
      </w:pPr>
      <w:r>
        <w:rPr>
          <w:rStyle w:val="FootnoteReference"/>
        </w:rPr>
        <w:footnoteRef/>
      </w:r>
      <w:r>
        <w:t xml:space="preserve"> SoCalGas and SDG&amp;E Opening Comments on Second Amended Scoping Memo at 11 to 12.</w:t>
      </w:r>
    </w:p>
  </w:footnote>
  <w:footnote w:id="95">
    <w:p w14:paraId="5DD5DDB5" w14:textId="77777777" w:rsidR="00A56B46" w:rsidRDefault="00A56B46" w:rsidP="00A56B46">
      <w:pPr>
        <w:pStyle w:val="FootnoteText"/>
      </w:pPr>
      <w:r>
        <w:rPr>
          <w:rStyle w:val="FootnoteReference"/>
        </w:rPr>
        <w:footnoteRef/>
      </w:r>
      <w:r>
        <w:t xml:space="preserve"> SoCalGas and SDG&amp;E Opening Comments on Second Amended Scoping Memo at 16.</w:t>
      </w:r>
    </w:p>
  </w:footnote>
  <w:footnote w:id="96">
    <w:p w14:paraId="697EED86" w14:textId="77777777" w:rsidR="00BF40FA" w:rsidRDefault="00BF40FA" w:rsidP="00BF40FA">
      <w:pPr>
        <w:pStyle w:val="FootnoteText"/>
      </w:pPr>
      <w:r>
        <w:rPr>
          <w:rStyle w:val="FootnoteReference"/>
        </w:rPr>
        <w:footnoteRef/>
      </w:r>
      <w:r>
        <w:t xml:space="preserve"> CCR REN Opening Comments on Second Amended Scoping Memo at 2 to 3.</w:t>
      </w:r>
    </w:p>
  </w:footnote>
  <w:footnote w:id="97">
    <w:p w14:paraId="456B2291" w14:textId="77777777" w:rsidR="00BF40FA" w:rsidRDefault="00BF40FA" w:rsidP="00BF40FA">
      <w:pPr>
        <w:pStyle w:val="FootnoteText"/>
      </w:pPr>
      <w:r>
        <w:rPr>
          <w:rStyle w:val="FootnoteReference"/>
        </w:rPr>
        <w:footnoteRef/>
      </w:r>
      <w:r>
        <w:t xml:space="preserve"> CCR REN Opening Comments on Second Amended Scoping Memo at 2 to 3; Elk Grove Opening Comments on Second Amended Scoping Memo at 5 to 6; LGSEC Motion for Party Status at 2.</w:t>
      </w:r>
    </w:p>
  </w:footnote>
  <w:footnote w:id="98">
    <w:p w14:paraId="3A19FC4D" w14:textId="77777777" w:rsidR="00BF40FA" w:rsidRDefault="00BF40FA" w:rsidP="00BF40FA">
      <w:pPr>
        <w:pStyle w:val="FootnoteText"/>
      </w:pPr>
      <w:r>
        <w:rPr>
          <w:rStyle w:val="FootnoteReference"/>
        </w:rPr>
        <w:footnoteRef/>
      </w:r>
      <w:r>
        <w:t xml:space="preserve"> SoCalGas and SDG&amp;E Opening Comments on Second Amended Scoping Memo at 12 to 13.</w:t>
      </w:r>
    </w:p>
  </w:footnote>
  <w:footnote w:id="99">
    <w:p w14:paraId="11F0F7D5" w14:textId="77777777" w:rsidR="00BF40FA" w:rsidRDefault="00BF40FA" w:rsidP="00BF40FA">
      <w:pPr>
        <w:pStyle w:val="FootnoteText"/>
      </w:pPr>
      <w:r>
        <w:rPr>
          <w:rStyle w:val="FootnoteReference"/>
        </w:rPr>
        <w:footnoteRef/>
      </w:r>
      <w:r>
        <w:t xml:space="preserve"> San Francisco Opening Comments on Second Amended Scoping Memo at 1.</w:t>
      </w:r>
    </w:p>
  </w:footnote>
  <w:footnote w:id="100">
    <w:p w14:paraId="64606265" w14:textId="77777777" w:rsidR="00BF40FA" w:rsidRDefault="00BF40FA" w:rsidP="00BF40FA">
      <w:pPr>
        <w:pStyle w:val="FootnoteText"/>
      </w:pPr>
      <w:r>
        <w:rPr>
          <w:rStyle w:val="FootnoteReference"/>
        </w:rPr>
        <w:footnoteRef/>
      </w:r>
      <w:r>
        <w:t xml:space="preserve"> San Francisco Opening Comments on Second Amended Scoping Memo at 2; SoCalGas and SDG&amp;E Opening Comments on Second Amended Scoping Memo at 8.</w:t>
      </w:r>
    </w:p>
  </w:footnote>
  <w:footnote w:id="101">
    <w:p w14:paraId="60ABA97C" w14:textId="77777777" w:rsidR="00BF40FA" w:rsidRDefault="00BF40FA" w:rsidP="00BF40FA">
      <w:pPr>
        <w:pStyle w:val="FootnoteText"/>
      </w:pPr>
      <w:r>
        <w:rPr>
          <w:rStyle w:val="FootnoteReference"/>
        </w:rPr>
        <w:footnoteRef/>
      </w:r>
      <w:r>
        <w:t xml:space="preserve"> San Francisco Opening Comments on Second Amended Scoping Memo at 3 to 4.</w:t>
      </w:r>
    </w:p>
  </w:footnote>
  <w:footnote w:id="102">
    <w:p w14:paraId="3491F05C" w14:textId="77777777" w:rsidR="00BF40FA" w:rsidRDefault="00BF40FA" w:rsidP="00BF40FA">
      <w:pPr>
        <w:pStyle w:val="FootnoteText"/>
      </w:pPr>
      <w:r>
        <w:rPr>
          <w:rStyle w:val="FootnoteReference"/>
        </w:rPr>
        <w:footnoteRef/>
      </w:r>
      <w:r>
        <w:t xml:space="preserve"> Southwest Gas Opening Comments on Second Amended Scoping Memo at pdf page 6.</w:t>
      </w:r>
    </w:p>
  </w:footnote>
  <w:footnote w:id="103">
    <w:p w14:paraId="5DBECBFE" w14:textId="77777777" w:rsidR="00BF40FA" w:rsidRDefault="00BF40FA" w:rsidP="00BF40FA">
      <w:pPr>
        <w:pStyle w:val="FootnoteText"/>
      </w:pPr>
      <w:r>
        <w:rPr>
          <w:rStyle w:val="FootnoteReference"/>
        </w:rPr>
        <w:footnoteRef/>
      </w:r>
      <w:r>
        <w:t xml:space="preserve"> Southwest Gas Opening Comments on Second Amended Scoping Memo at pdf page 9.</w:t>
      </w:r>
    </w:p>
  </w:footnote>
  <w:footnote w:id="104">
    <w:p w14:paraId="7BA4AF8E" w14:textId="0BB85121" w:rsidR="00BF40FA" w:rsidRDefault="00BF40FA" w:rsidP="00BF40FA">
      <w:pPr>
        <w:pStyle w:val="FootnoteText"/>
      </w:pPr>
      <w:r>
        <w:rPr>
          <w:rStyle w:val="FootnoteReference"/>
        </w:rPr>
        <w:footnoteRef/>
      </w:r>
      <w:r>
        <w:t xml:space="preserve"> PG&amp;E </w:t>
      </w:r>
      <w:r w:rsidR="00BE3ABD" w:rsidRPr="00BE3ABD">
        <w:t>Senate Bill 1221</w:t>
      </w:r>
      <w:r w:rsidR="00BE3ABD">
        <w:t xml:space="preserve"> </w:t>
      </w:r>
      <w:r w:rsidR="00BE3ABD" w:rsidRPr="00BE3ABD">
        <w:t>Information Session R</w:t>
      </w:r>
      <w:r>
        <w:t>eport at 20.</w:t>
      </w:r>
    </w:p>
  </w:footnote>
  <w:footnote w:id="105">
    <w:p w14:paraId="0E4E167A" w14:textId="77777777" w:rsidR="00B05102" w:rsidRDefault="00B05102" w:rsidP="00B05102">
      <w:pPr>
        <w:pStyle w:val="FootnoteText"/>
      </w:pPr>
      <w:r>
        <w:rPr>
          <w:rStyle w:val="FootnoteReference"/>
        </w:rPr>
        <w:footnoteRef/>
      </w:r>
      <w:r>
        <w:t xml:space="preserve"> SoCalGas and SDG&amp;E Opening Comments on Second Amended Scoping Memo at 13.</w:t>
      </w:r>
    </w:p>
  </w:footnote>
  <w:footnote w:id="106">
    <w:p w14:paraId="64C0FC0B" w14:textId="77777777" w:rsidR="00B05102" w:rsidRDefault="00B05102" w:rsidP="00B05102">
      <w:pPr>
        <w:pStyle w:val="FootnoteText"/>
      </w:pPr>
      <w:r>
        <w:rPr>
          <w:rStyle w:val="FootnoteReference"/>
        </w:rPr>
        <w:footnoteRef/>
      </w:r>
      <w:r>
        <w:t xml:space="preserve"> San Francisco Opening Comments on Second Amended Scoping Memo at 1; Cal Advocates Opening Comments on Second Amended Scoping Memo at 7.</w:t>
      </w:r>
    </w:p>
  </w:footnote>
  <w:footnote w:id="107">
    <w:p w14:paraId="5A9214E6" w14:textId="77777777" w:rsidR="00B05102" w:rsidRDefault="00B05102" w:rsidP="00B05102">
      <w:pPr>
        <w:pStyle w:val="FootnoteText"/>
      </w:pPr>
      <w:r>
        <w:rPr>
          <w:rStyle w:val="FootnoteReference"/>
        </w:rPr>
        <w:footnoteRef/>
      </w:r>
      <w:r>
        <w:t xml:space="preserve"> SoCalGas and SDG&amp;E Opening Comments on Second Amended Scoping Memo at 10.</w:t>
      </w:r>
    </w:p>
  </w:footnote>
  <w:footnote w:id="108">
    <w:p w14:paraId="3138B2C4" w14:textId="77777777" w:rsidR="00B05102" w:rsidRDefault="00B05102" w:rsidP="00B05102">
      <w:pPr>
        <w:pStyle w:val="FootnoteText"/>
      </w:pPr>
      <w:r>
        <w:rPr>
          <w:rStyle w:val="FootnoteReference"/>
        </w:rPr>
        <w:footnoteRef/>
      </w:r>
      <w:r>
        <w:t xml:space="preserve"> SoCalGas and SDG&amp;E Opening Comments on Second Amended Scoping Memo at 10; Southwest Gas Opening Comments on Second Amended Scoping Memo at pdf page 4.</w:t>
      </w:r>
    </w:p>
  </w:footnote>
  <w:footnote w:id="109">
    <w:p w14:paraId="28BF69BD" w14:textId="3997FAE7" w:rsidR="00CF3510" w:rsidRDefault="00CF3510">
      <w:pPr>
        <w:pStyle w:val="FootnoteText"/>
      </w:pPr>
      <w:r>
        <w:rPr>
          <w:rStyle w:val="FootnoteReference"/>
        </w:rPr>
        <w:footnoteRef/>
      </w:r>
      <w:r>
        <w:t xml:space="preserve"> The applicant does not need to include the executed agreements, just </w:t>
      </w:r>
      <w:r w:rsidR="00F2452F">
        <w:t>a</w:t>
      </w:r>
      <w:r w:rsidR="00301097">
        <w:t xml:space="preserve"> representative </w:t>
      </w:r>
      <w:r w:rsidR="00F2452F">
        <w:t>example (or examples) of the types of documents</w:t>
      </w:r>
      <w:r w:rsidR="007870A9">
        <w:t xml:space="preserve"> that were </w:t>
      </w:r>
      <w:r w:rsidR="00352B70">
        <w:t>presented to the</w:t>
      </w:r>
      <w:r w:rsidR="007B72A7">
        <w:t xml:space="preserve"> </w:t>
      </w:r>
      <w:r w:rsidR="00FD5BC2">
        <w:t>property owners</w:t>
      </w:r>
      <w:r w:rsidR="00F2452F">
        <w:t>.</w:t>
      </w:r>
    </w:p>
  </w:footnote>
  <w:footnote w:id="110">
    <w:p w14:paraId="69D10E2A" w14:textId="77777777" w:rsidR="0090350C" w:rsidRDefault="0090350C" w:rsidP="0090350C">
      <w:pPr>
        <w:pStyle w:val="FootnoteText"/>
      </w:pPr>
      <w:r>
        <w:rPr>
          <w:rStyle w:val="FootnoteReference"/>
        </w:rPr>
        <w:footnoteRef/>
      </w:r>
      <w:r>
        <w:t xml:space="preserve"> SoCalGas and SDG&amp;E Opening Comments on Second Amended Scoping Memo at 12 to 14.</w:t>
      </w:r>
    </w:p>
  </w:footnote>
  <w:footnote w:id="111">
    <w:p w14:paraId="14195CE4" w14:textId="77777777" w:rsidR="0090350C" w:rsidRDefault="0090350C" w:rsidP="0090350C">
      <w:pPr>
        <w:pStyle w:val="FootnoteText"/>
      </w:pPr>
      <w:r>
        <w:rPr>
          <w:rStyle w:val="FootnoteReference"/>
        </w:rPr>
        <w:footnoteRef/>
      </w:r>
      <w:r>
        <w:t xml:space="preserve"> SoCalGas and SDG&amp;E Opening Comments on Second Amended Scoping Memo at 13 to 14.</w:t>
      </w:r>
    </w:p>
  </w:footnote>
  <w:footnote w:id="112">
    <w:p w14:paraId="4CF5D3B4" w14:textId="2A5D56FB" w:rsidR="003601B4" w:rsidRDefault="003601B4">
      <w:pPr>
        <w:pStyle w:val="FootnoteText"/>
      </w:pPr>
      <w:r>
        <w:rPr>
          <w:rStyle w:val="FootnoteReference"/>
        </w:rPr>
        <w:footnoteRef/>
      </w:r>
      <w:r>
        <w:t xml:space="preserve"> UCAN Reply Comments on Se</w:t>
      </w:r>
      <w:r w:rsidR="00B3194C">
        <w:t>cond Amended Scoping Memo at 7.</w:t>
      </w:r>
    </w:p>
  </w:footnote>
  <w:footnote w:id="113">
    <w:p w14:paraId="3D2E48D2" w14:textId="77777777" w:rsidR="001D5CA3" w:rsidRDefault="001D5CA3" w:rsidP="001D5CA3">
      <w:pPr>
        <w:pStyle w:val="FootnoteText"/>
      </w:pPr>
      <w:r>
        <w:rPr>
          <w:rStyle w:val="FootnoteReference"/>
        </w:rPr>
        <w:footnoteRef/>
      </w:r>
      <w:r>
        <w:t xml:space="preserve"> CCR REN Opening Comments on Second Amended Scoping Memo at 4.</w:t>
      </w:r>
    </w:p>
  </w:footnote>
  <w:footnote w:id="114">
    <w:p w14:paraId="33AC6BAB" w14:textId="77777777" w:rsidR="001D5CA3" w:rsidRDefault="001D5CA3" w:rsidP="001D5CA3">
      <w:pPr>
        <w:pStyle w:val="FootnoteText"/>
      </w:pPr>
      <w:r>
        <w:rPr>
          <w:rStyle w:val="FootnoteReference"/>
        </w:rPr>
        <w:footnoteRef/>
      </w:r>
      <w:r>
        <w:t xml:space="preserve"> San Francisco Opening Comments on Second Amended Scoping Memo at 8.</w:t>
      </w:r>
    </w:p>
  </w:footnote>
  <w:footnote w:id="115">
    <w:p w14:paraId="0BDE9BFE"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6">
    <w:p w14:paraId="76131C1D"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7">
    <w:p w14:paraId="562A7141"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8">
    <w:p w14:paraId="3547BA08" w14:textId="77777777" w:rsidR="00B23DBF" w:rsidRDefault="00B23DBF" w:rsidP="00B23DBF">
      <w:pPr>
        <w:pStyle w:val="FootnoteText"/>
      </w:pPr>
      <w:r>
        <w:rPr>
          <w:rStyle w:val="FootnoteReference"/>
        </w:rPr>
        <w:footnoteRef/>
      </w:r>
      <w:r>
        <w:t xml:space="preserve"> Cal Advocates Opening Comments on Second Amended Scoping Memo at 3; CforAT Opening Comments on Second Amended Scoping Memo at 4; Elk Grove Opening Comments on Second Amended Scoping Memo at 3.</w:t>
      </w:r>
    </w:p>
  </w:footnote>
  <w:footnote w:id="119">
    <w:p w14:paraId="1BB8A292" w14:textId="77777777" w:rsidR="00B23DBF" w:rsidRDefault="00B23DBF" w:rsidP="00B23DBF">
      <w:pPr>
        <w:pStyle w:val="FootnoteText"/>
      </w:pPr>
      <w:r>
        <w:rPr>
          <w:rStyle w:val="FootnoteReference"/>
        </w:rPr>
        <w:footnoteRef/>
      </w:r>
      <w:r>
        <w:t xml:space="preserve"> CforAT Opening Comments on Second Amended Scoping Memo at 4.</w:t>
      </w:r>
    </w:p>
  </w:footnote>
  <w:footnote w:id="120">
    <w:p w14:paraId="15417077" w14:textId="77777777" w:rsidR="00B23DBF" w:rsidRDefault="00B23DBF" w:rsidP="00B23DBF">
      <w:pPr>
        <w:pStyle w:val="FootnoteText"/>
      </w:pPr>
      <w:r>
        <w:rPr>
          <w:rStyle w:val="FootnoteReference"/>
        </w:rPr>
        <w:footnoteRef/>
      </w:r>
      <w:r>
        <w:t xml:space="preserve"> Elk Grove Opening Comments on Second Amended Scoping Memo at 7 to 8.</w:t>
      </w:r>
    </w:p>
  </w:footnote>
  <w:footnote w:id="121">
    <w:p w14:paraId="0A844C44" w14:textId="77777777" w:rsidR="00B23DBF" w:rsidRDefault="00B23DBF" w:rsidP="00B23DBF">
      <w:pPr>
        <w:pStyle w:val="FootnoteText"/>
      </w:pPr>
      <w:r>
        <w:rPr>
          <w:rStyle w:val="FootnoteReference"/>
        </w:rPr>
        <w:footnoteRef/>
      </w:r>
      <w:r>
        <w:t xml:space="preserve"> San Francisco Opening Comments on Second Amended Scoping Memo at 7; Elk Grove Opening Comments on Second Amended Scoping Memo at 7 to 8.</w:t>
      </w:r>
    </w:p>
  </w:footnote>
  <w:footnote w:id="122">
    <w:p w14:paraId="106E87AD" w14:textId="77777777" w:rsidR="00B23DBF" w:rsidRDefault="00B23DBF" w:rsidP="00B23DBF">
      <w:pPr>
        <w:pStyle w:val="FootnoteText"/>
      </w:pPr>
      <w:r>
        <w:rPr>
          <w:rStyle w:val="FootnoteReference"/>
        </w:rPr>
        <w:footnoteRef/>
      </w:r>
      <w:r>
        <w:t xml:space="preserve"> Elk Grove Opening Comments on Second Amended Scoping Memo at 8; Southwest Gas Opening Comments on Second Amended Scoping Memo at pdf page 8.</w:t>
      </w:r>
    </w:p>
  </w:footnote>
  <w:footnote w:id="123">
    <w:p w14:paraId="7B57A972" w14:textId="77777777" w:rsidR="00B23DBF" w:rsidRDefault="00B23DBF" w:rsidP="00B23DBF">
      <w:pPr>
        <w:pStyle w:val="FootnoteText"/>
      </w:pPr>
      <w:r>
        <w:rPr>
          <w:rStyle w:val="FootnoteReference"/>
        </w:rPr>
        <w:footnoteRef/>
      </w:r>
      <w:r>
        <w:t xml:space="preserve"> Elk Grove Opening Comments on Second Amended Scoping Memo at 7 to 8.</w:t>
      </w:r>
    </w:p>
  </w:footnote>
  <w:footnote w:id="124">
    <w:p w14:paraId="6D0C840E"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5">
    <w:p w14:paraId="143300DA"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6">
    <w:p w14:paraId="03B4771A"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7">
    <w:p w14:paraId="3D49D3FF" w14:textId="77777777" w:rsidR="00B23DBF" w:rsidRDefault="00B23DBF" w:rsidP="00B23DBF">
      <w:pPr>
        <w:pStyle w:val="FootnoteText"/>
      </w:pPr>
      <w:r>
        <w:rPr>
          <w:rStyle w:val="FootnoteReference"/>
        </w:rPr>
        <w:footnoteRef/>
      </w:r>
      <w:r>
        <w:t xml:space="preserve"> CforAT Opening Comments on Second Amended Scoping Memo at 4 to 5.</w:t>
      </w:r>
    </w:p>
  </w:footnote>
  <w:footnote w:id="128">
    <w:p w14:paraId="5456B647" w14:textId="77777777" w:rsidR="00B23DBF" w:rsidRDefault="00B23DBF" w:rsidP="00B23DBF">
      <w:pPr>
        <w:pStyle w:val="FootnoteText"/>
      </w:pPr>
      <w:r>
        <w:rPr>
          <w:rStyle w:val="FootnoteReference"/>
        </w:rPr>
        <w:footnoteRef/>
      </w:r>
      <w:r>
        <w:t xml:space="preserve"> Elk Grove Opening Comments on Second Amended Scoping Memo at 8.</w:t>
      </w:r>
    </w:p>
  </w:footnote>
  <w:footnote w:id="129">
    <w:p w14:paraId="1D9B9710" w14:textId="77777777" w:rsidR="00B23DBF" w:rsidRDefault="00B23DBF" w:rsidP="00B23DBF">
      <w:pPr>
        <w:pStyle w:val="FootnoteText"/>
      </w:pPr>
      <w:r>
        <w:rPr>
          <w:rStyle w:val="FootnoteReference"/>
        </w:rPr>
        <w:footnoteRef/>
      </w:r>
      <w:r>
        <w:t xml:space="preserve"> Cal Advocates Opening Comments on Second Amended Scoping Memo at 3; Elk Grove Opening Comments on Second Amended Scoping Memo at 3.</w:t>
      </w:r>
    </w:p>
  </w:footnote>
  <w:footnote w:id="130">
    <w:p w14:paraId="74FF0F69" w14:textId="77777777" w:rsidR="00B23DBF" w:rsidRDefault="00B23DBF" w:rsidP="00B23DBF">
      <w:pPr>
        <w:pStyle w:val="FootnoteText"/>
      </w:pPr>
      <w:r>
        <w:rPr>
          <w:rStyle w:val="FootnoteReference"/>
        </w:rPr>
        <w:footnoteRef/>
      </w:r>
      <w:r>
        <w:t xml:space="preserve"> Elk Grove Opening Comments on Second Amended Scoping Memo at 3.</w:t>
      </w:r>
    </w:p>
  </w:footnote>
  <w:footnote w:id="131">
    <w:p w14:paraId="77FF1DBC" w14:textId="77777777" w:rsidR="00B23DBF" w:rsidRDefault="00B23DBF" w:rsidP="00B23DBF">
      <w:pPr>
        <w:pStyle w:val="FootnoteText"/>
      </w:pPr>
      <w:r>
        <w:rPr>
          <w:rStyle w:val="FootnoteReference"/>
        </w:rPr>
        <w:footnoteRef/>
      </w:r>
      <w:r>
        <w:t xml:space="preserve"> Elk Grove Opening Comments on Second Amended Scoping Memo at 9.</w:t>
      </w:r>
    </w:p>
  </w:footnote>
  <w:footnote w:id="132">
    <w:p w14:paraId="3B96ACEA" w14:textId="77777777" w:rsidR="00992CE7" w:rsidRDefault="00992CE7" w:rsidP="00992CE7">
      <w:pPr>
        <w:pStyle w:val="FootnoteText"/>
      </w:pPr>
      <w:r>
        <w:rPr>
          <w:rStyle w:val="FootnoteReference"/>
        </w:rPr>
        <w:footnoteRef/>
      </w:r>
      <w:r>
        <w:t xml:space="preserve"> </w:t>
      </w:r>
      <w:r w:rsidRPr="00511100">
        <w:t>Recognizing</w:t>
      </w:r>
      <w:r>
        <w:t xml:space="preserve"> there will be</w:t>
      </w:r>
      <w:r w:rsidRPr="00511100">
        <w:t xml:space="preserve"> uncertainty in timing because the Commission must approve the pilots</w:t>
      </w:r>
      <w:r>
        <w:t xml:space="preserve"> before implementation</w:t>
      </w:r>
      <w:r w:rsidRPr="00511100">
        <w:t xml:space="preserve">, the timelines could use “Commission approval of pilot” as </w:t>
      </w:r>
      <w:r>
        <w:t>an anchor</w:t>
      </w:r>
      <w:r w:rsidRPr="00511100">
        <w:t xml:space="preserve"> date</w:t>
      </w:r>
      <w:r>
        <w:t>.</w:t>
      </w:r>
    </w:p>
  </w:footnote>
  <w:footnote w:id="133">
    <w:p w14:paraId="1DA37AA2" w14:textId="77777777" w:rsidR="007346ED" w:rsidRDefault="007346ED" w:rsidP="007346ED">
      <w:pPr>
        <w:pStyle w:val="FootnoteText"/>
      </w:pPr>
      <w:r>
        <w:rPr>
          <w:rStyle w:val="FootnoteReference"/>
        </w:rPr>
        <w:footnoteRef/>
      </w:r>
      <w:r>
        <w:t xml:space="preserve"> Southwest Gas Opening Comments on Second Amended Scoping Memo at pdf page 6.</w:t>
      </w:r>
    </w:p>
  </w:footnote>
  <w:footnote w:id="134">
    <w:p w14:paraId="23A46069" w14:textId="77777777" w:rsidR="007346ED" w:rsidRDefault="007346ED" w:rsidP="007346ED">
      <w:pPr>
        <w:pStyle w:val="FootnoteText"/>
      </w:pPr>
      <w:r>
        <w:rPr>
          <w:rStyle w:val="FootnoteReference"/>
        </w:rPr>
        <w:footnoteRef/>
      </w:r>
      <w:r>
        <w:t xml:space="preserve"> Cal Advocates Opening Comments on Second Amended Scoping Memo at 12 to 13.</w:t>
      </w:r>
    </w:p>
  </w:footnote>
  <w:footnote w:id="135">
    <w:p w14:paraId="74136186" w14:textId="77777777" w:rsidR="007346ED" w:rsidRDefault="007346ED" w:rsidP="007346ED">
      <w:pPr>
        <w:pStyle w:val="FootnoteText"/>
      </w:pPr>
      <w:r>
        <w:rPr>
          <w:rStyle w:val="FootnoteReference"/>
        </w:rPr>
        <w:footnoteRef/>
      </w:r>
      <w:r>
        <w:t xml:space="preserve"> CCR REN Opening Comments on Second Amended Scoping Memo at 4.</w:t>
      </w:r>
    </w:p>
  </w:footnote>
  <w:footnote w:id="136">
    <w:p w14:paraId="03D33A43" w14:textId="77777777" w:rsidR="003824BC" w:rsidRDefault="003824BC" w:rsidP="003824BC">
      <w:pPr>
        <w:pStyle w:val="FootnoteText"/>
      </w:pPr>
      <w:r>
        <w:rPr>
          <w:rStyle w:val="FootnoteReference"/>
        </w:rPr>
        <w:footnoteRef/>
      </w:r>
      <w:r>
        <w:t xml:space="preserve"> CforAT Opening Comments on Second Amended Scoping Memo at 2 to 4.</w:t>
      </w:r>
    </w:p>
  </w:footnote>
  <w:footnote w:id="137">
    <w:p w14:paraId="596EC9BF" w14:textId="77777777" w:rsidR="003824BC" w:rsidRDefault="003824BC" w:rsidP="003824BC">
      <w:pPr>
        <w:pStyle w:val="FootnoteText"/>
      </w:pPr>
      <w:r>
        <w:rPr>
          <w:rStyle w:val="FootnoteReference"/>
        </w:rPr>
        <w:footnoteRef/>
      </w:r>
      <w:r>
        <w:t xml:space="preserve"> CforAT Opening Comments on Second Amended Scoping Memo at 2.</w:t>
      </w:r>
    </w:p>
  </w:footnote>
  <w:footnote w:id="138">
    <w:p w14:paraId="0A3E8114" w14:textId="77777777" w:rsidR="003824BC" w:rsidRDefault="003824BC" w:rsidP="003824BC">
      <w:pPr>
        <w:pStyle w:val="FootnoteText"/>
      </w:pPr>
      <w:r>
        <w:rPr>
          <w:rStyle w:val="FootnoteReference"/>
        </w:rPr>
        <w:footnoteRef/>
      </w:r>
      <w:r>
        <w:t xml:space="preserve"> CCR REN Opening Comments on Second Amended Scoping Memo at 4; San Francisco Opening Comments on Second Amended Scoping Memo at 7.</w:t>
      </w:r>
    </w:p>
  </w:footnote>
  <w:footnote w:id="139">
    <w:p w14:paraId="1AEA83D5" w14:textId="77777777" w:rsidR="003824BC" w:rsidRDefault="003824BC" w:rsidP="003824BC">
      <w:pPr>
        <w:pStyle w:val="FootnoteText"/>
      </w:pPr>
      <w:r>
        <w:rPr>
          <w:rStyle w:val="FootnoteReference"/>
        </w:rPr>
        <w:footnoteRef/>
      </w:r>
      <w:r>
        <w:t xml:space="preserve"> CCR REN Opening Comments on Second Amended Scoping Memo at 4; CforAT Opening Comments on Second Amended Scoping Memo at 2.</w:t>
      </w:r>
    </w:p>
  </w:footnote>
  <w:footnote w:id="140">
    <w:p w14:paraId="280978D4" w14:textId="1A66C17A" w:rsidR="00C310FF" w:rsidRDefault="00C310FF">
      <w:pPr>
        <w:pStyle w:val="FootnoteText"/>
      </w:pPr>
      <w:r>
        <w:rPr>
          <w:rStyle w:val="FootnoteReference"/>
        </w:rPr>
        <w:footnoteRef/>
      </w:r>
      <w:r>
        <w:t xml:space="preserve"> To be clear, the applications may request reasonableness review of costs incurred by </w:t>
      </w:r>
      <w:r w:rsidR="00637BA6">
        <w:t xml:space="preserve">the gas corporation and any </w:t>
      </w:r>
      <w:r w:rsidR="00FA77F7">
        <w:t>Commission-regulated entity</w:t>
      </w:r>
      <w:r w:rsidR="00DC3F3C">
        <w:t xml:space="preserve"> that worked with the gas corporation to develop</w:t>
      </w:r>
      <w:r w:rsidR="000C0F31">
        <w:t xml:space="preserve"> and/or conduct outreach for the project proposals.</w:t>
      </w:r>
    </w:p>
  </w:footnote>
  <w:footnote w:id="141">
    <w:p w14:paraId="37859903" w14:textId="48F9F8D8" w:rsidR="005E6F20" w:rsidRDefault="005E6F20">
      <w:pPr>
        <w:pStyle w:val="FootnoteText"/>
      </w:pPr>
      <w:r>
        <w:rPr>
          <w:rStyle w:val="FootnoteReference"/>
        </w:rPr>
        <w:footnoteRef/>
      </w:r>
      <w:r>
        <w:t xml:space="preserve"> Sierra Club and NRDC Opening Comments on Second Amended Scoping Memo at 23</w:t>
      </w:r>
      <w:r w:rsidR="00366809">
        <w:t xml:space="preserve">, </w:t>
      </w:r>
      <w:r>
        <w:t>TURN Opening Comments on Second Amended Scoping Memo at 17.</w:t>
      </w:r>
    </w:p>
  </w:footnote>
  <w:footnote w:id="142">
    <w:p w14:paraId="36986410" w14:textId="77777777" w:rsidR="00441935" w:rsidRDefault="00441935" w:rsidP="00441935">
      <w:pPr>
        <w:pStyle w:val="FootnoteText"/>
      </w:pPr>
      <w:r>
        <w:rPr>
          <w:rStyle w:val="FootnoteReference"/>
        </w:rPr>
        <w:footnoteRef/>
      </w:r>
      <w:r>
        <w:t xml:space="preserve"> </w:t>
      </w:r>
      <w:r w:rsidRPr="009C4701">
        <w:rPr>
          <w:i/>
        </w:rPr>
        <w:t>See</w:t>
      </w:r>
      <w:r>
        <w:t xml:space="preserve"> D.12-05-015 (Energy Efficiency), D.10-12-024 (Demand Response), and D.16-06-007 (Distributed Energy Resources). This topic is further addressed in the “Application of Discount Rates” workshop materials presented by Commission staff and Synapse in 2025.</w:t>
      </w:r>
    </w:p>
  </w:footnote>
  <w:footnote w:id="143">
    <w:p w14:paraId="1F9D71DC" w14:textId="30A1EA14" w:rsidR="00F91E59" w:rsidRDefault="00F91E59">
      <w:pPr>
        <w:pStyle w:val="FootnoteText"/>
      </w:pPr>
      <w:r>
        <w:rPr>
          <w:rStyle w:val="FootnoteReference"/>
        </w:rPr>
        <w:footnoteRef/>
      </w:r>
      <w:r>
        <w:t xml:space="preserve"> In each of these scenarios, the applicant should only </w:t>
      </w:r>
      <w:r w:rsidR="002E4FC8">
        <w:t xml:space="preserve">include the </w:t>
      </w:r>
      <w:r w:rsidR="003F5B93">
        <w:t>administrative and outreach costs attributable to the specific pilot project</w:t>
      </w:r>
      <w:r w:rsidR="00807723">
        <w:t xml:space="preserve">, using the methodology developed and described pursuant to Section </w:t>
      </w:r>
      <w:r w:rsidR="00BD54CF">
        <w:fldChar w:fldCharType="begin"/>
      </w:r>
      <w:r w:rsidR="00BD54CF">
        <w:instrText xml:space="preserve"> REF _Ref230873711 \r \h </w:instrText>
      </w:r>
      <w:r w:rsidR="00BD54CF">
        <w:fldChar w:fldCharType="separate"/>
      </w:r>
      <w:r w:rsidR="00BD54CF">
        <w:t>8.3</w:t>
      </w:r>
      <w:r w:rsidR="00BD54CF">
        <w:fldChar w:fldCharType="end"/>
      </w:r>
      <w:r w:rsidR="00BD54CF">
        <w:t>.</w:t>
      </w:r>
    </w:p>
  </w:footnote>
  <w:footnote w:id="144">
    <w:p w14:paraId="2EADECAB" w14:textId="5C1BD928" w:rsidR="00F2568C" w:rsidRDefault="00F2568C">
      <w:pPr>
        <w:pStyle w:val="FootnoteText"/>
      </w:pPr>
      <w:r>
        <w:rPr>
          <w:rStyle w:val="FootnoteReference"/>
        </w:rPr>
        <w:footnoteRef/>
      </w:r>
      <w:r>
        <w:t xml:space="preserve"> </w:t>
      </w:r>
      <w:r w:rsidR="008465FD">
        <w:t xml:space="preserve">The following example illustrates the intended approach: </w:t>
      </w:r>
      <w:r w:rsidR="00733505">
        <w:t xml:space="preserve">consider a project with total costs of </w:t>
      </w:r>
      <w:r w:rsidR="008465FD">
        <w:t>$1</w:t>
      </w:r>
      <w:r w:rsidR="00916E2E">
        <w:t>2</w:t>
      </w:r>
      <w:r w:rsidR="0005639F">
        <w:t>0</w:t>
      </w:r>
      <w:r w:rsidR="00733505">
        <w:t xml:space="preserve"> and </w:t>
      </w:r>
      <w:r w:rsidR="00916E2E">
        <w:t xml:space="preserve">benefits </w:t>
      </w:r>
      <w:r w:rsidR="00733505">
        <w:t xml:space="preserve">of </w:t>
      </w:r>
      <w:r w:rsidR="002F6529">
        <w:t>$</w:t>
      </w:r>
      <w:r w:rsidR="00916E2E">
        <w:t>100</w:t>
      </w:r>
      <w:r w:rsidR="00174E2A">
        <w:t>.</w:t>
      </w:r>
      <w:r w:rsidR="001872D0">
        <w:t xml:space="preserve"> </w:t>
      </w:r>
      <w:r w:rsidR="004B3AEB">
        <w:t>I</w:t>
      </w:r>
      <w:r w:rsidR="001872D0">
        <w:t>f the utility were able to secure $</w:t>
      </w:r>
      <w:r w:rsidR="0005639F">
        <w:t xml:space="preserve">40 of funding from non-ratepayer sources, the final determination of cost effectiveness would be $100 / ($120 - $40), or </w:t>
      </w:r>
      <w:r w:rsidR="00637D66">
        <w:t>1.25.</w:t>
      </w:r>
    </w:p>
  </w:footnote>
  <w:footnote w:id="145">
    <w:p w14:paraId="7550448C" w14:textId="2CFDBCE7" w:rsidR="006B4BB5" w:rsidRDefault="006B4BB5">
      <w:pPr>
        <w:pStyle w:val="FootnoteText"/>
      </w:pPr>
      <w:r>
        <w:rPr>
          <w:rStyle w:val="FootnoteReference"/>
        </w:rPr>
        <w:footnoteRef/>
      </w:r>
      <w:r>
        <w:t xml:space="preserve"> PG&amp;E Opening Comments on SB 1221 Ruling at 7, </w:t>
      </w:r>
      <w:r w:rsidR="00B90BBF">
        <w:t>SCE</w:t>
      </w:r>
      <w:r>
        <w:t xml:space="preserve"> Opening Comments on SB 1221 Ruling at 4, </w:t>
      </w:r>
      <w:r w:rsidR="00B90BBF">
        <w:t>Sempra Utilities</w:t>
      </w:r>
      <w:r>
        <w:t xml:space="preserve"> Opening Comments on SB 1221 Ruling at 5, </w:t>
      </w:r>
      <w:r w:rsidR="00B90BBF">
        <w:t xml:space="preserve">Sierra Club and NRDC Opening Comments on SB 1221 Ruling at </w:t>
      </w:r>
      <w:r w:rsidR="00882F84">
        <w:t>5</w:t>
      </w:r>
      <w:r w:rsidR="00B90BBF">
        <w:t xml:space="preserve">, </w:t>
      </w:r>
      <w:r w:rsidR="00882F84">
        <w:t>Southwest Gas</w:t>
      </w:r>
      <w:r w:rsidR="00B90BBF">
        <w:t xml:space="preserve"> Opening Comments on SB 1221 Ruling</w:t>
      </w:r>
      <w:r w:rsidR="00882F84">
        <w:t>, Attachment A</w:t>
      </w:r>
      <w:r w:rsidR="00B90BBF">
        <w:t xml:space="preserve"> at </w:t>
      </w:r>
      <w:r w:rsidR="00882F84">
        <w:t>5</w:t>
      </w:r>
      <w:r w:rsidR="00B90BBF">
        <w:t>.</w:t>
      </w:r>
    </w:p>
  </w:footnote>
  <w:footnote w:id="146">
    <w:p w14:paraId="27286139" w14:textId="26E61C16" w:rsidR="006F0E7A" w:rsidRDefault="006F0E7A">
      <w:pPr>
        <w:pStyle w:val="FootnoteText"/>
      </w:pPr>
      <w:r>
        <w:rPr>
          <w:rStyle w:val="FootnoteReference"/>
        </w:rPr>
        <w:footnoteRef/>
      </w:r>
      <w:r>
        <w:t xml:space="preserve"> CUE Opening Comments on SB 1221 Ruling at 6, Indicated Shippers Opening Comments on SB 1221 Ruling at 11, SBUA Opening Comments on SB 1221 Ruling at 4, TURN Opening Comments on SB 1221 Ruling at 5.</w:t>
      </w:r>
    </w:p>
  </w:footnote>
  <w:footnote w:id="147">
    <w:p w14:paraId="68BCD7F5" w14:textId="1747A7C7" w:rsidR="00302F02" w:rsidRDefault="00302F02">
      <w:pPr>
        <w:pStyle w:val="FootnoteText"/>
      </w:pPr>
      <w:r>
        <w:rPr>
          <w:rStyle w:val="FootnoteReference"/>
        </w:rPr>
        <w:footnoteRef/>
      </w:r>
      <w:r>
        <w:t xml:space="preserve"> TURN Opening Comments on SB 1221 Ruling at 4.</w:t>
      </w:r>
    </w:p>
  </w:footnote>
  <w:footnote w:id="148">
    <w:p w14:paraId="3764856A" w14:textId="4CD55331" w:rsidR="00CE7300" w:rsidRDefault="00CE7300">
      <w:pPr>
        <w:pStyle w:val="FootnoteText"/>
      </w:pPr>
      <w:r>
        <w:rPr>
          <w:rStyle w:val="FootnoteReference"/>
        </w:rPr>
        <w:footnoteRef/>
      </w:r>
      <w:r>
        <w:t xml:space="preserve"> SCE Opening Comments on SB 1221 Ruling at 4,</w:t>
      </w:r>
      <w:r w:rsidRPr="00CE7300">
        <w:t xml:space="preserve"> </w:t>
      </w:r>
      <w:r>
        <w:t>PG&amp;E Opening Comments on SB 1221 Ruling at 10,</w:t>
      </w:r>
      <w:r w:rsidRPr="00CE7300">
        <w:t xml:space="preserve"> </w:t>
      </w:r>
      <w:r>
        <w:t>Sempra Utilities Opening Comments on SB 1221 Ruling at 5,</w:t>
      </w:r>
      <w:r w:rsidRPr="00CE7300">
        <w:t xml:space="preserve"> </w:t>
      </w:r>
      <w:r>
        <w:t xml:space="preserve">Sierra Club and NRDC Opening Comments on SB 1221 Ruling at </w:t>
      </w:r>
      <w:r w:rsidR="002D372E">
        <w:t>5</w:t>
      </w:r>
      <w:r>
        <w:t>,</w:t>
      </w:r>
      <w:r w:rsidR="00033349">
        <w:t xml:space="preserve"> Southwest Gas Opening Comments on SB 1221 Ruling, Attachment A at 6.</w:t>
      </w:r>
    </w:p>
  </w:footnote>
  <w:footnote w:id="149">
    <w:p w14:paraId="3B73F3D6" w14:textId="77777777" w:rsidR="009C1537" w:rsidRPr="00747AB2" w:rsidRDefault="009C1537" w:rsidP="009C1537">
      <w:pPr>
        <w:pStyle w:val="FootnoteText"/>
        <w:rPr>
          <w:lang w:val="en-ZW"/>
        </w:rPr>
      </w:pPr>
      <w:r>
        <w:rPr>
          <w:rStyle w:val="FootnoteReference"/>
        </w:rPr>
        <w:footnoteRef/>
      </w:r>
      <w:r>
        <w:t xml:space="preserve"> </w:t>
      </w:r>
      <w:r>
        <w:rPr>
          <w:lang w:val="en-ZW"/>
        </w:rPr>
        <w:t>D.25-12-034 at 50.</w:t>
      </w:r>
    </w:p>
  </w:footnote>
  <w:footnote w:id="150">
    <w:p w14:paraId="6A5E3799" w14:textId="77777777" w:rsidR="009C1537" w:rsidRPr="00BE3443" w:rsidRDefault="009C1537" w:rsidP="009C1537">
      <w:pPr>
        <w:pStyle w:val="FootnoteText"/>
        <w:rPr>
          <w:lang w:val="en-ZW"/>
        </w:rPr>
      </w:pPr>
      <w:r>
        <w:rPr>
          <w:rStyle w:val="FootnoteReference"/>
        </w:rPr>
        <w:footnoteRef/>
      </w:r>
      <w:r>
        <w:t xml:space="preserve"> </w:t>
      </w:r>
      <w:r>
        <w:rPr>
          <w:lang w:val="en-ZW"/>
        </w:rPr>
        <w:t>PG&amp;E Motion to Amend SB 1221 Memorandum Account, Joint Motion to Amend SB 1221 Memorandum Account.</w:t>
      </w:r>
    </w:p>
  </w:footnote>
  <w:footnote w:id="151">
    <w:p w14:paraId="47FC4305" w14:textId="77777777" w:rsidR="003447C2" w:rsidRPr="006A1F93" w:rsidRDefault="003447C2" w:rsidP="003447C2">
      <w:pPr>
        <w:pStyle w:val="FootnoteText"/>
        <w:rPr>
          <w:lang w:val="en-ZW"/>
        </w:rPr>
      </w:pPr>
      <w:r>
        <w:rPr>
          <w:rStyle w:val="FootnoteReference"/>
        </w:rPr>
        <w:footnoteRef/>
      </w:r>
      <w:r>
        <w:t xml:space="preserve"> </w:t>
      </w:r>
      <w:r>
        <w:rPr>
          <w:lang w:val="en-ZW"/>
        </w:rPr>
        <w:t xml:space="preserve">Indicated Shippers Response to Joint Motion to Amend SB 1221 Memorandum Account at 3. </w:t>
      </w:r>
    </w:p>
  </w:footnote>
  <w:footnote w:id="152">
    <w:p w14:paraId="33A3EC76" w14:textId="77777777" w:rsidR="003447C2" w:rsidRPr="00856479" w:rsidRDefault="003447C2" w:rsidP="003447C2">
      <w:pPr>
        <w:pStyle w:val="FootnoteText"/>
        <w:rPr>
          <w:lang w:val="en-ZW"/>
        </w:rPr>
      </w:pPr>
      <w:r>
        <w:rPr>
          <w:rStyle w:val="FootnoteReference"/>
        </w:rPr>
        <w:footnoteRef/>
      </w:r>
      <w:r>
        <w:t xml:space="preserve"> </w:t>
      </w:r>
      <w:r>
        <w:rPr>
          <w:lang w:val="en-ZW"/>
        </w:rPr>
        <w:t xml:space="preserve">Indicated Shippers Response to Joint Motion to Amend SB 1221 Memorandum Account at 2. </w:t>
      </w:r>
    </w:p>
  </w:footnote>
  <w:footnote w:id="153">
    <w:p w14:paraId="719E487E" w14:textId="77777777" w:rsidR="006E539D" w:rsidRDefault="006E539D" w:rsidP="006E539D">
      <w:pPr>
        <w:pStyle w:val="FootnoteText"/>
      </w:pPr>
      <w:r>
        <w:rPr>
          <w:rStyle w:val="FootnoteReference"/>
        </w:rPr>
        <w:footnoteRef/>
      </w:r>
      <w:r>
        <w:t xml:space="preserve"> SBUA Opening Comments on Second Amended Scoping Memo at 2.</w:t>
      </w:r>
    </w:p>
  </w:footnote>
  <w:footnote w:id="154">
    <w:p w14:paraId="60500C39" w14:textId="77777777" w:rsidR="006E539D" w:rsidRDefault="006E539D" w:rsidP="006E539D">
      <w:pPr>
        <w:pStyle w:val="FootnoteText"/>
      </w:pPr>
      <w:r>
        <w:rPr>
          <w:rStyle w:val="FootnoteReference"/>
        </w:rPr>
        <w:footnoteRef/>
      </w:r>
      <w:r>
        <w:t xml:space="preserve"> Southwest Gas Opening Comments on Second Amended Scoping Memo at pdf pages 5 to 6.</w:t>
      </w:r>
    </w:p>
  </w:footnote>
  <w:footnote w:id="155">
    <w:p w14:paraId="0C9844D2" w14:textId="77777777" w:rsidR="00F80945" w:rsidRDefault="00F80945" w:rsidP="00F80945">
      <w:pPr>
        <w:pStyle w:val="FootnoteText"/>
      </w:pPr>
      <w:r>
        <w:rPr>
          <w:rStyle w:val="FootnoteReference"/>
        </w:rPr>
        <w:footnoteRef/>
      </w:r>
      <w:r>
        <w:t xml:space="preserve"> Other partners may include, but are not limited to, community-based organizations, non-profit organizations, local governments,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D91E" w14:textId="70F928B3" w:rsidR="00E23CBB" w:rsidRDefault="003E3D7D" w:rsidP="00EE4315">
    <w:pPr>
      <w:pStyle w:val="Header"/>
      <w:tabs>
        <w:tab w:val="clear" w:pos="4680"/>
      </w:tabs>
      <w:ind w:firstLine="0"/>
      <w:rPr>
        <w:b/>
      </w:rPr>
    </w:pPr>
    <w:r>
      <w:t>R.24-09-012  COM/KDL/sgu</w:t>
    </w:r>
    <w:r w:rsidR="00E23CBB">
      <w:tab/>
    </w:r>
    <w:r w:rsidR="00E23CBB">
      <w:rPr>
        <w:b/>
      </w:rPr>
      <w:t>PROPOSED DECISION</w:t>
    </w:r>
    <w:r w:rsidR="00B82579">
      <w:rPr>
        <w:b/>
      </w:rPr>
      <w:t xml:space="preserve"> (Rev. 1)</w:t>
    </w:r>
  </w:p>
  <w:p w14:paraId="35FF4B4E" w14:textId="77777777" w:rsidR="003E3D7D" w:rsidRDefault="003E3D7D" w:rsidP="00B3087D">
    <w:pPr>
      <w:pStyle w:val="Header"/>
      <w:tabs>
        <w:tab w:val="clear" w:pos="4680"/>
      </w:tabs>
      <w:ind w:firstLine="0"/>
      <w:rPr>
        <w:i/>
        <w:color w:val="FF0000"/>
      </w:rPr>
    </w:pPr>
  </w:p>
  <w:p w14:paraId="6D502940" w14:textId="77777777" w:rsidR="003E3D7D" w:rsidRPr="00B3087D" w:rsidRDefault="003E3D7D"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513" w14:textId="7D0653FB" w:rsidR="00BB1713" w:rsidRDefault="00BB1713" w:rsidP="00BB1713">
    <w:pPr>
      <w:pStyle w:val="Header"/>
      <w:tabs>
        <w:tab w:val="clear" w:pos="4680"/>
      </w:tabs>
      <w:ind w:firstLine="0"/>
      <w:rPr>
        <w:b/>
      </w:rPr>
    </w:pPr>
    <w:r>
      <w:t>R.24-09-012  COM/KDL/sgu</w:t>
    </w:r>
    <w:r>
      <w:tab/>
    </w:r>
    <w:r>
      <w:rPr>
        <w:b/>
      </w:rPr>
      <w:t>PROPOSED DECISION</w:t>
    </w:r>
    <w:r w:rsidR="00B82579">
      <w:rPr>
        <w:b/>
      </w:rPr>
      <w:t xml:space="preserve"> (Rev. 1)</w:t>
    </w:r>
  </w:p>
  <w:p w14:paraId="22AB991E" w14:textId="54D71275" w:rsidR="00FE2351" w:rsidRPr="00BB1713" w:rsidRDefault="00FE2351" w:rsidP="00BB1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5813" w14:textId="24F4AC44" w:rsidR="00BB1713" w:rsidRDefault="00BB1713" w:rsidP="00BB1713">
    <w:pPr>
      <w:pStyle w:val="Header"/>
      <w:tabs>
        <w:tab w:val="clear" w:pos="4680"/>
      </w:tabs>
      <w:ind w:firstLine="0"/>
      <w:rPr>
        <w:b/>
      </w:rPr>
    </w:pPr>
    <w:r>
      <w:t>R.24-09-012  COM/KDL/sgu</w:t>
    </w:r>
    <w:r>
      <w:tab/>
    </w:r>
    <w:r>
      <w:rPr>
        <w:b/>
      </w:rPr>
      <w:t>PROPOSED DECISION</w:t>
    </w:r>
    <w:r w:rsidR="00B82579">
      <w:rPr>
        <w:b/>
      </w:rPr>
      <w:t xml:space="preserve"> (Rev. 1)</w:t>
    </w:r>
  </w:p>
  <w:p w14:paraId="68AC8909" w14:textId="3E121F5F" w:rsidR="00BB1713" w:rsidRPr="00BB1713" w:rsidRDefault="00BB1713" w:rsidP="00BB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7322"/>
    <w:multiLevelType w:val="hybridMultilevel"/>
    <w:tmpl w:val="551EC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97621"/>
    <w:multiLevelType w:val="multilevel"/>
    <w:tmpl w:val="2FD8F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73527"/>
    <w:multiLevelType w:val="hybridMultilevel"/>
    <w:tmpl w:val="8F5E7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54E09"/>
    <w:multiLevelType w:val="hybridMultilevel"/>
    <w:tmpl w:val="3C027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36DCD"/>
    <w:multiLevelType w:val="hybridMultilevel"/>
    <w:tmpl w:val="0066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C27933"/>
    <w:multiLevelType w:val="hybridMultilevel"/>
    <w:tmpl w:val="ABA4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056CB"/>
    <w:multiLevelType w:val="multilevel"/>
    <w:tmpl w:val="18F4A5AC"/>
    <w:numStyleLink w:val="FoFCoLOP"/>
  </w:abstractNum>
  <w:abstractNum w:abstractNumId="9" w15:restartNumberingAfterBreak="0">
    <w:nsid w:val="1C830117"/>
    <w:multiLevelType w:val="hybridMultilevel"/>
    <w:tmpl w:val="D9BEFC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B12C66BA">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14752"/>
    <w:multiLevelType w:val="hybridMultilevel"/>
    <w:tmpl w:val="DBBAEC3A"/>
    <w:lvl w:ilvl="0" w:tplc="D3AE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2A0062"/>
    <w:multiLevelType w:val="hybridMultilevel"/>
    <w:tmpl w:val="B52A8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341C8"/>
    <w:multiLevelType w:val="hybridMultilevel"/>
    <w:tmpl w:val="C622B998"/>
    <w:lvl w:ilvl="0" w:tplc="A6A0C19E">
      <w:start w:val="1"/>
      <w:numFmt w:val="bullet"/>
      <w:lvlText w:val=""/>
      <w:lvlJc w:val="left"/>
      <w:pPr>
        <w:ind w:left="1020" w:hanging="360"/>
      </w:pPr>
      <w:rPr>
        <w:rFonts w:ascii="Symbol" w:hAnsi="Symbol"/>
      </w:rPr>
    </w:lvl>
    <w:lvl w:ilvl="1" w:tplc="5CE89DE2">
      <w:start w:val="1"/>
      <w:numFmt w:val="bullet"/>
      <w:lvlText w:val=""/>
      <w:lvlJc w:val="left"/>
      <w:pPr>
        <w:ind w:left="1020" w:hanging="360"/>
      </w:pPr>
      <w:rPr>
        <w:rFonts w:ascii="Symbol" w:hAnsi="Symbol"/>
      </w:rPr>
    </w:lvl>
    <w:lvl w:ilvl="2" w:tplc="6D1E8530">
      <w:start w:val="1"/>
      <w:numFmt w:val="bullet"/>
      <w:lvlText w:val=""/>
      <w:lvlJc w:val="left"/>
      <w:pPr>
        <w:ind w:left="1020" w:hanging="360"/>
      </w:pPr>
      <w:rPr>
        <w:rFonts w:ascii="Symbol" w:hAnsi="Symbol"/>
      </w:rPr>
    </w:lvl>
    <w:lvl w:ilvl="3" w:tplc="EB92CF0A">
      <w:start w:val="1"/>
      <w:numFmt w:val="bullet"/>
      <w:lvlText w:val=""/>
      <w:lvlJc w:val="left"/>
      <w:pPr>
        <w:ind w:left="1020" w:hanging="360"/>
      </w:pPr>
      <w:rPr>
        <w:rFonts w:ascii="Symbol" w:hAnsi="Symbol"/>
      </w:rPr>
    </w:lvl>
    <w:lvl w:ilvl="4" w:tplc="6834F0DA">
      <w:start w:val="1"/>
      <w:numFmt w:val="bullet"/>
      <w:lvlText w:val=""/>
      <w:lvlJc w:val="left"/>
      <w:pPr>
        <w:ind w:left="1020" w:hanging="360"/>
      </w:pPr>
      <w:rPr>
        <w:rFonts w:ascii="Symbol" w:hAnsi="Symbol"/>
      </w:rPr>
    </w:lvl>
    <w:lvl w:ilvl="5" w:tplc="7AE63FA6">
      <w:start w:val="1"/>
      <w:numFmt w:val="bullet"/>
      <w:lvlText w:val=""/>
      <w:lvlJc w:val="left"/>
      <w:pPr>
        <w:ind w:left="1020" w:hanging="360"/>
      </w:pPr>
      <w:rPr>
        <w:rFonts w:ascii="Symbol" w:hAnsi="Symbol"/>
      </w:rPr>
    </w:lvl>
    <w:lvl w:ilvl="6" w:tplc="2AE05F94">
      <w:start w:val="1"/>
      <w:numFmt w:val="bullet"/>
      <w:lvlText w:val=""/>
      <w:lvlJc w:val="left"/>
      <w:pPr>
        <w:ind w:left="1020" w:hanging="360"/>
      </w:pPr>
      <w:rPr>
        <w:rFonts w:ascii="Symbol" w:hAnsi="Symbol"/>
      </w:rPr>
    </w:lvl>
    <w:lvl w:ilvl="7" w:tplc="10F4BAEC">
      <w:start w:val="1"/>
      <w:numFmt w:val="bullet"/>
      <w:lvlText w:val=""/>
      <w:lvlJc w:val="left"/>
      <w:pPr>
        <w:ind w:left="1020" w:hanging="360"/>
      </w:pPr>
      <w:rPr>
        <w:rFonts w:ascii="Symbol" w:hAnsi="Symbol"/>
      </w:rPr>
    </w:lvl>
    <w:lvl w:ilvl="8" w:tplc="97ECA576">
      <w:start w:val="1"/>
      <w:numFmt w:val="bullet"/>
      <w:lvlText w:val=""/>
      <w:lvlJc w:val="left"/>
      <w:pPr>
        <w:ind w:left="1020" w:hanging="360"/>
      </w:pPr>
      <w:rPr>
        <w:rFonts w:ascii="Symbol" w:hAnsi="Symbol"/>
      </w:rPr>
    </w:lvl>
  </w:abstractNum>
  <w:abstractNum w:abstractNumId="14" w15:restartNumberingAfterBreak="0">
    <w:nsid w:val="1D70038F"/>
    <w:multiLevelType w:val="multilevel"/>
    <w:tmpl w:val="3C526EDE"/>
    <w:numStyleLink w:val="Headings"/>
  </w:abstractNum>
  <w:abstractNum w:abstractNumId="15" w15:restartNumberingAfterBreak="0">
    <w:nsid w:val="1D772735"/>
    <w:multiLevelType w:val="hybridMultilevel"/>
    <w:tmpl w:val="8ED04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85394A"/>
    <w:multiLevelType w:val="hybridMultilevel"/>
    <w:tmpl w:val="1248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9354D"/>
    <w:multiLevelType w:val="hybridMultilevel"/>
    <w:tmpl w:val="017C72C0"/>
    <w:lvl w:ilvl="0" w:tplc="A91AC918">
      <w:start w:val="1"/>
      <w:numFmt w:val="bullet"/>
      <w:lvlText w:val=""/>
      <w:lvlJc w:val="left"/>
      <w:pPr>
        <w:ind w:left="1020" w:hanging="360"/>
      </w:pPr>
      <w:rPr>
        <w:rFonts w:ascii="Symbol" w:hAnsi="Symbol"/>
      </w:rPr>
    </w:lvl>
    <w:lvl w:ilvl="1" w:tplc="2CA660D0">
      <w:start w:val="1"/>
      <w:numFmt w:val="bullet"/>
      <w:lvlText w:val=""/>
      <w:lvlJc w:val="left"/>
      <w:pPr>
        <w:ind w:left="1020" w:hanging="360"/>
      </w:pPr>
      <w:rPr>
        <w:rFonts w:ascii="Symbol" w:hAnsi="Symbol"/>
      </w:rPr>
    </w:lvl>
    <w:lvl w:ilvl="2" w:tplc="8744A820">
      <w:start w:val="1"/>
      <w:numFmt w:val="bullet"/>
      <w:lvlText w:val=""/>
      <w:lvlJc w:val="left"/>
      <w:pPr>
        <w:ind w:left="1020" w:hanging="360"/>
      </w:pPr>
      <w:rPr>
        <w:rFonts w:ascii="Symbol" w:hAnsi="Symbol"/>
      </w:rPr>
    </w:lvl>
    <w:lvl w:ilvl="3" w:tplc="4CBE856A">
      <w:start w:val="1"/>
      <w:numFmt w:val="bullet"/>
      <w:lvlText w:val=""/>
      <w:lvlJc w:val="left"/>
      <w:pPr>
        <w:ind w:left="1020" w:hanging="360"/>
      </w:pPr>
      <w:rPr>
        <w:rFonts w:ascii="Symbol" w:hAnsi="Symbol"/>
      </w:rPr>
    </w:lvl>
    <w:lvl w:ilvl="4" w:tplc="A9F46660">
      <w:start w:val="1"/>
      <w:numFmt w:val="bullet"/>
      <w:lvlText w:val=""/>
      <w:lvlJc w:val="left"/>
      <w:pPr>
        <w:ind w:left="1020" w:hanging="360"/>
      </w:pPr>
      <w:rPr>
        <w:rFonts w:ascii="Symbol" w:hAnsi="Symbol"/>
      </w:rPr>
    </w:lvl>
    <w:lvl w:ilvl="5" w:tplc="E9D2C78E">
      <w:start w:val="1"/>
      <w:numFmt w:val="bullet"/>
      <w:lvlText w:val=""/>
      <w:lvlJc w:val="left"/>
      <w:pPr>
        <w:ind w:left="1020" w:hanging="360"/>
      </w:pPr>
      <w:rPr>
        <w:rFonts w:ascii="Symbol" w:hAnsi="Symbol"/>
      </w:rPr>
    </w:lvl>
    <w:lvl w:ilvl="6" w:tplc="161223DC">
      <w:start w:val="1"/>
      <w:numFmt w:val="bullet"/>
      <w:lvlText w:val=""/>
      <w:lvlJc w:val="left"/>
      <w:pPr>
        <w:ind w:left="1020" w:hanging="360"/>
      </w:pPr>
      <w:rPr>
        <w:rFonts w:ascii="Symbol" w:hAnsi="Symbol"/>
      </w:rPr>
    </w:lvl>
    <w:lvl w:ilvl="7" w:tplc="0B8A1AA2">
      <w:start w:val="1"/>
      <w:numFmt w:val="bullet"/>
      <w:lvlText w:val=""/>
      <w:lvlJc w:val="left"/>
      <w:pPr>
        <w:ind w:left="1020" w:hanging="360"/>
      </w:pPr>
      <w:rPr>
        <w:rFonts w:ascii="Symbol" w:hAnsi="Symbol"/>
      </w:rPr>
    </w:lvl>
    <w:lvl w:ilvl="8" w:tplc="FF08996A">
      <w:start w:val="1"/>
      <w:numFmt w:val="bullet"/>
      <w:lvlText w:val=""/>
      <w:lvlJc w:val="left"/>
      <w:pPr>
        <w:ind w:left="1020" w:hanging="360"/>
      </w:pPr>
      <w:rPr>
        <w:rFonts w:ascii="Symbol" w:hAnsi="Symbol"/>
      </w:rPr>
    </w:lvl>
  </w:abstractNum>
  <w:abstractNum w:abstractNumId="18" w15:restartNumberingAfterBreak="0">
    <w:nsid w:val="1E2242C9"/>
    <w:multiLevelType w:val="multilevel"/>
    <w:tmpl w:val="3C526EDE"/>
    <w:numStyleLink w:val="Headings"/>
  </w:abstractNum>
  <w:abstractNum w:abstractNumId="19" w15:restartNumberingAfterBreak="0">
    <w:nsid w:val="21FB58FE"/>
    <w:multiLevelType w:val="multilevel"/>
    <w:tmpl w:val="3C526EDE"/>
    <w:numStyleLink w:val="Headings"/>
  </w:abstractNum>
  <w:abstractNum w:abstractNumId="20" w15:restartNumberingAfterBreak="0">
    <w:nsid w:val="243663A0"/>
    <w:multiLevelType w:val="multilevel"/>
    <w:tmpl w:val="3C526EDE"/>
    <w:numStyleLink w:val="Headings"/>
  </w:abstractNum>
  <w:abstractNum w:abstractNumId="21" w15:restartNumberingAfterBreak="0">
    <w:nsid w:val="24CB394C"/>
    <w:multiLevelType w:val="hybridMultilevel"/>
    <w:tmpl w:val="914A3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EA2990"/>
    <w:multiLevelType w:val="multilevel"/>
    <w:tmpl w:val="65944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124D7"/>
    <w:multiLevelType w:val="multilevel"/>
    <w:tmpl w:val="3C526EDE"/>
    <w:numStyleLink w:val="Headings"/>
  </w:abstractNum>
  <w:abstractNum w:abstractNumId="24" w15:restartNumberingAfterBreak="0">
    <w:nsid w:val="325D5BBF"/>
    <w:multiLevelType w:val="hybridMultilevel"/>
    <w:tmpl w:val="1152B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6" w15:restartNumberingAfterBreak="0">
    <w:nsid w:val="333A6E20"/>
    <w:multiLevelType w:val="multilevel"/>
    <w:tmpl w:val="50BEF14C"/>
    <w:lvl w:ilvl="0">
      <w:start w:val="1"/>
      <w:numFmt w:val="bullet"/>
      <w:lvlText w:val=""/>
      <w:lvlJc w:val="left"/>
      <w:pPr>
        <w:ind w:left="900" w:hanging="36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37B848A8"/>
    <w:multiLevelType w:val="hybridMultilevel"/>
    <w:tmpl w:val="0BEA5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6F113E"/>
    <w:multiLevelType w:val="multilevel"/>
    <w:tmpl w:val="78B2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91EDB"/>
    <w:multiLevelType w:val="hybridMultilevel"/>
    <w:tmpl w:val="E3783784"/>
    <w:lvl w:ilvl="0" w:tplc="492C710A">
      <w:start w:val="1"/>
      <w:numFmt w:val="bullet"/>
      <w:lvlText w:val=""/>
      <w:lvlJc w:val="left"/>
      <w:pPr>
        <w:ind w:left="1020" w:hanging="360"/>
      </w:pPr>
      <w:rPr>
        <w:rFonts w:ascii="Symbol" w:hAnsi="Symbol"/>
      </w:rPr>
    </w:lvl>
    <w:lvl w:ilvl="1" w:tplc="047C559A">
      <w:start w:val="1"/>
      <w:numFmt w:val="bullet"/>
      <w:lvlText w:val=""/>
      <w:lvlJc w:val="left"/>
      <w:pPr>
        <w:ind w:left="1020" w:hanging="360"/>
      </w:pPr>
      <w:rPr>
        <w:rFonts w:ascii="Symbol" w:hAnsi="Symbol"/>
      </w:rPr>
    </w:lvl>
    <w:lvl w:ilvl="2" w:tplc="6EA40914">
      <w:start w:val="1"/>
      <w:numFmt w:val="bullet"/>
      <w:lvlText w:val=""/>
      <w:lvlJc w:val="left"/>
      <w:pPr>
        <w:ind w:left="1020" w:hanging="360"/>
      </w:pPr>
      <w:rPr>
        <w:rFonts w:ascii="Symbol" w:hAnsi="Symbol"/>
      </w:rPr>
    </w:lvl>
    <w:lvl w:ilvl="3" w:tplc="8CC8688C">
      <w:start w:val="1"/>
      <w:numFmt w:val="bullet"/>
      <w:lvlText w:val=""/>
      <w:lvlJc w:val="left"/>
      <w:pPr>
        <w:ind w:left="1020" w:hanging="360"/>
      </w:pPr>
      <w:rPr>
        <w:rFonts w:ascii="Symbol" w:hAnsi="Symbol"/>
      </w:rPr>
    </w:lvl>
    <w:lvl w:ilvl="4" w:tplc="2F342C74">
      <w:start w:val="1"/>
      <w:numFmt w:val="bullet"/>
      <w:lvlText w:val=""/>
      <w:lvlJc w:val="left"/>
      <w:pPr>
        <w:ind w:left="1020" w:hanging="360"/>
      </w:pPr>
      <w:rPr>
        <w:rFonts w:ascii="Symbol" w:hAnsi="Symbol"/>
      </w:rPr>
    </w:lvl>
    <w:lvl w:ilvl="5" w:tplc="C26C6440">
      <w:start w:val="1"/>
      <w:numFmt w:val="bullet"/>
      <w:lvlText w:val=""/>
      <w:lvlJc w:val="left"/>
      <w:pPr>
        <w:ind w:left="1020" w:hanging="360"/>
      </w:pPr>
      <w:rPr>
        <w:rFonts w:ascii="Symbol" w:hAnsi="Symbol"/>
      </w:rPr>
    </w:lvl>
    <w:lvl w:ilvl="6" w:tplc="78C4901E">
      <w:start w:val="1"/>
      <w:numFmt w:val="bullet"/>
      <w:lvlText w:val=""/>
      <w:lvlJc w:val="left"/>
      <w:pPr>
        <w:ind w:left="1020" w:hanging="360"/>
      </w:pPr>
      <w:rPr>
        <w:rFonts w:ascii="Symbol" w:hAnsi="Symbol"/>
      </w:rPr>
    </w:lvl>
    <w:lvl w:ilvl="7" w:tplc="4678C626">
      <w:start w:val="1"/>
      <w:numFmt w:val="bullet"/>
      <w:lvlText w:val=""/>
      <w:lvlJc w:val="left"/>
      <w:pPr>
        <w:ind w:left="1020" w:hanging="360"/>
      </w:pPr>
      <w:rPr>
        <w:rFonts w:ascii="Symbol" w:hAnsi="Symbol"/>
      </w:rPr>
    </w:lvl>
    <w:lvl w:ilvl="8" w:tplc="38429C60">
      <w:start w:val="1"/>
      <w:numFmt w:val="bullet"/>
      <w:lvlText w:val=""/>
      <w:lvlJc w:val="left"/>
      <w:pPr>
        <w:ind w:left="1020" w:hanging="360"/>
      </w:pPr>
      <w:rPr>
        <w:rFonts w:ascii="Symbol" w:hAnsi="Symbol"/>
      </w:rPr>
    </w:lvl>
  </w:abstractNum>
  <w:abstractNum w:abstractNumId="30" w15:restartNumberingAfterBreak="0">
    <w:nsid w:val="3B2C54C3"/>
    <w:multiLevelType w:val="hybridMultilevel"/>
    <w:tmpl w:val="F4BA1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D9353B"/>
    <w:multiLevelType w:val="hybridMultilevel"/>
    <w:tmpl w:val="65CCA79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47ACB"/>
    <w:multiLevelType w:val="hybridMultilevel"/>
    <w:tmpl w:val="FECA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6772C"/>
    <w:multiLevelType w:val="multilevel"/>
    <w:tmpl w:val="DC0A25D4"/>
    <w:lvl w:ilvl="0">
      <w:start w:val="1"/>
      <w:numFmt w:val="bullet"/>
      <w:lvlText w:val=""/>
      <w:lvlJc w:val="left"/>
      <w:pPr>
        <w:ind w:left="90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4" w15:restartNumberingAfterBreak="0">
    <w:nsid w:val="464049FF"/>
    <w:multiLevelType w:val="hybridMultilevel"/>
    <w:tmpl w:val="205CEC66"/>
    <w:lvl w:ilvl="0" w:tplc="D3AE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105CB2"/>
    <w:multiLevelType w:val="hybridMultilevel"/>
    <w:tmpl w:val="C5D2A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485A48"/>
    <w:multiLevelType w:val="multilevel"/>
    <w:tmpl w:val="ADD42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C662A68"/>
    <w:multiLevelType w:val="hybridMultilevel"/>
    <w:tmpl w:val="01BE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4106F5"/>
    <w:multiLevelType w:val="multilevel"/>
    <w:tmpl w:val="50BEF14C"/>
    <w:lvl w:ilvl="0">
      <w:start w:val="1"/>
      <w:numFmt w:val="bullet"/>
      <w:lvlText w:val=""/>
      <w:lvlJc w:val="left"/>
      <w:pPr>
        <w:ind w:left="900" w:hanging="36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9" w15:restartNumberingAfterBreak="0">
    <w:nsid w:val="4F246B17"/>
    <w:multiLevelType w:val="hybridMultilevel"/>
    <w:tmpl w:val="1FF4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E64E15"/>
    <w:multiLevelType w:val="multilevel"/>
    <w:tmpl w:val="EC8C69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639146A"/>
    <w:multiLevelType w:val="hybridMultilevel"/>
    <w:tmpl w:val="7EC6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76C7C"/>
    <w:multiLevelType w:val="hybridMultilevel"/>
    <w:tmpl w:val="51B64DE2"/>
    <w:lvl w:ilvl="0" w:tplc="576C3962">
      <w:start w:val="1"/>
      <w:numFmt w:val="bullet"/>
      <w:lvlText w:val=""/>
      <w:lvlJc w:val="left"/>
      <w:pPr>
        <w:ind w:left="1020" w:hanging="360"/>
      </w:pPr>
      <w:rPr>
        <w:rFonts w:ascii="Symbol" w:hAnsi="Symbol"/>
      </w:rPr>
    </w:lvl>
    <w:lvl w:ilvl="1" w:tplc="ADCE37FE">
      <w:start w:val="1"/>
      <w:numFmt w:val="bullet"/>
      <w:lvlText w:val=""/>
      <w:lvlJc w:val="left"/>
      <w:pPr>
        <w:ind w:left="1020" w:hanging="360"/>
      </w:pPr>
      <w:rPr>
        <w:rFonts w:ascii="Symbol" w:hAnsi="Symbol"/>
      </w:rPr>
    </w:lvl>
    <w:lvl w:ilvl="2" w:tplc="68C24B70">
      <w:start w:val="1"/>
      <w:numFmt w:val="bullet"/>
      <w:lvlText w:val=""/>
      <w:lvlJc w:val="left"/>
      <w:pPr>
        <w:ind w:left="1020" w:hanging="360"/>
      </w:pPr>
      <w:rPr>
        <w:rFonts w:ascii="Symbol" w:hAnsi="Symbol"/>
      </w:rPr>
    </w:lvl>
    <w:lvl w:ilvl="3" w:tplc="847868C0">
      <w:start w:val="1"/>
      <w:numFmt w:val="bullet"/>
      <w:lvlText w:val=""/>
      <w:lvlJc w:val="left"/>
      <w:pPr>
        <w:ind w:left="1020" w:hanging="360"/>
      </w:pPr>
      <w:rPr>
        <w:rFonts w:ascii="Symbol" w:hAnsi="Symbol"/>
      </w:rPr>
    </w:lvl>
    <w:lvl w:ilvl="4" w:tplc="1C0EADE2">
      <w:start w:val="1"/>
      <w:numFmt w:val="bullet"/>
      <w:lvlText w:val=""/>
      <w:lvlJc w:val="left"/>
      <w:pPr>
        <w:ind w:left="1020" w:hanging="360"/>
      </w:pPr>
      <w:rPr>
        <w:rFonts w:ascii="Symbol" w:hAnsi="Symbol"/>
      </w:rPr>
    </w:lvl>
    <w:lvl w:ilvl="5" w:tplc="2F321F14">
      <w:start w:val="1"/>
      <w:numFmt w:val="bullet"/>
      <w:lvlText w:val=""/>
      <w:lvlJc w:val="left"/>
      <w:pPr>
        <w:ind w:left="1020" w:hanging="360"/>
      </w:pPr>
      <w:rPr>
        <w:rFonts w:ascii="Symbol" w:hAnsi="Symbol"/>
      </w:rPr>
    </w:lvl>
    <w:lvl w:ilvl="6" w:tplc="B434A49E">
      <w:start w:val="1"/>
      <w:numFmt w:val="bullet"/>
      <w:lvlText w:val=""/>
      <w:lvlJc w:val="left"/>
      <w:pPr>
        <w:ind w:left="1020" w:hanging="360"/>
      </w:pPr>
      <w:rPr>
        <w:rFonts w:ascii="Symbol" w:hAnsi="Symbol"/>
      </w:rPr>
    </w:lvl>
    <w:lvl w:ilvl="7" w:tplc="D05C0AE2">
      <w:start w:val="1"/>
      <w:numFmt w:val="bullet"/>
      <w:lvlText w:val=""/>
      <w:lvlJc w:val="left"/>
      <w:pPr>
        <w:ind w:left="1020" w:hanging="360"/>
      </w:pPr>
      <w:rPr>
        <w:rFonts w:ascii="Symbol" w:hAnsi="Symbol"/>
      </w:rPr>
    </w:lvl>
    <w:lvl w:ilvl="8" w:tplc="DBF27FC0">
      <w:start w:val="1"/>
      <w:numFmt w:val="bullet"/>
      <w:lvlText w:val=""/>
      <w:lvlJc w:val="left"/>
      <w:pPr>
        <w:ind w:left="1020" w:hanging="360"/>
      </w:pPr>
      <w:rPr>
        <w:rFonts w:ascii="Symbol" w:hAnsi="Symbol"/>
      </w:rPr>
    </w:lvl>
  </w:abstractNum>
  <w:abstractNum w:abstractNumId="43" w15:restartNumberingAfterBreak="0">
    <w:nsid w:val="59D042D7"/>
    <w:multiLevelType w:val="multilevel"/>
    <w:tmpl w:val="18F4A5AC"/>
    <w:numStyleLink w:val="FoFCoLOP"/>
  </w:abstractNum>
  <w:abstractNum w:abstractNumId="44" w15:restartNumberingAfterBreak="0">
    <w:nsid w:val="5A9E2171"/>
    <w:multiLevelType w:val="multilevel"/>
    <w:tmpl w:val="3C526EDE"/>
    <w:numStyleLink w:val="Headings"/>
  </w:abstractNum>
  <w:abstractNum w:abstractNumId="45" w15:restartNumberingAfterBreak="0">
    <w:nsid w:val="5B1A3F56"/>
    <w:multiLevelType w:val="hybridMultilevel"/>
    <w:tmpl w:val="A5C2AA78"/>
    <w:lvl w:ilvl="0" w:tplc="D3AE5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D136D4"/>
    <w:multiLevelType w:val="hybridMultilevel"/>
    <w:tmpl w:val="5C32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A25780"/>
    <w:multiLevelType w:val="multilevel"/>
    <w:tmpl w:val="3C526EDE"/>
    <w:numStyleLink w:val="Headings"/>
  </w:abstractNum>
  <w:abstractNum w:abstractNumId="48" w15:restartNumberingAfterBreak="0">
    <w:nsid w:val="62BB5B50"/>
    <w:multiLevelType w:val="hybridMultilevel"/>
    <w:tmpl w:val="C242E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EB1063"/>
    <w:multiLevelType w:val="hybridMultilevel"/>
    <w:tmpl w:val="B302D8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ADF29EC"/>
    <w:multiLevelType w:val="hybridMultilevel"/>
    <w:tmpl w:val="883AA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490D9B"/>
    <w:multiLevelType w:val="multilevel"/>
    <w:tmpl w:val="B7C0D0BC"/>
    <w:lvl w:ilvl="0">
      <w:start w:val="8"/>
      <w:numFmt w:val="low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1290BC2"/>
    <w:multiLevelType w:val="multilevel"/>
    <w:tmpl w:val="8A3EE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247385"/>
    <w:multiLevelType w:val="hybridMultilevel"/>
    <w:tmpl w:val="FC748B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89A0AFE"/>
    <w:multiLevelType w:val="multilevel"/>
    <w:tmpl w:val="18F4A5AC"/>
    <w:numStyleLink w:val="FoFCoLOP"/>
  </w:abstractNum>
  <w:abstractNum w:abstractNumId="56" w15:restartNumberingAfterBreak="0">
    <w:nsid w:val="79312D34"/>
    <w:multiLevelType w:val="multilevel"/>
    <w:tmpl w:val="12883E38"/>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7" w15:restartNumberingAfterBreak="0">
    <w:nsid w:val="7E7F176B"/>
    <w:multiLevelType w:val="hybridMultilevel"/>
    <w:tmpl w:val="2C2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526949">
    <w:abstractNumId w:val="4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 w16cid:durableId="140774137">
    <w:abstractNumId w:val="6"/>
  </w:num>
  <w:num w:numId="3" w16cid:durableId="1898543446">
    <w:abstractNumId w:val="43"/>
  </w:num>
  <w:num w:numId="4" w16cid:durableId="701521005">
    <w:abstractNumId w:val="8"/>
  </w:num>
  <w:num w:numId="5" w16cid:durableId="2017029027">
    <w:abstractNumId w:val="55"/>
  </w:num>
  <w:num w:numId="6" w16cid:durableId="973756952">
    <w:abstractNumId w:val="25"/>
  </w:num>
  <w:num w:numId="7" w16cid:durableId="816924040">
    <w:abstractNumId w:val="0"/>
  </w:num>
  <w:num w:numId="8" w16cid:durableId="1714382259">
    <w:abstractNumId w:val="47"/>
    <w:lvlOverride w:ilvl="1">
      <w:lvl w:ilvl="1">
        <w:start w:val="1"/>
        <w:numFmt w:val="decimal"/>
        <w:pStyle w:val="Heading2"/>
        <w:lvlText w:val="%1.%2."/>
        <w:lvlJc w:val="left"/>
        <w:pPr>
          <w:tabs>
            <w:tab w:val="num" w:pos="1080"/>
          </w:tabs>
          <w:ind w:left="1080" w:hanging="720"/>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num>
  <w:num w:numId="9" w16cid:durableId="1023434326">
    <w:abstractNumId w:val="40"/>
  </w:num>
  <w:num w:numId="10" w16cid:durableId="781919474">
    <w:abstractNumId w:val="51"/>
  </w:num>
  <w:num w:numId="11" w16cid:durableId="265698891">
    <w:abstractNumId w:val="4"/>
  </w:num>
  <w:num w:numId="12" w16cid:durableId="1376855762">
    <w:abstractNumId w:val="5"/>
  </w:num>
  <w:num w:numId="13" w16cid:durableId="1129786153">
    <w:abstractNumId w:val="1"/>
  </w:num>
  <w:num w:numId="14" w16cid:durableId="548684622">
    <w:abstractNumId w:val="34"/>
  </w:num>
  <w:num w:numId="15" w16cid:durableId="1747679889">
    <w:abstractNumId w:val="39"/>
  </w:num>
  <w:num w:numId="16" w16cid:durableId="73204691">
    <w:abstractNumId w:val="41"/>
  </w:num>
  <w:num w:numId="17" w16cid:durableId="935673030">
    <w:abstractNumId w:val="35"/>
  </w:num>
  <w:num w:numId="18" w16cid:durableId="2133397751">
    <w:abstractNumId w:val="57"/>
  </w:num>
  <w:num w:numId="19" w16cid:durableId="1058438319">
    <w:abstractNumId w:val="15"/>
  </w:num>
  <w:num w:numId="20" w16cid:durableId="6103541">
    <w:abstractNumId w:val="17"/>
  </w:num>
  <w:num w:numId="21" w16cid:durableId="1578130486">
    <w:abstractNumId w:val="32"/>
  </w:num>
  <w:num w:numId="22" w16cid:durableId="477454423">
    <w:abstractNumId w:val="26"/>
  </w:num>
  <w:num w:numId="23" w16cid:durableId="1027414689">
    <w:abstractNumId w:val="38"/>
  </w:num>
  <w:num w:numId="24" w16cid:durableId="888687186">
    <w:abstractNumId w:val="33"/>
  </w:num>
  <w:num w:numId="25" w16cid:durableId="827667741">
    <w:abstractNumId w:val="18"/>
  </w:num>
  <w:num w:numId="26" w16cid:durableId="1760327020">
    <w:abstractNumId w:val="52"/>
  </w:num>
  <w:num w:numId="27" w16cid:durableId="1817916489">
    <w:abstractNumId w:val="14"/>
  </w:num>
  <w:num w:numId="28" w16cid:durableId="291985460">
    <w:abstractNumId w:val="19"/>
  </w:num>
  <w:num w:numId="29" w16cid:durableId="467941983">
    <w:abstractNumId w:val="11"/>
  </w:num>
  <w:num w:numId="30" w16cid:durableId="712996464">
    <w:abstractNumId w:val="20"/>
  </w:num>
  <w:num w:numId="31" w16cid:durableId="1303778653">
    <w:abstractNumId w:val="23"/>
  </w:num>
  <w:num w:numId="32" w16cid:durableId="5481076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4637577">
    <w:abstractNumId w:val="47"/>
  </w:num>
  <w:num w:numId="34" w16cid:durableId="4593422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6572388">
    <w:abstractNumId w:val="48"/>
  </w:num>
  <w:num w:numId="36" w16cid:durableId="1580824943">
    <w:abstractNumId w:val="50"/>
  </w:num>
  <w:num w:numId="37" w16cid:durableId="1560242206">
    <w:abstractNumId w:val="3"/>
  </w:num>
  <w:num w:numId="38" w16cid:durableId="1370956425">
    <w:abstractNumId w:val="29"/>
  </w:num>
  <w:num w:numId="39" w16cid:durableId="900335487">
    <w:abstractNumId w:val="24"/>
  </w:num>
  <w:num w:numId="40" w16cid:durableId="1550846160">
    <w:abstractNumId w:val="31"/>
  </w:num>
  <w:num w:numId="41" w16cid:durableId="1506822230">
    <w:abstractNumId w:val="46"/>
  </w:num>
  <w:num w:numId="42" w16cid:durableId="1418945999">
    <w:abstractNumId w:val="7"/>
  </w:num>
  <w:num w:numId="43" w16cid:durableId="564604114">
    <w:abstractNumId w:val="27"/>
  </w:num>
  <w:num w:numId="44" w16cid:durableId="2018539405">
    <w:abstractNumId w:val="16"/>
  </w:num>
  <w:num w:numId="45" w16cid:durableId="826475160">
    <w:abstractNumId w:val="22"/>
  </w:num>
  <w:num w:numId="46" w16cid:durableId="1439720226">
    <w:abstractNumId w:val="12"/>
  </w:num>
  <w:num w:numId="47" w16cid:durableId="157815090">
    <w:abstractNumId w:val="9"/>
  </w:num>
  <w:num w:numId="48" w16cid:durableId="2013606253">
    <w:abstractNumId w:val="45"/>
  </w:num>
  <w:num w:numId="49" w16cid:durableId="107043536">
    <w:abstractNumId w:val="54"/>
  </w:num>
  <w:num w:numId="50" w16cid:durableId="322710445">
    <w:abstractNumId w:val="13"/>
  </w:num>
  <w:num w:numId="51" w16cid:durableId="1536233189">
    <w:abstractNumId w:val="28"/>
  </w:num>
  <w:num w:numId="52" w16cid:durableId="1109930593">
    <w:abstractNumId w:val="49"/>
  </w:num>
  <w:num w:numId="53" w16cid:durableId="1175420601">
    <w:abstractNumId w:val="53"/>
  </w:num>
  <w:num w:numId="54" w16cid:durableId="1797871606">
    <w:abstractNumId w:val="37"/>
  </w:num>
  <w:num w:numId="55" w16cid:durableId="500631574">
    <w:abstractNumId w:val="10"/>
  </w:num>
  <w:num w:numId="56" w16cid:durableId="602111353">
    <w:abstractNumId w:val="42"/>
  </w:num>
  <w:num w:numId="57" w16cid:durableId="1589002144">
    <w:abstractNumId w:val="21"/>
  </w:num>
  <w:num w:numId="58" w16cid:durableId="1918398302">
    <w:abstractNumId w:val="30"/>
  </w:num>
  <w:num w:numId="59" w16cid:durableId="1332297747">
    <w:abstractNumId w:val="2"/>
  </w:num>
  <w:num w:numId="60" w16cid:durableId="1529296126">
    <w:abstractNumId w:val="36"/>
  </w:num>
  <w:num w:numId="61" w16cid:durableId="1369066210">
    <w:abstractNumId w:val="51"/>
  </w:num>
  <w:num w:numId="62" w16cid:durableId="1830904145">
    <w:abstractNumId w:val="51"/>
  </w:num>
  <w:num w:numId="63" w16cid:durableId="1636717520">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8F"/>
    <w:rsid w:val="00000043"/>
    <w:rsid w:val="00000146"/>
    <w:rsid w:val="0000023F"/>
    <w:rsid w:val="00000347"/>
    <w:rsid w:val="000004C2"/>
    <w:rsid w:val="00000C59"/>
    <w:rsid w:val="00000DAB"/>
    <w:rsid w:val="00000F6A"/>
    <w:rsid w:val="00000FC8"/>
    <w:rsid w:val="0000100C"/>
    <w:rsid w:val="00001189"/>
    <w:rsid w:val="00001598"/>
    <w:rsid w:val="00001C8A"/>
    <w:rsid w:val="00001CDA"/>
    <w:rsid w:val="00002842"/>
    <w:rsid w:val="0000286D"/>
    <w:rsid w:val="00002979"/>
    <w:rsid w:val="00002C41"/>
    <w:rsid w:val="00002CA5"/>
    <w:rsid w:val="00002DCF"/>
    <w:rsid w:val="00002F6C"/>
    <w:rsid w:val="000030D6"/>
    <w:rsid w:val="00003366"/>
    <w:rsid w:val="00003373"/>
    <w:rsid w:val="00003499"/>
    <w:rsid w:val="00003776"/>
    <w:rsid w:val="0000392B"/>
    <w:rsid w:val="00003953"/>
    <w:rsid w:val="000039E0"/>
    <w:rsid w:val="00003B44"/>
    <w:rsid w:val="00003C63"/>
    <w:rsid w:val="00003C6D"/>
    <w:rsid w:val="00003C71"/>
    <w:rsid w:val="00003DC7"/>
    <w:rsid w:val="00003F40"/>
    <w:rsid w:val="0000413B"/>
    <w:rsid w:val="00004252"/>
    <w:rsid w:val="0000428B"/>
    <w:rsid w:val="00004444"/>
    <w:rsid w:val="000046FE"/>
    <w:rsid w:val="00004BF7"/>
    <w:rsid w:val="00004C47"/>
    <w:rsid w:val="00004F42"/>
    <w:rsid w:val="00005140"/>
    <w:rsid w:val="000051B4"/>
    <w:rsid w:val="000052CA"/>
    <w:rsid w:val="000054A8"/>
    <w:rsid w:val="000055B2"/>
    <w:rsid w:val="000057BC"/>
    <w:rsid w:val="00005A4D"/>
    <w:rsid w:val="00005E4F"/>
    <w:rsid w:val="00006408"/>
    <w:rsid w:val="000068B0"/>
    <w:rsid w:val="00006E63"/>
    <w:rsid w:val="00006F7B"/>
    <w:rsid w:val="00006F7E"/>
    <w:rsid w:val="000074BE"/>
    <w:rsid w:val="000075FE"/>
    <w:rsid w:val="00007A79"/>
    <w:rsid w:val="00007C88"/>
    <w:rsid w:val="00007EF9"/>
    <w:rsid w:val="00007FB7"/>
    <w:rsid w:val="00007FC6"/>
    <w:rsid w:val="0001004A"/>
    <w:rsid w:val="000100A0"/>
    <w:rsid w:val="000103A1"/>
    <w:rsid w:val="000103AD"/>
    <w:rsid w:val="00010474"/>
    <w:rsid w:val="000104BD"/>
    <w:rsid w:val="00010536"/>
    <w:rsid w:val="00010602"/>
    <w:rsid w:val="000107A2"/>
    <w:rsid w:val="0001116A"/>
    <w:rsid w:val="0001134C"/>
    <w:rsid w:val="0001139C"/>
    <w:rsid w:val="00011523"/>
    <w:rsid w:val="00011724"/>
    <w:rsid w:val="00011946"/>
    <w:rsid w:val="000120C1"/>
    <w:rsid w:val="0001217F"/>
    <w:rsid w:val="00012399"/>
    <w:rsid w:val="000127DA"/>
    <w:rsid w:val="00012FCC"/>
    <w:rsid w:val="000135D0"/>
    <w:rsid w:val="00013991"/>
    <w:rsid w:val="00013C8A"/>
    <w:rsid w:val="00014360"/>
    <w:rsid w:val="0001458E"/>
    <w:rsid w:val="00014857"/>
    <w:rsid w:val="00014C15"/>
    <w:rsid w:val="00015135"/>
    <w:rsid w:val="0001525B"/>
    <w:rsid w:val="0001527A"/>
    <w:rsid w:val="000152FE"/>
    <w:rsid w:val="00015697"/>
    <w:rsid w:val="00015707"/>
    <w:rsid w:val="00016689"/>
    <w:rsid w:val="00016922"/>
    <w:rsid w:val="00016AED"/>
    <w:rsid w:val="00016B07"/>
    <w:rsid w:val="00016BE6"/>
    <w:rsid w:val="00016E4A"/>
    <w:rsid w:val="00016ECC"/>
    <w:rsid w:val="00016EDA"/>
    <w:rsid w:val="00016EEF"/>
    <w:rsid w:val="000173B0"/>
    <w:rsid w:val="00017C67"/>
    <w:rsid w:val="00017D35"/>
    <w:rsid w:val="00017E9E"/>
    <w:rsid w:val="00017F08"/>
    <w:rsid w:val="000209D2"/>
    <w:rsid w:val="00020A46"/>
    <w:rsid w:val="00020AFD"/>
    <w:rsid w:val="00020BC5"/>
    <w:rsid w:val="00020BE6"/>
    <w:rsid w:val="00020C50"/>
    <w:rsid w:val="00020D99"/>
    <w:rsid w:val="00020DB9"/>
    <w:rsid w:val="0002113B"/>
    <w:rsid w:val="000215C2"/>
    <w:rsid w:val="0002167A"/>
    <w:rsid w:val="0002168B"/>
    <w:rsid w:val="00021F9B"/>
    <w:rsid w:val="0002203D"/>
    <w:rsid w:val="000220BD"/>
    <w:rsid w:val="00022455"/>
    <w:rsid w:val="000224F9"/>
    <w:rsid w:val="00022586"/>
    <w:rsid w:val="000225AB"/>
    <w:rsid w:val="00023077"/>
    <w:rsid w:val="00023171"/>
    <w:rsid w:val="0002328A"/>
    <w:rsid w:val="0002368F"/>
    <w:rsid w:val="0002378D"/>
    <w:rsid w:val="00023CA6"/>
    <w:rsid w:val="00024037"/>
    <w:rsid w:val="000240B2"/>
    <w:rsid w:val="00024593"/>
    <w:rsid w:val="00024AE1"/>
    <w:rsid w:val="00024D3C"/>
    <w:rsid w:val="00025280"/>
    <w:rsid w:val="00025446"/>
    <w:rsid w:val="0002546D"/>
    <w:rsid w:val="00025679"/>
    <w:rsid w:val="0002570F"/>
    <w:rsid w:val="000259A7"/>
    <w:rsid w:val="00025D9A"/>
    <w:rsid w:val="0002646F"/>
    <w:rsid w:val="00026516"/>
    <w:rsid w:val="000265D8"/>
    <w:rsid w:val="00026818"/>
    <w:rsid w:val="00026B76"/>
    <w:rsid w:val="00026C68"/>
    <w:rsid w:val="00026E28"/>
    <w:rsid w:val="00026E30"/>
    <w:rsid w:val="00027048"/>
    <w:rsid w:val="000271D8"/>
    <w:rsid w:val="000276F9"/>
    <w:rsid w:val="00027BD3"/>
    <w:rsid w:val="00027CC9"/>
    <w:rsid w:val="00027E9F"/>
    <w:rsid w:val="00027EC8"/>
    <w:rsid w:val="00030046"/>
    <w:rsid w:val="0003050C"/>
    <w:rsid w:val="00030563"/>
    <w:rsid w:val="00030656"/>
    <w:rsid w:val="000307BB"/>
    <w:rsid w:val="0003080C"/>
    <w:rsid w:val="00030E48"/>
    <w:rsid w:val="000314FB"/>
    <w:rsid w:val="0003151B"/>
    <w:rsid w:val="0003159D"/>
    <w:rsid w:val="00031725"/>
    <w:rsid w:val="00031C14"/>
    <w:rsid w:val="00031C1B"/>
    <w:rsid w:val="00031D8A"/>
    <w:rsid w:val="00031D94"/>
    <w:rsid w:val="00032384"/>
    <w:rsid w:val="000330C1"/>
    <w:rsid w:val="00033197"/>
    <w:rsid w:val="00033349"/>
    <w:rsid w:val="000333D5"/>
    <w:rsid w:val="0003371C"/>
    <w:rsid w:val="00033856"/>
    <w:rsid w:val="00033B32"/>
    <w:rsid w:val="00033C6F"/>
    <w:rsid w:val="00033CFF"/>
    <w:rsid w:val="00033E3F"/>
    <w:rsid w:val="000341D3"/>
    <w:rsid w:val="00034344"/>
    <w:rsid w:val="0003483F"/>
    <w:rsid w:val="00034CB0"/>
    <w:rsid w:val="00034CB4"/>
    <w:rsid w:val="00034EBF"/>
    <w:rsid w:val="00035488"/>
    <w:rsid w:val="000357DA"/>
    <w:rsid w:val="00035B88"/>
    <w:rsid w:val="00035D5F"/>
    <w:rsid w:val="00035FF3"/>
    <w:rsid w:val="000360C1"/>
    <w:rsid w:val="0003613F"/>
    <w:rsid w:val="0003655D"/>
    <w:rsid w:val="000369CA"/>
    <w:rsid w:val="00036B28"/>
    <w:rsid w:val="00036CA5"/>
    <w:rsid w:val="00036CD9"/>
    <w:rsid w:val="00036F6E"/>
    <w:rsid w:val="000375C0"/>
    <w:rsid w:val="00037B28"/>
    <w:rsid w:val="00040094"/>
    <w:rsid w:val="00040311"/>
    <w:rsid w:val="00040360"/>
    <w:rsid w:val="0004046F"/>
    <w:rsid w:val="00040633"/>
    <w:rsid w:val="000406A5"/>
    <w:rsid w:val="0004093F"/>
    <w:rsid w:val="000409BF"/>
    <w:rsid w:val="00040A9B"/>
    <w:rsid w:val="00040AED"/>
    <w:rsid w:val="000411C3"/>
    <w:rsid w:val="000412A4"/>
    <w:rsid w:val="000416FE"/>
    <w:rsid w:val="00041CF7"/>
    <w:rsid w:val="00041DBF"/>
    <w:rsid w:val="00042099"/>
    <w:rsid w:val="000423B1"/>
    <w:rsid w:val="000424E9"/>
    <w:rsid w:val="00042772"/>
    <w:rsid w:val="00042A3D"/>
    <w:rsid w:val="00042A75"/>
    <w:rsid w:val="0004301E"/>
    <w:rsid w:val="000431C6"/>
    <w:rsid w:val="00043256"/>
    <w:rsid w:val="00043389"/>
    <w:rsid w:val="00043608"/>
    <w:rsid w:val="00043627"/>
    <w:rsid w:val="000436F6"/>
    <w:rsid w:val="000438E7"/>
    <w:rsid w:val="00043E20"/>
    <w:rsid w:val="00043EDC"/>
    <w:rsid w:val="00043F8B"/>
    <w:rsid w:val="00044210"/>
    <w:rsid w:val="000442BD"/>
    <w:rsid w:val="000447AE"/>
    <w:rsid w:val="000449C6"/>
    <w:rsid w:val="00044FFD"/>
    <w:rsid w:val="00045092"/>
    <w:rsid w:val="000450D3"/>
    <w:rsid w:val="000450D8"/>
    <w:rsid w:val="00045144"/>
    <w:rsid w:val="000459A9"/>
    <w:rsid w:val="00045C57"/>
    <w:rsid w:val="00045D02"/>
    <w:rsid w:val="00046162"/>
    <w:rsid w:val="00046751"/>
    <w:rsid w:val="00046B10"/>
    <w:rsid w:val="00046B33"/>
    <w:rsid w:val="00046C0D"/>
    <w:rsid w:val="00046EE9"/>
    <w:rsid w:val="000472E9"/>
    <w:rsid w:val="000476DD"/>
    <w:rsid w:val="00047702"/>
    <w:rsid w:val="000477E4"/>
    <w:rsid w:val="00047C9E"/>
    <w:rsid w:val="00047CC5"/>
    <w:rsid w:val="00047E19"/>
    <w:rsid w:val="00047F53"/>
    <w:rsid w:val="000504BE"/>
    <w:rsid w:val="000506B5"/>
    <w:rsid w:val="0005073D"/>
    <w:rsid w:val="00050788"/>
    <w:rsid w:val="00050CBE"/>
    <w:rsid w:val="0005158C"/>
    <w:rsid w:val="00051ACE"/>
    <w:rsid w:val="00051CF6"/>
    <w:rsid w:val="0005202B"/>
    <w:rsid w:val="0005225B"/>
    <w:rsid w:val="00052400"/>
    <w:rsid w:val="0005242D"/>
    <w:rsid w:val="000528BE"/>
    <w:rsid w:val="0005298C"/>
    <w:rsid w:val="000532CA"/>
    <w:rsid w:val="00053472"/>
    <w:rsid w:val="00053476"/>
    <w:rsid w:val="0005356E"/>
    <w:rsid w:val="0005368A"/>
    <w:rsid w:val="000536A5"/>
    <w:rsid w:val="00053880"/>
    <w:rsid w:val="00053EE3"/>
    <w:rsid w:val="0005408C"/>
    <w:rsid w:val="000541F4"/>
    <w:rsid w:val="000547C6"/>
    <w:rsid w:val="0005491C"/>
    <w:rsid w:val="00054D6C"/>
    <w:rsid w:val="00054DDF"/>
    <w:rsid w:val="00054DFC"/>
    <w:rsid w:val="000551C1"/>
    <w:rsid w:val="00055325"/>
    <w:rsid w:val="00055356"/>
    <w:rsid w:val="00055676"/>
    <w:rsid w:val="0005598E"/>
    <w:rsid w:val="00055995"/>
    <w:rsid w:val="00055BFE"/>
    <w:rsid w:val="00055DC1"/>
    <w:rsid w:val="00055E6E"/>
    <w:rsid w:val="0005639F"/>
    <w:rsid w:val="00056A7F"/>
    <w:rsid w:val="000574CC"/>
    <w:rsid w:val="00057525"/>
    <w:rsid w:val="00057A6F"/>
    <w:rsid w:val="0006039C"/>
    <w:rsid w:val="00060464"/>
    <w:rsid w:val="00060FD5"/>
    <w:rsid w:val="0006116F"/>
    <w:rsid w:val="000614AC"/>
    <w:rsid w:val="000614F2"/>
    <w:rsid w:val="00061661"/>
    <w:rsid w:val="000617C3"/>
    <w:rsid w:val="000619F0"/>
    <w:rsid w:val="00061C55"/>
    <w:rsid w:val="0006209B"/>
    <w:rsid w:val="000620E0"/>
    <w:rsid w:val="0006238B"/>
    <w:rsid w:val="0006242C"/>
    <w:rsid w:val="00062520"/>
    <w:rsid w:val="00062677"/>
    <w:rsid w:val="00062D52"/>
    <w:rsid w:val="00063125"/>
    <w:rsid w:val="000631A9"/>
    <w:rsid w:val="000642D8"/>
    <w:rsid w:val="000642FE"/>
    <w:rsid w:val="00064437"/>
    <w:rsid w:val="000647BB"/>
    <w:rsid w:val="000648BA"/>
    <w:rsid w:val="00064A51"/>
    <w:rsid w:val="00064ACE"/>
    <w:rsid w:val="00064C64"/>
    <w:rsid w:val="00064C9F"/>
    <w:rsid w:val="00065554"/>
    <w:rsid w:val="00065771"/>
    <w:rsid w:val="00065BFC"/>
    <w:rsid w:val="00065CAF"/>
    <w:rsid w:val="00066359"/>
    <w:rsid w:val="00066876"/>
    <w:rsid w:val="00066A71"/>
    <w:rsid w:val="00066E6C"/>
    <w:rsid w:val="000673E1"/>
    <w:rsid w:val="0006758F"/>
    <w:rsid w:val="00067C5F"/>
    <w:rsid w:val="0007025A"/>
    <w:rsid w:val="00070694"/>
    <w:rsid w:val="0007077E"/>
    <w:rsid w:val="00070DE9"/>
    <w:rsid w:val="00070ECF"/>
    <w:rsid w:val="00070F06"/>
    <w:rsid w:val="0007115A"/>
    <w:rsid w:val="00071402"/>
    <w:rsid w:val="00071580"/>
    <w:rsid w:val="000717D4"/>
    <w:rsid w:val="000717F8"/>
    <w:rsid w:val="00071C18"/>
    <w:rsid w:val="00071D18"/>
    <w:rsid w:val="00071DA8"/>
    <w:rsid w:val="00072012"/>
    <w:rsid w:val="000723C2"/>
    <w:rsid w:val="00072566"/>
    <w:rsid w:val="000727A6"/>
    <w:rsid w:val="00072901"/>
    <w:rsid w:val="00072A12"/>
    <w:rsid w:val="0007344F"/>
    <w:rsid w:val="00073636"/>
    <w:rsid w:val="0007364D"/>
    <w:rsid w:val="0007383D"/>
    <w:rsid w:val="00073843"/>
    <w:rsid w:val="00073AA3"/>
    <w:rsid w:val="000742DE"/>
    <w:rsid w:val="00074A94"/>
    <w:rsid w:val="00074D78"/>
    <w:rsid w:val="00074E45"/>
    <w:rsid w:val="00074F2C"/>
    <w:rsid w:val="000750C7"/>
    <w:rsid w:val="00075254"/>
    <w:rsid w:val="00075372"/>
    <w:rsid w:val="0007559A"/>
    <w:rsid w:val="0007567D"/>
    <w:rsid w:val="000759B9"/>
    <w:rsid w:val="00075C42"/>
    <w:rsid w:val="00075D75"/>
    <w:rsid w:val="00075E9B"/>
    <w:rsid w:val="00075FEA"/>
    <w:rsid w:val="0007608C"/>
    <w:rsid w:val="00076371"/>
    <w:rsid w:val="00076483"/>
    <w:rsid w:val="0007657C"/>
    <w:rsid w:val="00076BAD"/>
    <w:rsid w:val="00076F6C"/>
    <w:rsid w:val="00076F8D"/>
    <w:rsid w:val="00076FCF"/>
    <w:rsid w:val="00077046"/>
    <w:rsid w:val="00077418"/>
    <w:rsid w:val="000776D9"/>
    <w:rsid w:val="0007772B"/>
    <w:rsid w:val="000778C2"/>
    <w:rsid w:val="00077A15"/>
    <w:rsid w:val="00077A22"/>
    <w:rsid w:val="00077A30"/>
    <w:rsid w:val="00077C5D"/>
    <w:rsid w:val="00077CF7"/>
    <w:rsid w:val="00077EC2"/>
    <w:rsid w:val="00077F07"/>
    <w:rsid w:val="00080738"/>
    <w:rsid w:val="00080835"/>
    <w:rsid w:val="00080AEF"/>
    <w:rsid w:val="00080B40"/>
    <w:rsid w:val="00080D65"/>
    <w:rsid w:val="000814A1"/>
    <w:rsid w:val="000815AA"/>
    <w:rsid w:val="0008167D"/>
    <w:rsid w:val="00081782"/>
    <w:rsid w:val="00081855"/>
    <w:rsid w:val="00081890"/>
    <w:rsid w:val="00081BA1"/>
    <w:rsid w:val="00081D09"/>
    <w:rsid w:val="000821D7"/>
    <w:rsid w:val="0008222D"/>
    <w:rsid w:val="00082271"/>
    <w:rsid w:val="000828A2"/>
    <w:rsid w:val="0008291C"/>
    <w:rsid w:val="00082FB1"/>
    <w:rsid w:val="000830AF"/>
    <w:rsid w:val="000832C2"/>
    <w:rsid w:val="0008376D"/>
    <w:rsid w:val="00083881"/>
    <w:rsid w:val="00083BF6"/>
    <w:rsid w:val="00084001"/>
    <w:rsid w:val="00084135"/>
    <w:rsid w:val="0008475D"/>
    <w:rsid w:val="00084A58"/>
    <w:rsid w:val="00084AA6"/>
    <w:rsid w:val="00084B2D"/>
    <w:rsid w:val="00084D9F"/>
    <w:rsid w:val="00084DED"/>
    <w:rsid w:val="00084EFD"/>
    <w:rsid w:val="00084F37"/>
    <w:rsid w:val="00085246"/>
    <w:rsid w:val="000852DF"/>
    <w:rsid w:val="00085417"/>
    <w:rsid w:val="00085ACD"/>
    <w:rsid w:val="00085B45"/>
    <w:rsid w:val="000860FC"/>
    <w:rsid w:val="00086484"/>
    <w:rsid w:val="0008657C"/>
    <w:rsid w:val="00086859"/>
    <w:rsid w:val="00086D7E"/>
    <w:rsid w:val="00086EB8"/>
    <w:rsid w:val="00086ED6"/>
    <w:rsid w:val="00087231"/>
    <w:rsid w:val="00087761"/>
    <w:rsid w:val="00087A0E"/>
    <w:rsid w:val="00087E3D"/>
    <w:rsid w:val="00090017"/>
    <w:rsid w:val="00090057"/>
    <w:rsid w:val="000900CC"/>
    <w:rsid w:val="00090251"/>
    <w:rsid w:val="0009060C"/>
    <w:rsid w:val="000908B1"/>
    <w:rsid w:val="00090A03"/>
    <w:rsid w:val="00090A33"/>
    <w:rsid w:val="000911BB"/>
    <w:rsid w:val="00091297"/>
    <w:rsid w:val="000912B7"/>
    <w:rsid w:val="000912F9"/>
    <w:rsid w:val="0009143E"/>
    <w:rsid w:val="000918BB"/>
    <w:rsid w:val="0009193E"/>
    <w:rsid w:val="0009196E"/>
    <w:rsid w:val="00091AAB"/>
    <w:rsid w:val="00091B70"/>
    <w:rsid w:val="000923AF"/>
    <w:rsid w:val="0009281D"/>
    <w:rsid w:val="00092ACE"/>
    <w:rsid w:val="00092CCC"/>
    <w:rsid w:val="00092CF3"/>
    <w:rsid w:val="00092DD1"/>
    <w:rsid w:val="00092F39"/>
    <w:rsid w:val="00092F72"/>
    <w:rsid w:val="00092FA9"/>
    <w:rsid w:val="000931EE"/>
    <w:rsid w:val="00093736"/>
    <w:rsid w:val="00093874"/>
    <w:rsid w:val="00093971"/>
    <w:rsid w:val="00093A2E"/>
    <w:rsid w:val="00094768"/>
    <w:rsid w:val="00094869"/>
    <w:rsid w:val="00094A88"/>
    <w:rsid w:val="00094B0E"/>
    <w:rsid w:val="00094F18"/>
    <w:rsid w:val="0009500C"/>
    <w:rsid w:val="000950BF"/>
    <w:rsid w:val="00095173"/>
    <w:rsid w:val="00095587"/>
    <w:rsid w:val="0009575E"/>
    <w:rsid w:val="0009587F"/>
    <w:rsid w:val="000959A2"/>
    <w:rsid w:val="00095A16"/>
    <w:rsid w:val="000960F2"/>
    <w:rsid w:val="00096570"/>
    <w:rsid w:val="000965A4"/>
    <w:rsid w:val="000966FD"/>
    <w:rsid w:val="000968D3"/>
    <w:rsid w:val="000969E9"/>
    <w:rsid w:val="00096A65"/>
    <w:rsid w:val="00096E5C"/>
    <w:rsid w:val="00096ED7"/>
    <w:rsid w:val="00096F55"/>
    <w:rsid w:val="00097101"/>
    <w:rsid w:val="000973C8"/>
    <w:rsid w:val="0009748F"/>
    <w:rsid w:val="000974A4"/>
    <w:rsid w:val="00097617"/>
    <w:rsid w:val="00097A9F"/>
    <w:rsid w:val="00097D3B"/>
    <w:rsid w:val="000A0149"/>
    <w:rsid w:val="000A0AE7"/>
    <w:rsid w:val="000A1190"/>
    <w:rsid w:val="000A126D"/>
    <w:rsid w:val="000A1767"/>
    <w:rsid w:val="000A18F3"/>
    <w:rsid w:val="000A1999"/>
    <w:rsid w:val="000A19E5"/>
    <w:rsid w:val="000A1D76"/>
    <w:rsid w:val="000A2337"/>
    <w:rsid w:val="000A262F"/>
    <w:rsid w:val="000A27B8"/>
    <w:rsid w:val="000A2856"/>
    <w:rsid w:val="000A287B"/>
    <w:rsid w:val="000A289C"/>
    <w:rsid w:val="000A291E"/>
    <w:rsid w:val="000A2AA9"/>
    <w:rsid w:val="000A33BD"/>
    <w:rsid w:val="000A342E"/>
    <w:rsid w:val="000A3679"/>
    <w:rsid w:val="000A383B"/>
    <w:rsid w:val="000A3A4D"/>
    <w:rsid w:val="000A3EA5"/>
    <w:rsid w:val="000A405F"/>
    <w:rsid w:val="000A42BF"/>
    <w:rsid w:val="000A46D6"/>
    <w:rsid w:val="000A4710"/>
    <w:rsid w:val="000A495B"/>
    <w:rsid w:val="000A49D0"/>
    <w:rsid w:val="000A4AA6"/>
    <w:rsid w:val="000A4B03"/>
    <w:rsid w:val="000A4B7A"/>
    <w:rsid w:val="000A4C70"/>
    <w:rsid w:val="000A4CCB"/>
    <w:rsid w:val="000A4CF3"/>
    <w:rsid w:val="000A4F76"/>
    <w:rsid w:val="000A5206"/>
    <w:rsid w:val="000A525B"/>
    <w:rsid w:val="000A53C9"/>
    <w:rsid w:val="000A550F"/>
    <w:rsid w:val="000A56F2"/>
    <w:rsid w:val="000A572B"/>
    <w:rsid w:val="000A5789"/>
    <w:rsid w:val="000A58F2"/>
    <w:rsid w:val="000A5B4C"/>
    <w:rsid w:val="000A5D93"/>
    <w:rsid w:val="000A5FA7"/>
    <w:rsid w:val="000A606E"/>
    <w:rsid w:val="000A613E"/>
    <w:rsid w:val="000A62EF"/>
    <w:rsid w:val="000A6C50"/>
    <w:rsid w:val="000A6E05"/>
    <w:rsid w:val="000A709F"/>
    <w:rsid w:val="000A71DF"/>
    <w:rsid w:val="000A7303"/>
    <w:rsid w:val="000A74D9"/>
    <w:rsid w:val="000A7B94"/>
    <w:rsid w:val="000A7C84"/>
    <w:rsid w:val="000A7E56"/>
    <w:rsid w:val="000B00DA"/>
    <w:rsid w:val="000B01C7"/>
    <w:rsid w:val="000B0379"/>
    <w:rsid w:val="000B0450"/>
    <w:rsid w:val="000B0696"/>
    <w:rsid w:val="000B08D7"/>
    <w:rsid w:val="000B0A59"/>
    <w:rsid w:val="000B0B24"/>
    <w:rsid w:val="000B0BDB"/>
    <w:rsid w:val="000B0BF1"/>
    <w:rsid w:val="000B0C4D"/>
    <w:rsid w:val="000B0C5E"/>
    <w:rsid w:val="000B12FA"/>
    <w:rsid w:val="000B172B"/>
    <w:rsid w:val="000B1847"/>
    <w:rsid w:val="000B1BF3"/>
    <w:rsid w:val="000B1DC0"/>
    <w:rsid w:val="000B1F72"/>
    <w:rsid w:val="000B20BA"/>
    <w:rsid w:val="000B218E"/>
    <w:rsid w:val="000B23AD"/>
    <w:rsid w:val="000B250D"/>
    <w:rsid w:val="000B25FC"/>
    <w:rsid w:val="000B2A53"/>
    <w:rsid w:val="000B2A9E"/>
    <w:rsid w:val="000B2AF2"/>
    <w:rsid w:val="000B2B3A"/>
    <w:rsid w:val="000B2B90"/>
    <w:rsid w:val="000B2C0A"/>
    <w:rsid w:val="000B2CFB"/>
    <w:rsid w:val="000B2E09"/>
    <w:rsid w:val="000B2FCD"/>
    <w:rsid w:val="000B3017"/>
    <w:rsid w:val="000B32FE"/>
    <w:rsid w:val="000B35C7"/>
    <w:rsid w:val="000B386F"/>
    <w:rsid w:val="000B3A7C"/>
    <w:rsid w:val="000B3ACF"/>
    <w:rsid w:val="000B3C40"/>
    <w:rsid w:val="000B470C"/>
    <w:rsid w:val="000B490C"/>
    <w:rsid w:val="000B497C"/>
    <w:rsid w:val="000B4C3E"/>
    <w:rsid w:val="000B4CD0"/>
    <w:rsid w:val="000B4E29"/>
    <w:rsid w:val="000B53DE"/>
    <w:rsid w:val="000B55E4"/>
    <w:rsid w:val="000B5633"/>
    <w:rsid w:val="000B57C0"/>
    <w:rsid w:val="000B5870"/>
    <w:rsid w:val="000B5CC7"/>
    <w:rsid w:val="000B5CFC"/>
    <w:rsid w:val="000B5E8D"/>
    <w:rsid w:val="000B5F3A"/>
    <w:rsid w:val="000B60B7"/>
    <w:rsid w:val="000B672F"/>
    <w:rsid w:val="000B67D2"/>
    <w:rsid w:val="000B68EE"/>
    <w:rsid w:val="000B6B62"/>
    <w:rsid w:val="000B6E43"/>
    <w:rsid w:val="000B6FB3"/>
    <w:rsid w:val="000B70E8"/>
    <w:rsid w:val="000B70EF"/>
    <w:rsid w:val="000B731A"/>
    <w:rsid w:val="000B7359"/>
    <w:rsid w:val="000B76DB"/>
    <w:rsid w:val="000B7B13"/>
    <w:rsid w:val="000B7BAF"/>
    <w:rsid w:val="000B7D4C"/>
    <w:rsid w:val="000C0339"/>
    <w:rsid w:val="000C0587"/>
    <w:rsid w:val="000C08BF"/>
    <w:rsid w:val="000C0F31"/>
    <w:rsid w:val="000C11B2"/>
    <w:rsid w:val="000C188F"/>
    <w:rsid w:val="000C1D69"/>
    <w:rsid w:val="000C1EC9"/>
    <w:rsid w:val="000C22F5"/>
    <w:rsid w:val="000C232B"/>
    <w:rsid w:val="000C24C7"/>
    <w:rsid w:val="000C2540"/>
    <w:rsid w:val="000C2653"/>
    <w:rsid w:val="000C26CD"/>
    <w:rsid w:val="000C2735"/>
    <w:rsid w:val="000C2788"/>
    <w:rsid w:val="000C29B8"/>
    <w:rsid w:val="000C2A44"/>
    <w:rsid w:val="000C32AC"/>
    <w:rsid w:val="000C3376"/>
    <w:rsid w:val="000C3999"/>
    <w:rsid w:val="000C3A2E"/>
    <w:rsid w:val="000C3B9A"/>
    <w:rsid w:val="000C3DA4"/>
    <w:rsid w:val="000C3DC4"/>
    <w:rsid w:val="000C3E4C"/>
    <w:rsid w:val="000C3EC6"/>
    <w:rsid w:val="000C42E1"/>
    <w:rsid w:val="000C43DD"/>
    <w:rsid w:val="000C44C5"/>
    <w:rsid w:val="000C469F"/>
    <w:rsid w:val="000C4716"/>
    <w:rsid w:val="000C4B8D"/>
    <w:rsid w:val="000C5191"/>
    <w:rsid w:val="000C52F8"/>
    <w:rsid w:val="000C55DE"/>
    <w:rsid w:val="000C5718"/>
    <w:rsid w:val="000C57E4"/>
    <w:rsid w:val="000C5849"/>
    <w:rsid w:val="000C58C4"/>
    <w:rsid w:val="000C5A94"/>
    <w:rsid w:val="000C5B4A"/>
    <w:rsid w:val="000C5B9B"/>
    <w:rsid w:val="000C5B9F"/>
    <w:rsid w:val="000C5D13"/>
    <w:rsid w:val="000C5EAC"/>
    <w:rsid w:val="000C5F55"/>
    <w:rsid w:val="000C6532"/>
    <w:rsid w:val="000C6A2A"/>
    <w:rsid w:val="000C6A3A"/>
    <w:rsid w:val="000C6F31"/>
    <w:rsid w:val="000C7141"/>
    <w:rsid w:val="000C717D"/>
    <w:rsid w:val="000C7242"/>
    <w:rsid w:val="000C7456"/>
    <w:rsid w:val="000C7735"/>
    <w:rsid w:val="000C798C"/>
    <w:rsid w:val="000C7BFB"/>
    <w:rsid w:val="000C7D86"/>
    <w:rsid w:val="000C7D9B"/>
    <w:rsid w:val="000C7E06"/>
    <w:rsid w:val="000D0040"/>
    <w:rsid w:val="000D082A"/>
    <w:rsid w:val="000D0B12"/>
    <w:rsid w:val="000D0BB2"/>
    <w:rsid w:val="000D0C7B"/>
    <w:rsid w:val="000D0D5C"/>
    <w:rsid w:val="000D0FB9"/>
    <w:rsid w:val="000D10F6"/>
    <w:rsid w:val="000D1165"/>
    <w:rsid w:val="000D15BE"/>
    <w:rsid w:val="000D16A2"/>
    <w:rsid w:val="000D1749"/>
    <w:rsid w:val="000D21EF"/>
    <w:rsid w:val="000D2274"/>
    <w:rsid w:val="000D232A"/>
    <w:rsid w:val="000D24D1"/>
    <w:rsid w:val="000D24D8"/>
    <w:rsid w:val="000D2592"/>
    <w:rsid w:val="000D25A8"/>
    <w:rsid w:val="000D2EEC"/>
    <w:rsid w:val="000D3185"/>
    <w:rsid w:val="000D32EA"/>
    <w:rsid w:val="000D390B"/>
    <w:rsid w:val="000D3CF4"/>
    <w:rsid w:val="000D3D89"/>
    <w:rsid w:val="000D3E6B"/>
    <w:rsid w:val="000D3F1D"/>
    <w:rsid w:val="000D3F4E"/>
    <w:rsid w:val="000D47FF"/>
    <w:rsid w:val="000D4805"/>
    <w:rsid w:val="000D4948"/>
    <w:rsid w:val="000D4C2C"/>
    <w:rsid w:val="000D4EAC"/>
    <w:rsid w:val="000D4FB1"/>
    <w:rsid w:val="000D51E3"/>
    <w:rsid w:val="000D5456"/>
    <w:rsid w:val="000D5488"/>
    <w:rsid w:val="000D55DC"/>
    <w:rsid w:val="000D5737"/>
    <w:rsid w:val="000D58F0"/>
    <w:rsid w:val="000D5944"/>
    <w:rsid w:val="000D59F9"/>
    <w:rsid w:val="000D5CBA"/>
    <w:rsid w:val="000D5DFF"/>
    <w:rsid w:val="000D63C0"/>
    <w:rsid w:val="000D640F"/>
    <w:rsid w:val="000D6717"/>
    <w:rsid w:val="000D6AD3"/>
    <w:rsid w:val="000D6BF1"/>
    <w:rsid w:val="000D6C2B"/>
    <w:rsid w:val="000D6CE4"/>
    <w:rsid w:val="000D6FCE"/>
    <w:rsid w:val="000D72A6"/>
    <w:rsid w:val="000D72C2"/>
    <w:rsid w:val="000D7429"/>
    <w:rsid w:val="000D7497"/>
    <w:rsid w:val="000D7647"/>
    <w:rsid w:val="000D7A00"/>
    <w:rsid w:val="000D7A6A"/>
    <w:rsid w:val="000E0646"/>
    <w:rsid w:val="000E06C7"/>
    <w:rsid w:val="000E0830"/>
    <w:rsid w:val="000E0CAD"/>
    <w:rsid w:val="000E0D51"/>
    <w:rsid w:val="000E0F32"/>
    <w:rsid w:val="000E15DF"/>
    <w:rsid w:val="000E17C8"/>
    <w:rsid w:val="000E1851"/>
    <w:rsid w:val="000E1B25"/>
    <w:rsid w:val="000E20C3"/>
    <w:rsid w:val="000E20D1"/>
    <w:rsid w:val="000E20E9"/>
    <w:rsid w:val="000E2141"/>
    <w:rsid w:val="000E2646"/>
    <w:rsid w:val="000E270A"/>
    <w:rsid w:val="000E2715"/>
    <w:rsid w:val="000E2718"/>
    <w:rsid w:val="000E2B6A"/>
    <w:rsid w:val="000E2BAE"/>
    <w:rsid w:val="000E2F2A"/>
    <w:rsid w:val="000E3256"/>
    <w:rsid w:val="000E325C"/>
    <w:rsid w:val="000E392E"/>
    <w:rsid w:val="000E3943"/>
    <w:rsid w:val="000E3BEF"/>
    <w:rsid w:val="000E3FCA"/>
    <w:rsid w:val="000E4015"/>
    <w:rsid w:val="000E4563"/>
    <w:rsid w:val="000E4931"/>
    <w:rsid w:val="000E4C53"/>
    <w:rsid w:val="000E4E5B"/>
    <w:rsid w:val="000E5151"/>
    <w:rsid w:val="000E5296"/>
    <w:rsid w:val="000E52DC"/>
    <w:rsid w:val="000E5346"/>
    <w:rsid w:val="000E55F0"/>
    <w:rsid w:val="000E56DF"/>
    <w:rsid w:val="000E571C"/>
    <w:rsid w:val="000E5A56"/>
    <w:rsid w:val="000E5DF3"/>
    <w:rsid w:val="000E5F21"/>
    <w:rsid w:val="000E6123"/>
    <w:rsid w:val="000E61CD"/>
    <w:rsid w:val="000E62B8"/>
    <w:rsid w:val="000E641E"/>
    <w:rsid w:val="000E645B"/>
    <w:rsid w:val="000E6587"/>
    <w:rsid w:val="000E6715"/>
    <w:rsid w:val="000E68B1"/>
    <w:rsid w:val="000E690B"/>
    <w:rsid w:val="000E6AB3"/>
    <w:rsid w:val="000E6B8B"/>
    <w:rsid w:val="000E6F73"/>
    <w:rsid w:val="000E7099"/>
    <w:rsid w:val="000E73ED"/>
    <w:rsid w:val="000E7464"/>
    <w:rsid w:val="000E754F"/>
    <w:rsid w:val="000E769D"/>
    <w:rsid w:val="000E780B"/>
    <w:rsid w:val="000E7C8B"/>
    <w:rsid w:val="000E7FB4"/>
    <w:rsid w:val="000F029C"/>
    <w:rsid w:val="000F0540"/>
    <w:rsid w:val="000F05B3"/>
    <w:rsid w:val="000F06FE"/>
    <w:rsid w:val="000F0BA5"/>
    <w:rsid w:val="000F0BD3"/>
    <w:rsid w:val="000F1174"/>
    <w:rsid w:val="000F1210"/>
    <w:rsid w:val="000F1631"/>
    <w:rsid w:val="000F18E4"/>
    <w:rsid w:val="000F1A32"/>
    <w:rsid w:val="000F201C"/>
    <w:rsid w:val="000F205F"/>
    <w:rsid w:val="000F2073"/>
    <w:rsid w:val="000F2475"/>
    <w:rsid w:val="000F252C"/>
    <w:rsid w:val="000F2D5E"/>
    <w:rsid w:val="000F2E06"/>
    <w:rsid w:val="000F319C"/>
    <w:rsid w:val="000F350E"/>
    <w:rsid w:val="000F3566"/>
    <w:rsid w:val="000F38D9"/>
    <w:rsid w:val="000F3964"/>
    <w:rsid w:val="000F39DB"/>
    <w:rsid w:val="000F3C9A"/>
    <w:rsid w:val="000F3DE7"/>
    <w:rsid w:val="000F3FF8"/>
    <w:rsid w:val="000F425B"/>
    <w:rsid w:val="000F42F2"/>
    <w:rsid w:val="000F4567"/>
    <w:rsid w:val="000F45A3"/>
    <w:rsid w:val="000F4753"/>
    <w:rsid w:val="000F48C6"/>
    <w:rsid w:val="000F508D"/>
    <w:rsid w:val="000F517C"/>
    <w:rsid w:val="000F5450"/>
    <w:rsid w:val="000F568C"/>
    <w:rsid w:val="000F5774"/>
    <w:rsid w:val="000F57DC"/>
    <w:rsid w:val="000F59BD"/>
    <w:rsid w:val="000F5D05"/>
    <w:rsid w:val="000F5FBF"/>
    <w:rsid w:val="000F61FA"/>
    <w:rsid w:val="000F62C2"/>
    <w:rsid w:val="000F64D9"/>
    <w:rsid w:val="000F67A7"/>
    <w:rsid w:val="000F685D"/>
    <w:rsid w:val="000F68BA"/>
    <w:rsid w:val="000F69C1"/>
    <w:rsid w:val="000F6A95"/>
    <w:rsid w:val="000F6B70"/>
    <w:rsid w:val="000F6BAC"/>
    <w:rsid w:val="000F6C06"/>
    <w:rsid w:val="000F798D"/>
    <w:rsid w:val="000F7B16"/>
    <w:rsid w:val="000F7CB2"/>
    <w:rsid w:val="000F7CF9"/>
    <w:rsid w:val="000F7D5F"/>
    <w:rsid w:val="000F7FFA"/>
    <w:rsid w:val="001000B2"/>
    <w:rsid w:val="001001CA"/>
    <w:rsid w:val="001002BA"/>
    <w:rsid w:val="00100479"/>
    <w:rsid w:val="001006D5"/>
    <w:rsid w:val="001007A1"/>
    <w:rsid w:val="00100961"/>
    <w:rsid w:val="00100A22"/>
    <w:rsid w:val="00100AEF"/>
    <w:rsid w:val="00100C2D"/>
    <w:rsid w:val="00100CD2"/>
    <w:rsid w:val="00100E7C"/>
    <w:rsid w:val="00101140"/>
    <w:rsid w:val="001013EA"/>
    <w:rsid w:val="001014CF"/>
    <w:rsid w:val="00101823"/>
    <w:rsid w:val="00101868"/>
    <w:rsid w:val="00101D6C"/>
    <w:rsid w:val="00101E7E"/>
    <w:rsid w:val="00101F60"/>
    <w:rsid w:val="00102498"/>
    <w:rsid w:val="00102568"/>
    <w:rsid w:val="0010285D"/>
    <w:rsid w:val="001028E0"/>
    <w:rsid w:val="00102BAD"/>
    <w:rsid w:val="00102BC7"/>
    <w:rsid w:val="00102CBF"/>
    <w:rsid w:val="001034B2"/>
    <w:rsid w:val="001034D6"/>
    <w:rsid w:val="0010353B"/>
    <w:rsid w:val="00103870"/>
    <w:rsid w:val="001039E2"/>
    <w:rsid w:val="00103A86"/>
    <w:rsid w:val="00103AA8"/>
    <w:rsid w:val="00103C6A"/>
    <w:rsid w:val="00103F93"/>
    <w:rsid w:val="001046D8"/>
    <w:rsid w:val="001047D7"/>
    <w:rsid w:val="00105250"/>
    <w:rsid w:val="001053D5"/>
    <w:rsid w:val="00105A62"/>
    <w:rsid w:val="00105B3E"/>
    <w:rsid w:val="00105B9F"/>
    <w:rsid w:val="00105D45"/>
    <w:rsid w:val="001061EC"/>
    <w:rsid w:val="00106335"/>
    <w:rsid w:val="001063EF"/>
    <w:rsid w:val="001065B1"/>
    <w:rsid w:val="0010667C"/>
    <w:rsid w:val="001066B5"/>
    <w:rsid w:val="001069A1"/>
    <w:rsid w:val="00106A54"/>
    <w:rsid w:val="00106B01"/>
    <w:rsid w:val="00106BF8"/>
    <w:rsid w:val="00106E71"/>
    <w:rsid w:val="0010717B"/>
    <w:rsid w:val="00107601"/>
    <w:rsid w:val="0010762F"/>
    <w:rsid w:val="00107AD0"/>
    <w:rsid w:val="00107E2E"/>
    <w:rsid w:val="00107EBC"/>
    <w:rsid w:val="00107FA3"/>
    <w:rsid w:val="0011011D"/>
    <w:rsid w:val="00110436"/>
    <w:rsid w:val="0011044F"/>
    <w:rsid w:val="001104D2"/>
    <w:rsid w:val="00110550"/>
    <w:rsid w:val="001105A3"/>
    <w:rsid w:val="001106C1"/>
    <w:rsid w:val="001107DD"/>
    <w:rsid w:val="001109F1"/>
    <w:rsid w:val="00110D49"/>
    <w:rsid w:val="00110D5D"/>
    <w:rsid w:val="00110E9A"/>
    <w:rsid w:val="001112EC"/>
    <w:rsid w:val="00111367"/>
    <w:rsid w:val="00111643"/>
    <w:rsid w:val="00111BE2"/>
    <w:rsid w:val="00111D05"/>
    <w:rsid w:val="00111E4B"/>
    <w:rsid w:val="001123BB"/>
    <w:rsid w:val="0011268D"/>
    <w:rsid w:val="00112854"/>
    <w:rsid w:val="00112934"/>
    <w:rsid w:val="00112990"/>
    <w:rsid w:val="00112BD3"/>
    <w:rsid w:val="00112C01"/>
    <w:rsid w:val="00112DD3"/>
    <w:rsid w:val="001135E3"/>
    <w:rsid w:val="0011369E"/>
    <w:rsid w:val="00113D49"/>
    <w:rsid w:val="0011426C"/>
    <w:rsid w:val="001143FA"/>
    <w:rsid w:val="00114402"/>
    <w:rsid w:val="0011440A"/>
    <w:rsid w:val="00114786"/>
    <w:rsid w:val="00114B89"/>
    <w:rsid w:val="00114E9C"/>
    <w:rsid w:val="00114FC0"/>
    <w:rsid w:val="00114FDB"/>
    <w:rsid w:val="00115002"/>
    <w:rsid w:val="00115606"/>
    <w:rsid w:val="0011583E"/>
    <w:rsid w:val="001158E1"/>
    <w:rsid w:val="00115990"/>
    <w:rsid w:val="00115E5A"/>
    <w:rsid w:val="0011606D"/>
    <w:rsid w:val="0011612E"/>
    <w:rsid w:val="00116625"/>
    <w:rsid w:val="00116764"/>
    <w:rsid w:val="00116806"/>
    <w:rsid w:val="00116A44"/>
    <w:rsid w:val="00116C78"/>
    <w:rsid w:val="00116D09"/>
    <w:rsid w:val="00116E66"/>
    <w:rsid w:val="00116E86"/>
    <w:rsid w:val="00116FCF"/>
    <w:rsid w:val="0011743B"/>
    <w:rsid w:val="0011755B"/>
    <w:rsid w:val="001177CA"/>
    <w:rsid w:val="001177CF"/>
    <w:rsid w:val="00117CB9"/>
    <w:rsid w:val="00117CED"/>
    <w:rsid w:val="00117E5A"/>
    <w:rsid w:val="00117FA5"/>
    <w:rsid w:val="00120216"/>
    <w:rsid w:val="00120338"/>
    <w:rsid w:val="00120428"/>
    <w:rsid w:val="0012044D"/>
    <w:rsid w:val="001204B2"/>
    <w:rsid w:val="00120DE0"/>
    <w:rsid w:val="00120E91"/>
    <w:rsid w:val="00120ECA"/>
    <w:rsid w:val="00121089"/>
    <w:rsid w:val="001214E8"/>
    <w:rsid w:val="0012152A"/>
    <w:rsid w:val="001215AB"/>
    <w:rsid w:val="001218C4"/>
    <w:rsid w:val="001219A7"/>
    <w:rsid w:val="00121B53"/>
    <w:rsid w:val="00121EFA"/>
    <w:rsid w:val="00121F8D"/>
    <w:rsid w:val="00121FD8"/>
    <w:rsid w:val="0012240D"/>
    <w:rsid w:val="00122499"/>
    <w:rsid w:val="00122909"/>
    <w:rsid w:val="00122B15"/>
    <w:rsid w:val="00122E4A"/>
    <w:rsid w:val="00123356"/>
    <w:rsid w:val="00123849"/>
    <w:rsid w:val="0012401A"/>
    <w:rsid w:val="001240ED"/>
    <w:rsid w:val="001242C8"/>
    <w:rsid w:val="00124586"/>
    <w:rsid w:val="00124ABE"/>
    <w:rsid w:val="00124E86"/>
    <w:rsid w:val="00124EB9"/>
    <w:rsid w:val="0012550B"/>
    <w:rsid w:val="00125510"/>
    <w:rsid w:val="001256FF"/>
    <w:rsid w:val="00125801"/>
    <w:rsid w:val="00125816"/>
    <w:rsid w:val="00125C77"/>
    <w:rsid w:val="00126297"/>
    <w:rsid w:val="0012677B"/>
    <w:rsid w:val="0012682B"/>
    <w:rsid w:val="00126AE7"/>
    <w:rsid w:val="00127443"/>
    <w:rsid w:val="00127621"/>
    <w:rsid w:val="00127C4F"/>
    <w:rsid w:val="00127C7C"/>
    <w:rsid w:val="00127FC3"/>
    <w:rsid w:val="001301D6"/>
    <w:rsid w:val="00130371"/>
    <w:rsid w:val="00130BEC"/>
    <w:rsid w:val="00130D20"/>
    <w:rsid w:val="00131272"/>
    <w:rsid w:val="0013146B"/>
    <w:rsid w:val="001317E6"/>
    <w:rsid w:val="00131813"/>
    <w:rsid w:val="001319E3"/>
    <w:rsid w:val="00131A9D"/>
    <w:rsid w:val="00131C08"/>
    <w:rsid w:val="00132016"/>
    <w:rsid w:val="001322A7"/>
    <w:rsid w:val="0013243F"/>
    <w:rsid w:val="0013277D"/>
    <w:rsid w:val="001327CE"/>
    <w:rsid w:val="00132A26"/>
    <w:rsid w:val="00132BEA"/>
    <w:rsid w:val="00132D51"/>
    <w:rsid w:val="00133266"/>
    <w:rsid w:val="00133674"/>
    <w:rsid w:val="0013377F"/>
    <w:rsid w:val="001339F4"/>
    <w:rsid w:val="00133A05"/>
    <w:rsid w:val="00133BDF"/>
    <w:rsid w:val="00133E44"/>
    <w:rsid w:val="0013412D"/>
    <w:rsid w:val="001345AA"/>
    <w:rsid w:val="001347D7"/>
    <w:rsid w:val="00134B39"/>
    <w:rsid w:val="00134B99"/>
    <w:rsid w:val="00134D1F"/>
    <w:rsid w:val="00134E76"/>
    <w:rsid w:val="00134EBF"/>
    <w:rsid w:val="001353CF"/>
    <w:rsid w:val="0013545E"/>
    <w:rsid w:val="001359B4"/>
    <w:rsid w:val="00135B2A"/>
    <w:rsid w:val="00135F26"/>
    <w:rsid w:val="00135FA9"/>
    <w:rsid w:val="00136123"/>
    <w:rsid w:val="0013620E"/>
    <w:rsid w:val="00136802"/>
    <w:rsid w:val="0013686B"/>
    <w:rsid w:val="00136916"/>
    <w:rsid w:val="00136FBD"/>
    <w:rsid w:val="00137007"/>
    <w:rsid w:val="0013725B"/>
    <w:rsid w:val="00137292"/>
    <w:rsid w:val="001373BD"/>
    <w:rsid w:val="001373E6"/>
    <w:rsid w:val="0013752C"/>
    <w:rsid w:val="00137E26"/>
    <w:rsid w:val="00137FD3"/>
    <w:rsid w:val="001401B8"/>
    <w:rsid w:val="0014021A"/>
    <w:rsid w:val="001409FD"/>
    <w:rsid w:val="00140EFE"/>
    <w:rsid w:val="00140F2E"/>
    <w:rsid w:val="00141592"/>
    <w:rsid w:val="001415C7"/>
    <w:rsid w:val="001415F7"/>
    <w:rsid w:val="001417B0"/>
    <w:rsid w:val="0014193D"/>
    <w:rsid w:val="001419A2"/>
    <w:rsid w:val="001419EC"/>
    <w:rsid w:val="00141B60"/>
    <w:rsid w:val="00141B8A"/>
    <w:rsid w:val="00141E8C"/>
    <w:rsid w:val="0014264F"/>
    <w:rsid w:val="001426B9"/>
    <w:rsid w:val="00142B32"/>
    <w:rsid w:val="00142D65"/>
    <w:rsid w:val="00142D86"/>
    <w:rsid w:val="00142FC5"/>
    <w:rsid w:val="001436BB"/>
    <w:rsid w:val="00143AF3"/>
    <w:rsid w:val="001440D9"/>
    <w:rsid w:val="001442D2"/>
    <w:rsid w:val="001443A1"/>
    <w:rsid w:val="0014470F"/>
    <w:rsid w:val="001447D0"/>
    <w:rsid w:val="00144BCD"/>
    <w:rsid w:val="00144C75"/>
    <w:rsid w:val="00144CE3"/>
    <w:rsid w:val="0014606D"/>
    <w:rsid w:val="00146330"/>
    <w:rsid w:val="00146547"/>
    <w:rsid w:val="00146710"/>
    <w:rsid w:val="001469E6"/>
    <w:rsid w:val="00146BD6"/>
    <w:rsid w:val="00146E05"/>
    <w:rsid w:val="001470E2"/>
    <w:rsid w:val="001474E5"/>
    <w:rsid w:val="001476CE"/>
    <w:rsid w:val="0014798F"/>
    <w:rsid w:val="001479BC"/>
    <w:rsid w:val="00147C67"/>
    <w:rsid w:val="00147CEF"/>
    <w:rsid w:val="00150075"/>
    <w:rsid w:val="001500A7"/>
    <w:rsid w:val="001508E6"/>
    <w:rsid w:val="00150E2F"/>
    <w:rsid w:val="00150EEF"/>
    <w:rsid w:val="00150F79"/>
    <w:rsid w:val="00151509"/>
    <w:rsid w:val="001516AC"/>
    <w:rsid w:val="001516AD"/>
    <w:rsid w:val="00151AFC"/>
    <w:rsid w:val="00151B59"/>
    <w:rsid w:val="00151D2C"/>
    <w:rsid w:val="001525DC"/>
    <w:rsid w:val="00152663"/>
    <w:rsid w:val="00152A27"/>
    <w:rsid w:val="00152CE3"/>
    <w:rsid w:val="00153048"/>
    <w:rsid w:val="00153173"/>
    <w:rsid w:val="0015324C"/>
    <w:rsid w:val="0015387E"/>
    <w:rsid w:val="00153963"/>
    <w:rsid w:val="00153A60"/>
    <w:rsid w:val="00153B58"/>
    <w:rsid w:val="001541BC"/>
    <w:rsid w:val="001541CC"/>
    <w:rsid w:val="001544D0"/>
    <w:rsid w:val="001545C6"/>
    <w:rsid w:val="0015468F"/>
    <w:rsid w:val="001546BD"/>
    <w:rsid w:val="001548BF"/>
    <w:rsid w:val="00154955"/>
    <w:rsid w:val="00154C3F"/>
    <w:rsid w:val="00154D92"/>
    <w:rsid w:val="00154EE8"/>
    <w:rsid w:val="001551EB"/>
    <w:rsid w:val="00155252"/>
    <w:rsid w:val="00155495"/>
    <w:rsid w:val="001555B6"/>
    <w:rsid w:val="0015561C"/>
    <w:rsid w:val="0015584B"/>
    <w:rsid w:val="00155B49"/>
    <w:rsid w:val="00155D12"/>
    <w:rsid w:val="00155E1F"/>
    <w:rsid w:val="0015604C"/>
    <w:rsid w:val="001560AF"/>
    <w:rsid w:val="0015616F"/>
    <w:rsid w:val="001563DA"/>
    <w:rsid w:val="00156598"/>
    <w:rsid w:val="001567F6"/>
    <w:rsid w:val="00156F46"/>
    <w:rsid w:val="00156F57"/>
    <w:rsid w:val="001570A0"/>
    <w:rsid w:val="00157698"/>
    <w:rsid w:val="001577FD"/>
    <w:rsid w:val="00157819"/>
    <w:rsid w:val="001578CF"/>
    <w:rsid w:val="00157AB6"/>
    <w:rsid w:val="00157B7D"/>
    <w:rsid w:val="00157BF7"/>
    <w:rsid w:val="00157C0B"/>
    <w:rsid w:val="001600C7"/>
    <w:rsid w:val="001600D1"/>
    <w:rsid w:val="001601E2"/>
    <w:rsid w:val="001603A6"/>
    <w:rsid w:val="001606F8"/>
    <w:rsid w:val="00160DD2"/>
    <w:rsid w:val="00160E90"/>
    <w:rsid w:val="00161090"/>
    <w:rsid w:val="0016110A"/>
    <w:rsid w:val="00161181"/>
    <w:rsid w:val="00161820"/>
    <w:rsid w:val="001620A1"/>
    <w:rsid w:val="00162522"/>
    <w:rsid w:val="0016274E"/>
    <w:rsid w:val="00162C71"/>
    <w:rsid w:val="00162CC2"/>
    <w:rsid w:val="00162D6E"/>
    <w:rsid w:val="00163047"/>
    <w:rsid w:val="0016316B"/>
    <w:rsid w:val="00163284"/>
    <w:rsid w:val="001633E2"/>
    <w:rsid w:val="0016387E"/>
    <w:rsid w:val="00163A25"/>
    <w:rsid w:val="00163C04"/>
    <w:rsid w:val="00164034"/>
    <w:rsid w:val="00164105"/>
    <w:rsid w:val="001641AE"/>
    <w:rsid w:val="0016486A"/>
    <w:rsid w:val="00164FE8"/>
    <w:rsid w:val="00165011"/>
    <w:rsid w:val="00165342"/>
    <w:rsid w:val="00165390"/>
    <w:rsid w:val="001658AA"/>
    <w:rsid w:val="001659BA"/>
    <w:rsid w:val="00165B12"/>
    <w:rsid w:val="00166020"/>
    <w:rsid w:val="0016619F"/>
    <w:rsid w:val="001664C6"/>
    <w:rsid w:val="001665DA"/>
    <w:rsid w:val="001668F6"/>
    <w:rsid w:val="00166DBC"/>
    <w:rsid w:val="00167252"/>
    <w:rsid w:val="00167347"/>
    <w:rsid w:val="001677AE"/>
    <w:rsid w:val="00167A2F"/>
    <w:rsid w:val="00167CEB"/>
    <w:rsid w:val="0017024B"/>
    <w:rsid w:val="0017042D"/>
    <w:rsid w:val="001704A8"/>
    <w:rsid w:val="001708D3"/>
    <w:rsid w:val="0017093B"/>
    <w:rsid w:val="001709D8"/>
    <w:rsid w:val="00170BDE"/>
    <w:rsid w:val="00170CF1"/>
    <w:rsid w:val="00171044"/>
    <w:rsid w:val="001710BB"/>
    <w:rsid w:val="00171316"/>
    <w:rsid w:val="00171394"/>
    <w:rsid w:val="00171894"/>
    <w:rsid w:val="00171900"/>
    <w:rsid w:val="0017199E"/>
    <w:rsid w:val="001719FD"/>
    <w:rsid w:val="00171A62"/>
    <w:rsid w:val="00172112"/>
    <w:rsid w:val="00172499"/>
    <w:rsid w:val="001724A8"/>
    <w:rsid w:val="001729C5"/>
    <w:rsid w:val="00172B18"/>
    <w:rsid w:val="00173017"/>
    <w:rsid w:val="001736DE"/>
    <w:rsid w:val="00173A8B"/>
    <w:rsid w:val="00173A8C"/>
    <w:rsid w:val="00173CCA"/>
    <w:rsid w:val="00173D3D"/>
    <w:rsid w:val="00173F69"/>
    <w:rsid w:val="00174353"/>
    <w:rsid w:val="00174481"/>
    <w:rsid w:val="00174C3C"/>
    <w:rsid w:val="00174E2A"/>
    <w:rsid w:val="00175019"/>
    <w:rsid w:val="001750AE"/>
    <w:rsid w:val="00175164"/>
    <w:rsid w:val="001752E3"/>
    <w:rsid w:val="0017549C"/>
    <w:rsid w:val="0017554F"/>
    <w:rsid w:val="00175B60"/>
    <w:rsid w:val="0017604B"/>
    <w:rsid w:val="0017609C"/>
    <w:rsid w:val="001760EE"/>
    <w:rsid w:val="001761CE"/>
    <w:rsid w:val="0017630D"/>
    <w:rsid w:val="0017661C"/>
    <w:rsid w:val="0017681D"/>
    <w:rsid w:val="00176940"/>
    <w:rsid w:val="00176B63"/>
    <w:rsid w:val="00176B88"/>
    <w:rsid w:val="00176CC1"/>
    <w:rsid w:val="00176D56"/>
    <w:rsid w:val="00176E2D"/>
    <w:rsid w:val="001771C4"/>
    <w:rsid w:val="00177403"/>
    <w:rsid w:val="00177615"/>
    <w:rsid w:val="001776A1"/>
    <w:rsid w:val="0017786E"/>
    <w:rsid w:val="00177F3E"/>
    <w:rsid w:val="001801B0"/>
    <w:rsid w:val="001802A0"/>
    <w:rsid w:val="0018037C"/>
    <w:rsid w:val="00180442"/>
    <w:rsid w:val="00181123"/>
    <w:rsid w:val="001811D9"/>
    <w:rsid w:val="001816A1"/>
    <w:rsid w:val="001818EA"/>
    <w:rsid w:val="001818F3"/>
    <w:rsid w:val="001819A8"/>
    <w:rsid w:val="001822B0"/>
    <w:rsid w:val="00182348"/>
    <w:rsid w:val="00182378"/>
    <w:rsid w:val="0018245E"/>
    <w:rsid w:val="0018258B"/>
    <w:rsid w:val="00182B8D"/>
    <w:rsid w:val="00182D22"/>
    <w:rsid w:val="0018303D"/>
    <w:rsid w:val="001832BD"/>
    <w:rsid w:val="001835EA"/>
    <w:rsid w:val="00183621"/>
    <w:rsid w:val="00183868"/>
    <w:rsid w:val="00183945"/>
    <w:rsid w:val="00183BF2"/>
    <w:rsid w:val="00183CA2"/>
    <w:rsid w:val="00183D00"/>
    <w:rsid w:val="00183FE8"/>
    <w:rsid w:val="0018429E"/>
    <w:rsid w:val="001842CB"/>
    <w:rsid w:val="0018441C"/>
    <w:rsid w:val="001845E5"/>
    <w:rsid w:val="00184A8F"/>
    <w:rsid w:val="00184EA4"/>
    <w:rsid w:val="00184FDE"/>
    <w:rsid w:val="001850A1"/>
    <w:rsid w:val="00185115"/>
    <w:rsid w:val="0018517E"/>
    <w:rsid w:val="00185C2E"/>
    <w:rsid w:val="00185DCD"/>
    <w:rsid w:val="001866CB"/>
    <w:rsid w:val="00186A2C"/>
    <w:rsid w:val="00186C3D"/>
    <w:rsid w:val="00186F8A"/>
    <w:rsid w:val="0018715F"/>
    <w:rsid w:val="001872D0"/>
    <w:rsid w:val="0018744B"/>
    <w:rsid w:val="00187618"/>
    <w:rsid w:val="0018787E"/>
    <w:rsid w:val="00187C9A"/>
    <w:rsid w:val="00187E58"/>
    <w:rsid w:val="00190193"/>
    <w:rsid w:val="00190239"/>
    <w:rsid w:val="001902F4"/>
    <w:rsid w:val="001904C5"/>
    <w:rsid w:val="001905B0"/>
    <w:rsid w:val="00190617"/>
    <w:rsid w:val="00190618"/>
    <w:rsid w:val="00190818"/>
    <w:rsid w:val="00190822"/>
    <w:rsid w:val="00190E04"/>
    <w:rsid w:val="00190F07"/>
    <w:rsid w:val="00190F94"/>
    <w:rsid w:val="00190FBD"/>
    <w:rsid w:val="001913B4"/>
    <w:rsid w:val="001913EE"/>
    <w:rsid w:val="00191411"/>
    <w:rsid w:val="001917B3"/>
    <w:rsid w:val="00191B46"/>
    <w:rsid w:val="00191BA3"/>
    <w:rsid w:val="00191D4E"/>
    <w:rsid w:val="00191DD7"/>
    <w:rsid w:val="00191E8F"/>
    <w:rsid w:val="00192066"/>
    <w:rsid w:val="001920A8"/>
    <w:rsid w:val="0019227F"/>
    <w:rsid w:val="001923B8"/>
    <w:rsid w:val="0019278E"/>
    <w:rsid w:val="00192882"/>
    <w:rsid w:val="00192CEE"/>
    <w:rsid w:val="00192D4A"/>
    <w:rsid w:val="00192DBD"/>
    <w:rsid w:val="00192F06"/>
    <w:rsid w:val="00192FE8"/>
    <w:rsid w:val="0019303F"/>
    <w:rsid w:val="0019320E"/>
    <w:rsid w:val="00193725"/>
    <w:rsid w:val="001937C5"/>
    <w:rsid w:val="001937F6"/>
    <w:rsid w:val="0019393D"/>
    <w:rsid w:val="00193AAC"/>
    <w:rsid w:val="00193CA8"/>
    <w:rsid w:val="00193FEB"/>
    <w:rsid w:val="00194160"/>
    <w:rsid w:val="0019455F"/>
    <w:rsid w:val="00194569"/>
    <w:rsid w:val="0019461B"/>
    <w:rsid w:val="0019465E"/>
    <w:rsid w:val="00194E66"/>
    <w:rsid w:val="00195011"/>
    <w:rsid w:val="0019507A"/>
    <w:rsid w:val="001953AB"/>
    <w:rsid w:val="0019547C"/>
    <w:rsid w:val="001955C0"/>
    <w:rsid w:val="00195725"/>
    <w:rsid w:val="00195BF2"/>
    <w:rsid w:val="00195C25"/>
    <w:rsid w:val="00195E4A"/>
    <w:rsid w:val="00195E5D"/>
    <w:rsid w:val="0019609A"/>
    <w:rsid w:val="00196263"/>
    <w:rsid w:val="00196390"/>
    <w:rsid w:val="001963F4"/>
    <w:rsid w:val="00196758"/>
    <w:rsid w:val="001969CE"/>
    <w:rsid w:val="00196ABD"/>
    <w:rsid w:val="00196B6D"/>
    <w:rsid w:val="00196F18"/>
    <w:rsid w:val="00196F32"/>
    <w:rsid w:val="001976FD"/>
    <w:rsid w:val="0019784B"/>
    <w:rsid w:val="0019787F"/>
    <w:rsid w:val="00197AB0"/>
    <w:rsid w:val="001A03F8"/>
    <w:rsid w:val="001A0550"/>
    <w:rsid w:val="001A0C60"/>
    <w:rsid w:val="001A0FB3"/>
    <w:rsid w:val="001A1311"/>
    <w:rsid w:val="001A150D"/>
    <w:rsid w:val="001A1949"/>
    <w:rsid w:val="001A1965"/>
    <w:rsid w:val="001A1D1A"/>
    <w:rsid w:val="001A21AF"/>
    <w:rsid w:val="001A24B2"/>
    <w:rsid w:val="001A2C00"/>
    <w:rsid w:val="001A2C2E"/>
    <w:rsid w:val="001A2DFC"/>
    <w:rsid w:val="001A32B9"/>
    <w:rsid w:val="001A33E9"/>
    <w:rsid w:val="001A340A"/>
    <w:rsid w:val="001A38B5"/>
    <w:rsid w:val="001A3995"/>
    <w:rsid w:val="001A3A8D"/>
    <w:rsid w:val="001A3AD1"/>
    <w:rsid w:val="001A3B1A"/>
    <w:rsid w:val="001A3D25"/>
    <w:rsid w:val="001A3DBE"/>
    <w:rsid w:val="001A4281"/>
    <w:rsid w:val="001A474E"/>
    <w:rsid w:val="001A48FF"/>
    <w:rsid w:val="001A490B"/>
    <w:rsid w:val="001A4927"/>
    <w:rsid w:val="001A4A30"/>
    <w:rsid w:val="001A4B4B"/>
    <w:rsid w:val="001A4D2F"/>
    <w:rsid w:val="001A4D53"/>
    <w:rsid w:val="001A5050"/>
    <w:rsid w:val="001A50F6"/>
    <w:rsid w:val="001A5247"/>
    <w:rsid w:val="001A52A0"/>
    <w:rsid w:val="001A52E4"/>
    <w:rsid w:val="001A5451"/>
    <w:rsid w:val="001A54CE"/>
    <w:rsid w:val="001A5A16"/>
    <w:rsid w:val="001A5ACC"/>
    <w:rsid w:val="001A5B65"/>
    <w:rsid w:val="001A6317"/>
    <w:rsid w:val="001A6336"/>
    <w:rsid w:val="001A6573"/>
    <w:rsid w:val="001A6999"/>
    <w:rsid w:val="001A6AD3"/>
    <w:rsid w:val="001A6DF3"/>
    <w:rsid w:val="001A6E91"/>
    <w:rsid w:val="001A6FA6"/>
    <w:rsid w:val="001A70B5"/>
    <w:rsid w:val="001A7868"/>
    <w:rsid w:val="001A7A55"/>
    <w:rsid w:val="001A7BF8"/>
    <w:rsid w:val="001A7C85"/>
    <w:rsid w:val="001A7E24"/>
    <w:rsid w:val="001A7E64"/>
    <w:rsid w:val="001A7EAA"/>
    <w:rsid w:val="001A7F0C"/>
    <w:rsid w:val="001B01B0"/>
    <w:rsid w:val="001B079C"/>
    <w:rsid w:val="001B0DA5"/>
    <w:rsid w:val="001B0DAB"/>
    <w:rsid w:val="001B0DE2"/>
    <w:rsid w:val="001B0FAF"/>
    <w:rsid w:val="001B0FE8"/>
    <w:rsid w:val="001B1228"/>
    <w:rsid w:val="001B14A9"/>
    <w:rsid w:val="001B1826"/>
    <w:rsid w:val="001B192C"/>
    <w:rsid w:val="001B1944"/>
    <w:rsid w:val="001B1A0F"/>
    <w:rsid w:val="001B1A18"/>
    <w:rsid w:val="001B1AB5"/>
    <w:rsid w:val="001B1E6E"/>
    <w:rsid w:val="001B2088"/>
    <w:rsid w:val="001B264D"/>
    <w:rsid w:val="001B2816"/>
    <w:rsid w:val="001B29A9"/>
    <w:rsid w:val="001B29EE"/>
    <w:rsid w:val="001B2B2E"/>
    <w:rsid w:val="001B2B3D"/>
    <w:rsid w:val="001B3087"/>
    <w:rsid w:val="001B3219"/>
    <w:rsid w:val="001B3265"/>
    <w:rsid w:val="001B3408"/>
    <w:rsid w:val="001B35EC"/>
    <w:rsid w:val="001B379F"/>
    <w:rsid w:val="001B386A"/>
    <w:rsid w:val="001B396B"/>
    <w:rsid w:val="001B3DF8"/>
    <w:rsid w:val="001B3EF5"/>
    <w:rsid w:val="001B402E"/>
    <w:rsid w:val="001B417F"/>
    <w:rsid w:val="001B43CE"/>
    <w:rsid w:val="001B44C6"/>
    <w:rsid w:val="001B4726"/>
    <w:rsid w:val="001B4A3A"/>
    <w:rsid w:val="001B4C16"/>
    <w:rsid w:val="001B4C37"/>
    <w:rsid w:val="001B5311"/>
    <w:rsid w:val="001B53DD"/>
    <w:rsid w:val="001B58D9"/>
    <w:rsid w:val="001B59BC"/>
    <w:rsid w:val="001B5AAD"/>
    <w:rsid w:val="001B63A7"/>
    <w:rsid w:val="001B6AC9"/>
    <w:rsid w:val="001B6B1A"/>
    <w:rsid w:val="001B6CCB"/>
    <w:rsid w:val="001B6D03"/>
    <w:rsid w:val="001B6D23"/>
    <w:rsid w:val="001B6D8C"/>
    <w:rsid w:val="001B70E4"/>
    <w:rsid w:val="001B71AD"/>
    <w:rsid w:val="001B73E0"/>
    <w:rsid w:val="001B7502"/>
    <w:rsid w:val="001B7508"/>
    <w:rsid w:val="001B774C"/>
    <w:rsid w:val="001B7A6B"/>
    <w:rsid w:val="001B7C4F"/>
    <w:rsid w:val="001B7CC2"/>
    <w:rsid w:val="001C0110"/>
    <w:rsid w:val="001C0171"/>
    <w:rsid w:val="001C0C4E"/>
    <w:rsid w:val="001C0D68"/>
    <w:rsid w:val="001C0DD7"/>
    <w:rsid w:val="001C1008"/>
    <w:rsid w:val="001C1181"/>
    <w:rsid w:val="001C1A3B"/>
    <w:rsid w:val="001C1C51"/>
    <w:rsid w:val="001C2046"/>
    <w:rsid w:val="001C2159"/>
    <w:rsid w:val="001C228A"/>
    <w:rsid w:val="001C22DB"/>
    <w:rsid w:val="001C22DC"/>
    <w:rsid w:val="001C26AD"/>
    <w:rsid w:val="001C26B2"/>
    <w:rsid w:val="001C2765"/>
    <w:rsid w:val="001C28FC"/>
    <w:rsid w:val="001C2D38"/>
    <w:rsid w:val="001C2F28"/>
    <w:rsid w:val="001C3037"/>
    <w:rsid w:val="001C3358"/>
    <w:rsid w:val="001C34D6"/>
    <w:rsid w:val="001C363F"/>
    <w:rsid w:val="001C3792"/>
    <w:rsid w:val="001C388D"/>
    <w:rsid w:val="001C3981"/>
    <w:rsid w:val="001C3D35"/>
    <w:rsid w:val="001C3EF5"/>
    <w:rsid w:val="001C4429"/>
    <w:rsid w:val="001C489E"/>
    <w:rsid w:val="001C48D4"/>
    <w:rsid w:val="001C4C67"/>
    <w:rsid w:val="001C4E5C"/>
    <w:rsid w:val="001C4EDF"/>
    <w:rsid w:val="001C4FC3"/>
    <w:rsid w:val="001C500C"/>
    <w:rsid w:val="001C502E"/>
    <w:rsid w:val="001C5190"/>
    <w:rsid w:val="001C54AB"/>
    <w:rsid w:val="001C58B7"/>
    <w:rsid w:val="001C5D82"/>
    <w:rsid w:val="001C5DBD"/>
    <w:rsid w:val="001C6423"/>
    <w:rsid w:val="001C65CE"/>
    <w:rsid w:val="001C664F"/>
    <w:rsid w:val="001C6B82"/>
    <w:rsid w:val="001C6F82"/>
    <w:rsid w:val="001C72F4"/>
    <w:rsid w:val="001C7623"/>
    <w:rsid w:val="001C7B0F"/>
    <w:rsid w:val="001C7B96"/>
    <w:rsid w:val="001C7CBD"/>
    <w:rsid w:val="001C7D35"/>
    <w:rsid w:val="001C7E1E"/>
    <w:rsid w:val="001C7E23"/>
    <w:rsid w:val="001C7EE9"/>
    <w:rsid w:val="001D0266"/>
    <w:rsid w:val="001D0387"/>
    <w:rsid w:val="001D03CC"/>
    <w:rsid w:val="001D06C9"/>
    <w:rsid w:val="001D073B"/>
    <w:rsid w:val="001D107D"/>
    <w:rsid w:val="001D1E76"/>
    <w:rsid w:val="001D1FBD"/>
    <w:rsid w:val="001D22A5"/>
    <w:rsid w:val="001D26B1"/>
    <w:rsid w:val="001D274D"/>
    <w:rsid w:val="001D2A98"/>
    <w:rsid w:val="001D2DD4"/>
    <w:rsid w:val="001D2F72"/>
    <w:rsid w:val="001D317B"/>
    <w:rsid w:val="001D3332"/>
    <w:rsid w:val="001D34F9"/>
    <w:rsid w:val="001D374D"/>
    <w:rsid w:val="001D376F"/>
    <w:rsid w:val="001D3821"/>
    <w:rsid w:val="001D3C45"/>
    <w:rsid w:val="001D3C66"/>
    <w:rsid w:val="001D3DEE"/>
    <w:rsid w:val="001D3EFF"/>
    <w:rsid w:val="001D418D"/>
    <w:rsid w:val="001D48D4"/>
    <w:rsid w:val="001D4938"/>
    <w:rsid w:val="001D4973"/>
    <w:rsid w:val="001D4A21"/>
    <w:rsid w:val="001D503B"/>
    <w:rsid w:val="001D5266"/>
    <w:rsid w:val="001D53D1"/>
    <w:rsid w:val="001D53FF"/>
    <w:rsid w:val="001D5566"/>
    <w:rsid w:val="001D571F"/>
    <w:rsid w:val="001D58B1"/>
    <w:rsid w:val="001D5C0A"/>
    <w:rsid w:val="001D5CA3"/>
    <w:rsid w:val="001D5D61"/>
    <w:rsid w:val="001D5FE1"/>
    <w:rsid w:val="001D6166"/>
    <w:rsid w:val="001D617E"/>
    <w:rsid w:val="001D63D4"/>
    <w:rsid w:val="001D6454"/>
    <w:rsid w:val="001D648C"/>
    <w:rsid w:val="001D64A0"/>
    <w:rsid w:val="001D6B9F"/>
    <w:rsid w:val="001D6D1C"/>
    <w:rsid w:val="001D6EAE"/>
    <w:rsid w:val="001D7163"/>
    <w:rsid w:val="001D737C"/>
    <w:rsid w:val="001D74D3"/>
    <w:rsid w:val="001D75DD"/>
    <w:rsid w:val="001D7961"/>
    <w:rsid w:val="001D79AA"/>
    <w:rsid w:val="001D7BF2"/>
    <w:rsid w:val="001D7D00"/>
    <w:rsid w:val="001D7DDD"/>
    <w:rsid w:val="001D7DF1"/>
    <w:rsid w:val="001D7FE1"/>
    <w:rsid w:val="001E024E"/>
    <w:rsid w:val="001E0270"/>
    <w:rsid w:val="001E03E7"/>
    <w:rsid w:val="001E0631"/>
    <w:rsid w:val="001E0737"/>
    <w:rsid w:val="001E0997"/>
    <w:rsid w:val="001E0ACD"/>
    <w:rsid w:val="001E0C1A"/>
    <w:rsid w:val="001E1267"/>
    <w:rsid w:val="001E13DC"/>
    <w:rsid w:val="001E140D"/>
    <w:rsid w:val="001E1583"/>
    <w:rsid w:val="001E1672"/>
    <w:rsid w:val="001E16C3"/>
    <w:rsid w:val="001E180F"/>
    <w:rsid w:val="001E1823"/>
    <w:rsid w:val="001E19A8"/>
    <w:rsid w:val="001E1C29"/>
    <w:rsid w:val="001E1C74"/>
    <w:rsid w:val="001E1D56"/>
    <w:rsid w:val="001E1EED"/>
    <w:rsid w:val="001E233A"/>
    <w:rsid w:val="001E23C4"/>
    <w:rsid w:val="001E24AE"/>
    <w:rsid w:val="001E258D"/>
    <w:rsid w:val="001E2728"/>
    <w:rsid w:val="001E2A62"/>
    <w:rsid w:val="001E2B2D"/>
    <w:rsid w:val="001E2B2E"/>
    <w:rsid w:val="001E2BC3"/>
    <w:rsid w:val="001E3000"/>
    <w:rsid w:val="001E311A"/>
    <w:rsid w:val="001E3123"/>
    <w:rsid w:val="001E339D"/>
    <w:rsid w:val="001E37EA"/>
    <w:rsid w:val="001E3838"/>
    <w:rsid w:val="001E3CC8"/>
    <w:rsid w:val="001E421E"/>
    <w:rsid w:val="001E42B1"/>
    <w:rsid w:val="001E450B"/>
    <w:rsid w:val="001E46F8"/>
    <w:rsid w:val="001E47C7"/>
    <w:rsid w:val="001E490E"/>
    <w:rsid w:val="001E4A86"/>
    <w:rsid w:val="001E4BE3"/>
    <w:rsid w:val="001E4F50"/>
    <w:rsid w:val="001E507C"/>
    <w:rsid w:val="001E54C7"/>
    <w:rsid w:val="001E552F"/>
    <w:rsid w:val="001E5607"/>
    <w:rsid w:val="001E5753"/>
    <w:rsid w:val="001E57B9"/>
    <w:rsid w:val="001E5932"/>
    <w:rsid w:val="001E5A8A"/>
    <w:rsid w:val="001E5B6B"/>
    <w:rsid w:val="001E6072"/>
    <w:rsid w:val="001E6253"/>
    <w:rsid w:val="001E6274"/>
    <w:rsid w:val="001E6577"/>
    <w:rsid w:val="001E65CC"/>
    <w:rsid w:val="001E6958"/>
    <w:rsid w:val="001E69F4"/>
    <w:rsid w:val="001E6EFE"/>
    <w:rsid w:val="001E71A7"/>
    <w:rsid w:val="001E73F0"/>
    <w:rsid w:val="001E74BC"/>
    <w:rsid w:val="001E78FA"/>
    <w:rsid w:val="001E7A8C"/>
    <w:rsid w:val="001E7AD5"/>
    <w:rsid w:val="001E7B79"/>
    <w:rsid w:val="001E7DF3"/>
    <w:rsid w:val="001F03CB"/>
    <w:rsid w:val="001F09C7"/>
    <w:rsid w:val="001F0A31"/>
    <w:rsid w:val="001F0C93"/>
    <w:rsid w:val="001F0C9B"/>
    <w:rsid w:val="001F1085"/>
    <w:rsid w:val="001F1223"/>
    <w:rsid w:val="001F1541"/>
    <w:rsid w:val="001F160A"/>
    <w:rsid w:val="001F176B"/>
    <w:rsid w:val="001F1797"/>
    <w:rsid w:val="001F19B6"/>
    <w:rsid w:val="001F1D7D"/>
    <w:rsid w:val="001F1DB7"/>
    <w:rsid w:val="001F1EE8"/>
    <w:rsid w:val="001F1FF9"/>
    <w:rsid w:val="001F21CD"/>
    <w:rsid w:val="001F23CB"/>
    <w:rsid w:val="001F23F6"/>
    <w:rsid w:val="001F266C"/>
    <w:rsid w:val="001F2819"/>
    <w:rsid w:val="001F29B2"/>
    <w:rsid w:val="001F29C9"/>
    <w:rsid w:val="001F29F3"/>
    <w:rsid w:val="001F2B23"/>
    <w:rsid w:val="001F2C01"/>
    <w:rsid w:val="001F2EA8"/>
    <w:rsid w:val="001F2EC3"/>
    <w:rsid w:val="001F30AB"/>
    <w:rsid w:val="001F3483"/>
    <w:rsid w:val="001F35DD"/>
    <w:rsid w:val="001F3748"/>
    <w:rsid w:val="001F3B8B"/>
    <w:rsid w:val="001F3BC7"/>
    <w:rsid w:val="001F3DA7"/>
    <w:rsid w:val="001F42DC"/>
    <w:rsid w:val="001F445E"/>
    <w:rsid w:val="001F4851"/>
    <w:rsid w:val="001F48B5"/>
    <w:rsid w:val="001F4B25"/>
    <w:rsid w:val="001F4E92"/>
    <w:rsid w:val="001F4F47"/>
    <w:rsid w:val="001F509E"/>
    <w:rsid w:val="001F517D"/>
    <w:rsid w:val="001F53A7"/>
    <w:rsid w:val="001F53FB"/>
    <w:rsid w:val="001F54A7"/>
    <w:rsid w:val="001F54F3"/>
    <w:rsid w:val="001F5722"/>
    <w:rsid w:val="001F586D"/>
    <w:rsid w:val="001F5A6A"/>
    <w:rsid w:val="001F5E14"/>
    <w:rsid w:val="001F5EDC"/>
    <w:rsid w:val="001F6012"/>
    <w:rsid w:val="001F62F1"/>
    <w:rsid w:val="001F638E"/>
    <w:rsid w:val="001F6398"/>
    <w:rsid w:val="001F6760"/>
    <w:rsid w:val="001F6C9A"/>
    <w:rsid w:val="001F7154"/>
    <w:rsid w:val="001F7565"/>
    <w:rsid w:val="001F7630"/>
    <w:rsid w:val="001F7C29"/>
    <w:rsid w:val="001F7D48"/>
    <w:rsid w:val="001F7D53"/>
    <w:rsid w:val="001F7FCC"/>
    <w:rsid w:val="002005CF"/>
    <w:rsid w:val="0020066A"/>
    <w:rsid w:val="002008AB"/>
    <w:rsid w:val="002009CB"/>
    <w:rsid w:val="00200C91"/>
    <w:rsid w:val="00200E13"/>
    <w:rsid w:val="002010AE"/>
    <w:rsid w:val="00201135"/>
    <w:rsid w:val="002013DE"/>
    <w:rsid w:val="00201481"/>
    <w:rsid w:val="00201495"/>
    <w:rsid w:val="0020166A"/>
    <w:rsid w:val="00201733"/>
    <w:rsid w:val="00201795"/>
    <w:rsid w:val="00201849"/>
    <w:rsid w:val="002018BC"/>
    <w:rsid w:val="0020198C"/>
    <w:rsid w:val="002019C6"/>
    <w:rsid w:val="00201B11"/>
    <w:rsid w:val="00201C9C"/>
    <w:rsid w:val="00201D3B"/>
    <w:rsid w:val="00201D5F"/>
    <w:rsid w:val="002022AD"/>
    <w:rsid w:val="002025E6"/>
    <w:rsid w:val="00202878"/>
    <w:rsid w:val="002028CC"/>
    <w:rsid w:val="00202929"/>
    <w:rsid w:val="00202E90"/>
    <w:rsid w:val="00202FF2"/>
    <w:rsid w:val="0020319F"/>
    <w:rsid w:val="00203738"/>
    <w:rsid w:val="00203889"/>
    <w:rsid w:val="00203ABF"/>
    <w:rsid w:val="00203B0A"/>
    <w:rsid w:val="00203B72"/>
    <w:rsid w:val="00203C96"/>
    <w:rsid w:val="00203D42"/>
    <w:rsid w:val="00204077"/>
    <w:rsid w:val="0020416F"/>
    <w:rsid w:val="002043EC"/>
    <w:rsid w:val="002044AD"/>
    <w:rsid w:val="0020457E"/>
    <w:rsid w:val="00204638"/>
    <w:rsid w:val="00204724"/>
    <w:rsid w:val="00204741"/>
    <w:rsid w:val="0020492B"/>
    <w:rsid w:val="00204947"/>
    <w:rsid w:val="002049F7"/>
    <w:rsid w:val="00204ADF"/>
    <w:rsid w:val="00204D0D"/>
    <w:rsid w:val="00204D28"/>
    <w:rsid w:val="00204DE8"/>
    <w:rsid w:val="0020502B"/>
    <w:rsid w:val="002052FE"/>
    <w:rsid w:val="0020538C"/>
    <w:rsid w:val="0020556B"/>
    <w:rsid w:val="0020562B"/>
    <w:rsid w:val="002056CF"/>
    <w:rsid w:val="00205A38"/>
    <w:rsid w:val="00205A7F"/>
    <w:rsid w:val="00205B77"/>
    <w:rsid w:val="00205C32"/>
    <w:rsid w:val="00205CB5"/>
    <w:rsid w:val="00205F0E"/>
    <w:rsid w:val="0020607C"/>
    <w:rsid w:val="002066BC"/>
    <w:rsid w:val="00206807"/>
    <w:rsid w:val="00206B3D"/>
    <w:rsid w:val="00206CCB"/>
    <w:rsid w:val="00206D43"/>
    <w:rsid w:val="00206D5D"/>
    <w:rsid w:val="00207176"/>
    <w:rsid w:val="00207246"/>
    <w:rsid w:val="002073CD"/>
    <w:rsid w:val="0020750D"/>
    <w:rsid w:val="00207719"/>
    <w:rsid w:val="00207AAD"/>
    <w:rsid w:val="0021020E"/>
    <w:rsid w:val="00210277"/>
    <w:rsid w:val="0021062B"/>
    <w:rsid w:val="00210769"/>
    <w:rsid w:val="00210955"/>
    <w:rsid w:val="00210AA6"/>
    <w:rsid w:val="00210B47"/>
    <w:rsid w:val="002115B3"/>
    <w:rsid w:val="002116C8"/>
    <w:rsid w:val="0021171A"/>
    <w:rsid w:val="00211A54"/>
    <w:rsid w:val="00211ABA"/>
    <w:rsid w:val="00211CCF"/>
    <w:rsid w:val="00211E25"/>
    <w:rsid w:val="00211EA9"/>
    <w:rsid w:val="002123DF"/>
    <w:rsid w:val="00212440"/>
    <w:rsid w:val="00212C8E"/>
    <w:rsid w:val="00212E58"/>
    <w:rsid w:val="00212E9F"/>
    <w:rsid w:val="00212F48"/>
    <w:rsid w:val="0021325B"/>
    <w:rsid w:val="0021331D"/>
    <w:rsid w:val="002134C2"/>
    <w:rsid w:val="002134C8"/>
    <w:rsid w:val="0021353D"/>
    <w:rsid w:val="00213775"/>
    <w:rsid w:val="00213781"/>
    <w:rsid w:val="002138F0"/>
    <w:rsid w:val="00213CFD"/>
    <w:rsid w:val="00213FAF"/>
    <w:rsid w:val="002144F7"/>
    <w:rsid w:val="0021453E"/>
    <w:rsid w:val="00214A6C"/>
    <w:rsid w:val="00214DC4"/>
    <w:rsid w:val="00214EBE"/>
    <w:rsid w:val="00214F28"/>
    <w:rsid w:val="00214F38"/>
    <w:rsid w:val="002153BB"/>
    <w:rsid w:val="00215952"/>
    <w:rsid w:val="00215A8C"/>
    <w:rsid w:val="00215C58"/>
    <w:rsid w:val="00215D0B"/>
    <w:rsid w:val="00215D30"/>
    <w:rsid w:val="00215EB0"/>
    <w:rsid w:val="002160CF"/>
    <w:rsid w:val="00216239"/>
    <w:rsid w:val="002163FE"/>
    <w:rsid w:val="0021658D"/>
    <w:rsid w:val="00216658"/>
    <w:rsid w:val="00216A95"/>
    <w:rsid w:val="00216C85"/>
    <w:rsid w:val="00216F7F"/>
    <w:rsid w:val="0021702C"/>
    <w:rsid w:val="0021775A"/>
    <w:rsid w:val="002177A1"/>
    <w:rsid w:val="002178FE"/>
    <w:rsid w:val="002203E8"/>
    <w:rsid w:val="002203F9"/>
    <w:rsid w:val="002204EB"/>
    <w:rsid w:val="0022075F"/>
    <w:rsid w:val="002208EC"/>
    <w:rsid w:val="00220A7A"/>
    <w:rsid w:val="00220B05"/>
    <w:rsid w:val="002213F3"/>
    <w:rsid w:val="00221491"/>
    <w:rsid w:val="00221581"/>
    <w:rsid w:val="002216DB"/>
    <w:rsid w:val="0022178C"/>
    <w:rsid w:val="00221CFC"/>
    <w:rsid w:val="00222266"/>
    <w:rsid w:val="002222A2"/>
    <w:rsid w:val="0022241D"/>
    <w:rsid w:val="002226C0"/>
    <w:rsid w:val="00222A3B"/>
    <w:rsid w:val="00222D16"/>
    <w:rsid w:val="002231C7"/>
    <w:rsid w:val="002231DF"/>
    <w:rsid w:val="00223308"/>
    <w:rsid w:val="00223A6E"/>
    <w:rsid w:val="00223ABD"/>
    <w:rsid w:val="002240F2"/>
    <w:rsid w:val="00224263"/>
    <w:rsid w:val="00224298"/>
    <w:rsid w:val="00224500"/>
    <w:rsid w:val="002246D4"/>
    <w:rsid w:val="002246FF"/>
    <w:rsid w:val="00224B61"/>
    <w:rsid w:val="00224F64"/>
    <w:rsid w:val="002256A9"/>
    <w:rsid w:val="00225B77"/>
    <w:rsid w:val="00225C1E"/>
    <w:rsid w:val="00226312"/>
    <w:rsid w:val="00226315"/>
    <w:rsid w:val="002265B3"/>
    <w:rsid w:val="002266D9"/>
    <w:rsid w:val="00226743"/>
    <w:rsid w:val="0022676E"/>
    <w:rsid w:val="0022690C"/>
    <w:rsid w:val="00226975"/>
    <w:rsid w:val="002269C9"/>
    <w:rsid w:val="00226CBA"/>
    <w:rsid w:val="00226D65"/>
    <w:rsid w:val="00227331"/>
    <w:rsid w:val="00227826"/>
    <w:rsid w:val="00230049"/>
    <w:rsid w:val="00230301"/>
    <w:rsid w:val="00230547"/>
    <w:rsid w:val="00230596"/>
    <w:rsid w:val="002309F0"/>
    <w:rsid w:val="00230BFE"/>
    <w:rsid w:val="00230DDC"/>
    <w:rsid w:val="00230F9A"/>
    <w:rsid w:val="002311A0"/>
    <w:rsid w:val="002311CF"/>
    <w:rsid w:val="00231238"/>
    <w:rsid w:val="00231483"/>
    <w:rsid w:val="002315C7"/>
    <w:rsid w:val="0023183A"/>
    <w:rsid w:val="00231BB2"/>
    <w:rsid w:val="00231E98"/>
    <w:rsid w:val="0023206B"/>
    <w:rsid w:val="002321D3"/>
    <w:rsid w:val="0023262E"/>
    <w:rsid w:val="0023264D"/>
    <w:rsid w:val="00232753"/>
    <w:rsid w:val="00232C89"/>
    <w:rsid w:val="00232DA9"/>
    <w:rsid w:val="00232DAB"/>
    <w:rsid w:val="00232DCC"/>
    <w:rsid w:val="0023322D"/>
    <w:rsid w:val="0023326F"/>
    <w:rsid w:val="002332D1"/>
    <w:rsid w:val="002332EC"/>
    <w:rsid w:val="00233330"/>
    <w:rsid w:val="00233520"/>
    <w:rsid w:val="0023363B"/>
    <w:rsid w:val="00233875"/>
    <w:rsid w:val="002338E2"/>
    <w:rsid w:val="00233A53"/>
    <w:rsid w:val="0023413A"/>
    <w:rsid w:val="00234593"/>
    <w:rsid w:val="002347BD"/>
    <w:rsid w:val="00234A80"/>
    <w:rsid w:val="00234A8B"/>
    <w:rsid w:val="00234CE2"/>
    <w:rsid w:val="00234DD6"/>
    <w:rsid w:val="00234E81"/>
    <w:rsid w:val="00234F28"/>
    <w:rsid w:val="002350F0"/>
    <w:rsid w:val="00235248"/>
    <w:rsid w:val="00235339"/>
    <w:rsid w:val="00235968"/>
    <w:rsid w:val="00235BC8"/>
    <w:rsid w:val="00236171"/>
    <w:rsid w:val="00236645"/>
    <w:rsid w:val="002368E6"/>
    <w:rsid w:val="002369A6"/>
    <w:rsid w:val="00236A95"/>
    <w:rsid w:val="00236C40"/>
    <w:rsid w:val="00237219"/>
    <w:rsid w:val="00237400"/>
    <w:rsid w:val="002374E2"/>
    <w:rsid w:val="00237509"/>
    <w:rsid w:val="00237711"/>
    <w:rsid w:val="00237819"/>
    <w:rsid w:val="00237916"/>
    <w:rsid w:val="002379E3"/>
    <w:rsid w:val="00237D50"/>
    <w:rsid w:val="00237F46"/>
    <w:rsid w:val="00240204"/>
    <w:rsid w:val="00240294"/>
    <w:rsid w:val="00240315"/>
    <w:rsid w:val="00240335"/>
    <w:rsid w:val="0024062B"/>
    <w:rsid w:val="002407E6"/>
    <w:rsid w:val="00240A49"/>
    <w:rsid w:val="00240B5A"/>
    <w:rsid w:val="00240B9B"/>
    <w:rsid w:val="00240D55"/>
    <w:rsid w:val="00240FD0"/>
    <w:rsid w:val="00241020"/>
    <w:rsid w:val="002410C9"/>
    <w:rsid w:val="00241254"/>
    <w:rsid w:val="00241373"/>
    <w:rsid w:val="002414DF"/>
    <w:rsid w:val="002415F4"/>
    <w:rsid w:val="00241933"/>
    <w:rsid w:val="00241950"/>
    <w:rsid w:val="00241BCF"/>
    <w:rsid w:val="00241CB4"/>
    <w:rsid w:val="00241D09"/>
    <w:rsid w:val="00241E8A"/>
    <w:rsid w:val="00241FD8"/>
    <w:rsid w:val="00242126"/>
    <w:rsid w:val="002421ED"/>
    <w:rsid w:val="002425D7"/>
    <w:rsid w:val="00242A6E"/>
    <w:rsid w:val="00242B5C"/>
    <w:rsid w:val="00242BEF"/>
    <w:rsid w:val="00242E42"/>
    <w:rsid w:val="00242F53"/>
    <w:rsid w:val="00242FD4"/>
    <w:rsid w:val="0024309F"/>
    <w:rsid w:val="002430E4"/>
    <w:rsid w:val="002431F3"/>
    <w:rsid w:val="00243357"/>
    <w:rsid w:val="0024352F"/>
    <w:rsid w:val="00243A8F"/>
    <w:rsid w:val="00243B67"/>
    <w:rsid w:val="00243D29"/>
    <w:rsid w:val="00243DC0"/>
    <w:rsid w:val="00244054"/>
    <w:rsid w:val="002440BD"/>
    <w:rsid w:val="00244104"/>
    <w:rsid w:val="00244450"/>
    <w:rsid w:val="002444C7"/>
    <w:rsid w:val="00244ABB"/>
    <w:rsid w:val="00244AE3"/>
    <w:rsid w:val="00244B87"/>
    <w:rsid w:val="00244BB9"/>
    <w:rsid w:val="00244DED"/>
    <w:rsid w:val="0024509E"/>
    <w:rsid w:val="002455CF"/>
    <w:rsid w:val="0024574C"/>
    <w:rsid w:val="00245770"/>
    <w:rsid w:val="00245A08"/>
    <w:rsid w:val="00245C6A"/>
    <w:rsid w:val="00245E6B"/>
    <w:rsid w:val="00245EF9"/>
    <w:rsid w:val="0024658E"/>
    <w:rsid w:val="002467C9"/>
    <w:rsid w:val="002467DC"/>
    <w:rsid w:val="00246E91"/>
    <w:rsid w:val="002471CB"/>
    <w:rsid w:val="00247477"/>
    <w:rsid w:val="002475BB"/>
    <w:rsid w:val="00247626"/>
    <w:rsid w:val="00247834"/>
    <w:rsid w:val="00247B41"/>
    <w:rsid w:val="00247BF4"/>
    <w:rsid w:val="00247C28"/>
    <w:rsid w:val="002500DF"/>
    <w:rsid w:val="00250481"/>
    <w:rsid w:val="00250738"/>
    <w:rsid w:val="00250764"/>
    <w:rsid w:val="00250DED"/>
    <w:rsid w:val="00251107"/>
    <w:rsid w:val="002514EA"/>
    <w:rsid w:val="002514F0"/>
    <w:rsid w:val="00251890"/>
    <w:rsid w:val="002518F1"/>
    <w:rsid w:val="00251AAD"/>
    <w:rsid w:val="00251B8F"/>
    <w:rsid w:val="00251BD1"/>
    <w:rsid w:val="00251DB0"/>
    <w:rsid w:val="0025200E"/>
    <w:rsid w:val="00252033"/>
    <w:rsid w:val="002523E7"/>
    <w:rsid w:val="0025246D"/>
    <w:rsid w:val="00252524"/>
    <w:rsid w:val="00252ABE"/>
    <w:rsid w:val="00253072"/>
    <w:rsid w:val="002530EC"/>
    <w:rsid w:val="00253111"/>
    <w:rsid w:val="0025332E"/>
    <w:rsid w:val="002536FE"/>
    <w:rsid w:val="00253A6C"/>
    <w:rsid w:val="00253AAD"/>
    <w:rsid w:val="00253CDF"/>
    <w:rsid w:val="00253F22"/>
    <w:rsid w:val="0025400B"/>
    <w:rsid w:val="00254331"/>
    <w:rsid w:val="002543CB"/>
    <w:rsid w:val="002545E8"/>
    <w:rsid w:val="0025461D"/>
    <w:rsid w:val="00254F93"/>
    <w:rsid w:val="00255113"/>
    <w:rsid w:val="0025519A"/>
    <w:rsid w:val="002552D2"/>
    <w:rsid w:val="002556E0"/>
    <w:rsid w:val="002557D8"/>
    <w:rsid w:val="0025589C"/>
    <w:rsid w:val="002558F1"/>
    <w:rsid w:val="002559D1"/>
    <w:rsid w:val="00255AB8"/>
    <w:rsid w:val="00255BEA"/>
    <w:rsid w:val="00255FFA"/>
    <w:rsid w:val="0025628E"/>
    <w:rsid w:val="002567E4"/>
    <w:rsid w:val="00256A16"/>
    <w:rsid w:val="00256BEE"/>
    <w:rsid w:val="00256D5A"/>
    <w:rsid w:val="00256E53"/>
    <w:rsid w:val="00256F6D"/>
    <w:rsid w:val="00256FD3"/>
    <w:rsid w:val="00257080"/>
    <w:rsid w:val="002573AC"/>
    <w:rsid w:val="00257533"/>
    <w:rsid w:val="00257758"/>
    <w:rsid w:val="002577BC"/>
    <w:rsid w:val="00257C94"/>
    <w:rsid w:val="00257E4B"/>
    <w:rsid w:val="0026009E"/>
    <w:rsid w:val="002600DB"/>
    <w:rsid w:val="002604BD"/>
    <w:rsid w:val="002608FA"/>
    <w:rsid w:val="0026091C"/>
    <w:rsid w:val="00260B10"/>
    <w:rsid w:val="00260C04"/>
    <w:rsid w:val="00260C63"/>
    <w:rsid w:val="00260D15"/>
    <w:rsid w:val="00261062"/>
    <w:rsid w:val="00261106"/>
    <w:rsid w:val="002611E6"/>
    <w:rsid w:val="002614CA"/>
    <w:rsid w:val="002615E1"/>
    <w:rsid w:val="0026184C"/>
    <w:rsid w:val="00261995"/>
    <w:rsid w:val="00261E65"/>
    <w:rsid w:val="0026214A"/>
    <w:rsid w:val="00262270"/>
    <w:rsid w:val="00262456"/>
    <w:rsid w:val="00262589"/>
    <w:rsid w:val="002627B3"/>
    <w:rsid w:val="002627CE"/>
    <w:rsid w:val="00262BD7"/>
    <w:rsid w:val="00263435"/>
    <w:rsid w:val="00263889"/>
    <w:rsid w:val="002638A4"/>
    <w:rsid w:val="00263A34"/>
    <w:rsid w:val="00263C00"/>
    <w:rsid w:val="00263F5B"/>
    <w:rsid w:val="002641B3"/>
    <w:rsid w:val="002646C3"/>
    <w:rsid w:val="00264948"/>
    <w:rsid w:val="00264AEA"/>
    <w:rsid w:val="00264D16"/>
    <w:rsid w:val="00264F93"/>
    <w:rsid w:val="0026508D"/>
    <w:rsid w:val="00265661"/>
    <w:rsid w:val="002657C9"/>
    <w:rsid w:val="00265846"/>
    <w:rsid w:val="002659A2"/>
    <w:rsid w:val="00265B87"/>
    <w:rsid w:val="00265C5E"/>
    <w:rsid w:val="0026623E"/>
    <w:rsid w:val="002663E6"/>
    <w:rsid w:val="002665D7"/>
    <w:rsid w:val="0026661F"/>
    <w:rsid w:val="00266C14"/>
    <w:rsid w:val="00266C51"/>
    <w:rsid w:val="002673B6"/>
    <w:rsid w:val="00267758"/>
    <w:rsid w:val="0026789C"/>
    <w:rsid w:val="00267D6A"/>
    <w:rsid w:val="00267F84"/>
    <w:rsid w:val="00270064"/>
    <w:rsid w:val="002700D6"/>
    <w:rsid w:val="00270104"/>
    <w:rsid w:val="00270156"/>
    <w:rsid w:val="00270255"/>
    <w:rsid w:val="002702A9"/>
    <w:rsid w:val="00270440"/>
    <w:rsid w:val="0027052F"/>
    <w:rsid w:val="00270AAA"/>
    <w:rsid w:val="00271345"/>
    <w:rsid w:val="00271546"/>
    <w:rsid w:val="0027174C"/>
    <w:rsid w:val="00271A49"/>
    <w:rsid w:val="0027205E"/>
    <w:rsid w:val="00272125"/>
    <w:rsid w:val="0027262B"/>
    <w:rsid w:val="0027269B"/>
    <w:rsid w:val="002727BF"/>
    <w:rsid w:val="00272933"/>
    <w:rsid w:val="002729C0"/>
    <w:rsid w:val="002729D5"/>
    <w:rsid w:val="00272A7D"/>
    <w:rsid w:val="00272A92"/>
    <w:rsid w:val="00272D87"/>
    <w:rsid w:val="00273078"/>
    <w:rsid w:val="002730E2"/>
    <w:rsid w:val="00273361"/>
    <w:rsid w:val="002734F5"/>
    <w:rsid w:val="0027356C"/>
    <w:rsid w:val="00273585"/>
    <w:rsid w:val="0027382E"/>
    <w:rsid w:val="00273ABD"/>
    <w:rsid w:val="00273C79"/>
    <w:rsid w:val="00273D50"/>
    <w:rsid w:val="00273DB6"/>
    <w:rsid w:val="00274005"/>
    <w:rsid w:val="002742B1"/>
    <w:rsid w:val="002744B9"/>
    <w:rsid w:val="0027451C"/>
    <w:rsid w:val="002745BB"/>
    <w:rsid w:val="002745C6"/>
    <w:rsid w:val="002745F9"/>
    <w:rsid w:val="00274851"/>
    <w:rsid w:val="00274AA9"/>
    <w:rsid w:val="00274BD7"/>
    <w:rsid w:val="0027502A"/>
    <w:rsid w:val="00275179"/>
    <w:rsid w:val="002753FE"/>
    <w:rsid w:val="00275430"/>
    <w:rsid w:val="0027565D"/>
    <w:rsid w:val="002758FC"/>
    <w:rsid w:val="00275DDD"/>
    <w:rsid w:val="00275E9A"/>
    <w:rsid w:val="002760D5"/>
    <w:rsid w:val="002760FC"/>
    <w:rsid w:val="002761A9"/>
    <w:rsid w:val="0027629A"/>
    <w:rsid w:val="0027634F"/>
    <w:rsid w:val="0027651A"/>
    <w:rsid w:val="00276751"/>
    <w:rsid w:val="00276868"/>
    <w:rsid w:val="002769D3"/>
    <w:rsid w:val="002769E4"/>
    <w:rsid w:val="00276A15"/>
    <w:rsid w:val="00276B4A"/>
    <w:rsid w:val="002771C3"/>
    <w:rsid w:val="002771E8"/>
    <w:rsid w:val="00277556"/>
    <w:rsid w:val="002776BF"/>
    <w:rsid w:val="00277944"/>
    <w:rsid w:val="002779A4"/>
    <w:rsid w:val="002779E0"/>
    <w:rsid w:val="00277DFB"/>
    <w:rsid w:val="00277EC6"/>
    <w:rsid w:val="0028011B"/>
    <w:rsid w:val="00280479"/>
    <w:rsid w:val="002807E1"/>
    <w:rsid w:val="002807EA"/>
    <w:rsid w:val="00280B57"/>
    <w:rsid w:val="00280BE8"/>
    <w:rsid w:val="00280C2E"/>
    <w:rsid w:val="00280C81"/>
    <w:rsid w:val="00280D37"/>
    <w:rsid w:val="00280DDC"/>
    <w:rsid w:val="00280DF2"/>
    <w:rsid w:val="00280F0D"/>
    <w:rsid w:val="00281123"/>
    <w:rsid w:val="0028164D"/>
    <w:rsid w:val="002816E1"/>
    <w:rsid w:val="002819CE"/>
    <w:rsid w:val="00281AD5"/>
    <w:rsid w:val="00281AEA"/>
    <w:rsid w:val="00281CE4"/>
    <w:rsid w:val="002826CA"/>
    <w:rsid w:val="00282BA1"/>
    <w:rsid w:val="00282BF7"/>
    <w:rsid w:val="002831DE"/>
    <w:rsid w:val="00283571"/>
    <w:rsid w:val="00283578"/>
    <w:rsid w:val="00283713"/>
    <w:rsid w:val="00283A96"/>
    <w:rsid w:val="00283FAE"/>
    <w:rsid w:val="00284099"/>
    <w:rsid w:val="00284105"/>
    <w:rsid w:val="002848AA"/>
    <w:rsid w:val="00284A7B"/>
    <w:rsid w:val="00284C21"/>
    <w:rsid w:val="00284D8D"/>
    <w:rsid w:val="00284F92"/>
    <w:rsid w:val="00285149"/>
    <w:rsid w:val="0028565A"/>
    <w:rsid w:val="00285A91"/>
    <w:rsid w:val="00285D07"/>
    <w:rsid w:val="00285DB7"/>
    <w:rsid w:val="00285FD0"/>
    <w:rsid w:val="00286275"/>
    <w:rsid w:val="002862C6"/>
    <w:rsid w:val="002864A7"/>
    <w:rsid w:val="0028650C"/>
    <w:rsid w:val="00286650"/>
    <w:rsid w:val="00286912"/>
    <w:rsid w:val="002869C7"/>
    <w:rsid w:val="00286A0A"/>
    <w:rsid w:val="00286AA7"/>
    <w:rsid w:val="00286B08"/>
    <w:rsid w:val="00286F41"/>
    <w:rsid w:val="00287125"/>
    <w:rsid w:val="002879C9"/>
    <w:rsid w:val="00287AE4"/>
    <w:rsid w:val="00287BC5"/>
    <w:rsid w:val="00290109"/>
    <w:rsid w:val="00290133"/>
    <w:rsid w:val="00290139"/>
    <w:rsid w:val="00290CD7"/>
    <w:rsid w:val="002911C9"/>
    <w:rsid w:val="002912C9"/>
    <w:rsid w:val="002912EC"/>
    <w:rsid w:val="0029135F"/>
    <w:rsid w:val="002917E9"/>
    <w:rsid w:val="00291992"/>
    <w:rsid w:val="002925C5"/>
    <w:rsid w:val="00292804"/>
    <w:rsid w:val="00292B67"/>
    <w:rsid w:val="00292D64"/>
    <w:rsid w:val="00292E38"/>
    <w:rsid w:val="00292F08"/>
    <w:rsid w:val="00292FB9"/>
    <w:rsid w:val="00293023"/>
    <w:rsid w:val="002935EF"/>
    <w:rsid w:val="00293637"/>
    <w:rsid w:val="0029373A"/>
    <w:rsid w:val="00293909"/>
    <w:rsid w:val="00293B9C"/>
    <w:rsid w:val="00293CC4"/>
    <w:rsid w:val="00293DEE"/>
    <w:rsid w:val="00293EE6"/>
    <w:rsid w:val="00293F18"/>
    <w:rsid w:val="00294366"/>
    <w:rsid w:val="002943C4"/>
    <w:rsid w:val="002944E6"/>
    <w:rsid w:val="0029459F"/>
    <w:rsid w:val="00294769"/>
    <w:rsid w:val="00294866"/>
    <w:rsid w:val="0029494C"/>
    <w:rsid w:val="00294A24"/>
    <w:rsid w:val="00294BA5"/>
    <w:rsid w:val="00294D3E"/>
    <w:rsid w:val="00295029"/>
    <w:rsid w:val="00295721"/>
    <w:rsid w:val="002957C9"/>
    <w:rsid w:val="00295BC9"/>
    <w:rsid w:val="00295D04"/>
    <w:rsid w:val="00295D9B"/>
    <w:rsid w:val="00295E71"/>
    <w:rsid w:val="00295EA7"/>
    <w:rsid w:val="00296502"/>
    <w:rsid w:val="00296509"/>
    <w:rsid w:val="0029665F"/>
    <w:rsid w:val="002968D7"/>
    <w:rsid w:val="00296F96"/>
    <w:rsid w:val="00297397"/>
    <w:rsid w:val="0029757A"/>
    <w:rsid w:val="00297627"/>
    <w:rsid w:val="00297643"/>
    <w:rsid w:val="002977AA"/>
    <w:rsid w:val="002978F5"/>
    <w:rsid w:val="00297AD4"/>
    <w:rsid w:val="002A00B7"/>
    <w:rsid w:val="002A02FA"/>
    <w:rsid w:val="002A030B"/>
    <w:rsid w:val="002A0653"/>
    <w:rsid w:val="002A0700"/>
    <w:rsid w:val="002A0A49"/>
    <w:rsid w:val="002A0B5D"/>
    <w:rsid w:val="002A0E46"/>
    <w:rsid w:val="002A0F83"/>
    <w:rsid w:val="002A16AA"/>
    <w:rsid w:val="002A16D2"/>
    <w:rsid w:val="002A1AAC"/>
    <w:rsid w:val="002A1B01"/>
    <w:rsid w:val="002A1FD0"/>
    <w:rsid w:val="002A20B8"/>
    <w:rsid w:val="002A2A17"/>
    <w:rsid w:val="002A2A85"/>
    <w:rsid w:val="002A2B47"/>
    <w:rsid w:val="002A2C2A"/>
    <w:rsid w:val="002A2EB7"/>
    <w:rsid w:val="002A2F95"/>
    <w:rsid w:val="002A300B"/>
    <w:rsid w:val="002A30EE"/>
    <w:rsid w:val="002A3ABB"/>
    <w:rsid w:val="002A3B1F"/>
    <w:rsid w:val="002A3DAE"/>
    <w:rsid w:val="002A3E8B"/>
    <w:rsid w:val="002A3E96"/>
    <w:rsid w:val="002A4026"/>
    <w:rsid w:val="002A4826"/>
    <w:rsid w:val="002A496F"/>
    <w:rsid w:val="002A4BB4"/>
    <w:rsid w:val="002A4CFB"/>
    <w:rsid w:val="002A4CFE"/>
    <w:rsid w:val="002A4DBC"/>
    <w:rsid w:val="002A58AF"/>
    <w:rsid w:val="002A5950"/>
    <w:rsid w:val="002A5BE4"/>
    <w:rsid w:val="002A6B7D"/>
    <w:rsid w:val="002A6BD6"/>
    <w:rsid w:val="002A6C9C"/>
    <w:rsid w:val="002A6E04"/>
    <w:rsid w:val="002A6E74"/>
    <w:rsid w:val="002A6F15"/>
    <w:rsid w:val="002A755D"/>
    <w:rsid w:val="002A7E4B"/>
    <w:rsid w:val="002A7FB4"/>
    <w:rsid w:val="002B001C"/>
    <w:rsid w:val="002B0162"/>
    <w:rsid w:val="002B05BB"/>
    <w:rsid w:val="002B0693"/>
    <w:rsid w:val="002B07B2"/>
    <w:rsid w:val="002B0C90"/>
    <w:rsid w:val="002B0C95"/>
    <w:rsid w:val="002B12AC"/>
    <w:rsid w:val="002B1416"/>
    <w:rsid w:val="002B1532"/>
    <w:rsid w:val="002B1705"/>
    <w:rsid w:val="002B1A80"/>
    <w:rsid w:val="002B1C4D"/>
    <w:rsid w:val="002B20BC"/>
    <w:rsid w:val="002B2258"/>
    <w:rsid w:val="002B2381"/>
    <w:rsid w:val="002B27C5"/>
    <w:rsid w:val="002B2EF5"/>
    <w:rsid w:val="002B31B7"/>
    <w:rsid w:val="002B34B0"/>
    <w:rsid w:val="002B34F6"/>
    <w:rsid w:val="002B3605"/>
    <w:rsid w:val="002B3685"/>
    <w:rsid w:val="002B38DD"/>
    <w:rsid w:val="002B38E7"/>
    <w:rsid w:val="002B3963"/>
    <w:rsid w:val="002B3B01"/>
    <w:rsid w:val="002B4121"/>
    <w:rsid w:val="002B47A5"/>
    <w:rsid w:val="002B4B28"/>
    <w:rsid w:val="002B4CA0"/>
    <w:rsid w:val="002B4F58"/>
    <w:rsid w:val="002B55E7"/>
    <w:rsid w:val="002B574F"/>
    <w:rsid w:val="002B5B88"/>
    <w:rsid w:val="002B5D10"/>
    <w:rsid w:val="002B5F74"/>
    <w:rsid w:val="002B6A23"/>
    <w:rsid w:val="002B6D35"/>
    <w:rsid w:val="002B6D6F"/>
    <w:rsid w:val="002B6FB8"/>
    <w:rsid w:val="002B70F3"/>
    <w:rsid w:val="002B7603"/>
    <w:rsid w:val="002B78BD"/>
    <w:rsid w:val="002C030E"/>
    <w:rsid w:val="002C03BE"/>
    <w:rsid w:val="002C080A"/>
    <w:rsid w:val="002C0A5C"/>
    <w:rsid w:val="002C0B3B"/>
    <w:rsid w:val="002C0C81"/>
    <w:rsid w:val="002C0CCF"/>
    <w:rsid w:val="002C0F54"/>
    <w:rsid w:val="002C113F"/>
    <w:rsid w:val="002C1279"/>
    <w:rsid w:val="002C1328"/>
    <w:rsid w:val="002C1517"/>
    <w:rsid w:val="002C179B"/>
    <w:rsid w:val="002C1967"/>
    <w:rsid w:val="002C1A92"/>
    <w:rsid w:val="002C1B7B"/>
    <w:rsid w:val="002C1BD3"/>
    <w:rsid w:val="002C1BE2"/>
    <w:rsid w:val="002C1C4D"/>
    <w:rsid w:val="002C1D1F"/>
    <w:rsid w:val="002C1E49"/>
    <w:rsid w:val="002C1E9C"/>
    <w:rsid w:val="002C248F"/>
    <w:rsid w:val="002C277B"/>
    <w:rsid w:val="002C2A5E"/>
    <w:rsid w:val="002C2D1E"/>
    <w:rsid w:val="002C2E00"/>
    <w:rsid w:val="002C30E9"/>
    <w:rsid w:val="002C31AD"/>
    <w:rsid w:val="002C33B6"/>
    <w:rsid w:val="002C366E"/>
    <w:rsid w:val="002C36F2"/>
    <w:rsid w:val="002C382A"/>
    <w:rsid w:val="002C3F25"/>
    <w:rsid w:val="002C3F26"/>
    <w:rsid w:val="002C4145"/>
    <w:rsid w:val="002C4892"/>
    <w:rsid w:val="002C4BCD"/>
    <w:rsid w:val="002C4D6C"/>
    <w:rsid w:val="002C5272"/>
    <w:rsid w:val="002C5279"/>
    <w:rsid w:val="002C5399"/>
    <w:rsid w:val="002C55B1"/>
    <w:rsid w:val="002C57CC"/>
    <w:rsid w:val="002C59D7"/>
    <w:rsid w:val="002C5A9A"/>
    <w:rsid w:val="002C5D31"/>
    <w:rsid w:val="002C5DE0"/>
    <w:rsid w:val="002C608A"/>
    <w:rsid w:val="002C63BC"/>
    <w:rsid w:val="002C69A1"/>
    <w:rsid w:val="002C6C15"/>
    <w:rsid w:val="002C715C"/>
    <w:rsid w:val="002C7190"/>
    <w:rsid w:val="002C7683"/>
    <w:rsid w:val="002C7792"/>
    <w:rsid w:val="002C79FF"/>
    <w:rsid w:val="002C7A6D"/>
    <w:rsid w:val="002C7D93"/>
    <w:rsid w:val="002C7FE9"/>
    <w:rsid w:val="002D00D8"/>
    <w:rsid w:val="002D00FF"/>
    <w:rsid w:val="002D0241"/>
    <w:rsid w:val="002D0356"/>
    <w:rsid w:val="002D0428"/>
    <w:rsid w:val="002D061E"/>
    <w:rsid w:val="002D09B6"/>
    <w:rsid w:val="002D0B5B"/>
    <w:rsid w:val="002D0DC5"/>
    <w:rsid w:val="002D0FB8"/>
    <w:rsid w:val="002D0FE7"/>
    <w:rsid w:val="002D11F7"/>
    <w:rsid w:val="002D147B"/>
    <w:rsid w:val="002D164F"/>
    <w:rsid w:val="002D1DD0"/>
    <w:rsid w:val="002D1F1F"/>
    <w:rsid w:val="002D212E"/>
    <w:rsid w:val="002D2148"/>
    <w:rsid w:val="002D2490"/>
    <w:rsid w:val="002D2B86"/>
    <w:rsid w:val="002D2CC3"/>
    <w:rsid w:val="002D31D1"/>
    <w:rsid w:val="002D31E8"/>
    <w:rsid w:val="002D32C9"/>
    <w:rsid w:val="002D338C"/>
    <w:rsid w:val="002D3465"/>
    <w:rsid w:val="002D3495"/>
    <w:rsid w:val="002D34CC"/>
    <w:rsid w:val="002D34FE"/>
    <w:rsid w:val="002D3538"/>
    <w:rsid w:val="002D372E"/>
    <w:rsid w:val="002D396A"/>
    <w:rsid w:val="002D3A45"/>
    <w:rsid w:val="002D401C"/>
    <w:rsid w:val="002D40AE"/>
    <w:rsid w:val="002D419B"/>
    <w:rsid w:val="002D41C7"/>
    <w:rsid w:val="002D4419"/>
    <w:rsid w:val="002D4672"/>
    <w:rsid w:val="002D4EFD"/>
    <w:rsid w:val="002D4F5A"/>
    <w:rsid w:val="002D514E"/>
    <w:rsid w:val="002D53E1"/>
    <w:rsid w:val="002D54D2"/>
    <w:rsid w:val="002D550D"/>
    <w:rsid w:val="002D558A"/>
    <w:rsid w:val="002D5987"/>
    <w:rsid w:val="002D5B2D"/>
    <w:rsid w:val="002D5CF3"/>
    <w:rsid w:val="002D647B"/>
    <w:rsid w:val="002D6709"/>
    <w:rsid w:val="002D6791"/>
    <w:rsid w:val="002D6816"/>
    <w:rsid w:val="002D68C2"/>
    <w:rsid w:val="002D6DED"/>
    <w:rsid w:val="002D6EB4"/>
    <w:rsid w:val="002D6EC1"/>
    <w:rsid w:val="002D7015"/>
    <w:rsid w:val="002D73C4"/>
    <w:rsid w:val="002D7695"/>
    <w:rsid w:val="002D771C"/>
    <w:rsid w:val="002D77E0"/>
    <w:rsid w:val="002D79EE"/>
    <w:rsid w:val="002D7C46"/>
    <w:rsid w:val="002D7E08"/>
    <w:rsid w:val="002D7E90"/>
    <w:rsid w:val="002E061E"/>
    <w:rsid w:val="002E06D7"/>
    <w:rsid w:val="002E0715"/>
    <w:rsid w:val="002E0915"/>
    <w:rsid w:val="002E0AC5"/>
    <w:rsid w:val="002E0FBD"/>
    <w:rsid w:val="002E1011"/>
    <w:rsid w:val="002E122B"/>
    <w:rsid w:val="002E12B3"/>
    <w:rsid w:val="002E16C8"/>
    <w:rsid w:val="002E17BA"/>
    <w:rsid w:val="002E17EF"/>
    <w:rsid w:val="002E1883"/>
    <w:rsid w:val="002E1937"/>
    <w:rsid w:val="002E1A87"/>
    <w:rsid w:val="002E1ABD"/>
    <w:rsid w:val="002E1C4A"/>
    <w:rsid w:val="002E2524"/>
    <w:rsid w:val="002E2752"/>
    <w:rsid w:val="002E288E"/>
    <w:rsid w:val="002E2A03"/>
    <w:rsid w:val="002E2B7E"/>
    <w:rsid w:val="002E2D57"/>
    <w:rsid w:val="002E2DBE"/>
    <w:rsid w:val="002E2E08"/>
    <w:rsid w:val="002E2EC1"/>
    <w:rsid w:val="002E307D"/>
    <w:rsid w:val="002E331D"/>
    <w:rsid w:val="002E3336"/>
    <w:rsid w:val="002E38C6"/>
    <w:rsid w:val="002E3B38"/>
    <w:rsid w:val="002E3C52"/>
    <w:rsid w:val="002E3E02"/>
    <w:rsid w:val="002E3E9C"/>
    <w:rsid w:val="002E3F34"/>
    <w:rsid w:val="002E43C1"/>
    <w:rsid w:val="002E44C9"/>
    <w:rsid w:val="002E4641"/>
    <w:rsid w:val="002E4767"/>
    <w:rsid w:val="002E4893"/>
    <w:rsid w:val="002E49F0"/>
    <w:rsid w:val="002E4A07"/>
    <w:rsid w:val="002E4BCA"/>
    <w:rsid w:val="002E4BF5"/>
    <w:rsid w:val="002E4CB4"/>
    <w:rsid w:val="002E4D05"/>
    <w:rsid w:val="002E4FC8"/>
    <w:rsid w:val="002E54FA"/>
    <w:rsid w:val="002E569D"/>
    <w:rsid w:val="002E5F64"/>
    <w:rsid w:val="002E62CA"/>
    <w:rsid w:val="002E6310"/>
    <w:rsid w:val="002E6416"/>
    <w:rsid w:val="002E64C3"/>
    <w:rsid w:val="002E695D"/>
    <w:rsid w:val="002E6AD0"/>
    <w:rsid w:val="002E6B0E"/>
    <w:rsid w:val="002E6B8F"/>
    <w:rsid w:val="002E71A2"/>
    <w:rsid w:val="002E71BC"/>
    <w:rsid w:val="002E76E7"/>
    <w:rsid w:val="002E78BD"/>
    <w:rsid w:val="002E7AB9"/>
    <w:rsid w:val="002E7AF7"/>
    <w:rsid w:val="002E7C52"/>
    <w:rsid w:val="002E7D06"/>
    <w:rsid w:val="002E7DA0"/>
    <w:rsid w:val="002E7E64"/>
    <w:rsid w:val="002F005A"/>
    <w:rsid w:val="002F04D1"/>
    <w:rsid w:val="002F04D4"/>
    <w:rsid w:val="002F0678"/>
    <w:rsid w:val="002F0EB4"/>
    <w:rsid w:val="002F1356"/>
    <w:rsid w:val="002F184F"/>
    <w:rsid w:val="002F19A6"/>
    <w:rsid w:val="002F1A61"/>
    <w:rsid w:val="002F1B23"/>
    <w:rsid w:val="002F1CE6"/>
    <w:rsid w:val="002F207A"/>
    <w:rsid w:val="002F2116"/>
    <w:rsid w:val="002F239C"/>
    <w:rsid w:val="002F27E3"/>
    <w:rsid w:val="002F284F"/>
    <w:rsid w:val="002F28D1"/>
    <w:rsid w:val="002F29C0"/>
    <w:rsid w:val="002F2C55"/>
    <w:rsid w:val="002F2DF0"/>
    <w:rsid w:val="002F312D"/>
    <w:rsid w:val="002F327F"/>
    <w:rsid w:val="002F32C6"/>
    <w:rsid w:val="002F33D1"/>
    <w:rsid w:val="002F340A"/>
    <w:rsid w:val="002F356D"/>
    <w:rsid w:val="002F37F9"/>
    <w:rsid w:val="002F3883"/>
    <w:rsid w:val="002F3C48"/>
    <w:rsid w:val="002F3E26"/>
    <w:rsid w:val="002F3EA9"/>
    <w:rsid w:val="002F41A2"/>
    <w:rsid w:val="002F4286"/>
    <w:rsid w:val="002F477B"/>
    <w:rsid w:val="002F483B"/>
    <w:rsid w:val="002F4948"/>
    <w:rsid w:val="002F4A40"/>
    <w:rsid w:val="002F4AB7"/>
    <w:rsid w:val="002F4E32"/>
    <w:rsid w:val="002F5161"/>
    <w:rsid w:val="002F5228"/>
    <w:rsid w:val="002F5910"/>
    <w:rsid w:val="002F597C"/>
    <w:rsid w:val="002F5B37"/>
    <w:rsid w:val="002F5F4D"/>
    <w:rsid w:val="002F5FD6"/>
    <w:rsid w:val="002F63E4"/>
    <w:rsid w:val="002F6529"/>
    <w:rsid w:val="002F666B"/>
    <w:rsid w:val="002F668D"/>
    <w:rsid w:val="002F6753"/>
    <w:rsid w:val="002F748D"/>
    <w:rsid w:val="002F7BBF"/>
    <w:rsid w:val="002F7EFE"/>
    <w:rsid w:val="0030033B"/>
    <w:rsid w:val="00300C59"/>
    <w:rsid w:val="00300E97"/>
    <w:rsid w:val="00301097"/>
    <w:rsid w:val="003012E8"/>
    <w:rsid w:val="003013F3"/>
    <w:rsid w:val="00301650"/>
    <w:rsid w:val="003019F3"/>
    <w:rsid w:val="00301DA0"/>
    <w:rsid w:val="00301E9D"/>
    <w:rsid w:val="00302027"/>
    <w:rsid w:val="00302184"/>
    <w:rsid w:val="003021A2"/>
    <w:rsid w:val="00302438"/>
    <w:rsid w:val="003024B6"/>
    <w:rsid w:val="00302779"/>
    <w:rsid w:val="0030299D"/>
    <w:rsid w:val="00302A51"/>
    <w:rsid w:val="00302AEB"/>
    <w:rsid w:val="00302B26"/>
    <w:rsid w:val="00302D04"/>
    <w:rsid w:val="00302DF3"/>
    <w:rsid w:val="00302F02"/>
    <w:rsid w:val="003031B5"/>
    <w:rsid w:val="003033DF"/>
    <w:rsid w:val="003034B2"/>
    <w:rsid w:val="00303809"/>
    <w:rsid w:val="0030392A"/>
    <w:rsid w:val="003039CD"/>
    <w:rsid w:val="00303ED6"/>
    <w:rsid w:val="0030415C"/>
    <w:rsid w:val="00304501"/>
    <w:rsid w:val="003047E2"/>
    <w:rsid w:val="003048EB"/>
    <w:rsid w:val="00304E94"/>
    <w:rsid w:val="0030568F"/>
    <w:rsid w:val="00305784"/>
    <w:rsid w:val="0030582C"/>
    <w:rsid w:val="00305947"/>
    <w:rsid w:val="00305AD9"/>
    <w:rsid w:val="00305C06"/>
    <w:rsid w:val="00305D59"/>
    <w:rsid w:val="00305DFE"/>
    <w:rsid w:val="00305E2E"/>
    <w:rsid w:val="00306045"/>
    <w:rsid w:val="00306144"/>
    <w:rsid w:val="0030630F"/>
    <w:rsid w:val="00306998"/>
    <w:rsid w:val="00306CFC"/>
    <w:rsid w:val="00306E50"/>
    <w:rsid w:val="00306FF3"/>
    <w:rsid w:val="00307026"/>
    <w:rsid w:val="003070EB"/>
    <w:rsid w:val="0030747A"/>
    <w:rsid w:val="003075DE"/>
    <w:rsid w:val="00307659"/>
    <w:rsid w:val="00307A94"/>
    <w:rsid w:val="00307AAA"/>
    <w:rsid w:val="00307AC4"/>
    <w:rsid w:val="00307D43"/>
    <w:rsid w:val="003105DB"/>
    <w:rsid w:val="0031132A"/>
    <w:rsid w:val="00311783"/>
    <w:rsid w:val="00311A46"/>
    <w:rsid w:val="00311B22"/>
    <w:rsid w:val="00311C8D"/>
    <w:rsid w:val="00311CC3"/>
    <w:rsid w:val="00311EF9"/>
    <w:rsid w:val="00311F94"/>
    <w:rsid w:val="00312002"/>
    <w:rsid w:val="00312493"/>
    <w:rsid w:val="003124B4"/>
    <w:rsid w:val="0031266F"/>
    <w:rsid w:val="00312A6C"/>
    <w:rsid w:val="00312CAD"/>
    <w:rsid w:val="00312CAF"/>
    <w:rsid w:val="00312D81"/>
    <w:rsid w:val="00313611"/>
    <w:rsid w:val="003139B6"/>
    <w:rsid w:val="00313A48"/>
    <w:rsid w:val="00313AC8"/>
    <w:rsid w:val="00313B1D"/>
    <w:rsid w:val="00313E1A"/>
    <w:rsid w:val="003140E5"/>
    <w:rsid w:val="0031425E"/>
    <w:rsid w:val="003143D9"/>
    <w:rsid w:val="0031453D"/>
    <w:rsid w:val="003147B3"/>
    <w:rsid w:val="0031483C"/>
    <w:rsid w:val="00314AED"/>
    <w:rsid w:val="00314B3C"/>
    <w:rsid w:val="00315583"/>
    <w:rsid w:val="003156D7"/>
    <w:rsid w:val="00315A15"/>
    <w:rsid w:val="00315A97"/>
    <w:rsid w:val="00315DCF"/>
    <w:rsid w:val="00316071"/>
    <w:rsid w:val="0031676E"/>
    <w:rsid w:val="003167B8"/>
    <w:rsid w:val="00316CF7"/>
    <w:rsid w:val="00316ECE"/>
    <w:rsid w:val="003178B3"/>
    <w:rsid w:val="003179CE"/>
    <w:rsid w:val="00317D8C"/>
    <w:rsid w:val="00320280"/>
    <w:rsid w:val="003203C3"/>
    <w:rsid w:val="00320477"/>
    <w:rsid w:val="003204D6"/>
    <w:rsid w:val="003204E9"/>
    <w:rsid w:val="003206FD"/>
    <w:rsid w:val="0032088A"/>
    <w:rsid w:val="00320B38"/>
    <w:rsid w:val="00320B6C"/>
    <w:rsid w:val="00320EA5"/>
    <w:rsid w:val="00321383"/>
    <w:rsid w:val="00321491"/>
    <w:rsid w:val="00321A0B"/>
    <w:rsid w:val="0032212B"/>
    <w:rsid w:val="003222C2"/>
    <w:rsid w:val="00322674"/>
    <w:rsid w:val="003228C0"/>
    <w:rsid w:val="00322A4E"/>
    <w:rsid w:val="00322C1C"/>
    <w:rsid w:val="00322F42"/>
    <w:rsid w:val="0032322B"/>
    <w:rsid w:val="0032325A"/>
    <w:rsid w:val="003234F8"/>
    <w:rsid w:val="003237A6"/>
    <w:rsid w:val="00323B92"/>
    <w:rsid w:val="00324455"/>
    <w:rsid w:val="00324558"/>
    <w:rsid w:val="003248D6"/>
    <w:rsid w:val="00324E84"/>
    <w:rsid w:val="003251CE"/>
    <w:rsid w:val="003252A2"/>
    <w:rsid w:val="0032531F"/>
    <w:rsid w:val="00325C25"/>
    <w:rsid w:val="00325C53"/>
    <w:rsid w:val="003260D3"/>
    <w:rsid w:val="00326631"/>
    <w:rsid w:val="003268F6"/>
    <w:rsid w:val="003269BB"/>
    <w:rsid w:val="00326BB4"/>
    <w:rsid w:val="00326C2D"/>
    <w:rsid w:val="00326D51"/>
    <w:rsid w:val="003270DE"/>
    <w:rsid w:val="00327144"/>
    <w:rsid w:val="003273CF"/>
    <w:rsid w:val="003273F7"/>
    <w:rsid w:val="00327B6A"/>
    <w:rsid w:val="003301E0"/>
    <w:rsid w:val="0033040E"/>
    <w:rsid w:val="00330628"/>
    <w:rsid w:val="003308AB"/>
    <w:rsid w:val="00330A09"/>
    <w:rsid w:val="00330C98"/>
    <w:rsid w:val="00330E42"/>
    <w:rsid w:val="0033109D"/>
    <w:rsid w:val="0033128F"/>
    <w:rsid w:val="00331462"/>
    <w:rsid w:val="003318AB"/>
    <w:rsid w:val="00331E4A"/>
    <w:rsid w:val="00332131"/>
    <w:rsid w:val="00332233"/>
    <w:rsid w:val="00332348"/>
    <w:rsid w:val="003325EE"/>
    <w:rsid w:val="00332FD6"/>
    <w:rsid w:val="003330D9"/>
    <w:rsid w:val="00333108"/>
    <w:rsid w:val="0033365C"/>
    <w:rsid w:val="003337B5"/>
    <w:rsid w:val="00333A05"/>
    <w:rsid w:val="00334175"/>
    <w:rsid w:val="0033439A"/>
    <w:rsid w:val="00334877"/>
    <w:rsid w:val="00334892"/>
    <w:rsid w:val="003349DC"/>
    <w:rsid w:val="00334A1D"/>
    <w:rsid w:val="00334EAF"/>
    <w:rsid w:val="0033508C"/>
    <w:rsid w:val="003350C3"/>
    <w:rsid w:val="00335174"/>
    <w:rsid w:val="00335253"/>
    <w:rsid w:val="00335356"/>
    <w:rsid w:val="0033563C"/>
    <w:rsid w:val="00335A37"/>
    <w:rsid w:val="00335B62"/>
    <w:rsid w:val="00336291"/>
    <w:rsid w:val="003364C2"/>
    <w:rsid w:val="0033655E"/>
    <w:rsid w:val="0033661C"/>
    <w:rsid w:val="003366A6"/>
    <w:rsid w:val="003370D6"/>
    <w:rsid w:val="0033711C"/>
    <w:rsid w:val="00337195"/>
    <w:rsid w:val="0033722E"/>
    <w:rsid w:val="00337257"/>
    <w:rsid w:val="003374F1"/>
    <w:rsid w:val="00337512"/>
    <w:rsid w:val="00337A66"/>
    <w:rsid w:val="00337BDE"/>
    <w:rsid w:val="00337CDA"/>
    <w:rsid w:val="00337CF3"/>
    <w:rsid w:val="00340103"/>
    <w:rsid w:val="003401B9"/>
    <w:rsid w:val="0034043D"/>
    <w:rsid w:val="003405D6"/>
    <w:rsid w:val="00340616"/>
    <w:rsid w:val="003406EE"/>
    <w:rsid w:val="003407EF"/>
    <w:rsid w:val="00340972"/>
    <w:rsid w:val="003409B6"/>
    <w:rsid w:val="00340FE0"/>
    <w:rsid w:val="003410BD"/>
    <w:rsid w:val="0034123D"/>
    <w:rsid w:val="00341597"/>
    <w:rsid w:val="003418E6"/>
    <w:rsid w:val="00341A23"/>
    <w:rsid w:val="00341B50"/>
    <w:rsid w:val="00341DA7"/>
    <w:rsid w:val="00341E2B"/>
    <w:rsid w:val="00342877"/>
    <w:rsid w:val="00342B96"/>
    <w:rsid w:val="00342EAC"/>
    <w:rsid w:val="0034309F"/>
    <w:rsid w:val="00343527"/>
    <w:rsid w:val="003435B7"/>
    <w:rsid w:val="003437DE"/>
    <w:rsid w:val="00343E5C"/>
    <w:rsid w:val="0034438B"/>
    <w:rsid w:val="0034443F"/>
    <w:rsid w:val="003447C2"/>
    <w:rsid w:val="00344FB8"/>
    <w:rsid w:val="00345124"/>
    <w:rsid w:val="0034546B"/>
    <w:rsid w:val="00345B45"/>
    <w:rsid w:val="00345CA7"/>
    <w:rsid w:val="00345F1A"/>
    <w:rsid w:val="00345FEA"/>
    <w:rsid w:val="0034601F"/>
    <w:rsid w:val="00346163"/>
    <w:rsid w:val="0034647F"/>
    <w:rsid w:val="003464E2"/>
    <w:rsid w:val="003467ED"/>
    <w:rsid w:val="00346AC2"/>
    <w:rsid w:val="00346B0C"/>
    <w:rsid w:val="00346B7C"/>
    <w:rsid w:val="00346CD5"/>
    <w:rsid w:val="003472F9"/>
    <w:rsid w:val="00347826"/>
    <w:rsid w:val="00347A08"/>
    <w:rsid w:val="00347B37"/>
    <w:rsid w:val="00347C10"/>
    <w:rsid w:val="00347D6A"/>
    <w:rsid w:val="00347DE4"/>
    <w:rsid w:val="00347FF5"/>
    <w:rsid w:val="0035035E"/>
    <w:rsid w:val="00350603"/>
    <w:rsid w:val="00350B39"/>
    <w:rsid w:val="00350C6E"/>
    <w:rsid w:val="00350F45"/>
    <w:rsid w:val="00351055"/>
    <w:rsid w:val="00351062"/>
    <w:rsid w:val="00351214"/>
    <w:rsid w:val="0035137E"/>
    <w:rsid w:val="0035147A"/>
    <w:rsid w:val="003514BE"/>
    <w:rsid w:val="00351782"/>
    <w:rsid w:val="00351B16"/>
    <w:rsid w:val="00351C20"/>
    <w:rsid w:val="00351C39"/>
    <w:rsid w:val="00351DCA"/>
    <w:rsid w:val="00351E18"/>
    <w:rsid w:val="003520CB"/>
    <w:rsid w:val="003522ED"/>
    <w:rsid w:val="00352520"/>
    <w:rsid w:val="00352742"/>
    <w:rsid w:val="00352958"/>
    <w:rsid w:val="00352B70"/>
    <w:rsid w:val="00352BB7"/>
    <w:rsid w:val="00353312"/>
    <w:rsid w:val="003533BB"/>
    <w:rsid w:val="003533DA"/>
    <w:rsid w:val="0035365F"/>
    <w:rsid w:val="00353AED"/>
    <w:rsid w:val="00353C1B"/>
    <w:rsid w:val="0035402B"/>
    <w:rsid w:val="0035418E"/>
    <w:rsid w:val="003542A8"/>
    <w:rsid w:val="003543B5"/>
    <w:rsid w:val="00354507"/>
    <w:rsid w:val="003549AA"/>
    <w:rsid w:val="00354AAF"/>
    <w:rsid w:val="00354B15"/>
    <w:rsid w:val="00354B5E"/>
    <w:rsid w:val="00354C54"/>
    <w:rsid w:val="0035500B"/>
    <w:rsid w:val="0035529F"/>
    <w:rsid w:val="003552DF"/>
    <w:rsid w:val="003553A2"/>
    <w:rsid w:val="003556B4"/>
    <w:rsid w:val="00355933"/>
    <w:rsid w:val="003559C9"/>
    <w:rsid w:val="00355A74"/>
    <w:rsid w:val="00355CF7"/>
    <w:rsid w:val="00355F9D"/>
    <w:rsid w:val="0035617F"/>
    <w:rsid w:val="00356512"/>
    <w:rsid w:val="003566DA"/>
    <w:rsid w:val="00356BBC"/>
    <w:rsid w:val="00356BBE"/>
    <w:rsid w:val="00356BD1"/>
    <w:rsid w:val="00357023"/>
    <w:rsid w:val="00357180"/>
    <w:rsid w:val="003571E2"/>
    <w:rsid w:val="003574B3"/>
    <w:rsid w:val="0035772E"/>
    <w:rsid w:val="00357A18"/>
    <w:rsid w:val="00357C56"/>
    <w:rsid w:val="00357E22"/>
    <w:rsid w:val="00357F42"/>
    <w:rsid w:val="00360035"/>
    <w:rsid w:val="0036009F"/>
    <w:rsid w:val="0036017B"/>
    <w:rsid w:val="003601B4"/>
    <w:rsid w:val="003604C6"/>
    <w:rsid w:val="00360921"/>
    <w:rsid w:val="00360962"/>
    <w:rsid w:val="00360FA3"/>
    <w:rsid w:val="00361184"/>
    <w:rsid w:val="003611F0"/>
    <w:rsid w:val="00361693"/>
    <w:rsid w:val="003618DA"/>
    <w:rsid w:val="0036193A"/>
    <w:rsid w:val="00361DFC"/>
    <w:rsid w:val="00361E68"/>
    <w:rsid w:val="00361F5E"/>
    <w:rsid w:val="00361FBB"/>
    <w:rsid w:val="0036202E"/>
    <w:rsid w:val="00362196"/>
    <w:rsid w:val="003621BC"/>
    <w:rsid w:val="003624A4"/>
    <w:rsid w:val="00362755"/>
    <w:rsid w:val="003627D9"/>
    <w:rsid w:val="00362FB5"/>
    <w:rsid w:val="00363006"/>
    <w:rsid w:val="00363026"/>
    <w:rsid w:val="003632C1"/>
    <w:rsid w:val="003633AD"/>
    <w:rsid w:val="0036382D"/>
    <w:rsid w:val="00363C96"/>
    <w:rsid w:val="00363C9C"/>
    <w:rsid w:val="00363EBD"/>
    <w:rsid w:val="00364209"/>
    <w:rsid w:val="00364360"/>
    <w:rsid w:val="00364692"/>
    <w:rsid w:val="00364926"/>
    <w:rsid w:val="00364C02"/>
    <w:rsid w:val="00364DE3"/>
    <w:rsid w:val="00364F99"/>
    <w:rsid w:val="0036514E"/>
    <w:rsid w:val="00365313"/>
    <w:rsid w:val="00365359"/>
    <w:rsid w:val="00365686"/>
    <w:rsid w:val="003658B9"/>
    <w:rsid w:val="003658F3"/>
    <w:rsid w:val="00365A56"/>
    <w:rsid w:val="00365D33"/>
    <w:rsid w:val="00365E10"/>
    <w:rsid w:val="00365F3C"/>
    <w:rsid w:val="0036625B"/>
    <w:rsid w:val="003664B4"/>
    <w:rsid w:val="00366590"/>
    <w:rsid w:val="003665AA"/>
    <w:rsid w:val="00366809"/>
    <w:rsid w:val="00366951"/>
    <w:rsid w:val="0036696E"/>
    <w:rsid w:val="003669BA"/>
    <w:rsid w:val="00366A35"/>
    <w:rsid w:val="00366B3C"/>
    <w:rsid w:val="00366C28"/>
    <w:rsid w:val="00366C8C"/>
    <w:rsid w:val="00366E86"/>
    <w:rsid w:val="00366F48"/>
    <w:rsid w:val="003675D0"/>
    <w:rsid w:val="00367CBB"/>
    <w:rsid w:val="00367F7E"/>
    <w:rsid w:val="00370669"/>
    <w:rsid w:val="003709D4"/>
    <w:rsid w:val="00370AEB"/>
    <w:rsid w:val="00370E1F"/>
    <w:rsid w:val="00371190"/>
    <w:rsid w:val="003711CB"/>
    <w:rsid w:val="003715D2"/>
    <w:rsid w:val="00371723"/>
    <w:rsid w:val="003717EB"/>
    <w:rsid w:val="00371896"/>
    <w:rsid w:val="00371AF7"/>
    <w:rsid w:val="00371BA6"/>
    <w:rsid w:val="00371C34"/>
    <w:rsid w:val="00372039"/>
    <w:rsid w:val="003724FE"/>
    <w:rsid w:val="0037267D"/>
    <w:rsid w:val="00372706"/>
    <w:rsid w:val="00372778"/>
    <w:rsid w:val="003727F5"/>
    <w:rsid w:val="003728C0"/>
    <w:rsid w:val="00372B04"/>
    <w:rsid w:val="00372B21"/>
    <w:rsid w:val="00372BF1"/>
    <w:rsid w:val="00372D1E"/>
    <w:rsid w:val="00373008"/>
    <w:rsid w:val="00373140"/>
    <w:rsid w:val="00373966"/>
    <w:rsid w:val="00373994"/>
    <w:rsid w:val="00373B93"/>
    <w:rsid w:val="00373E23"/>
    <w:rsid w:val="00373EB4"/>
    <w:rsid w:val="00373F95"/>
    <w:rsid w:val="0037400D"/>
    <w:rsid w:val="003740FE"/>
    <w:rsid w:val="00374116"/>
    <w:rsid w:val="00374285"/>
    <w:rsid w:val="003748EB"/>
    <w:rsid w:val="00374C14"/>
    <w:rsid w:val="00374F0B"/>
    <w:rsid w:val="00375077"/>
    <w:rsid w:val="0037530F"/>
    <w:rsid w:val="00375472"/>
    <w:rsid w:val="003754BB"/>
    <w:rsid w:val="0037554C"/>
    <w:rsid w:val="00375659"/>
    <w:rsid w:val="003756AE"/>
    <w:rsid w:val="00375968"/>
    <w:rsid w:val="00375BFC"/>
    <w:rsid w:val="00375DB8"/>
    <w:rsid w:val="00375EC1"/>
    <w:rsid w:val="00376351"/>
    <w:rsid w:val="003767C3"/>
    <w:rsid w:val="0037683D"/>
    <w:rsid w:val="0037685C"/>
    <w:rsid w:val="0037686A"/>
    <w:rsid w:val="00376AE5"/>
    <w:rsid w:val="00376DCA"/>
    <w:rsid w:val="00376E2A"/>
    <w:rsid w:val="00376E47"/>
    <w:rsid w:val="00376F15"/>
    <w:rsid w:val="003770C4"/>
    <w:rsid w:val="00377213"/>
    <w:rsid w:val="003772F4"/>
    <w:rsid w:val="003774E5"/>
    <w:rsid w:val="003775BE"/>
    <w:rsid w:val="00377AA2"/>
    <w:rsid w:val="00377E3A"/>
    <w:rsid w:val="0038011E"/>
    <w:rsid w:val="00380317"/>
    <w:rsid w:val="003804A7"/>
    <w:rsid w:val="0038082E"/>
    <w:rsid w:val="00380A3D"/>
    <w:rsid w:val="00380B73"/>
    <w:rsid w:val="00380CD1"/>
    <w:rsid w:val="00380EC7"/>
    <w:rsid w:val="00381029"/>
    <w:rsid w:val="003811F8"/>
    <w:rsid w:val="0038142A"/>
    <w:rsid w:val="0038188C"/>
    <w:rsid w:val="00381A24"/>
    <w:rsid w:val="00381F6A"/>
    <w:rsid w:val="00381FA4"/>
    <w:rsid w:val="003824BC"/>
    <w:rsid w:val="003824F3"/>
    <w:rsid w:val="003826A6"/>
    <w:rsid w:val="00382798"/>
    <w:rsid w:val="003828BD"/>
    <w:rsid w:val="00382C05"/>
    <w:rsid w:val="00382D1C"/>
    <w:rsid w:val="00382DC7"/>
    <w:rsid w:val="00382FC6"/>
    <w:rsid w:val="00383052"/>
    <w:rsid w:val="00383112"/>
    <w:rsid w:val="00383239"/>
    <w:rsid w:val="003835D1"/>
    <w:rsid w:val="00383683"/>
    <w:rsid w:val="0038372E"/>
    <w:rsid w:val="00383F30"/>
    <w:rsid w:val="003843CB"/>
    <w:rsid w:val="00384E41"/>
    <w:rsid w:val="00384FFC"/>
    <w:rsid w:val="003853C7"/>
    <w:rsid w:val="003855C1"/>
    <w:rsid w:val="00385B2A"/>
    <w:rsid w:val="00385C9C"/>
    <w:rsid w:val="00385F84"/>
    <w:rsid w:val="00385FA9"/>
    <w:rsid w:val="00386A33"/>
    <w:rsid w:val="00386BFC"/>
    <w:rsid w:val="00386D4D"/>
    <w:rsid w:val="00386DE6"/>
    <w:rsid w:val="00386F87"/>
    <w:rsid w:val="00387891"/>
    <w:rsid w:val="00387BEB"/>
    <w:rsid w:val="00390147"/>
    <w:rsid w:val="003901C6"/>
    <w:rsid w:val="00390341"/>
    <w:rsid w:val="003903CD"/>
    <w:rsid w:val="003904AA"/>
    <w:rsid w:val="00390616"/>
    <w:rsid w:val="00390773"/>
    <w:rsid w:val="003919B9"/>
    <w:rsid w:val="003919EF"/>
    <w:rsid w:val="00391C2D"/>
    <w:rsid w:val="00391E87"/>
    <w:rsid w:val="0039206A"/>
    <w:rsid w:val="0039217B"/>
    <w:rsid w:val="00392275"/>
    <w:rsid w:val="0039268B"/>
    <w:rsid w:val="00392852"/>
    <w:rsid w:val="00392B38"/>
    <w:rsid w:val="00392B79"/>
    <w:rsid w:val="00392BDA"/>
    <w:rsid w:val="00392E74"/>
    <w:rsid w:val="00392F22"/>
    <w:rsid w:val="003931E5"/>
    <w:rsid w:val="0039330F"/>
    <w:rsid w:val="003933E9"/>
    <w:rsid w:val="00393414"/>
    <w:rsid w:val="003934F3"/>
    <w:rsid w:val="0039394C"/>
    <w:rsid w:val="00393ACB"/>
    <w:rsid w:val="00393C2C"/>
    <w:rsid w:val="00393CA0"/>
    <w:rsid w:val="00393D61"/>
    <w:rsid w:val="00393FA6"/>
    <w:rsid w:val="0039402B"/>
    <w:rsid w:val="003941EC"/>
    <w:rsid w:val="00394271"/>
    <w:rsid w:val="003942CE"/>
    <w:rsid w:val="003944A8"/>
    <w:rsid w:val="0039488E"/>
    <w:rsid w:val="00394A21"/>
    <w:rsid w:val="00394E55"/>
    <w:rsid w:val="00395021"/>
    <w:rsid w:val="00395283"/>
    <w:rsid w:val="00395571"/>
    <w:rsid w:val="003958B4"/>
    <w:rsid w:val="00395AFB"/>
    <w:rsid w:val="00395E70"/>
    <w:rsid w:val="00395F3A"/>
    <w:rsid w:val="003967BD"/>
    <w:rsid w:val="003967FF"/>
    <w:rsid w:val="00396CA7"/>
    <w:rsid w:val="00396EDE"/>
    <w:rsid w:val="00396FE3"/>
    <w:rsid w:val="0039714E"/>
    <w:rsid w:val="00397334"/>
    <w:rsid w:val="00397361"/>
    <w:rsid w:val="00397586"/>
    <w:rsid w:val="00397AF2"/>
    <w:rsid w:val="00397B2C"/>
    <w:rsid w:val="00397B3A"/>
    <w:rsid w:val="00397B3D"/>
    <w:rsid w:val="00397DA9"/>
    <w:rsid w:val="00397EE8"/>
    <w:rsid w:val="00397F9E"/>
    <w:rsid w:val="003A014C"/>
    <w:rsid w:val="003A01B9"/>
    <w:rsid w:val="003A0268"/>
    <w:rsid w:val="003A027B"/>
    <w:rsid w:val="003A02CA"/>
    <w:rsid w:val="003A063E"/>
    <w:rsid w:val="003A0732"/>
    <w:rsid w:val="003A0944"/>
    <w:rsid w:val="003A0ABF"/>
    <w:rsid w:val="003A0DCA"/>
    <w:rsid w:val="003A0EC4"/>
    <w:rsid w:val="003A112B"/>
    <w:rsid w:val="003A15A8"/>
    <w:rsid w:val="003A1715"/>
    <w:rsid w:val="003A1F46"/>
    <w:rsid w:val="003A2007"/>
    <w:rsid w:val="003A251E"/>
    <w:rsid w:val="003A2530"/>
    <w:rsid w:val="003A26A7"/>
    <w:rsid w:val="003A280D"/>
    <w:rsid w:val="003A2825"/>
    <w:rsid w:val="003A2C33"/>
    <w:rsid w:val="003A30D3"/>
    <w:rsid w:val="003A30E7"/>
    <w:rsid w:val="003A337C"/>
    <w:rsid w:val="003A35CA"/>
    <w:rsid w:val="003A3771"/>
    <w:rsid w:val="003A3894"/>
    <w:rsid w:val="003A38F0"/>
    <w:rsid w:val="003A3A11"/>
    <w:rsid w:val="003A3D8C"/>
    <w:rsid w:val="003A4255"/>
    <w:rsid w:val="003A43CC"/>
    <w:rsid w:val="003A496E"/>
    <w:rsid w:val="003A4C4A"/>
    <w:rsid w:val="003A4DB9"/>
    <w:rsid w:val="003A4F1A"/>
    <w:rsid w:val="003A4F24"/>
    <w:rsid w:val="003A5075"/>
    <w:rsid w:val="003A51AF"/>
    <w:rsid w:val="003A562B"/>
    <w:rsid w:val="003A584C"/>
    <w:rsid w:val="003A585C"/>
    <w:rsid w:val="003A5872"/>
    <w:rsid w:val="003A58A4"/>
    <w:rsid w:val="003A59BA"/>
    <w:rsid w:val="003A5A5A"/>
    <w:rsid w:val="003A5B96"/>
    <w:rsid w:val="003A63D2"/>
    <w:rsid w:val="003A6BD4"/>
    <w:rsid w:val="003A6C88"/>
    <w:rsid w:val="003A708B"/>
    <w:rsid w:val="003A7129"/>
    <w:rsid w:val="003A798A"/>
    <w:rsid w:val="003A79B5"/>
    <w:rsid w:val="003A7A47"/>
    <w:rsid w:val="003A7C80"/>
    <w:rsid w:val="003B007A"/>
    <w:rsid w:val="003B0093"/>
    <w:rsid w:val="003B05AB"/>
    <w:rsid w:val="003B0796"/>
    <w:rsid w:val="003B08A1"/>
    <w:rsid w:val="003B0BA9"/>
    <w:rsid w:val="003B0C24"/>
    <w:rsid w:val="003B0D33"/>
    <w:rsid w:val="003B0FD6"/>
    <w:rsid w:val="003B1275"/>
    <w:rsid w:val="003B1486"/>
    <w:rsid w:val="003B18D0"/>
    <w:rsid w:val="003B1CE9"/>
    <w:rsid w:val="003B1CF3"/>
    <w:rsid w:val="003B1D17"/>
    <w:rsid w:val="003B1DAE"/>
    <w:rsid w:val="003B1E3D"/>
    <w:rsid w:val="003B1F4E"/>
    <w:rsid w:val="003B1FD2"/>
    <w:rsid w:val="003B2B50"/>
    <w:rsid w:val="003B2CC7"/>
    <w:rsid w:val="003B2D15"/>
    <w:rsid w:val="003B305B"/>
    <w:rsid w:val="003B33AC"/>
    <w:rsid w:val="003B3607"/>
    <w:rsid w:val="003B4317"/>
    <w:rsid w:val="003B439C"/>
    <w:rsid w:val="003B4491"/>
    <w:rsid w:val="003B458F"/>
    <w:rsid w:val="003B48AF"/>
    <w:rsid w:val="003B4F3E"/>
    <w:rsid w:val="003B4F52"/>
    <w:rsid w:val="003B500C"/>
    <w:rsid w:val="003B50A7"/>
    <w:rsid w:val="003B544B"/>
    <w:rsid w:val="003B57E1"/>
    <w:rsid w:val="003B5B1A"/>
    <w:rsid w:val="003B5E12"/>
    <w:rsid w:val="003B61C0"/>
    <w:rsid w:val="003B6665"/>
    <w:rsid w:val="003B66FD"/>
    <w:rsid w:val="003B6877"/>
    <w:rsid w:val="003B72FB"/>
    <w:rsid w:val="003B761A"/>
    <w:rsid w:val="003B77B3"/>
    <w:rsid w:val="003B77C8"/>
    <w:rsid w:val="003B790C"/>
    <w:rsid w:val="003B7AB3"/>
    <w:rsid w:val="003B7D83"/>
    <w:rsid w:val="003B7F0C"/>
    <w:rsid w:val="003C0069"/>
    <w:rsid w:val="003C00C3"/>
    <w:rsid w:val="003C00E3"/>
    <w:rsid w:val="003C0150"/>
    <w:rsid w:val="003C0369"/>
    <w:rsid w:val="003C061C"/>
    <w:rsid w:val="003C0D7A"/>
    <w:rsid w:val="003C0FA2"/>
    <w:rsid w:val="003C12C8"/>
    <w:rsid w:val="003C146F"/>
    <w:rsid w:val="003C16E4"/>
    <w:rsid w:val="003C176F"/>
    <w:rsid w:val="003C1B25"/>
    <w:rsid w:val="003C1BDB"/>
    <w:rsid w:val="003C1E2D"/>
    <w:rsid w:val="003C2229"/>
    <w:rsid w:val="003C2235"/>
    <w:rsid w:val="003C2504"/>
    <w:rsid w:val="003C266A"/>
    <w:rsid w:val="003C267E"/>
    <w:rsid w:val="003C2999"/>
    <w:rsid w:val="003C2B29"/>
    <w:rsid w:val="003C2DE3"/>
    <w:rsid w:val="003C2E4A"/>
    <w:rsid w:val="003C2E61"/>
    <w:rsid w:val="003C3371"/>
    <w:rsid w:val="003C3658"/>
    <w:rsid w:val="003C3AE9"/>
    <w:rsid w:val="003C3E42"/>
    <w:rsid w:val="003C4469"/>
    <w:rsid w:val="003C448A"/>
    <w:rsid w:val="003C47BD"/>
    <w:rsid w:val="003C485E"/>
    <w:rsid w:val="003C49AD"/>
    <w:rsid w:val="003C4D74"/>
    <w:rsid w:val="003C4E90"/>
    <w:rsid w:val="003C5378"/>
    <w:rsid w:val="003C5528"/>
    <w:rsid w:val="003C56DF"/>
    <w:rsid w:val="003C59B6"/>
    <w:rsid w:val="003C59F3"/>
    <w:rsid w:val="003C5AA9"/>
    <w:rsid w:val="003C662B"/>
    <w:rsid w:val="003C6659"/>
    <w:rsid w:val="003C6789"/>
    <w:rsid w:val="003C678B"/>
    <w:rsid w:val="003C6890"/>
    <w:rsid w:val="003C69F0"/>
    <w:rsid w:val="003C7018"/>
    <w:rsid w:val="003C728A"/>
    <w:rsid w:val="003C73D0"/>
    <w:rsid w:val="003C759A"/>
    <w:rsid w:val="003C7644"/>
    <w:rsid w:val="003C76B4"/>
    <w:rsid w:val="003C79A6"/>
    <w:rsid w:val="003C7A14"/>
    <w:rsid w:val="003C7B02"/>
    <w:rsid w:val="003C7BE5"/>
    <w:rsid w:val="003D0134"/>
    <w:rsid w:val="003D075C"/>
    <w:rsid w:val="003D0A16"/>
    <w:rsid w:val="003D0CFF"/>
    <w:rsid w:val="003D0ED1"/>
    <w:rsid w:val="003D14F1"/>
    <w:rsid w:val="003D1730"/>
    <w:rsid w:val="003D17D2"/>
    <w:rsid w:val="003D180A"/>
    <w:rsid w:val="003D1936"/>
    <w:rsid w:val="003D1957"/>
    <w:rsid w:val="003D1AA9"/>
    <w:rsid w:val="003D1B8C"/>
    <w:rsid w:val="003D1D7A"/>
    <w:rsid w:val="003D2124"/>
    <w:rsid w:val="003D27CB"/>
    <w:rsid w:val="003D283D"/>
    <w:rsid w:val="003D2DB4"/>
    <w:rsid w:val="003D2DF1"/>
    <w:rsid w:val="003D2FCF"/>
    <w:rsid w:val="003D37C2"/>
    <w:rsid w:val="003D39A1"/>
    <w:rsid w:val="003D3A75"/>
    <w:rsid w:val="003D3CF1"/>
    <w:rsid w:val="003D3D18"/>
    <w:rsid w:val="003D3F3E"/>
    <w:rsid w:val="003D435D"/>
    <w:rsid w:val="003D459D"/>
    <w:rsid w:val="003D4676"/>
    <w:rsid w:val="003D4725"/>
    <w:rsid w:val="003D47E9"/>
    <w:rsid w:val="003D48F8"/>
    <w:rsid w:val="003D4911"/>
    <w:rsid w:val="003D4CB0"/>
    <w:rsid w:val="003D4EDB"/>
    <w:rsid w:val="003D4F54"/>
    <w:rsid w:val="003D5047"/>
    <w:rsid w:val="003D51EB"/>
    <w:rsid w:val="003D5242"/>
    <w:rsid w:val="003D524D"/>
    <w:rsid w:val="003D5809"/>
    <w:rsid w:val="003D596B"/>
    <w:rsid w:val="003D5EA4"/>
    <w:rsid w:val="003D5EB9"/>
    <w:rsid w:val="003D616C"/>
    <w:rsid w:val="003D62AE"/>
    <w:rsid w:val="003D6629"/>
    <w:rsid w:val="003D692E"/>
    <w:rsid w:val="003D6935"/>
    <w:rsid w:val="003D6EF6"/>
    <w:rsid w:val="003D70A6"/>
    <w:rsid w:val="003D7161"/>
    <w:rsid w:val="003D730B"/>
    <w:rsid w:val="003D7338"/>
    <w:rsid w:val="003D733B"/>
    <w:rsid w:val="003D7859"/>
    <w:rsid w:val="003D7A01"/>
    <w:rsid w:val="003D7B3C"/>
    <w:rsid w:val="003D7CCE"/>
    <w:rsid w:val="003D7D83"/>
    <w:rsid w:val="003E0101"/>
    <w:rsid w:val="003E0239"/>
    <w:rsid w:val="003E04A8"/>
    <w:rsid w:val="003E1329"/>
    <w:rsid w:val="003E1376"/>
    <w:rsid w:val="003E1765"/>
    <w:rsid w:val="003E181A"/>
    <w:rsid w:val="003E186E"/>
    <w:rsid w:val="003E194B"/>
    <w:rsid w:val="003E1A9A"/>
    <w:rsid w:val="003E1BB1"/>
    <w:rsid w:val="003E2263"/>
    <w:rsid w:val="003E2296"/>
    <w:rsid w:val="003E236B"/>
    <w:rsid w:val="003E25B6"/>
    <w:rsid w:val="003E2669"/>
    <w:rsid w:val="003E270A"/>
    <w:rsid w:val="003E28A3"/>
    <w:rsid w:val="003E290D"/>
    <w:rsid w:val="003E2950"/>
    <w:rsid w:val="003E2C2E"/>
    <w:rsid w:val="003E31A1"/>
    <w:rsid w:val="003E31AD"/>
    <w:rsid w:val="003E34E1"/>
    <w:rsid w:val="003E3941"/>
    <w:rsid w:val="003E3C2F"/>
    <w:rsid w:val="003E3D7D"/>
    <w:rsid w:val="003E403C"/>
    <w:rsid w:val="003E41D3"/>
    <w:rsid w:val="003E43C5"/>
    <w:rsid w:val="003E4498"/>
    <w:rsid w:val="003E4AA2"/>
    <w:rsid w:val="003E4CF8"/>
    <w:rsid w:val="003E4EEA"/>
    <w:rsid w:val="003E51ED"/>
    <w:rsid w:val="003E5A4B"/>
    <w:rsid w:val="003E5B3C"/>
    <w:rsid w:val="003E62A8"/>
    <w:rsid w:val="003E6473"/>
    <w:rsid w:val="003E655D"/>
    <w:rsid w:val="003E6569"/>
    <w:rsid w:val="003E6648"/>
    <w:rsid w:val="003E6670"/>
    <w:rsid w:val="003E66E7"/>
    <w:rsid w:val="003E6B83"/>
    <w:rsid w:val="003E6FD8"/>
    <w:rsid w:val="003E7135"/>
    <w:rsid w:val="003E75BF"/>
    <w:rsid w:val="003E76AB"/>
    <w:rsid w:val="003E773C"/>
    <w:rsid w:val="003E7919"/>
    <w:rsid w:val="003E7C85"/>
    <w:rsid w:val="003E7D3B"/>
    <w:rsid w:val="003E7EAB"/>
    <w:rsid w:val="003F0236"/>
    <w:rsid w:val="003F0537"/>
    <w:rsid w:val="003F069A"/>
    <w:rsid w:val="003F070A"/>
    <w:rsid w:val="003F0742"/>
    <w:rsid w:val="003F096F"/>
    <w:rsid w:val="003F0A4D"/>
    <w:rsid w:val="003F0E73"/>
    <w:rsid w:val="003F12C8"/>
    <w:rsid w:val="003F14F4"/>
    <w:rsid w:val="003F156C"/>
    <w:rsid w:val="003F1757"/>
    <w:rsid w:val="003F1BC5"/>
    <w:rsid w:val="003F1D57"/>
    <w:rsid w:val="003F1D97"/>
    <w:rsid w:val="003F1E0A"/>
    <w:rsid w:val="003F22D0"/>
    <w:rsid w:val="003F2BB2"/>
    <w:rsid w:val="003F2C84"/>
    <w:rsid w:val="003F2E6F"/>
    <w:rsid w:val="003F2E7C"/>
    <w:rsid w:val="003F2EE1"/>
    <w:rsid w:val="003F2EE9"/>
    <w:rsid w:val="003F2F71"/>
    <w:rsid w:val="003F34B0"/>
    <w:rsid w:val="003F360F"/>
    <w:rsid w:val="003F368A"/>
    <w:rsid w:val="003F37C1"/>
    <w:rsid w:val="003F39AA"/>
    <w:rsid w:val="003F3B57"/>
    <w:rsid w:val="003F3B73"/>
    <w:rsid w:val="003F3C11"/>
    <w:rsid w:val="003F431E"/>
    <w:rsid w:val="003F4329"/>
    <w:rsid w:val="003F473A"/>
    <w:rsid w:val="003F4961"/>
    <w:rsid w:val="003F4F31"/>
    <w:rsid w:val="003F54F6"/>
    <w:rsid w:val="003F555E"/>
    <w:rsid w:val="003F568A"/>
    <w:rsid w:val="003F5719"/>
    <w:rsid w:val="003F5826"/>
    <w:rsid w:val="003F58C8"/>
    <w:rsid w:val="003F598A"/>
    <w:rsid w:val="003F5B93"/>
    <w:rsid w:val="003F5D91"/>
    <w:rsid w:val="003F5ED9"/>
    <w:rsid w:val="003F607B"/>
    <w:rsid w:val="003F612C"/>
    <w:rsid w:val="003F6272"/>
    <w:rsid w:val="003F6400"/>
    <w:rsid w:val="003F6529"/>
    <w:rsid w:val="003F686B"/>
    <w:rsid w:val="003F6C15"/>
    <w:rsid w:val="003F6C61"/>
    <w:rsid w:val="003F6D98"/>
    <w:rsid w:val="003F6DED"/>
    <w:rsid w:val="003F6E21"/>
    <w:rsid w:val="003F73FF"/>
    <w:rsid w:val="003F75ED"/>
    <w:rsid w:val="003F78F3"/>
    <w:rsid w:val="003F7BBC"/>
    <w:rsid w:val="004003B5"/>
    <w:rsid w:val="00400490"/>
    <w:rsid w:val="00400718"/>
    <w:rsid w:val="00400959"/>
    <w:rsid w:val="00400B40"/>
    <w:rsid w:val="00400B86"/>
    <w:rsid w:val="00400B9C"/>
    <w:rsid w:val="00400DE8"/>
    <w:rsid w:val="00400F00"/>
    <w:rsid w:val="00401196"/>
    <w:rsid w:val="004015AF"/>
    <w:rsid w:val="00401835"/>
    <w:rsid w:val="00401AB6"/>
    <w:rsid w:val="00401C4C"/>
    <w:rsid w:val="00402100"/>
    <w:rsid w:val="00402185"/>
    <w:rsid w:val="00402582"/>
    <w:rsid w:val="004025E9"/>
    <w:rsid w:val="004026CE"/>
    <w:rsid w:val="004028D6"/>
    <w:rsid w:val="00402A9A"/>
    <w:rsid w:val="00402B87"/>
    <w:rsid w:val="00402C3D"/>
    <w:rsid w:val="00403070"/>
    <w:rsid w:val="00403089"/>
    <w:rsid w:val="00403606"/>
    <w:rsid w:val="00403635"/>
    <w:rsid w:val="004036E9"/>
    <w:rsid w:val="00403900"/>
    <w:rsid w:val="0040398A"/>
    <w:rsid w:val="00403CB9"/>
    <w:rsid w:val="00403D74"/>
    <w:rsid w:val="00403D99"/>
    <w:rsid w:val="00404280"/>
    <w:rsid w:val="00404539"/>
    <w:rsid w:val="00404637"/>
    <w:rsid w:val="0040480B"/>
    <w:rsid w:val="00404DB7"/>
    <w:rsid w:val="00404EA6"/>
    <w:rsid w:val="00404F16"/>
    <w:rsid w:val="004051EC"/>
    <w:rsid w:val="00405311"/>
    <w:rsid w:val="0040532B"/>
    <w:rsid w:val="00405404"/>
    <w:rsid w:val="00405690"/>
    <w:rsid w:val="004056A7"/>
    <w:rsid w:val="00405732"/>
    <w:rsid w:val="00405850"/>
    <w:rsid w:val="004059A8"/>
    <w:rsid w:val="00405A90"/>
    <w:rsid w:val="00405D07"/>
    <w:rsid w:val="00405EAA"/>
    <w:rsid w:val="00405ECF"/>
    <w:rsid w:val="00405FB6"/>
    <w:rsid w:val="00406090"/>
    <w:rsid w:val="004063E3"/>
    <w:rsid w:val="00406445"/>
    <w:rsid w:val="004066C8"/>
    <w:rsid w:val="00406AF2"/>
    <w:rsid w:val="00406CA8"/>
    <w:rsid w:val="00406CB4"/>
    <w:rsid w:val="00406DD8"/>
    <w:rsid w:val="00406E89"/>
    <w:rsid w:val="00406ECC"/>
    <w:rsid w:val="0040704C"/>
    <w:rsid w:val="00407087"/>
    <w:rsid w:val="00407399"/>
    <w:rsid w:val="004074D0"/>
    <w:rsid w:val="0040756D"/>
    <w:rsid w:val="00407631"/>
    <w:rsid w:val="00407663"/>
    <w:rsid w:val="0040766C"/>
    <w:rsid w:val="004076AC"/>
    <w:rsid w:val="004076EB"/>
    <w:rsid w:val="0040773C"/>
    <w:rsid w:val="00407CDE"/>
    <w:rsid w:val="00410182"/>
    <w:rsid w:val="0041052A"/>
    <w:rsid w:val="00410710"/>
    <w:rsid w:val="00410957"/>
    <w:rsid w:val="00410EEA"/>
    <w:rsid w:val="004117F7"/>
    <w:rsid w:val="00411831"/>
    <w:rsid w:val="00411A5C"/>
    <w:rsid w:val="00411BA9"/>
    <w:rsid w:val="00411BDA"/>
    <w:rsid w:val="00411BFE"/>
    <w:rsid w:val="00411CFA"/>
    <w:rsid w:val="00412346"/>
    <w:rsid w:val="004123B1"/>
    <w:rsid w:val="00412534"/>
    <w:rsid w:val="00412652"/>
    <w:rsid w:val="00412994"/>
    <w:rsid w:val="00412C53"/>
    <w:rsid w:val="00412C83"/>
    <w:rsid w:val="00413005"/>
    <w:rsid w:val="00413516"/>
    <w:rsid w:val="0041364D"/>
    <w:rsid w:val="004137D7"/>
    <w:rsid w:val="00413ABD"/>
    <w:rsid w:val="00413FE5"/>
    <w:rsid w:val="0041401B"/>
    <w:rsid w:val="004140C5"/>
    <w:rsid w:val="00414563"/>
    <w:rsid w:val="004146BA"/>
    <w:rsid w:val="00414B9C"/>
    <w:rsid w:val="00414E73"/>
    <w:rsid w:val="0041543D"/>
    <w:rsid w:val="004154A7"/>
    <w:rsid w:val="00415582"/>
    <w:rsid w:val="00415868"/>
    <w:rsid w:val="004159EF"/>
    <w:rsid w:val="00415BA1"/>
    <w:rsid w:val="00415EE0"/>
    <w:rsid w:val="004160D8"/>
    <w:rsid w:val="0041639C"/>
    <w:rsid w:val="00416472"/>
    <w:rsid w:val="00416511"/>
    <w:rsid w:val="00416566"/>
    <w:rsid w:val="0041676B"/>
    <w:rsid w:val="004167EA"/>
    <w:rsid w:val="00416894"/>
    <w:rsid w:val="00416AEC"/>
    <w:rsid w:val="00416E61"/>
    <w:rsid w:val="004170EE"/>
    <w:rsid w:val="004172B2"/>
    <w:rsid w:val="004173DA"/>
    <w:rsid w:val="0041795E"/>
    <w:rsid w:val="004179C4"/>
    <w:rsid w:val="00417BE5"/>
    <w:rsid w:val="00417BF3"/>
    <w:rsid w:val="00420097"/>
    <w:rsid w:val="004204D1"/>
    <w:rsid w:val="0042059A"/>
    <w:rsid w:val="00420856"/>
    <w:rsid w:val="00420E01"/>
    <w:rsid w:val="00420E23"/>
    <w:rsid w:val="00421703"/>
    <w:rsid w:val="004218C3"/>
    <w:rsid w:val="00422074"/>
    <w:rsid w:val="0042238C"/>
    <w:rsid w:val="00422587"/>
    <w:rsid w:val="00422B5E"/>
    <w:rsid w:val="00422CB4"/>
    <w:rsid w:val="00422F6C"/>
    <w:rsid w:val="00423062"/>
    <w:rsid w:val="004231AA"/>
    <w:rsid w:val="004231BC"/>
    <w:rsid w:val="004232F9"/>
    <w:rsid w:val="0042363D"/>
    <w:rsid w:val="0042396D"/>
    <w:rsid w:val="00423D4D"/>
    <w:rsid w:val="00423DFE"/>
    <w:rsid w:val="00423EC2"/>
    <w:rsid w:val="0042403B"/>
    <w:rsid w:val="0042409F"/>
    <w:rsid w:val="00424267"/>
    <w:rsid w:val="0042443C"/>
    <w:rsid w:val="004245E5"/>
    <w:rsid w:val="00424738"/>
    <w:rsid w:val="004249CB"/>
    <w:rsid w:val="00424A7C"/>
    <w:rsid w:val="00424E64"/>
    <w:rsid w:val="00424F6D"/>
    <w:rsid w:val="004250F0"/>
    <w:rsid w:val="0042554E"/>
    <w:rsid w:val="00425662"/>
    <w:rsid w:val="00425754"/>
    <w:rsid w:val="00425980"/>
    <w:rsid w:val="00426014"/>
    <w:rsid w:val="00426086"/>
    <w:rsid w:val="00426155"/>
    <w:rsid w:val="0042621D"/>
    <w:rsid w:val="004262CB"/>
    <w:rsid w:val="004262F9"/>
    <w:rsid w:val="00426360"/>
    <w:rsid w:val="0042647A"/>
    <w:rsid w:val="004264BF"/>
    <w:rsid w:val="0042661F"/>
    <w:rsid w:val="00426A1E"/>
    <w:rsid w:val="00426A82"/>
    <w:rsid w:val="00426D86"/>
    <w:rsid w:val="00426E04"/>
    <w:rsid w:val="00426E2B"/>
    <w:rsid w:val="00426F51"/>
    <w:rsid w:val="00426FC9"/>
    <w:rsid w:val="004273F6"/>
    <w:rsid w:val="004276A7"/>
    <w:rsid w:val="00427D93"/>
    <w:rsid w:val="00430B97"/>
    <w:rsid w:val="00430C30"/>
    <w:rsid w:val="004311C2"/>
    <w:rsid w:val="004312B9"/>
    <w:rsid w:val="00431583"/>
    <w:rsid w:val="00431680"/>
    <w:rsid w:val="00431908"/>
    <w:rsid w:val="00431A8D"/>
    <w:rsid w:val="00431B01"/>
    <w:rsid w:val="00431D3D"/>
    <w:rsid w:val="00431E3B"/>
    <w:rsid w:val="00432245"/>
    <w:rsid w:val="00432330"/>
    <w:rsid w:val="0043247B"/>
    <w:rsid w:val="00432517"/>
    <w:rsid w:val="00432565"/>
    <w:rsid w:val="004325FB"/>
    <w:rsid w:val="004326C1"/>
    <w:rsid w:val="004326C4"/>
    <w:rsid w:val="004328BF"/>
    <w:rsid w:val="00432A86"/>
    <w:rsid w:val="00432AA5"/>
    <w:rsid w:val="00432E2C"/>
    <w:rsid w:val="0043301B"/>
    <w:rsid w:val="00433421"/>
    <w:rsid w:val="0043382B"/>
    <w:rsid w:val="00433B93"/>
    <w:rsid w:val="00433C11"/>
    <w:rsid w:val="00433FC5"/>
    <w:rsid w:val="00434402"/>
    <w:rsid w:val="00434B11"/>
    <w:rsid w:val="00434D4A"/>
    <w:rsid w:val="00434E05"/>
    <w:rsid w:val="00434F37"/>
    <w:rsid w:val="00434F47"/>
    <w:rsid w:val="00435258"/>
    <w:rsid w:val="0043536B"/>
    <w:rsid w:val="0043570B"/>
    <w:rsid w:val="004357FC"/>
    <w:rsid w:val="00435867"/>
    <w:rsid w:val="00435944"/>
    <w:rsid w:val="004359CF"/>
    <w:rsid w:val="00435B4D"/>
    <w:rsid w:val="00435C28"/>
    <w:rsid w:val="00435D0A"/>
    <w:rsid w:val="0043645B"/>
    <w:rsid w:val="004364C0"/>
    <w:rsid w:val="004364EC"/>
    <w:rsid w:val="00436636"/>
    <w:rsid w:val="004366B2"/>
    <w:rsid w:val="0043698C"/>
    <w:rsid w:val="00436FC5"/>
    <w:rsid w:val="004370E4"/>
    <w:rsid w:val="0043731C"/>
    <w:rsid w:val="0043740B"/>
    <w:rsid w:val="0043745C"/>
    <w:rsid w:val="00437842"/>
    <w:rsid w:val="00437B13"/>
    <w:rsid w:val="00437D4D"/>
    <w:rsid w:val="00437DAB"/>
    <w:rsid w:val="00440189"/>
    <w:rsid w:val="00440264"/>
    <w:rsid w:val="00440750"/>
    <w:rsid w:val="004408FB"/>
    <w:rsid w:val="004409F3"/>
    <w:rsid w:val="00440B33"/>
    <w:rsid w:val="00440D39"/>
    <w:rsid w:val="00441017"/>
    <w:rsid w:val="00441379"/>
    <w:rsid w:val="00441403"/>
    <w:rsid w:val="0044157C"/>
    <w:rsid w:val="00441923"/>
    <w:rsid w:val="00441935"/>
    <w:rsid w:val="00441A45"/>
    <w:rsid w:val="00441B8C"/>
    <w:rsid w:val="00442193"/>
    <w:rsid w:val="004421CC"/>
    <w:rsid w:val="004423AA"/>
    <w:rsid w:val="0044246D"/>
    <w:rsid w:val="0044251C"/>
    <w:rsid w:val="00442900"/>
    <w:rsid w:val="00442AFD"/>
    <w:rsid w:val="0044316E"/>
    <w:rsid w:val="00443479"/>
    <w:rsid w:val="0044348C"/>
    <w:rsid w:val="0044363E"/>
    <w:rsid w:val="0044378E"/>
    <w:rsid w:val="00443A13"/>
    <w:rsid w:val="0044406D"/>
    <w:rsid w:val="00444265"/>
    <w:rsid w:val="004444A6"/>
    <w:rsid w:val="004447EB"/>
    <w:rsid w:val="00444902"/>
    <w:rsid w:val="00444E55"/>
    <w:rsid w:val="00445127"/>
    <w:rsid w:val="004454C5"/>
    <w:rsid w:val="004456E1"/>
    <w:rsid w:val="00445D0D"/>
    <w:rsid w:val="00445F16"/>
    <w:rsid w:val="0044613C"/>
    <w:rsid w:val="0044617E"/>
    <w:rsid w:val="0044654D"/>
    <w:rsid w:val="004466DD"/>
    <w:rsid w:val="004467E3"/>
    <w:rsid w:val="00446967"/>
    <w:rsid w:val="00446E20"/>
    <w:rsid w:val="00446F5F"/>
    <w:rsid w:val="004470A8"/>
    <w:rsid w:val="004478F1"/>
    <w:rsid w:val="0044790D"/>
    <w:rsid w:val="00447B97"/>
    <w:rsid w:val="00447BCA"/>
    <w:rsid w:val="00447C00"/>
    <w:rsid w:val="00447DD3"/>
    <w:rsid w:val="00447E2C"/>
    <w:rsid w:val="00447E8A"/>
    <w:rsid w:val="00447EF3"/>
    <w:rsid w:val="00447FD0"/>
    <w:rsid w:val="00447FEC"/>
    <w:rsid w:val="0045043F"/>
    <w:rsid w:val="0045093B"/>
    <w:rsid w:val="00450C3E"/>
    <w:rsid w:val="00450CB9"/>
    <w:rsid w:val="00450DCF"/>
    <w:rsid w:val="004516CB"/>
    <w:rsid w:val="00451B67"/>
    <w:rsid w:val="00451DBE"/>
    <w:rsid w:val="00451F01"/>
    <w:rsid w:val="004523AD"/>
    <w:rsid w:val="004524A8"/>
    <w:rsid w:val="004524B6"/>
    <w:rsid w:val="004528DC"/>
    <w:rsid w:val="004529AA"/>
    <w:rsid w:val="00452B04"/>
    <w:rsid w:val="00452B7D"/>
    <w:rsid w:val="00452D42"/>
    <w:rsid w:val="00452D88"/>
    <w:rsid w:val="00452EBB"/>
    <w:rsid w:val="00452ED8"/>
    <w:rsid w:val="00453178"/>
    <w:rsid w:val="0045338D"/>
    <w:rsid w:val="00453435"/>
    <w:rsid w:val="0045344D"/>
    <w:rsid w:val="004535AE"/>
    <w:rsid w:val="00453615"/>
    <w:rsid w:val="0045388A"/>
    <w:rsid w:val="0045390E"/>
    <w:rsid w:val="004539E7"/>
    <w:rsid w:val="00453A51"/>
    <w:rsid w:val="00453A6E"/>
    <w:rsid w:val="00453BCB"/>
    <w:rsid w:val="00453BF1"/>
    <w:rsid w:val="00453D02"/>
    <w:rsid w:val="00453D70"/>
    <w:rsid w:val="00453F07"/>
    <w:rsid w:val="004540D6"/>
    <w:rsid w:val="0045414C"/>
    <w:rsid w:val="0045434B"/>
    <w:rsid w:val="004544DC"/>
    <w:rsid w:val="0045492B"/>
    <w:rsid w:val="00454BD7"/>
    <w:rsid w:val="00455014"/>
    <w:rsid w:val="004550FE"/>
    <w:rsid w:val="00455117"/>
    <w:rsid w:val="0045512C"/>
    <w:rsid w:val="004551B6"/>
    <w:rsid w:val="00455389"/>
    <w:rsid w:val="0045541B"/>
    <w:rsid w:val="004554FE"/>
    <w:rsid w:val="00455933"/>
    <w:rsid w:val="004561C9"/>
    <w:rsid w:val="00456336"/>
    <w:rsid w:val="00456376"/>
    <w:rsid w:val="00456433"/>
    <w:rsid w:val="004564E2"/>
    <w:rsid w:val="004564EE"/>
    <w:rsid w:val="004566AA"/>
    <w:rsid w:val="004567FC"/>
    <w:rsid w:val="00456A98"/>
    <w:rsid w:val="00456FD0"/>
    <w:rsid w:val="00457726"/>
    <w:rsid w:val="0045781E"/>
    <w:rsid w:val="00457966"/>
    <w:rsid w:val="00457A06"/>
    <w:rsid w:val="00457A68"/>
    <w:rsid w:val="00457CC0"/>
    <w:rsid w:val="00457DFE"/>
    <w:rsid w:val="00460079"/>
    <w:rsid w:val="004601AA"/>
    <w:rsid w:val="0046073C"/>
    <w:rsid w:val="0046078B"/>
    <w:rsid w:val="00460854"/>
    <w:rsid w:val="00460B7D"/>
    <w:rsid w:val="00460BEC"/>
    <w:rsid w:val="00460C4D"/>
    <w:rsid w:val="00460E65"/>
    <w:rsid w:val="00460FB6"/>
    <w:rsid w:val="004610DC"/>
    <w:rsid w:val="0046116F"/>
    <w:rsid w:val="004612A8"/>
    <w:rsid w:val="00461380"/>
    <w:rsid w:val="004613E6"/>
    <w:rsid w:val="00461427"/>
    <w:rsid w:val="00461874"/>
    <w:rsid w:val="004618FC"/>
    <w:rsid w:val="00461B31"/>
    <w:rsid w:val="00461C92"/>
    <w:rsid w:val="00461CAF"/>
    <w:rsid w:val="00461DBF"/>
    <w:rsid w:val="00461DD3"/>
    <w:rsid w:val="004621B9"/>
    <w:rsid w:val="004623D2"/>
    <w:rsid w:val="00462542"/>
    <w:rsid w:val="0046262E"/>
    <w:rsid w:val="00462722"/>
    <w:rsid w:val="00462931"/>
    <w:rsid w:val="00462997"/>
    <w:rsid w:val="00462A63"/>
    <w:rsid w:val="00462AE3"/>
    <w:rsid w:val="00463042"/>
    <w:rsid w:val="0046305A"/>
    <w:rsid w:val="00463756"/>
    <w:rsid w:val="0046391D"/>
    <w:rsid w:val="00463A23"/>
    <w:rsid w:val="00463A51"/>
    <w:rsid w:val="00463CB4"/>
    <w:rsid w:val="00464170"/>
    <w:rsid w:val="00464318"/>
    <w:rsid w:val="004648E8"/>
    <w:rsid w:val="0046492D"/>
    <w:rsid w:val="00464942"/>
    <w:rsid w:val="00464B8B"/>
    <w:rsid w:val="00464BD9"/>
    <w:rsid w:val="0046503F"/>
    <w:rsid w:val="00465270"/>
    <w:rsid w:val="00465343"/>
    <w:rsid w:val="004654ED"/>
    <w:rsid w:val="004654EF"/>
    <w:rsid w:val="0046559B"/>
    <w:rsid w:val="004655C2"/>
    <w:rsid w:val="00465859"/>
    <w:rsid w:val="00465BB4"/>
    <w:rsid w:val="0046620C"/>
    <w:rsid w:val="00466375"/>
    <w:rsid w:val="0046639C"/>
    <w:rsid w:val="004663EC"/>
    <w:rsid w:val="00466403"/>
    <w:rsid w:val="0046650B"/>
    <w:rsid w:val="004668D1"/>
    <w:rsid w:val="004669A3"/>
    <w:rsid w:val="00466DE6"/>
    <w:rsid w:val="004670E6"/>
    <w:rsid w:val="004672E2"/>
    <w:rsid w:val="00467AC4"/>
    <w:rsid w:val="00467E32"/>
    <w:rsid w:val="0047006D"/>
    <w:rsid w:val="00470118"/>
    <w:rsid w:val="004705B5"/>
    <w:rsid w:val="004706E6"/>
    <w:rsid w:val="0047097A"/>
    <w:rsid w:val="00470A1C"/>
    <w:rsid w:val="00470C6B"/>
    <w:rsid w:val="00470D3A"/>
    <w:rsid w:val="00470EC7"/>
    <w:rsid w:val="00470F5D"/>
    <w:rsid w:val="00470FDD"/>
    <w:rsid w:val="004712C2"/>
    <w:rsid w:val="0047160E"/>
    <w:rsid w:val="0047162C"/>
    <w:rsid w:val="004716DA"/>
    <w:rsid w:val="00471AB1"/>
    <w:rsid w:val="00472062"/>
    <w:rsid w:val="00472071"/>
    <w:rsid w:val="00472A5F"/>
    <w:rsid w:val="00472ACF"/>
    <w:rsid w:val="00472C70"/>
    <w:rsid w:val="00472DE9"/>
    <w:rsid w:val="00472EC2"/>
    <w:rsid w:val="0047318A"/>
    <w:rsid w:val="0047318B"/>
    <w:rsid w:val="0047322A"/>
    <w:rsid w:val="0047332D"/>
    <w:rsid w:val="004733E6"/>
    <w:rsid w:val="00473689"/>
    <w:rsid w:val="004738DB"/>
    <w:rsid w:val="00473936"/>
    <w:rsid w:val="00473B8C"/>
    <w:rsid w:val="004741CC"/>
    <w:rsid w:val="004741EB"/>
    <w:rsid w:val="004741FA"/>
    <w:rsid w:val="0047448F"/>
    <w:rsid w:val="00474AFD"/>
    <w:rsid w:val="00474B59"/>
    <w:rsid w:val="00474CC3"/>
    <w:rsid w:val="00474D84"/>
    <w:rsid w:val="0047511C"/>
    <w:rsid w:val="00475192"/>
    <w:rsid w:val="00475B59"/>
    <w:rsid w:val="00475E5E"/>
    <w:rsid w:val="00475F30"/>
    <w:rsid w:val="00475F93"/>
    <w:rsid w:val="004761CA"/>
    <w:rsid w:val="00476785"/>
    <w:rsid w:val="00476834"/>
    <w:rsid w:val="004768E1"/>
    <w:rsid w:val="00476C78"/>
    <w:rsid w:val="00477540"/>
    <w:rsid w:val="004776A0"/>
    <w:rsid w:val="004777CC"/>
    <w:rsid w:val="00477967"/>
    <w:rsid w:val="00477A60"/>
    <w:rsid w:val="00477E76"/>
    <w:rsid w:val="004800E7"/>
    <w:rsid w:val="004801A0"/>
    <w:rsid w:val="004802C4"/>
    <w:rsid w:val="004806B6"/>
    <w:rsid w:val="00480933"/>
    <w:rsid w:val="00480952"/>
    <w:rsid w:val="00480A42"/>
    <w:rsid w:val="00480CB0"/>
    <w:rsid w:val="00481105"/>
    <w:rsid w:val="0048128A"/>
    <w:rsid w:val="0048144C"/>
    <w:rsid w:val="00481991"/>
    <w:rsid w:val="00481B11"/>
    <w:rsid w:val="00481F81"/>
    <w:rsid w:val="0048218B"/>
    <w:rsid w:val="004823DC"/>
    <w:rsid w:val="004827BA"/>
    <w:rsid w:val="00482B30"/>
    <w:rsid w:val="00482F4D"/>
    <w:rsid w:val="0048318C"/>
    <w:rsid w:val="00483532"/>
    <w:rsid w:val="00483603"/>
    <w:rsid w:val="00483662"/>
    <w:rsid w:val="004836B1"/>
    <w:rsid w:val="004836D2"/>
    <w:rsid w:val="00483806"/>
    <w:rsid w:val="0048398D"/>
    <w:rsid w:val="00483996"/>
    <w:rsid w:val="004839C6"/>
    <w:rsid w:val="00483A83"/>
    <w:rsid w:val="00483AF3"/>
    <w:rsid w:val="00483B5F"/>
    <w:rsid w:val="00483EE0"/>
    <w:rsid w:val="004842A2"/>
    <w:rsid w:val="0048437B"/>
    <w:rsid w:val="004844D0"/>
    <w:rsid w:val="004847FF"/>
    <w:rsid w:val="00484942"/>
    <w:rsid w:val="00484A32"/>
    <w:rsid w:val="00484D52"/>
    <w:rsid w:val="00484D71"/>
    <w:rsid w:val="00484ED7"/>
    <w:rsid w:val="00484F95"/>
    <w:rsid w:val="0048516A"/>
    <w:rsid w:val="0048550C"/>
    <w:rsid w:val="00485932"/>
    <w:rsid w:val="004859B6"/>
    <w:rsid w:val="00485A93"/>
    <w:rsid w:val="00485B29"/>
    <w:rsid w:val="00485F3D"/>
    <w:rsid w:val="004864AF"/>
    <w:rsid w:val="004865B5"/>
    <w:rsid w:val="00486805"/>
    <w:rsid w:val="004868B1"/>
    <w:rsid w:val="00486942"/>
    <w:rsid w:val="00486B54"/>
    <w:rsid w:val="00486CD5"/>
    <w:rsid w:val="00486E7D"/>
    <w:rsid w:val="004870F1"/>
    <w:rsid w:val="0048728B"/>
    <w:rsid w:val="004872D1"/>
    <w:rsid w:val="00487386"/>
    <w:rsid w:val="00487474"/>
    <w:rsid w:val="0048759D"/>
    <w:rsid w:val="00487885"/>
    <w:rsid w:val="0048790E"/>
    <w:rsid w:val="00487988"/>
    <w:rsid w:val="004879ED"/>
    <w:rsid w:val="00487BC4"/>
    <w:rsid w:val="00487FF7"/>
    <w:rsid w:val="004902BB"/>
    <w:rsid w:val="0049036B"/>
    <w:rsid w:val="004906AF"/>
    <w:rsid w:val="00490D20"/>
    <w:rsid w:val="00491174"/>
    <w:rsid w:val="0049178A"/>
    <w:rsid w:val="00491ACF"/>
    <w:rsid w:val="00491AE4"/>
    <w:rsid w:val="00491B5D"/>
    <w:rsid w:val="00491CBD"/>
    <w:rsid w:val="00491D83"/>
    <w:rsid w:val="00491E33"/>
    <w:rsid w:val="00491FA0"/>
    <w:rsid w:val="00492120"/>
    <w:rsid w:val="00492213"/>
    <w:rsid w:val="004922C0"/>
    <w:rsid w:val="00492645"/>
    <w:rsid w:val="00492669"/>
    <w:rsid w:val="00492859"/>
    <w:rsid w:val="00492AAA"/>
    <w:rsid w:val="00492B0A"/>
    <w:rsid w:val="00492D32"/>
    <w:rsid w:val="00492DE0"/>
    <w:rsid w:val="00492F77"/>
    <w:rsid w:val="00493005"/>
    <w:rsid w:val="0049305F"/>
    <w:rsid w:val="004931A1"/>
    <w:rsid w:val="00493B46"/>
    <w:rsid w:val="00493F71"/>
    <w:rsid w:val="00494190"/>
    <w:rsid w:val="004941AD"/>
    <w:rsid w:val="00494325"/>
    <w:rsid w:val="004943B0"/>
    <w:rsid w:val="00494620"/>
    <w:rsid w:val="0049491F"/>
    <w:rsid w:val="00494A03"/>
    <w:rsid w:val="00494B0B"/>
    <w:rsid w:val="004950B3"/>
    <w:rsid w:val="004950B5"/>
    <w:rsid w:val="004953B0"/>
    <w:rsid w:val="0049568A"/>
    <w:rsid w:val="004957B8"/>
    <w:rsid w:val="00495978"/>
    <w:rsid w:val="004959FF"/>
    <w:rsid w:val="00495A3A"/>
    <w:rsid w:val="00496018"/>
    <w:rsid w:val="00496809"/>
    <w:rsid w:val="0049686F"/>
    <w:rsid w:val="00496A8C"/>
    <w:rsid w:val="00496B42"/>
    <w:rsid w:val="00496E0A"/>
    <w:rsid w:val="00497084"/>
    <w:rsid w:val="00497271"/>
    <w:rsid w:val="004972B0"/>
    <w:rsid w:val="0049731C"/>
    <w:rsid w:val="004975C9"/>
    <w:rsid w:val="004976D1"/>
    <w:rsid w:val="004978DC"/>
    <w:rsid w:val="00497A30"/>
    <w:rsid w:val="00497B37"/>
    <w:rsid w:val="00497B4C"/>
    <w:rsid w:val="00497CC2"/>
    <w:rsid w:val="00497D9A"/>
    <w:rsid w:val="00497EDC"/>
    <w:rsid w:val="00497F02"/>
    <w:rsid w:val="004A06E6"/>
    <w:rsid w:val="004A080D"/>
    <w:rsid w:val="004A0913"/>
    <w:rsid w:val="004A098E"/>
    <w:rsid w:val="004A09C9"/>
    <w:rsid w:val="004A157D"/>
    <w:rsid w:val="004A16FC"/>
    <w:rsid w:val="004A1C83"/>
    <w:rsid w:val="004A1D82"/>
    <w:rsid w:val="004A1E7F"/>
    <w:rsid w:val="004A1EAD"/>
    <w:rsid w:val="004A20BB"/>
    <w:rsid w:val="004A25BE"/>
    <w:rsid w:val="004A33DF"/>
    <w:rsid w:val="004A3A60"/>
    <w:rsid w:val="004A3DE6"/>
    <w:rsid w:val="004A3DF0"/>
    <w:rsid w:val="004A3FBF"/>
    <w:rsid w:val="004A4230"/>
    <w:rsid w:val="004A426D"/>
    <w:rsid w:val="004A4452"/>
    <w:rsid w:val="004A44E3"/>
    <w:rsid w:val="004A453B"/>
    <w:rsid w:val="004A45B8"/>
    <w:rsid w:val="004A47BE"/>
    <w:rsid w:val="004A49D5"/>
    <w:rsid w:val="004A4AB0"/>
    <w:rsid w:val="004A4F4F"/>
    <w:rsid w:val="004A5528"/>
    <w:rsid w:val="004A5636"/>
    <w:rsid w:val="004A5988"/>
    <w:rsid w:val="004A5AC1"/>
    <w:rsid w:val="004A5CE9"/>
    <w:rsid w:val="004A5D1D"/>
    <w:rsid w:val="004A5D8B"/>
    <w:rsid w:val="004A5F52"/>
    <w:rsid w:val="004A6587"/>
    <w:rsid w:val="004A6808"/>
    <w:rsid w:val="004A6C6C"/>
    <w:rsid w:val="004A6EE8"/>
    <w:rsid w:val="004A7680"/>
    <w:rsid w:val="004A7773"/>
    <w:rsid w:val="004A7A4C"/>
    <w:rsid w:val="004A7B95"/>
    <w:rsid w:val="004A7F99"/>
    <w:rsid w:val="004B0009"/>
    <w:rsid w:val="004B005F"/>
    <w:rsid w:val="004B0267"/>
    <w:rsid w:val="004B0300"/>
    <w:rsid w:val="004B0313"/>
    <w:rsid w:val="004B05C1"/>
    <w:rsid w:val="004B06A1"/>
    <w:rsid w:val="004B08EF"/>
    <w:rsid w:val="004B0ACC"/>
    <w:rsid w:val="004B1234"/>
    <w:rsid w:val="004B12AF"/>
    <w:rsid w:val="004B1386"/>
    <w:rsid w:val="004B1398"/>
    <w:rsid w:val="004B1539"/>
    <w:rsid w:val="004B1649"/>
    <w:rsid w:val="004B1759"/>
    <w:rsid w:val="004B179C"/>
    <w:rsid w:val="004B1C2D"/>
    <w:rsid w:val="004B1E06"/>
    <w:rsid w:val="004B2241"/>
    <w:rsid w:val="004B2453"/>
    <w:rsid w:val="004B280E"/>
    <w:rsid w:val="004B2B20"/>
    <w:rsid w:val="004B2C3B"/>
    <w:rsid w:val="004B2E3F"/>
    <w:rsid w:val="004B2ECC"/>
    <w:rsid w:val="004B2EEC"/>
    <w:rsid w:val="004B3053"/>
    <w:rsid w:val="004B34EA"/>
    <w:rsid w:val="004B3AEB"/>
    <w:rsid w:val="004B3CCB"/>
    <w:rsid w:val="004B426E"/>
    <w:rsid w:val="004B42BD"/>
    <w:rsid w:val="004B4488"/>
    <w:rsid w:val="004B514B"/>
    <w:rsid w:val="004B5379"/>
    <w:rsid w:val="004B5494"/>
    <w:rsid w:val="004B5F46"/>
    <w:rsid w:val="004B5FAA"/>
    <w:rsid w:val="004B5FDF"/>
    <w:rsid w:val="004B627F"/>
    <w:rsid w:val="004B62D3"/>
    <w:rsid w:val="004B63B6"/>
    <w:rsid w:val="004B6481"/>
    <w:rsid w:val="004B6A83"/>
    <w:rsid w:val="004B6A84"/>
    <w:rsid w:val="004B6B43"/>
    <w:rsid w:val="004B6B94"/>
    <w:rsid w:val="004B6F07"/>
    <w:rsid w:val="004B71AA"/>
    <w:rsid w:val="004B7525"/>
    <w:rsid w:val="004B7598"/>
    <w:rsid w:val="004B78AC"/>
    <w:rsid w:val="004C0205"/>
    <w:rsid w:val="004C02BA"/>
    <w:rsid w:val="004C03E9"/>
    <w:rsid w:val="004C046D"/>
    <w:rsid w:val="004C0671"/>
    <w:rsid w:val="004C06C0"/>
    <w:rsid w:val="004C0900"/>
    <w:rsid w:val="004C0B0F"/>
    <w:rsid w:val="004C1011"/>
    <w:rsid w:val="004C1109"/>
    <w:rsid w:val="004C177C"/>
    <w:rsid w:val="004C17A2"/>
    <w:rsid w:val="004C1A43"/>
    <w:rsid w:val="004C1BE5"/>
    <w:rsid w:val="004C1E73"/>
    <w:rsid w:val="004C2003"/>
    <w:rsid w:val="004C22DB"/>
    <w:rsid w:val="004C245D"/>
    <w:rsid w:val="004C27D1"/>
    <w:rsid w:val="004C29B8"/>
    <w:rsid w:val="004C2F26"/>
    <w:rsid w:val="004C30B8"/>
    <w:rsid w:val="004C3396"/>
    <w:rsid w:val="004C33DA"/>
    <w:rsid w:val="004C36E8"/>
    <w:rsid w:val="004C37C6"/>
    <w:rsid w:val="004C3842"/>
    <w:rsid w:val="004C3A10"/>
    <w:rsid w:val="004C3AC5"/>
    <w:rsid w:val="004C3F58"/>
    <w:rsid w:val="004C42D3"/>
    <w:rsid w:val="004C450F"/>
    <w:rsid w:val="004C48DA"/>
    <w:rsid w:val="004C51CA"/>
    <w:rsid w:val="004C5284"/>
    <w:rsid w:val="004C5568"/>
    <w:rsid w:val="004C56ED"/>
    <w:rsid w:val="004C59F2"/>
    <w:rsid w:val="004C5A89"/>
    <w:rsid w:val="004C5B33"/>
    <w:rsid w:val="004C5CA9"/>
    <w:rsid w:val="004C5DCF"/>
    <w:rsid w:val="004C604E"/>
    <w:rsid w:val="004C6522"/>
    <w:rsid w:val="004C6615"/>
    <w:rsid w:val="004C6692"/>
    <w:rsid w:val="004C758B"/>
    <w:rsid w:val="004C75A3"/>
    <w:rsid w:val="004C78E9"/>
    <w:rsid w:val="004C7A2B"/>
    <w:rsid w:val="004C7D3A"/>
    <w:rsid w:val="004C7DD2"/>
    <w:rsid w:val="004D00B8"/>
    <w:rsid w:val="004D024A"/>
    <w:rsid w:val="004D036E"/>
    <w:rsid w:val="004D05E6"/>
    <w:rsid w:val="004D06CD"/>
    <w:rsid w:val="004D073A"/>
    <w:rsid w:val="004D0746"/>
    <w:rsid w:val="004D0AF8"/>
    <w:rsid w:val="004D0E45"/>
    <w:rsid w:val="004D1071"/>
    <w:rsid w:val="004D14FE"/>
    <w:rsid w:val="004D1755"/>
    <w:rsid w:val="004D181C"/>
    <w:rsid w:val="004D1841"/>
    <w:rsid w:val="004D1A43"/>
    <w:rsid w:val="004D1C9F"/>
    <w:rsid w:val="004D1CDC"/>
    <w:rsid w:val="004D21B1"/>
    <w:rsid w:val="004D2B04"/>
    <w:rsid w:val="004D2B70"/>
    <w:rsid w:val="004D2E89"/>
    <w:rsid w:val="004D32A1"/>
    <w:rsid w:val="004D337A"/>
    <w:rsid w:val="004D3FCF"/>
    <w:rsid w:val="004D40DD"/>
    <w:rsid w:val="004D44A3"/>
    <w:rsid w:val="004D45B0"/>
    <w:rsid w:val="004D4753"/>
    <w:rsid w:val="004D4878"/>
    <w:rsid w:val="004D4DD3"/>
    <w:rsid w:val="004D4F0A"/>
    <w:rsid w:val="004D4F7D"/>
    <w:rsid w:val="004D5685"/>
    <w:rsid w:val="004D59F3"/>
    <w:rsid w:val="004D5B13"/>
    <w:rsid w:val="004D5ED1"/>
    <w:rsid w:val="004D5F0C"/>
    <w:rsid w:val="004D5F8E"/>
    <w:rsid w:val="004D5FF0"/>
    <w:rsid w:val="004D64B1"/>
    <w:rsid w:val="004D6650"/>
    <w:rsid w:val="004D67F1"/>
    <w:rsid w:val="004D7212"/>
    <w:rsid w:val="004D72E9"/>
    <w:rsid w:val="004D73DF"/>
    <w:rsid w:val="004D7776"/>
    <w:rsid w:val="004D7986"/>
    <w:rsid w:val="004D7D99"/>
    <w:rsid w:val="004D7F00"/>
    <w:rsid w:val="004D7F91"/>
    <w:rsid w:val="004D7FC9"/>
    <w:rsid w:val="004D7FCF"/>
    <w:rsid w:val="004D7FD4"/>
    <w:rsid w:val="004E01CA"/>
    <w:rsid w:val="004E02A6"/>
    <w:rsid w:val="004E03AB"/>
    <w:rsid w:val="004E07FE"/>
    <w:rsid w:val="004E08D2"/>
    <w:rsid w:val="004E0976"/>
    <w:rsid w:val="004E0DCA"/>
    <w:rsid w:val="004E0FF5"/>
    <w:rsid w:val="004E10F4"/>
    <w:rsid w:val="004E1165"/>
    <w:rsid w:val="004E1438"/>
    <w:rsid w:val="004E14BD"/>
    <w:rsid w:val="004E160D"/>
    <w:rsid w:val="004E1736"/>
    <w:rsid w:val="004E18BA"/>
    <w:rsid w:val="004E1988"/>
    <w:rsid w:val="004E1C7C"/>
    <w:rsid w:val="004E1DC3"/>
    <w:rsid w:val="004E2079"/>
    <w:rsid w:val="004E21FF"/>
    <w:rsid w:val="004E27B6"/>
    <w:rsid w:val="004E2AB5"/>
    <w:rsid w:val="004E2BBD"/>
    <w:rsid w:val="004E2CA4"/>
    <w:rsid w:val="004E3222"/>
    <w:rsid w:val="004E3438"/>
    <w:rsid w:val="004E36B6"/>
    <w:rsid w:val="004E387D"/>
    <w:rsid w:val="004E38A0"/>
    <w:rsid w:val="004E44B6"/>
    <w:rsid w:val="004E45E6"/>
    <w:rsid w:val="004E47CC"/>
    <w:rsid w:val="004E48CF"/>
    <w:rsid w:val="004E499F"/>
    <w:rsid w:val="004E4AC0"/>
    <w:rsid w:val="004E4B59"/>
    <w:rsid w:val="004E4DA3"/>
    <w:rsid w:val="004E51AD"/>
    <w:rsid w:val="004E551D"/>
    <w:rsid w:val="004E558E"/>
    <w:rsid w:val="004E57C7"/>
    <w:rsid w:val="004E5B1B"/>
    <w:rsid w:val="004E5C5C"/>
    <w:rsid w:val="004E5EF6"/>
    <w:rsid w:val="004E6025"/>
    <w:rsid w:val="004E642C"/>
    <w:rsid w:val="004E679B"/>
    <w:rsid w:val="004E6CFD"/>
    <w:rsid w:val="004E6DBA"/>
    <w:rsid w:val="004E6E04"/>
    <w:rsid w:val="004E6FA0"/>
    <w:rsid w:val="004E7208"/>
    <w:rsid w:val="004E7382"/>
    <w:rsid w:val="004E7476"/>
    <w:rsid w:val="004E74B1"/>
    <w:rsid w:val="004E7592"/>
    <w:rsid w:val="004E78C3"/>
    <w:rsid w:val="004E78F8"/>
    <w:rsid w:val="004E7AF8"/>
    <w:rsid w:val="004E7B7D"/>
    <w:rsid w:val="004E7CDE"/>
    <w:rsid w:val="004E7E9D"/>
    <w:rsid w:val="004F04C8"/>
    <w:rsid w:val="004F063E"/>
    <w:rsid w:val="004F0791"/>
    <w:rsid w:val="004F07F5"/>
    <w:rsid w:val="004F0C98"/>
    <w:rsid w:val="004F0CCE"/>
    <w:rsid w:val="004F0CEF"/>
    <w:rsid w:val="004F0D8A"/>
    <w:rsid w:val="004F12E6"/>
    <w:rsid w:val="004F192E"/>
    <w:rsid w:val="004F1A75"/>
    <w:rsid w:val="004F1ACE"/>
    <w:rsid w:val="004F1C90"/>
    <w:rsid w:val="004F1D87"/>
    <w:rsid w:val="004F1F6C"/>
    <w:rsid w:val="004F1FE7"/>
    <w:rsid w:val="004F2156"/>
    <w:rsid w:val="004F2517"/>
    <w:rsid w:val="004F2634"/>
    <w:rsid w:val="004F26F0"/>
    <w:rsid w:val="004F29EA"/>
    <w:rsid w:val="004F2A94"/>
    <w:rsid w:val="004F2D39"/>
    <w:rsid w:val="004F36F8"/>
    <w:rsid w:val="004F37E6"/>
    <w:rsid w:val="004F39CB"/>
    <w:rsid w:val="004F3C27"/>
    <w:rsid w:val="004F408F"/>
    <w:rsid w:val="004F414B"/>
    <w:rsid w:val="004F4472"/>
    <w:rsid w:val="004F46C1"/>
    <w:rsid w:val="004F4779"/>
    <w:rsid w:val="004F4C20"/>
    <w:rsid w:val="004F4E00"/>
    <w:rsid w:val="004F50ED"/>
    <w:rsid w:val="004F5859"/>
    <w:rsid w:val="004F5871"/>
    <w:rsid w:val="004F5953"/>
    <w:rsid w:val="004F5CFA"/>
    <w:rsid w:val="004F5D51"/>
    <w:rsid w:val="004F649A"/>
    <w:rsid w:val="004F6924"/>
    <w:rsid w:val="004F694E"/>
    <w:rsid w:val="004F6CDA"/>
    <w:rsid w:val="004F6F53"/>
    <w:rsid w:val="004F7AB5"/>
    <w:rsid w:val="004F7F57"/>
    <w:rsid w:val="004F7FB3"/>
    <w:rsid w:val="005000C2"/>
    <w:rsid w:val="00500117"/>
    <w:rsid w:val="005001D9"/>
    <w:rsid w:val="00500308"/>
    <w:rsid w:val="005003A7"/>
    <w:rsid w:val="00500ECD"/>
    <w:rsid w:val="00500FBA"/>
    <w:rsid w:val="00501049"/>
    <w:rsid w:val="0050112E"/>
    <w:rsid w:val="0050132E"/>
    <w:rsid w:val="00501740"/>
    <w:rsid w:val="005018A8"/>
    <w:rsid w:val="00501A23"/>
    <w:rsid w:val="00501B02"/>
    <w:rsid w:val="00501D15"/>
    <w:rsid w:val="00501EE2"/>
    <w:rsid w:val="00501F74"/>
    <w:rsid w:val="00501FC9"/>
    <w:rsid w:val="00501FF9"/>
    <w:rsid w:val="0050209C"/>
    <w:rsid w:val="0050264E"/>
    <w:rsid w:val="0050282E"/>
    <w:rsid w:val="00502A57"/>
    <w:rsid w:val="00502C19"/>
    <w:rsid w:val="00502D2D"/>
    <w:rsid w:val="00503527"/>
    <w:rsid w:val="00503838"/>
    <w:rsid w:val="005039D8"/>
    <w:rsid w:val="00503EB0"/>
    <w:rsid w:val="00504105"/>
    <w:rsid w:val="00504110"/>
    <w:rsid w:val="00504595"/>
    <w:rsid w:val="0050463E"/>
    <w:rsid w:val="00504B5A"/>
    <w:rsid w:val="00504C68"/>
    <w:rsid w:val="00504E26"/>
    <w:rsid w:val="00504FFB"/>
    <w:rsid w:val="0050506E"/>
    <w:rsid w:val="005052B5"/>
    <w:rsid w:val="005054C6"/>
    <w:rsid w:val="005055BB"/>
    <w:rsid w:val="00505978"/>
    <w:rsid w:val="0050599C"/>
    <w:rsid w:val="00505A39"/>
    <w:rsid w:val="00505A3C"/>
    <w:rsid w:val="00505AC1"/>
    <w:rsid w:val="00505BCE"/>
    <w:rsid w:val="00505E62"/>
    <w:rsid w:val="00506189"/>
    <w:rsid w:val="00506531"/>
    <w:rsid w:val="0050687F"/>
    <w:rsid w:val="00506A56"/>
    <w:rsid w:val="00506A6F"/>
    <w:rsid w:val="00506EC1"/>
    <w:rsid w:val="00507234"/>
    <w:rsid w:val="00507462"/>
    <w:rsid w:val="00507AB7"/>
    <w:rsid w:val="00507B9C"/>
    <w:rsid w:val="00507CF4"/>
    <w:rsid w:val="00507DAC"/>
    <w:rsid w:val="00507E1D"/>
    <w:rsid w:val="005104A9"/>
    <w:rsid w:val="0051061B"/>
    <w:rsid w:val="00510761"/>
    <w:rsid w:val="005107C9"/>
    <w:rsid w:val="00510814"/>
    <w:rsid w:val="00510991"/>
    <w:rsid w:val="00510D2C"/>
    <w:rsid w:val="005110C4"/>
    <w:rsid w:val="00511100"/>
    <w:rsid w:val="00511153"/>
    <w:rsid w:val="00511618"/>
    <w:rsid w:val="005117F7"/>
    <w:rsid w:val="00511A14"/>
    <w:rsid w:val="0051203E"/>
    <w:rsid w:val="005126AF"/>
    <w:rsid w:val="0051281F"/>
    <w:rsid w:val="0051284E"/>
    <w:rsid w:val="00512C31"/>
    <w:rsid w:val="00512E5B"/>
    <w:rsid w:val="0051333D"/>
    <w:rsid w:val="00513427"/>
    <w:rsid w:val="0051349B"/>
    <w:rsid w:val="00513534"/>
    <w:rsid w:val="0051357F"/>
    <w:rsid w:val="0051382C"/>
    <w:rsid w:val="00513994"/>
    <w:rsid w:val="00513D11"/>
    <w:rsid w:val="00513E44"/>
    <w:rsid w:val="00513E82"/>
    <w:rsid w:val="00513FAB"/>
    <w:rsid w:val="005140E0"/>
    <w:rsid w:val="0051459F"/>
    <w:rsid w:val="005147E8"/>
    <w:rsid w:val="0051481A"/>
    <w:rsid w:val="00514D4B"/>
    <w:rsid w:val="00514E84"/>
    <w:rsid w:val="0051524C"/>
    <w:rsid w:val="0051546D"/>
    <w:rsid w:val="005156B1"/>
    <w:rsid w:val="0051592E"/>
    <w:rsid w:val="00515E77"/>
    <w:rsid w:val="00515ED5"/>
    <w:rsid w:val="00516023"/>
    <w:rsid w:val="005163B1"/>
    <w:rsid w:val="0051677D"/>
    <w:rsid w:val="005167A8"/>
    <w:rsid w:val="0051685A"/>
    <w:rsid w:val="00516ADB"/>
    <w:rsid w:val="00516D52"/>
    <w:rsid w:val="00516FED"/>
    <w:rsid w:val="005170D1"/>
    <w:rsid w:val="0051718A"/>
    <w:rsid w:val="00517409"/>
    <w:rsid w:val="0051770A"/>
    <w:rsid w:val="005178FC"/>
    <w:rsid w:val="00517A25"/>
    <w:rsid w:val="00517A37"/>
    <w:rsid w:val="00517C17"/>
    <w:rsid w:val="00517C46"/>
    <w:rsid w:val="00517D1D"/>
    <w:rsid w:val="0052017C"/>
    <w:rsid w:val="0052046F"/>
    <w:rsid w:val="0052070D"/>
    <w:rsid w:val="00520A02"/>
    <w:rsid w:val="0052101F"/>
    <w:rsid w:val="00521056"/>
    <w:rsid w:val="005212F1"/>
    <w:rsid w:val="00521691"/>
    <w:rsid w:val="0052176C"/>
    <w:rsid w:val="00521904"/>
    <w:rsid w:val="0052195E"/>
    <w:rsid w:val="00521C36"/>
    <w:rsid w:val="005222DA"/>
    <w:rsid w:val="005223BE"/>
    <w:rsid w:val="00522405"/>
    <w:rsid w:val="00522708"/>
    <w:rsid w:val="0052282E"/>
    <w:rsid w:val="00522A85"/>
    <w:rsid w:val="00522B2F"/>
    <w:rsid w:val="00522F02"/>
    <w:rsid w:val="00522F0B"/>
    <w:rsid w:val="0052308F"/>
    <w:rsid w:val="00523292"/>
    <w:rsid w:val="005233D4"/>
    <w:rsid w:val="005236CC"/>
    <w:rsid w:val="0052370D"/>
    <w:rsid w:val="0052378A"/>
    <w:rsid w:val="00523A37"/>
    <w:rsid w:val="00523D85"/>
    <w:rsid w:val="005240BF"/>
    <w:rsid w:val="00524B36"/>
    <w:rsid w:val="00524CB9"/>
    <w:rsid w:val="00524E3D"/>
    <w:rsid w:val="00524E8E"/>
    <w:rsid w:val="00525316"/>
    <w:rsid w:val="00525427"/>
    <w:rsid w:val="0052558B"/>
    <w:rsid w:val="00525674"/>
    <w:rsid w:val="005257DF"/>
    <w:rsid w:val="005259D3"/>
    <w:rsid w:val="00525A72"/>
    <w:rsid w:val="00525E34"/>
    <w:rsid w:val="00525EE3"/>
    <w:rsid w:val="00525FFF"/>
    <w:rsid w:val="005263F4"/>
    <w:rsid w:val="0052652F"/>
    <w:rsid w:val="00526537"/>
    <w:rsid w:val="0052674A"/>
    <w:rsid w:val="00526C8C"/>
    <w:rsid w:val="00526CAA"/>
    <w:rsid w:val="00526D50"/>
    <w:rsid w:val="00526DD5"/>
    <w:rsid w:val="0052745E"/>
    <w:rsid w:val="0052754D"/>
    <w:rsid w:val="005278D7"/>
    <w:rsid w:val="00527C8C"/>
    <w:rsid w:val="00527FD1"/>
    <w:rsid w:val="005301B8"/>
    <w:rsid w:val="00530241"/>
    <w:rsid w:val="0053049F"/>
    <w:rsid w:val="005308FC"/>
    <w:rsid w:val="00530DEC"/>
    <w:rsid w:val="00530FA9"/>
    <w:rsid w:val="005310B8"/>
    <w:rsid w:val="0053125A"/>
    <w:rsid w:val="00531276"/>
    <w:rsid w:val="00531D53"/>
    <w:rsid w:val="00531E90"/>
    <w:rsid w:val="00531ECC"/>
    <w:rsid w:val="00532252"/>
    <w:rsid w:val="00532440"/>
    <w:rsid w:val="005326E1"/>
    <w:rsid w:val="00532C0C"/>
    <w:rsid w:val="00532F3A"/>
    <w:rsid w:val="0053303F"/>
    <w:rsid w:val="0053312C"/>
    <w:rsid w:val="005337B1"/>
    <w:rsid w:val="00533AB2"/>
    <w:rsid w:val="00534480"/>
    <w:rsid w:val="0053458A"/>
    <w:rsid w:val="0053466F"/>
    <w:rsid w:val="0053477D"/>
    <w:rsid w:val="00534C12"/>
    <w:rsid w:val="00534C74"/>
    <w:rsid w:val="00534F23"/>
    <w:rsid w:val="0053506C"/>
    <w:rsid w:val="00535262"/>
    <w:rsid w:val="005354CF"/>
    <w:rsid w:val="00535514"/>
    <w:rsid w:val="005357E4"/>
    <w:rsid w:val="00535A7F"/>
    <w:rsid w:val="00535A8D"/>
    <w:rsid w:val="00536116"/>
    <w:rsid w:val="005365FC"/>
    <w:rsid w:val="0053680A"/>
    <w:rsid w:val="005369F4"/>
    <w:rsid w:val="00536A89"/>
    <w:rsid w:val="00536D4E"/>
    <w:rsid w:val="00536D5F"/>
    <w:rsid w:val="00536D9B"/>
    <w:rsid w:val="00536DF7"/>
    <w:rsid w:val="00536E3A"/>
    <w:rsid w:val="00536EAC"/>
    <w:rsid w:val="00536EEF"/>
    <w:rsid w:val="00537385"/>
    <w:rsid w:val="00537587"/>
    <w:rsid w:val="00537BC6"/>
    <w:rsid w:val="00537DAF"/>
    <w:rsid w:val="00537DEE"/>
    <w:rsid w:val="0054020A"/>
    <w:rsid w:val="005403BB"/>
    <w:rsid w:val="0054089B"/>
    <w:rsid w:val="00540BD0"/>
    <w:rsid w:val="005411CB"/>
    <w:rsid w:val="0054122D"/>
    <w:rsid w:val="005418E3"/>
    <w:rsid w:val="00541F7B"/>
    <w:rsid w:val="005421C5"/>
    <w:rsid w:val="005423B7"/>
    <w:rsid w:val="00542723"/>
    <w:rsid w:val="00542AC3"/>
    <w:rsid w:val="00542B53"/>
    <w:rsid w:val="00543076"/>
    <w:rsid w:val="00543555"/>
    <w:rsid w:val="005436D7"/>
    <w:rsid w:val="00543981"/>
    <w:rsid w:val="00543D47"/>
    <w:rsid w:val="00543EC8"/>
    <w:rsid w:val="00543F94"/>
    <w:rsid w:val="005440AF"/>
    <w:rsid w:val="00544298"/>
    <w:rsid w:val="005445D9"/>
    <w:rsid w:val="00544654"/>
    <w:rsid w:val="005446DC"/>
    <w:rsid w:val="0054480D"/>
    <w:rsid w:val="0054493A"/>
    <w:rsid w:val="00544BEF"/>
    <w:rsid w:val="00544EC9"/>
    <w:rsid w:val="00545241"/>
    <w:rsid w:val="005454A1"/>
    <w:rsid w:val="00545564"/>
    <w:rsid w:val="005456ED"/>
    <w:rsid w:val="00545AE7"/>
    <w:rsid w:val="00545C1A"/>
    <w:rsid w:val="00546023"/>
    <w:rsid w:val="00546041"/>
    <w:rsid w:val="00546043"/>
    <w:rsid w:val="005461DA"/>
    <w:rsid w:val="00546371"/>
    <w:rsid w:val="00546502"/>
    <w:rsid w:val="00546515"/>
    <w:rsid w:val="0054663A"/>
    <w:rsid w:val="00546989"/>
    <w:rsid w:val="00546C12"/>
    <w:rsid w:val="005474EF"/>
    <w:rsid w:val="0054796A"/>
    <w:rsid w:val="00547A0E"/>
    <w:rsid w:val="00547CCA"/>
    <w:rsid w:val="00547F3D"/>
    <w:rsid w:val="00550790"/>
    <w:rsid w:val="00550864"/>
    <w:rsid w:val="00550B4C"/>
    <w:rsid w:val="00550D62"/>
    <w:rsid w:val="00550F1D"/>
    <w:rsid w:val="00551124"/>
    <w:rsid w:val="00551198"/>
    <w:rsid w:val="00551221"/>
    <w:rsid w:val="0055124D"/>
    <w:rsid w:val="0055142A"/>
    <w:rsid w:val="005515DA"/>
    <w:rsid w:val="00551A40"/>
    <w:rsid w:val="00551BBF"/>
    <w:rsid w:val="00551C3C"/>
    <w:rsid w:val="00551DF0"/>
    <w:rsid w:val="005521A8"/>
    <w:rsid w:val="005521C8"/>
    <w:rsid w:val="0055280D"/>
    <w:rsid w:val="005528E5"/>
    <w:rsid w:val="00552F3B"/>
    <w:rsid w:val="00553191"/>
    <w:rsid w:val="005532E5"/>
    <w:rsid w:val="005534B6"/>
    <w:rsid w:val="00553542"/>
    <w:rsid w:val="005535B0"/>
    <w:rsid w:val="00553C89"/>
    <w:rsid w:val="00553D9E"/>
    <w:rsid w:val="00554184"/>
    <w:rsid w:val="00554445"/>
    <w:rsid w:val="00554579"/>
    <w:rsid w:val="00554E88"/>
    <w:rsid w:val="00555093"/>
    <w:rsid w:val="005555AB"/>
    <w:rsid w:val="00555943"/>
    <w:rsid w:val="00555AAC"/>
    <w:rsid w:val="00555B4C"/>
    <w:rsid w:val="00555BCA"/>
    <w:rsid w:val="00555DC5"/>
    <w:rsid w:val="00556312"/>
    <w:rsid w:val="00556420"/>
    <w:rsid w:val="00556589"/>
    <w:rsid w:val="0055670F"/>
    <w:rsid w:val="005569A7"/>
    <w:rsid w:val="00556D1D"/>
    <w:rsid w:val="00556D5C"/>
    <w:rsid w:val="00556D8C"/>
    <w:rsid w:val="005570D8"/>
    <w:rsid w:val="00557690"/>
    <w:rsid w:val="00560088"/>
    <w:rsid w:val="00560282"/>
    <w:rsid w:val="005604E9"/>
    <w:rsid w:val="0056077E"/>
    <w:rsid w:val="005607B8"/>
    <w:rsid w:val="005608A4"/>
    <w:rsid w:val="0056096A"/>
    <w:rsid w:val="00560CD5"/>
    <w:rsid w:val="00560EE0"/>
    <w:rsid w:val="00561082"/>
    <w:rsid w:val="0056112A"/>
    <w:rsid w:val="00561137"/>
    <w:rsid w:val="00561B94"/>
    <w:rsid w:val="00561E78"/>
    <w:rsid w:val="00562046"/>
    <w:rsid w:val="00562190"/>
    <w:rsid w:val="005621CC"/>
    <w:rsid w:val="005625CC"/>
    <w:rsid w:val="005625DD"/>
    <w:rsid w:val="0056269B"/>
    <w:rsid w:val="005629C7"/>
    <w:rsid w:val="00562B14"/>
    <w:rsid w:val="00562CFF"/>
    <w:rsid w:val="00562E4C"/>
    <w:rsid w:val="00563236"/>
    <w:rsid w:val="00563312"/>
    <w:rsid w:val="005633F6"/>
    <w:rsid w:val="005635FB"/>
    <w:rsid w:val="00563EF9"/>
    <w:rsid w:val="00563FE9"/>
    <w:rsid w:val="00564006"/>
    <w:rsid w:val="00564603"/>
    <w:rsid w:val="00564819"/>
    <w:rsid w:val="005649EC"/>
    <w:rsid w:val="00564D98"/>
    <w:rsid w:val="00564DE2"/>
    <w:rsid w:val="00564E21"/>
    <w:rsid w:val="00565076"/>
    <w:rsid w:val="005650D2"/>
    <w:rsid w:val="005651C1"/>
    <w:rsid w:val="0056525E"/>
    <w:rsid w:val="005652E3"/>
    <w:rsid w:val="0056574C"/>
    <w:rsid w:val="00565A45"/>
    <w:rsid w:val="00565DCC"/>
    <w:rsid w:val="00565E3D"/>
    <w:rsid w:val="005661FD"/>
    <w:rsid w:val="00566373"/>
    <w:rsid w:val="005663CC"/>
    <w:rsid w:val="00566405"/>
    <w:rsid w:val="0056682F"/>
    <w:rsid w:val="00566A9B"/>
    <w:rsid w:val="00566AAB"/>
    <w:rsid w:val="00566B5D"/>
    <w:rsid w:val="00566C1D"/>
    <w:rsid w:val="005674B6"/>
    <w:rsid w:val="005674C5"/>
    <w:rsid w:val="00567665"/>
    <w:rsid w:val="0056771E"/>
    <w:rsid w:val="0056776B"/>
    <w:rsid w:val="00567A4B"/>
    <w:rsid w:val="00567CB5"/>
    <w:rsid w:val="00567CF9"/>
    <w:rsid w:val="00567E5A"/>
    <w:rsid w:val="00567E75"/>
    <w:rsid w:val="00567EE7"/>
    <w:rsid w:val="00570545"/>
    <w:rsid w:val="0057123C"/>
    <w:rsid w:val="005712DD"/>
    <w:rsid w:val="005713CF"/>
    <w:rsid w:val="005717DD"/>
    <w:rsid w:val="0057187D"/>
    <w:rsid w:val="005718E6"/>
    <w:rsid w:val="00571D7D"/>
    <w:rsid w:val="005724E7"/>
    <w:rsid w:val="0057264B"/>
    <w:rsid w:val="005729AB"/>
    <w:rsid w:val="00573757"/>
    <w:rsid w:val="005738A7"/>
    <w:rsid w:val="00573AE4"/>
    <w:rsid w:val="00573CA1"/>
    <w:rsid w:val="00573EFD"/>
    <w:rsid w:val="00573FA4"/>
    <w:rsid w:val="00574155"/>
    <w:rsid w:val="00574538"/>
    <w:rsid w:val="00574743"/>
    <w:rsid w:val="00574A2C"/>
    <w:rsid w:val="00575017"/>
    <w:rsid w:val="0057567D"/>
    <w:rsid w:val="005757A2"/>
    <w:rsid w:val="00575926"/>
    <w:rsid w:val="00575C54"/>
    <w:rsid w:val="005761C2"/>
    <w:rsid w:val="005763DD"/>
    <w:rsid w:val="005765D0"/>
    <w:rsid w:val="00576855"/>
    <w:rsid w:val="00576D8A"/>
    <w:rsid w:val="00576DE0"/>
    <w:rsid w:val="00577083"/>
    <w:rsid w:val="0057710A"/>
    <w:rsid w:val="0057724A"/>
    <w:rsid w:val="00577406"/>
    <w:rsid w:val="005779A4"/>
    <w:rsid w:val="00577ED1"/>
    <w:rsid w:val="0058015E"/>
    <w:rsid w:val="005801F6"/>
    <w:rsid w:val="00580595"/>
    <w:rsid w:val="005806D3"/>
    <w:rsid w:val="0058080D"/>
    <w:rsid w:val="00580825"/>
    <w:rsid w:val="00580B1E"/>
    <w:rsid w:val="00580B73"/>
    <w:rsid w:val="00580E6C"/>
    <w:rsid w:val="005812D1"/>
    <w:rsid w:val="005817CA"/>
    <w:rsid w:val="005817D2"/>
    <w:rsid w:val="00581A6D"/>
    <w:rsid w:val="00581EA2"/>
    <w:rsid w:val="00581F75"/>
    <w:rsid w:val="00582129"/>
    <w:rsid w:val="005823D9"/>
    <w:rsid w:val="0058259D"/>
    <w:rsid w:val="0058269D"/>
    <w:rsid w:val="00582881"/>
    <w:rsid w:val="005829CB"/>
    <w:rsid w:val="005829D7"/>
    <w:rsid w:val="00582F17"/>
    <w:rsid w:val="00583004"/>
    <w:rsid w:val="00583494"/>
    <w:rsid w:val="00583587"/>
    <w:rsid w:val="005836FB"/>
    <w:rsid w:val="0058371D"/>
    <w:rsid w:val="00583854"/>
    <w:rsid w:val="00583A2A"/>
    <w:rsid w:val="00583AF7"/>
    <w:rsid w:val="00583C74"/>
    <w:rsid w:val="00583CE4"/>
    <w:rsid w:val="00583D6B"/>
    <w:rsid w:val="00583DB8"/>
    <w:rsid w:val="00583F88"/>
    <w:rsid w:val="00584148"/>
    <w:rsid w:val="00584230"/>
    <w:rsid w:val="00584248"/>
    <w:rsid w:val="00584343"/>
    <w:rsid w:val="005846C9"/>
    <w:rsid w:val="00584796"/>
    <w:rsid w:val="005848A0"/>
    <w:rsid w:val="00584A79"/>
    <w:rsid w:val="00584BF3"/>
    <w:rsid w:val="00584CBA"/>
    <w:rsid w:val="00584D6D"/>
    <w:rsid w:val="00584FA3"/>
    <w:rsid w:val="005851F9"/>
    <w:rsid w:val="00585278"/>
    <w:rsid w:val="00585364"/>
    <w:rsid w:val="00585390"/>
    <w:rsid w:val="00585616"/>
    <w:rsid w:val="00585749"/>
    <w:rsid w:val="00585886"/>
    <w:rsid w:val="00585C9A"/>
    <w:rsid w:val="00585F61"/>
    <w:rsid w:val="00586731"/>
    <w:rsid w:val="00586887"/>
    <w:rsid w:val="00586947"/>
    <w:rsid w:val="00586C00"/>
    <w:rsid w:val="00586CAB"/>
    <w:rsid w:val="00586D2F"/>
    <w:rsid w:val="00586E62"/>
    <w:rsid w:val="005873B7"/>
    <w:rsid w:val="00587878"/>
    <w:rsid w:val="005878D9"/>
    <w:rsid w:val="005879A5"/>
    <w:rsid w:val="005879F3"/>
    <w:rsid w:val="00587AFF"/>
    <w:rsid w:val="00587BA0"/>
    <w:rsid w:val="00587DD1"/>
    <w:rsid w:val="00587DF7"/>
    <w:rsid w:val="00587FE6"/>
    <w:rsid w:val="005900E0"/>
    <w:rsid w:val="0059015E"/>
    <w:rsid w:val="005902E1"/>
    <w:rsid w:val="00590700"/>
    <w:rsid w:val="00590B34"/>
    <w:rsid w:val="00590BEC"/>
    <w:rsid w:val="00591116"/>
    <w:rsid w:val="0059114A"/>
    <w:rsid w:val="00591272"/>
    <w:rsid w:val="00591636"/>
    <w:rsid w:val="00591A9B"/>
    <w:rsid w:val="00592075"/>
    <w:rsid w:val="0059234F"/>
    <w:rsid w:val="005923F1"/>
    <w:rsid w:val="005928E0"/>
    <w:rsid w:val="005930CF"/>
    <w:rsid w:val="0059322F"/>
    <w:rsid w:val="00593612"/>
    <w:rsid w:val="005939A5"/>
    <w:rsid w:val="005939DC"/>
    <w:rsid w:val="00593D4B"/>
    <w:rsid w:val="00594111"/>
    <w:rsid w:val="0059418E"/>
    <w:rsid w:val="00594392"/>
    <w:rsid w:val="005944C4"/>
    <w:rsid w:val="00594546"/>
    <w:rsid w:val="00594952"/>
    <w:rsid w:val="0059496C"/>
    <w:rsid w:val="00594A1E"/>
    <w:rsid w:val="00594B50"/>
    <w:rsid w:val="00594E38"/>
    <w:rsid w:val="00595109"/>
    <w:rsid w:val="005953EE"/>
    <w:rsid w:val="0059556B"/>
    <w:rsid w:val="00595C9C"/>
    <w:rsid w:val="00595FFC"/>
    <w:rsid w:val="00596160"/>
    <w:rsid w:val="0059689A"/>
    <w:rsid w:val="00596AF6"/>
    <w:rsid w:val="00596D9E"/>
    <w:rsid w:val="00597376"/>
    <w:rsid w:val="00597492"/>
    <w:rsid w:val="00597A3C"/>
    <w:rsid w:val="005A00FE"/>
    <w:rsid w:val="005A01C3"/>
    <w:rsid w:val="005A043E"/>
    <w:rsid w:val="005A09AB"/>
    <w:rsid w:val="005A10B5"/>
    <w:rsid w:val="005A113E"/>
    <w:rsid w:val="005A119D"/>
    <w:rsid w:val="005A120B"/>
    <w:rsid w:val="005A148C"/>
    <w:rsid w:val="005A1628"/>
    <w:rsid w:val="005A1961"/>
    <w:rsid w:val="005A1AE4"/>
    <w:rsid w:val="005A1D07"/>
    <w:rsid w:val="005A1D58"/>
    <w:rsid w:val="005A1DE4"/>
    <w:rsid w:val="005A1EE1"/>
    <w:rsid w:val="005A2026"/>
    <w:rsid w:val="005A213C"/>
    <w:rsid w:val="005A217A"/>
    <w:rsid w:val="005A21F4"/>
    <w:rsid w:val="005A2403"/>
    <w:rsid w:val="005A2AC5"/>
    <w:rsid w:val="005A2E07"/>
    <w:rsid w:val="005A2EB8"/>
    <w:rsid w:val="005A30DA"/>
    <w:rsid w:val="005A3152"/>
    <w:rsid w:val="005A3355"/>
    <w:rsid w:val="005A37FA"/>
    <w:rsid w:val="005A3AEB"/>
    <w:rsid w:val="005A3DAF"/>
    <w:rsid w:val="005A3ECE"/>
    <w:rsid w:val="005A3EEF"/>
    <w:rsid w:val="005A40F2"/>
    <w:rsid w:val="005A42A3"/>
    <w:rsid w:val="005A47C4"/>
    <w:rsid w:val="005A4AC5"/>
    <w:rsid w:val="005A4B2F"/>
    <w:rsid w:val="005A4C04"/>
    <w:rsid w:val="005A4E47"/>
    <w:rsid w:val="005A4F0B"/>
    <w:rsid w:val="005A5005"/>
    <w:rsid w:val="005A5B36"/>
    <w:rsid w:val="005A5D64"/>
    <w:rsid w:val="005A5FD1"/>
    <w:rsid w:val="005A60E1"/>
    <w:rsid w:val="005A6375"/>
    <w:rsid w:val="005A68A5"/>
    <w:rsid w:val="005A6CEB"/>
    <w:rsid w:val="005A6F5C"/>
    <w:rsid w:val="005A7216"/>
    <w:rsid w:val="005A731C"/>
    <w:rsid w:val="005A7352"/>
    <w:rsid w:val="005A737C"/>
    <w:rsid w:val="005A7426"/>
    <w:rsid w:val="005A7963"/>
    <w:rsid w:val="005A7A79"/>
    <w:rsid w:val="005A7C5B"/>
    <w:rsid w:val="005A7DA6"/>
    <w:rsid w:val="005B0210"/>
    <w:rsid w:val="005B02F1"/>
    <w:rsid w:val="005B0401"/>
    <w:rsid w:val="005B0813"/>
    <w:rsid w:val="005B0A97"/>
    <w:rsid w:val="005B1122"/>
    <w:rsid w:val="005B1125"/>
    <w:rsid w:val="005B1319"/>
    <w:rsid w:val="005B1746"/>
    <w:rsid w:val="005B17F0"/>
    <w:rsid w:val="005B18B0"/>
    <w:rsid w:val="005B1DF1"/>
    <w:rsid w:val="005B1F1B"/>
    <w:rsid w:val="005B1F37"/>
    <w:rsid w:val="005B22C8"/>
    <w:rsid w:val="005B28C4"/>
    <w:rsid w:val="005B28C5"/>
    <w:rsid w:val="005B29E0"/>
    <w:rsid w:val="005B2E69"/>
    <w:rsid w:val="005B30FD"/>
    <w:rsid w:val="005B32B2"/>
    <w:rsid w:val="005B3520"/>
    <w:rsid w:val="005B35A7"/>
    <w:rsid w:val="005B3B0B"/>
    <w:rsid w:val="005B3DCC"/>
    <w:rsid w:val="005B3E32"/>
    <w:rsid w:val="005B42DB"/>
    <w:rsid w:val="005B43CD"/>
    <w:rsid w:val="005B49EB"/>
    <w:rsid w:val="005B4D27"/>
    <w:rsid w:val="005B4D38"/>
    <w:rsid w:val="005B5093"/>
    <w:rsid w:val="005B5116"/>
    <w:rsid w:val="005B5173"/>
    <w:rsid w:val="005B53CF"/>
    <w:rsid w:val="005B545A"/>
    <w:rsid w:val="005B54E0"/>
    <w:rsid w:val="005B561E"/>
    <w:rsid w:val="005B56FE"/>
    <w:rsid w:val="005B5816"/>
    <w:rsid w:val="005B5936"/>
    <w:rsid w:val="005B5BCB"/>
    <w:rsid w:val="005B5EF7"/>
    <w:rsid w:val="005B5F55"/>
    <w:rsid w:val="005B5F5E"/>
    <w:rsid w:val="005B613F"/>
    <w:rsid w:val="005B625E"/>
    <w:rsid w:val="005B63A9"/>
    <w:rsid w:val="005B685D"/>
    <w:rsid w:val="005B68B2"/>
    <w:rsid w:val="005B6AE7"/>
    <w:rsid w:val="005B6AFB"/>
    <w:rsid w:val="005B6B2B"/>
    <w:rsid w:val="005B6BDF"/>
    <w:rsid w:val="005B6CDE"/>
    <w:rsid w:val="005B6CE8"/>
    <w:rsid w:val="005B7256"/>
    <w:rsid w:val="005B7381"/>
    <w:rsid w:val="005B75E7"/>
    <w:rsid w:val="005B7657"/>
    <w:rsid w:val="005B76B3"/>
    <w:rsid w:val="005B7777"/>
    <w:rsid w:val="005B77CE"/>
    <w:rsid w:val="005B7BB6"/>
    <w:rsid w:val="005C016D"/>
    <w:rsid w:val="005C033C"/>
    <w:rsid w:val="005C075D"/>
    <w:rsid w:val="005C09FB"/>
    <w:rsid w:val="005C0CAE"/>
    <w:rsid w:val="005C0F39"/>
    <w:rsid w:val="005C11A5"/>
    <w:rsid w:val="005C139D"/>
    <w:rsid w:val="005C1A49"/>
    <w:rsid w:val="005C1DE2"/>
    <w:rsid w:val="005C1DE3"/>
    <w:rsid w:val="005C28EE"/>
    <w:rsid w:val="005C2A03"/>
    <w:rsid w:val="005C2CCE"/>
    <w:rsid w:val="005C3110"/>
    <w:rsid w:val="005C315C"/>
    <w:rsid w:val="005C31B5"/>
    <w:rsid w:val="005C3232"/>
    <w:rsid w:val="005C323C"/>
    <w:rsid w:val="005C328E"/>
    <w:rsid w:val="005C3402"/>
    <w:rsid w:val="005C3714"/>
    <w:rsid w:val="005C3CEC"/>
    <w:rsid w:val="005C4081"/>
    <w:rsid w:val="005C47A6"/>
    <w:rsid w:val="005C4DA5"/>
    <w:rsid w:val="005C4F0C"/>
    <w:rsid w:val="005C58FA"/>
    <w:rsid w:val="005C5B0C"/>
    <w:rsid w:val="005C6203"/>
    <w:rsid w:val="005C62D0"/>
    <w:rsid w:val="005C65C2"/>
    <w:rsid w:val="005C66CE"/>
    <w:rsid w:val="005C676F"/>
    <w:rsid w:val="005C6812"/>
    <w:rsid w:val="005C6A32"/>
    <w:rsid w:val="005C6AE4"/>
    <w:rsid w:val="005C6BB3"/>
    <w:rsid w:val="005C7460"/>
    <w:rsid w:val="005C752C"/>
    <w:rsid w:val="005C7856"/>
    <w:rsid w:val="005C78DF"/>
    <w:rsid w:val="005C7914"/>
    <w:rsid w:val="005C796A"/>
    <w:rsid w:val="005C79F9"/>
    <w:rsid w:val="005C7BA2"/>
    <w:rsid w:val="005C7CC6"/>
    <w:rsid w:val="005C7E72"/>
    <w:rsid w:val="005D01D7"/>
    <w:rsid w:val="005D0249"/>
    <w:rsid w:val="005D0662"/>
    <w:rsid w:val="005D085B"/>
    <w:rsid w:val="005D0C82"/>
    <w:rsid w:val="005D0EB9"/>
    <w:rsid w:val="005D0F3C"/>
    <w:rsid w:val="005D0FB1"/>
    <w:rsid w:val="005D11CA"/>
    <w:rsid w:val="005D17F5"/>
    <w:rsid w:val="005D1959"/>
    <w:rsid w:val="005D1B4B"/>
    <w:rsid w:val="005D1BB3"/>
    <w:rsid w:val="005D203A"/>
    <w:rsid w:val="005D20B5"/>
    <w:rsid w:val="005D2106"/>
    <w:rsid w:val="005D2195"/>
    <w:rsid w:val="005D2312"/>
    <w:rsid w:val="005D23B2"/>
    <w:rsid w:val="005D26A2"/>
    <w:rsid w:val="005D2796"/>
    <w:rsid w:val="005D281F"/>
    <w:rsid w:val="005D2851"/>
    <w:rsid w:val="005D2928"/>
    <w:rsid w:val="005D2D6A"/>
    <w:rsid w:val="005D3988"/>
    <w:rsid w:val="005D3A57"/>
    <w:rsid w:val="005D3B04"/>
    <w:rsid w:val="005D3BD2"/>
    <w:rsid w:val="005D3D00"/>
    <w:rsid w:val="005D3E6F"/>
    <w:rsid w:val="005D40AB"/>
    <w:rsid w:val="005D42B0"/>
    <w:rsid w:val="005D4327"/>
    <w:rsid w:val="005D4455"/>
    <w:rsid w:val="005D44F7"/>
    <w:rsid w:val="005D4980"/>
    <w:rsid w:val="005D4A8A"/>
    <w:rsid w:val="005D5330"/>
    <w:rsid w:val="005D533A"/>
    <w:rsid w:val="005D5408"/>
    <w:rsid w:val="005D5736"/>
    <w:rsid w:val="005D57A8"/>
    <w:rsid w:val="005D5910"/>
    <w:rsid w:val="005D5947"/>
    <w:rsid w:val="005D5978"/>
    <w:rsid w:val="005D59BD"/>
    <w:rsid w:val="005D5AB7"/>
    <w:rsid w:val="005D5C6C"/>
    <w:rsid w:val="005D5F3B"/>
    <w:rsid w:val="005D62B2"/>
    <w:rsid w:val="005D630A"/>
    <w:rsid w:val="005D652F"/>
    <w:rsid w:val="005D655E"/>
    <w:rsid w:val="005D698C"/>
    <w:rsid w:val="005D6A14"/>
    <w:rsid w:val="005D6AAF"/>
    <w:rsid w:val="005D700F"/>
    <w:rsid w:val="005D7237"/>
    <w:rsid w:val="005D7354"/>
    <w:rsid w:val="005D73DA"/>
    <w:rsid w:val="005D7A26"/>
    <w:rsid w:val="005D7F8B"/>
    <w:rsid w:val="005E048E"/>
    <w:rsid w:val="005E07A8"/>
    <w:rsid w:val="005E08D2"/>
    <w:rsid w:val="005E10EC"/>
    <w:rsid w:val="005E12FD"/>
    <w:rsid w:val="005E13E8"/>
    <w:rsid w:val="005E1459"/>
    <w:rsid w:val="005E14F4"/>
    <w:rsid w:val="005E1603"/>
    <w:rsid w:val="005E16E4"/>
    <w:rsid w:val="005E186B"/>
    <w:rsid w:val="005E1A52"/>
    <w:rsid w:val="005E1E28"/>
    <w:rsid w:val="005E227D"/>
    <w:rsid w:val="005E2362"/>
    <w:rsid w:val="005E2506"/>
    <w:rsid w:val="005E2935"/>
    <w:rsid w:val="005E2A9D"/>
    <w:rsid w:val="005E2AFA"/>
    <w:rsid w:val="005E2BB1"/>
    <w:rsid w:val="005E2ED4"/>
    <w:rsid w:val="005E305E"/>
    <w:rsid w:val="005E3480"/>
    <w:rsid w:val="005E3CBA"/>
    <w:rsid w:val="005E3DB3"/>
    <w:rsid w:val="005E3F63"/>
    <w:rsid w:val="005E46CD"/>
    <w:rsid w:val="005E51C8"/>
    <w:rsid w:val="005E53E1"/>
    <w:rsid w:val="005E5424"/>
    <w:rsid w:val="005E5509"/>
    <w:rsid w:val="005E5D09"/>
    <w:rsid w:val="005E6142"/>
    <w:rsid w:val="005E6287"/>
    <w:rsid w:val="005E6353"/>
    <w:rsid w:val="005E657E"/>
    <w:rsid w:val="005E689F"/>
    <w:rsid w:val="005E6B5E"/>
    <w:rsid w:val="005E6CCD"/>
    <w:rsid w:val="005E6CE8"/>
    <w:rsid w:val="005E6D3B"/>
    <w:rsid w:val="005E6F1E"/>
    <w:rsid w:val="005E6F20"/>
    <w:rsid w:val="005E6F30"/>
    <w:rsid w:val="005E6FF7"/>
    <w:rsid w:val="005E7040"/>
    <w:rsid w:val="005E7893"/>
    <w:rsid w:val="005F001A"/>
    <w:rsid w:val="005F0234"/>
    <w:rsid w:val="005F0301"/>
    <w:rsid w:val="005F06A5"/>
    <w:rsid w:val="005F074B"/>
    <w:rsid w:val="005F09E9"/>
    <w:rsid w:val="005F0EE2"/>
    <w:rsid w:val="005F11E8"/>
    <w:rsid w:val="005F1692"/>
    <w:rsid w:val="005F193E"/>
    <w:rsid w:val="005F1C79"/>
    <w:rsid w:val="005F1D16"/>
    <w:rsid w:val="005F209D"/>
    <w:rsid w:val="005F23D1"/>
    <w:rsid w:val="005F255B"/>
    <w:rsid w:val="005F2565"/>
    <w:rsid w:val="005F25DA"/>
    <w:rsid w:val="005F294B"/>
    <w:rsid w:val="005F2A79"/>
    <w:rsid w:val="005F2B23"/>
    <w:rsid w:val="005F2E5D"/>
    <w:rsid w:val="005F2F0A"/>
    <w:rsid w:val="005F2FAA"/>
    <w:rsid w:val="005F3135"/>
    <w:rsid w:val="005F317E"/>
    <w:rsid w:val="005F32D2"/>
    <w:rsid w:val="005F32E6"/>
    <w:rsid w:val="005F37BE"/>
    <w:rsid w:val="005F3AE8"/>
    <w:rsid w:val="005F42FB"/>
    <w:rsid w:val="005F468F"/>
    <w:rsid w:val="005F48FF"/>
    <w:rsid w:val="005F4948"/>
    <w:rsid w:val="005F498B"/>
    <w:rsid w:val="005F4CD6"/>
    <w:rsid w:val="005F4DDD"/>
    <w:rsid w:val="005F4F3A"/>
    <w:rsid w:val="005F55F2"/>
    <w:rsid w:val="005F582B"/>
    <w:rsid w:val="005F5ACC"/>
    <w:rsid w:val="005F5E69"/>
    <w:rsid w:val="005F5E78"/>
    <w:rsid w:val="005F5FE8"/>
    <w:rsid w:val="005F6244"/>
    <w:rsid w:val="005F663B"/>
    <w:rsid w:val="005F678C"/>
    <w:rsid w:val="005F67EF"/>
    <w:rsid w:val="005F6988"/>
    <w:rsid w:val="005F6A55"/>
    <w:rsid w:val="005F6B31"/>
    <w:rsid w:val="005F6BD5"/>
    <w:rsid w:val="005F6D16"/>
    <w:rsid w:val="005F7342"/>
    <w:rsid w:val="005F77AB"/>
    <w:rsid w:val="005F7A9E"/>
    <w:rsid w:val="005F7D12"/>
    <w:rsid w:val="005F7D2D"/>
    <w:rsid w:val="005F7D90"/>
    <w:rsid w:val="005F7F0C"/>
    <w:rsid w:val="005F7F4E"/>
    <w:rsid w:val="006001EB"/>
    <w:rsid w:val="006002CB"/>
    <w:rsid w:val="00600319"/>
    <w:rsid w:val="00600527"/>
    <w:rsid w:val="0060094E"/>
    <w:rsid w:val="00600C52"/>
    <w:rsid w:val="00601365"/>
    <w:rsid w:val="006013D8"/>
    <w:rsid w:val="0060147D"/>
    <w:rsid w:val="00601648"/>
    <w:rsid w:val="006018C0"/>
    <w:rsid w:val="006018FB"/>
    <w:rsid w:val="006019BB"/>
    <w:rsid w:val="00601DCA"/>
    <w:rsid w:val="00601E18"/>
    <w:rsid w:val="00601E7D"/>
    <w:rsid w:val="00601EB9"/>
    <w:rsid w:val="0060213A"/>
    <w:rsid w:val="006021FA"/>
    <w:rsid w:val="006023BE"/>
    <w:rsid w:val="006025D6"/>
    <w:rsid w:val="00602865"/>
    <w:rsid w:val="00602876"/>
    <w:rsid w:val="006028AB"/>
    <w:rsid w:val="006028FA"/>
    <w:rsid w:val="00602C5F"/>
    <w:rsid w:val="00602D5E"/>
    <w:rsid w:val="00602ED5"/>
    <w:rsid w:val="00603045"/>
    <w:rsid w:val="00603209"/>
    <w:rsid w:val="0060320F"/>
    <w:rsid w:val="00603238"/>
    <w:rsid w:val="006035CA"/>
    <w:rsid w:val="00603639"/>
    <w:rsid w:val="006037F3"/>
    <w:rsid w:val="00603A82"/>
    <w:rsid w:val="00603ABB"/>
    <w:rsid w:val="00603C5E"/>
    <w:rsid w:val="00603C94"/>
    <w:rsid w:val="00603DC6"/>
    <w:rsid w:val="00604135"/>
    <w:rsid w:val="006042DE"/>
    <w:rsid w:val="0060450A"/>
    <w:rsid w:val="00604624"/>
    <w:rsid w:val="006048A9"/>
    <w:rsid w:val="00604A27"/>
    <w:rsid w:val="00604C1F"/>
    <w:rsid w:val="00604E24"/>
    <w:rsid w:val="006052BB"/>
    <w:rsid w:val="006053F9"/>
    <w:rsid w:val="006058EF"/>
    <w:rsid w:val="006059C0"/>
    <w:rsid w:val="00605A67"/>
    <w:rsid w:val="00605A96"/>
    <w:rsid w:val="00605AB6"/>
    <w:rsid w:val="00605B51"/>
    <w:rsid w:val="006060BC"/>
    <w:rsid w:val="00606143"/>
    <w:rsid w:val="00606177"/>
    <w:rsid w:val="006062E0"/>
    <w:rsid w:val="00606304"/>
    <w:rsid w:val="00606436"/>
    <w:rsid w:val="0060645A"/>
    <w:rsid w:val="006064BC"/>
    <w:rsid w:val="0060653C"/>
    <w:rsid w:val="00606972"/>
    <w:rsid w:val="006069E7"/>
    <w:rsid w:val="00606A02"/>
    <w:rsid w:val="00606AA1"/>
    <w:rsid w:val="00606B5C"/>
    <w:rsid w:val="006070DD"/>
    <w:rsid w:val="006071C4"/>
    <w:rsid w:val="0060764D"/>
    <w:rsid w:val="006076E6"/>
    <w:rsid w:val="0060773A"/>
    <w:rsid w:val="006077AE"/>
    <w:rsid w:val="00607922"/>
    <w:rsid w:val="00607986"/>
    <w:rsid w:val="00607B0B"/>
    <w:rsid w:val="00607B72"/>
    <w:rsid w:val="00607C17"/>
    <w:rsid w:val="00610556"/>
    <w:rsid w:val="0061055B"/>
    <w:rsid w:val="00610639"/>
    <w:rsid w:val="00610AA9"/>
    <w:rsid w:val="00610AF6"/>
    <w:rsid w:val="00610D33"/>
    <w:rsid w:val="00611149"/>
    <w:rsid w:val="00611598"/>
    <w:rsid w:val="006115D8"/>
    <w:rsid w:val="006117EC"/>
    <w:rsid w:val="0061183B"/>
    <w:rsid w:val="00611904"/>
    <w:rsid w:val="0061191D"/>
    <w:rsid w:val="00611A25"/>
    <w:rsid w:val="00611ADD"/>
    <w:rsid w:val="00611AE3"/>
    <w:rsid w:val="00611C15"/>
    <w:rsid w:val="00611D20"/>
    <w:rsid w:val="006123C2"/>
    <w:rsid w:val="00612428"/>
    <w:rsid w:val="00612790"/>
    <w:rsid w:val="006128E7"/>
    <w:rsid w:val="00612DC8"/>
    <w:rsid w:val="00612FB5"/>
    <w:rsid w:val="006130FC"/>
    <w:rsid w:val="00613212"/>
    <w:rsid w:val="006135ED"/>
    <w:rsid w:val="00613665"/>
    <w:rsid w:val="00613A15"/>
    <w:rsid w:val="00613A6C"/>
    <w:rsid w:val="00613C18"/>
    <w:rsid w:val="00613C78"/>
    <w:rsid w:val="00614382"/>
    <w:rsid w:val="00614386"/>
    <w:rsid w:val="00614495"/>
    <w:rsid w:val="00614968"/>
    <w:rsid w:val="00614974"/>
    <w:rsid w:val="00614975"/>
    <w:rsid w:val="00614D01"/>
    <w:rsid w:val="006150C6"/>
    <w:rsid w:val="0061533D"/>
    <w:rsid w:val="006157C0"/>
    <w:rsid w:val="00615E50"/>
    <w:rsid w:val="00615F60"/>
    <w:rsid w:val="00615FD8"/>
    <w:rsid w:val="00616090"/>
    <w:rsid w:val="00616255"/>
    <w:rsid w:val="00616322"/>
    <w:rsid w:val="00616324"/>
    <w:rsid w:val="006163B6"/>
    <w:rsid w:val="00616552"/>
    <w:rsid w:val="0061660D"/>
    <w:rsid w:val="00616A8C"/>
    <w:rsid w:val="00616FFF"/>
    <w:rsid w:val="006171E3"/>
    <w:rsid w:val="006171ED"/>
    <w:rsid w:val="00617518"/>
    <w:rsid w:val="006178C8"/>
    <w:rsid w:val="00617991"/>
    <w:rsid w:val="00617A61"/>
    <w:rsid w:val="00617A8A"/>
    <w:rsid w:val="00617A92"/>
    <w:rsid w:val="006205BC"/>
    <w:rsid w:val="006207DC"/>
    <w:rsid w:val="00620968"/>
    <w:rsid w:val="00620A3E"/>
    <w:rsid w:val="00620AC2"/>
    <w:rsid w:val="00620E18"/>
    <w:rsid w:val="00620E55"/>
    <w:rsid w:val="00621580"/>
    <w:rsid w:val="00621598"/>
    <w:rsid w:val="00621800"/>
    <w:rsid w:val="006218F0"/>
    <w:rsid w:val="00621AA2"/>
    <w:rsid w:val="00621CF7"/>
    <w:rsid w:val="00621E22"/>
    <w:rsid w:val="00621E4A"/>
    <w:rsid w:val="0062209F"/>
    <w:rsid w:val="006220C1"/>
    <w:rsid w:val="00622755"/>
    <w:rsid w:val="00622A1A"/>
    <w:rsid w:val="00622D58"/>
    <w:rsid w:val="00622E7D"/>
    <w:rsid w:val="006231C8"/>
    <w:rsid w:val="006235FE"/>
    <w:rsid w:val="00623887"/>
    <w:rsid w:val="006239A7"/>
    <w:rsid w:val="00624064"/>
    <w:rsid w:val="0062436E"/>
    <w:rsid w:val="0062456A"/>
    <w:rsid w:val="006245FF"/>
    <w:rsid w:val="006247AC"/>
    <w:rsid w:val="00624915"/>
    <w:rsid w:val="00624E08"/>
    <w:rsid w:val="00624EDB"/>
    <w:rsid w:val="0062519F"/>
    <w:rsid w:val="00625244"/>
    <w:rsid w:val="00625326"/>
    <w:rsid w:val="006257CE"/>
    <w:rsid w:val="0062580C"/>
    <w:rsid w:val="00625835"/>
    <w:rsid w:val="00625E39"/>
    <w:rsid w:val="006262AC"/>
    <w:rsid w:val="00626344"/>
    <w:rsid w:val="0062672F"/>
    <w:rsid w:val="00626963"/>
    <w:rsid w:val="00626A32"/>
    <w:rsid w:val="00626C5A"/>
    <w:rsid w:val="00626D75"/>
    <w:rsid w:val="00626F38"/>
    <w:rsid w:val="006270AC"/>
    <w:rsid w:val="006273C0"/>
    <w:rsid w:val="006276D8"/>
    <w:rsid w:val="006279DE"/>
    <w:rsid w:val="00627ADC"/>
    <w:rsid w:val="00627CDB"/>
    <w:rsid w:val="00627DF3"/>
    <w:rsid w:val="00627E4C"/>
    <w:rsid w:val="00627E9C"/>
    <w:rsid w:val="00630AD4"/>
    <w:rsid w:val="00630CA9"/>
    <w:rsid w:val="00630EAB"/>
    <w:rsid w:val="00630F96"/>
    <w:rsid w:val="006310EC"/>
    <w:rsid w:val="006311DD"/>
    <w:rsid w:val="006314C5"/>
    <w:rsid w:val="00631568"/>
    <w:rsid w:val="00631613"/>
    <w:rsid w:val="00631C8D"/>
    <w:rsid w:val="00631D18"/>
    <w:rsid w:val="00632207"/>
    <w:rsid w:val="0063220E"/>
    <w:rsid w:val="006328A6"/>
    <w:rsid w:val="00632A8D"/>
    <w:rsid w:val="00632AA5"/>
    <w:rsid w:val="00632D87"/>
    <w:rsid w:val="00633119"/>
    <w:rsid w:val="00633331"/>
    <w:rsid w:val="006337F5"/>
    <w:rsid w:val="00633A8F"/>
    <w:rsid w:val="00633AF5"/>
    <w:rsid w:val="00633C3A"/>
    <w:rsid w:val="00634035"/>
    <w:rsid w:val="006346EF"/>
    <w:rsid w:val="0063491C"/>
    <w:rsid w:val="00634A76"/>
    <w:rsid w:val="00634A7A"/>
    <w:rsid w:val="00634C60"/>
    <w:rsid w:val="0063531E"/>
    <w:rsid w:val="006354F6"/>
    <w:rsid w:val="0063552D"/>
    <w:rsid w:val="00635957"/>
    <w:rsid w:val="00635A8B"/>
    <w:rsid w:val="00635BB8"/>
    <w:rsid w:val="00635D80"/>
    <w:rsid w:val="00635DD4"/>
    <w:rsid w:val="00635E90"/>
    <w:rsid w:val="00636063"/>
    <w:rsid w:val="00636193"/>
    <w:rsid w:val="006363FA"/>
    <w:rsid w:val="00636CDD"/>
    <w:rsid w:val="00636CEC"/>
    <w:rsid w:val="006370DD"/>
    <w:rsid w:val="00637451"/>
    <w:rsid w:val="006374E3"/>
    <w:rsid w:val="0063757C"/>
    <w:rsid w:val="00637716"/>
    <w:rsid w:val="00637759"/>
    <w:rsid w:val="006377D4"/>
    <w:rsid w:val="00637BA6"/>
    <w:rsid w:val="00637D66"/>
    <w:rsid w:val="00637DA7"/>
    <w:rsid w:val="00640383"/>
    <w:rsid w:val="006403CA"/>
    <w:rsid w:val="006404E9"/>
    <w:rsid w:val="00640633"/>
    <w:rsid w:val="006407AC"/>
    <w:rsid w:val="00640AB1"/>
    <w:rsid w:val="00641203"/>
    <w:rsid w:val="0064125A"/>
    <w:rsid w:val="006415AE"/>
    <w:rsid w:val="006417B2"/>
    <w:rsid w:val="00641A4C"/>
    <w:rsid w:val="00641A5C"/>
    <w:rsid w:val="00641AA0"/>
    <w:rsid w:val="00641BBE"/>
    <w:rsid w:val="00641D0C"/>
    <w:rsid w:val="00641EF4"/>
    <w:rsid w:val="006421D1"/>
    <w:rsid w:val="006422FB"/>
    <w:rsid w:val="00642648"/>
    <w:rsid w:val="0064271F"/>
    <w:rsid w:val="00642B53"/>
    <w:rsid w:val="00642DE4"/>
    <w:rsid w:val="00642E4B"/>
    <w:rsid w:val="00642F23"/>
    <w:rsid w:val="00643013"/>
    <w:rsid w:val="0064307D"/>
    <w:rsid w:val="0064321E"/>
    <w:rsid w:val="00643466"/>
    <w:rsid w:val="006434B2"/>
    <w:rsid w:val="00643961"/>
    <w:rsid w:val="00643D24"/>
    <w:rsid w:val="00644379"/>
    <w:rsid w:val="00644380"/>
    <w:rsid w:val="00644934"/>
    <w:rsid w:val="006449FC"/>
    <w:rsid w:val="00644A9D"/>
    <w:rsid w:val="00644DE2"/>
    <w:rsid w:val="00644EF2"/>
    <w:rsid w:val="00645505"/>
    <w:rsid w:val="00645CDE"/>
    <w:rsid w:val="006460B7"/>
    <w:rsid w:val="00646304"/>
    <w:rsid w:val="00646412"/>
    <w:rsid w:val="00646426"/>
    <w:rsid w:val="0064665D"/>
    <w:rsid w:val="006466FF"/>
    <w:rsid w:val="006467EE"/>
    <w:rsid w:val="00646F34"/>
    <w:rsid w:val="0064723E"/>
    <w:rsid w:val="00647370"/>
    <w:rsid w:val="006476A7"/>
    <w:rsid w:val="006477EC"/>
    <w:rsid w:val="006478BC"/>
    <w:rsid w:val="0064795A"/>
    <w:rsid w:val="00647C12"/>
    <w:rsid w:val="00647C25"/>
    <w:rsid w:val="0065014C"/>
    <w:rsid w:val="006504B4"/>
    <w:rsid w:val="006506AB"/>
    <w:rsid w:val="00650919"/>
    <w:rsid w:val="00650A6A"/>
    <w:rsid w:val="00650FAA"/>
    <w:rsid w:val="006510B3"/>
    <w:rsid w:val="00651178"/>
    <w:rsid w:val="006512AC"/>
    <w:rsid w:val="00651507"/>
    <w:rsid w:val="0065178D"/>
    <w:rsid w:val="00651806"/>
    <w:rsid w:val="00651BB9"/>
    <w:rsid w:val="0065223F"/>
    <w:rsid w:val="006525C9"/>
    <w:rsid w:val="00652625"/>
    <w:rsid w:val="006528B8"/>
    <w:rsid w:val="00652B2B"/>
    <w:rsid w:val="00652FDE"/>
    <w:rsid w:val="00652FF8"/>
    <w:rsid w:val="00653002"/>
    <w:rsid w:val="00653324"/>
    <w:rsid w:val="006533D5"/>
    <w:rsid w:val="00653472"/>
    <w:rsid w:val="006536D5"/>
    <w:rsid w:val="00653752"/>
    <w:rsid w:val="00653A16"/>
    <w:rsid w:val="00653B10"/>
    <w:rsid w:val="00653D54"/>
    <w:rsid w:val="006540C9"/>
    <w:rsid w:val="0065415C"/>
    <w:rsid w:val="006543C8"/>
    <w:rsid w:val="00654DD3"/>
    <w:rsid w:val="00654F5D"/>
    <w:rsid w:val="00655038"/>
    <w:rsid w:val="006552E6"/>
    <w:rsid w:val="006552FE"/>
    <w:rsid w:val="0065555A"/>
    <w:rsid w:val="006555EE"/>
    <w:rsid w:val="00655684"/>
    <w:rsid w:val="006558BD"/>
    <w:rsid w:val="00655D5A"/>
    <w:rsid w:val="00655E88"/>
    <w:rsid w:val="0065637A"/>
    <w:rsid w:val="00656754"/>
    <w:rsid w:val="00656C55"/>
    <w:rsid w:val="00657099"/>
    <w:rsid w:val="006570E0"/>
    <w:rsid w:val="006570F2"/>
    <w:rsid w:val="00657212"/>
    <w:rsid w:val="00657374"/>
    <w:rsid w:val="006573DF"/>
    <w:rsid w:val="0065760A"/>
    <w:rsid w:val="00657990"/>
    <w:rsid w:val="00657C9D"/>
    <w:rsid w:val="00657DBA"/>
    <w:rsid w:val="00657DFE"/>
    <w:rsid w:val="00657EC3"/>
    <w:rsid w:val="00660158"/>
    <w:rsid w:val="00660664"/>
    <w:rsid w:val="00660934"/>
    <w:rsid w:val="006615FD"/>
    <w:rsid w:val="006619A8"/>
    <w:rsid w:val="00661AFE"/>
    <w:rsid w:val="00661FBF"/>
    <w:rsid w:val="006621A1"/>
    <w:rsid w:val="00662258"/>
    <w:rsid w:val="006622D0"/>
    <w:rsid w:val="0066230E"/>
    <w:rsid w:val="00662B5D"/>
    <w:rsid w:val="0066307B"/>
    <w:rsid w:val="00663196"/>
    <w:rsid w:val="0066347D"/>
    <w:rsid w:val="006637FF"/>
    <w:rsid w:val="00663809"/>
    <w:rsid w:val="0066381A"/>
    <w:rsid w:val="00663A0F"/>
    <w:rsid w:val="00663AE2"/>
    <w:rsid w:val="00663C99"/>
    <w:rsid w:val="0066415B"/>
    <w:rsid w:val="00664266"/>
    <w:rsid w:val="006642EA"/>
    <w:rsid w:val="0066476D"/>
    <w:rsid w:val="00664AE3"/>
    <w:rsid w:val="00664CE0"/>
    <w:rsid w:val="00664EDB"/>
    <w:rsid w:val="00665032"/>
    <w:rsid w:val="00665219"/>
    <w:rsid w:val="006655E4"/>
    <w:rsid w:val="00665871"/>
    <w:rsid w:val="00665A26"/>
    <w:rsid w:val="00665CEB"/>
    <w:rsid w:val="006660FF"/>
    <w:rsid w:val="0066629B"/>
    <w:rsid w:val="006666AD"/>
    <w:rsid w:val="006672D8"/>
    <w:rsid w:val="0066741E"/>
    <w:rsid w:val="006674B8"/>
    <w:rsid w:val="0066770D"/>
    <w:rsid w:val="0066794C"/>
    <w:rsid w:val="00667C41"/>
    <w:rsid w:val="00667F66"/>
    <w:rsid w:val="00670396"/>
    <w:rsid w:val="006708CF"/>
    <w:rsid w:val="00670A2A"/>
    <w:rsid w:val="00670A54"/>
    <w:rsid w:val="00671110"/>
    <w:rsid w:val="006712C3"/>
    <w:rsid w:val="006712FA"/>
    <w:rsid w:val="006714AC"/>
    <w:rsid w:val="006715BA"/>
    <w:rsid w:val="00671654"/>
    <w:rsid w:val="00671776"/>
    <w:rsid w:val="00671918"/>
    <w:rsid w:val="00671A22"/>
    <w:rsid w:val="00671B83"/>
    <w:rsid w:val="00671D91"/>
    <w:rsid w:val="006720B1"/>
    <w:rsid w:val="006720B4"/>
    <w:rsid w:val="006720D5"/>
    <w:rsid w:val="0067221A"/>
    <w:rsid w:val="00672372"/>
    <w:rsid w:val="006725BA"/>
    <w:rsid w:val="00672631"/>
    <w:rsid w:val="00672A23"/>
    <w:rsid w:val="00672EB4"/>
    <w:rsid w:val="00673325"/>
    <w:rsid w:val="0067336F"/>
    <w:rsid w:val="0067353A"/>
    <w:rsid w:val="006736EB"/>
    <w:rsid w:val="00673A66"/>
    <w:rsid w:val="00673AD8"/>
    <w:rsid w:val="00673ADF"/>
    <w:rsid w:val="00673B8D"/>
    <w:rsid w:val="006740CC"/>
    <w:rsid w:val="006741D3"/>
    <w:rsid w:val="00674257"/>
    <w:rsid w:val="006742A1"/>
    <w:rsid w:val="00674D13"/>
    <w:rsid w:val="00674E9E"/>
    <w:rsid w:val="00675017"/>
    <w:rsid w:val="00675191"/>
    <w:rsid w:val="006751D9"/>
    <w:rsid w:val="00675303"/>
    <w:rsid w:val="0067533F"/>
    <w:rsid w:val="00675387"/>
    <w:rsid w:val="006758C9"/>
    <w:rsid w:val="00675AC2"/>
    <w:rsid w:val="00675D9F"/>
    <w:rsid w:val="0067611C"/>
    <w:rsid w:val="006761F9"/>
    <w:rsid w:val="00676293"/>
    <w:rsid w:val="00676532"/>
    <w:rsid w:val="006767E9"/>
    <w:rsid w:val="0067695A"/>
    <w:rsid w:val="00676978"/>
    <w:rsid w:val="00676A45"/>
    <w:rsid w:val="00676B63"/>
    <w:rsid w:val="00676FB6"/>
    <w:rsid w:val="00676FF2"/>
    <w:rsid w:val="00677149"/>
    <w:rsid w:val="00677256"/>
    <w:rsid w:val="00677819"/>
    <w:rsid w:val="00677EA0"/>
    <w:rsid w:val="00677FDA"/>
    <w:rsid w:val="00680153"/>
    <w:rsid w:val="00680E43"/>
    <w:rsid w:val="00680ED0"/>
    <w:rsid w:val="00680F19"/>
    <w:rsid w:val="00680F2A"/>
    <w:rsid w:val="0068134C"/>
    <w:rsid w:val="006813ED"/>
    <w:rsid w:val="006815FA"/>
    <w:rsid w:val="006818B2"/>
    <w:rsid w:val="0068192F"/>
    <w:rsid w:val="00681A71"/>
    <w:rsid w:val="006821E4"/>
    <w:rsid w:val="0068236E"/>
    <w:rsid w:val="0068240C"/>
    <w:rsid w:val="006824B8"/>
    <w:rsid w:val="006824EA"/>
    <w:rsid w:val="006827BE"/>
    <w:rsid w:val="00682806"/>
    <w:rsid w:val="00682983"/>
    <w:rsid w:val="00682A11"/>
    <w:rsid w:val="00682AF4"/>
    <w:rsid w:val="00682CAB"/>
    <w:rsid w:val="00682D56"/>
    <w:rsid w:val="0068301D"/>
    <w:rsid w:val="006831C8"/>
    <w:rsid w:val="006832E2"/>
    <w:rsid w:val="006834A5"/>
    <w:rsid w:val="00683627"/>
    <w:rsid w:val="006836D9"/>
    <w:rsid w:val="00683709"/>
    <w:rsid w:val="00683728"/>
    <w:rsid w:val="0068376D"/>
    <w:rsid w:val="00683804"/>
    <w:rsid w:val="006838F9"/>
    <w:rsid w:val="00683AA6"/>
    <w:rsid w:val="00683AE9"/>
    <w:rsid w:val="00683B2C"/>
    <w:rsid w:val="00683BE5"/>
    <w:rsid w:val="00683DE7"/>
    <w:rsid w:val="00683F7B"/>
    <w:rsid w:val="006840A0"/>
    <w:rsid w:val="006843A3"/>
    <w:rsid w:val="00684483"/>
    <w:rsid w:val="006848C3"/>
    <w:rsid w:val="00684A8F"/>
    <w:rsid w:val="00684D4A"/>
    <w:rsid w:val="00684F84"/>
    <w:rsid w:val="00685096"/>
    <w:rsid w:val="00685266"/>
    <w:rsid w:val="00685354"/>
    <w:rsid w:val="0068555B"/>
    <w:rsid w:val="006856D5"/>
    <w:rsid w:val="00685960"/>
    <w:rsid w:val="00685965"/>
    <w:rsid w:val="006859CC"/>
    <w:rsid w:val="00685BA4"/>
    <w:rsid w:val="00685C50"/>
    <w:rsid w:val="00685D0F"/>
    <w:rsid w:val="00685D24"/>
    <w:rsid w:val="00685EB9"/>
    <w:rsid w:val="00685F04"/>
    <w:rsid w:val="0068618D"/>
    <w:rsid w:val="006866F3"/>
    <w:rsid w:val="00686B6D"/>
    <w:rsid w:val="00686CA7"/>
    <w:rsid w:val="00686CED"/>
    <w:rsid w:val="006870A8"/>
    <w:rsid w:val="00687182"/>
    <w:rsid w:val="00687648"/>
    <w:rsid w:val="0068782B"/>
    <w:rsid w:val="00687ECD"/>
    <w:rsid w:val="0069002D"/>
    <w:rsid w:val="006905AA"/>
    <w:rsid w:val="006905B7"/>
    <w:rsid w:val="00690848"/>
    <w:rsid w:val="00690952"/>
    <w:rsid w:val="00690B32"/>
    <w:rsid w:val="00690C4B"/>
    <w:rsid w:val="00690ED6"/>
    <w:rsid w:val="006911C6"/>
    <w:rsid w:val="006912E0"/>
    <w:rsid w:val="0069183C"/>
    <w:rsid w:val="006919B0"/>
    <w:rsid w:val="00691B39"/>
    <w:rsid w:val="00691BDC"/>
    <w:rsid w:val="00691C32"/>
    <w:rsid w:val="00691C83"/>
    <w:rsid w:val="00691D21"/>
    <w:rsid w:val="00691DD7"/>
    <w:rsid w:val="006922B6"/>
    <w:rsid w:val="00692564"/>
    <w:rsid w:val="0069256C"/>
    <w:rsid w:val="006926A4"/>
    <w:rsid w:val="006929CB"/>
    <w:rsid w:val="00692A95"/>
    <w:rsid w:val="00692D0F"/>
    <w:rsid w:val="0069314A"/>
    <w:rsid w:val="0069325E"/>
    <w:rsid w:val="006932C2"/>
    <w:rsid w:val="00693572"/>
    <w:rsid w:val="0069369B"/>
    <w:rsid w:val="00693D37"/>
    <w:rsid w:val="00693DE1"/>
    <w:rsid w:val="00693E0B"/>
    <w:rsid w:val="00693EBF"/>
    <w:rsid w:val="006947F7"/>
    <w:rsid w:val="00694861"/>
    <w:rsid w:val="006949DB"/>
    <w:rsid w:val="00694D68"/>
    <w:rsid w:val="00694D82"/>
    <w:rsid w:val="00694E5A"/>
    <w:rsid w:val="00694F26"/>
    <w:rsid w:val="00695357"/>
    <w:rsid w:val="006958C4"/>
    <w:rsid w:val="00695931"/>
    <w:rsid w:val="006959AB"/>
    <w:rsid w:val="00695C5B"/>
    <w:rsid w:val="00695FC7"/>
    <w:rsid w:val="0069614B"/>
    <w:rsid w:val="006962FB"/>
    <w:rsid w:val="006964DA"/>
    <w:rsid w:val="0069669B"/>
    <w:rsid w:val="00696805"/>
    <w:rsid w:val="00696903"/>
    <w:rsid w:val="00696CC9"/>
    <w:rsid w:val="00696DE7"/>
    <w:rsid w:val="00696EE0"/>
    <w:rsid w:val="00696FC9"/>
    <w:rsid w:val="006972D6"/>
    <w:rsid w:val="006973E7"/>
    <w:rsid w:val="00697433"/>
    <w:rsid w:val="006A017C"/>
    <w:rsid w:val="006A035B"/>
    <w:rsid w:val="006A06D8"/>
    <w:rsid w:val="006A071B"/>
    <w:rsid w:val="006A07F4"/>
    <w:rsid w:val="006A0AD9"/>
    <w:rsid w:val="006A0B5D"/>
    <w:rsid w:val="006A0D38"/>
    <w:rsid w:val="006A0E37"/>
    <w:rsid w:val="006A1230"/>
    <w:rsid w:val="006A154A"/>
    <w:rsid w:val="006A1D56"/>
    <w:rsid w:val="006A1E5D"/>
    <w:rsid w:val="006A25F7"/>
    <w:rsid w:val="006A25FA"/>
    <w:rsid w:val="006A27A2"/>
    <w:rsid w:val="006A2E8D"/>
    <w:rsid w:val="006A30EC"/>
    <w:rsid w:val="006A3108"/>
    <w:rsid w:val="006A3118"/>
    <w:rsid w:val="006A33E4"/>
    <w:rsid w:val="006A3417"/>
    <w:rsid w:val="006A3588"/>
    <w:rsid w:val="006A38BA"/>
    <w:rsid w:val="006A395A"/>
    <w:rsid w:val="006A396C"/>
    <w:rsid w:val="006A3E00"/>
    <w:rsid w:val="006A412A"/>
    <w:rsid w:val="006A41F5"/>
    <w:rsid w:val="006A4628"/>
    <w:rsid w:val="006A46E7"/>
    <w:rsid w:val="006A48BF"/>
    <w:rsid w:val="006A4CDB"/>
    <w:rsid w:val="006A4D1A"/>
    <w:rsid w:val="006A4F33"/>
    <w:rsid w:val="006A55D1"/>
    <w:rsid w:val="006A5624"/>
    <w:rsid w:val="006A5828"/>
    <w:rsid w:val="006A5C24"/>
    <w:rsid w:val="006A5C77"/>
    <w:rsid w:val="006A5DB1"/>
    <w:rsid w:val="006A61CF"/>
    <w:rsid w:val="006A67B3"/>
    <w:rsid w:val="006A6A96"/>
    <w:rsid w:val="006A77DC"/>
    <w:rsid w:val="006A7898"/>
    <w:rsid w:val="006A7A9C"/>
    <w:rsid w:val="006A7BB9"/>
    <w:rsid w:val="006A7C18"/>
    <w:rsid w:val="006A7E66"/>
    <w:rsid w:val="006A7F3B"/>
    <w:rsid w:val="006B027E"/>
    <w:rsid w:val="006B029F"/>
    <w:rsid w:val="006B03AC"/>
    <w:rsid w:val="006B0C0C"/>
    <w:rsid w:val="006B0E46"/>
    <w:rsid w:val="006B0E80"/>
    <w:rsid w:val="006B14F5"/>
    <w:rsid w:val="006B16D3"/>
    <w:rsid w:val="006B16DF"/>
    <w:rsid w:val="006B17A8"/>
    <w:rsid w:val="006B1815"/>
    <w:rsid w:val="006B192E"/>
    <w:rsid w:val="006B1954"/>
    <w:rsid w:val="006B1A95"/>
    <w:rsid w:val="006B1E38"/>
    <w:rsid w:val="006B1EC2"/>
    <w:rsid w:val="006B21D4"/>
    <w:rsid w:val="006B23C3"/>
    <w:rsid w:val="006B27C7"/>
    <w:rsid w:val="006B2DA4"/>
    <w:rsid w:val="006B2F92"/>
    <w:rsid w:val="006B3122"/>
    <w:rsid w:val="006B3123"/>
    <w:rsid w:val="006B313B"/>
    <w:rsid w:val="006B343D"/>
    <w:rsid w:val="006B37E2"/>
    <w:rsid w:val="006B3B3B"/>
    <w:rsid w:val="006B3D92"/>
    <w:rsid w:val="006B3E41"/>
    <w:rsid w:val="006B426F"/>
    <w:rsid w:val="006B42A3"/>
    <w:rsid w:val="006B4522"/>
    <w:rsid w:val="006B4A72"/>
    <w:rsid w:val="006B4BB5"/>
    <w:rsid w:val="006B4C2D"/>
    <w:rsid w:val="006B4D17"/>
    <w:rsid w:val="006B5316"/>
    <w:rsid w:val="006B54CD"/>
    <w:rsid w:val="006B5F28"/>
    <w:rsid w:val="006B610E"/>
    <w:rsid w:val="006B648B"/>
    <w:rsid w:val="006B654A"/>
    <w:rsid w:val="006B6A2D"/>
    <w:rsid w:val="006B6C4E"/>
    <w:rsid w:val="006B7060"/>
    <w:rsid w:val="006B7250"/>
    <w:rsid w:val="006B7476"/>
    <w:rsid w:val="006B74A5"/>
    <w:rsid w:val="006B7D4E"/>
    <w:rsid w:val="006B7FC0"/>
    <w:rsid w:val="006B7FE2"/>
    <w:rsid w:val="006C0537"/>
    <w:rsid w:val="006C05E5"/>
    <w:rsid w:val="006C0678"/>
    <w:rsid w:val="006C0A72"/>
    <w:rsid w:val="006C0B77"/>
    <w:rsid w:val="006C0FB2"/>
    <w:rsid w:val="006C12ED"/>
    <w:rsid w:val="006C1397"/>
    <w:rsid w:val="006C13AC"/>
    <w:rsid w:val="006C152D"/>
    <w:rsid w:val="006C1674"/>
    <w:rsid w:val="006C193D"/>
    <w:rsid w:val="006C1BD6"/>
    <w:rsid w:val="006C1F10"/>
    <w:rsid w:val="006C22D6"/>
    <w:rsid w:val="006C26D2"/>
    <w:rsid w:val="006C2857"/>
    <w:rsid w:val="006C2A8C"/>
    <w:rsid w:val="006C3289"/>
    <w:rsid w:val="006C329E"/>
    <w:rsid w:val="006C3312"/>
    <w:rsid w:val="006C33BD"/>
    <w:rsid w:val="006C3643"/>
    <w:rsid w:val="006C36B3"/>
    <w:rsid w:val="006C3903"/>
    <w:rsid w:val="006C3B8F"/>
    <w:rsid w:val="006C3CBD"/>
    <w:rsid w:val="006C40EE"/>
    <w:rsid w:val="006C4410"/>
    <w:rsid w:val="006C45DC"/>
    <w:rsid w:val="006C48FF"/>
    <w:rsid w:val="006C5197"/>
    <w:rsid w:val="006C53A6"/>
    <w:rsid w:val="006C53C0"/>
    <w:rsid w:val="006C53DD"/>
    <w:rsid w:val="006C551C"/>
    <w:rsid w:val="006C59B3"/>
    <w:rsid w:val="006C5BF2"/>
    <w:rsid w:val="006C5CCC"/>
    <w:rsid w:val="006C5E70"/>
    <w:rsid w:val="006C5EDD"/>
    <w:rsid w:val="006C6026"/>
    <w:rsid w:val="006C63FD"/>
    <w:rsid w:val="006C693F"/>
    <w:rsid w:val="006C6A2E"/>
    <w:rsid w:val="006C701F"/>
    <w:rsid w:val="006C71BB"/>
    <w:rsid w:val="006C7577"/>
    <w:rsid w:val="006C7651"/>
    <w:rsid w:val="006C7874"/>
    <w:rsid w:val="006C796A"/>
    <w:rsid w:val="006C7D5F"/>
    <w:rsid w:val="006D01C4"/>
    <w:rsid w:val="006D01E2"/>
    <w:rsid w:val="006D038D"/>
    <w:rsid w:val="006D0491"/>
    <w:rsid w:val="006D0575"/>
    <w:rsid w:val="006D05CB"/>
    <w:rsid w:val="006D05E1"/>
    <w:rsid w:val="006D0728"/>
    <w:rsid w:val="006D09E0"/>
    <w:rsid w:val="006D0B7C"/>
    <w:rsid w:val="006D111A"/>
    <w:rsid w:val="006D15AF"/>
    <w:rsid w:val="006D1665"/>
    <w:rsid w:val="006D16DE"/>
    <w:rsid w:val="006D1EA8"/>
    <w:rsid w:val="006D1F71"/>
    <w:rsid w:val="006D20F5"/>
    <w:rsid w:val="006D2349"/>
    <w:rsid w:val="006D23D4"/>
    <w:rsid w:val="006D2407"/>
    <w:rsid w:val="006D275A"/>
    <w:rsid w:val="006D2FE0"/>
    <w:rsid w:val="006D30FE"/>
    <w:rsid w:val="006D3315"/>
    <w:rsid w:val="006D3703"/>
    <w:rsid w:val="006D3880"/>
    <w:rsid w:val="006D3973"/>
    <w:rsid w:val="006D3AE1"/>
    <w:rsid w:val="006D412B"/>
    <w:rsid w:val="006D420E"/>
    <w:rsid w:val="006D431B"/>
    <w:rsid w:val="006D4321"/>
    <w:rsid w:val="006D4503"/>
    <w:rsid w:val="006D47E2"/>
    <w:rsid w:val="006D49F4"/>
    <w:rsid w:val="006D4B53"/>
    <w:rsid w:val="006D4C88"/>
    <w:rsid w:val="006D5014"/>
    <w:rsid w:val="006D52D9"/>
    <w:rsid w:val="006D5385"/>
    <w:rsid w:val="006D58BA"/>
    <w:rsid w:val="006D5BE5"/>
    <w:rsid w:val="006D5ED9"/>
    <w:rsid w:val="006D618C"/>
    <w:rsid w:val="006D63E1"/>
    <w:rsid w:val="006D64BF"/>
    <w:rsid w:val="006D662F"/>
    <w:rsid w:val="006D6877"/>
    <w:rsid w:val="006D6A46"/>
    <w:rsid w:val="006D6DA7"/>
    <w:rsid w:val="006D6E55"/>
    <w:rsid w:val="006D7145"/>
    <w:rsid w:val="006D7A37"/>
    <w:rsid w:val="006E030E"/>
    <w:rsid w:val="006E0364"/>
    <w:rsid w:val="006E039B"/>
    <w:rsid w:val="006E054B"/>
    <w:rsid w:val="006E074A"/>
    <w:rsid w:val="006E0947"/>
    <w:rsid w:val="006E09B2"/>
    <w:rsid w:val="006E0E27"/>
    <w:rsid w:val="006E0E96"/>
    <w:rsid w:val="006E12D8"/>
    <w:rsid w:val="006E14F9"/>
    <w:rsid w:val="006E1590"/>
    <w:rsid w:val="006E15B3"/>
    <w:rsid w:val="006E15CB"/>
    <w:rsid w:val="006E1696"/>
    <w:rsid w:val="006E175F"/>
    <w:rsid w:val="006E1994"/>
    <w:rsid w:val="006E1CFE"/>
    <w:rsid w:val="006E1D1E"/>
    <w:rsid w:val="006E1DA5"/>
    <w:rsid w:val="006E1DA9"/>
    <w:rsid w:val="006E1DAB"/>
    <w:rsid w:val="006E2212"/>
    <w:rsid w:val="006E2415"/>
    <w:rsid w:val="006E29A4"/>
    <w:rsid w:val="006E2A67"/>
    <w:rsid w:val="006E2CC5"/>
    <w:rsid w:val="006E2DAE"/>
    <w:rsid w:val="006E2E66"/>
    <w:rsid w:val="006E2FFB"/>
    <w:rsid w:val="006E304E"/>
    <w:rsid w:val="006E335C"/>
    <w:rsid w:val="006E353E"/>
    <w:rsid w:val="006E3877"/>
    <w:rsid w:val="006E3884"/>
    <w:rsid w:val="006E429A"/>
    <w:rsid w:val="006E44B0"/>
    <w:rsid w:val="006E45EF"/>
    <w:rsid w:val="006E49FC"/>
    <w:rsid w:val="006E4DF2"/>
    <w:rsid w:val="006E50A3"/>
    <w:rsid w:val="006E532C"/>
    <w:rsid w:val="006E539D"/>
    <w:rsid w:val="006E54A3"/>
    <w:rsid w:val="006E574B"/>
    <w:rsid w:val="006E5894"/>
    <w:rsid w:val="006E58B9"/>
    <w:rsid w:val="006E5AC0"/>
    <w:rsid w:val="006E5C18"/>
    <w:rsid w:val="006E5E28"/>
    <w:rsid w:val="006E5F5B"/>
    <w:rsid w:val="006E5FEA"/>
    <w:rsid w:val="006E613F"/>
    <w:rsid w:val="006E6253"/>
    <w:rsid w:val="006E62FE"/>
    <w:rsid w:val="006E63F5"/>
    <w:rsid w:val="006E6574"/>
    <w:rsid w:val="006E6B9C"/>
    <w:rsid w:val="006E6F9C"/>
    <w:rsid w:val="006E70DA"/>
    <w:rsid w:val="006E713E"/>
    <w:rsid w:val="006E7185"/>
    <w:rsid w:val="006E760A"/>
    <w:rsid w:val="006E7814"/>
    <w:rsid w:val="006E784C"/>
    <w:rsid w:val="006E7B53"/>
    <w:rsid w:val="006E7B62"/>
    <w:rsid w:val="006E7B67"/>
    <w:rsid w:val="006E7CA5"/>
    <w:rsid w:val="006E7D85"/>
    <w:rsid w:val="006F02B9"/>
    <w:rsid w:val="006F031D"/>
    <w:rsid w:val="006F04F5"/>
    <w:rsid w:val="006F0687"/>
    <w:rsid w:val="006F0A07"/>
    <w:rsid w:val="006F0AD6"/>
    <w:rsid w:val="006F0C3C"/>
    <w:rsid w:val="006F0D18"/>
    <w:rsid w:val="006F0E7A"/>
    <w:rsid w:val="006F0FC5"/>
    <w:rsid w:val="006F14E1"/>
    <w:rsid w:val="006F1C44"/>
    <w:rsid w:val="006F21E5"/>
    <w:rsid w:val="006F220D"/>
    <w:rsid w:val="006F23D9"/>
    <w:rsid w:val="006F2590"/>
    <w:rsid w:val="006F2C2C"/>
    <w:rsid w:val="006F2CF7"/>
    <w:rsid w:val="006F2D6C"/>
    <w:rsid w:val="006F30D9"/>
    <w:rsid w:val="006F334F"/>
    <w:rsid w:val="006F33FD"/>
    <w:rsid w:val="006F343B"/>
    <w:rsid w:val="006F3725"/>
    <w:rsid w:val="006F3B04"/>
    <w:rsid w:val="006F3E5E"/>
    <w:rsid w:val="006F42E8"/>
    <w:rsid w:val="006F43AA"/>
    <w:rsid w:val="006F4479"/>
    <w:rsid w:val="006F4542"/>
    <w:rsid w:val="006F47B7"/>
    <w:rsid w:val="006F4820"/>
    <w:rsid w:val="006F4A7E"/>
    <w:rsid w:val="006F519E"/>
    <w:rsid w:val="006F51FF"/>
    <w:rsid w:val="006F5244"/>
    <w:rsid w:val="006F53EF"/>
    <w:rsid w:val="006F584D"/>
    <w:rsid w:val="006F5888"/>
    <w:rsid w:val="006F5F39"/>
    <w:rsid w:val="006F5F47"/>
    <w:rsid w:val="006F5FDB"/>
    <w:rsid w:val="006F62E5"/>
    <w:rsid w:val="006F67AA"/>
    <w:rsid w:val="006F67DC"/>
    <w:rsid w:val="006F6AF1"/>
    <w:rsid w:val="006F6CA4"/>
    <w:rsid w:val="006F6E94"/>
    <w:rsid w:val="006F7180"/>
    <w:rsid w:val="006F7258"/>
    <w:rsid w:val="006F766F"/>
    <w:rsid w:val="0070021B"/>
    <w:rsid w:val="0070050E"/>
    <w:rsid w:val="00700575"/>
    <w:rsid w:val="007005A8"/>
    <w:rsid w:val="00700C92"/>
    <w:rsid w:val="00700E05"/>
    <w:rsid w:val="00700EDE"/>
    <w:rsid w:val="007014C2"/>
    <w:rsid w:val="007014E6"/>
    <w:rsid w:val="00701601"/>
    <w:rsid w:val="007018B9"/>
    <w:rsid w:val="0070191B"/>
    <w:rsid w:val="00701BBB"/>
    <w:rsid w:val="00701D3C"/>
    <w:rsid w:val="00701DB1"/>
    <w:rsid w:val="00701FD7"/>
    <w:rsid w:val="0070248D"/>
    <w:rsid w:val="007026F2"/>
    <w:rsid w:val="0070277A"/>
    <w:rsid w:val="007027B5"/>
    <w:rsid w:val="00702878"/>
    <w:rsid w:val="00702D86"/>
    <w:rsid w:val="00702E4D"/>
    <w:rsid w:val="00702E71"/>
    <w:rsid w:val="00702E96"/>
    <w:rsid w:val="00703710"/>
    <w:rsid w:val="007037D0"/>
    <w:rsid w:val="007038CD"/>
    <w:rsid w:val="007039A9"/>
    <w:rsid w:val="00703A8D"/>
    <w:rsid w:val="00703B7E"/>
    <w:rsid w:val="00703DE2"/>
    <w:rsid w:val="00703F3D"/>
    <w:rsid w:val="007041BA"/>
    <w:rsid w:val="0070420D"/>
    <w:rsid w:val="00704341"/>
    <w:rsid w:val="007043AB"/>
    <w:rsid w:val="00704551"/>
    <w:rsid w:val="00704729"/>
    <w:rsid w:val="00704833"/>
    <w:rsid w:val="00704907"/>
    <w:rsid w:val="007049BE"/>
    <w:rsid w:val="00704A7E"/>
    <w:rsid w:val="00704D3C"/>
    <w:rsid w:val="00705021"/>
    <w:rsid w:val="007051A3"/>
    <w:rsid w:val="00705740"/>
    <w:rsid w:val="00705A61"/>
    <w:rsid w:val="00705B7E"/>
    <w:rsid w:val="00705C20"/>
    <w:rsid w:val="00705FCA"/>
    <w:rsid w:val="0070622D"/>
    <w:rsid w:val="00706534"/>
    <w:rsid w:val="007066B7"/>
    <w:rsid w:val="007068ED"/>
    <w:rsid w:val="00707229"/>
    <w:rsid w:val="007073E1"/>
    <w:rsid w:val="00707419"/>
    <w:rsid w:val="00707466"/>
    <w:rsid w:val="00707523"/>
    <w:rsid w:val="007075BE"/>
    <w:rsid w:val="00707660"/>
    <w:rsid w:val="00707F7D"/>
    <w:rsid w:val="0071013D"/>
    <w:rsid w:val="00710959"/>
    <w:rsid w:val="00710C5D"/>
    <w:rsid w:val="00710DFA"/>
    <w:rsid w:val="00710E45"/>
    <w:rsid w:val="00710E95"/>
    <w:rsid w:val="007114C1"/>
    <w:rsid w:val="00711A46"/>
    <w:rsid w:val="00711E42"/>
    <w:rsid w:val="0071205F"/>
    <w:rsid w:val="00712188"/>
    <w:rsid w:val="00712217"/>
    <w:rsid w:val="007123E7"/>
    <w:rsid w:val="007124A7"/>
    <w:rsid w:val="007124E1"/>
    <w:rsid w:val="007126BE"/>
    <w:rsid w:val="0071277D"/>
    <w:rsid w:val="007128D6"/>
    <w:rsid w:val="00712EB0"/>
    <w:rsid w:val="0071300F"/>
    <w:rsid w:val="00713626"/>
    <w:rsid w:val="00713D9D"/>
    <w:rsid w:val="00713FE1"/>
    <w:rsid w:val="007142DB"/>
    <w:rsid w:val="0071444D"/>
    <w:rsid w:val="00714749"/>
    <w:rsid w:val="007147B1"/>
    <w:rsid w:val="007147EE"/>
    <w:rsid w:val="0071499B"/>
    <w:rsid w:val="00714AEF"/>
    <w:rsid w:val="00714CF2"/>
    <w:rsid w:val="00714D55"/>
    <w:rsid w:val="00714FA9"/>
    <w:rsid w:val="00715067"/>
    <w:rsid w:val="007155F4"/>
    <w:rsid w:val="007156B9"/>
    <w:rsid w:val="00715810"/>
    <w:rsid w:val="00715D96"/>
    <w:rsid w:val="00715DDF"/>
    <w:rsid w:val="0071625B"/>
    <w:rsid w:val="007167BB"/>
    <w:rsid w:val="007168AD"/>
    <w:rsid w:val="00716AAD"/>
    <w:rsid w:val="00716C6A"/>
    <w:rsid w:val="00716DAE"/>
    <w:rsid w:val="007173DF"/>
    <w:rsid w:val="0071769E"/>
    <w:rsid w:val="00717706"/>
    <w:rsid w:val="00717738"/>
    <w:rsid w:val="00717745"/>
    <w:rsid w:val="00717751"/>
    <w:rsid w:val="007178FA"/>
    <w:rsid w:val="00717A60"/>
    <w:rsid w:val="00717C99"/>
    <w:rsid w:val="00717D4E"/>
    <w:rsid w:val="00717EB3"/>
    <w:rsid w:val="00720055"/>
    <w:rsid w:val="007203CB"/>
    <w:rsid w:val="007203D2"/>
    <w:rsid w:val="0072054F"/>
    <w:rsid w:val="00720817"/>
    <w:rsid w:val="00720AF0"/>
    <w:rsid w:val="00720BE5"/>
    <w:rsid w:val="00720C78"/>
    <w:rsid w:val="00720F76"/>
    <w:rsid w:val="007211A3"/>
    <w:rsid w:val="00721688"/>
    <w:rsid w:val="0072174B"/>
    <w:rsid w:val="00721C17"/>
    <w:rsid w:val="00721C45"/>
    <w:rsid w:val="00721CA0"/>
    <w:rsid w:val="00721DCB"/>
    <w:rsid w:val="00721E5C"/>
    <w:rsid w:val="007224EA"/>
    <w:rsid w:val="00722850"/>
    <w:rsid w:val="007228B9"/>
    <w:rsid w:val="0072299D"/>
    <w:rsid w:val="00722D24"/>
    <w:rsid w:val="00723006"/>
    <w:rsid w:val="00723073"/>
    <w:rsid w:val="007234D0"/>
    <w:rsid w:val="00723F61"/>
    <w:rsid w:val="00724142"/>
    <w:rsid w:val="0072437E"/>
    <w:rsid w:val="00724719"/>
    <w:rsid w:val="00724918"/>
    <w:rsid w:val="00724BCF"/>
    <w:rsid w:val="00724CD5"/>
    <w:rsid w:val="007256B1"/>
    <w:rsid w:val="007256D7"/>
    <w:rsid w:val="0072574D"/>
    <w:rsid w:val="007257B6"/>
    <w:rsid w:val="007259E9"/>
    <w:rsid w:val="00725B12"/>
    <w:rsid w:val="00725C4F"/>
    <w:rsid w:val="0072611F"/>
    <w:rsid w:val="007266A5"/>
    <w:rsid w:val="0072687E"/>
    <w:rsid w:val="00726A7C"/>
    <w:rsid w:val="00726F5B"/>
    <w:rsid w:val="00727215"/>
    <w:rsid w:val="00727262"/>
    <w:rsid w:val="00727971"/>
    <w:rsid w:val="00727A35"/>
    <w:rsid w:val="00727CA1"/>
    <w:rsid w:val="00727E23"/>
    <w:rsid w:val="00727FF8"/>
    <w:rsid w:val="0073003E"/>
    <w:rsid w:val="00730192"/>
    <w:rsid w:val="007302D0"/>
    <w:rsid w:val="0073099C"/>
    <w:rsid w:val="00730C61"/>
    <w:rsid w:val="00730EBE"/>
    <w:rsid w:val="00730EE4"/>
    <w:rsid w:val="0073119C"/>
    <w:rsid w:val="0073142F"/>
    <w:rsid w:val="00731523"/>
    <w:rsid w:val="007316FC"/>
    <w:rsid w:val="00731A88"/>
    <w:rsid w:val="00731BA4"/>
    <w:rsid w:val="00731FD2"/>
    <w:rsid w:val="007321A7"/>
    <w:rsid w:val="007321C4"/>
    <w:rsid w:val="00732866"/>
    <w:rsid w:val="00732B3B"/>
    <w:rsid w:val="00732DA9"/>
    <w:rsid w:val="00732F89"/>
    <w:rsid w:val="00733505"/>
    <w:rsid w:val="00733511"/>
    <w:rsid w:val="0073353F"/>
    <w:rsid w:val="0073369D"/>
    <w:rsid w:val="007336F7"/>
    <w:rsid w:val="00733824"/>
    <w:rsid w:val="00733ACF"/>
    <w:rsid w:val="00733AE4"/>
    <w:rsid w:val="00733DBC"/>
    <w:rsid w:val="00733E10"/>
    <w:rsid w:val="0073453B"/>
    <w:rsid w:val="007346D5"/>
    <w:rsid w:val="007346ED"/>
    <w:rsid w:val="0073492C"/>
    <w:rsid w:val="00734A88"/>
    <w:rsid w:val="00734C9E"/>
    <w:rsid w:val="00734EC7"/>
    <w:rsid w:val="00734FED"/>
    <w:rsid w:val="00735067"/>
    <w:rsid w:val="007350C5"/>
    <w:rsid w:val="00735186"/>
    <w:rsid w:val="00735211"/>
    <w:rsid w:val="007358C7"/>
    <w:rsid w:val="00735A91"/>
    <w:rsid w:val="00735B54"/>
    <w:rsid w:val="00735CED"/>
    <w:rsid w:val="00735E61"/>
    <w:rsid w:val="0073657D"/>
    <w:rsid w:val="00736645"/>
    <w:rsid w:val="007370EC"/>
    <w:rsid w:val="00737116"/>
    <w:rsid w:val="007373F3"/>
    <w:rsid w:val="00737854"/>
    <w:rsid w:val="00737A94"/>
    <w:rsid w:val="00737C6E"/>
    <w:rsid w:val="00740542"/>
    <w:rsid w:val="00740602"/>
    <w:rsid w:val="007407E6"/>
    <w:rsid w:val="00740A28"/>
    <w:rsid w:val="00740A4F"/>
    <w:rsid w:val="00740DEF"/>
    <w:rsid w:val="00741062"/>
    <w:rsid w:val="007410D6"/>
    <w:rsid w:val="00741160"/>
    <w:rsid w:val="007418A9"/>
    <w:rsid w:val="00741DEB"/>
    <w:rsid w:val="00741F18"/>
    <w:rsid w:val="0074228F"/>
    <w:rsid w:val="00742548"/>
    <w:rsid w:val="0074280D"/>
    <w:rsid w:val="007428E7"/>
    <w:rsid w:val="00742D4C"/>
    <w:rsid w:val="00742DDD"/>
    <w:rsid w:val="00742E0C"/>
    <w:rsid w:val="00742E45"/>
    <w:rsid w:val="00743146"/>
    <w:rsid w:val="00743159"/>
    <w:rsid w:val="0074321A"/>
    <w:rsid w:val="007436C8"/>
    <w:rsid w:val="00743736"/>
    <w:rsid w:val="0074374A"/>
    <w:rsid w:val="0074394F"/>
    <w:rsid w:val="0074397D"/>
    <w:rsid w:val="00743996"/>
    <w:rsid w:val="00743B6A"/>
    <w:rsid w:val="00743E58"/>
    <w:rsid w:val="007440EE"/>
    <w:rsid w:val="00744138"/>
    <w:rsid w:val="007443FF"/>
    <w:rsid w:val="007445FF"/>
    <w:rsid w:val="00744682"/>
    <w:rsid w:val="007447AF"/>
    <w:rsid w:val="0074482E"/>
    <w:rsid w:val="00744970"/>
    <w:rsid w:val="00745070"/>
    <w:rsid w:val="0074539B"/>
    <w:rsid w:val="007453A3"/>
    <w:rsid w:val="007456B7"/>
    <w:rsid w:val="00745F79"/>
    <w:rsid w:val="00745FC6"/>
    <w:rsid w:val="007460E7"/>
    <w:rsid w:val="007462A8"/>
    <w:rsid w:val="0074688F"/>
    <w:rsid w:val="0074697C"/>
    <w:rsid w:val="00746B1D"/>
    <w:rsid w:val="00746B30"/>
    <w:rsid w:val="00746B9B"/>
    <w:rsid w:val="00746E35"/>
    <w:rsid w:val="00747263"/>
    <w:rsid w:val="007472D2"/>
    <w:rsid w:val="007475FF"/>
    <w:rsid w:val="00747A0A"/>
    <w:rsid w:val="00747F88"/>
    <w:rsid w:val="00750186"/>
    <w:rsid w:val="007502AF"/>
    <w:rsid w:val="007506AD"/>
    <w:rsid w:val="00750816"/>
    <w:rsid w:val="00750A81"/>
    <w:rsid w:val="00750C75"/>
    <w:rsid w:val="00750CDD"/>
    <w:rsid w:val="00750E0D"/>
    <w:rsid w:val="00750EBC"/>
    <w:rsid w:val="007515D3"/>
    <w:rsid w:val="0075165B"/>
    <w:rsid w:val="00751795"/>
    <w:rsid w:val="00751BFD"/>
    <w:rsid w:val="00751CBA"/>
    <w:rsid w:val="00751FD4"/>
    <w:rsid w:val="00751FD8"/>
    <w:rsid w:val="00752093"/>
    <w:rsid w:val="007522E6"/>
    <w:rsid w:val="0075232D"/>
    <w:rsid w:val="00752433"/>
    <w:rsid w:val="00752A9C"/>
    <w:rsid w:val="00752AD5"/>
    <w:rsid w:val="00752B96"/>
    <w:rsid w:val="00752ED5"/>
    <w:rsid w:val="0075323B"/>
    <w:rsid w:val="00753488"/>
    <w:rsid w:val="00753749"/>
    <w:rsid w:val="007538F0"/>
    <w:rsid w:val="00753917"/>
    <w:rsid w:val="00753F6C"/>
    <w:rsid w:val="0075420B"/>
    <w:rsid w:val="00754213"/>
    <w:rsid w:val="007543D2"/>
    <w:rsid w:val="007544BD"/>
    <w:rsid w:val="00754575"/>
    <w:rsid w:val="007548D1"/>
    <w:rsid w:val="00754915"/>
    <w:rsid w:val="007549C0"/>
    <w:rsid w:val="007549D9"/>
    <w:rsid w:val="00754AD8"/>
    <w:rsid w:val="00754B47"/>
    <w:rsid w:val="00754BE3"/>
    <w:rsid w:val="00754E97"/>
    <w:rsid w:val="00754F31"/>
    <w:rsid w:val="0075505C"/>
    <w:rsid w:val="0075506A"/>
    <w:rsid w:val="0075515E"/>
    <w:rsid w:val="007553A5"/>
    <w:rsid w:val="00755882"/>
    <w:rsid w:val="007558AF"/>
    <w:rsid w:val="007558BE"/>
    <w:rsid w:val="00755C7C"/>
    <w:rsid w:val="00755CEB"/>
    <w:rsid w:val="00755E66"/>
    <w:rsid w:val="00756030"/>
    <w:rsid w:val="00756104"/>
    <w:rsid w:val="00756152"/>
    <w:rsid w:val="00756182"/>
    <w:rsid w:val="007561EB"/>
    <w:rsid w:val="0075622C"/>
    <w:rsid w:val="00756360"/>
    <w:rsid w:val="00756723"/>
    <w:rsid w:val="00756836"/>
    <w:rsid w:val="00756B45"/>
    <w:rsid w:val="007573C6"/>
    <w:rsid w:val="007577DF"/>
    <w:rsid w:val="00757878"/>
    <w:rsid w:val="007579CB"/>
    <w:rsid w:val="007579DF"/>
    <w:rsid w:val="00757B16"/>
    <w:rsid w:val="00757C69"/>
    <w:rsid w:val="007600BE"/>
    <w:rsid w:val="007602E2"/>
    <w:rsid w:val="007606E6"/>
    <w:rsid w:val="00760A17"/>
    <w:rsid w:val="00760A98"/>
    <w:rsid w:val="00760C7E"/>
    <w:rsid w:val="00760D99"/>
    <w:rsid w:val="00760DFD"/>
    <w:rsid w:val="00760E8A"/>
    <w:rsid w:val="00760EE7"/>
    <w:rsid w:val="00760F69"/>
    <w:rsid w:val="0076112C"/>
    <w:rsid w:val="007611B4"/>
    <w:rsid w:val="007612BC"/>
    <w:rsid w:val="00761451"/>
    <w:rsid w:val="00761505"/>
    <w:rsid w:val="00761529"/>
    <w:rsid w:val="007615F7"/>
    <w:rsid w:val="00761663"/>
    <w:rsid w:val="00761C6C"/>
    <w:rsid w:val="00761CF7"/>
    <w:rsid w:val="00761EE8"/>
    <w:rsid w:val="00761F2C"/>
    <w:rsid w:val="0076259D"/>
    <w:rsid w:val="00762DF8"/>
    <w:rsid w:val="00762FBA"/>
    <w:rsid w:val="0076309E"/>
    <w:rsid w:val="007632EA"/>
    <w:rsid w:val="00763353"/>
    <w:rsid w:val="007633E6"/>
    <w:rsid w:val="00763582"/>
    <w:rsid w:val="007635BD"/>
    <w:rsid w:val="00763981"/>
    <w:rsid w:val="00763BF6"/>
    <w:rsid w:val="00763BF8"/>
    <w:rsid w:val="00763D44"/>
    <w:rsid w:val="00763FD0"/>
    <w:rsid w:val="00764048"/>
    <w:rsid w:val="007640F2"/>
    <w:rsid w:val="00764408"/>
    <w:rsid w:val="007644DA"/>
    <w:rsid w:val="00764624"/>
    <w:rsid w:val="007647DB"/>
    <w:rsid w:val="00764917"/>
    <w:rsid w:val="00764988"/>
    <w:rsid w:val="00764D95"/>
    <w:rsid w:val="00764FF6"/>
    <w:rsid w:val="00765016"/>
    <w:rsid w:val="00765046"/>
    <w:rsid w:val="00765543"/>
    <w:rsid w:val="00765765"/>
    <w:rsid w:val="007657C1"/>
    <w:rsid w:val="00765A32"/>
    <w:rsid w:val="00765A67"/>
    <w:rsid w:val="00765AA9"/>
    <w:rsid w:val="00765B47"/>
    <w:rsid w:val="00765BF5"/>
    <w:rsid w:val="00765C1F"/>
    <w:rsid w:val="00765CB2"/>
    <w:rsid w:val="0076606A"/>
    <w:rsid w:val="00766951"/>
    <w:rsid w:val="0076696D"/>
    <w:rsid w:val="00767032"/>
    <w:rsid w:val="007673F1"/>
    <w:rsid w:val="007674F4"/>
    <w:rsid w:val="0076779F"/>
    <w:rsid w:val="007678EB"/>
    <w:rsid w:val="00767ADC"/>
    <w:rsid w:val="00767C41"/>
    <w:rsid w:val="00770008"/>
    <w:rsid w:val="0077006F"/>
    <w:rsid w:val="00770116"/>
    <w:rsid w:val="00770282"/>
    <w:rsid w:val="007703C2"/>
    <w:rsid w:val="00770615"/>
    <w:rsid w:val="00770622"/>
    <w:rsid w:val="0077067D"/>
    <w:rsid w:val="00770835"/>
    <w:rsid w:val="007708E6"/>
    <w:rsid w:val="00770BA9"/>
    <w:rsid w:val="00770BDC"/>
    <w:rsid w:val="00770C65"/>
    <w:rsid w:val="00770D16"/>
    <w:rsid w:val="00770E46"/>
    <w:rsid w:val="0077128C"/>
    <w:rsid w:val="0077138F"/>
    <w:rsid w:val="007713A0"/>
    <w:rsid w:val="0077155D"/>
    <w:rsid w:val="00771653"/>
    <w:rsid w:val="00771AAE"/>
    <w:rsid w:val="00771CE7"/>
    <w:rsid w:val="00771D9D"/>
    <w:rsid w:val="00772187"/>
    <w:rsid w:val="00772281"/>
    <w:rsid w:val="007723A3"/>
    <w:rsid w:val="00772AB1"/>
    <w:rsid w:val="00772CEC"/>
    <w:rsid w:val="00773292"/>
    <w:rsid w:val="007733BD"/>
    <w:rsid w:val="00773886"/>
    <w:rsid w:val="00773A63"/>
    <w:rsid w:val="00773BDC"/>
    <w:rsid w:val="00773F05"/>
    <w:rsid w:val="00773FFE"/>
    <w:rsid w:val="00774251"/>
    <w:rsid w:val="00774523"/>
    <w:rsid w:val="007747C6"/>
    <w:rsid w:val="00774A92"/>
    <w:rsid w:val="00774CA3"/>
    <w:rsid w:val="00774DBA"/>
    <w:rsid w:val="00775048"/>
    <w:rsid w:val="0077535C"/>
    <w:rsid w:val="0077560E"/>
    <w:rsid w:val="0077561D"/>
    <w:rsid w:val="00775736"/>
    <w:rsid w:val="007757CF"/>
    <w:rsid w:val="00775802"/>
    <w:rsid w:val="00775916"/>
    <w:rsid w:val="00775C78"/>
    <w:rsid w:val="0077616C"/>
    <w:rsid w:val="0077661F"/>
    <w:rsid w:val="007768D8"/>
    <w:rsid w:val="00776B18"/>
    <w:rsid w:val="00776B43"/>
    <w:rsid w:val="00776C59"/>
    <w:rsid w:val="00776FF6"/>
    <w:rsid w:val="00777248"/>
    <w:rsid w:val="007772B2"/>
    <w:rsid w:val="007772F5"/>
    <w:rsid w:val="00777452"/>
    <w:rsid w:val="007774E7"/>
    <w:rsid w:val="0077755F"/>
    <w:rsid w:val="007777AA"/>
    <w:rsid w:val="007777CF"/>
    <w:rsid w:val="00777B71"/>
    <w:rsid w:val="00777C78"/>
    <w:rsid w:val="00777CC2"/>
    <w:rsid w:val="00777D3E"/>
    <w:rsid w:val="00777E65"/>
    <w:rsid w:val="00777F1C"/>
    <w:rsid w:val="00780214"/>
    <w:rsid w:val="007813FC"/>
    <w:rsid w:val="0078147F"/>
    <w:rsid w:val="007819D6"/>
    <w:rsid w:val="007819FF"/>
    <w:rsid w:val="00781A3F"/>
    <w:rsid w:val="00781A6B"/>
    <w:rsid w:val="00781ED1"/>
    <w:rsid w:val="00781F0D"/>
    <w:rsid w:val="00782000"/>
    <w:rsid w:val="0078203C"/>
    <w:rsid w:val="0078225A"/>
    <w:rsid w:val="0078275F"/>
    <w:rsid w:val="00782EE0"/>
    <w:rsid w:val="007830CA"/>
    <w:rsid w:val="00783946"/>
    <w:rsid w:val="007839AF"/>
    <w:rsid w:val="00783ACC"/>
    <w:rsid w:val="00783B39"/>
    <w:rsid w:val="00783D80"/>
    <w:rsid w:val="00783FB8"/>
    <w:rsid w:val="007845F4"/>
    <w:rsid w:val="007848C9"/>
    <w:rsid w:val="00784D4C"/>
    <w:rsid w:val="00784DDA"/>
    <w:rsid w:val="00784F6E"/>
    <w:rsid w:val="00785021"/>
    <w:rsid w:val="00785074"/>
    <w:rsid w:val="007850F7"/>
    <w:rsid w:val="007858AA"/>
    <w:rsid w:val="007858C7"/>
    <w:rsid w:val="00785D2F"/>
    <w:rsid w:val="0078606E"/>
    <w:rsid w:val="007861D0"/>
    <w:rsid w:val="007868FE"/>
    <w:rsid w:val="00786904"/>
    <w:rsid w:val="00786989"/>
    <w:rsid w:val="00786E00"/>
    <w:rsid w:val="00787056"/>
    <w:rsid w:val="007870A9"/>
    <w:rsid w:val="007870C4"/>
    <w:rsid w:val="00787446"/>
    <w:rsid w:val="00787A46"/>
    <w:rsid w:val="00787C8C"/>
    <w:rsid w:val="00787D14"/>
    <w:rsid w:val="00787D73"/>
    <w:rsid w:val="0079033F"/>
    <w:rsid w:val="00790910"/>
    <w:rsid w:val="0079104A"/>
    <w:rsid w:val="0079137D"/>
    <w:rsid w:val="0079195B"/>
    <w:rsid w:val="007921B6"/>
    <w:rsid w:val="00792877"/>
    <w:rsid w:val="00792C60"/>
    <w:rsid w:val="00792E38"/>
    <w:rsid w:val="00792EED"/>
    <w:rsid w:val="00793318"/>
    <w:rsid w:val="00793406"/>
    <w:rsid w:val="007934D2"/>
    <w:rsid w:val="00793608"/>
    <w:rsid w:val="00793868"/>
    <w:rsid w:val="00793916"/>
    <w:rsid w:val="00793CEE"/>
    <w:rsid w:val="00794022"/>
    <w:rsid w:val="007941D1"/>
    <w:rsid w:val="007944A9"/>
    <w:rsid w:val="00794915"/>
    <w:rsid w:val="00794E38"/>
    <w:rsid w:val="00794E95"/>
    <w:rsid w:val="00794F60"/>
    <w:rsid w:val="00794FE2"/>
    <w:rsid w:val="00795691"/>
    <w:rsid w:val="00795852"/>
    <w:rsid w:val="0079590F"/>
    <w:rsid w:val="0079592E"/>
    <w:rsid w:val="00795C6E"/>
    <w:rsid w:val="00795DD8"/>
    <w:rsid w:val="00796158"/>
    <w:rsid w:val="00796237"/>
    <w:rsid w:val="0079649E"/>
    <w:rsid w:val="00796580"/>
    <w:rsid w:val="007965DD"/>
    <w:rsid w:val="007967C7"/>
    <w:rsid w:val="00796BAA"/>
    <w:rsid w:val="00796EBD"/>
    <w:rsid w:val="00796EC0"/>
    <w:rsid w:val="00796FCE"/>
    <w:rsid w:val="00797005"/>
    <w:rsid w:val="0079752C"/>
    <w:rsid w:val="00797660"/>
    <w:rsid w:val="007976CC"/>
    <w:rsid w:val="00797702"/>
    <w:rsid w:val="007978EB"/>
    <w:rsid w:val="00797926"/>
    <w:rsid w:val="00797B12"/>
    <w:rsid w:val="00797ED3"/>
    <w:rsid w:val="007A015F"/>
    <w:rsid w:val="007A02BF"/>
    <w:rsid w:val="007A0376"/>
    <w:rsid w:val="007A0562"/>
    <w:rsid w:val="007A0642"/>
    <w:rsid w:val="007A06CD"/>
    <w:rsid w:val="007A0857"/>
    <w:rsid w:val="007A0B66"/>
    <w:rsid w:val="007A0F72"/>
    <w:rsid w:val="007A1561"/>
    <w:rsid w:val="007A15CF"/>
    <w:rsid w:val="007A193B"/>
    <w:rsid w:val="007A1987"/>
    <w:rsid w:val="007A1A12"/>
    <w:rsid w:val="007A1B81"/>
    <w:rsid w:val="007A1B86"/>
    <w:rsid w:val="007A1D3A"/>
    <w:rsid w:val="007A1F82"/>
    <w:rsid w:val="007A2290"/>
    <w:rsid w:val="007A25BF"/>
    <w:rsid w:val="007A2733"/>
    <w:rsid w:val="007A27E0"/>
    <w:rsid w:val="007A27E9"/>
    <w:rsid w:val="007A28A1"/>
    <w:rsid w:val="007A29BE"/>
    <w:rsid w:val="007A2A1F"/>
    <w:rsid w:val="007A2DFC"/>
    <w:rsid w:val="007A2E43"/>
    <w:rsid w:val="007A3188"/>
    <w:rsid w:val="007A3798"/>
    <w:rsid w:val="007A3948"/>
    <w:rsid w:val="007A3AF2"/>
    <w:rsid w:val="007A3BF7"/>
    <w:rsid w:val="007A3D6A"/>
    <w:rsid w:val="007A3F91"/>
    <w:rsid w:val="007A406D"/>
    <w:rsid w:val="007A40D9"/>
    <w:rsid w:val="007A41F9"/>
    <w:rsid w:val="007A449E"/>
    <w:rsid w:val="007A44F5"/>
    <w:rsid w:val="007A4535"/>
    <w:rsid w:val="007A4787"/>
    <w:rsid w:val="007A4D5B"/>
    <w:rsid w:val="007A4FE9"/>
    <w:rsid w:val="007A50FD"/>
    <w:rsid w:val="007A514F"/>
    <w:rsid w:val="007A5394"/>
    <w:rsid w:val="007A546D"/>
    <w:rsid w:val="007A5692"/>
    <w:rsid w:val="007A5917"/>
    <w:rsid w:val="007A5933"/>
    <w:rsid w:val="007A5BBC"/>
    <w:rsid w:val="007A5C9C"/>
    <w:rsid w:val="007A5EAA"/>
    <w:rsid w:val="007A5ECA"/>
    <w:rsid w:val="007A5F6E"/>
    <w:rsid w:val="007A5FDA"/>
    <w:rsid w:val="007A606C"/>
    <w:rsid w:val="007A62B0"/>
    <w:rsid w:val="007A637A"/>
    <w:rsid w:val="007A6405"/>
    <w:rsid w:val="007A6456"/>
    <w:rsid w:val="007A66F0"/>
    <w:rsid w:val="007A67FE"/>
    <w:rsid w:val="007A695A"/>
    <w:rsid w:val="007A6A0F"/>
    <w:rsid w:val="007A6DD1"/>
    <w:rsid w:val="007A7317"/>
    <w:rsid w:val="007A73E0"/>
    <w:rsid w:val="007A76F7"/>
    <w:rsid w:val="007A7783"/>
    <w:rsid w:val="007A7B93"/>
    <w:rsid w:val="007A7CAF"/>
    <w:rsid w:val="007A7D4A"/>
    <w:rsid w:val="007B02E0"/>
    <w:rsid w:val="007B05E5"/>
    <w:rsid w:val="007B06DC"/>
    <w:rsid w:val="007B0822"/>
    <w:rsid w:val="007B0BDB"/>
    <w:rsid w:val="007B106C"/>
    <w:rsid w:val="007B11DC"/>
    <w:rsid w:val="007B1598"/>
    <w:rsid w:val="007B186B"/>
    <w:rsid w:val="007B19BB"/>
    <w:rsid w:val="007B1E5F"/>
    <w:rsid w:val="007B1E6E"/>
    <w:rsid w:val="007B1ED2"/>
    <w:rsid w:val="007B1F10"/>
    <w:rsid w:val="007B1FD8"/>
    <w:rsid w:val="007B2322"/>
    <w:rsid w:val="007B2AF6"/>
    <w:rsid w:val="007B2B15"/>
    <w:rsid w:val="007B2B28"/>
    <w:rsid w:val="007B2C46"/>
    <w:rsid w:val="007B2D17"/>
    <w:rsid w:val="007B2F18"/>
    <w:rsid w:val="007B32D8"/>
    <w:rsid w:val="007B3319"/>
    <w:rsid w:val="007B3444"/>
    <w:rsid w:val="007B3551"/>
    <w:rsid w:val="007B3756"/>
    <w:rsid w:val="007B3BE1"/>
    <w:rsid w:val="007B3E0A"/>
    <w:rsid w:val="007B41C6"/>
    <w:rsid w:val="007B4217"/>
    <w:rsid w:val="007B4484"/>
    <w:rsid w:val="007B4571"/>
    <w:rsid w:val="007B47AC"/>
    <w:rsid w:val="007B4CFC"/>
    <w:rsid w:val="007B4DE1"/>
    <w:rsid w:val="007B4F97"/>
    <w:rsid w:val="007B5096"/>
    <w:rsid w:val="007B532A"/>
    <w:rsid w:val="007B549C"/>
    <w:rsid w:val="007B54F5"/>
    <w:rsid w:val="007B5512"/>
    <w:rsid w:val="007B57E0"/>
    <w:rsid w:val="007B5A60"/>
    <w:rsid w:val="007B5AF1"/>
    <w:rsid w:val="007B5B4D"/>
    <w:rsid w:val="007B5DCA"/>
    <w:rsid w:val="007B5DE4"/>
    <w:rsid w:val="007B6107"/>
    <w:rsid w:val="007B629E"/>
    <w:rsid w:val="007B6349"/>
    <w:rsid w:val="007B686F"/>
    <w:rsid w:val="007B6CC7"/>
    <w:rsid w:val="007B726F"/>
    <w:rsid w:val="007B72A7"/>
    <w:rsid w:val="007B7531"/>
    <w:rsid w:val="007B75B5"/>
    <w:rsid w:val="007B7876"/>
    <w:rsid w:val="007B7CB0"/>
    <w:rsid w:val="007B7D78"/>
    <w:rsid w:val="007C017F"/>
    <w:rsid w:val="007C027F"/>
    <w:rsid w:val="007C02CF"/>
    <w:rsid w:val="007C0368"/>
    <w:rsid w:val="007C0640"/>
    <w:rsid w:val="007C09AF"/>
    <w:rsid w:val="007C108A"/>
    <w:rsid w:val="007C151C"/>
    <w:rsid w:val="007C178A"/>
    <w:rsid w:val="007C18B0"/>
    <w:rsid w:val="007C1963"/>
    <w:rsid w:val="007C2084"/>
    <w:rsid w:val="007C20D5"/>
    <w:rsid w:val="007C212A"/>
    <w:rsid w:val="007C22C9"/>
    <w:rsid w:val="007C2451"/>
    <w:rsid w:val="007C2700"/>
    <w:rsid w:val="007C2999"/>
    <w:rsid w:val="007C2B28"/>
    <w:rsid w:val="007C2E35"/>
    <w:rsid w:val="007C312B"/>
    <w:rsid w:val="007C313C"/>
    <w:rsid w:val="007C315B"/>
    <w:rsid w:val="007C343A"/>
    <w:rsid w:val="007C350E"/>
    <w:rsid w:val="007C38FC"/>
    <w:rsid w:val="007C3BB4"/>
    <w:rsid w:val="007C3C06"/>
    <w:rsid w:val="007C41CD"/>
    <w:rsid w:val="007C4387"/>
    <w:rsid w:val="007C4453"/>
    <w:rsid w:val="007C4627"/>
    <w:rsid w:val="007C4CD7"/>
    <w:rsid w:val="007C4F62"/>
    <w:rsid w:val="007C51A9"/>
    <w:rsid w:val="007C5267"/>
    <w:rsid w:val="007C52EA"/>
    <w:rsid w:val="007C56EE"/>
    <w:rsid w:val="007C5A0C"/>
    <w:rsid w:val="007C5F19"/>
    <w:rsid w:val="007C5FA9"/>
    <w:rsid w:val="007C6149"/>
    <w:rsid w:val="007C623F"/>
    <w:rsid w:val="007C6B98"/>
    <w:rsid w:val="007C6C64"/>
    <w:rsid w:val="007C6D40"/>
    <w:rsid w:val="007C6D81"/>
    <w:rsid w:val="007C6F2F"/>
    <w:rsid w:val="007C7388"/>
    <w:rsid w:val="007C7468"/>
    <w:rsid w:val="007C7DAC"/>
    <w:rsid w:val="007C7DFD"/>
    <w:rsid w:val="007C7EBE"/>
    <w:rsid w:val="007D0D15"/>
    <w:rsid w:val="007D0D71"/>
    <w:rsid w:val="007D113E"/>
    <w:rsid w:val="007D1CA8"/>
    <w:rsid w:val="007D201D"/>
    <w:rsid w:val="007D2211"/>
    <w:rsid w:val="007D2357"/>
    <w:rsid w:val="007D240F"/>
    <w:rsid w:val="007D2853"/>
    <w:rsid w:val="007D29C6"/>
    <w:rsid w:val="007D29E0"/>
    <w:rsid w:val="007D2E66"/>
    <w:rsid w:val="007D307A"/>
    <w:rsid w:val="007D307C"/>
    <w:rsid w:val="007D3752"/>
    <w:rsid w:val="007D3842"/>
    <w:rsid w:val="007D3895"/>
    <w:rsid w:val="007D3A02"/>
    <w:rsid w:val="007D3C16"/>
    <w:rsid w:val="007D3D28"/>
    <w:rsid w:val="007D40EE"/>
    <w:rsid w:val="007D43D8"/>
    <w:rsid w:val="007D45BD"/>
    <w:rsid w:val="007D47C8"/>
    <w:rsid w:val="007D4C5F"/>
    <w:rsid w:val="007D4E9D"/>
    <w:rsid w:val="007D4FC0"/>
    <w:rsid w:val="007D5382"/>
    <w:rsid w:val="007D5985"/>
    <w:rsid w:val="007D61E7"/>
    <w:rsid w:val="007D688C"/>
    <w:rsid w:val="007D742B"/>
    <w:rsid w:val="007D750E"/>
    <w:rsid w:val="007D75B9"/>
    <w:rsid w:val="007D75C8"/>
    <w:rsid w:val="007D79C3"/>
    <w:rsid w:val="007D7C6C"/>
    <w:rsid w:val="007E0303"/>
    <w:rsid w:val="007E0838"/>
    <w:rsid w:val="007E0854"/>
    <w:rsid w:val="007E0968"/>
    <w:rsid w:val="007E09CF"/>
    <w:rsid w:val="007E0A83"/>
    <w:rsid w:val="007E0AC2"/>
    <w:rsid w:val="007E0DDA"/>
    <w:rsid w:val="007E0FEE"/>
    <w:rsid w:val="007E100C"/>
    <w:rsid w:val="007E107E"/>
    <w:rsid w:val="007E1504"/>
    <w:rsid w:val="007E1551"/>
    <w:rsid w:val="007E1689"/>
    <w:rsid w:val="007E17E3"/>
    <w:rsid w:val="007E19BD"/>
    <w:rsid w:val="007E1DF3"/>
    <w:rsid w:val="007E1F90"/>
    <w:rsid w:val="007E1FC2"/>
    <w:rsid w:val="007E20F3"/>
    <w:rsid w:val="007E22C9"/>
    <w:rsid w:val="007E241B"/>
    <w:rsid w:val="007E2ECA"/>
    <w:rsid w:val="007E3113"/>
    <w:rsid w:val="007E3492"/>
    <w:rsid w:val="007E3498"/>
    <w:rsid w:val="007E39C0"/>
    <w:rsid w:val="007E3E59"/>
    <w:rsid w:val="007E3E78"/>
    <w:rsid w:val="007E4007"/>
    <w:rsid w:val="007E4296"/>
    <w:rsid w:val="007E42A9"/>
    <w:rsid w:val="007E44D5"/>
    <w:rsid w:val="007E49E3"/>
    <w:rsid w:val="007E4C97"/>
    <w:rsid w:val="007E515B"/>
    <w:rsid w:val="007E5415"/>
    <w:rsid w:val="007E5630"/>
    <w:rsid w:val="007E5BF6"/>
    <w:rsid w:val="007E5F1C"/>
    <w:rsid w:val="007E60A2"/>
    <w:rsid w:val="007E63C2"/>
    <w:rsid w:val="007E6476"/>
    <w:rsid w:val="007E6502"/>
    <w:rsid w:val="007E67C5"/>
    <w:rsid w:val="007E6810"/>
    <w:rsid w:val="007E6AF0"/>
    <w:rsid w:val="007E6B45"/>
    <w:rsid w:val="007E6DCA"/>
    <w:rsid w:val="007E72A9"/>
    <w:rsid w:val="007E767A"/>
    <w:rsid w:val="007E780B"/>
    <w:rsid w:val="007E7921"/>
    <w:rsid w:val="007E79DC"/>
    <w:rsid w:val="007E7CB9"/>
    <w:rsid w:val="007F0463"/>
    <w:rsid w:val="007F06EC"/>
    <w:rsid w:val="007F0899"/>
    <w:rsid w:val="007F08F4"/>
    <w:rsid w:val="007F09A2"/>
    <w:rsid w:val="007F0C3D"/>
    <w:rsid w:val="007F0CB3"/>
    <w:rsid w:val="007F1080"/>
    <w:rsid w:val="007F14E7"/>
    <w:rsid w:val="007F15A2"/>
    <w:rsid w:val="007F163B"/>
    <w:rsid w:val="007F1A0B"/>
    <w:rsid w:val="007F1A9C"/>
    <w:rsid w:val="007F1B58"/>
    <w:rsid w:val="007F1B76"/>
    <w:rsid w:val="007F1BC7"/>
    <w:rsid w:val="007F1DB0"/>
    <w:rsid w:val="007F1E3C"/>
    <w:rsid w:val="007F2017"/>
    <w:rsid w:val="007F22D9"/>
    <w:rsid w:val="007F231D"/>
    <w:rsid w:val="007F2341"/>
    <w:rsid w:val="007F236B"/>
    <w:rsid w:val="007F2377"/>
    <w:rsid w:val="007F23EE"/>
    <w:rsid w:val="007F2B44"/>
    <w:rsid w:val="007F2CC1"/>
    <w:rsid w:val="007F2D36"/>
    <w:rsid w:val="007F308A"/>
    <w:rsid w:val="007F31A3"/>
    <w:rsid w:val="007F365D"/>
    <w:rsid w:val="007F3740"/>
    <w:rsid w:val="007F3ABB"/>
    <w:rsid w:val="007F3DB8"/>
    <w:rsid w:val="007F3E3B"/>
    <w:rsid w:val="007F4309"/>
    <w:rsid w:val="007F4416"/>
    <w:rsid w:val="007F4602"/>
    <w:rsid w:val="007F4752"/>
    <w:rsid w:val="007F47F7"/>
    <w:rsid w:val="007F4A66"/>
    <w:rsid w:val="007F4BAA"/>
    <w:rsid w:val="007F5039"/>
    <w:rsid w:val="007F5061"/>
    <w:rsid w:val="007F5311"/>
    <w:rsid w:val="007F5489"/>
    <w:rsid w:val="007F54B1"/>
    <w:rsid w:val="007F55C9"/>
    <w:rsid w:val="007F5A86"/>
    <w:rsid w:val="007F5E3F"/>
    <w:rsid w:val="007F609F"/>
    <w:rsid w:val="007F60BA"/>
    <w:rsid w:val="007F67DE"/>
    <w:rsid w:val="007F67EF"/>
    <w:rsid w:val="007F6B38"/>
    <w:rsid w:val="007F6C11"/>
    <w:rsid w:val="007F6D2C"/>
    <w:rsid w:val="007F6F73"/>
    <w:rsid w:val="007F757B"/>
    <w:rsid w:val="007F7868"/>
    <w:rsid w:val="007F7CF9"/>
    <w:rsid w:val="007F7F1A"/>
    <w:rsid w:val="007F7F45"/>
    <w:rsid w:val="007FC7BC"/>
    <w:rsid w:val="008004FB"/>
    <w:rsid w:val="00800772"/>
    <w:rsid w:val="00801514"/>
    <w:rsid w:val="00801768"/>
    <w:rsid w:val="00801928"/>
    <w:rsid w:val="00801A8D"/>
    <w:rsid w:val="00801B49"/>
    <w:rsid w:val="00801E13"/>
    <w:rsid w:val="00802112"/>
    <w:rsid w:val="008022D8"/>
    <w:rsid w:val="008025CA"/>
    <w:rsid w:val="00802A5B"/>
    <w:rsid w:val="00802D72"/>
    <w:rsid w:val="0080390E"/>
    <w:rsid w:val="00803B2F"/>
    <w:rsid w:val="008041DE"/>
    <w:rsid w:val="0080467C"/>
    <w:rsid w:val="0080472E"/>
    <w:rsid w:val="00804AE5"/>
    <w:rsid w:val="00804B88"/>
    <w:rsid w:val="00804CB9"/>
    <w:rsid w:val="00804CCE"/>
    <w:rsid w:val="00804F33"/>
    <w:rsid w:val="008050F0"/>
    <w:rsid w:val="00805189"/>
    <w:rsid w:val="0080526D"/>
    <w:rsid w:val="00805365"/>
    <w:rsid w:val="00805511"/>
    <w:rsid w:val="008057BD"/>
    <w:rsid w:val="00805873"/>
    <w:rsid w:val="008058F1"/>
    <w:rsid w:val="00805C67"/>
    <w:rsid w:val="00805EBE"/>
    <w:rsid w:val="00805F8C"/>
    <w:rsid w:val="008061C3"/>
    <w:rsid w:val="008061E8"/>
    <w:rsid w:val="00806262"/>
    <w:rsid w:val="00806574"/>
    <w:rsid w:val="0080662D"/>
    <w:rsid w:val="00806E32"/>
    <w:rsid w:val="00806EA1"/>
    <w:rsid w:val="00807025"/>
    <w:rsid w:val="00807287"/>
    <w:rsid w:val="0080767D"/>
    <w:rsid w:val="00807723"/>
    <w:rsid w:val="008079E9"/>
    <w:rsid w:val="00807C40"/>
    <w:rsid w:val="0081044F"/>
    <w:rsid w:val="008105B3"/>
    <w:rsid w:val="008108FA"/>
    <w:rsid w:val="00810A90"/>
    <w:rsid w:val="00810B38"/>
    <w:rsid w:val="00810B71"/>
    <w:rsid w:val="00810F87"/>
    <w:rsid w:val="00811065"/>
    <w:rsid w:val="0081158E"/>
    <w:rsid w:val="008118D2"/>
    <w:rsid w:val="00811A02"/>
    <w:rsid w:val="00811D0C"/>
    <w:rsid w:val="008121DA"/>
    <w:rsid w:val="0081226A"/>
    <w:rsid w:val="00812C8F"/>
    <w:rsid w:val="00812E9E"/>
    <w:rsid w:val="0081338F"/>
    <w:rsid w:val="008136E3"/>
    <w:rsid w:val="008136EC"/>
    <w:rsid w:val="008138E2"/>
    <w:rsid w:val="00813BFE"/>
    <w:rsid w:val="00813DE2"/>
    <w:rsid w:val="00814239"/>
    <w:rsid w:val="008142A3"/>
    <w:rsid w:val="008144A1"/>
    <w:rsid w:val="008144AF"/>
    <w:rsid w:val="008147CA"/>
    <w:rsid w:val="0081489C"/>
    <w:rsid w:val="00814A4B"/>
    <w:rsid w:val="00814BB6"/>
    <w:rsid w:val="00814BF4"/>
    <w:rsid w:val="00814DA9"/>
    <w:rsid w:val="00814F36"/>
    <w:rsid w:val="00815126"/>
    <w:rsid w:val="00815353"/>
    <w:rsid w:val="008153C9"/>
    <w:rsid w:val="00815417"/>
    <w:rsid w:val="00815471"/>
    <w:rsid w:val="0081549C"/>
    <w:rsid w:val="0081554D"/>
    <w:rsid w:val="008159CF"/>
    <w:rsid w:val="00815A0C"/>
    <w:rsid w:val="00815CB9"/>
    <w:rsid w:val="00815E4D"/>
    <w:rsid w:val="00815F01"/>
    <w:rsid w:val="0081639A"/>
    <w:rsid w:val="00816432"/>
    <w:rsid w:val="0081655D"/>
    <w:rsid w:val="0081696D"/>
    <w:rsid w:val="00816C33"/>
    <w:rsid w:val="00816E05"/>
    <w:rsid w:val="00816E1F"/>
    <w:rsid w:val="00816FE2"/>
    <w:rsid w:val="00817174"/>
    <w:rsid w:val="008172C3"/>
    <w:rsid w:val="00817727"/>
    <w:rsid w:val="00817772"/>
    <w:rsid w:val="00817797"/>
    <w:rsid w:val="0081784A"/>
    <w:rsid w:val="00817A67"/>
    <w:rsid w:val="00817B18"/>
    <w:rsid w:val="00817B7E"/>
    <w:rsid w:val="00817E02"/>
    <w:rsid w:val="00817EB0"/>
    <w:rsid w:val="00817F6A"/>
    <w:rsid w:val="008201D2"/>
    <w:rsid w:val="008204E2"/>
    <w:rsid w:val="008206F7"/>
    <w:rsid w:val="00820769"/>
    <w:rsid w:val="008209DC"/>
    <w:rsid w:val="00820ADF"/>
    <w:rsid w:val="00820CD8"/>
    <w:rsid w:val="00820F0A"/>
    <w:rsid w:val="008211C1"/>
    <w:rsid w:val="00821473"/>
    <w:rsid w:val="0082191E"/>
    <w:rsid w:val="00821A7E"/>
    <w:rsid w:val="00821D40"/>
    <w:rsid w:val="0082235F"/>
    <w:rsid w:val="00822590"/>
    <w:rsid w:val="008228CB"/>
    <w:rsid w:val="00822CA9"/>
    <w:rsid w:val="00822DB9"/>
    <w:rsid w:val="00822DF2"/>
    <w:rsid w:val="00822E78"/>
    <w:rsid w:val="00822ED0"/>
    <w:rsid w:val="008231DE"/>
    <w:rsid w:val="00823B20"/>
    <w:rsid w:val="00823CB7"/>
    <w:rsid w:val="00823FDB"/>
    <w:rsid w:val="008241D2"/>
    <w:rsid w:val="008244F6"/>
    <w:rsid w:val="008248FC"/>
    <w:rsid w:val="00824BD0"/>
    <w:rsid w:val="00824D03"/>
    <w:rsid w:val="00824D4A"/>
    <w:rsid w:val="00824F86"/>
    <w:rsid w:val="0082542A"/>
    <w:rsid w:val="0082557C"/>
    <w:rsid w:val="0082577A"/>
    <w:rsid w:val="00825871"/>
    <w:rsid w:val="00825947"/>
    <w:rsid w:val="008259BE"/>
    <w:rsid w:val="00825BD2"/>
    <w:rsid w:val="00825F05"/>
    <w:rsid w:val="0082626F"/>
    <w:rsid w:val="0082639B"/>
    <w:rsid w:val="00826510"/>
    <w:rsid w:val="00826674"/>
    <w:rsid w:val="008267B3"/>
    <w:rsid w:val="00826AE1"/>
    <w:rsid w:val="0082731F"/>
    <w:rsid w:val="0082749B"/>
    <w:rsid w:val="0082771D"/>
    <w:rsid w:val="008277E1"/>
    <w:rsid w:val="00827D97"/>
    <w:rsid w:val="00830317"/>
    <w:rsid w:val="008304A7"/>
    <w:rsid w:val="00830569"/>
    <w:rsid w:val="0083074E"/>
    <w:rsid w:val="00830C57"/>
    <w:rsid w:val="00830DE3"/>
    <w:rsid w:val="00830F4F"/>
    <w:rsid w:val="008310D7"/>
    <w:rsid w:val="00831141"/>
    <w:rsid w:val="0083122E"/>
    <w:rsid w:val="0083130F"/>
    <w:rsid w:val="0083149A"/>
    <w:rsid w:val="0083165E"/>
    <w:rsid w:val="0083168B"/>
    <w:rsid w:val="0083178D"/>
    <w:rsid w:val="00831805"/>
    <w:rsid w:val="00831C3C"/>
    <w:rsid w:val="00831DA2"/>
    <w:rsid w:val="00831F2E"/>
    <w:rsid w:val="008328B7"/>
    <w:rsid w:val="008329C6"/>
    <w:rsid w:val="00832A91"/>
    <w:rsid w:val="00832C04"/>
    <w:rsid w:val="00832C34"/>
    <w:rsid w:val="00832DA1"/>
    <w:rsid w:val="00832E5B"/>
    <w:rsid w:val="008334F4"/>
    <w:rsid w:val="008338D1"/>
    <w:rsid w:val="008339BB"/>
    <w:rsid w:val="0083408E"/>
    <w:rsid w:val="00834115"/>
    <w:rsid w:val="00834264"/>
    <w:rsid w:val="008343BB"/>
    <w:rsid w:val="0083470F"/>
    <w:rsid w:val="00834B61"/>
    <w:rsid w:val="008351A7"/>
    <w:rsid w:val="008352E2"/>
    <w:rsid w:val="00835C8C"/>
    <w:rsid w:val="00835E3D"/>
    <w:rsid w:val="00835FFB"/>
    <w:rsid w:val="008360A6"/>
    <w:rsid w:val="00836174"/>
    <w:rsid w:val="008361CC"/>
    <w:rsid w:val="00836429"/>
    <w:rsid w:val="008366B3"/>
    <w:rsid w:val="008369A0"/>
    <w:rsid w:val="00836C6A"/>
    <w:rsid w:val="00836D3C"/>
    <w:rsid w:val="008371DD"/>
    <w:rsid w:val="008373FF"/>
    <w:rsid w:val="0083740C"/>
    <w:rsid w:val="00837C66"/>
    <w:rsid w:val="0084001C"/>
    <w:rsid w:val="008405E1"/>
    <w:rsid w:val="008408BC"/>
    <w:rsid w:val="008409F8"/>
    <w:rsid w:val="00840A4A"/>
    <w:rsid w:val="008410A8"/>
    <w:rsid w:val="0084129F"/>
    <w:rsid w:val="00841433"/>
    <w:rsid w:val="00841504"/>
    <w:rsid w:val="00841517"/>
    <w:rsid w:val="0084153E"/>
    <w:rsid w:val="00841686"/>
    <w:rsid w:val="00841D14"/>
    <w:rsid w:val="00841E10"/>
    <w:rsid w:val="008422D0"/>
    <w:rsid w:val="00842678"/>
    <w:rsid w:val="00842683"/>
    <w:rsid w:val="00842720"/>
    <w:rsid w:val="00842819"/>
    <w:rsid w:val="00842AEE"/>
    <w:rsid w:val="008430BC"/>
    <w:rsid w:val="008430FE"/>
    <w:rsid w:val="0084318B"/>
    <w:rsid w:val="008436E7"/>
    <w:rsid w:val="0084371B"/>
    <w:rsid w:val="008437DA"/>
    <w:rsid w:val="008437EB"/>
    <w:rsid w:val="00843917"/>
    <w:rsid w:val="00843960"/>
    <w:rsid w:val="0084396D"/>
    <w:rsid w:val="008439B8"/>
    <w:rsid w:val="008439CE"/>
    <w:rsid w:val="00843CBE"/>
    <w:rsid w:val="00843CF2"/>
    <w:rsid w:val="00843D61"/>
    <w:rsid w:val="00843F38"/>
    <w:rsid w:val="00843F9D"/>
    <w:rsid w:val="00843FF4"/>
    <w:rsid w:val="008444A7"/>
    <w:rsid w:val="0084462B"/>
    <w:rsid w:val="00844818"/>
    <w:rsid w:val="00845557"/>
    <w:rsid w:val="008455D3"/>
    <w:rsid w:val="00845984"/>
    <w:rsid w:val="00845ADB"/>
    <w:rsid w:val="00845B49"/>
    <w:rsid w:val="00845BDA"/>
    <w:rsid w:val="00845E6E"/>
    <w:rsid w:val="00846389"/>
    <w:rsid w:val="008465FD"/>
    <w:rsid w:val="00846C64"/>
    <w:rsid w:val="00846F76"/>
    <w:rsid w:val="008472C1"/>
    <w:rsid w:val="00847514"/>
    <w:rsid w:val="008475FA"/>
    <w:rsid w:val="0084779C"/>
    <w:rsid w:val="0084783A"/>
    <w:rsid w:val="008478C2"/>
    <w:rsid w:val="00847A28"/>
    <w:rsid w:val="00847F17"/>
    <w:rsid w:val="008501F8"/>
    <w:rsid w:val="0085092A"/>
    <w:rsid w:val="00850A39"/>
    <w:rsid w:val="00850D18"/>
    <w:rsid w:val="00850DBB"/>
    <w:rsid w:val="00850F2C"/>
    <w:rsid w:val="00850F4E"/>
    <w:rsid w:val="00850FF6"/>
    <w:rsid w:val="008512EA"/>
    <w:rsid w:val="008513D9"/>
    <w:rsid w:val="0085163B"/>
    <w:rsid w:val="008518C5"/>
    <w:rsid w:val="00851AFE"/>
    <w:rsid w:val="00851DF1"/>
    <w:rsid w:val="00851ED0"/>
    <w:rsid w:val="00852501"/>
    <w:rsid w:val="00852744"/>
    <w:rsid w:val="00852875"/>
    <w:rsid w:val="00852A59"/>
    <w:rsid w:val="00852A95"/>
    <w:rsid w:val="00852AF2"/>
    <w:rsid w:val="00852E00"/>
    <w:rsid w:val="00852E1C"/>
    <w:rsid w:val="00852FA5"/>
    <w:rsid w:val="00852FF2"/>
    <w:rsid w:val="00853084"/>
    <w:rsid w:val="008530F0"/>
    <w:rsid w:val="00853159"/>
    <w:rsid w:val="008533C1"/>
    <w:rsid w:val="00853534"/>
    <w:rsid w:val="0085375E"/>
    <w:rsid w:val="00853B29"/>
    <w:rsid w:val="0085402C"/>
    <w:rsid w:val="00854181"/>
    <w:rsid w:val="008541CC"/>
    <w:rsid w:val="008541E7"/>
    <w:rsid w:val="0085442C"/>
    <w:rsid w:val="008544E5"/>
    <w:rsid w:val="0085459E"/>
    <w:rsid w:val="00854A62"/>
    <w:rsid w:val="00854BBF"/>
    <w:rsid w:val="00854D00"/>
    <w:rsid w:val="008550A5"/>
    <w:rsid w:val="008553A4"/>
    <w:rsid w:val="00855535"/>
    <w:rsid w:val="0085572B"/>
    <w:rsid w:val="00855772"/>
    <w:rsid w:val="00855BFB"/>
    <w:rsid w:val="00856292"/>
    <w:rsid w:val="0085639E"/>
    <w:rsid w:val="00856628"/>
    <w:rsid w:val="008566ED"/>
    <w:rsid w:val="00856AEB"/>
    <w:rsid w:val="00856E21"/>
    <w:rsid w:val="00856E44"/>
    <w:rsid w:val="00856EC2"/>
    <w:rsid w:val="00856F69"/>
    <w:rsid w:val="00857269"/>
    <w:rsid w:val="008577CC"/>
    <w:rsid w:val="008579B4"/>
    <w:rsid w:val="00857FDD"/>
    <w:rsid w:val="008600F6"/>
    <w:rsid w:val="00860314"/>
    <w:rsid w:val="00860330"/>
    <w:rsid w:val="0086043C"/>
    <w:rsid w:val="00860897"/>
    <w:rsid w:val="008609AA"/>
    <w:rsid w:val="008609AE"/>
    <w:rsid w:val="00860A05"/>
    <w:rsid w:val="00860C35"/>
    <w:rsid w:val="00860F92"/>
    <w:rsid w:val="00861196"/>
    <w:rsid w:val="00861491"/>
    <w:rsid w:val="00861A46"/>
    <w:rsid w:val="008621D8"/>
    <w:rsid w:val="00862258"/>
    <w:rsid w:val="008623A1"/>
    <w:rsid w:val="00862843"/>
    <w:rsid w:val="00862849"/>
    <w:rsid w:val="0086292D"/>
    <w:rsid w:val="008629FB"/>
    <w:rsid w:val="00862C1B"/>
    <w:rsid w:val="00863037"/>
    <w:rsid w:val="00863416"/>
    <w:rsid w:val="00863993"/>
    <w:rsid w:val="00863D14"/>
    <w:rsid w:val="00863FBB"/>
    <w:rsid w:val="00864027"/>
    <w:rsid w:val="008640BA"/>
    <w:rsid w:val="0086419A"/>
    <w:rsid w:val="0086452F"/>
    <w:rsid w:val="00864590"/>
    <w:rsid w:val="00864A45"/>
    <w:rsid w:val="00864AD0"/>
    <w:rsid w:val="00864E4E"/>
    <w:rsid w:val="00865064"/>
    <w:rsid w:val="00865496"/>
    <w:rsid w:val="008655A9"/>
    <w:rsid w:val="00865620"/>
    <w:rsid w:val="00865752"/>
    <w:rsid w:val="00865816"/>
    <w:rsid w:val="008660BA"/>
    <w:rsid w:val="00866271"/>
    <w:rsid w:val="0086679E"/>
    <w:rsid w:val="00866966"/>
    <w:rsid w:val="00866CDB"/>
    <w:rsid w:val="00866F82"/>
    <w:rsid w:val="0086712F"/>
    <w:rsid w:val="008673CC"/>
    <w:rsid w:val="00867666"/>
    <w:rsid w:val="008679DF"/>
    <w:rsid w:val="00867A9F"/>
    <w:rsid w:val="00867BC2"/>
    <w:rsid w:val="0087023B"/>
    <w:rsid w:val="008702BE"/>
    <w:rsid w:val="008703C1"/>
    <w:rsid w:val="0087065A"/>
    <w:rsid w:val="00870AEC"/>
    <w:rsid w:val="00870C64"/>
    <w:rsid w:val="00870E36"/>
    <w:rsid w:val="0087123B"/>
    <w:rsid w:val="008712EF"/>
    <w:rsid w:val="00871396"/>
    <w:rsid w:val="0087147F"/>
    <w:rsid w:val="00871697"/>
    <w:rsid w:val="00871741"/>
    <w:rsid w:val="00871C63"/>
    <w:rsid w:val="00871D5E"/>
    <w:rsid w:val="00871F76"/>
    <w:rsid w:val="0087224C"/>
    <w:rsid w:val="008724EF"/>
    <w:rsid w:val="008725F2"/>
    <w:rsid w:val="00872AEB"/>
    <w:rsid w:val="00872D78"/>
    <w:rsid w:val="00873324"/>
    <w:rsid w:val="0087337D"/>
    <w:rsid w:val="008733C7"/>
    <w:rsid w:val="008737C5"/>
    <w:rsid w:val="00873853"/>
    <w:rsid w:val="00873B80"/>
    <w:rsid w:val="00873C0B"/>
    <w:rsid w:val="008741B9"/>
    <w:rsid w:val="00874614"/>
    <w:rsid w:val="00874816"/>
    <w:rsid w:val="008749CC"/>
    <w:rsid w:val="00874AF7"/>
    <w:rsid w:val="00874BAB"/>
    <w:rsid w:val="00874BFF"/>
    <w:rsid w:val="00874CC6"/>
    <w:rsid w:val="00874E3E"/>
    <w:rsid w:val="008753F7"/>
    <w:rsid w:val="00875708"/>
    <w:rsid w:val="00875C47"/>
    <w:rsid w:val="00875C49"/>
    <w:rsid w:val="00875CBB"/>
    <w:rsid w:val="008760B4"/>
    <w:rsid w:val="00876195"/>
    <w:rsid w:val="0087623C"/>
    <w:rsid w:val="0087623E"/>
    <w:rsid w:val="008767D1"/>
    <w:rsid w:val="008768FF"/>
    <w:rsid w:val="0087695E"/>
    <w:rsid w:val="00876BE4"/>
    <w:rsid w:val="008775D3"/>
    <w:rsid w:val="008800D2"/>
    <w:rsid w:val="00880323"/>
    <w:rsid w:val="008803D9"/>
    <w:rsid w:val="00880595"/>
    <w:rsid w:val="008806A0"/>
    <w:rsid w:val="0088083E"/>
    <w:rsid w:val="00880851"/>
    <w:rsid w:val="0088094E"/>
    <w:rsid w:val="00880ADF"/>
    <w:rsid w:val="00880B32"/>
    <w:rsid w:val="008810D4"/>
    <w:rsid w:val="00881B4C"/>
    <w:rsid w:val="00881C3C"/>
    <w:rsid w:val="00881E0A"/>
    <w:rsid w:val="00882097"/>
    <w:rsid w:val="008820A7"/>
    <w:rsid w:val="008822E4"/>
    <w:rsid w:val="0088255A"/>
    <w:rsid w:val="0088265E"/>
    <w:rsid w:val="00882E23"/>
    <w:rsid w:val="00882E66"/>
    <w:rsid w:val="00882F84"/>
    <w:rsid w:val="008833F0"/>
    <w:rsid w:val="0088374C"/>
    <w:rsid w:val="0088392E"/>
    <w:rsid w:val="00883EE9"/>
    <w:rsid w:val="00883F8C"/>
    <w:rsid w:val="0088413A"/>
    <w:rsid w:val="00884140"/>
    <w:rsid w:val="008841AC"/>
    <w:rsid w:val="00884B82"/>
    <w:rsid w:val="00884DD2"/>
    <w:rsid w:val="00884E07"/>
    <w:rsid w:val="00884F79"/>
    <w:rsid w:val="0088531C"/>
    <w:rsid w:val="008855EC"/>
    <w:rsid w:val="0088618D"/>
    <w:rsid w:val="008862CB"/>
    <w:rsid w:val="008867EB"/>
    <w:rsid w:val="008868C6"/>
    <w:rsid w:val="00886B5A"/>
    <w:rsid w:val="0088716C"/>
    <w:rsid w:val="0088717F"/>
    <w:rsid w:val="00887461"/>
    <w:rsid w:val="00887700"/>
    <w:rsid w:val="00887776"/>
    <w:rsid w:val="008879D9"/>
    <w:rsid w:val="00887A39"/>
    <w:rsid w:val="00887A93"/>
    <w:rsid w:val="00887C02"/>
    <w:rsid w:val="00887C0A"/>
    <w:rsid w:val="00887D53"/>
    <w:rsid w:val="00887D69"/>
    <w:rsid w:val="0089010F"/>
    <w:rsid w:val="008906DA"/>
    <w:rsid w:val="008907B6"/>
    <w:rsid w:val="00890965"/>
    <w:rsid w:val="00890B87"/>
    <w:rsid w:val="00890B9E"/>
    <w:rsid w:val="00890F8B"/>
    <w:rsid w:val="00890FFD"/>
    <w:rsid w:val="00891018"/>
    <w:rsid w:val="008911EF"/>
    <w:rsid w:val="008916AE"/>
    <w:rsid w:val="0089170E"/>
    <w:rsid w:val="00891751"/>
    <w:rsid w:val="00891AB2"/>
    <w:rsid w:val="00891DE1"/>
    <w:rsid w:val="00891E5D"/>
    <w:rsid w:val="0089263E"/>
    <w:rsid w:val="008927D4"/>
    <w:rsid w:val="00892865"/>
    <w:rsid w:val="0089293E"/>
    <w:rsid w:val="00892B34"/>
    <w:rsid w:val="00892BD8"/>
    <w:rsid w:val="008931ED"/>
    <w:rsid w:val="00893454"/>
    <w:rsid w:val="008934CC"/>
    <w:rsid w:val="008936C1"/>
    <w:rsid w:val="00893752"/>
    <w:rsid w:val="008938CF"/>
    <w:rsid w:val="0089391E"/>
    <w:rsid w:val="00893CB5"/>
    <w:rsid w:val="00893D25"/>
    <w:rsid w:val="00893EED"/>
    <w:rsid w:val="00893F15"/>
    <w:rsid w:val="00893F8B"/>
    <w:rsid w:val="00894139"/>
    <w:rsid w:val="00894419"/>
    <w:rsid w:val="008944ED"/>
    <w:rsid w:val="00895514"/>
    <w:rsid w:val="0089577E"/>
    <w:rsid w:val="008959D1"/>
    <w:rsid w:val="00896009"/>
    <w:rsid w:val="00896860"/>
    <w:rsid w:val="008968EA"/>
    <w:rsid w:val="00896A57"/>
    <w:rsid w:val="00896A95"/>
    <w:rsid w:val="00896BC4"/>
    <w:rsid w:val="0089749E"/>
    <w:rsid w:val="008978C5"/>
    <w:rsid w:val="00897B63"/>
    <w:rsid w:val="00897BAF"/>
    <w:rsid w:val="008A022C"/>
    <w:rsid w:val="008A0380"/>
    <w:rsid w:val="008A03B8"/>
    <w:rsid w:val="008A03BD"/>
    <w:rsid w:val="008A0460"/>
    <w:rsid w:val="008A05DC"/>
    <w:rsid w:val="008A06E7"/>
    <w:rsid w:val="008A08BF"/>
    <w:rsid w:val="008A0D1F"/>
    <w:rsid w:val="008A0F9E"/>
    <w:rsid w:val="008A0FEC"/>
    <w:rsid w:val="008A1420"/>
    <w:rsid w:val="008A179F"/>
    <w:rsid w:val="008A18CD"/>
    <w:rsid w:val="008A1AD3"/>
    <w:rsid w:val="008A1BD7"/>
    <w:rsid w:val="008A1CEA"/>
    <w:rsid w:val="008A1DFD"/>
    <w:rsid w:val="008A2343"/>
    <w:rsid w:val="008A24D6"/>
    <w:rsid w:val="008A2912"/>
    <w:rsid w:val="008A294F"/>
    <w:rsid w:val="008A2A22"/>
    <w:rsid w:val="008A2C86"/>
    <w:rsid w:val="008A2D64"/>
    <w:rsid w:val="008A3367"/>
    <w:rsid w:val="008A35F2"/>
    <w:rsid w:val="008A3755"/>
    <w:rsid w:val="008A3992"/>
    <w:rsid w:val="008A3B88"/>
    <w:rsid w:val="008A40F7"/>
    <w:rsid w:val="008A428F"/>
    <w:rsid w:val="008A4331"/>
    <w:rsid w:val="008A4496"/>
    <w:rsid w:val="008A4508"/>
    <w:rsid w:val="008A47A4"/>
    <w:rsid w:val="008A49A7"/>
    <w:rsid w:val="008A4B10"/>
    <w:rsid w:val="008A4C31"/>
    <w:rsid w:val="008A4C3D"/>
    <w:rsid w:val="008A4D4D"/>
    <w:rsid w:val="008A4E9F"/>
    <w:rsid w:val="008A55F2"/>
    <w:rsid w:val="008A5903"/>
    <w:rsid w:val="008A5931"/>
    <w:rsid w:val="008A59A9"/>
    <w:rsid w:val="008A5CF0"/>
    <w:rsid w:val="008A5DFE"/>
    <w:rsid w:val="008A6046"/>
    <w:rsid w:val="008A636D"/>
    <w:rsid w:val="008A63A0"/>
    <w:rsid w:val="008A666A"/>
    <w:rsid w:val="008A6A06"/>
    <w:rsid w:val="008A6FDE"/>
    <w:rsid w:val="008A74F4"/>
    <w:rsid w:val="008A780B"/>
    <w:rsid w:val="008A7B10"/>
    <w:rsid w:val="008A7B52"/>
    <w:rsid w:val="008B008A"/>
    <w:rsid w:val="008B01A2"/>
    <w:rsid w:val="008B0262"/>
    <w:rsid w:val="008B02BD"/>
    <w:rsid w:val="008B0329"/>
    <w:rsid w:val="008B0486"/>
    <w:rsid w:val="008B0555"/>
    <w:rsid w:val="008B06BD"/>
    <w:rsid w:val="008B0753"/>
    <w:rsid w:val="008B0864"/>
    <w:rsid w:val="008B099B"/>
    <w:rsid w:val="008B0A9F"/>
    <w:rsid w:val="008B0BB9"/>
    <w:rsid w:val="008B12BC"/>
    <w:rsid w:val="008B145A"/>
    <w:rsid w:val="008B175A"/>
    <w:rsid w:val="008B184B"/>
    <w:rsid w:val="008B1A9B"/>
    <w:rsid w:val="008B2170"/>
    <w:rsid w:val="008B2296"/>
    <w:rsid w:val="008B2467"/>
    <w:rsid w:val="008B2474"/>
    <w:rsid w:val="008B26E2"/>
    <w:rsid w:val="008B290B"/>
    <w:rsid w:val="008B2AFE"/>
    <w:rsid w:val="008B2CDF"/>
    <w:rsid w:val="008B2D81"/>
    <w:rsid w:val="008B2DE8"/>
    <w:rsid w:val="008B2FC1"/>
    <w:rsid w:val="008B3216"/>
    <w:rsid w:val="008B34E0"/>
    <w:rsid w:val="008B368C"/>
    <w:rsid w:val="008B36C0"/>
    <w:rsid w:val="008B3727"/>
    <w:rsid w:val="008B3D5F"/>
    <w:rsid w:val="008B4238"/>
    <w:rsid w:val="008B4267"/>
    <w:rsid w:val="008B4391"/>
    <w:rsid w:val="008B456C"/>
    <w:rsid w:val="008B47DE"/>
    <w:rsid w:val="008B4915"/>
    <w:rsid w:val="008B4933"/>
    <w:rsid w:val="008B495E"/>
    <w:rsid w:val="008B4BFD"/>
    <w:rsid w:val="008B52C6"/>
    <w:rsid w:val="008B5499"/>
    <w:rsid w:val="008B5736"/>
    <w:rsid w:val="008B59B3"/>
    <w:rsid w:val="008B5F88"/>
    <w:rsid w:val="008B61D0"/>
    <w:rsid w:val="008B64A0"/>
    <w:rsid w:val="008B6811"/>
    <w:rsid w:val="008B68ED"/>
    <w:rsid w:val="008B6A2A"/>
    <w:rsid w:val="008B6BE9"/>
    <w:rsid w:val="008B6CF9"/>
    <w:rsid w:val="008B6FF0"/>
    <w:rsid w:val="008B71D6"/>
    <w:rsid w:val="008B727B"/>
    <w:rsid w:val="008B755B"/>
    <w:rsid w:val="008B781B"/>
    <w:rsid w:val="008B7A27"/>
    <w:rsid w:val="008B7B9C"/>
    <w:rsid w:val="008B7ECE"/>
    <w:rsid w:val="008B7F82"/>
    <w:rsid w:val="008C0103"/>
    <w:rsid w:val="008C0379"/>
    <w:rsid w:val="008C04AE"/>
    <w:rsid w:val="008C0540"/>
    <w:rsid w:val="008C0608"/>
    <w:rsid w:val="008C0852"/>
    <w:rsid w:val="008C09C8"/>
    <w:rsid w:val="008C0AC5"/>
    <w:rsid w:val="008C0C05"/>
    <w:rsid w:val="008C0E12"/>
    <w:rsid w:val="008C0EF8"/>
    <w:rsid w:val="008C1691"/>
    <w:rsid w:val="008C18FD"/>
    <w:rsid w:val="008C1A69"/>
    <w:rsid w:val="008C1D38"/>
    <w:rsid w:val="008C1E17"/>
    <w:rsid w:val="008C1F89"/>
    <w:rsid w:val="008C22B6"/>
    <w:rsid w:val="008C2310"/>
    <w:rsid w:val="008C2B52"/>
    <w:rsid w:val="008C2BF8"/>
    <w:rsid w:val="008C2C75"/>
    <w:rsid w:val="008C2DC6"/>
    <w:rsid w:val="008C2F68"/>
    <w:rsid w:val="008C30A3"/>
    <w:rsid w:val="008C328E"/>
    <w:rsid w:val="008C3358"/>
    <w:rsid w:val="008C3382"/>
    <w:rsid w:val="008C3444"/>
    <w:rsid w:val="008C3CB2"/>
    <w:rsid w:val="008C3CB7"/>
    <w:rsid w:val="008C3DDD"/>
    <w:rsid w:val="008C3E28"/>
    <w:rsid w:val="008C40B8"/>
    <w:rsid w:val="008C42AC"/>
    <w:rsid w:val="008C435B"/>
    <w:rsid w:val="008C4907"/>
    <w:rsid w:val="008C4982"/>
    <w:rsid w:val="008C49B4"/>
    <w:rsid w:val="008C5130"/>
    <w:rsid w:val="008C52FA"/>
    <w:rsid w:val="008C5337"/>
    <w:rsid w:val="008C53A9"/>
    <w:rsid w:val="008C5669"/>
    <w:rsid w:val="008C5797"/>
    <w:rsid w:val="008C5B15"/>
    <w:rsid w:val="008C5B5D"/>
    <w:rsid w:val="008C6252"/>
    <w:rsid w:val="008C6378"/>
    <w:rsid w:val="008C6407"/>
    <w:rsid w:val="008C67F1"/>
    <w:rsid w:val="008C69B1"/>
    <w:rsid w:val="008C6C0A"/>
    <w:rsid w:val="008C70D6"/>
    <w:rsid w:val="008C73BE"/>
    <w:rsid w:val="008C7413"/>
    <w:rsid w:val="008C78E0"/>
    <w:rsid w:val="008C790E"/>
    <w:rsid w:val="008C79F2"/>
    <w:rsid w:val="008C7A46"/>
    <w:rsid w:val="008C7A5C"/>
    <w:rsid w:val="008C7D9D"/>
    <w:rsid w:val="008D01A6"/>
    <w:rsid w:val="008D044B"/>
    <w:rsid w:val="008D05A6"/>
    <w:rsid w:val="008D0A15"/>
    <w:rsid w:val="008D0F27"/>
    <w:rsid w:val="008D1349"/>
    <w:rsid w:val="008D152E"/>
    <w:rsid w:val="008D152F"/>
    <w:rsid w:val="008D16B7"/>
    <w:rsid w:val="008D19E9"/>
    <w:rsid w:val="008D1AFC"/>
    <w:rsid w:val="008D1D5B"/>
    <w:rsid w:val="008D1D9D"/>
    <w:rsid w:val="008D1DE1"/>
    <w:rsid w:val="008D1EB7"/>
    <w:rsid w:val="008D2557"/>
    <w:rsid w:val="008D2631"/>
    <w:rsid w:val="008D2A9B"/>
    <w:rsid w:val="008D2BA0"/>
    <w:rsid w:val="008D2D3D"/>
    <w:rsid w:val="008D314F"/>
    <w:rsid w:val="008D322E"/>
    <w:rsid w:val="008D347C"/>
    <w:rsid w:val="008D39D3"/>
    <w:rsid w:val="008D4789"/>
    <w:rsid w:val="008D47C9"/>
    <w:rsid w:val="008D485C"/>
    <w:rsid w:val="008D5496"/>
    <w:rsid w:val="008D59A0"/>
    <w:rsid w:val="008D59AF"/>
    <w:rsid w:val="008D5A91"/>
    <w:rsid w:val="008D5AE2"/>
    <w:rsid w:val="008D5B9F"/>
    <w:rsid w:val="008D5D47"/>
    <w:rsid w:val="008D5EC6"/>
    <w:rsid w:val="008D6569"/>
    <w:rsid w:val="008D697A"/>
    <w:rsid w:val="008D6A02"/>
    <w:rsid w:val="008D6A61"/>
    <w:rsid w:val="008D6CAB"/>
    <w:rsid w:val="008D6D9B"/>
    <w:rsid w:val="008D7221"/>
    <w:rsid w:val="008D7438"/>
    <w:rsid w:val="008D74C8"/>
    <w:rsid w:val="008D7528"/>
    <w:rsid w:val="008D7531"/>
    <w:rsid w:val="008D755F"/>
    <w:rsid w:val="008D7597"/>
    <w:rsid w:val="008D76BE"/>
    <w:rsid w:val="008D7B5E"/>
    <w:rsid w:val="008D7B71"/>
    <w:rsid w:val="008E03AC"/>
    <w:rsid w:val="008E05CB"/>
    <w:rsid w:val="008E05ED"/>
    <w:rsid w:val="008E06FF"/>
    <w:rsid w:val="008E0962"/>
    <w:rsid w:val="008E0C24"/>
    <w:rsid w:val="008E0DAC"/>
    <w:rsid w:val="008E148A"/>
    <w:rsid w:val="008E159F"/>
    <w:rsid w:val="008E17DE"/>
    <w:rsid w:val="008E1B98"/>
    <w:rsid w:val="008E1D01"/>
    <w:rsid w:val="008E1E04"/>
    <w:rsid w:val="008E1F49"/>
    <w:rsid w:val="008E20B7"/>
    <w:rsid w:val="008E244D"/>
    <w:rsid w:val="008E29CE"/>
    <w:rsid w:val="008E2FB4"/>
    <w:rsid w:val="008E3221"/>
    <w:rsid w:val="008E331B"/>
    <w:rsid w:val="008E353F"/>
    <w:rsid w:val="008E357E"/>
    <w:rsid w:val="008E35C1"/>
    <w:rsid w:val="008E39E5"/>
    <w:rsid w:val="008E3BF2"/>
    <w:rsid w:val="008E41A0"/>
    <w:rsid w:val="008E4232"/>
    <w:rsid w:val="008E4263"/>
    <w:rsid w:val="008E43F2"/>
    <w:rsid w:val="008E474C"/>
    <w:rsid w:val="008E4819"/>
    <w:rsid w:val="008E48EE"/>
    <w:rsid w:val="008E4981"/>
    <w:rsid w:val="008E4C1D"/>
    <w:rsid w:val="008E4EE8"/>
    <w:rsid w:val="008E510F"/>
    <w:rsid w:val="008E52CD"/>
    <w:rsid w:val="008E5459"/>
    <w:rsid w:val="008E54A2"/>
    <w:rsid w:val="008E55E8"/>
    <w:rsid w:val="008E572A"/>
    <w:rsid w:val="008E5CCA"/>
    <w:rsid w:val="008E5E60"/>
    <w:rsid w:val="008E5FFD"/>
    <w:rsid w:val="008E60F6"/>
    <w:rsid w:val="008E6859"/>
    <w:rsid w:val="008E6865"/>
    <w:rsid w:val="008E6894"/>
    <w:rsid w:val="008E68EE"/>
    <w:rsid w:val="008E6AE6"/>
    <w:rsid w:val="008E6DE7"/>
    <w:rsid w:val="008E70EA"/>
    <w:rsid w:val="008E7256"/>
    <w:rsid w:val="008E7485"/>
    <w:rsid w:val="008E7890"/>
    <w:rsid w:val="008E78AA"/>
    <w:rsid w:val="008E78BC"/>
    <w:rsid w:val="008E7A47"/>
    <w:rsid w:val="008E7BA1"/>
    <w:rsid w:val="008E7DB0"/>
    <w:rsid w:val="008E7FFC"/>
    <w:rsid w:val="008F0116"/>
    <w:rsid w:val="008F06DC"/>
    <w:rsid w:val="008F07F6"/>
    <w:rsid w:val="008F093D"/>
    <w:rsid w:val="008F0A81"/>
    <w:rsid w:val="008F0D90"/>
    <w:rsid w:val="008F0F9E"/>
    <w:rsid w:val="008F11EB"/>
    <w:rsid w:val="008F1214"/>
    <w:rsid w:val="008F143D"/>
    <w:rsid w:val="008F16DF"/>
    <w:rsid w:val="008F19DA"/>
    <w:rsid w:val="008F1BE1"/>
    <w:rsid w:val="008F1DB7"/>
    <w:rsid w:val="008F1E4B"/>
    <w:rsid w:val="008F235A"/>
    <w:rsid w:val="008F2393"/>
    <w:rsid w:val="008F3032"/>
    <w:rsid w:val="008F3271"/>
    <w:rsid w:val="008F347B"/>
    <w:rsid w:val="008F3EA5"/>
    <w:rsid w:val="008F42B3"/>
    <w:rsid w:val="008F439A"/>
    <w:rsid w:val="008F4723"/>
    <w:rsid w:val="008F4728"/>
    <w:rsid w:val="008F4AB5"/>
    <w:rsid w:val="008F4B85"/>
    <w:rsid w:val="008F4F51"/>
    <w:rsid w:val="008F4FB5"/>
    <w:rsid w:val="008F52A7"/>
    <w:rsid w:val="008F53B4"/>
    <w:rsid w:val="008F5516"/>
    <w:rsid w:val="008F5755"/>
    <w:rsid w:val="008F5859"/>
    <w:rsid w:val="008F5939"/>
    <w:rsid w:val="008F5975"/>
    <w:rsid w:val="008F5C46"/>
    <w:rsid w:val="008F5C4F"/>
    <w:rsid w:val="008F610B"/>
    <w:rsid w:val="008F6126"/>
    <w:rsid w:val="008F6143"/>
    <w:rsid w:val="008F61F5"/>
    <w:rsid w:val="008F624E"/>
    <w:rsid w:val="008F62D9"/>
    <w:rsid w:val="008F6A1E"/>
    <w:rsid w:val="008F6B4F"/>
    <w:rsid w:val="008F7143"/>
    <w:rsid w:val="008F7418"/>
    <w:rsid w:val="008F792E"/>
    <w:rsid w:val="008F79EE"/>
    <w:rsid w:val="008F7D5A"/>
    <w:rsid w:val="008F7F35"/>
    <w:rsid w:val="00900186"/>
    <w:rsid w:val="009005CE"/>
    <w:rsid w:val="0090063C"/>
    <w:rsid w:val="00900859"/>
    <w:rsid w:val="00900A20"/>
    <w:rsid w:val="00900F23"/>
    <w:rsid w:val="00901374"/>
    <w:rsid w:val="009013F2"/>
    <w:rsid w:val="0090143C"/>
    <w:rsid w:val="00901A79"/>
    <w:rsid w:val="00901B72"/>
    <w:rsid w:val="00901D76"/>
    <w:rsid w:val="00901F6E"/>
    <w:rsid w:val="00902133"/>
    <w:rsid w:val="00902727"/>
    <w:rsid w:val="00902770"/>
    <w:rsid w:val="009029EA"/>
    <w:rsid w:val="00902F00"/>
    <w:rsid w:val="00902F3C"/>
    <w:rsid w:val="0090319A"/>
    <w:rsid w:val="009034FC"/>
    <w:rsid w:val="0090350C"/>
    <w:rsid w:val="0090359C"/>
    <w:rsid w:val="00903784"/>
    <w:rsid w:val="009037C7"/>
    <w:rsid w:val="0090389B"/>
    <w:rsid w:val="009042F0"/>
    <w:rsid w:val="009045E0"/>
    <w:rsid w:val="00904CC4"/>
    <w:rsid w:val="00904F2C"/>
    <w:rsid w:val="0090543A"/>
    <w:rsid w:val="009059A1"/>
    <w:rsid w:val="00905CE3"/>
    <w:rsid w:val="00905DF4"/>
    <w:rsid w:val="00905E20"/>
    <w:rsid w:val="009060AB"/>
    <w:rsid w:val="0090617E"/>
    <w:rsid w:val="00906A63"/>
    <w:rsid w:val="00906A70"/>
    <w:rsid w:val="00906B60"/>
    <w:rsid w:val="00906C8E"/>
    <w:rsid w:val="00906D3C"/>
    <w:rsid w:val="009072D9"/>
    <w:rsid w:val="00907498"/>
    <w:rsid w:val="009076A0"/>
    <w:rsid w:val="0090794A"/>
    <w:rsid w:val="009079A9"/>
    <w:rsid w:val="00907BA7"/>
    <w:rsid w:val="00907F56"/>
    <w:rsid w:val="00910350"/>
    <w:rsid w:val="0091080B"/>
    <w:rsid w:val="00910F35"/>
    <w:rsid w:val="00911036"/>
    <w:rsid w:val="00911A47"/>
    <w:rsid w:val="00911B21"/>
    <w:rsid w:val="00911CC8"/>
    <w:rsid w:val="00911D7F"/>
    <w:rsid w:val="00911DC6"/>
    <w:rsid w:val="00912162"/>
    <w:rsid w:val="009122C8"/>
    <w:rsid w:val="00912900"/>
    <w:rsid w:val="00912B02"/>
    <w:rsid w:val="00912CB0"/>
    <w:rsid w:val="00912D56"/>
    <w:rsid w:val="00912E66"/>
    <w:rsid w:val="00912ED6"/>
    <w:rsid w:val="00913157"/>
    <w:rsid w:val="009137A8"/>
    <w:rsid w:val="0091402E"/>
    <w:rsid w:val="00914144"/>
    <w:rsid w:val="0091432E"/>
    <w:rsid w:val="0091439C"/>
    <w:rsid w:val="00914691"/>
    <w:rsid w:val="009147A1"/>
    <w:rsid w:val="009148F9"/>
    <w:rsid w:val="00914917"/>
    <w:rsid w:val="00915003"/>
    <w:rsid w:val="00915298"/>
    <w:rsid w:val="00915495"/>
    <w:rsid w:val="009155B7"/>
    <w:rsid w:val="00915791"/>
    <w:rsid w:val="00915DF2"/>
    <w:rsid w:val="00915F86"/>
    <w:rsid w:val="00915FCB"/>
    <w:rsid w:val="00916410"/>
    <w:rsid w:val="00916504"/>
    <w:rsid w:val="009168C2"/>
    <w:rsid w:val="00916984"/>
    <w:rsid w:val="009169EB"/>
    <w:rsid w:val="00916E2E"/>
    <w:rsid w:val="00917261"/>
    <w:rsid w:val="009173C7"/>
    <w:rsid w:val="00917CE1"/>
    <w:rsid w:val="00917D5D"/>
    <w:rsid w:val="00917F23"/>
    <w:rsid w:val="00917FFE"/>
    <w:rsid w:val="0092021F"/>
    <w:rsid w:val="00920220"/>
    <w:rsid w:val="0092025E"/>
    <w:rsid w:val="00920343"/>
    <w:rsid w:val="00920349"/>
    <w:rsid w:val="009207DB"/>
    <w:rsid w:val="0092080C"/>
    <w:rsid w:val="009209CA"/>
    <w:rsid w:val="00920DAE"/>
    <w:rsid w:val="0092123B"/>
    <w:rsid w:val="009215CA"/>
    <w:rsid w:val="009216AF"/>
    <w:rsid w:val="009217EE"/>
    <w:rsid w:val="00921F2D"/>
    <w:rsid w:val="00922626"/>
    <w:rsid w:val="00922630"/>
    <w:rsid w:val="0092268C"/>
    <w:rsid w:val="00922700"/>
    <w:rsid w:val="0092282D"/>
    <w:rsid w:val="00922C79"/>
    <w:rsid w:val="00922D06"/>
    <w:rsid w:val="00922D23"/>
    <w:rsid w:val="00922D89"/>
    <w:rsid w:val="00922F05"/>
    <w:rsid w:val="009232E6"/>
    <w:rsid w:val="0092347E"/>
    <w:rsid w:val="009237BD"/>
    <w:rsid w:val="00923ACE"/>
    <w:rsid w:val="00923AED"/>
    <w:rsid w:val="00923BC9"/>
    <w:rsid w:val="0092401E"/>
    <w:rsid w:val="009242B5"/>
    <w:rsid w:val="00924759"/>
    <w:rsid w:val="009247CE"/>
    <w:rsid w:val="00924A3D"/>
    <w:rsid w:val="00924B10"/>
    <w:rsid w:val="00924C9C"/>
    <w:rsid w:val="00924DCF"/>
    <w:rsid w:val="00925440"/>
    <w:rsid w:val="0092555E"/>
    <w:rsid w:val="009256E1"/>
    <w:rsid w:val="009258E5"/>
    <w:rsid w:val="00925BFC"/>
    <w:rsid w:val="00925CCA"/>
    <w:rsid w:val="00925F14"/>
    <w:rsid w:val="00926526"/>
    <w:rsid w:val="009268C6"/>
    <w:rsid w:val="009268D2"/>
    <w:rsid w:val="0092697A"/>
    <w:rsid w:val="00926A55"/>
    <w:rsid w:val="00926A7B"/>
    <w:rsid w:val="00926E77"/>
    <w:rsid w:val="00926E82"/>
    <w:rsid w:val="009274F0"/>
    <w:rsid w:val="00927616"/>
    <w:rsid w:val="0092793B"/>
    <w:rsid w:val="009279F4"/>
    <w:rsid w:val="00927BA9"/>
    <w:rsid w:val="00927D9A"/>
    <w:rsid w:val="00930307"/>
    <w:rsid w:val="0093036C"/>
    <w:rsid w:val="009303F1"/>
    <w:rsid w:val="00930624"/>
    <w:rsid w:val="00930760"/>
    <w:rsid w:val="009307AF"/>
    <w:rsid w:val="009308F6"/>
    <w:rsid w:val="00930974"/>
    <w:rsid w:val="009309EF"/>
    <w:rsid w:val="00930B20"/>
    <w:rsid w:val="00930CF1"/>
    <w:rsid w:val="00931341"/>
    <w:rsid w:val="00931A0D"/>
    <w:rsid w:val="00932268"/>
    <w:rsid w:val="009322AA"/>
    <w:rsid w:val="0093250A"/>
    <w:rsid w:val="009326AE"/>
    <w:rsid w:val="00932865"/>
    <w:rsid w:val="00932DF0"/>
    <w:rsid w:val="00932E30"/>
    <w:rsid w:val="00932E66"/>
    <w:rsid w:val="00932F00"/>
    <w:rsid w:val="00933042"/>
    <w:rsid w:val="009330F5"/>
    <w:rsid w:val="0093335F"/>
    <w:rsid w:val="009333AC"/>
    <w:rsid w:val="0093346E"/>
    <w:rsid w:val="00933538"/>
    <w:rsid w:val="00933591"/>
    <w:rsid w:val="00933822"/>
    <w:rsid w:val="00933C08"/>
    <w:rsid w:val="00933DBD"/>
    <w:rsid w:val="00933F86"/>
    <w:rsid w:val="00934014"/>
    <w:rsid w:val="0093412E"/>
    <w:rsid w:val="009343C7"/>
    <w:rsid w:val="00934998"/>
    <w:rsid w:val="009349D3"/>
    <w:rsid w:val="00934B1F"/>
    <w:rsid w:val="00934DA5"/>
    <w:rsid w:val="00934F72"/>
    <w:rsid w:val="009352B8"/>
    <w:rsid w:val="009353C9"/>
    <w:rsid w:val="00935720"/>
    <w:rsid w:val="009359A3"/>
    <w:rsid w:val="00935E1C"/>
    <w:rsid w:val="009367D9"/>
    <w:rsid w:val="009368DF"/>
    <w:rsid w:val="009369BA"/>
    <w:rsid w:val="00936B5C"/>
    <w:rsid w:val="00936C08"/>
    <w:rsid w:val="00936D27"/>
    <w:rsid w:val="00936F73"/>
    <w:rsid w:val="00936FC2"/>
    <w:rsid w:val="009372DD"/>
    <w:rsid w:val="00937397"/>
    <w:rsid w:val="00937771"/>
    <w:rsid w:val="0093797B"/>
    <w:rsid w:val="00937F91"/>
    <w:rsid w:val="00940158"/>
    <w:rsid w:val="009404F0"/>
    <w:rsid w:val="0094052C"/>
    <w:rsid w:val="009409CD"/>
    <w:rsid w:val="00940CCD"/>
    <w:rsid w:val="00940EA0"/>
    <w:rsid w:val="00940FA1"/>
    <w:rsid w:val="00941253"/>
    <w:rsid w:val="00941427"/>
    <w:rsid w:val="009414BA"/>
    <w:rsid w:val="0094151D"/>
    <w:rsid w:val="00941684"/>
    <w:rsid w:val="009416CE"/>
    <w:rsid w:val="00941919"/>
    <w:rsid w:val="009419B1"/>
    <w:rsid w:val="00941F85"/>
    <w:rsid w:val="00941FFC"/>
    <w:rsid w:val="00942388"/>
    <w:rsid w:val="00942405"/>
    <w:rsid w:val="0094285B"/>
    <w:rsid w:val="009429C8"/>
    <w:rsid w:val="00942CC6"/>
    <w:rsid w:val="00942CEE"/>
    <w:rsid w:val="00942CF5"/>
    <w:rsid w:val="00942F06"/>
    <w:rsid w:val="00943011"/>
    <w:rsid w:val="00943153"/>
    <w:rsid w:val="009432E5"/>
    <w:rsid w:val="009433B9"/>
    <w:rsid w:val="009435D6"/>
    <w:rsid w:val="0094380B"/>
    <w:rsid w:val="00943A16"/>
    <w:rsid w:val="00943B63"/>
    <w:rsid w:val="00943CBB"/>
    <w:rsid w:val="0094404D"/>
    <w:rsid w:val="00944AA8"/>
    <w:rsid w:val="00944BBF"/>
    <w:rsid w:val="00944CE4"/>
    <w:rsid w:val="00944CF7"/>
    <w:rsid w:val="00944D71"/>
    <w:rsid w:val="00944D9A"/>
    <w:rsid w:val="00944FD8"/>
    <w:rsid w:val="009452A5"/>
    <w:rsid w:val="009457DF"/>
    <w:rsid w:val="009458BD"/>
    <w:rsid w:val="00945B0A"/>
    <w:rsid w:val="00945D24"/>
    <w:rsid w:val="00945E0D"/>
    <w:rsid w:val="00946136"/>
    <w:rsid w:val="00946749"/>
    <w:rsid w:val="009467D1"/>
    <w:rsid w:val="00946894"/>
    <w:rsid w:val="00946D17"/>
    <w:rsid w:val="00946D57"/>
    <w:rsid w:val="00946FD5"/>
    <w:rsid w:val="0094709A"/>
    <w:rsid w:val="00947172"/>
    <w:rsid w:val="00947274"/>
    <w:rsid w:val="00947861"/>
    <w:rsid w:val="00947865"/>
    <w:rsid w:val="009479B1"/>
    <w:rsid w:val="009479BD"/>
    <w:rsid w:val="00947A01"/>
    <w:rsid w:val="00950076"/>
    <w:rsid w:val="00950125"/>
    <w:rsid w:val="009502EF"/>
    <w:rsid w:val="00950422"/>
    <w:rsid w:val="009504A1"/>
    <w:rsid w:val="0095062F"/>
    <w:rsid w:val="009506A2"/>
    <w:rsid w:val="00950C46"/>
    <w:rsid w:val="00950DAB"/>
    <w:rsid w:val="00950E34"/>
    <w:rsid w:val="0095133C"/>
    <w:rsid w:val="009517BC"/>
    <w:rsid w:val="00951F99"/>
    <w:rsid w:val="00952CB4"/>
    <w:rsid w:val="00952F8A"/>
    <w:rsid w:val="00953184"/>
    <w:rsid w:val="00953306"/>
    <w:rsid w:val="009537A3"/>
    <w:rsid w:val="009538CB"/>
    <w:rsid w:val="00953EBE"/>
    <w:rsid w:val="00953FD5"/>
    <w:rsid w:val="00954231"/>
    <w:rsid w:val="00954347"/>
    <w:rsid w:val="0095461F"/>
    <w:rsid w:val="0095463B"/>
    <w:rsid w:val="0095479A"/>
    <w:rsid w:val="009548C8"/>
    <w:rsid w:val="0095496B"/>
    <w:rsid w:val="00954D70"/>
    <w:rsid w:val="00954D91"/>
    <w:rsid w:val="00954EBF"/>
    <w:rsid w:val="00954F27"/>
    <w:rsid w:val="009555B1"/>
    <w:rsid w:val="009556F0"/>
    <w:rsid w:val="00955820"/>
    <w:rsid w:val="00955B05"/>
    <w:rsid w:val="00955F64"/>
    <w:rsid w:val="0095601D"/>
    <w:rsid w:val="009560D8"/>
    <w:rsid w:val="0095612B"/>
    <w:rsid w:val="0095621E"/>
    <w:rsid w:val="00956299"/>
    <w:rsid w:val="00956771"/>
    <w:rsid w:val="00956F48"/>
    <w:rsid w:val="00956F5B"/>
    <w:rsid w:val="0095705D"/>
    <w:rsid w:val="00957363"/>
    <w:rsid w:val="0095755C"/>
    <w:rsid w:val="0095759A"/>
    <w:rsid w:val="0095773C"/>
    <w:rsid w:val="00957821"/>
    <w:rsid w:val="00957E10"/>
    <w:rsid w:val="0095DC5F"/>
    <w:rsid w:val="00960089"/>
    <w:rsid w:val="009600EF"/>
    <w:rsid w:val="0096032A"/>
    <w:rsid w:val="0096038C"/>
    <w:rsid w:val="009603AF"/>
    <w:rsid w:val="009604CA"/>
    <w:rsid w:val="009607B1"/>
    <w:rsid w:val="00960A83"/>
    <w:rsid w:val="009610C2"/>
    <w:rsid w:val="009613B9"/>
    <w:rsid w:val="0096141E"/>
    <w:rsid w:val="0096157A"/>
    <w:rsid w:val="0096187F"/>
    <w:rsid w:val="0096202D"/>
    <w:rsid w:val="0096214F"/>
    <w:rsid w:val="009621BE"/>
    <w:rsid w:val="009621CE"/>
    <w:rsid w:val="009623B1"/>
    <w:rsid w:val="009625A5"/>
    <w:rsid w:val="009628FB"/>
    <w:rsid w:val="00962BAB"/>
    <w:rsid w:val="00963018"/>
    <w:rsid w:val="00963157"/>
    <w:rsid w:val="00963326"/>
    <w:rsid w:val="009633BE"/>
    <w:rsid w:val="009634BC"/>
    <w:rsid w:val="009635FD"/>
    <w:rsid w:val="00963855"/>
    <w:rsid w:val="00963F94"/>
    <w:rsid w:val="00963FD4"/>
    <w:rsid w:val="00964128"/>
    <w:rsid w:val="00964217"/>
    <w:rsid w:val="0096466D"/>
    <w:rsid w:val="00964834"/>
    <w:rsid w:val="009648EB"/>
    <w:rsid w:val="00964E7E"/>
    <w:rsid w:val="00965258"/>
    <w:rsid w:val="009652A6"/>
    <w:rsid w:val="0096533B"/>
    <w:rsid w:val="0096535C"/>
    <w:rsid w:val="0096575A"/>
    <w:rsid w:val="009659AC"/>
    <w:rsid w:val="00965B0F"/>
    <w:rsid w:val="00965DDA"/>
    <w:rsid w:val="00966173"/>
    <w:rsid w:val="00966D30"/>
    <w:rsid w:val="00966FED"/>
    <w:rsid w:val="009670F7"/>
    <w:rsid w:val="00967208"/>
    <w:rsid w:val="0096748F"/>
    <w:rsid w:val="0096754E"/>
    <w:rsid w:val="009675E4"/>
    <w:rsid w:val="00967755"/>
    <w:rsid w:val="009677C0"/>
    <w:rsid w:val="00967A4D"/>
    <w:rsid w:val="00967BC3"/>
    <w:rsid w:val="00967CBA"/>
    <w:rsid w:val="00967DFD"/>
    <w:rsid w:val="00967FC5"/>
    <w:rsid w:val="009701D6"/>
    <w:rsid w:val="009701EF"/>
    <w:rsid w:val="00970BFF"/>
    <w:rsid w:val="00970C13"/>
    <w:rsid w:val="00971465"/>
    <w:rsid w:val="0097148F"/>
    <w:rsid w:val="009717D6"/>
    <w:rsid w:val="00972145"/>
    <w:rsid w:val="009722C8"/>
    <w:rsid w:val="009727A0"/>
    <w:rsid w:val="00972941"/>
    <w:rsid w:val="0097298F"/>
    <w:rsid w:val="0097299B"/>
    <w:rsid w:val="009729BD"/>
    <w:rsid w:val="00972F8D"/>
    <w:rsid w:val="00973104"/>
    <w:rsid w:val="0097350F"/>
    <w:rsid w:val="009738DC"/>
    <w:rsid w:val="00973AA5"/>
    <w:rsid w:val="00973B8F"/>
    <w:rsid w:val="00973C1D"/>
    <w:rsid w:val="00973F57"/>
    <w:rsid w:val="00973FC5"/>
    <w:rsid w:val="0097435C"/>
    <w:rsid w:val="00974466"/>
    <w:rsid w:val="009748C1"/>
    <w:rsid w:val="0097490B"/>
    <w:rsid w:val="00974A28"/>
    <w:rsid w:val="00974AE6"/>
    <w:rsid w:val="00974F4F"/>
    <w:rsid w:val="009757CE"/>
    <w:rsid w:val="00975833"/>
    <w:rsid w:val="00975A13"/>
    <w:rsid w:val="00975B35"/>
    <w:rsid w:val="00975EF1"/>
    <w:rsid w:val="00975F17"/>
    <w:rsid w:val="00975FC3"/>
    <w:rsid w:val="00976166"/>
    <w:rsid w:val="009762C9"/>
    <w:rsid w:val="009764E5"/>
    <w:rsid w:val="00976549"/>
    <w:rsid w:val="0097664E"/>
    <w:rsid w:val="00976AD5"/>
    <w:rsid w:val="00976DDD"/>
    <w:rsid w:val="00976F0E"/>
    <w:rsid w:val="00977130"/>
    <w:rsid w:val="00977331"/>
    <w:rsid w:val="00977725"/>
    <w:rsid w:val="00977CAA"/>
    <w:rsid w:val="009801D6"/>
    <w:rsid w:val="009803CF"/>
    <w:rsid w:val="00980793"/>
    <w:rsid w:val="009808C9"/>
    <w:rsid w:val="00980A0F"/>
    <w:rsid w:val="00980A62"/>
    <w:rsid w:val="00980A67"/>
    <w:rsid w:val="009811DC"/>
    <w:rsid w:val="0098127D"/>
    <w:rsid w:val="00981332"/>
    <w:rsid w:val="0098138E"/>
    <w:rsid w:val="00981534"/>
    <w:rsid w:val="0098171D"/>
    <w:rsid w:val="00981981"/>
    <w:rsid w:val="00981D63"/>
    <w:rsid w:val="00981EA0"/>
    <w:rsid w:val="00982547"/>
    <w:rsid w:val="009827A6"/>
    <w:rsid w:val="009829BC"/>
    <w:rsid w:val="00982C1C"/>
    <w:rsid w:val="00982C33"/>
    <w:rsid w:val="00982C8D"/>
    <w:rsid w:val="00982D04"/>
    <w:rsid w:val="00982D13"/>
    <w:rsid w:val="009830A7"/>
    <w:rsid w:val="009833F8"/>
    <w:rsid w:val="009835A5"/>
    <w:rsid w:val="0098397E"/>
    <w:rsid w:val="00983B38"/>
    <w:rsid w:val="00983CB0"/>
    <w:rsid w:val="009840C5"/>
    <w:rsid w:val="00984441"/>
    <w:rsid w:val="009844EF"/>
    <w:rsid w:val="009844FD"/>
    <w:rsid w:val="009847D6"/>
    <w:rsid w:val="0098499B"/>
    <w:rsid w:val="00984A00"/>
    <w:rsid w:val="00984EBA"/>
    <w:rsid w:val="00985215"/>
    <w:rsid w:val="0098595C"/>
    <w:rsid w:val="00985B77"/>
    <w:rsid w:val="00985DDD"/>
    <w:rsid w:val="00986380"/>
    <w:rsid w:val="0098655A"/>
    <w:rsid w:val="009867EC"/>
    <w:rsid w:val="009868ED"/>
    <w:rsid w:val="009869E9"/>
    <w:rsid w:val="00986F8D"/>
    <w:rsid w:val="0098794C"/>
    <w:rsid w:val="00987C2E"/>
    <w:rsid w:val="00987FF1"/>
    <w:rsid w:val="0099029C"/>
    <w:rsid w:val="00990472"/>
    <w:rsid w:val="00990759"/>
    <w:rsid w:val="00990B5A"/>
    <w:rsid w:val="00990CDE"/>
    <w:rsid w:val="00990EAE"/>
    <w:rsid w:val="00991106"/>
    <w:rsid w:val="0099140D"/>
    <w:rsid w:val="00991638"/>
    <w:rsid w:val="00991667"/>
    <w:rsid w:val="009917DC"/>
    <w:rsid w:val="009919AA"/>
    <w:rsid w:val="00991EE1"/>
    <w:rsid w:val="00991F1F"/>
    <w:rsid w:val="00991F56"/>
    <w:rsid w:val="00992134"/>
    <w:rsid w:val="00992258"/>
    <w:rsid w:val="00992423"/>
    <w:rsid w:val="0099242F"/>
    <w:rsid w:val="00992625"/>
    <w:rsid w:val="009927D9"/>
    <w:rsid w:val="00992A87"/>
    <w:rsid w:val="00992C19"/>
    <w:rsid w:val="00992CE7"/>
    <w:rsid w:val="0099314E"/>
    <w:rsid w:val="00993416"/>
    <w:rsid w:val="0099355B"/>
    <w:rsid w:val="00993611"/>
    <w:rsid w:val="009938B4"/>
    <w:rsid w:val="00993A45"/>
    <w:rsid w:val="00993B75"/>
    <w:rsid w:val="009942AD"/>
    <w:rsid w:val="0099463F"/>
    <w:rsid w:val="009947A7"/>
    <w:rsid w:val="009948DA"/>
    <w:rsid w:val="00994A55"/>
    <w:rsid w:val="00994AB4"/>
    <w:rsid w:val="00994DCA"/>
    <w:rsid w:val="00994DCE"/>
    <w:rsid w:val="0099501F"/>
    <w:rsid w:val="0099540B"/>
    <w:rsid w:val="009956C1"/>
    <w:rsid w:val="0099573E"/>
    <w:rsid w:val="00995907"/>
    <w:rsid w:val="00995964"/>
    <w:rsid w:val="00996108"/>
    <w:rsid w:val="0099636F"/>
    <w:rsid w:val="009963BD"/>
    <w:rsid w:val="009964AC"/>
    <w:rsid w:val="009964CF"/>
    <w:rsid w:val="009969D4"/>
    <w:rsid w:val="00996AC8"/>
    <w:rsid w:val="00996C99"/>
    <w:rsid w:val="00996E60"/>
    <w:rsid w:val="00997957"/>
    <w:rsid w:val="009979B1"/>
    <w:rsid w:val="00997A1B"/>
    <w:rsid w:val="00997A95"/>
    <w:rsid w:val="00997DA5"/>
    <w:rsid w:val="009A012B"/>
    <w:rsid w:val="009A0168"/>
    <w:rsid w:val="009A019C"/>
    <w:rsid w:val="009A01CC"/>
    <w:rsid w:val="009A025F"/>
    <w:rsid w:val="009A02DE"/>
    <w:rsid w:val="009A064D"/>
    <w:rsid w:val="009A07A1"/>
    <w:rsid w:val="009A0814"/>
    <w:rsid w:val="009A0B38"/>
    <w:rsid w:val="009A0B3B"/>
    <w:rsid w:val="009A0DF1"/>
    <w:rsid w:val="009A0E00"/>
    <w:rsid w:val="009A0E85"/>
    <w:rsid w:val="009A18C7"/>
    <w:rsid w:val="009A1A76"/>
    <w:rsid w:val="009A1B20"/>
    <w:rsid w:val="009A1B56"/>
    <w:rsid w:val="009A1B7F"/>
    <w:rsid w:val="009A1C04"/>
    <w:rsid w:val="009A1E0B"/>
    <w:rsid w:val="009A2273"/>
    <w:rsid w:val="009A26AF"/>
    <w:rsid w:val="009A287E"/>
    <w:rsid w:val="009A29A0"/>
    <w:rsid w:val="009A2E97"/>
    <w:rsid w:val="009A3106"/>
    <w:rsid w:val="009A31D6"/>
    <w:rsid w:val="009A326C"/>
    <w:rsid w:val="009A32B5"/>
    <w:rsid w:val="009A3309"/>
    <w:rsid w:val="009A3432"/>
    <w:rsid w:val="009A36B7"/>
    <w:rsid w:val="009A37A1"/>
    <w:rsid w:val="009A3A09"/>
    <w:rsid w:val="009A3AC3"/>
    <w:rsid w:val="009A3BC6"/>
    <w:rsid w:val="009A3F51"/>
    <w:rsid w:val="009A3F7F"/>
    <w:rsid w:val="009A406A"/>
    <w:rsid w:val="009A4088"/>
    <w:rsid w:val="009A408D"/>
    <w:rsid w:val="009A435D"/>
    <w:rsid w:val="009A4429"/>
    <w:rsid w:val="009A4860"/>
    <w:rsid w:val="009A4BB8"/>
    <w:rsid w:val="009A4BC8"/>
    <w:rsid w:val="009A4F40"/>
    <w:rsid w:val="009A4FC1"/>
    <w:rsid w:val="009A5978"/>
    <w:rsid w:val="009A6120"/>
    <w:rsid w:val="009A6131"/>
    <w:rsid w:val="009A62B4"/>
    <w:rsid w:val="009A6489"/>
    <w:rsid w:val="009A6DF2"/>
    <w:rsid w:val="009A6E36"/>
    <w:rsid w:val="009A6E93"/>
    <w:rsid w:val="009A7086"/>
    <w:rsid w:val="009A72B6"/>
    <w:rsid w:val="009A73A4"/>
    <w:rsid w:val="009A7453"/>
    <w:rsid w:val="009A758B"/>
    <w:rsid w:val="009A768D"/>
    <w:rsid w:val="009A7783"/>
    <w:rsid w:val="009A7875"/>
    <w:rsid w:val="009A79D7"/>
    <w:rsid w:val="009A7AB8"/>
    <w:rsid w:val="009A7B6D"/>
    <w:rsid w:val="009A7D3E"/>
    <w:rsid w:val="009A7E1E"/>
    <w:rsid w:val="009B01A3"/>
    <w:rsid w:val="009B02EB"/>
    <w:rsid w:val="009B037A"/>
    <w:rsid w:val="009B0511"/>
    <w:rsid w:val="009B058F"/>
    <w:rsid w:val="009B0869"/>
    <w:rsid w:val="009B0BC0"/>
    <w:rsid w:val="009B1113"/>
    <w:rsid w:val="009B1170"/>
    <w:rsid w:val="009B11E3"/>
    <w:rsid w:val="009B12C2"/>
    <w:rsid w:val="009B1642"/>
    <w:rsid w:val="009B174F"/>
    <w:rsid w:val="009B1807"/>
    <w:rsid w:val="009B18D0"/>
    <w:rsid w:val="009B1A16"/>
    <w:rsid w:val="009B1B59"/>
    <w:rsid w:val="009B1C97"/>
    <w:rsid w:val="009B218F"/>
    <w:rsid w:val="009B2B8A"/>
    <w:rsid w:val="009B2D26"/>
    <w:rsid w:val="009B2DA3"/>
    <w:rsid w:val="009B2ED3"/>
    <w:rsid w:val="009B331F"/>
    <w:rsid w:val="009B334A"/>
    <w:rsid w:val="009B33CD"/>
    <w:rsid w:val="009B36B2"/>
    <w:rsid w:val="009B37FA"/>
    <w:rsid w:val="009B3E5F"/>
    <w:rsid w:val="009B3EE1"/>
    <w:rsid w:val="009B4280"/>
    <w:rsid w:val="009B4294"/>
    <w:rsid w:val="009B4586"/>
    <w:rsid w:val="009B4AA1"/>
    <w:rsid w:val="009B4ACB"/>
    <w:rsid w:val="009B4B97"/>
    <w:rsid w:val="009B4D85"/>
    <w:rsid w:val="009B4ECD"/>
    <w:rsid w:val="009B4F87"/>
    <w:rsid w:val="009B50C0"/>
    <w:rsid w:val="009B54DD"/>
    <w:rsid w:val="009B58AC"/>
    <w:rsid w:val="009B5966"/>
    <w:rsid w:val="009B5996"/>
    <w:rsid w:val="009B5C5F"/>
    <w:rsid w:val="009B5D9A"/>
    <w:rsid w:val="009B6272"/>
    <w:rsid w:val="009B64EC"/>
    <w:rsid w:val="009B6629"/>
    <w:rsid w:val="009B68E2"/>
    <w:rsid w:val="009B6932"/>
    <w:rsid w:val="009B69E3"/>
    <w:rsid w:val="009B6E47"/>
    <w:rsid w:val="009B6F5B"/>
    <w:rsid w:val="009B7997"/>
    <w:rsid w:val="009B7A36"/>
    <w:rsid w:val="009B7AE4"/>
    <w:rsid w:val="009B7F3B"/>
    <w:rsid w:val="009B7FBC"/>
    <w:rsid w:val="009C00EC"/>
    <w:rsid w:val="009C025D"/>
    <w:rsid w:val="009C04B5"/>
    <w:rsid w:val="009C04F7"/>
    <w:rsid w:val="009C070C"/>
    <w:rsid w:val="009C0BEC"/>
    <w:rsid w:val="009C10A8"/>
    <w:rsid w:val="009C10D6"/>
    <w:rsid w:val="009C1104"/>
    <w:rsid w:val="009C137B"/>
    <w:rsid w:val="009C1537"/>
    <w:rsid w:val="009C1B60"/>
    <w:rsid w:val="009C1C39"/>
    <w:rsid w:val="009C1CBE"/>
    <w:rsid w:val="009C1D34"/>
    <w:rsid w:val="009C1D4A"/>
    <w:rsid w:val="009C2013"/>
    <w:rsid w:val="009C20E9"/>
    <w:rsid w:val="009C2133"/>
    <w:rsid w:val="009C2490"/>
    <w:rsid w:val="009C2540"/>
    <w:rsid w:val="009C2685"/>
    <w:rsid w:val="009C2941"/>
    <w:rsid w:val="009C2B42"/>
    <w:rsid w:val="009C2B5F"/>
    <w:rsid w:val="009C2B68"/>
    <w:rsid w:val="009C2CFD"/>
    <w:rsid w:val="009C2F05"/>
    <w:rsid w:val="009C34DC"/>
    <w:rsid w:val="009C37CB"/>
    <w:rsid w:val="009C3886"/>
    <w:rsid w:val="009C3B9C"/>
    <w:rsid w:val="009C3C3E"/>
    <w:rsid w:val="009C3C8C"/>
    <w:rsid w:val="009C3F45"/>
    <w:rsid w:val="009C4194"/>
    <w:rsid w:val="009C4701"/>
    <w:rsid w:val="009C4956"/>
    <w:rsid w:val="009C57A5"/>
    <w:rsid w:val="009C597D"/>
    <w:rsid w:val="009C5BA4"/>
    <w:rsid w:val="009C5EDE"/>
    <w:rsid w:val="009C63CA"/>
    <w:rsid w:val="009C65E1"/>
    <w:rsid w:val="009C6964"/>
    <w:rsid w:val="009C6D0E"/>
    <w:rsid w:val="009C718D"/>
    <w:rsid w:val="009C7402"/>
    <w:rsid w:val="009C7488"/>
    <w:rsid w:val="009C7864"/>
    <w:rsid w:val="009C79D7"/>
    <w:rsid w:val="009C7BA7"/>
    <w:rsid w:val="009D00C1"/>
    <w:rsid w:val="009D0902"/>
    <w:rsid w:val="009D09F0"/>
    <w:rsid w:val="009D0B90"/>
    <w:rsid w:val="009D0BC1"/>
    <w:rsid w:val="009D0EC0"/>
    <w:rsid w:val="009D1206"/>
    <w:rsid w:val="009D1AF0"/>
    <w:rsid w:val="009D1FBE"/>
    <w:rsid w:val="009D2036"/>
    <w:rsid w:val="009D2106"/>
    <w:rsid w:val="009D2155"/>
    <w:rsid w:val="009D21B0"/>
    <w:rsid w:val="009D25B4"/>
    <w:rsid w:val="009D28A0"/>
    <w:rsid w:val="009D29C1"/>
    <w:rsid w:val="009D3111"/>
    <w:rsid w:val="009D35D0"/>
    <w:rsid w:val="009D3796"/>
    <w:rsid w:val="009D3802"/>
    <w:rsid w:val="009D3CAC"/>
    <w:rsid w:val="009D3F0C"/>
    <w:rsid w:val="009D3FE0"/>
    <w:rsid w:val="009D4061"/>
    <w:rsid w:val="009D4086"/>
    <w:rsid w:val="009D43BE"/>
    <w:rsid w:val="009D4EF1"/>
    <w:rsid w:val="009D5217"/>
    <w:rsid w:val="009D53D9"/>
    <w:rsid w:val="009D60B3"/>
    <w:rsid w:val="009D65A9"/>
    <w:rsid w:val="009D6D13"/>
    <w:rsid w:val="009D6EC4"/>
    <w:rsid w:val="009D729B"/>
    <w:rsid w:val="009D767C"/>
    <w:rsid w:val="009D7A6D"/>
    <w:rsid w:val="009D7BA9"/>
    <w:rsid w:val="009E008D"/>
    <w:rsid w:val="009E02AD"/>
    <w:rsid w:val="009E0595"/>
    <w:rsid w:val="009E07AA"/>
    <w:rsid w:val="009E0830"/>
    <w:rsid w:val="009E0ADF"/>
    <w:rsid w:val="009E0B2C"/>
    <w:rsid w:val="009E0D52"/>
    <w:rsid w:val="009E0DE2"/>
    <w:rsid w:val="009E1330"/>
    <w:rsid w:val="009E17EB"/>
    <w:rsid w:val="009E19DF"/>
    <w:rsid w:val="009E1A88"/>
    <w:rsid w:val="009E1B81"/>
    <w:rsid w:val="009E1C63"/>
    <w:rsid w:val="009E2017"/>
    <w:rsid w:val="009E2051"/>
    <w:rsid w:val="009E2924"/>
    <w:rsid w:val="009E292E"/>
    <w:rsid w:val="009E29F7"/>
    <w:rsid w:val="009E2B3E"/>
    <w:rsid w:val="009E2CD8"/>
    <w:rsid w:val="009E2F72"/>
    <w:rsid w:val="009E308C"/>
    <w:rsid w:val="009E30D6"/>
    <w:rsid w:val="009E30F2"/>
    <w:rsid w:val="009E328E"/>
    <w:rsid w:val="009E331A"/>
    <w:rsid w:val="009E36B8"/>
    <w:rsid w:val="009E3CC1"/>
    <w:rsid w:val="009E3DB0"/>
    <w:rsid w:val="009E3F96"/>
    <w:rsid w:val="009E41B4"/>
    <w:rsid w:val="009E43F6"/>
    <w:rsid w:val="009E4927"/>
    <w:rsid w:val="009E4C38"/>
    <w:rsid w:val="009E4C9B"/>
    <w:rsid w:val="009E4F66"/>
    <w:rsid w:val="009E52D0"/>
    <w:rsid w:val="009E52E3"/>
    <w:rsid w:val="009E54EB"/>
    <w:rsid w:val="009E555A"/>
    <w:rsid w:val="009E5A86"/>
    <w:rsid w:val="009E5ADE"/>
    <w:rsid w:val="009E5BAC"/>
    <w:rsid w:val="009E5CEB"/>
    <w:rsid w:val="009E6052"/>
    <w:rsid w:val="009E6411"/>
    <w:rsid w:val="009E647D"/>
    <w:rsid w:val="009E648D"/>
    <w:rsid w:val="009E6C64"/>
    <w:rsid w:val="009E6C79"/>
    <w:rsid w:val="009E6EDE"/>
    <w:rsid w:val="009E7067"/>
    <w:rsid w:val="009E7AD0"/>
    <w:rsid w:val="009E7C7F"/>
    <w:rsid w:val="009F0029"/>
    <w:rsid w:val="009F01D5"/>
    <w:rsid w:val="009F02EA"/>
    <w:rsid w:val="009F0541"/>
    <w:rsid w:val="009F061C"/>
    <w:rsid w:val="009F0752"/>
    <w:rsid w:val="009F07BB"/>
    <w:rsid w:val="009F0AFA"/>
    <w:rsid w:val="009F0BA9"/>
    <w:rsid w:val="009F0DC8"/>
    <w:rsid w:val="009F0EE9"/>
    <w:rsid w:val="009F10BA"/>
    <w:rsid w:val="009F11FA"/>
    <w:rsid w:val="009F124F"/>
    <w:rsid w:val="009F1388"/>
    <w:rsid w:val="009F180E"/>
    <w:rsid w:val="009F1858"/>
    <w:rsid w:val="009F188A"/>
    <w:rsid w:val="009F1890"/>
    <w:rsid w:val="009F1967"/>
    <w:rsid w:val="009F1E14"/>
    <w:rsid w:val="009F1F9C"/>
    <w:rsid w:val="009F2371"/>
    <w:rsid w:val="009F28AF"/>
    <w:rsid w:val="009F28EE"/>
    <w:rsid w:val="009F29F6"/>
    <w:rsid w:val="009F2C96"/>
    <w:rsid w:val="009F2E08"/>
    <w:rsid w:val="009F2E35"/>
    <w:rsid w:val="009F2E80"/>
    <w:rsid w:val="009F2EC6"/>
    <w:rsid w:val="009F3366"/>
    <w:rsid w:val="009F337B"/>
    <w:rsid w:val="009F345E"/>
    <w:rsid w:val="009F34AD"/>
    <w:rsid w:val="009F3AB0"/>
    <w:rsid w:val="009F3B92"/>
    <w:rsid w:val="009F3DD4"/>
    <w:rsid w:val="009F4625"/>
    <w:rsid w:val="009F472D"/>
    <w:rsid w:val="009F4988"/>
    <w:rsid w:val="009F49A7"/>
    <w:rsid w:val="009F4A69"/>
    <w:rsid w:val="009F4B5A"/>
    <w:rsid w:val="009F4B8C"/>
    <w:rsid w:val="009F4BA4"/>
    <w:rsid w:val="009F4D1F"/>
    <w:rsid w:val="009F4D3B"/>
    <w:rsid w:val="009F4DD6"/>
    <w:rsid w:val="009F5270"/>
    <w:rsid w:val="009F549F"/>
    <w:rsid w:val="009F6118"/>
    <w:rsid w:val="009F630F"/>
    <w:rsid w:val="009F6B72"/>
    <w:rsid w:val="009F6E30"/>
    <w:rsid w:val="009F7375"/>
    <w:rsid w:val="009F76E7"/>
    <w:rsid w:val="009F7A80"/>
    <w:rsid w:val="009F7B72"/>
    <w:rsid w:val="00A0080E"/>
    <w:rsid w:val="00A00A6F"/>
    <w:rsid w:val="00A00BB0"/>
    <w:rsid w:val="00A01115"/>
    <w:rsid w:val="00A01149"/>
    <w:rsid w:val="00A0128A"/>
    <w:rsid w:val="00A01575"/>
    <w:rsid w:val="00A015AE"/>
    <w:rsid w:val="00A0181F"/>
    <w:rsid w:val="00A01970"/>
    <w:rsid w:val="00A02010"/>
    <w:rsid w:val="00A020B6"/>
    <w:rsid w:val="00A023FC"/>
    <w:rsid w:val="00A02436"/>
    <w:rsid w:val="00A027CF"/>
    <w:rsid w:val="00A02832"/>
    <w:rsid w:val="00A028B7"/>
    <w:rsid w:val="00A029CC"/>
    <w:rsid w:val="00A02BE4"/>
    <w:rsid w:val="00A02FA2"/>
    <w:rsid w:val="00A0366B"/>
    <w:rsid w:val="00A03853"/>
    <w:rsid w:val="00A0399B"/>
    <w:rsid w:val="00A03A5A"/>
    <w:rsid w:val="00A03B2B"/>
    <w:rsid w:val="00A03BF0"/>
    <w:rsid w:val="00A0405F"/>
    <w:rsid w:val="00A042DB"/>
    <w:rsid w:val="00A04997"/>
    <w:rsid w:val="00A04A3B"/>
    <w:rsid w:val="00A04A96"/>
    <w:rsid w:val="00A04B3D"/>
    <w:rsid w:val="00A04CAF"/>
    <w:rsid w:val="00A04E60"/>
    <w:rsid w:val="00A04FA6"/>
    <w:rsid w:val="00A052FC"/>
    <w:rsid w:val="00A0561F"/>
    <w:rsid w:val="00A05895"/>
    <w:rsid w:val="00A059BE"/>
    <w:rsid w:val="00A05E95"/>
    <w:rsid w:val="00A0626D"/>
    <w:rsid w:val="00A06682"/>
    <w:rsid w:val="00A0697B"/>
    <w:rsid w:val="00A06A71"/>
    <w:rsid w:val="00A06CCE"/>
    <w:rsid w:val="00A06CF0"/>
    <w:rsid w:val="00A06DEF"/>
    <w:rsid w:val="00A07022"/>
    <w:rsid w:val="00A071BE"/>
    <w:rsid w:val="00A0736D"/>
    <w:rsid w:val="00A07470"/>
    <w:rsid w:val="00A074C2"/>
    <w:rsid w:val="00A0762F"/>
    <w:rsid w:val="00A07764"/>
    <w:rsid w:val="00A07970"/>
    <w:rsid w:val="00A07A5F"/>
    <w:rsid w:val="00A07C40"/>
    <w:rsid w:val="00A07EC4"/>
    <w:rsid w:val="00A1016F"/>
    <w:rsid w:val="00A10260"/>
    <w:rsid w:val="00A1056D"/>
    <w:rsid w:val="00A10671"/>
    <w:rsid w:val="00A10837"/>
    <w:rsid w:val="00A1106F"/>
    <w:rsid w:val="00A11554"/>
    <w:rsid w:val="00A11783"/>
    <w:rsid w:val="00A11E0D"/>
    <w:rsid w:val="00A11E78"/>
    <w:rsid w:val="00A12092"/>
    <w:rsid w:val="00A1231F"/>
    <w:rsid w:val="00A12533"/>
    <w:rsid w:val="00A12A7D"/>
    <w:rsid w:val="00A13036"/>
    <w:rsid w:val="00A130BA"/>
    <w:rsid w:val="00A132CC"/>
    <w:rsid w:val="00A13958"/>
    <w:rsid w:val="00A139B3"/>
    <w:rsid w:val="00A13E8F"/>
    <w:rsid w:val="00A142DD"/>
    <w:rsid w:val="00A14327"/>
    <w:rsid w:val="00A14346"/>
    <w:rsid w:val="00A14791"/>
    <w:rsid w:val="00A14977"/>
    <w:rsid w:val="00A14C36"/>
    <w:rsid w:val="00A150C9"/>
    <w:rsid w:val="00A151DC"/>
    <w:rsid w:val="00A15515"/>
    <w:rsid w:val="00A155F4"/>
    <w:rsid w:val="00A1598B"/>
    <w:rsid w:val="00A159B9"/>
    <w:rsid w:val="00A15A36"/>
    <w:rsid w:val="00A15A6D"/>
    <w:rsid w:val="00A15CBD"/>
    <w:rsid w:val="00A160F2"/>
    <w:rsid w:val="00A16305"/>
    <w:rsid w:val="00A165D3"/>
    <w:rsid w:val="00A168F3"/>
    <w:rsid w:val="00A1696E"/>
    <w:rsid w:val="00A169CD"/>
    <w:rsid w:val="00A16A47"/>
    <w:rsid w:val="00A1714A"/>
    <w:rsid w:val="00A17155"/>
    <w:rsid w:val="00A173EA"/>
    <w:rsid w:val="00A17885"/>
    <w:rsid w:val="00A178DC"/>
    <w:rsid w:val="00A17A42"/>
    <w:rsid w:val="00A17C35"/>
    <w:rsid w:val="00A17CE0"/>
    <w:rsid w:val="00A17FF5"/>
    <w:rsid w:val="00A199F2"/>
    <w:rsid w:val="00A201F9"/>
    <w:rsid w:val="00A20227"/>
    <w:rsid w:val="00A204F6"/>
    <w:rsid w:val="00A2069C"/>
    <w:rsid w:val="00A208C8"/>
    <w:rsid w:val="00A21443"/>
    <w:rsid w:val="00A2150C"/>
    <w:rsid w:val="00A217EE"/>
    <w:rsid w:val="00A22071"/>
    <w:rsid w:val="00A2215B"/>
    <w:rsid w:val="00A2230F"/>
    <w:rsid w:val="00A223E4"/>
    <w:rsid w:val="00A22F81"/>
    <w:rsid w:val="00A231CE"/>
    <w:rsid w:val="00A233D7"/>
    <w:rsid w:val="00A23661"/>
    <w:rsid w:val="00A23C58"/>
    <w:rsid w:val="00A23D48"/>
    <w:rsid w:val="00A23E59"/>
    <w:rsid w:val="00A240F1"/>
    <w:rsid w:val="00A24642"/>
    <w:rsid w:val="00A24ACA"/>
    <w:rsid w:val="00A24BAA"/>
    <w:rsid w:val="00A24E1A"/>
    <w:rsid w:val="00A25606"/>
    <w:rsid w:val="00A25C3A"/>
    <w:rsid w:val="00A25CBB"/>
    <w:rsid w:val="00A25CE8"/>
    <w:rsid w:val="00A26207"/>
    <w:rsid w:val="00A26337"/>
    <w:rsid w:val="00A2681F"/>
    <w:rsid w:val="00A2692B"/>
    <w:rsid w:val="00A26AAA"/>
    <w:rsid w:val="00A26EE4"/>
    <w:rsid w:val="00A2704B"/>
    <w:rsid w:val="00A272F3"/>
    <w:rsid w:val="00A276F2"/>
    <w:rsid w:val="00A277DA"/>
    <w:rsid w:val="00A27972"/>
    <w:rsid w:val="00A27A76"/>
    <w:rsid w:val="00A27AD3"/>
    <w:rsid w:val="00A27B20"/>
    <w:rsid w:val="00A27D0F"/>
    <w:rsid w:val="00A27EA7"/>
    <w:rsid w:val="00A30031"/>
    <w:rsid w:val="00A300B2"/>
    <w:rsid w:val="00A3022F"/>
    <w:rsid w:val="00A30454"/>
    <w:rsid w:val="00A30652"/>
    <w:rsid w:val="00A307D1"/>
    <w:rsid w:val="00A307E5"/>
    <w:rsid w:val="00A30FED"/>
    <w:rsid w:val="00A31382"/>
    <w:rsid w:val="00A3139E"/>
    <w:rsid w:val="00A315D6"/>
    <w:rsid w:val="00A31637"/>
    <w:rsid w:val="00A3165A"/>
    <w:rsid w:val="00A316AE"/>
    <w:rsid w:val="00A31796"/>
    <w:rsid w:val="00A31881"/>
    <w:rsid w:val="00A31A96"/>
    <w:rsid w:val="00A31B64"/>
    <w:rsid w:val="00A31BF0"/>
    <w:rsid w:val="00A31C66"/>
    <w:rsid w:val="00A31F49"/>
    <w:rsid w:val="00A32355"/>
    <w:rsid w:val="00A32551"/>
    <w:rsid w:val="00A326B1"/>
    <w:rsid w:val="00A329D9"/>
    <w:rsid w:val="00A32A7E"/>
    <w:rsid w:val="00A32BE1"/>
    <w:rsid w:val="00A335C5"/>
    <w:rsid w:val="00A3363D"/>
    <w:rsid w:val="00A33910"/>
    <w:rsid w:val="00A339E0"/>
    <w:rsid w:val="00A33E4D"/>
    <w:rsid w:val="00A33F00"/>
    <w:rsid w:val="00A33F84"/>
    <w:rsid w:val="00A344A5"/>
    <w:rsid w:val="00A344AC"/>
    <w:rsid w:val="00A34575"/>
    <w:rsid w:val="00A349E8"/>
    <w:rsid w:val="00A34BF4"/>
    <w:rsid w:val="00A34F7E"/>
    <w:rsid w:val="00A34FED"/>
    <w:rsid w:val="00A3503D"/>
    <w:rsid w:val="00A35BFC"/>
    <w:rsid w:val="00A35C4A"/>
    <w:rsid w:val="00A365D7"/>
    <w:rsid w:val="00A36B6E"/>
    <w:rsid w:val="00A36C2D"/>
    <w:rsid w:val="00A36E3F"/>
    <w:rsid w:val="00A36F0B"/>
    <w:rsid w:val="00A36FE0"/>
    <w:rsid w:val="00A3767D"/>
    <w:rsid w:val="00A37687"/>
    <w:rsid w:val="00A37728"/>
    <w:rsid w:val="00A378AF"/>
    <w:rsid w:val="00A402DC"/>
    <w:rsid w:val="00A404D7"/>
    <w:rsid w:val="00A4071B"/>
    <w:rsid w:val="00A40834"/>
    <w:rsid w:val="00A40947"/>
    <w:rsid w:val="00A40B47"/>
    <w:rsid w:val="00A41253"/>
    <w:rsid w:val="00A41788"/>
    <w:rsid w:val="00A41D00"/>
    <w:rsid w:val="00A41ED3"/>
    <w:rsid w:val="00A42077"/>
    <w:rsid w:val="00A42306"/>
    <w:rsid w:val="00A42357"/>
    <w:rsid w:val="00A42661"/>
    <w:rsid w:val="00A4268B"/>
    <w:rsid w:val="00A4323A"/>
    <w:rsid w:val="00A434F0"/>
    <w:rsid w:val="00A436DA"/>
    <w:rsid w:val="00A436E8"/>
    <w:rsid w:val="00A43B52"/>
    <w:rsid w:val="00A43F10"/>
    <w:rsid w:val="00A443AF"/>
    <w:rsid w:val="00A4452E"/>
    <w:rsid w:val="00A44690"/>
    <w:rsid w:val="00A44741"/>
    <w:rsid w:val="00A44798"/>
    <w:rsid w:val="00A44850"/>
    <w:rsid w:val="00A4491E"/>
    <w:rsid w:val="00A44933"/>
    <w:rsid w:val="00A44A94"/>
    <w:rsid w:val="00A44B8A"/>
    <w:rsid w:val="00A44CF1"/>
    <w:rsid w:val="00A44E8D"/>
    <w:rsid w:val="00A452DA"/>
    <w:rsid w:val="00A454A8"/>
    <w:rsid w:val="00A45662"/>
    <w:rsid w:val="00A4588B"/>
    <w:rsid w:val="00A45C5E"/>
    <w:rsid w:val="00A45DB3"/>
    <w:rsid w:val="00A462F3"/>
    <w:rsid w:val="00A4636E"/>
    <w:rsid w:val="00A4644E"/>
    <w:rsid w:val="00A4648C"/>
    <w:rsid w:val="00A46886"/>
    <w:rsid w:val="00A46C4C"/>
    <w:rsid w:val="00A46DAC"/>
    <w:rsid w:val="00A46DBC"/>
    <w:rsid w:val="00A46EA8"/>
    <w:rsid w:val="00A46ECF"/>
    <w:rsid w:val="00A46F99"/>
    <w:rsid w:val="00A4740B"/>
    <w:rsid w:val="00A474DA"/>
    <w:rsid w:val="00A47701"/>
    <w:rsid w:val="00A4786F"/>
    <w:rsid w:val="00A478E6"/>
    <w:rsid w:val="00A47B50"/>
    <w:rsid w:val="00A47BD7"/>
    <w:rsid w:val="00A47EA8"/>
    <w:rsid w:val="00A5039F"/>
    <w:rsid w:val="00A50442"/>
    <w:rsid w:val="00A5087C"/>
    <w:rsid w:val="00A50C24"/>
    <w:rsid w:val="00A50D14"/>
    <w:rsid w:val="00A50FB9"/>
    <w:rsid w:val="00A511A8"/>
    <w:rsid w:val="00A5140E"/>
    <w:rsid w:val="00A519D3"/>
    <w:rsid w:val="00A51D68"/>
    <w:rsid w:val="00A520AF"/>
    <w:rsid w:val="00A523FD"/>
    <w:rsid w:val="00A526B0"/>
    <w:rsid w:val="00A52790"/>
    <w:rsid w:val="00A52B0C"/>
    <w:rsid w:val="00A53451"/>
    <w:rsid w:val="00A534A8"/>
    <w:rsid w:val="00A53762"/>
    <w:rsid w:val="00A537C4"/>
    <w:rsid w:val="00A537F4"/>
    <w:rsid w:val="00A53B64"/>
    <w:rsid w:val="00A53E30"/>
    <w:rsid w:val="00A54558"/>
    <w:rsid w:val="00A547D5"/>
    <w:rsid w:val="00A549CB"/>
    <w:rsid w:val="00A54B3B"/>
    <w:rsid w:val="00A54C14"/>
    <w:rsid w:val="00A54C1A"/>
    <w:rsid w:val="00A54C97"/>
    <w:rsid w:val="00A54F2D"/>
    <w:rsid w:val="00A54F68"/>
    <w:rsid w:val="00A5503D"/>
    <w:rsid w:val="00A5511E"/>
    <w:rsid w:val="00A552D3"/>
    <w:rsid w:val="00A555EB"/>
    <w:rsid w:val="00A556F8"/>
    <w:rsid w:val="00A5575B"/>
    <w:rsid w:val="00A55ACD"/>
    <w:rsid w:val="00A55BC9"/>
    <w:rsid w:val="00A55CC9"/>
    <w:rsid w:val="00A55DA1"/>
    <w:rsid w:val="00A56293"/>
    <w:rsid w:val="00A5664A"/>
    <w:rsid w:val="00A56A81"/>
    <w:rsid w:val="00A56B46"/>
    <w:rsid w:val="00A56BFA"/>
    <w:rsid w:val="00A56D9D"/>
    <w:rsid w:val="00A5708E"/>
    <w:rsid w:val="00A57568"/>
    <w:rsid w:val="00A5794C"/>
    <w:rsid w:val="00A579E3"/>
    <w:rsid w:val="00A579EC"/>
    <w:rsid w:val="00A57D8A"/>
    <w:rsid w:val="00A6007F"/>
    <w:rsid w:val="00A6021A"/>
    <w:rsid w:val="00A602D9"/>
    <w:rsid w:val="00A603C0"/>
    <w:rsid w:val="00A6052E"/>
    <w:rsid w:val="00A60A4A"/>
    <w:rsid w:val="00A60B5A"/>
    <w:rsid w:val="00A61121"/>
    <w:rsid w:val="00A61264"/>
    <w:rsid w:val="00A612C6"/>
    <w:rsid w:val="00A6157D"/>
    <w:rsid w:val="00A617A5"/>
    <w:rsid w:val="00A61BBF"/>
    <w:rsid w:val="00A62194"/>
    <w:rsid w:val="00A621A1"/>
    <w:rsid w:val="00A62341"/>
    <w:rsid w:val="00A623CB"/>
    <w:rsid w:val="00A625FB"/>
    <w:rsid w:val="00A62751"/>
    <w:rsid w:val="00A62C35"/>
    <w:rsid w:val="00A62F1D"/>
    <w:rsid w:val="00A62F46"/>
    <w:rsid w:val="00A63351"/>
    <w:rsid w:val="00A636D7"/>
    <w:rsid w:val="00A6371D"/>
    <w:rsid w:val="00A638FB"/>
    <w:rsid w:val="00A63FB2"/>
    <w:rsid w:val="00A63FF8"/>
    <w:rsid w:val="00A640D4"/>
    <w:rsid w:val="00A64159"/>
    <w:rsid w:val="00A6420B"/>
    <w:rsid w:val="00A646C3"/>
    <w:rsid w:val="00A64727"/>
    <w:rsid w:val="00A64BC2"/>
    <w:rsid w:val="00A652EA"/>
    <w:rsid w:val="00A65464"/>
    <w:rsid w:val="00A6571E"/>
    <w:rsid w:val="00A65818"/>
    <w:rsid w:val="00A65A26"/>
    <w:rsid w:val="00A65B71"/>
    <w:rsid w:val="00A65E14"/>
    <w:rsid w:val="00A663CF"/>
    <w:rsid w:val="00A66610"/>
    <w:rsid w:val="00A66A16"/>
    <w:rsid w:val="00A6701B"/>
    <w:rsid w:val="00A6735F"/>
    <w:rsid w:val="00A6759D"/>
    <w:rsid w:val="00A675F2"/>
    <w:rsid w:val="00A6774B"/>
    <w:rsid w:val="00A6786B"/>
    <w:rsid w:val="00A67919"/>
    <w:rsid w:val="00A70140"/>
    <w:rsid w:val="00A70227"/>
    <w:rsid w:val="00A702DC"/>
    <w:rsid w:val="00A706AD"/>
    <w:rsid w:val="00A70715"/>
    <w:rsid w:val="00A709AE"/>
    <w:rsid w:val="00A70A75"/>
    <w:rsid w:val="00A70B7D"/>
    <w:rsid w:val="00A70BC9"/>
    <w:rsid w:val="00A70BF2"/>
    <w:rsid w:val="00A70D36"/>
    <w:rsid w:val="00A7102E"/>
    <w:rsid w:val="00A711AC"/>
    <w:rsid w:val="00A711E8"/>
    <w:rsid w:val="00A7134B"/>
    <w:rsid w:val="00A71451"/>
    <w:rsid w:val="00A71512"/>
    <w:rsid w:val="00A7161F"/>
    <w:rsid w:val="00A71635"/>
    <w:rsid w:val="00A71787"/>
    <w:rsid w:val="00A717EF"/>
    <w:rsid w:val="00A71B7D"/>
    <w:rsid w:val="00A71C97"/>
    <w:rsid w:val="00A71CF0"/>
    <w:rsid w:val="00A71D64"/>
    <w:rsid w:val="00A71E08"/>
    <w:rsid w:val="00A71EEE"/>
    <w:rsid w:val="00A720A1"/>
    <w:rsid w:val="00A72408"/>
    <w:rsid w:val="00A724E4"/>
    <w:rsid w:val="00A72608"/>
    <w:rsid w:val="00A726E0"/>
    <w:rsid w:val="00A72ABA"/>
    <w:rsid w:val="00A72AFA"/>
    <w:rsid w:val="00A72D9F"/>
    <w:rsid w:val="00A72EA0"/>
    <w:rsid w:val="00A7431C"/>
    <w:rsid w:val="00A7445B"/>
    <w:rsid w:val="00A74839"/>
    <w:rsid w:val="00A74A47"/>
    <w:rsid w:val="00A74E3E"/>
    <w:rsid w:val="00A752F5"/>
    <w:rsid w:val="00A7542B"/>
    <w:rsid w:val="00A756F4"/>
    <w:rsid w:val="00A75810"/>
    <w:rsid w:val="00A759FF"/>
    <w:rsid w:val="00A75AEC"/>
    <w:rsid w:val="00A75AEF"/>
    <w:rsid w:val="00A75ECD"/>
    <w:rsid w:val="00A75FA1"/>
    <w:rsid w:val="00A761CC"/>
    <w:rsid w:val="00A7623E"/>
    <w:rsid w:val="00A763C6"/>
    <w:rsid w:val="00A763F9"/>
    <w:rsid w:val="00A76540"/>
    <w:rsid w:val="00A76827"/>
    <w:rsid w:val="00A76894"/>
    <w:rsid w:val="00A76FA4"/>
    <w:rsid w:val="00A7705D"/>
    <w:rsid w:val="00A77088"/>
    <w:rsid w:val="00A772B5"/>
    <w:rsid w:val="00A776C4"/>
    <w:rsid w:val="00A77DA8"/>
    <w:rsid w:val="00A77F12"/>
    <w:rsid w:val="00A8002A"/>
    <w:rsid w:val="00A800C2"/>
    <w:rsid w:val="00A80104"/>
    <w:rsid w:val="00A8029B"/>
    <w:rsid w:val="00A80477"/>
    <w:rsid w:val="00A8075A"/>
    <w:rsid w:val="00A80DB3"/>
    <w:rsid w:val="00A80EA9"/>
    <w:rsid w:val="00A8118C"/>
    <w:rsid w:val="00A816CE"/>
    <w:rsid w:val="00A81784"/>
    <w:rsid w:val="00A81847"/>
    <w:rsid w:val="00A82303"/>
    <w:rsid w:val="00A828BE"/>
    <w:rsid w:val="00A82C2B"/>
    <w:rsid w:val="00A82C90"/>
    <w:rsid w:val="00A82D0F"/>
    <w:rsid w:val="00A83118"/>
    <w:rsid w:val="00A83345"/>
    <w:rsid w:val="00A8371C"/>
    <w:rsid w:val="00A83A02"/>
    <w:rsid w:val="00A83B16"/>
    <w:rsid w:val="00A83DD7"/>
    <w:rsid w:val="00A83FA4"/>
    <w:rsid w:val="00A84079"/>
    <w:rsid w:val="00A84562"/>
    <w:rsid w:val="00A84658"/>
    <w:rsid w:val="00A84A96"/>
    <w:rsid w:val="00A84BEF"/>
    <w:rsid w:val="00A84DCB"/>
    <w:rsid w:val="00A85039"/>
    <w:rsid w:val="00A854DF"/>
    <w:rsid w:val="00A85927"/>
    <w:rsid w:val="00A85985"/>
    <w:rsid w:val="00A85D27"/>
    <w:rsid w:val="00A85E50"/>
    <w:rsid w:val="00A86048"/>
    <w:rsid w:val="00A860BD"/>
    <w:rsid w:val="00A86157"/>
    <w:rsid w:val="00A863DE"/>
    <w:rsid w:val="00A864FE"/>
    <w:rsid w:val="00A86688"/>
    <w:rsid w:val="00A86970"/>
    <w:rsid w:val="00A86A1E"/>
    <w:rsid w:val="00A86BD2"/>
    <w:rsid w:val="00A86E4A"/>
    <w:rsid w:val="00A86EF3"/>
    <w:rsid w:val="00A86F3C"/>
    <w:rsid w:val="00A875D2"/>
    <w:rsid w:val="00A87620"/>
    <w:rsid w:val="00A876CF"/>
    <w:rsid w:val="00A87871"/>
    <w:rsid w:val="00A87E5B"/>
    <w:rsid w:val="00A8B440"/>
    <w:rsid w:val="00A906AE"/>
    <w:rsid w:val="00A9099E"/>
    <w:rsid w:val="00A909D1"/>
    <w:rsid w:val="00A90CEF"/>
    <w:rsid w:val="00A90D29"/>
    <w:rsid w:val="00A90DD7"/>
    <w:rsid w:val="00A90E52"/>
    <w:rsid w:val="00A912ED"/>
    <w:rsid w:val="00A9151D"/>
    <w:rsid w:val="00A91624"/>
    <w:rsid w:val="00A92188"/>
    <w:rsid w:val="00A92228"/>
    <w:rsid w:val="00A92432"/>
    <w:rsid w:val="00A9271C"/>
    <w:rsid w:val="00A92836"/>
    <w:rsid w:val="00A92A42"/>
    <w:rsid w:val="00A92AB0"/>
    <w:rsid w:val="00A92BEA"/>
    <w:rsid w:val="00A92E30"/>
    <w:rsid w:val="00A92F81"/>
    <w:rsid w:val="00A93B8A"/>
    <w:rsid w:val="00A93DFF"/>
    <w:rsid w:val="00A93E44"/>
    <w:rsid w:val="00A94378"/>
    <w:rsid w:val="00A94766"/>
    <w:rsid w:val="00A947F4"/>
    <w:rsid w:val="00A948CA"/>
    <w:rsid w:val="00A94CEC"/>
    <w:rsid w:val="00A95710"/>
    <w:rsid w:val="00A95889"/>
    <w:rsid w:val="00A95A58"/>
    <w:rsid w:val="00A95D53"/>
    <w:rsid w:val="00A9613A"/>
    <w:rsid w:val="00A9676B"/>
    <w:rsid w:val="00A96BCF"/>
    <w:rsid w:val="00A96C80"/>
    <w:rsid w:val="00A96E78"/>
    <w:rsid w:val="00A96F04"/>
    <w:rsid w:val="00A96F84"/>
    <w:rsid w:val="00A9705C"/>
    <w:rsid w:val="00A97117"/>
    <w:rsid w:val="00A97342"/>
    <w:rsid w:val="00A973A8"/>
    <w:rsid w:val="00A9791F"/>
    <w:rsid w:val="00A97959"/>
    <w:rsid w:val="00A97AFB"/>
    <w:rsid w:val="00A97B79"/>
    <w:rsid w:val="00A97EBC"/>
    <w:rsid w:val="00A97F6E"/>
    <w:rsid w:val="00AA02E3"/>
    <w:rsid w:val="00AA036E"/>
    <w:rsid w:val="00AA03B0"/>
    <w:rsid w:val="00AA04D5"/>
    <w:rsid w:val="00AA0A61"/>
    <w:rsid w:val="00AA0BB1"/>
    <w:rsid w:val="00AA0F88"/>
    <w:rsid w:val="00AA153C"/>
    <w:rsid w:val="00AA15D7"/>
    <w:rsid w:val="00AA1D3E"/>
    <w:rsid w:val="00AA2188"/>
    <w:rsid w:val="00AA25AD"/>
    <w:rsid w:val="00AA26C1"/>
    <w:rsid w:val="00AA27FB"/>
    <w:rsid w:val="00AA2D54"/>
    <w:rsid w:val="00AA2DC4"/>
    <w:rsid w:val="00AA30C7"/>
    <w:rsid w:val="00AA3463"/>
    <w:rsid w:val="00AA3518"/>
    <w:rsid w:val="00AA3740"/>
    <w:rsid w:val="00AA3BCE"/>
    <w:rsid w:val="00AA3D24"/>
    <w:rsid w:val="00AA43D9"/>
    <w:rsid w:val="00AA4585"/>
    <w:rsid w:val="00AA49D6"/>
    <w:rsid w:val="00AA4A20"/>
    <w:rsid w:val="00AA4A54"/>
    <w:rsid w:val="00AA4A99"/>
    <w:rsid w:val="00AA4CDB"/>
    <w:rsid w:val="00AA4D39"/>
    <w:rsid w:val="00AA4F64"/>
    <w:rsid w:val="00AA4FFE"/>
    <w:rsid w:val="00AA52EF"/>
    <w:rsid w:val="00AA5381"/>
    <w:rsid w:val="00AA5588"/>
    <w:rsid w:val="00AA5615"/>
    <w:rsid w:val="00AA5AB8"/>
    <w:rsid w:val="00AA5C4E"/>
    <w:rsid w:val="00AA5D39"/>
    <w:rsid w:val="00AA5F3E"/>
    <w:rsid w:val="00AA628C"/>
    <w:rsid w:val="00AA6906"/>
    <w:rsid w:val="00AA69B8"/>
    <w:rsid w:val="00AA6A0D"/>
    <w:rsid w:val="00AA6AE4"/>
    <w:rsid w:val="00AA6B97"/>
    <w:rsid w:val="00AA6E8D"/>
    <w:rsid w:val="00AA6FC4"/>
    <w:rsid w:val="00AA70BB"/>
    <w:rsid w:val="00AA70C3"/>
    <w:rsid w:val="00AA70E2"/>
    <w:rsid w:val="00AA714B"/>
    <w:rsid w:val="00AA75C0"/>
    <w:rsid w:val="00AA7797"/>
    <w:rsid w:val="00AA7883"/>
    <w:rsid w:val="00AA79C6"/>
    <w:rsid w:val="00AA7AAD"/>
    <w:rsid w:val="00AB009E"/>
    <w:rsid w:val="00AB0A1B"/>
    <w:rsid w:val="00AB0AE3"/>
    <w:rsid w:val="00AB0BC4"/>
    <w:rsid w:val="00AB0DAD"/>
    <w:rsid w:val="00AB0E00"/>
    <w:rsid w:val="00AB0E35"/>
    <w:rsid w:val="00AB0EBA"/>
    <w:rsid w:val="00AB0F59"/>
    <w:rsid w:val="00AB1516"/>
    <w:rsid w:val="00AB1584"/>
    <w:rsid w:val="00AB1AB2"/>
    <w:rsid w:val="00AB1E7E"/>
    <w:rsid w:val="00AB1F78"/>
    <w:rsid w:val="00AB20EA"/>
    <w:rsid w:val="00AB23D9"/>
    <w:rsid w:val="00AB275B"/>
    <w:rsid w:val="00AB2763"/>
    <w:rsid w:val="00AB2BD7"/>
    <w:rsid w:val="00AB2DB8"/>
    <w:rsid w:val="00AB2E09"/>
    <w:rsid w:val="00AB2F28"/>
    <w:rsid w:val="00AB3366"/>
    <w:rsid w:val="00AB342F"/>
    <w:rsid w:val="00AB34E7"/>
    <w:rsid w:val="00AB35FE"/>
    <w:rsid w:val="00AB36A1"/>
    <w:rsid w:val="00AB36CF"/>
    <w:rsid w:val="00AB3A7C"/>
    <w:rsid w:val="00AB3F74"/>
    <w:rsid w:val="00AB3F8F"/>
    <w:rsid w:val="00AB3FEF"/>
    <w:rsid w:val="00AB40A8"/>
    <w:rsid w:val="00AB41EF"/>
    <w:rsid w:val="00AB46FB"/>
    <w:rsid w:val="00AB4B76"/>
    <w:rsid w:val="00AB4C2B"/>
    <w:rsid w:val="00AB4D67"/>
    <w:rsid w:val="00AB4D68"/>
    <w:rsid w:val="00AB4D9E"/>
    <w:rsid w:val="00AB59E4"/>
    <w:rsid w:val="00AB5C5C"/>
    <w:rsid w:val="00AB5CCA"/>
    <w:rsid w:val="00AB5D9A"/>
    <w:rsid w:val="00AB5E2C"/>
    <w:rsid w:val="00AB63B7"/>
    <w:rsid w:val="00AB647F"/>
    <w:rsid w:val="00AB6677"/>
    <w:rsid w:val="00AB6861"/>
    <w:rsid w:val="00AB69C9"/>
    <w:rsid w:val="00AB6F24"/>
    <w:rsid w:val="00AB7072"/>
    <w:rsid w:val="00AB720D"/>
    <w:rsid w:val="00AB72B9"/>
    <w:rsid w:val="00AB776F"/>
    <w:rsid w:val="00AB7875"/>
    <w:rsid w:val="00AB79E0"/>
    <w:rsid w:val="00AC057A"/>
    <w:rsid w:val="00AC05CD"/>
    <w:rsid w:val="00AC0774"/>
    <w:rsid w:val="00AC084C"/>
    <w:rsid w:val="00AC0B5B"/>
    <w:rsid w:val="00AC0E7D"/>
    <w:rsid w:val="00AC0E7E"/>
    <w:rsid w:val="00AC0EEC"/>
    <w:rsid w:val="00AC0FC7"/>
    <w:rsid w:val="00AC0FFB"/>
    <w:rsid w:val="00AC108E"/>
    <w:rsid w:val="00AC13A2"/>
    <w:rsid w:val="00AC15EF"/>
    <w:rsid w:val="00AC15F6"/>
    <w:rsid w:val="00AC1C89"/>
    <w:rsid w:val="00AC1D7C"/>
    <w:rsid w:val="00AC1DDC"/>
    <w:rsid w:val="00AC1EE3"/>
    <w:rsid w:val="00AC1EE5"/>
    <w:rsid w:val="00AC2484"/>
    <w:rsid w:val="00AC251C"/>
    <w:rsid w:val="00AC2798"/>
    <w:rsid w:val="00AC28B4"/>
    <w:rsid w:val="00AC2AC2"/>
    <w:rsid w:val="00AC2AD6"/>
    <w:rsid w:val="00AC2B80"/>
    <w:rsid w:val="00AC3032"/>
    <w:rsid w:val="00AC3055"/>
    <w:rsid w:val="00AC35C2"/>
    <w:rsid w:val="00AC35F7"/>
    <w:rsid w:val="00AC3F36"/>
    <w:rsid w:val="00AC4220"/>
    <w:rsid w:val="00AC4801"/>
    <w:rsid w:val="00AC48D3"/>
    <w:rsid w:val="00AC5215"/>
    <w:rsid w:val="00AC5327"/>
    <w:rsid w:val="00AC53B4"/>
    <w:rsid w:val="00AC547A"/>
    <w:rsid w:val="00AC5486"/>
    <w:rsid w:val="00AC5EF5"/>
    <w:rsid w:val="00AC6143"/>
    <w:rsid w:val="00AC629F"/>
    <w:rsid w:val="00AC640D"/>
    <w:rsid w:val="00AC68EE"/>
    <w:rsid w:val="00AC6919"/>
    <w:rsid w:val="00AC6AB7"/>
    <w:rsid w:val="00AC6C61"/>
    <w:rsid w:val="00AC7480"/>
    <w:rsid w:val="00AC7492"/>
    <w:rsid w:val="00AC74BB"/>
    <w:rsid w:val="00AC797D"/>
    <w:rsid w:val="00AC7AC3"/>
    <w:rsid w:val="00AD0107"/>
    <w:rsid w:val="00AD031C"/>
    <w:rsid w:val="00AD09FC"/>
    <w:rsid w:val="00AD0D72"/>
    <w:rsid w:val="00AD0ED4"/>
    <w:rsid w:val="00AD1498"/>
    <w:rsid w:val="00AD164B"/>
    <w:rsid w:val="00AD1A1F"/>
    <w:rsid w:val="00AD1B53"/>
    <w:rsid w:val="00AD1B88"/>
    <w:rsid w:val="00AD1FF3"/>
    <w:rsid w:val="00AD2036"/>
    <w:rsid w:val="00AD2151"/>
    <w:rsid w:val="00AD22C9"/>
    <w:rsid w:val="00AD239F"/>
    <w:rsid w:val="00AD2571"/>
    <w:rsid w:val="00AD2613"/>
    <w:rsid w:val="00AD276C"/>
    <w:rsid w:val="00AD2BBB"/>
    <w:rsid w:val="00AD2CB4"/>
    <w:rsid w:val="00AD302C"/>
    <w:rsid w:val="00AD3160"/>
    <w:rsid w:val="00AD321C"/>
    <w:rsid w:val="00AD3297"/>
    <w:rsid w:val="00AD3728"/>
    <w:rsid w:val="00AD3883"/>
    <w:rsid w:val="00AD38E4"/>
    <w:rsid w:val="00AD3BB0"/>
    <w:rsid w:val="00AD3D12"/>
    <w:rsid w:val="00AD3E55"/>
    <w:rsid w:val="00AD3FE1"/>
    <w:rsid w:val="00AD41C0"/>
    <w:rsid w:val="00AD41E9"/>
    <w:rsid w:val="00AD4210"/>
    <w:rsid w:val="00AD46BA"/>
    <w:rsid w:val="00AD47A8"/>
    <w:rsid w:val="00AD5495"/>
    <w:rsid w:val="00AD559F"/>
    <w:rsid w:val="00AD55DA"/>
    <w:rsid w:val="00AD5661"/>
    <w:rsid w:val="00AD570A"/>
    <w:rsid w:val="00AD5960"/>
    <w:rsid w:val="00AD59DF"/>
    <w:rsid w:val="00AD5A1E"/>
    <w:rsid w:val="00AD5EF7"/>
    <w:rsid w:val="00AD5F88"/>
    <w:rsid w:val="00AD6086"/>
    <w:rsid w:val="00AD6109"/>
    <w:rsid w:val="00AD61D9"/>
    <w:rsid w:val="00AD6457"/>
    <w:rsid w:val="00AD64F1"/>
    <w:rsid w:val="00AD6A22"/>
    <w:rsid w:val="00AD741C"/>
    <w:rsid w:val="00AD765E"/>
    <w:rsid w:val="00AD77D1"/>
    <w:rsid w:val="00AD77D5"/>
    <w:rsid w:val="00AD7F44"/>
    <w:rsid w:val="00AD7F4E"/>
    <w:rsid w:val="00AE0276"/>
    <w:rsid w:val="00AE0393"/>
    <w:rsid w:val="00AE0399"/>
    <w:rsid w:val="00AE0687"/>
    <w:rsid w:val="00AE0BB2"/>
    <w:rsid w:val="00AE0EAD"/>
    <w:rsid w:val="00AE0F36"/>
    <w:rsid w:val="00AE1CE8"/>
    <w:rsid w:val="00AE20A3"/>
    <w:rsid w:val="00AE2418"/>
    <w:rsid w:val="00AE2EFA"/>
    <w:rsid w:val="00AE2F35"/>
    <w:rsid w:val="00AE30F6"/>
    <w:rsid w:val="00AE3349"/>
    <w:rsid w:val="00AE370A"/>
    <w:rsid w:val="00AE3794"/>
    <w:rsid w:val="00AE38B2"/>
    <w:rsid w:val="00AE3A18"/>
    <w:rsid w:val="00AE3B64"/>
    <w:rsid w:val="00AE3C3B"/>
    <w:rsid w:val="00AE4671"/>
    <w:rsid w:val="00AE47C4"/>
    <w:rsid w:val="00AE49C4"/>
    <w:rsid w:val="00AE4D88"/>
    <w:rsid w:val="00AE5061"/>
    <w:rsid w:val="00AE5128"/>
    <w:rsid w:val="00AE55F2"/>
    <w:rsid w:val="00AE5717"/>
    <w:rsid w:val="00AE572F"/>
    <w:rsid w:val="00AE59EF"/>
    <w:rsid w:val="00AE5AA0"/>
    <w:rsid w:val="00AE6136"/>
    <w:rsid w:val="00AE65EC"/>
    <w:rsid w:val="00AE676C"/>
    <w:rsid w:val="00AE696B"/>
    <w:rsid w:val="00AE6C7A"/>
    <w:rsid w:val="00AE6D59"/>
    <w:rsid w:val="00AE6E6F"/>
    <w:rsid w:val="00AE6FAB"/>
    <w:rsid w:val="00AE738F"/>
    <w:rsid w:val="00AE7752"/>
    <w:rsid w:val="00AE79B9"/>
    <w:rsid w:val="00AF0771"/>
    <w:rsid w:val="00AF07E2"/>
    <w:rsid w:val="00AF08C2"/>
    <w:rsid w:val="00AF0AB5"/>
    <w:rsid w:val="00AF0B40"/>
    <w:rsid w:val="00AF0C2B"/>
    <w:rsid w:val="00AF0E3C"/>
    <w:rsid w:val="00AF1217"/>
    <w:rsid w:val="00AF1CE1"/>
    <w:rsid w:val="00AF204C"/>
    <w:rsid w:val="00AF204F"/>
    <w:rsid w:val="00AF20CC"/>
    <w:rsid w:val="00AF20F0"/>
    <w:rsid w:val="00AF2472"/>
    <w:rsid w:val="00AF26E2"/>
    <w:rsid w:val="00AF3581"/>
    <w:rsid w:val="00AF363F"/>
    <w:rsid w:val="00AF39F2"/>
    <w:rsid w:val="00AF3A11"/>
    <w:rsid w:val="00AF3B5F"/>
    <w:rsid w:val="00AF3C57"/>
    <w:rsid w:val="00AF3C5B"/>
    <w:rsid w:val="00AF3DD0"/>
    <w:rsid w:val="00AF4231"/>
    <w:rsid w:val="00AF4318"/>
    <w:rsid w:val="00AF4BFA"/>
    <w:rsid w:val="00AF51C9"/>
    <w:rsid w:val="00AF54B5"/>
    <w:rsid w:val="00AF5692"/>
    <w:rsid w:val="00AF5814"/>
    <w:rsid w:val="00AF592F"/>
    <w:rsid w:val="00AF640D"/>
    <w:rsid w:val="00AF667F"/>
    <w:rsid w:val="00AF6FD7"/>
    <w:rsid w:val="00AF7601"/>
    <w:rsid w:val="00AF7649"/>
    <w:rsid w:val="00AF7955"/>
    <w:rsid w:val="00AF7FD5"/>
    <w:rsid w:val="00B00600"/>
    <w:rsid w:val="00B00F80"/>
    <w:rsid w:val="00B012E0"/>
    <w:rsid w:val="00B01376"/>
    <w:rsid w:val="00B0149B"/>
    <w:rsid w:val="00B01639"/>
    <w:rsid w:val="00B01713"/>
    <w:rsid w:val="00B01741"/>
    <w:rsid w:val="00B017D2"/>
    <w:rsid w:val="00B01856"/>
    <w:rsid w:val="00B01CA8"/>
    <w:rsid w:val="00B01D48"/>
    <w:rsid w:val="00B01F7E"/>
    <w:rsid w:val="00B02017"/>
    <w:rsid w:val="00B0277C"/>
    <w:rsid w:val="00B02B81"/>
    <w:rsid w:val="00B02CDE"/>
    <w:rsid w:val="00B02EB1"/>
    <w:rsid w:val="00B030D3"/>
    <w:rsid w:val="00B0313E"/>
    <w:rsid w:val="00B031CB"/>
    <w:rsid w:val="00B03620"/>
    <w:rsid w:val="00B0389E"/>
    <w:rsid w:val="00B03DA6"/>
    <w:rsid w:val="00B044DB"/>
    <w:rsid w:val="00B0472F"/>
    <w:rsid w:val="00B04778"/>
    <w:rsid w:val="00B05102"/>
    <w:rsid w:val="00B05396"/>
    <w:rsid w:val="00B05472"/>
    <w:rsid w:val="00B054D5"/>
    <w:rsid w:val="00B05609"/>
    <w:rsid w:val="00B05838"/>
    <w:rsid w:val="00B05A85"/>
    <w:rsid w:val="00B05B1A"/>
    <w:rsid w:val="00B05CC7"/>
    <w:rsid w:val="00B05DC7"/>
    <w:rsid w:val="00B0622F"/>
    <w:rsid w:val="00B063D4"/>
    <w:rsid w:val="00B06662"/>
    <w:rsid w:val="00B066AB"/>
    <w:rsid w:val="00B06C41"/>
    <w:rsid w:val="00B06E10"/>
    <w:rsid w:val="00B06EEA"/>
    <w:rsid w:val="00B06FF9"/>
    <w:rsid w:val="00B07051"/>
    <w:rsid w:val="00B0723B"/>
    <w:rsid w:val="00B07502"/>
    <w:rsid w:val="00B07AAB"/>
    <w:rsid w:val="00B07AB3"/>
    <w:rsid w:val="00B10633"/>
    <w:rsid w:val="00B1072C"/>
    <w:rsid w:val="00B1075A"/>
    <w:rsid w:val="00B10A0B"/>
    <w:rsid w:val="00B10AB9"/>
    <w:rsid w:val="00B10D84"/>
    <w:rsid w:val="00B1101D"/>
    <w:rsid w:val="00B11050"/>
    <w:rsid w:val="00B110F7"/>
    <w:rsid w:val="00B1139D"/>
    <w:rsid w:val="00B11843"/>
    <w:rsid w:val="00B11A59"/>
    <w:rsid w:val="00B11E9C"/>
    <w:rsid w:val="00B11F68"/>
    <w:rsid w:val="00B12054"/>
    <w:rsid w:val="00B122ED"/>
    <w:rsid w:val="00B123BC"/>
    <w:rsid w:val="00B1240E"/>
    <w:rsid w:val="00B1261D"/>
    <w:rsid w:val="00B12710"/>
    <w:rsid w:val="00B128E6"/>
    <w:rsid w:val="00B12E35"/>
    <w:rsid w:val="00B133A1"/>
    <w:rsid w:val="00B13757"/>
    <w:rsid w:val="00B137A3"/>
    <w:rsid w:val="00B1388D"/>
    <w:rsid w:val="00B138AD"/>
    <w:rsid w:val="00B139A0"/>
    <w:rsid w:val="00B13A1F"/>
    <w:rsid w:val="00B13A7F"/>
    <w:rsid w:val="00B13C42"/>
    <w:rsid w:val="00B13FEC"/>
    <w:rsid w:val="00B14015"/>
    <w:rsid w:val="00B140E4"/>
    <w:rsid w:val="00B140ED"/>
    <w:rsid w:val="00B143C2"/>
    <w:rsid w:val="00B1449D"/>
    <w:rsid w:val="00B148FD"/>
    <w:rsid w:val="00B14ACC"/>
    <w:rsid w:val="00B15059"/>
    <w:rsid w:val="00B15134"/>
    <w:rsid w:val="00B151AB"/>
    <w:rsid w:val="00B15241"/>
    <w:rsid w:val="00B153FC"/>
    <w:rsid w:val="00B15452"/>
    <w:rsid w:val="00B15931"/>
    <w:rsid w:val="00B1598B"/>
    <w:rsid w:val="00B159C7"/>
    <w:rsid w:val="00B15B1C"/>
    <w:rsid w:val="00B15B21"/>
    <w:rsid w:val="00B15C0A"/>
    <w:rsid w:val="00B15FE9"/>
    <w:rsid w:val="00B1623E"/>
    <w:rsid w:val="00B16328"/>
    <w:rsid w:val="00B16594"/>
    <w:rsid w:val="00B16598"/>
    <w:rsid w:val="00B16C2A"/>
    <w:rsid w:val="00B16DE1"/>
    <w:rsid w:val="00B173A5"/>
    <w:rsid w:val="00B17444"/>
    <w:rsid w:val="00B1745A"/>
    <w:rsid w:val="00B17685"/>
    <w:rsid w:val="00B17EC5"/>
    <w:rsid w:val="00B20078"/>
    <w:rsid w:val="00B2034F"/>
    <w:rsid w:val="00B20360"/>
    <w:rsid w:val="00B203E6"/>
    <w:rsid w:val="00B206EF"/>
    <w:rsid w:val="00B20835"/>
    <w:rsid w:val="00B209B9"/>
    <w:rsid w:val="00B20BB6"/>
    <w:rsid w:val="00B20D26"/>
    <w:rsid w:val="00B20E30"/>
    <w:rsid w:val="00B20E72"/>
    <w:rsid w:val="00B20EEA"/>
    <w:rsid w:val="00B21147"/>
    <w:rsid w:val="00B2127E"/>
    <w:rsid w:val="00B21286"/>
    <w:rsid w:val="00B2132C"/>
    <w:rsid w:val="00B21369"/>
    <w:rsid w:val="00B2151C"/>
    <w:rsid w:val="00B2152F"/>
    <w:rsid w:val="00B215A4"/>
    <w:rsid w:val="00B21941"/>
    <w:rsid w:val="00B219AC"/>
    <w:rsid w:val="00B21A63"/>
    <w:rsid w:val="00B21ADA"/>
    <w:rsid w:val="00B21C59"/>
    <w:rsid w:val="00B21C9E"/>
    <w:rsid w:val="00B22166"/>
    <w:rsid w:val="00B22341"/>
    <w:rsid w:val="00B2276E"/>
    <w:rsid w:val="00B228D3"/>
    <w:rsid w:val="00B22E22"/>
    <w:rsid w:val="00B23021"/>
    <w:rsid w:val="00B23227"/>
    <w:rsid w:val="00B2352E"/>
    <w:rsid w:val="00B236BC"/>
    <w:rsid w:val="00B23C70"/>
    <w:rsid w:val="00B23DBF"/>
    <w:rsid w:val="00B23FDE"/>
    <w:rsid w:val="00B24111"/>
    <w:rsid w:val="00B243CD"/>
    <w:rsid w:val="00B2472F"/>
    <w:rsid w:val="00B248B4"/>
    <w:rsid w:val="00B24BD4"/>
    <w:rsid w:val="00B24D67"/>
    <w:rsid w:val="00B25021"/>
    <w:rsid w:val="00B250AB"/>
    <w:rsid w:val="00B2522F"/>
    <w:rsid w:val="00B25263"/>
    <w:rsid w:val="00B2577B"/>
    <w:rsid w:val="00B25E55"/>
    <w:rsid w:val="00B25F15"/>
    <w:rsid w:val="00B25FC9"/>
    <w:rsid w:val="00B261B8"/>
    <w:rsid w:val="00B262F1"/>
    <w:rsid w:val="00B26604"/>
    <w:rsid w:val="00B26858"/>
    <w:rsid w:val="00B2685D"/>
    <w:rsid w:val="00B26925"/>
    <w:rsid w:val="00B26D35"/>
    <w:rsid w:val="00B26DA8"/>
    <w:rsid w:val="00B26E32"/>
    <w:rsid w:val="00B27175"/>
    <w:rsid w:val="00B273BF"/>
    <w:rsid w:val="00B274E4"/>
    <w:rsid w:val="00B30549"/>
    <w:rsid w:val="00B3059B"/>
    <w:rsid w:val="00B3060C"/>
    <w:rsid w:val="00B3069A"/>
    <w:rsid w:val="00B3087D"/>
    <w:rsid w:val="00B308C6"/>
    <w:rsid w:val="00B3092A"/>
    <w:rsid w:val="00B30AAA"/>
    <w:rsid w:val="00B30AFF"/>
    <w:rsid w:val="00B30BEE"/>
    <w:rsid w:val="00B30C81"/>
    <w:rsid w:val="00B30CA2"/>
    <w:rsid w:val="00B30D72"/>
    <w:rsid w:val="00B30EAD"/>
    <w:rsid w:val="00B30FE2"/>
    <w:rsid w:val="00B31010"/>
    <w:rsid w:val="00B316E0"/>
    <w:rsid w:val="00B317E9"/>
    <w:rsid w:val="00B3194C"/>
    <w:rsid w:val="00B3197A"/>
    <w:rsid w:val="00B31B6D"/>
    <w:rsid w:val="00B31C26"/>
    <w:rsid w:val="00B31C32"/>
    <w:rsid w:val="00B3218E"/>
    <w:rsid w:val="00B324DA"/>
    <w:rsid w:val="00B327BC"/>
    <w:rsid w:val="00B32A8E"/>
    <w:rsid w:val="00B32E0A"/>
    <w:rsid w:val="00B33386"/>
    <w:rsid w:val="00B33619"/>
    <w:rsid w:val="00B336C0"/>
    <w:rsid w:val="00B33FE8"/>
    <w:rsid w:val="00B340DC"/>
    <w:rsid w:val="00B341EC"/>
    <w:rsid w:val="00B34513"/>
    <w:rsid w:val="00B34560"/>
    <w:rsid w:val="00B345CC"/>
    <w:rsid w:val="00B34794"/>
    <w:rsid w:val="00B34DE7"/>
    <w:rsid w:val="00B34EBD"/>
    <w:rsid w:val="00B350E3"/>
    <w:rsid w:val="00B35214"/>
    <w:rsid w:val="00B35314"/>
    <w:rsid w:val="00B35471"/>
    <w:rsid w:val="00B358A6"/>
    <w:rsid w:val="00B35A7E"/>
    <w:rsid w:val="00B35BA9"/>
    <w:rsid w:val="00B35BEB"/>
    <w:rsid w:val="00B35C68"/>
    <w:rsid w:val="00B35DB6"/>
    <w:rsid w:val="00B35F92"/>
    <w:rsid w:val="00B365A9"/>
    <w:rsid w:val="00B3660A"/>
    <w:rsid w:val="00B36914"/>
    <w:rsid w:val="00B373AE"/>
    <w:rsid w:val="00B373FD"/>
    <w:rsid w:val="00B3744D"/>
    <w:rsid w:val="00B374DD"/>
    <w:rsid w:val="00B37849"/>
    <w:rsid w:val="00B3796B"/>
    <w:rsid w:val="00B37C3D"/>
    <w:rsid w:val="00B40118"/>
    <w:rsid w:val="00B40165"/>
    <w:rsid w:val="00B40456"/>
    <w:rsid w:val="00B407F0"/>
    <w:rsid w:val="00B40B0D"/>
    <w:rsid w:val="00B40C7F"/>
    <w:rsid w:val="00B40CD1"/>
    <w:rsid w:val="00B40E7D"/>
    <w:rsid w:val="00B40FE2"/>
    <w:rsid w:val="00B40FFE"/>
    <w:rsid w:val="00B41889"/>
    <w:rsid w:val="00B41CBF"/>
    <w:rsid w:val="00B41D1D"/>
    <w:rsid w:val="00B4213F"/>
    <w:rsid w:val="00B42509"/>
    <w:rsid w:val="00B426E7"/>
    <w:rsid w:val="00B42DA4"/>
    <w:rsid w:val="00B42FFE"/>
    <w:rsid w:val="00B43051"/>
    <w:rsid w:val="00B43363"/>
    <w:rsid w:val="00B43552"/>
    <w:rsid w:val="00B43939"/>
    <w:rsid w:val="00B43AE5"/>
    <w:rsid w:val="00B43BF9"/>
    <w:rsid w:val="00B43E2C"/>
    <w:rsid w:val="00B4407C"/>
    <w:rsid w:val="00B444FA"/>
    <w:rsid w:val="00B4471E"/>
    <w:rsid w:val="00B447BB"/>
    <w:rsid w:val="00B448B3"/>
    <w:rsid w:val="00B449ED"/>
    <w:rsid w:val="00B44CA2"/>
    <w:rsid w:val="00B44D0C"/>
    <w:rsid w:val="00B44E1B"/>
    <w:rsid w:val="00B44E49"/>
    <w:rsid w:val="00B453B9"/>
    <w:rsid w:val="00B45675"/>
    <w:rsid w:val="00B45AD4"/>
    <w:rsid w:val="00B45C0A"/>
    <w:rsid w:val="00B45DD3"/>
    <w:rsid w:val="00B4625E"/>
    <w:rsid w:val="00B46779"/>
    <w:rsid w:val="00B467DB"/>
    <w:rsid w:val="00B468C9"/>
    <w:rsid w:val="00B46A05"/>
    <w:rsid w:val="00B46C01"/>
    <w:rsid w:val="00B46D12"/>
    <w:rsid w:val="00B47167"/>
    <w:rsid w:val="00B471D8"/>
    <w:rsid w:val="00B47257"/>
    <w:rsid w:val="00B47499"/>
    <w:rsid w:val="00B4752B"/>
    <w:rsid w:val="00B4794A"/>
    <w:rsid w:val="00B47957"/>
    <w:rsid w:val="00B47F6B"/>
    <w:rsid w:val="00B50075"/>
    <w:rsid w:val="00B501B2"/>
    <w:rsid w:val="00B5020A"/>
    <w:rsid w:val="00B50719"/>
    <w:rsid w:val="00B50725"/>
    <w:rsid w:val="00B50B0F"/>
    <w:rsid w:val="00B510D9"/>
    <w:rsid w:val="00B511A4"/>
    <w:rsid w:val="00B5153A"/>
    <w:rsid w:val="00B51AE3"/>
    <w:rsid w:val="00B51B49"/>
    <w:rsid w:val="00B51B5C"/>
    <w:rsid w:val="00B51CE8"/>
    <w:rsid w:val="00B51F22"/>
    <w:rsid w:val="00B5209C"/>
    <w:rsid w:val="00B52176"/>
    <w:rsid w:val="00B52374"/>
    <w:rsid w:val="00B528C8"/>
    <w:rsid w:val="00B52A4C"/>
    <w:rsid w:val="00B52D3A"/>
    <w:rsid w:val="00B52E24"/>
    <w:rsid w:val="00B53454"/>
    <w:rsid w:val="00B53487"/>
    <w:rsid w:val="00B53DC1"/>
    <w:rsid w:val="00B53DFC"/>
    <w:rsid w:val="00B53E10"/>
    <w:rsid w:val="00B53E6C"/>
    <w:rsid w:val="00B53F1A"/>
    <w:rsid w:val="00B53F7A"/>
    <w:rsid w:val="00B549BF"/>
    <w:rsid w:val="00B54D1B"/>
    <w:rsid w:val="00B54D7C"/>
    <w:rsid w:val="00B54FD6"/>
    <w:rsid w:val="00B55025"/>
    <w:rsid w:val="00B560D2"/>
    <w:rsid w:val="00B567C5"/>
    <w:rsid w:val="00B568CD"/>
    <w:rsid w:val="00B57833"/>
    <w:rsid w:val="00B57D34"/>
    <w:rsid w:val="00B57E0A"/>
    <w:rsid w:val="00B60255"/>
    <w:rsid w:val="00B60421"/>
    <w:rsid w:val="00B60609"/>
    <w:rsid w:val="00B60644"/>
    <w:rsid w:val="00B6079A"/>
    <w:rsid w:val="00B60BE5"/>
    <w:rsid w:val="00B60D1F"/>
    <w:rsid w:val="00B60ED7"/>
    <w:rsid w:val="00B61BE5"/>
    <w:rsid w:val="00B61DD7"/>
    <w:rsid w:val="00B61EBE"/>
    <w:rsid w:val="00B61EE5"/>
    <w:rsid w:val="00B621E1"/>
    <w:rsid w:val="00B623E2"/>
    <w:rsid w:val="00B625EF"/>
    <w:rsid w:val="00B62C5C"/>
    <w:rsid w:val="00B62D87"/>
    <w:rsid w:val="00B634AD"/>
    <w:rsid w:val="00B63600"/>
    <w:rsid w:val="00B636A7"/>
    <w:rsid w:val="00B63706"/>
    <w:rsid w:val="00B63C3B"/>
    <w:rsid w:val="00B6435E"/>
    <w:rsid w:val="00B643AD"/>
    <w:rsid w:val="00B646BD"/>
    <w:rsid w:val="00B649A9"/>
    <w:rsid w:val="00B64A6E"/>
    <w:rsid w:val="00B650D7"/>
    <w:rsid w:val="00B65497"/>
    <w:rsid w:val="00B658C3"/>
    <w:rsid w:val="00B658CB"/>
    <w:rsid w:val="00B659E0"/>
    <w:rsid w:val="00B65CB7"/>
    <w:rsid w:val="00B65EEE"/>
    <w:rsid w:val="00B660B4"/>
    <w:rsid w:val="00B663A7"/>
    <w:rsid w:val="00B66564"/>
    <w:rsid w:val="00B66902"/>
    <w:rsid w:val="00B66B73"/>
    <w:rsid w:val="00B66F2E"/>
    <w:rsid w:val="00B66F64"/>
    <w:rsid w:val="00B6700B"/>
    <w:rsid w:val="00B67136"/>
    <w:rsid w:val="00B679DD"/>
    <w:rsid w:val="00B67E2F"/>
    <w:rsid w:val="00B67FCD"/>
    <w:rsid w:val="00B700AC"/>
    <w:rsid w:val="00B700CB"/>
    <w:rsid w:val="00B70157"/>
    <w:rsid w:val="00B70237"/>
    <w:rsid w:val="00B704C2"/>
    <w:rsid w:val="00B70872"/>
    <w:rsid w:val="00B708FA"/>
    <w:rsid w:val="00B70B45"/>
    <w:rsid w:val="00B70C81"/>
    <w:rsid w:val="00B70DFD"/>
    <w:rsid w:val="00B70F49"/>
    <w:rsid w:val="00B71100"/>
    <w:rsid w:val="00B711AE"/>
    <w:rsid w:val="00B711BF"/>
    <w:rsid w:val="00B71215"/>
    <w:rsid w:val="00B7130D"/>
    <w:rsid w:val="00B7147E"/>
    <w:rsid w:val="00B716C4"/>
    <w:rsid w:val="00B716FB"/>
    <w:rsid w:val="00B71B99"/>
    <w:rsid w:val="00B71C4B"/>
    <w:rsid w:val="00B71C6B"/>
    <w:rsid w:val="00B71E69"/>
    <w:rsid w:val="00B720E8"/>
    <w:rsid w:val="00B722F0"/>
    <w:rsid w:val="00B7245C"/>
    <w:rsid w:val="00B72670"/>
    <w:rsid w:val="00B726A8"/>
    <w:rsid w:val="00B727F5"/>
    <w:rsid w:val="00B72DE2"/>
    <w:rsid w:val="00B73189"/>
    <w:rsid w:val="00B73D53"/>
    <w:rsid w:val="00B74522"/>
    <w:rsid w:val="00B74647"/>
    <w:rsid w:val="00B74951"/>
    <w:rsid w:val="00B74C33"/>
    <w:rsid w:val="00B74CA4"/>
    <w:rsid w:val="00B74EAC"/>
    <w:rsid w:val="00B74FFE"/>
    <w:rsid w:val="00B75AB8"/>
    <w:rsid w:val="00B760F5"/>
    <w:rsid w:val="00B7629D"/>
    <w:rsid w:val="00B7637C"/>
    <w:rsid w:val="00B7666D"/>
    <w:rsid w:val="00B766CD"/>
    <w:rsid w:val="00B76713"/>
    <w:rsid w:val="00B76847"/>
    <w:rsid w:val="00B76869"/>
    <w:rsid w:val="00B76A5A"/>
    <w:rsid w:val="00B76B49"/>
    <w:rsid w:val="00B76BE2"/>
    <w:rsid w:val="00B76C81"/>
    <w:rsid w:val="00B7719D"/>
    <w:rsid w:val="00B771B3"/>
    <w:rsid w:val="00B7738C"/>
    <w:rsid w:val="00B77825"/>
    <w:rsid w:val="00B77C36"/>
    <w:rsid w:val="00B77CBC"/>
    <w:rsid w:val="00B77CEC"/>
    <w:rsid w:val="00B77E35"/>
    <w:rsid w:val="00B77F1B"/>
    <w:rsid w:val="00B8079E"/>
    <w:rsid w:val="00B80DE8"/>
    <w:rsid w:val="00B80FA4"/>
    <w:rsid w:val="00B80FE2"/>
    <w:rsid w:val="00B818F6"/>
    <w:rsid w:val="00B81A85"/>
    <w:rsid w:val="00B81ABD"/>
    <w:rsid w:val="00B81EB6"/>
    <w:rsid w:val="00B81FDE"/>
    <w:rsid w:val="00B81FFF"/>
    <w:rsid w:val="00B8217C"/>
    <w:rsid w:val="00B82579"/>
    <w:rsid w:val="00B826F3"/>
    <w:rsid w:val="00B8279D"/>
    <w:rsid w:val="00B828FB"/>
    <w:rsid w:val="00B82B54"/>
    <w:rsid w:val="00B82BA6"/>
    <w:rsid w:val="00B82CE3"/>
    <w:rsid w:val="00B83684"/>
    <w:rsid w:val="00B8371C"/>
    <w:rsid w:val="00B837CD"/>
    <w:rsid w:val="00B837D0"/>
    <w:rsid w:val="00B83A03"/>
    <w:rsid w:val="00B83A85"/>
    <w:rsid w:val="00B83B6A"/>
    <w:rsid w:val="00B83CF3"/>
    <w:rsid w:val="00B83E68"/>
    <w:rsid w:val="00B843CF"/>
    <w:rsid w:val="00B84440"/>
    <w:rsid w:val="00B8448B"/>
    <w:rsid w:val="00B84652"/>
    <w:rsid w:val="00B84C41"/>
    <w:rsid w:val="00B84C69"/>
    <w:rsid w:val="00B8513E"/>
    <w:rsid w:val="00B8558A"/>
    <w:rsid w:val="00B85601"/>
    <w:rsid w:val="00B85916"/>
    <w:rsid w:val="00B85BAF"/>
    <w:rsid w:val="00B85C76"/>
    <w:rsid w:val="00B85DF3"/>
    <w:rsid w:val="00B85E40"/>
    <w:rsid w:val="00B8624C"/>
    <w:rsid w:val="00B865BC"/>
    <w:rsid w:val="00B86A7E"/>
    <w:rsid w:val="00B86D80"/>
    <w:rsid w:val="00B86E31"/>
    <w:rsid w:val="00B871EB"/>
    <w:rsid w:val="00B87744"/>
    <w:rsid w:val="00B87804"/>
    <w:rsid w:val="00B87BE8"/>
    <w:rsid w:val="00B87F25"/>
    <w:rsid w:val="00B87F78"/>
    <w:rsid w:val="00B90169"/>
    <w:rsid w:val="00B901BE"/>
    <w:rsid w:val="00B90A69"/>
    <w:rsid w:val="00B90A74"/>
    <w:rsid w:val="00B90B5F"/>
    <w:rsid w:val="00B90BBF"/>
    <w:rsid w:val="00B90E82"/>
    <w:rsid w:val="00B90EB2"/>
    <w:rsid w:val="00B90F58"/>
    <w:rsid w:val="00B91111"/>
    <w:rsid w:val="00B915EB"/>
    <w:rsid w:val="00B91613"/>
    <w:rsid w:val="00B9177F"/>
    <w:rsid w:val="00B91E21"/>
    <w:rsid w:val="00B91EA4"/>
    <w:rsid w:val="00B9292A"/>
    <w:rsid w:val="00B92936"/>
    <w:rsid w:val="00B92BD8"/>
    <w:rsid w:val="00B92F72"/>
    <w:rsid w:val="00B92FF7"/>
    <w:rsid w:val="00B934F4"/>
    <w:rsid w:val="00B93859"/>
    <w:rsid w:val="00B93A8C"/>
    <w:rsid w:val="00B93D37"/>
    <w:rsid w:val="00B941FE"/>
    <w:rsid w:val="00B9421B"/>
    <w:rsid w:val="00B94A0E"/>
    <w:rsid w:val="00B94A19"/>
    <w:rsid w:val="00B94B9C"/>
    <w:rsid w:val="00B94F51"/>
    <w:rsid w:val="00B95155"/>
    <w:rsid w:val="00B95793"/>
    <w:rsid w:val="00B95E60"/>
    <w:rsid w:val="00B95F0D"/>
    <w:rsid w:val="00B961A0"/>
    <w:rsid w:val="00B961AE"/>
    <w:rsid w:val="00B9629A"/>
    <w:rsid w:val="00B962D1"/>
    <w:rsid w:val="00B96438"/>
    <w:rsid w:val="00B9648B"/>
    <w:rsid w:val="00B9659A"/>
    <w:rsid w:val="00B965F2"/>
    <w:rsid w:val="00B9745F"/>
    <w:rsid w:val="00B97810"/>
    <w:rsid w:val="00B9786F"/>
    <w:rsid w:val="00B97AB7"/>
    <w:rsid w:val="00B97C5D"/>
    <w:rsid w:val="00BA05FA"/>
    <w:rsid w:val="00BA075A"/>
    <w:rsid w:val="00BA085E"/>
    <w:rsid w:val="00BA11ED"/>
    <w:rsid w:val="00BA12A5"/>
    <w:rsid w:val="00BA1411"/>
    <w:rsid w:val="00BA1677"/>
    <w:rsid w:val="00BA167F"/>
    <w:rsid w:val="00BA1725"/>
    <w:rsid w:val="00BA1760"/>
    <w:rsid w:val="00BA1763"/>
    <w:rsid w:val="00BA1DB0"/>
    <w:rsid w:val="00BA1DE2"/>
    <w:rsid w:val="00BA2033"/>
    <w:rsid w:val="00BA21C9"/>
    <w:rsid w:val="00BA2277"/>
    <w:rsid w:val="00BA2738"/>
    <w:rsid w:val="00BA27E6"/>
    <w:rsid w:val="00BA2A17"/>
    <w:rsid w:val="00BA2EC0"/>
    <w:rsid w:val="00BA3009"/>
    <w:rsid w:val="00BA356D"/>
    <w:rsid w:val="00BA3612"/>
    <w:rsid w:val="00BA38EF"/>
    <w:rsid w:val="00BA3C5A"/>
    <w:rsid w:val="00BA3D1B"/>
    <w:rsid w:val="00BA433F"/>
    <w:rsid w:val="00BA444E"/>
    <w:rsid w:val="00BA46A1"/>
    <w:rsid w:val="00BA4C3C"/>
    <w:rsid w:val="00BA4E25"/>
    <w:rsid w:val="00BA5129"/>
    <w:rsid w:val="00BA5187"/>
    <w:rsid w:val="00BA51A0"/>
    <w:rsid w:val="00BA5835"/>
    <w:rsid w:val="00BA5B36"/>
    <w:rsid w:val="00BA5F3B"/>
    <w:rsid w:val="00BA62BA"/>
    <w:rsid w:val="00BA62FD"/>
    <w:rsid w:val="00BA649E"/>
    <w:rsid w:val="00BA67FD"/>
    <w:rsid w:val="00BA6B0D"/>
    <w:rsid w:val="00BA6B97"/>
    <w:rsid w:val="00BA6FA1"/>
    <w:rsid w:val="00BA796D"/>
    <w:rsid w:val="00BA7A0F"/>
    <w:rsid w:val="00BA7BDF"/>
    <w:rsid w:val="00BA7BE4"/>
    <w:rsid w:val="00BA7C48"/>
    <w:rsid w:val="00BA7D84"/>
    <w:rsid w:val="00BA7E27"/>
    <w:rsid w:val="00BB0243"/>
    <w:rsid w:val="00BB0541"/>
    <w:rsid w:val="00BB0DFB"/>
    <w:rsid w:val="00BB0E4A"/>
    <w:rsid w:val="00BB0FE4"/>
    <w:rsid w:val="00BB1713"/>
    <w:rsid w:val="00BB18EF"/>
    <w:rsid w:val="00BB1933"/>
    <w:rsid w:val="00BB1A78"/>
    <w:rsid w:val="00BB1A7F"/>
    <w:rsid w:val="00BB1AAC"/>
    <w:rsid w:val="00BB1DD1"/>
    <w:rsid w:val="00BB1E0C"/>
    <w:rsid w:val="00BB268C"/>
    <w:rsid w:val="00BB277C"/>
    <w:rsid w:val="00BB2A35"/>
    <w:rsid w:val="00BB2A9C"/>
    <w:rsid w:val="00BB2B7A"/>
    <w:rsid w:val="00BB2D36"/>
    <w:rsid w:val="00BB3669"/>
    <w:rsid w:val="00BB385D"/>
    <w:rsid w:val="00BB3EBD"/>
    <w:rsid w:val="00BB42AF"/>
    <w:rsid w:val="00BB446B"/>
    <w:rsid w:val="00BB45B2"/>
    <w:rsid w:val="00BB460C"/>
    <w:rsid w:val="00BB4AFA"/>
    <w:rsid w:val="00BB4E4A"/>
    <w:rsid w:val="00BB4F93"/>
    <w:rsid w:val="00BB5252"/>
    <w:rsid w:val="00BB5463"/>
    <w:rsid w:val="00BB5632"/>
    <w:rsid w:val="00BB56C9"/>
    <w:rsid w:val="00BB593E"/>
    <w:rsid w:val="00BB5A72"/>
    <w:rsid w:val="00BB5AB1"/>
    <w:rsid w:val="00BB5DB2"/>
    <w:rsid w:val="00BB5E87"/>
    <w:rsid w:val="00BB5F2A"/>
    <w:rsid w:val="00BB6410"/>
    <w:rsid w:val="00BB64E3"/>
    <w:rsid w:val="00BB659B"/>
    <w:rsid w:val="00BB66AD"/>
    <w:rsid w:val="00BB6AEA"/>
    <w:rsid w:val="00BB6DF3"/>
    <w:rsid w:val="00BB6EE1"/>
    <w:rsid w:val="00BB6EEF"/>
    <w:rsid w:val="00BB716B"/>
    <w:rsid w:val="00BB736F"/>
    <w:rsid w:val="00BB73A5"/>
    <w:rsid w:val="00BB794F"/>
    <w:rsid w:val="00BB7B04"/>
    <w:rsid w:val="00BB7D43"/>
    <w:rsid w:val="00BB7E57"/>
    <w:rsid w:val="00BC018A"/>
    <w:rsid w:val="00BC0319"/>
    <w:rsid w:val="00BC03BB"/>
    <w:rsid w:val="00BC050E"/>
    <w:rsid w:val="00BC0949"/>
    <w:rsid w:val="00BC094F"/>
    <w:rsid w:val="00BC0D91"/>
    <w:rsid w:val="00BC0D95"/>
    <w:rsid w:val="00BC1120"/>
    <w:rsid w:val="00BC18E5"/>
    <w:rsid w:val="00BC19A1"/>
    <w:rsid w:val="00BC1DF0"/>
    <w:rsid w:val="00BC21AF"/>
    <w:rsid w:val="00BC29EE"/>
    <w:rsid w:val="00BC2CD6"/>
    <w:rsid w:val="00BC2D43"/>
    <w:rsid w:val="00BC2DE6"/>
    <w:rsid w:val="00BC2E86"/>
    <w:rsid w:val="00BC3098"/>
    <w:rsid w:val="00BC30FB"/>
    <w:rsid w:val="00BC30FE"/>
    <w:rsid w:val="00BC337D"/>
    <w:rsid w:val="00BC338F"/>
    <w:rsid w:val="00BC33B8"/>
    <w:rsid w:val="00BC362A"/>
    <w:rsid w:val="00BC36CC"/>
    <w:rsid w:val="00BC37FE"/>
    <w:rsid w:val="00BC3B40"/>
    <w:rsid w:val="00BC3C42"/>
    <w:rsid w:val="00BC3D10"/>
    <w:rsid w:val="00BC3E27"/>
    <w:rsid w:val="00BC41A2"/>
    <w:rsid w:val="00BC424D"/>
    <w:rsid w:val="00BC44BA"/>
    <w:rsid w:val="00BC4592"/>
    <w:rsid w:val="00BC45C1"/>
    <w:rsid w:val="00BC46A3"/>
    <w:rsid w:val="00BC47D3"/>
    <w:rsid w:val="00BC47EC"/>
    <w:rsid w:val="00BC4A82"/>
    <w:rsid w:val="00BC5383"/>
    <w:rsid w:val="00BC58CA"/>
    <w:rsid w:val="00BC5A38"/>
    <w:rsid w:val="00BC5CCC"/>
    <w:rsid w:val="00BC5D0A"/>
    <w:rsid w:val="00BC63C2"/>
    <w:rsid w:val="00BC63F7"/>
    <w:rsid w:val="00BC6A94"/>
    <w:rsid w:val="00BC6B14"/>
    <w:rsid w:val="00BC6ED5"/>
    <w:rsid w:val="00BC6EF7"/>
    <w:rsid w:val="00BC7010"/>
    <w:rsid w:val="00BC7692"/>
    <w:rsid w:val="00BC7D86"/>
    <w:rsid w:val="00BC7DAA"/>
    <w:rsid w:val="00BC7F9B"/>
    <w:rsid w:val="00BD0395"/>
    <w:rsid w:val="00BD04F3"/>
    <w:rsid w:val="00BD07D0"/>
    <w:rsid w:val="00BD080C"/>
    <w:rsid w:val="00BD0B0C"/>
    <w:rsid w:val="00BD0C3A"/>
    <w:rsid w:val="00BD0EFF"/>
    <w:rsid w:val="00BD11BB"/>
    <w:rsid w:val="00BD13FD"/>
    <w:rsid w:val="00BD1573"/>
    <w:rsid w:val="00BD157A"/>
    <w:rsid w:val="00BD1870"/>
    <w:rsid w:val="00BD1BBC"/>
    <w:rsid w:val="00BD1C58"/>
    <w:rsid w:val="00BD23E8"/>
    <w:rsid w:val="00BD272D"/>
    <w:rsid w:val="00BD2AFC"/>
    <w:rsid w:val="00BD2B6B"/>
    <w:rsid w:val="00BD2E28"/>
    <w:rsid w:val="00BD2E3E"/>
    <w:rsid w:val="00BD2E62"/>
    <w:rsid w:val="00BD2FD5"/>
    <w:rsid w:val="00BD301D"/>
    <w:rsid w:val="00BD318F"/>
    <w:rsid w:val="00BD3257"/>
    <w:rsid w:val="00BD3271"/>
    <w:rsid w:val="00BD3998"/>
    <w:rsid w:val="00BD39F0"/>
    <w:rsid w:val="00BD3A3B"/>
    <w:rsid w:val="00BD3B07"/>
    <w:rsid w:val="00BD40A9"/>
    <w:rsid w:val="00BD428D"/>
    <w:rsid w:val="00BD44FA"/>
    <w:rsid w:val="00BD45CA"/>
    <w:rsid w:val="00BD4711"/>
    <w:rsid w:val="00BD4861"/>
    <w:rsid w:val="00BD491C"/>
    <w:rsid w:val="00BD492D"/>
    <w:rsid w:val="00BD49B9"/>
    <w:rsid w:val="00BD4B12"/>
    <w:rsid w:val="00BD4BDC"/>
    <w:rsid w:val="00BD4EB8"/>
    <w:rsid w:val="00BD50CB"/>
    <w:rsid w:val="00BD521B"/>
    <w:rsid w:val="00BD54CF"/>
    <w:rsid w:val="00BD574E"/>
    <w:rsid w:val="00BD597C"/>
    <w:rsid w:val="00BD5AEE"/>
    <w:rsid w:val="00BD5D9E"/>
    <w:rsid w:val="00BD6105"/>
    <w:rsid w:val="00BD64FC"/>
    <w:rsid w:val="00BD68ED"/>
    <w:rsid w:val="00BD6AB7"/>
    <w:rsid w:val="00BD6D71"/>
    <w:rsid w:val="00BD6E7A"/>
    <w:rsid w:val="00BD70C5"/>
    <w:rsid w:val="00BD72CD"/>
    <w:rsid w:val="00BD73A8"/>
    <w:rsid w:val="00BD753A"/>
    <w:rsid w:val="00BD7571"/>
    <w:rsid w:val="00BD7EB2"/>
    <w:rsid w:val="00BD7F47"/>
    <w:rsid w:val="00BE01FE"/>
    <w:rsid w:val="00BE04E1"/>
    <w:rsid w:val="00BE07EF"/>
    <w:rsid w:val="00BE0A54"/>
    <w:rsid w:val="00BE0B66"/>
    <w:rsid w:val="00BE0D5B"/>
    <w:rsid w:val="00BE0E3F"/>
    <w:rsid w:val="00BE0ED3"/>
    <w:rsid w:val="00BE1055"/>
    <w:rsid w:val="00BE1196"/>
    <w:rsid w:val="00BE11FB"/>
    <w:rsid w:val="00BE13B6"/>
    <w:rsid w:val="00BE188C"/>
    <w:rsid w:val="00BE1938"/>
    <w:rsid w:val="00BE1952"/>
    <w:rsid w:val="00BE1B1D"/>
    <w:rsid w:val="00BE1BDC"/>
    <w:rsid w:val="00BE1D96"/>
    <w:rsid w:val="00BE2544"/>
    <w:rsid w:val="00BE2A91"/>
    <w:rsid w:val="00BE2B09"/>
    <w:rsid w:val="00BE2BD7"/>
    <w:rsid w:val="00BE2BFD"/>
    <w:rsid w:val="00BE34F5"/>
    <w:rsid w:val="00BE3689"/>
    <w:rsid w:val="00BE3832"/>
    <w:rsid w:val="00BE3ABD"/>
    <w:rsid w:val="00BE3E8A"/>
    <w:rsid w:val="00BE409D"/>
    <w:rsid w:val="00BE40E7"/>
    <w:rsid w:val="00BE41C0"/>
    <w:rsid w:val="00BE450C"/>
    <w:rsid w:val="00BE452D"/>
    <w:rsid w:val="00BE4572"/>
    <w:rsid w:val="00BE46CC"/>
    <w:rsid w:val="00BE48D8"/>
    <w:rsid w:val="00BE48F9"/>
    <w:rsid w:val="00BE49AA"/>
    <w:rsid w:val="00BE4B05"/>
    <w:rsid w:val="00BE4BA2"/>
    <w:rsid w:val="00BE4E0D"/>
    <w:rsid w:val="00BE511D"/>
    <w:rsid w:val="00BE5127"/>
    <w:rsid w:val="00BE5322"/>
    <w:rsid w:val="00BE54DB"/>
    <w:rsid w:val="00BE55CC"/>
    <w:rsid w:val="00BE57CB"/>
    <w:rsid w:val="00BE5E55"/>
    <w:rsid w:val="00BE6152"/>
    <w:rsid w:val="00BE6378"/>
    <w:rsid w:val="00BE6557"/>
    <w:rsid w:val="00BE678B"/>
    <w:rsid w:val="00BE68A2"/>
    <w:rsid w:val="00BE69A5"/>
    <w:rsid w:val="00BE6B09"/>
    <w:rsid w:val="00BE6CE2"/>
    <w:rsid w:val="00BE6D16"/>
    <w:rsid w:val="00BE6F95"/>
    <w:rsid w:val="00BE6FCE"/>
    <w:rsid w:val="00BE72EC"/>
    <w:rsid w:val="00BE7409"/>
    <w:rsid w:val="00BE744D"/>
    <w:rsid w:val="00BE7459"/>
    <w:rsid w:val="00BE75E7"/>
    <w:rsid w:val="00BE7C94"/>
    <w:rsid w:val="00BE7DEB"/>
    <w:rsid w:val="00BE7E64"/>
    <w:rsid w:val="00BE7FCE"/>
    <w:rsid w:val="00BF0669"/>
    <w:rsid w:val="00BF07EB"/>
    <w:rsid w:val="00BF07F2"/>
    <w:rsid w:val="00BF11D9"/>
    <w:rsid w:val="00BF1385"/>
    <w:rsid w:val="00BF1483"/>
    <w:rsid w:val="00BF14F7"/>
    <w:rsid w:val="00BF1579"/>
    <w:rsid w:val="00BF1975"/>
    <w:rsid w:val="00BF1CEA"/>
    <w:rsid w:val="00BF1E3A"/>
    <w:rsid w:val="00BF1EEF"/>
    <w:rsid w:val="00BF1F3D"/>
    <w:rsid w:val="00BF1F6C"/>
    <w:rsid w:val="00BF2007"/>
    <w:rsid w:val="00BF24F3"/>
    <w:rsid w:val="00BF27EE"/>
    <w:rsid w:val="00BF27EF"/>
    <w:rsid w:val="00BF3063"/>
    <w:rsid w:val="00BF381F"/>
    <w:rsid w:val="00BF38BC"/>
    <w:rsid w:val="00BF3F2E"/>
    <w:rsid w:val="00BF40E9"/>
    <w:rsid w:val="00BF40FA"/>
    <w:rsid w:val="00BF4293"/>
    <w:rsid w:val="00BF44FE"/>
    <w:rsid w:val="00BF4695"/>
    <w:rsid w:val="00BF4C5C"/>
    <w:rsid w:val="00BF4C64"/>
    <w:rsid w:val="00BF4D36"/>
    <w:rsid w:val="00BF4F8A"/>
    <w:rsid w:val="00BF5364"/>
    <w:rsid w:val="00BF58AA"/>
    <w:rsid w:val="00BF5951"/>
    <w:rsid w:val="00BF6265"/>
    <w:rsid w:val="00BF68F4"/>
    <w:rsid w:val="00BF719F"/>
    <w:rsid w:val="00BF72BA"/>
    <w:rsid w:val="00BF7349"/>
    <w:rsid w:val="00BF757D"/>
    <w:rsid w:val="00BF7642"/>
    <w:rsid w:val="00BF7BBC"/>
    <w:rsid w:val="00BF7D3A"/>
    <w:rsid w:val="00BF7D76"/>
    <w:rsid w:val="00C00370"/>
    <w:rsid w:val="00C0039E"/>
    <w:rsid w:val="00C00484"/>
    <w:rsid w:val="00C00C6B"/>
    <w:rsid w:val="00C00C92"/>
    <w:rsid w:val="00C0162F"/>
    <w:rsid w:val="00C01791"/>
    <w:rsid w:val="00C01BD1"/>
    <w:rsid w:val="00C02312"/>
    <w:rsid w:val="00C02502"/>
    <w:rsid w:val="00C0280A"/>
    <w:rsid w:val="00C028D5"/>
    <w:rsid w:val="00C02A56"/>
    <w:rsid w:val="00C02E56"/>
    <w:rsid w:val="00C03054"/>
    <w:rsid w:val="00C0315F"/>
    <w:rsid w:val="00C031C6"/>
    <w:rsid w:val="00C03612"/>
    <w:rsid w:val="00C03716"/>
    <w:rsid w:val="00C03754"/>
    <w:rsid w:val="00C042A0"/>
    <w:rsid w:val="00C049A6"/>
    <w:rsid w:val="00C04B98"/>
    <w:rsid w:val="00C04ED5"/>
    <w:rsid w:val="00C0518D"/>
    <w:rsid w:val="00C05402"/>
    <w:rsid w:val="00C054A1"/>
    <w:rsid w:val="00C054B0"/>
    <w:rsid w:val="00C0562B"/>
    <w:rsid w:val="00C05751"/>
    <w:rsid w:val="00C0674D"/>
    <w:rsid w:val="00C068EB"/>
    <w:rsid w:val="00C06CC9"/>
    <w:rsid w:val="00C06E39"/>
    <w:rsid w:val="00C06FAD"/>
    <w:rsid w:val="00C070ED"/>
    <w:rsid w:val="00C07454"/>
    <w:rsid w:val="00C07462"/>
    <w:rsid w:val="00C07463"/>
    <w:rsid w:val="00C07543"/>
    <w:rsid w:val="00C0791D"/>
    <w:rsid w:val="00C07926"/>
    <w:rsid w:val="00C07CA7"/>
    <w:rsid w:val="00C10066"/>
    <w:rsid w:val="00C10127"/>
    <w:rsid w:val="00C104B0"/>
    <w:rsid w:val="00C1057C"/>
    <w:rsid w:val="00C10687"/>
    <w:rsid w:val="00C10690"/>
    <w:rsid w:val="00C10761"/>
    <w:rsid w:val="00C10817"/>
    <w:rsid w:val="00C10A33"/>
    <w:rsid w:val="00C10AF5"/>
    <w:rsid w:val="00C10B5F"/>
    <w:rsid w:val="00C10BE0"/>
    <w:rsid w:val="00C10D08"/>
    <w:rsid w:val="00C1111C"/>
    <w:rsid w:val="00C11564"/>
    <w:rsid w:val="00C11615"/>
    <w:rsid w:val="00C11CCB"/>
    <w:rsid w:val="00C11F34"/>
    <w:rsid w:val="00C122C4"/>
    <w:rsid w:val="00C125F9"/>
    <w:rsid w:val="00C126E8"/>
    <w:rsid w:val="00C12720"/>
    <w:rsid w:val="00C1274D"/>
    <w:rsid w:val="00C12871"/>
    <w:rsid w:val="00C12ADF"/>
    <w:rsid w:val="00C12C91"/>
    <w:rsid w:val="00C12F66"/>
    <w:rsid w:val="00C134A6"/>
    <w:rsid w:val="00C13572"/>
    <w:rsid w:val="00C1459C"/>
    <w:rsid w:val="00C1489B"/>
    <w:rsid w:val="00C14B61"/>
    <w:rsid w:val="00C14C1D"/>
    <w:rsid w:val="00C14C75"/>
    <w:rsid w:val="00C151F0"/>
    <w:rsid w:val="00C1532F"/>
    <w:rsid w:val="00C15768"/>
    <w:rsid w:val="00C159BE"/>
    <w:rsid w:val="00C15A82"/>
    <w:rsid w:val="00C15CE3"/>
    <w:rsid w:val="00C15DFB"/>
    <w:rsid w:val="00C15E20"/>
    <w:rsid w:val="00C1606A"/>
    <w:rsid w:val="00C160FB"/>
    <w:rsid w:val="00C163F9"/>
    <w:rsid w:val="00C16804"/>
    <w:rsid w:val="00C168B1"/>
    <w:rsid w:val="00C16B96"/>
    <w:rsid w:val="00C16C4F"/>
    <w:rsid w:val="00C16DB8"/>
    <w:rsid w:val="00C16E85"/>
    <w:rsid w:val="00C16FEB"/>
    <w:rsid w:val="00C1722A"/>
    <w:rsid w:val="00C1723B"/>
    <w:rsid w:val="00C174CE"/>
    <w:rsid w:val="00C175A5"/>
    <w:rsid w:val="00C1764A"/>
    <w:rsid w:val="00C17839"/>
    <w:rsid w:val="00C17B4E"/>
    <w:rsid w:val="00C202FB"/>
    <w:rsid w:val="00C20320"/>
    <w:rsid w:val="00C203E6"/>
    <w:rsid w:val="00C204B4"/>
    <w:rsid w:val="00C205C9"/>
    <w:rsid w:val="00C206BE"/>
    <w:rsid w:val="00C206EA"/>
    <w:rsid w:val="00C207EC"/>
    <w:rsid w:val="00C20D6E"/>
    <w:rsid w:val="00C20E21"/>
    <w:rsid w:val="00C20E83"/>
    <w:rsid w:val="00C20FB5"/>
    <w:rsid w:val="00C21597"/>
    <w:rsid w:val="00C21655"/>
    <w:rsid w:val="00C218FA"/>
    <w:rsid w:val="00C2194E"/>
    <w:rsid w:val="00C21AC0"/>
    <w:rsid w:val="00C21BC0"/>
    <w:rsid w:val="00C21CE6"/>
    <w:rsid w:val="00C21E73"/>
    <w:rsid w:val="00C224D1"/>
    <w:rsid w:val="00C226C8"/>
    <w:rsid w:val="00C2277A"/>
    <w:rsid w:val="00C227D5"/>
    <w:rsid w:val="00C22803"/>
    <w:rsid w:val="00C228DA"/>
    <w:rsid w:val="00C22A7A"/>
    <w:rsid w:val="00C22CCC"/>
    <w:rsid w:val="00C23175"/>
    <w:rsid w:val="00C232B1"/>
    <w:rsid w:val="00C233A1"/>
    <w:rsid w:val="00C2366B"/>
    <w:rsid w:val="00C23743"/>
    <w:rsid w:val="00C23997"/>
    <w:rsid w:val="00C24060"/>
    <w:rsid w:val="00C24091"/>
    <w:rsid w:val="00C24513"/>
    <w:rsid w:val="00C248DA"/>
    <w:rsid w:val="00C255C6"/>
    <w:rsid w:val="00C25A91"/>
    <w:rsid w:val="00C25AD4"/>
    <w:rsid w:val="00C25BC4"/>
    <w:rsid w:val="00C25BFF"/>
    <w:rsid w:val="00C25DC4"/>
    <w:rsid w:val="00C261A9"/>
    <w:rsid w:val="00C262A9"/>
    <w:rsid w:val="00C263AA"/>
    <w:rsid w:val="00C26554"/>
    <w:rsid w:val="00C265D9"/>
    <w:rsid w:val="00C26703"/>
    <w:rsid w:val="00C268C7"/>
    <w:rsid w:val="00C26A6E"/>
    <w:rsid w:val="00C27413"/>
    <w:rsid w:val="00C27451"/>
    <w:rsid w:val="00C274FB"/>
    <w:rsid w:val="00C279F1"/>
    <w:rsid w:val="00C27B84"/>
    <w:rsid w:val="00C27D5C"/>
    <w:rsid w:val="00C30283"/>
    <w:rsid w:val="00C3044B"/>
    <w:rsid w:val="00C3050E"/>
    <w:rsid w:val="00C3078A"/>
    <w:rsid w:val="00C3079C"/>
    <w:rsid w:val="00C30893"/>
    <w:rsid w:val="00C308A5"/>
    <w:rsid w:val="00C30F32"/>
    <w:rsid w:val="00C310FF"/>
    <w:rsid w:val="00C316C6"/>
    <w:rsid w:val="00C31877"/>
    <w:rsid w:val="00C31943"/>
    <w:rsid w:val="00C31A0D"/>
    <w:rsid w:val="00C32131"/>
    <w:rsid w:val="00C322F9"/>
    <w:rsid w:val="00C32481"/>
    <w:rsid w:val="00C32630"/>
    <w:rsid w:val="00C32734"/>
    <w:rsid w:val="00C32813"/>
    <w:rsid w:val="00C32AD5"/>
    <w:rsid w:val="00C32C10"/>
    <w:rsid w:val="00C32F61"/>
    <w:rsid w:val="00C3310F"/>
    <w:rsid w:val="00C339DC"/>
    <w:rsid w:val="00C33A73"/>
    <w:rsid w:val="00C33D86"/>
    <w:rsid w:val="00C33F5D"/>
    <w:rsid w:val="00C341B7"/>
    <w:rsid w:val="00C34274"/>
    <w:rsid w:val="00C34391"/>
    <w:rsid w:val="00C346F6"/>
    <w:rsid w:val="00C3478E"/>
    <w:rsid w:val="00C34BA8"/>
    <w:rsid w:val="00C35091"/>
    <w:rsid w:val="00C356B4"/>
    <w:rsid w:val="00C35900"/>
    <w:rsid w:val="00C35904"/>
    <w:rsid w:val="00C35905"/>
    <w:rsid w:val="00C35BD3"/>
    <w:rsid w:val="00C35D10"/>
    <w:rsid w:val="00C3630F"/>
    <w:rsid w:val="00C3637F"/>
    <w:rsid w:val="00C36521"/>
    <w:rsid w:val="00C36601"/>
    <w:rsid w:val="00C367F1"/>
    <w:rsid w:val="00C36BF2"/>
    <w:rsid w:val="00C36C0E"/>
    <w:rsid w:val="00C36DE2"/>
    <w:rsid w:val="00C37215"/>
    <w:rsid w:val="00C37414"/>
    <w:rsid w:val="00C375B9"/>
    <w:rsid w:val="00C3770D"/>
    <w:rsid w:val="00C3775F"/>
    <w:rsid w:val="00C377B0"/>
    <w:rsid w:val="00C379E4"/>
    <w:rsid w:val="00C37D03"/>
    <w:rsid w:val="00C37DC5"/>
    <w:rsid w:val="00C37F54"/>
    <w:rsid w:val="00C4003B"/>
    <w:rsid w:val="00C406A1"/>
    <w:rsid w:val="00C4076C"/>
    <w:rsid w:val="00C40BC7"/>
    <w:rsid w:val="00C40FCD"/>
    <w:rsid w:val="00C410C9"/>
    <w:rsid w:val="00C417B9"/>
    <w:rsid w:val="00C41BD5"/>
    <w:rsid w:val="00C41E77"/>
    <w:rsid w:val="00C41F5A"/>
    <w:rsid w:val="00C41FA9"/>
    <w:rsid w:val="00C423C1"/>
    <w:rsid w:val="00C42835"/>
    <w:rsid w:val="00C42B78"/>
    <w:rsid w:val="00C42BC2"/>
    <w:rsid w:val="00C42BC3"/>
    <w:rsid w:val="00C42E7D"/>
    <w:rsid w:val="00C43046"/>
    <w:rsid w:val="00C4311E"/>
    <w:rsid w:val="00C43C8B"/>
    <w:rsid w:val="00C4401F"/>
    <w:rsid w:val="00C44361"/>
    <w:rsid w:val="00C44498"/>
    <w:rsid w:val="00C4465E"/>
    <w:rsid w:val="00C4511C"/>
    <w:rsid w:val="00C45366"/>
    <w:rsid w:val="00C4577F"/>
    <w:rsid w:val="00C458CD"/>
    <w:rsid w:val="00C45956"/>
    <w:rsid w:val="00C45A83"/>
    <w:rsid w:val="00C45AD2"/>
    <w:rsid w:val="00C45D08"/>
    <w:rsid w:val="00C45D70"/>
    <w:rsid w:val="00C45DBA"/>
    <w:rsid w:val="00C45DDC"/>
    <w:rsid w:val="00C4624E"/>
    <w:rsid w:val="00C46481"/>
    <w:rsid w:val="00C4659A"/>
    <w:rsid w:val="00C46814"/>
    <w:rsid w:val="00C46AD5"/>
    <w:rsid w:val="00C46CED"/>
    <w:rsid w:val="00C47245"/>
    <w:rsid w:val="00C4729E"/>
    <w:rsid w:val="00C47335"/>
    <w:rsid w:val="00C47337"/>
    <w:rsid w:val="00C475E2"/>
    <w:rsid w:val="00C47641"/>
    <w:rsid w:val="00C4787B"/>
    <w:rsid w:val="00C47B26"/>
    <w:rsid w:val="00C47C67"/>
    <w:rsid w:val="00C47C9D"/>
    <w:rsid w:val="00C5009E"/>
    <w:rsid w:val="00C50139"/>
    <w:rsid w:val="00C501FC"/>
    <w:rsid w:val="00C5020D"/>
    <w:rsid w:val="00C503EC"/>
    <w:rsid w:val="00C50463"/>
    <w:rsid w:val="00C50514"/>
    <w:rsid w:val="00C50799"/>
    <w:rsid w:val="00C5087B"/>
    <w:rsid w:val="00C50935"/>
    <w:rsid w:val="00C50A47"/>
    <w:rsid w:val="00C50AA0"/>
    <w:rsid w:val="00C50BEC"/>
    <w:rsid w:val="00C50EED"/>
    <w:rsid w:val="00C51603"/>
    <w:rsid w:val="00C51A33"/>
    <w:rsid w:val="00C51B57"/>
    <w:rsid w:val="00C51D47"/>
    <w:rsid w:val="00C52000"/>
    <w:rsid w:val="00C525A1"/>
    <w:rsid w:val="00C52629"/>
    <w:rsid w:val="00C526EB"/>
    <w:rsid w:val="00C52792"/>
    <w:rsid w:val="00C528C4"/>
    <w:rsid w:val="00C5294A"/>
    <w:rsid w:val="00C529B9"/>
    <w:rsid w:val="00C529E8"/>
    <w:rsid w:val="00C52B61"/>
    <w:rsid w:val="00C52C65"/>
    <w:rsid w:val="00C53161"/>
    <w:rsid w:val="00C53218"/>
    <w:rsid w:val="00C53310"/>
    <w:rsid w:val="00C53377"/>
    <w:rsid w:val="00C533A5"/>
    <w:rsid w:val="00C53697"/>
    <w:rsid w:val="00C53740"/>
    <w:rsid w:val="00C53894"/>
    <w:rsid w:val="00C53956"/>
    <w:rsid w:val="00C53AFB"/>
    <w:rsid w:val="00C53C12"/>
    <w:rsid w:val="00C541CD"/>
    <w:rsid w:val="00C543E1"/>
    <w:rsid w:val="00C54432"/>
    <w:rsid w:val="00C54579"/>
    <w:rsid w:val="00C54704"/>
    <w:rsid w:val="00C54713"/>
    <w:rsid w:val="00C54724"/>
    <w:rsid w:val="00C547B4"/>
    <w:rsid w:val="00C54891"/>
    <w:rsid w:val="00C54CED"/>
    <w:rsid w:val="00C55030"/>
    <w:rsid w:val="00C55054"/>
    <w:rsid w:val="00C5506D"/>
    <w:rsid w:val="00C55092"/>
    <w:rsid w:val="00C554FB"/>
    <w:rsid w:val="00C55779"/>
    <w:rsid w:val="00C55947"/>
    <w:rsid w:val="00C55B05"/>
    <w:rsid w:val="00C56515"/>
    <w:rsid w:val="00C565FA"/>
    <w:rsid w:val="00C56913"/>
    <w:rsid w:val="00C56D3F"/>
    <w:rsid w:val="00C56E34"/>
    <w:rsid w:val="00C57FB3"/>
    <w:rsid w:val="00C6058D"/>
    <w:rsid w:val="00C605BE"/>
    <w:rsid w:val="00C6060C"/>
    <w:rsid w:val="00C606B5"/>
    <w:rsid w:val="00C606C8"/>
    <w:rsid w:val="00C608FA"/>
    <w:rsid w:val="00C609B1"/>
    <w:rsid w:val="00C60B3B"/>
    <w:rsid w:val="00C60D6D"/>
    <w:rsid w:val="00C60DAE"/>
    <w:rsid w:val="00C60F43"/>
    <w:rsid w:val="00C61338"/>
    <w:rsid w:val="00C613CA"/>
    <w:rsid w:val="00C615C0"/>
    <w:rsid w:val="00C61608"/>
    <w:rsid w:val="00C61F81"/>
    <w:rsid w:val="00C6213A"/>
    <w:rsid w:val="00C62178"/>
    <w:rsid w:val="00C6225E"/>
    <w:rsid w:val="00C6238D"/>
    <w:rsid w:val="00C6250F"/>
    <w:rsid w:val="00C6264C"/>
    <w:rsid w:val="00C6278A"/>
    <w:rsid w:val="00C62844"/>
    <w:rsid w:val="00C62B49"/>
    <w:rsid w:val="00C62B74"/>
    <w:rsid w:val="00C62CE5"/>
    <w:rsid w:val="00C63026"/>
    <w:rsid w:val="00C63050"/>
    <w:rsid w:val="00C63116"/>
    <w:rsid w:val="00C631F6"/>
    <w:rsid w:val="00C6326C"/>
    <w:rsid w:val="00C6350B"/>
    <w:rsid w:val="00C63532"/>
    <w:rsid w:val="00C6357A"/>
    <w:rsid w:val="00C636BA"/>
    <w:rsid w:val="00C639C7"/>
    <w:rsid w:val="00C63D5E"/>
    <w:rsid w:val="00C6431D"/>
    <w:rsid w:val="00C64639"/>
    <w:rsid w:val="00C646FF"/>
    <w:rsid w:val="00C6478D"/>
    <w:rsid w:val="00C6493F"/>
    <w:rsid w:val="00C64EFB"/>
    <w:rsid w:val="00C64F4F"/>
    <w:rsid w:val="00C64F79"/>
    <w:rsid w:val="00C65139"/>
    <w:rsid w:val="00C653D3"/>
    <w:rsid w:val="00C65693"/>
    <w:rsid w:val="00C658CC"/>
    <w:rsid w:val="00C661D0"/>
    <w:rsid w:val="00C664FE"/>
    <w:rsid w:val="00C66626"/>
    <w:rsid w:val="00C66F50"/>
    <w:rsid w:val="00C6705F"/>
    <w:rsid w:val="00C670A2"/>
    <w:rsid w:val="00C6789B"/>
    <w:rsid w:val="00C6789D"/>
    <w:rsid w:val="00C67E77"/>
    <w:rsid w:val="00C67EDF"/>
    <w:rsid w:val="00C7089B"/>
    <w:rsid w:val="00C70A82"/>
    <w:rsid w:val="00C70C62"/>
    <w:rsid w:val="00C71058"/>
    <w:rsid w:val="00C71178"/>
    <w:rsid w:val="00C711BA"/>
    <w:rsid w:val="00C71459"/>
    <w:rsid w:val="00C7148F"/>
    <w:rsid w:val="00C7162D"/>
    <w:rsid w:val="00C718D5"/>
    <w:rsid w:val="00C71C3D"/>
    <w:rsid w:val="00C71D34"/>
    <w:rsid w:val="00C71E4D"/>
    <w:rsid w:val="00C71EF6"/>
    <w:rsid w:val="00C72035"/>
    <w:rsid w:val="00C721E0"/>
    <w:rsid w:val="00C724B6"/>
    <w:rsid w:val="00C7265B"/>
    <w:rsid w:val="00C727ED"/>
    <w:rsid w:val="00C72AE2"/>
    <w:rsid w:val="00C72BD2"/>
    <w:rsid w:val="00C72FC3"/>
    <w:rsid w:val="00C730BB"/>
    <w:rsid w:val="00C7378B"/>
    <w:rsid w:val="00C73C3A"/>
    <w:rsid w:val="00C73ED5"/>
    <w:rsid w:val="00C73F5F"/>
    <w:rsid w:val="00C74129"/>
    <w:rsid w:val="00C741E4"/>
    <w:rsid w:val="00C744EB"/>
    <w:rsid w:val="00C747F3"/>
    <w:rsid w:val="00C74874"/>
    <w:rsid w:val="00C750CC"/>
    <w:rsid w:val="00C750E2"/>
    <w:rsid w:val="00C7518B"/>
    <w:rsid w:val="00C751C7"/>
    <w:rsid w:val="00C753F0"/>
    <w:rsid w:val="00C7550F"/>
    <w:rsid w:val="00C756A8"/>
    <w:rsid w:val="00C75C96"/>
    <w:rsid w:val="00C75E28"/>
    <w:rsid w:val="00C75EAC"/>
    <w:rsid w:val="00C75F0E"/>
    <w:rsid w:val="00C7643F"/>
    <w:rsid w:val="00C77612"/>
    <w:rsid w:val="00C778D7"/>
    <w:rsid w:val="00C77A01"/>
    <w:rsid w:val="00C77E5E"/>
    <w:rsid w:val="00C77F00"/>
    <w:rsid w:val="00C80084"/>
    <w:rsid w:val="00C800D4"/>
    <w:rsid w:val="00C80120"/>
    <w:rsid w:val="00C805AB"/>
    <w:rsid w:val="00C806D5"/>
    <w:rsid w:val="00C807C7"/>
    <w:rsid w:val="00C80B0D"/>
    <w:rsid w:val="00C80B17"/>
    <w:rsid w:val="00C80CE1"/>
    <w:rsid w:val="00C80D7D"/>
    <w:rsid w:val="00C80E67"/>
    <w:rsid w:val="00C8131E"/>
    <w:rsid w:val="00C8138F"/>
    <w:rsid w:val="00C81452"/>
    <w:rsid w:val="00C8166E"/>
    <w:rsid w:val="00C819BB"/>
    <w:rsid w:val="00C81B7A"/>
    <w:rsid w:val="00C81D3C"/>
    <w:rsid w:val="00C82091"/>
    <w:rsid w:val="00C82105"/>
    <w:rsid w:val="00C82208"/>
    <w:rsid w:val="00C82457"/>
    <w:rsid w:val="00C82728"/>
    <w:rsid w:val="00C82D0F"/>
    <w:rsid w:val="00C82D88"/>
    <w:rsid w:val="00C83356"/>
    <w:rsid w:val="00C83669"/>
    <w:rsid w:val="00C83AB3"/>
    <w:rsid w:val="00C83CBF"/>
    <w:rsid w:val="00C83D3A"/>
    <w:rsid w:val="00C83D7D"/>
    <w:rsid w:val="00C842FB"/>
    <w:rsid w:val="00C84CCA"/>
    <w:rsid w:val="00C84D01"/>
    <w:rsid w:val="00C84FE3"/>
    <w:rsid w:val="00C85004"/>
    <w:rsid w:val="00C85248"/>
    <w:rsid w:val="00C853F5"/>
    <w:rsid w:val="00C8545E"/>
    <w:rsid w:val="00C85505"/>
    <w:rsid w:val="00C85629"/>
    <w:rsid w:val="00C85649"/>
    <w:rsid w:val="00C85C0E"/>
    <w:rsid w:val="00C86097"/>
    <w:rsid w:val="00C86184"/>
    <w:rsid w:val="00C865FC"/>
    <w:rsid w:val="00C86604"/>
    <w:rsid w:val="00C86611"/>
    <w:rsid w:val="00C86810"/>
    <w:rsid w:val="00C86963"/>
    <w:rsid w:val="00C86D06"/>
    <w:rsid w:val="00C87131"/>
    <w:rsid w:val="00C877B0"/>
    <w:rsid w:val="00C878D5"/>
    <w:rsid w:val="00C87C8E"/>
    <w:rsid w:val="00C901DE"/>
    <w:rsid w:val="00C9033B"/>
    <w:rsid w:val="00C903C9"/>
    <w:rsid w:val="00C90D2E"/>
    <w:rsid w:val="00C90D57"/>
    <w:rsid w:val="00C91102"/>
    <w:rsid w:val="00C91105"/>
    <w:rsid w:val="00C913A1"/>
    <w:rsid w:val="00C91BF7"/>
    <w:rsid w:val="00C91C87"/>
    <w:rsid w:val="00C91E63"/>
    <w:rsid w:val="00C91F79"/>
    <w:rsid w:val="00C91F85"/>
    <w:rsid w:val="00C91FD9"/>
    <w:rsid w:val="00C9205A"/>
    <w:rsid w:val="00C92060"/>
    <w:rsid w:val="00C92437"/>
    <w:rsid w:val="00C925AD"/>
    <w:rsid w:val="00C92623"/>
    <w:rsid w:val="00C92BA3"/>
    <w:rsid w:val="00C92C41"/>
    <w:rsid w:val="00C92C5F"/>
    <w:rsid w:val="00C92CFF"/>
    <w:rsid w:val="00C92DAD"/>
    <w:rsid w:val="00C93176"/>
    <w:rsid w:val="00C93236"/>
    <w:rsid w:val="00C932CA"/>
    <w:rsid w:val="00C93734"/>
    <w:rsid w:val="00C93761"/>
    <w:rsid w:val="00C93B93"/>
    <w:rsid w:val="00C93CF9"/>
    <w:rsid w:val="00C9409E"/>
    <w:rsid w:val="00C941B4"/>
    <w:rsid w:val="00C94259"/>
    <w:rsid w:val="00C9480A"/>
    <w:rsid w:val="00C94ADC"/>
    <w:rsid w:val="00C9517F"/>
    <w:rsid w:val="00C951AB"/>
    <w:rsid w:val="00C95358"/>
    <w:rsid w:val="00C95393"/>
    <w:rsid w:val="00C9559A"/>
    <w:rsid w:val="00C956CD"/>
    <w:rsid w:val="00C95988"/>
    <w:rsid w:val="00C95BCF"/>
    <w:rsid w:val="00C9626D"/>
    <w:rsid w:val="00C96921"/>
    <w:rsid w:val="00C9694C"/>
    <w:rsid w:val="00C96B8D"/>
    <w:rsid w:val="00C96EAC"/>
    <w:rsid w:val="00C96F2B"/>
    <w:rsid w:val="00C96F3E"/>
    <w:rsid w:val="00C970CE"/>
    <w:rsid w:val="00C97419"/>
    <w:rsid w:val="00C97F4A"/>
    <w:rsid w:val="00CA00E6"/>
    <w:rsid w:val="00CA01C5"/>
    <w:rsid w:val="00CA0217"/>
    <w:rsid w:val="00CA0654"/>
    <w:rsid w:val="00CA0ABF"/>
    <w:rsid w:val="00CA0B29"/>
    <w:rsid w:val="00CA0B4D"/>
    <w:rsid w:val="00CA0BCC"/>
    <w:rsid w:val="00CA0C82"/>
    <w:rsid w:val="00CA0E2C"/>
    <w:rsid w:val="00CA0FA4"/>
    <w:rsid w:val="00CA1219"/>
    <w:rsid w:val="00CA1A65"/>
    <w:rsid w:val="00CA1AB1"/>
    <w:rsid w:val="00CA1AB2"/>
    <w:rsid w:val="00CA1C58"/>
    <w:rsid w:val="00CA2323"/>
    <w:rsid w:val="00CA2388"/>
    <w:rsid w:val="00CA2616"/>
    <w:rsid w:val="00CA31E2"/>
    <w:rsid w:val="00CA3408"/>
    <w:rsid w:val="00CA38EE"/>
    <w:rsid w:val="00CA3AF6"/>
    <w:rsid w:val="00CA3FAC"/>
    <w:rsid w:val="00CA457F"/>
    <w:rsid w:val="00CA45BC"/>
    <w:rsid w:val="00CA4A84"/>
    <w:rsid w:val="00CA4AD7"/>
    <w:rsid w:val="00CA4F91"/>
    <w:rsid w:val="00CA50E3"/>
    <w:rsid w:val="00CA5229"/>
    <w:rsid w:val="00CA5383"/>
    <w:rsid w:val="00CA54BB"/>
    <w:rsid w:val="00CA54E4"/>
    <w:rsid w:val="00CA55B0"/>
    <w:rsid w:val="00CA5652"/>
    <w:rsid w:val="00CA5855"/>
    <w:rsid w:val="00CA5C4E"/>
    <w:rsid w:val="00CA63F2"/>
    <w:rsid w:val="00CA652E"/>
    <w:rsid w:val="00CA6779"/>
    <w:rsid w:val="00CA6EB5"/>
    <w:rsid w:val="00CA6ED7"/>
    <w:rsid w:val="00CA7063"/>
    <w:rsid w:val="00CA73FA"/>
    <w:rsid w:val="00CA7661"/>
    <w:rsid w:val="00CA76AF"/>
    <w:rsid w:val="00CA7B6D"/>
    <w:rsid w:val="00CB044C"/>
    <w:rsid w:val="00CB04B5"/>
    <w:rsid w:val="00CB05B4"/>
    <w:rsid w:val="00CB0654"/>
    <w:rsid w:val="00CB0707"/>
    <w:rsid w:val="00CB0BF2"/>
    <w:rsid w:val="00CB0CA2"/>
    <w:rsid w:val="00CB1661"/>
    <w:rsid w:val="00CB1B67"/>
    <w:rsid w:val="00CB1CF6"/>
    <w:rsid w:val="00CB1E96"/>
    <w:rsid w:val="00CB1FC0"/>
    <w:rsid w:val="00CB1FF4"/>
    <w:rsid w:val="00CB2666"/>
    <w:rsid w:val="00CB26C7"/>
    <w:rsid w:val="00CB29B1"/>
    <w:rsid w:val="00CB2CA1"/>
    <w:rsid w:val="00CB2CEC"/>
    <w:rsid w:val="00CB2D9D"/>
    <w:rsid w:val="00CB30A6"/>
    <w:rsid w:val="00CB3141"/>
    <w:rsid w:val="00CB3178"/>
    <w:rsid w:val="00CB3282"/>
    <w:rsid w:val="00CB32FC"/>
    <w:rsid w:val="00CB348E"/>
    <w:rsid w:val="00CB3580"/>
    <w:rsid w:val="00CB3749"/>
    <w:rsid w:val="00CB3866"/>
    <w:rsid w:val="00CB38B2"/>
    <w:rsid w:val="00CB38E9"/>
    <w:rsid w:val="00CB3966"/>
    <w:rsid w:val="00CB3A6C"/>
    <w:rsid w:val="00CB3C07"/>
    <w:rsid w:val="00CB4485"/>
    <w:rsid w:val="00CB44E4"/>
    <w:rsid w:val="00CB455A"/>
    <w:rsid w:val="00CB47A5"/>
    <w:rsid w:val="00CB4CCB"/>
    <w:rsid w:val="00CB4E3D"/>
    <w:rsid w:val="00CB50DB"/>
    <w:rsid w:val="00CB5256"/>
    <w:rsid w:val="00CB53C2"/>
    <w:rsid w:val="00CB5454"/>
    <w:rsid w:val="00CB572F"/>
    <w:rsid w:val="00CB5877"/>
    <w:rsid w:val="00CB5C75"/>
    <w:rsid w:val="00CB6292"/>
    <w:rsid w:val="00CB6357"/>
    <w:rsid w:val="00CB63C8"/>
    <w:rsid w:val="00CB65CD"/>
    <w:rsid w:val="00CB6807"/>
    <w:rsid w:val="00CB6878"/>
    <w:rsid w:val="00CB68F4"/>
    <w:rsid w:val="00CB6916"/>
    <w:rsid w:val="00CB6BDE"/>
    <w:rsid w:val="00CB6DE1"/>
    <w:rsid w:val="00CB6F85"/>
    <w:rsid w:val="00CB7488"/>
    <w:rsid w:val="00CB7856"/>
    <w:rsid w:val="00CB7894"/>
    <w:rsid w:val="00CB7BDC"/>
    <w:rsid w:val="00CB7BEE"/>
    <w:rsid w:val="00CB7D04"/>
    <w:rsid w:val="00CC0176"/>
    <w:rsid w:val="00CC019B"/>
    <w:rsid w:val="00CC0261"/>
    <w:rsid w:val="00CC031C"/>
    <w:rsid w:val="00CC0DEF"/>
    <w:rsid w:val="00CC1205"/>
    <w:rsid w:val="00CC1271"/>
    <w:rsid w:val="00CC1334"/>
    <w:rsid w:val="00CC1336"/>
    <w:rsid w:val="00CC16DD"/>
    <w:rsid w:val="00CC1973"/>
    <w:rsid w:val="00CC1982"/>
    <w:rsid w:val="00CC19EE"/>
    <w:rsid w:val="00CC1F77"/>
    <w:rsid w:val="00CC20AA"/>
    <w:rsid w:val="00CC2358"/>
    <w:rsid w:val="00CC2406"/>
    <w:rsid w:val="00CC2461"/>
    <w:rsid w:val="00CC248C"/>
    <w:rsid w:val="00CC261F"/>
    <w:rsid w:val="00CC2AB9"/>
    <w:rsid w:val="00CC2B53"/>
    <w:rsid w:val="00CC387D"/>
    <w:rsid w:val="00CC389E"/>
    <w:rsid w:val="00CC3AD8"/>
    <w:rsid w:val="00CC3C29"/>
    <w:rsid w:val="00CC3EEC"/>
    <w:rsid w:val="00CC41EC"/>
    <w:rsid w:val="00CC43AE"/>
    <w:rsid w:val="00CC43F8"/>
    <w:rsid w:val="00CC4466"/>
    <w:rsid w:val="00CC45A5"/>
    <w:rsid w:val="00CC45AC"/>
    <w:rsid w:val="00CC45C7"/>
    <w:rsid w:val="00CC4685"/>
    <w:rsid w:val="00CC46BC"/>
    <w:rsid w:val="00CC49D5"/>
    <w:rsid w:val="00CC4BDD"/>
    <w:rsid w:val="00CC4DC8"/>
    <w:rsid w:val="00CC53FB"/>
    <w:rsid w:val="00CC5468"/>
    <w:rsid w:val="00CC5671"/>
    <w:rsid w:val="00CC5706"/>
    <w:rsid w:val="00CC57E8"/>
    <w:rsid w:val="00CC58B6"/>
    <w:rsid w:val="00CC59E1"/>
    <w:rsid w:val="00CC5C5B"/>
    <w:rsid w:val="00CC5C8B"/>
    <w:rsid w:val="00CC6A99"/>
    <w:rsid w:val="00CC6E44"/>
    <w:rsid w:val="00CC6EE2"/>
    <w:rsid w:val="00CC6F96"/>
    <w:rsid w:val="00CC72CD"/>
    <w:rsid w:val="00CC72E8"/>
    <w:rsid w:val="00CC730E"/>
    <w:rsid w:val="00CC7931"/>
    <w:rsid w:val="00CC7E80"/>
    <w:rsid w:val="00CC7FFE"/>
    <w:rsid w:val="00CD02DC"/>
    <w:rsid w:val="00CD0A08"/>
    <w:rsid w:val="00CD0AC7"/>
    <w:rsid w:val="00CD0E17"/>
    <w:rsid w:val="00CD1000"/>
    <w:rsid w:val="00CD1296"/>
    <w:rsid w:val="00CD1317"/>
    <w:rsid w:val="00CD1C75"/>
    <w:rsid w:val="00CD1E06"/>
    <w:rsid w:val="00CD1EA1"/>
    <w:rsid w:val="00CD1F47"/>
    <w:rsid w:val="00CD217D"/>
    <w:rsid w:val="00CD2293"/>
    <w:rsid w:val="00CD2D2C"/>
    <w:rsid w:val="00CD3123"/>
    <w:rsid w:val="00CD314D"/>
    <w:rsid w:val="00CD3295"/>
    <w:rsid w:val="00CD3309"/>
    <w:rsid w:val="00CD35C6"/>
    <w:rsid w:val="00CD38E8"/>
    <w:rsid w:val="00CD399C"/>
    <w:rsid w:val="00CD3B16"/>
    <w:rsid w:val="00CD3CF2"/>
    <w:rsid w:val="00CD3D05"/>
    <w:rsid w:val="00CD3EDE"/>
    <w:rsid w:val="00CD414E"/>
    <w:rsid w:val="00CD42C7"/>
    <w:rsid w:val="00CD4649"/>
    <w:rsid w:val="00CD4743"/>
    <w:rsid w:val="00CD4E4A"/>
    <w:rsid w:val="00CD538C"/>
    <w:rsid w:val="00CD53D7"/>
    <w:rsid w:val="00CD5453"/>
    <w:rsid w:val="00CD5713"/>
    <w:rsid w:val="00CD5AE9"/>
    <w:rsid w:val="00CD5B5F"/>
    <w:rsid w:val="00CD5D7F"/>
    <w:rsid w:val="00CD632B"/>
    <w:rsid w:val="00CD6453"/>
    <w:rsid w:val="00CD646B"/>
    <w:rsid w:val="00CD71BE"/>
    <w:rsid w:val="00CD7233"/>
    <w:rsid w:val="00CD73B3"/>
    <w:rsid w:val="00CD742E"/>
    <w:rsid w:val="00CD74D7"/>
    <w:rsid w:val="00CD7602"/>
    <w:rsid w:val="00CD77E6"/>
    <w:rsid w:val="00CD78A0"/>
    <w:rsid w:val="00CD79B5"/>
    <w:rsid w:val="00CD7C98"/>
    <w:rsid w:val="00CE02A6"/>
    <w:rsid w:val="00CE040E"/>
    <w:rsid w:val="00CE0445"/>
    <w:rsid w:val="00CE07D0"/>
    <w:rsid w:val="00CE0B1E"/>
    <w:rsid w:val="00CE0C63"/>
    <w:rsid w:val="00CE0C84"/>
    <w:rsid w:val="00CE0EE4"/>
    <w:rsid w:val="00CE18D9"/>
    <w:rsid w:val="00CE1BAA"/>
    <w:rsid w:val="00CE1DC6"/>
    <w:rsid w:val="00CE1E69"/>
    <w:rsid w:val="00CE1EDF"/>
    <w:rsid w:val="00CE1F6E"/>
    <w:rsid w:val="00CE1F79"/>
    <w:rsid w:val="00CE203D"/>
    <w:rsid w:val="00CE212E"/>
    <w:rsid w:val="00CE22F5"/>
    <w:rsid w:val="00CE24C9"/>
    <w:rsid w:val="00CE286E"/>
    <w:rsid w:val="00CE2886"/>
    <w:rsid w:val="00CE2A0C"/>
    <w:rsid w:val="00CE2B70"/>
    <w:rsid w:val="00CE2C33"/>
    <w:rsid w:val="00CE2F47"/>
    <w:rsid w:val="00CE2FAD"/>
    <w:rsid w:val="00CE3215"/>
    <w:rsid w:val="00CE32FD"/>
    <w:rsid w:val="00CE39A7"/>
    <w:rsid w:val="00CE3C93"/>
    <w:rsid w:val="00CE3C94"/>
    <w:rsid w:val="00CE3D6B"/>
    <w:rsid w:val="00CE4133"/>
    <w:rsid w:val="00CE4161"/>
    <w:rsid w:val="00CE421E"/>
    <w:rsid w:val="00CE422A"/>
    <w:rsid w:val="00CE4311"/>
    <w:rsid w:val="00CE4800"/>
    <w:rsid w:val="00CE4909"/>
    <w:rsid w:val="00CE4C44"/>
    <w:rsid w:val="00CE4CD6"/>
    <w:rsid w:val="00CE4D66"/>
    <w:rsid w:val="00CE4DAF"/>
    <w:rsid w:val="00CE4DE8"/>
    <w:rsid w:val="00CE4DF3"/>
    <w:rsid w:val="00CE4F4D"/>
    <w:rsid w:val="00CE54BB"/>
    <w:rsid w:val="00CE58B7"/>
    <w:rsid w:val="00CE5942"/>
    <w:rsid w:val="00CE5BE8"/>
    <w:rsid w:val="00CE5F0B"/>
    <w:rsid w:val="00CE607A"/>
    <w:rsid w:val="00CE6246"/>
    <w:rsid w:val="00CE6280"/>
    <w:rsid w:val="00CE6450"/>
    <w:rsid w:val="00CE6B3E"/>
    <w:rsid w:val="00CE7300"/>
    <w:rsid w:val="00CE7339"/>
    <w:rsid w:val="00CE74E7"/>
    <w:rsid w:val="00CE7847"/>
    <w:rsid w:val="00CE7914"/>
    <w:rsid w:val="00CE7B9E"/>
    <w:rsid w:val="00CE7BFC"/>
    <w:rsid w:val="00CE7F91"/>
    <w:rsid w:val="00CF00F6"/>
    <w:rsid w:val="00CF0419"/>
    <w:rsid w:val="00CF0532"/>
    <w:rsid w:val="00CF0666"/>
    <w:rsid w:val="00CF0D0C"/>
    <w:rsid w:val="00CF0D94"/>
    <w:rsid w:val="00CF10AF"/>
    <w:rsid w:val="00CF130F"/>
    <w:rsid w:val="00CF14FA"/>
    <w:rsid w:val="00CF1903"/>
    <w:rsid w:val="00CF19A7"/>
    <w:rsid w:val="00CF1BF6"/>
    <w:rsid w:val="00CF1F12"/>
    <w:rsid w:val="00CF2C98"/>
    <w:rsid w:val="00CF3011"/>
    <w:rsid w:val="00CF3070"/>
    <w:rsid w:val="00CF31F6"/>
    <w:rsid w:val="00CF31FC"/>
    <w:rsid w:val="00CF322D"/>
    <w:rsid w:val="00CF3510"/>
    <w:rsid w:val="00CF37AE"/>
    <w:rsid w:val="00CF37B7"/>
    <w:rsid w:val="00CF37FF"/>
    <w:rsid w:val="00CF3C88"/>
    <w:rsid w:val="00CF3CFC"/>
    <w:rsid w:val="00CF3FAB"/>
    <w:rsid w:val="00CF4586"/>
    <w:rsid w:val="00CF48EE"/>
    <w:rsid w:val="00CF4A1A"/>
    <w:rsid w:val="00CF4D0C"/>
    <w:rsid w:val="00CF4D85"/>
    <w:rsid w:val="00CF5209"/>
    <w:rsid w:val="00CF5646"/>
    <w:rsid w:val="00CF565C"/>
    <w:rsid w:val="00CF5848"/>
    <w:rsid w:val="00CF5991"/>
    <w:rsid w:val="00CF5B40"/>
    <w:rsid w:val="00CF5CD1"/>
    <w:rsid w:val="00CF5D25"/>
    <w:rsid w:val="00CF5D36"/>
    <w:rsid w:val="00CF5D4C"/>
    <w:rsid w:val="00CF6153"/>
    <w:rsid w:val="00CF63BA"/>
    <w:rsid w:val="00CF66EF"/>
    <w:rsid w:val="00CF6754"/>
    <w:rsid w:val="00CF6ADA"/>
    <w:rsid w:val="00CF6B4B"/>
    <w:rsid w:val="00CF6E95"/>
    <w:rsid w:val="00CF6FC4"/>
    <w:rsid w:val="00CF7040"/>
    <w:rsid w:val="00CF708B"/>
    <w:rsid w:val="00CF7091"/>
    <w:rsid w:val="00CF718E"/>
    <w:rsid w:val="00CF775B"/>
    <w:rsid w:val="00CF7C2F"/>
    <w:rsid w:val="00CF7D88"/>
    <w:rsid w:val="00CF7FFC"/>
    <w:rsid w:val="00D00601"/>
    <w:rsid w:val="00D00871"/>
    <w:rsid w:val="00D009CF"/>
    <w:rsid w:val="00D00AA3"/>
    <w:rsid w:val="00D00D2E"/>
    <w:rsid w:val="00D00EA7"/>
    <w:rsid w:val="00D01401"/>
    <w:rsid w:val="00D016F6"/>
    <w:rsid w:val="00D016FB"/>
    <w:rsid w:val="00D018D7"/>
    <w:rsid w:val="00D019D1"/>
    <w:rsid w:val="00D01C9D"/>
    <w:rsid w:val="00D01CC3"/>
    <w:rsid w:val="00D01F0A"/>
    <w:rsid w:val="00D02405"/>
    <w:rsid w:val="00D03181"/>
    <w:rsid w:val="00D03668"/>
    <w:rsid w:val="00D03A8A"/>
    <w:rsid w:val="00D03AD9"/>
    <w:rsid w:val="00D03AE0"/>
    <w:rsid w:val="00D0406A"/>
    <w:rsid w:val="00D04926"/>
    <w:rsid w:val="00D04B53"/>
    <w:rsid w:val="00D04CEF"/>
    <w:rsid w:val="00D04FCF"/>
    <w:rsid w:val="00D04FDB"/>
    <w:rsid w:val="00D0504C"/>
    <w:rsid w:val="00D0504E"/>
    <w:rsid w:val="00D053DE"/>
    <w:rsid w:val="00D05987"/>
    <w:rsid w:val="00D05C2F"/>
    <w:rsid w:val="00D06251"/>
    <w:rsid w:val="00D065F3"/>
    <w:rsid w:val="00D0668D"/>
    <w:rsid w:val="00D06817"/>
    <w:rsid w:val="00D06901"/>
    <w:rsid w:val="00D06BBB"/>
    <w:rsid w:val="00D06D6C"/>
    <w:rsid w:val="00D06DEC"/>
    <w:rsid w:val="00D06E1F"/>
    <w:rsid w:val="00D07336"/>
    <w:rsid w:val="00D07C9C"/>
    <w:rsid w:val="00D07EDF"/>
    <w:rsid w:val="00D07F73"/>
    <w:rsid w:val="00D10027"/>
    <w:rsid w:val="00D10029"/>
    <w:rsid w:val="00D10048"/>
    <w:rsid w:val="00D10149"/>
    <w:rsid w:val="00D1027D"/>
    <w:rsid w:val="00D102A2"/>
    <w:rsid w:val="00D10426"/>
    <w:rsid w:val="00D1044B"/>
    <w:rsid w:val="00D105D5"/>
    <w:rsid w:val="00D10D3F"/>
    <w:rsid w:val="00D10E62"/>
    <w:rsid w:val="00D1108C"/>
    <w:rsid w:val="00D11342"/>
    <w:rsid w:val="00D11BFE"/>
    <w:rsid w:val="00D11D1A"/>
    <w:rsid w:val="00D11E2B"/>
    <w:rsid w:val="00D11EAF"/>
    <w:rsid w:val="00D11F7F"/>
    <w:rsid w:val="00D122EE"/>
    <w:rsid w:val="00D12452"/>
    <w:rsid w:val="00D12786"/>
    <w:rsid w:val="00D127CC"/>
    <w:rsid w:val="00D1290E"/>
    <w:rsid w:val="00D129E3"/>
    <w:rsid w:val="00D12B66"/>
    <w:rsid w:val="00D12C76"/>
    <w:rsid w:val="00D12D8F"/>
    <w:rsid w:val="00D13040"/>
    <w:rsid w:val="00D13166"/>
    <w:rsid w:val="00D13FB7"/>
    <w:rsid w:val="00D14112"/>
    <w:rsid w:val="00D1420F"/>
    <w:rsid w:val="00D14521"/>
    <w:rsid w:val="00D14844"/>
    <w:rsid w:val="00D14D6C"/>
    <w:rsid w:val="00D14E1F"/>
    <w:rsid w:val="00D1506A"/>
    <w:rsid w:val="00D1528C"/>
    <w:rsid w:val="00D156A4"/>
    <w:rsid w:val="00D1583C"/>
    <w:rsid w:val="00D15E97"/>
    <w:rsid w:val="00D165B6"/>
    <w:rsid w:val="00D16748"/>
    <w:rsid w:val="00D17133"/>
    <w:rsid w:val="00D172FE"/>
    <w:rsid w:val="00D175C3"/>
    <w:rsid w:val="00D1791C"/>
    <w:rsid w:val="00D179D4"/>
    <w:rsid w:val="00D17D3D"/>
    <w:rsid w:val="00D2003E"/>
    <w:rsid w:val="00D2010B"/>
    <w:rsid w:val="00D20253"/>
    <w:rsid w:val="00D202C4"/>
    <w:rsid w:val="00D203E5"/>
    <w:rsid w:val="00D2041C"/>
    <w:rsid w:val="00D204ED"/>
    <w:rsid w:val="00D20631"/>
    <w:rsid w:val="00D20A70"/>
    <w:rsid w:val="00D20BC7"/>
    <w:rsid w:val="00D20C1F"/>
    <w:rsid w:val="00D20DAD"/>
    <w:rsid w:val="00D20EFF"/>
    <w:rsid w:val="00D20F9B"/>
    <w:rsid w:val="00D21438"/>
    <w:rsid w:val="00D215A0"/>
    <w:rsid w:val="00D216CB"/>
    <w:rsid w:val="00D2188A"/>
    <w:rsid w:val="00D21B68"/>
    <w:rsid w:val="00D21D11"/>
    <w:rsid w:val="00D220DD"/>
    <w:rsid w:val="00D226F4"/>
    <w:rsid w:val="00D2274A"/>
    <w:rsid w:val="00D227CC"/>
    <w:rsid w:val="00D2286A"/>
    <w:rsid w:val="00D2286C"/>
    <w:rsid w:val="00D229EA"/>
    <w:rsid w:val="00D23067"/>
    <w:rsid w:val="00D230F2"/>
    <w:rsid w:val="00D2323D"/>
    <w:rsid w:val="00D23401"/>
    <w:rsid w:val="00D236A0"/>
    <w:rsid w:val="00D23EBF"/>
    <w:rsid w:val="00D24217"/>
    <w:rsid w:val="00D2422B"/>
    <w:rsid w:val="00D2428F"/>
    <w:rsid w:val="00D245EA"/>
    <w:rsid w:val="00D24611"/>
    <w:rsid w:val="00D2469E"/>
    <w:rsid w:val="00D248B7"/>
    <w:rsid w:val="00D24A39"/>
    <w:rsid w:val="00D24AB4"/>
    <w:rsid w:val="00D2500F"/>
    <w:rsid w:val="00D250CC"/>
    <w:rsid w:val="00D2510B"/>
    <w:rsid w:val="00D25133"/>
    <w:rsid w:val="00D25558"/>
    <w:rsid w:val="00D25585"/>
    <w:rsid w:val="00D25627"/>
    <w:rsid w:val="00D257E3"/>
    <w:rsid w:val="00D25A46"/>
    <w:rsid w:val="00D25ADE"/>
    <w:rsid w:val="00D25C5A"/>
    <w:rsid w:val="00D25F7B"/>
    <w:rsid w:val="00D2619E"/>
    <w:rsid w:val="00D26322"/>
    <w:rsid w:val="00D26366"/>
    <w:rsid w:val="00D263C1"/>
    <w:rsid w:val="00D26584"/>
    <w:rsid w:val="00D266C3"/>
    <w:rsid w:val="00D26865"/>
    <w:rsid w:val="00D269D4"/>
    <w:rsid w:val="00D269F0"/>
    <w:rsid w:val="00D26E2A"/>
    <w:rsid w:val="00D27355"/>
    <w:rsid w:val="00D276EA"/>
    <w:rsid w:val="00D27728"/>
    <w:rsid w:val="00D27A8F"/>
    <w:rsid w:val="00D27E2A"/>
    <w:rsid w:val="00D27E2E"/>
    <w:rsid w:val="00D300C3"/>
    <w:rsid w:val="00D3018A"/>
    <w:rsid w:val="00D3019C"/>
    <w:rsid w:val="00D302DF"/>
    <w:rsid w:val="00D3031F"/>
    <w:rsid w:val="00D305B8"/>
    <w:rsid w:val="00D30634"/>
    <w:rsid w:val="00D3068A"/>
    <w:rsid w:val="00D30734"/>
    <w:rsid w:val="00D3095D"/>
    <w:rsid w:val="00D3097F"/>
    <w:rsid w:val="00D30B8C"/>
    <w:rsid w:val="00D30C6D"/>
    <w:rsid w:val="00D30EBB"/>
    <w:rsid w:val="00D311E7"/>
    <w:rsid w:val="00D31366"/>
    <w:rsid w:val="00D321A7"/>
    <w:rsid w:val="00D322A7"/>
    <w:rsid w:val="00D3233B"/>
    <w:rsid w:val="00D32731"/>
    <w:rsid w:val="00D32834"/>
    <w:rsid w:val="00D32B18"/>
    <w:rsid w:val="00D32BD7"/>
    <w:rsid w:val="00D32C14"/>
    <w:rsid w:val="00D33627"/>
    <w:rsid w:val="00D33A9F"/>
    <w:rsid w:val="00D33AED"/>
    <w:rsid w:val="00D33EF8"/>
    <w:rsid w:val="00D34192"/>
    <w:rsid w:val="00D341BC"/>
    <w:rsid w:val="00D3428B"/>
    <w:rsid w:val="00D346A2"/>
    <w:rsid w:val="00D34B38"/>
    <w:rsid w:val="00D34BB2"/>
    <w:rsid w:val="00D351EB"/>
    <w:rsid w:val="00D353DE"/>
    <w:rsid w:val="00D35402"/>
    <w:rsid w:val="00D355A0"/>
    <w:rsid w:val="00D356E9"/>
    <w:rsid w:val="00D35866"/>
    <w:rsid w:val="00D35945"/>
    <w:rsid w:val="00D35B24"/>
    <w:rsid w:val="00D35B76"/>
    <w:rsid w:val="00D35D4E"/>
    <w:rsid w:val="00D35DD1"/>
    <w:rsid w:val="00D35DF8"/>
    <w:rsid w:val="00D35E15"/>
    <w:rsid w:val="00D36086"/>
    <w:rsid w:val="00D36352"/>
    <w:rsid w:val="00D364C5"/>
    <w:rsid w:val="00D36601"/>
    <w:rsid w:val="00D3683E"/>
    <w:rsid w:val="00D3698B"/>
    <w:rsid w:val="00D36A88"/>
    <w:rsid w:val="00D36F60"/>
    <w:rsid w:val="00D37426"/>
    <w:rsid w:val="00D37679"/>
    <w:rsid w:val="00D376EC"/>
    <w:rsid w:val="00D37748"/>
    <w:rsid w:val="00D37A41"/>
    <w:rsid w:val="00D37CEC"/>
    <w:rsid w:val="00D37F67"/>
    <w:rsid w:val="00D40052"/>
    <w:rsid w:val="00D401CC"/>
    <w:rsid w:val="00D40419"/>
    <w:rsid w:val="00D406F6"/>
    <w:rsid w:val="00D407FB"/>
    <w:rsid w:val="00D40909"/>
    <w:rsid w:val="00D40B62"/>
    <w:rsid w:val="00D40B86"/>
    <w:rsid w:val="00D40D6F"/>
    <w:rsid w:val="00D40DA2"/>
    <w:rsid w:val="00D410F3"/>
    <w:rsid w:val="00D41295"/>
    <w:rsid w:val="00D4146C"/>
    <w:rsid w:val="00D41958"/>
    <w:rsid w:val="00D41D40"/>
    <w:rsid w:val="00D41D45"/>
    <w:rsid w:val="00D41EAD"/>
    <w:rsid w:val="00D41FB5"/>
    <w:rsid w:val="00D421F1"/>
    <w:rsid w:val="00D424A6"/>
    <w:rsid w:val="00D427C2"/>
    <w:rsid w:val="00D4305E"/>
    <w:rsid w:val="00D43062"/>
    <w:rsid w:val="00D43297"/>
    <w:rsid w:val="00D43345"/>
    <w:rsid w:val="00D43398"/>
    <w:rsid w:val="00D43586"/>
    <w:rsid w:val="00D43795"/>
    <w:rsid w:val="00D43866"/>
    <w:rsid w:val="00D438B9"/>
    <w:rsid w:val="00D43C19"/>
    <w:rsid w:val="00D43CA4"/>
    <w:rsid w:val="00D43D48"/>
    <w:rsid w:val="00D43DD0"/>
    <w:rsid w:val="00D43E77"/>
    <w:rsid w:val="00D440FD"/>
    <w:rsid w:val="00D443F2"/>
    <w:rsid w:val="00D4451C"/>
    <w:rsid w:val="00D445BA"/>
    <w:rsid w:val="00D44805"/>
    <w:rsid w:val="00D44A1F"/>
    <w:rsid w:val="00D44DB6"/>
    <w:rsid w:val="00D450E1"/>
    <w:rsid w:val="00D45386"/>
    <w:rsid w:val="00D453D7"/>
    <w:rsid w:val="00D453DA"/>
    <w:rsid w:val="00D4571B"/>
    <w:rsid w:val="00D45979"/>
    <w:rsid w:val="00D46073"/>
    <w:rsid w:val="00D46811"/>
    <w:rsid w:val="00D47096"/>
    <w:rsid w:val="00D47263"/>
    <w:rsid w:val="00D476E1"/>
    <w:rsid w:val="00D4785B"/>
    <w:rsid w:val="00D478F3"/>
    <w:rsid w:val="00D47D93"/>
    <w:rsid w:val="00D50119"/>
    <w:rsid w:val="00D501CA"/>
    <w:rsid w:val="00D503CD"/>
    <w:rsid w:val="00D5073B"/>
    <w:rsid w:val="00D50A1C"/>
    <w:rsid w:val="00D50D9A"/>
    <w:rsid w:val="00D5105A"/>
    <w:rsid w:val="00D51121"/>
    <w:rsid w:val="00D514A3"/>
    <w:rsid w:val="00D5169F"/>
    <w:rsid w:val="00D51728"/>
    <w:rsid w:val="00D51889"/>
    <w:rsid w:val="00D518E6"/>
    <w:rsid w:val="00D51F08"/>
    <w:rsid w:val="00D51FD3"/>
    <w:rsid w:val="00D52056"/>
    <w:rsid w:val="00D521AA"/>
    <w:rsid w:val="00D52262"/>
    <w:rsid w:val="00D52270"/>
    <w:rsid w:val="00D52702"/>
    <w:rsid w:val="00D52F4C"/>
    <w:rsid w:val="00D52FCA"/>
    <w:rsid w:val="00D5306E"/>
    <w:rsid w:val="00D53443"/>
    <w:rsid w:val="00D5388F"/>
    <w:rsid w:val="00D539D4"/>
    <w:rsid w:val="00D53FA6"/>
    <w:rsid w:val="00D55248"/>
    <w:rsid w:val="00D559CF"/>
    <w:rsid w:val="00D55FA6"/>
    <w:rsid w:val="00D5658B"/>
    <w:rsid w:val="00D5681F"/>
    <w:rsid w:val="00D568A3"/>
    <w:rsid w:val="00D56C9D"/>
    <w:rsid w:val="00D57013"/>
    <w:rsid w:val="00D570E4"/>
    <w:rsid w:val="00D5711D"/>
    <w:rsid w:val="00D57AB1"/>
    <w:rsid w:val="00D57AEC"/>
    <w:rsid w:val="00D57C9F"/>
    <w:rsid w:val="00D57F61"/>
    <w:rsid w:val="00D6000C"/>
    <w:rsid w:val="00D6015E"/>
    <w:rsid w:val="00D60352"/>
    <w:rsid w:val="00D604AB"/>
    <w:rsid w:val="00D60B56"/>
    <w:rsid w:val="00D60C5B"/>
    <w:rsid w:val="00D60D14"/>
    <w:rsid w:val="00D611A8"/>
    <w:rsid w:val="00D624EF"/>
    <w:rsid w:val="00D62516"/>
    <w:rsid w:val="00D625A8"/>
    <w:rsid w:val="00D62A39"/>
    <w:rsid w:val="00D62C6A"/>
    <w:rsid w:val="00D6307B"/>
    <w:rsid w:val="00D6323A"/>
    <w:rsid w:val="00D632C1"/>
    <w:rsid w:val="00D633AB"/>
    <w:rsid w:val="00D634D7"/>
    <w:rsid w:val="00D63ACF"/>
    <w:rsid w:val="00D63C8D"/>
    <w:rsid w:val="00D63E01"/>
    <w:rsid w:val="00D63EB8"/>
    <w:rsid w:val="00D6438B"/>
    <w:rsid w:val="00D6444A"/>
    <w:rsid w:val="00D64808"/>
    <w:rsid w:val="00D648D9"/>
    <w:rsid w:val="00D64AE0"/>
    <w:rsid w:val="00D64DF0"/>
    <w:rsid w:val="00D64FA3"/>
    <w:rsid w:val="00D6505A"/>
    <w:rsid w:val="00D6518D"/>
    <w:rsid w:val="00D65638"/>
    <w:rsid w:val="00D656C6"/>
    <w:rsid w:val="00D6571F"/>
    <w:rsid w:val="00D65781"/>
    <w:rsid w:val="00D65911"/>
    <w:rsid w:val="00D65A48"/>
    <w:rsid w:val="00D65ABC"/>
    <w:rsid w:val="00D66031"/>
    <w:rsid w:val="00D661EF"/>
    <w:rsid w:val="00D66234"/>
    <w:rsid w:val="00D66293"/>
    <w:rsid w:val="00D6631A"/>
    <w:rsid w:val="00D66833"/>
    <w:rsid w:val="00D66D69"/>
    <w:rsid w:val="00D67077"/>
    <w:rsid w:val="00D671BF"/>
    <w:rsid w:val="00D67628"/>
    <w:rsid w:val="00D67A95"/>
    <w:rsid w:val="00D67E54"/>
    <w:rsid w:val="00D67E94"/>
    <w:rsid w:val="00D67ED4"/>
    <w:rsid w:val="00D67F83"/>
    <w:rsid w:val="00D7037A"/>
    <w:rsid w:val="00D7039E"/>
    <w:rsid w:val="00D70655"/>
    <w:rsid w:val="00D70668"/>
    <w:rsid w:val="00D7093A"/>
    <w:rsid w:val="00D70E86"/>
    <w:rsid w:val="00D7141A"/>
    <w:rsid w:val="00D715A6"/>
    <w:rsid w:val="00D715CC"/>
    <w:rsid w:val="00D71779"/>
    <w:rsid w:val="00D71B54"/>
    <w:rsid w:val="00D71F7B"/>
    <w:rsid w:val="00D71FC2"/>
    <w:rsid w:val="00D72062"/>
    <w:rsid w:val="00D722D6"/>
    <w:rsid w:val="00D7235A"/>
    <w:rsid w:val="00D72434"/>
    <w:rsid w:val="00D72586"/>
    <w:rsid w:val="00D726C5"/>
    <w:rsid w:val="00D72B76"/>
    <w:rsid w:val="00D72CC5"/>
    <w:rsid w:val="00D72F41"/>
    <w:rsid w:val="00D72FE0"/>
    <w:rsid w:val="00D7392A"/>
    <w:rsid w:val="00D73B8E"/>
    <w:rsid w:val="00D73CE1"/>
    <w:rsid w:val="00D73FD6"/>
    <w:rsid w:val="00D741A8"/>
    <w:rsid w:val="00D743C5"/>
    <w:rsid w:val="00D746D0"/>
    <w:rsid w:val="00D749A8"/>
    <w:rsid w:val="00D749C9"/>
    <w:rsid w:val="00D74B60"/>
    <w:rsid w:val="00D74D35"/>
    <w:rsid w:val="00D74E2B"/>
    <w:rsid w:val="00D74FE5"/>
    <w:rsid w:val="00D750DB"/>
    <w:rsid w:val="00D754BE"/>
    <w:rsid w:val="00D75778"/>
    <w:rsid w:val="00D758D4"/>
    <w:rsid w:val="00D75BE9"/>
    <w:rsid w:val="00D75C1A"/>
    <w:rsid w:val="00D75EB6"/>
    <w:rsid w:val="00D76059"/>
    <w:rsid w:val="00D76086"/>
    <w:rsid w:val="00D760F9"/>
    <w:rsid w:val="00D764AD"/>
    <w:rsid w:val="00D767EC"/>
    <w:rsid w:val="00D76ACB"/>
    <w:rsid w:val="00D76E44"/>
    <w:rsid w:val="00D76F8E"/>
    <w:rsid w:val="00D7715F"/>
    <w:rsid w:val="00D77423"/>
    <w:rsid w:val="00D77713"/>
    <w:rsid w:val="00D77BDE"/>
    <w:rsid w:val="00D77F19"/>
    <w:rsid w:val="00D80108"/>
    <w:rsid w:val="00D80866"/>
    <w:rsid w:val="00D809AC"/>
    <w:rsid w:val="00D80A2B"/>
    <w:rsid w:val="00D80AF3"/>
    <w:rsid w:val="00D80B0C"/>
    <w:rsid w:val="00D80F94"/>
    <w:rsid w:val="00D8119B"/>
    <w:rsid w:val="00D81250"/>
    <w:rsid w:val="00D816A4"/>
    <w:rsid w:val="00D81805"/>
    <w:rsid w:val="00D81B20"/>
    <w:rsid w:val="00D81B3E"/>
    <w:rsid w:val="00D81B50"/>
    <w:rsid w:val="00D81CA1"/>
    <w:rsid w:val="00D823E4"/>
    <w:rsid w:val="00D825E1"/>
    <w:rsid w:val="00D827F8"/>
    <w:rsid w:val="00D828C1"/>
    <w:rsid w:val="00D828EE"/>
    <w:rsid w:val="00D82A43"/>
    <w:rsid w:val="00D82BD2"/>
    <w:rsid w:val="00D82CC4"/>
    <w:rsid w:val="00D82DE0"/>
    <w:rsid w:val="00D82EB4"/>
    <w:rsid w:val="00D82F34"/>
    <w:rsid w:val="00D82FA9"/>
    <w:rsid w:val="00D8351E"/>
    <w:rsid w:val="00D8361E"/>
    <w:rsid w:val="00D8367A"/>
    <w:rsid w:val="00D8376F"/>
    <w:rsid w:val="00D837D1"/>
    <w:rsid w:val="00D838C4"/>
    <w:rsid w:val="00D83CF3"/>
    <w:rsid w:val="00D8409C"/>
    <w:rsid w:val="00D840E1"/>
    <w:rsid w:val="00D843DE"/>
    <w:rsid w:val="00D8469B"/>
    <w:rsid w:val="00D84881"/>
    <w:rsid w:val="00D84A94"/>
    <w:rsid w:val="00D84DD1"/>
    <w:rsid w:val="00D84F15"/>
    <w:rsid w:val="00D84F51"/>
    <w:rsid w:val="00D85022"/>
    <w:rsid w:val="00D850CC"/>
    <w:rsid w:val="00D85146"/>
    <w:rsid w:val="00D85181"/>
    <w:rsid w:val="00D8542F"/>
    <w:rsid w:val="00D856E6"/>
    <w:rsid w:val="00D857CF"/>
    <w:rsid w:val="00D85960"/>
    <w:rsid w:val="00D85AED"/>
    <w:rsid w:val="00D85CB9"/>
    <w:rsid w:val="00D86042"/>
    <w:rsid w:val="00D86264"/>
    <w:rsid w:val="00D862B8"/>
    <w:rsid w:val="00D865DB"/>
    <w:rsid w:val="00D86608"/>
    <w:rsid w:val="00D86763"/>
    <w:rsid w:val="00D8693C"/>
    <w:rsid w:val="00D86D41"/>
    <w:rsid w:val="00D86DF3"/>
    <w:rsid w:val="00D87049"/>
    <w:rsid w:val="00D8722B"/>
    <w:rsid w:val="00D874B0"/>
    <w:rsid w:val="00D876A3"/>
    <w:rsid w:val="00D876D6"/>
    <w:rsid w:val="00D87E72"/>
    <w:rsid w:val="00D87FD5"/>
    <w:rsid w:val="00D902C1"/>
    <w:rsid w:val="00D902D4"/>
    <w:rsid w:val="00D9030D"/>
    <w:rsid w:val="00D9061A"/>
    <w:rsid w:val="00D907B4"/>
    <w:rsid w:val="00D90B25"/>
    <w:rsid w:val="00D90B2E"/>
    <w:rsid w:val="00D912A6"/>
    <w:rsid w:val="00D91301"/>
    <w:rsid w:val="00D9159A"/>
    <w:rsid w:val="00D91AE3"/>
    <w:rsid w:val="00D91DDB"/>
    <w:rsid w:val="00D9201D"/>
    <w:rsid w:val="00D92081"/>
    <w:rsid w:val="00D9262D"/>
    <w:rsid w:val="00D928A5"/>
    <w:rsid w:val="00D9298D"/>
    <w:rsid w:val="00D92BCD"/>
    <w:rsid w:val="00D92C28"/>
    <w:rsid w:val="00D92CFD"/>
    <w:rsid w:val="00D935A2"/>
    <w:rsid w:val="00D9369C"/>
    <w:rsid w:val="00D93F42"/>
    <w:rsid w:val="00D941BD"/>
    <w:rsid w:val="00D94210"/>
    <w:rsid w:val="00D9421C"/>
    <w:rsid w:val="00D94428"/>
    <w:rsid w:val="00D944CB"/>
    <w:rsid w:val="00D94515"/>
    <w:rsid w:val="00D9468D"/>
    <w:rsid w:val="00D946D8"/>
    <w:rsid w:val="00D94D77"/>
    <w:rsid w:val="00D951DD"/>
    <w:rsid w:val="00D954C8"/>
    <w:rsid w:val="00D95D5E"/>
    <w:rsid w:val="00D95E17"/>
    <w:rsid w:val="00D96178"/>
    <w:rsid w:val="00D96448"/>
    <w:rsid w:val="00D9686A"/>
    <w:rsid w:val="00D9694B"/>
    <w:rsid w:val="00D96F23"/>
    <w:rsid w:val="00D9723A"/>
    <w:rsid w:val="00D97738"/>
    <w:rsid w:val="00D978F6"/>
    <w:rsid w:val="00D97A8F"/>
    <w:rsid w:val="00DA0180"/>
    <w:rsid w:val="00DA069A"/>
    <w:rsid w:val="00DA072D"/>
    <w:rsid w:val="00DA0ECC"/>
    <w:rsid w:val="00DA10E5"/>
    <w:rsid w:val="00DA1489"/>
    <w:rsid w:val="00DA1B1B"/>
    <w:rsid w:val="00DA1EB9"/>
    <w:rsid w:val="00DA1EF3"/>
    <w:rsid w:val="00DA1F25"/>
    <w:rsid w:val="00DA2296"/>
    <w:rsid w:val="00DA25D9"/>
    <w:rsid w:val="00DA27D8"/>
    <w:rsid w:val="00DA2A03"/>
    <w:rsid w:val="00DA2FFD"/>
    <w:rsid w:val="00DA3025"/>
    <w:rsid w:val="00DA36EC"/>
    <w:rsid w:val="00DA3729"/>
    <w:rsid w:val="00DA394A"/>
    <w:rsid w:val="00DA3BA5"/>
    <w:rsid w:val="00DA3C60"/>
    <w:rsid w:val="00DA3DF8"/>
    <w:rsid w:val="00DA403F"/>
    <w:rsid w:val="00DA415A"/>
    <w:rsid w:val="00DA4597"/>
    <w:rsid w:val="00DA46F3"/>
    <w:rsid w:val="00DA477A"/>
    <w:rsid w:val="00DA4AF3"/>
    <w:rsid w:val="00DA4F34"/>
    <w:rsid w:val="00DA4F48"/>
    <w:rsid w:val="00DA4F7B"/>
    <w:rsid w:val="00DA4FA0"/>
    <w:rsid w:val="00DA500F"/>
    <w:rsid w:val="00DA52C3"/>
    <w:rsid w:val="00DA5301"/>
    <w:rsid w:val="00DA530A"/>
    <w:rsid w:val="00DA536F"/>
    <w:rsid w:val="00DA5621"/>
    <w:rsid w:val="00DA577C"/>
    <w:rsid w:val="00DA5925"/>
    <w:rsid w:val="00DA5A45"/>
    <w:rsid w:val="00DA5C04"/>
    <w:rsid w:val="00DA5F0E"/>
    <w:rsid w:val="00DA6018"/>
    <w:rsid w:val="00DA668A"/>
    <w:rsid w:val="00DA67DA"/>
    <w:rsid w:val="00DA682B"/>
    <w:rsid w:val="00DA7075"/>
    <w:rsid w:val="00DA72A9"/>
    <w:rsid w:val="00DA7482"/>
    <w:rsid w:val="00DA7B5D"/>
    <w:rsid w:val="00DA7D5E"/>
    <w:rsid w:val="00DB0242"/>
    <w:rsid w:val="00DB053F"/>
    <w:rsid w:val="00DB08B8"/>
    <w:rsid w:val="00DB0DFE"/>
    <w:rsid w:val="00DB0E84"/>
    <w:rsid w:val="00DB19FA"/>
    <w:rsid w:val="00DB209A"/>
    <w:rsid w:val="00DB2142"/>
    <w:rsid w:val="00DB2234"/>
    <w:rsid w:val="00DB2252"/>
    <w:rsid w:val="00DB251A"/>
    <w:rsid w:val="00DB2751"/>
    <w:rsid w:val="00DB29AF"/>
    <w:rsid w:val="00DB2B40"/>
    <w:rsid w:val="00DB2E7E"/>
    <w:rsid w:val="00DB2F69"/>
    <w:rsid w:val="00DB333F"/>
    <w:rsid w:val="00DB3708"/>
    <w:rsid w:val="00DB37FD"/>
    <w:rsid w:val="00DB3864"/>
    <w:rsid w:val="00DB3EA9"/>
    <w:rsid w:val="00DB4152"/>
    <w:rsid w:val="00DB42CA"/>
    <w:rsid w:val="00DB447F"/>
    <w:rsid w:val="00DB4A74"/>
    <w:rsid w:val="00DB4A99"/>
    <w:rsid w:val="00DB4B06"/>
    <w:rsid w:val="00DB4F61"/>
    <w:rsid w:val="00DB509D"/>
    <w:rsid w:val="00DB5150"/>
    <w:rsid w:val="00DB520D"/>
    <w:rsid w:val="00DB542D"/>
    <w:rsid w:val="00DB54CB"/>
    <w:rsid w:val="00DB556D"/>
    <w:rsid w:val="00DB57EB"/>
    <w:rsid w:val="00DB59A7"/>
    <w:rsid w:val="00DB5F97"/>
    <w:rsid w:val="00DB606D"/>
    <w:rsid w:val="00DB6296"/>
    <w:rsid w:val="00DB62AE"/>
    <w:rsid w:val="00DB62F7"/>
    <w:rsid w:val="00DB6532"/>
    <w:rsid w:val="00DB6C48"/>
    <w:rsid w:val="00DB6E5B"/>
    <w:rsid w:val="00DB7112"/>
    <w:rsid w:val="00DB7230"/>
    <w:rsid w:val="00DB73EF"/>
    <w:rsid w:val="00DB78F6"/>
    <w:rsid w:val="00DB795C"/>
    <w:rsid w:val="00DB7BBE"/>
    <w:rsid w:val="00DB7C9A"/>
    <w:rsid w:val="00DC0967"/>
    <w:rsid w:val="00DC0A25"/>
    <w:rsid w:val="00DC10E1"/>
    <w:rsid w:val="00DC10E8"/>
    <w:rsid w:val="00DC183A"/>
    <w:rsid w:val="00DC18B9"/>
    <w:rsid w:val="00DC260A"/>
    <w:rsid w:val="00DC2831"/>
    <w:rsid w:val="00DC29A3"/>
    <w:rsid w:val="00DC2A98"/>
    <w:rsid w:val="00DC2C76"/>
    <w:rsid w:val="00DC2D24"/>
    <w:rsid w:val="00DC2E77"/>
    <w:rsid w:val="00DC2F5D"/>
    <w:rsid w:val="00DC3053"/>
    <w:rsid w:val="00DC309E"/>
    <w:rsid w:val="00DC332C"/>
    <w:rsid w:val="00DC353B"/>
    <w:rsid w:val="00DC35D3"/>
    <w:rsid w:val="00DC3744"/>
    <w:rsid w:val="00DC37AE"/>
    <w:rsid w:val="00DC3D8C"/>
    <w:rsid w:val="00DC3F3C"/>
    <w:rsid w:val="00DC3F9B"/>
    <w:rsid w:val="00DC433A"/>
    <w:rsid w:val="00DC439C"/>
    <w:rsid w:val="00DC45A3"/>
    <w:rsid w:val="00DC45B1"/>
    <w:rsid w:val="00DC473D"/>
    <w:rsid w:val="00DC4918"/>
    <w:rsid w:val="00DC4B1F"/>
    <w:rsid w:val="00DC4FC9"/>
    <w:rsid w:val="00DC550F"/>
    <w:rsid w:val="00DC5636"/>
    <w:rsid w:val="00DC5792"/>
    <w:rsid w:val="00DC5915"/>
    <w:rsid w:val="00DC59CE"/>
    <w:rsid w:val="00DC5C97"/>
    <w:rsid w:val="00DC5D3B"/>
    <w:rsid w:val="00DC634B"/>
    <w:rsid w:val="00DC635D"/>
    <w:rsid w:val="00DC63D4"/>
    <w:rsid w:val="00DC6E3C"/>
    <w:rsid w:val="00DC6E9D"/>
    <w:rsid w:val="00DC7802"/>
    <w:rsid w:val="00DC7A3E"/>
    <w:rsid w:val="00DC7A78"/>
    <w:rsid w:val="00DC7A9D"/>
    <w:rsid w:val="00DC7E04"/>
    <w:rsid w:val="00DC7EC8"/>
    <w:rsid w:val="00DD01FE"/>
    <w:rsid w:val="00DD0376"/>
    <w:rsid w:val="00DD0718"/>
    <w:rsid w:val="00DD0A45"/>
    <w:rsid w:val="00DD0A56"/>
    <w:rsid w:val="00DD0B87"/>
    <w:rsid w:val="00DD0BB8"/>
    <w:rsid w:val="00DD0D81"/>
    <w:rsid w:val="00DD0DAD"/>
    <w:rsid w:val="00DD1225"/>
    <w:rsid w:val="00DD13E9"/>
    <w:rsid w:val="00DD157A"/>
    <w:rsid w:val="00DD164E"/>
    <w:rsid w:val="00DD1725"/>
    <w:rsid w:val="00DD17DB"/>
    <w:rsid w:val="00DD1904"/>
    <w:rsid w:val="00DD1ABB"/>
    <w:rsid w:val="00DD1B59"/>
    <w:rsid w:val="00DD1EBE"/>
    <w:rsid w:val="00DD1EFF"/>
    <w:rsid w:val="00DD2119"/>
    <w:rsid w:val="00DD23E5"/>
    <w:rsid w:val="00DD24EE"/>
    <w:rsid w:val="00DD2823"/>
    <w:rsid w:val="00DD2892"/>
    <w:rsid w:val="00DD2D28"/>
    <w:rsid w:val="00DD2EB4"/>
    <w:rsid w:val="00DD3054"/>
    <w:rsid w:val="00DD32CA"/>
    <w:rsid w:val="00DD353C"/>
    <w:rsid w:val="00DD3657"/>
    <w:rsid w:val="00DD3792"/>
    <w:rsid w:val="00DD3954"/>
    <w:rsid w:val="00DD398D"/>
    <w:rsid w:val="00DD3AA3"/>
    <w:rsid w:val="00DD3D7C"/>
    <w:rsid w:val="00DD4156"/>
    <w:rsid w:val="00DD428B"/>
    <w:rsid w:val="00DD4A51"/>
    <w:rsid w:val="00DD4AFB"/>
    <w:rsid w:val="00DD4BF6"/>
    <w:rsid w:val="00DD4F30"/>
    <w:rsid w:val="00DD5133"/>
    <w:rsid w:val="00DD5342"/>
    <w:rsid w:val="00DD5481"/>
    <w:rsid w:val="00DD56E0"/>
    <w:rsid w:val="00DD5B1A"/>
    <w:rsid w:val="00DD60C7"/>
    <w:rsid w:val="00DD62C9"/>
    <w:rsid w:val="00DD6344"/>
    <w:rsid w:val="00DD6934"/>
    <w:rsid w:val="00DD6DAF"/>
    <w:rsid w:val="00DD7130"/>
    <w:rsid w:val="00DD75D5"/>
    <w:rsid w:val="00DD7677"/>
    <w:rsid w:val="00DD7BE2"/>
    <w:rsid w:val="00DE004A"/>
    <w:rsid w:val="00DE00C8"/>
    <w:rsid w:val="00DE04BF"/>
    <w:rsid w:val="00DE04F8"/>
    <w:rsid w:val="00DE09E9"/>
    <w:rsid w:val="00DE0AE7"/>
    <w:rsid w:val="00DE0E5F"/>
    <w:rsid w:val="00DE1395"/>
    <w:rsid w:val="00DE13C6"/>
    <w:rsid w:val="00DE14F1"/>
    <w:rsid w:val="00DE22C5"/>
    <w:rsid w:val="00DE257C"/>
    <w:rsid w:val="00DE2764"/>
    <w:rsid w:val="00DE27CB"/>
    <w:rsid w:val="00DE2B0E"/>
    <w:rsid w:val="00DE2E19"/>
    <w:rsid w:val="00DE2EEA"/>
    <w:rsid w:val="00DE30DA"/>
    <w:rsid w:val="00DE31D1"/>
    <w:rsid w:val="00DE3684"/>
    <w:rsid w:val="00DE3821"/>
    <w:rsid w:val="00DE39A2"/>
    <w:rsid w:val="00DE3AA2"/>
    <w:rsid w:val="00DE416F"/>
    <w:rsid w:val="00DE4424"/>
    <w:rsid w:val="00DE443C"/>
    <w:rsid w:val="00DE44D7"/>
    <w:rsid w:val="00DE4605"/>
    <w:rsid w:val="00DE482D"/>
    <w:rsid w:val="00DE4AF7"/>
    <w:rsid w:val="00DE4BFC"/>
    <w:rsid w:val="00DE5066"/>
    <w:rsid w:val="00DE514C"/>
    <w:rsid w:val="00DE520B"/>
    <w:rsid w:val="00DE5422"/>
    <w:rsid w:val="00DE5648"/>
    <w:rsid w:val="00DE57B2"/>
    <w:rsid w:val="00DE59F9"/>
    <w:rsid w:val="00DE5ADA"/>
    <w:rsid w:val="00DE5C2A"/>
    <w:rsid w:val="00DE5C36"/>
    <w:rsid w:val="00DE5F92"/>
    <w:rsid w:val="00DE6891"/>
    <w:rsid w:val="00DE726C"/>
    <w:rsid w:val="00DE7A50"/>
    <w:rsid w:val="00DE7DCD"/>
    <w:rsid w:val="00DE7DFD"/>
    <w:rsid w:val="00DE7FE8"/>
    <w:rsid w:val="00DF00AF"/>
    <w:rsid w:val="00DF0158"/>
    <w:rsid w:val="00DF0237"/>
    <w:rsid w:val="00DF0298"/>
    <w:rsid w:val="00DF0782"/>
    <w:rsid w:val="00DF1058"/>
    <w:rsid w:val="00DF15C7"/>
    <w:rsid w:val="00DF17C1"/>
    <w:rsid w:val="00DF186F"/>
    <w:rsid w:val="00DF19AF"/>
    <w:rsid w:val="00DF1C3D"/>
    <w:rsid w:val="00DF1C3F"/>
    <w:rsid w:val="00DF1C87"/>
    <w:rsid w:val="00DF1DA3"/>
    <w:rsid w:val="00DF1E87"/>
    <w:rsid w:val="00DF224E"/>
    <w:rsid w:val="00DF2340"/>
    <w:rsid w:val="00DF2436"/>
    <w:rsid w:val="00DF2484"/>
    <w:rsid w:val="00DF2805"/>
    <w:rsid w:val="00DF2ACC"/>
    <w:rsid w:val="00DF2D53"/>
    <w:rsid w:val="00DF3076"/>
    <w:rsid w:val="00DF334F"/>
    <w:rsid w:val="00DF34E3"/>
    <w:rsid w:val="00DF35EC"/>
    <w:rsid w:val="00DF375C"/>
    <w:rsid w:val="00DF3954"/>
    <w:rsid w:val="00DF39D9"/>
    <w:rsid w:val="00DF3AF2"/>
    <w:rsid w:val="00DF3B04"/>
    <w:rsid w:val="00DF3D4A"/>
    <w:rsid w:val="00DF3F7E"/>
    <w:rsid w:val="00DF3F9B"/>
    <w:rsid w:val="00DF40EF"/>
    <w:rsid w:val="00DF443D"/>
    <w:rsid w:val="00DF4706"/>
    <w:rsid w:val="00DF4798"/>
    <w:rsid w:val="00DF4833"/>
    <w:rsid w:val="00DF4D23"/>
    <w:rsid w:val="00DF4F6F"/>
    <w:rsid w:val="00DF4F92"/>
    <w:rsid w:val="00DF53C0"/>
    <w:rsid w:val="00DF5491"/>
    <w:rsid w:val="00DF56F4"/>
    <w:rsid w:val="00DF57D9"/>
    <w:rsid w:val="00DF58E7"/>
    <w:rsid w:val="00DF60F1"/>
    <w:rsid w:val="00DF61BE"/>
    <w:rsid w:val="00DF61E8"/>
    <w:rsid w:val="00DF622F"/>
    <w:rsid w:val="00DF705A"/>
    <w:rsid w:val="00DF71FC"/>
    <w:rsid w:val="00DF76B8"/>
    <w:rsid w:val="00DF78DC"/>
    <w:rsid w:val="00DF7A4A"/>
    <w:rsid w:val="00DF7B35"/>
    <w:rsid w:val="00E0017B"/>
    <w:rsid w:val="00E002C5"/>
    <w:rsid w:val="00E00714"/>
    <w:rsid w:val="00E008B9"/>
    <w:rsid w:val="00E00AFA"/>
    <w:rsid w:val="00E01238"/>
    <w:rsid w:val="00E01BA4"/>
    <w:rsid w:val="00E01C9E"/>
    <w:rsid w:val="00E01DA7"/>
    <w:rsid w:val="00E0207A"/>
    <w:rsid w:val="00E02237"/>
    <w:rsid w:val="00E024AE"/>
    <w:rsid w:val="00E0251F"/>
    <w:rsid w:val="00E02624"/>
    <w:rsid w:val="00E02C74"/>
    <w:rsid w:val="00E02C8F"/>
    <w:rsid w:val="00E02EA7"/>
    <w:rsid w:val="00E031B3"/>
    <w:rsid w:val="00E031E8"/>
    <w:rsid w:val="00E03398"/>
    <w:rsid w:val="00E03403"/>
    <w:rsid w:val="00E034F0"/>
    <w:rsid w:val="00E0379B"/>
    <w:rsid w:val="00E03B6D"/>
    <w:rsid w:val="00E03EC7"/>
    <w:rsid w:val="00E03F7D"/>
    <w:rsid w:val="00E04175"/>
    <w:rsid w:val="00E04273"/>
    <w:rsid w:val="00E04609"/>
    <w:rsid w:val="00E04613"/>
    <w:rsid w:val="00E04870"/>
    <w:rsid w:val="00E048F5"/>
    <w:rsid w:val="00E04FA1"/>
    <w:rsid w:val="00E04FD6"/>
    <w:rsid w:val="00E056BF"/>
    <w:rsid w:val="00E056C1"/>
    <w:rsid w:val="00E05EF8"/>
    <w:rsid w:val="00E05F1F"/>
    <w:rsid w:val="00E060DB"/>
    <w:rsid w:val="00E06893"/>
    <w:rsid w:val="00E068AB"/>
    <w:rsid w:val="00E069D0"/>
    <w:rsid w:val="00E06A74"/>
    <w:rsid w:val="00E06C82"/>
    <w:rsid w:val="00E06D26"/>
    <w:rsid w:val="00E06F13"/>
    <w:rsid w:val="00E070F1"/>
    <w:rsid w:val="00E073C2"/>
    <w:rsid w:val="00E07CFB"/>
    <w:rsid w:val="00E07D50"/>
    <w:rsid w:val="00E07E40"/>
    <w:rsid w:val="00E07E90"/>
    <w:rsid w:val="00E10092"/>
    <w:rsid w:val="00E1059F"/>
    <w:rsid w:val="00E105E7"/>
    <w:rsid w:val="00E109A6"/>
    <w:rsid w:val="00E10BCA"/>
    <w:rsid w:val="00E10C03"/>
    <w:rsid w:val="00E10C2E"/>
    <w:rsid w:val="00E10F8D"/>
    <w:rsid w:val="00E114B5"/>
    <w:rsid w:val="00E116E8"/>
    <w:rsid w:val="00E11876"/>
    <w:rsid w:val="00E11A47"/>
    <w:rsid w:val="00E11A6D"/>
    <w:rsid w:val="00E11AED"/>
    <w:rsid w:val="00E11BED"/>
    <w:rsid w:val="00E11CDF"/>
    <w:rsid w:val="00E123AB"/>
    <w:rsid w:val="00E12423"/>
    <w:rsid w:val="00E124C3"/>
    <w:rsid w:val="00E12D51"/>
    <w:rsid w:val="00E13285"/>
    <w:rsid w:val="00E1349A"/>
    <w:rsid w:val="00E13689"/>
    <w:rsid w:val="00E136FE"/>
    <w:rsid w:val="00E137FB"/>
    <w:rsid w:val="00E1384D"/>
    <w:rsid w:val="00E13C28"/>
    <w:rsid w:val="00E13C93"/>
    <w:rsid w:val="00E13F91"/>
    <w:rsid w:val="00E145AB"/>
    <w:rsid w:val="00E14953"/>
    <w:rsid w:val="00E14A54"/>
    <w:rsid w:val="00E14B7B"/>
    <w:rsid w:val="00E153DA"/>
    <w:rsid w:val="00E1556A"/>
    <w:rsid w:val="00E156CF"/>
    <w:rsid w:val="00E158DC"/>
    <w:rsid w:val="00E15962"/>
    <w:rsid w:val="00E15F7C"/>
    <w:rsid w:val="00E160AF"/>
    <w:rsid w:val="00E1614A"/>
    <w:rsid w:val="00E1628C"/>
    <w:rsid w:val="00E163C2"/>
    <w:rsid w:val="00E16667"/>
    <w:rsid w:val="00E1688E"/>
    <w:rsid w:val="00E16AA4"/>
    <w:rsid w:val="00E16C41"/>
    <w:rsid w:val="00E16DAD"/>
    <w:rsid w:val="00E175D3"/>
    <w:rsid w:val="00E175D9"/>
    <w:rsid w:val="00E1769B"/>
    <w:rsid w:val="00E17854"/>
    <w:rsid w:val="00E17A8C"/>
    <w:rsid w:val="00E17BC1"/>
    <w:rsid w:val="00E17BE8"/>
    <w:rsid w:val="00E17D86"/>
    <w:rsid w:val="00E17FBA"/>
    <w:rsid w:val="00E20025"/>
    <w:rsid w:val="00E200CA"/>
    <w:rsid w:val="00E200DF"/>
    <w:rsid w:val="00E2011D"/>
    <w:rsid w:val="00E2046F"/>
    <w:rsid w:val="00E2077F"/>
    <w:rsid w:val="00E20A29"/>
    <w:rsid w:val="00E20A88"/>
    <w:rsid w:val="00E20D43"/>
    <w:rsid w:val="00E2123D"/>
    <w:rsid w:val="00E21725"/>
    <w:rsid w:val="00E21A29"/>
    <w:rsid w:val="00E21A38"/>
    <w:rsid w:val="00E21A87"/>
    <w:rsid w:val="00E21D1D"/>
    <w:rsid w:val="00E21E37"/>
    <w:rsid w:val="00E21E8D"/>
    <w:rsid w:val="00E21ED3"/>
    <w:rsid w:val="00E21FC4"/>
    <w:rsid w:val="00E2210A"/>
    <w:rsid w:val="00E221B6"/>
    <w:rsid w:val="00E22E23"/>
    <w:rsid w:val="00E232A3"/>
    <w:rsid w:val="00E232F3"/>
    <w:rsid w:val="00E23316"/>
    <w:rsid w:val="00E23427"/>
    <w:rsid w:val="00E235EC"/>
    <w:rsid w:val="00E2375D"/>
    <w:rsid w:val="00E23C59"/>
    <w:rsid w:val="00E23CBB"/>
    <w:rsid w:val="00E23F3E"/>
    <w:rsid w:val="00E23FE9"/>
    <w:rsid w:val="00E240EC"/>
    <w:rsid w:val="00E24260"/>
    <w:rsid w:val="00E24394"/>
    <w:rsid w:val="00E245F3"/>
    <w:rsid w:val="00E2474C"/>
    <w:rsid w:val="00E2480C"/>
    <w:rsid w:val="00E24923"/>
    <w:rsid w:val="00E24B23"/>
    <w:rsid w:val="00E25031"/>
    <w:rsid w:val="00E25137"/>
    <w:rsid w:val="00E25904"/>
    <w:rsid w:val="00E25957"/>
    <w:rsid w:val="00E2596D"/>
    <w:rsid w:val="00E259F2"/>
    <w:rsid w:val="00E25A6E"/>
    <w:rsid w:val="00E25C4E"/>
    <w:rsid w:val="00E25DC4"/>
    <w:rsid w:val="00E2622F"/>
    <w:rsid w:val="00E262C9"/>
    <w:rsid w:val="00E2638E"/>
    <w:rsid w:val="00E2648C"/>
    <w:rsid w:val="00E264E9"/>
    <w:rsid w:val="00E266CA"/>
    <w:rsid w:val="00E26AC6"/>
    <w:rsid w:val="00E26C33"/>
    <w:rsid w:val="00E26D77"/>
    <w:rsid w:val="00E26E37"/>
    <w:rsid w:val="00E27B2C"/>
    <w:rsid w:val="00E27E6C"/>
    <w:rsid w:val="00E27E74"/>
    <w:rsid w:val="00E30299"/>
    <w:rsid w:val="00E30410"/>
    <w:rsid w:val="00E30900"/>
    <w:rsid w:val="00E30A22"/>
    <w:rsid w:val="00E30B11"/>
    <w:rsid w:val="00E30D1B"/>
    <w:rsid w:val="00E314B1"/>
    <w:rsid w:val="00E318B1"/>
    <w:rsid w:val="00E318D8"/>
    <w:rsid w:val="00E3192E"/>
    <w:rsid w:val="00E31A40"/>
    <w:rsid w:val="00E32055"/>
    <w:rsid w:val="00E320B4"/>
    <w:rsid w:val="00E324B4"/>
    <w:rsid w:val="00E328BB"/>
    <w:rsid w:val="00E32917"/>
    <w:rsid w:val="00E32984"/>
    <w:rsid w:val="00E32A94"/>
    <w:rsid w:val="00E32DC1"/>
    <w:rsid w:val="00E32EB7"/>
    <w:rsid w:val="00E32ED3"/>
    <w:rsid w:val="00E32FDF"/>
    <w:rsid w:val="00E33017"/>
    <w:rsid w:val="00E3309A"/>
    <w:rsid w:val="00E3311C"/>
    <w:rsid w:val="00E333C4"/>
    <w:rsid w:val="00E33CE1"/>
    <w:rsid w:val="00E33EE0"/>
    <w:rsid w:val="00E3420A"/>
    <w:rsid w:val="00E34286"/>
    <w:rsid w:val="00E342DD"/>
    <w:rsid w:val="00E3442D"/>
    <w:rsid w:val="00E347C6"/>
    <w:rsid w:val="00E349B1"/>
    <w:rsid w:val="00E34B62"/>
    <w:rsid w:val="00E34D03"/>
    <w:rsid w:val="00E34DFF"/>
    <w:rsid w:val="00E3508E"/>
    <w:rsid w:val="00E356EB"/>
    <w:rsid w:val="00E3578E"/>
    <w:rsid w:val="00E35B8A"/>
    <w:rsid w:val="00E35C2C"/>
    <w:rsid w:val="00E35F9A"/>
    <w:rsid w:val="00E36086"/>
    <w:rsid w:val="00E3616E"/>
    <w:rsid w:val="00E36905"/>
    <w:rsid w:val="00E36916"/>
    <w:rsid w:val="00E3695A"/>
    <w:rsid w:val="00E3698F"/>
    <w:rsid w:val="00E370D9"/>
    <w:rsid w:val="00E373B5"/>
    <w:rsid w:val="00E37425"/>
    <w:rsid w:val="00E3772B"/>
    <w:rsid w:val="00E37767"/>
    <w:rsid w:val="00E378E6"/>
    <w:rsid w:val="00E37B59"/>
    <w:rsid w:val="00E37D7E"/>
    <w:rsid w:val="00E37F3A"/>
    <w:rsid w:val="00E4023A"/>
    <w:rsid w:val="00E4028E"/>
    <w:rsid w:val="00E403F5"/>
    <w:rsid w:val="00E404A2"/>
    <w:rsid w:val="00E4071D"/>
    <w:rsid w:val="00E40AA1"/>
    <w:rsid w:val="00E416D8"/>
    <w:rsid w:val="00E41A47"/>
    <w:rsid w:val="00E41B4A"/>
    <w:rsid w:val="00E41C30"/>
    <w:rsid w:val="00E4223B"/>
    <w:rsid w:val="00E426BF"/>
    <w:rsid w:val="00E42C21"/>
    <w:rsid w:val="00E42D97"/>
    <w:rsid w:val="00E42DC5"/>
    <w:rsid w:val="00E42E6D"/>
    <w:rsid w:val="00E42E70"/>
    <w:rsid w:val="00E42F49"/>
    <w:rsid w:val="00E42F87"/>
    <w:rsid w:val="00E42FC2"/>
    <w:rsid w:val="00E4322C"/>
    <w:rsid w:val="00E434AB"/>
    <w:rsid w:val="00E43A5A"/>
    <w:rsid w:val="00E43C8B"/>
    <w:rsid w:val="00E43D8C"/>
    <w:rsid w:val="00E440C5"/>
    <w:rsid w:val="00E4417B"/>
    <w:rsid w:val="00E442BC"/>
    <w:rsid w:val="00E445CA"/>
    <w:rsid w:val="00E4491B"/>
    <w:rsid w:val="00E44AA4"/>
    <w:rsid w:val="00E44E5B"/>
    <w:rsid w:val="00E44E62"/>
    <w:rsid w:val="00E45188"/>
    <w:rsid w:val="00E45217"/>
    <w:rsid w:val="00E45247"/>
    <w:rsid w:val="00E45354"/>
    <w:rsid w:val="00E45587"/>
    <w:rsid w:val="00E455C7"/>
    <w:rsid w:val="00E45659"/>
    <w:rsid w:val="00E4584C"/>
    <w:rsid w:val="00E45B09"/>
    <w:rsid w:val="00E45C3B"/>
    <w:rsid w:val="00E4612B"/>
    <w:rsid w:val="00E46324"/>
    <w:rsid w:val="00E463BC"/>
    <w:rsid w:val="00E4658F"/>
    <w:rsid w:val="00E46A51"/>
    <w:rsid w:val="00E4700C"/>
    <w:rsid w:val="00E47692"/>
    <w:rsid w:val="00E47887"/>
    <w:rsid w:val="00E478FD"/>
    <w:rsid w:val="00E479FF"/>
    <w:rsid w:val="00E47A06"/>
    <w:rsid w:val="00E47AEB"/>
    <w:rsid w:val="00E47C7E"/>
    <w:rsid w:val="00E47C87"/>
    <w:rsid w:val="00E47FF5"/>
    <w:rsid w:val="00E50102"/>
    <w:rsid w:val="00E50183"/>
    <w:rsid w:val="00E501B6"/>
    <w:rsid w:val="00E508B2"/>
    <w:rsid w:val="00E508BC"/>
    <w:rsid w:val="00E50A04"/>
    <w:rsid w:val="00E50EA2"/>
    <w:rsid w:val="00E51179"/>
    <w:rsid w:val="00E518D8"/>
    <w:rsid w:val="00E51CD4"/>
    <w:rsid w:val="00E51D97"/>
    <w:rsid w:val="00E5244F"/>
    <w:rsid w:val="00E524DD"/>
    <w:rsid w:val="00E526F9"/>
    <w:rsid w:val="00E5270C"/>
    <w:rsid w:val="00E527B0"/>
    <w:rsid w:val="00E529A3"/>
    <w:rsid w:val="00E529C8"/>
    <w:rsid w:val="00E529FD"/>
    <w:rsid w:val="00E52A0A"/>
    <w:rsid w:val="00E52D8E"/>
    <w:rsid w:val="00E52E0E"/>
    <w:rsid w:val="00E52F93"/>
    <w:rsid w:val="00E53222"/>
    <w:rsid w:val="00E53438"/>
    <w:rsid w:val="00E53579"/>
    <w:rsid w:val="00E53627"/>
    <w:rsid w:val="00E53849"/>
    <w:rsid w:val="00E53FC8"/>
    <w:rsid w:val="00E54025"/>
    <w:rsid w:val="00E540F4"/>
    <w:rsid w:val="00E541B0"/>
    <w:rsid w:val="00E54383"/>
    <w:rsid w:val="00E543FF"/>
    <w:rsid w:val="00E54B1C"/>
    <w:rsid w:val="00E54DC0"/>
    <w:rsid w:val="00E54E4B"/>
    <w:rsid w:val="00E54E89"/>
    <w:rsid w:val="00E551AD"/>
    <w:rsid w:val="00E552E1"/>
    <w:rsid w:val="00E55431"/>
    <w:rsid w:val="00E5567D"/>
    <w:rsid w:val="00E557CE"/>
    <w:rsid w:val="00E558DB"/>
    <w:rsid w:val="00E55AEE"/>
    <w:rsid w:val="00E55B0C"/>
    <w:rsid w:val="00E56503"/>
    <w:rsid w:val="00E566FD"/>
    <w:rsid w:val="00E56A1B"/>
    <w:rsid w:val="00E56B37"/>
    <w:rsid w:val="00E56CFE"/>
    <w:rsid w:val="00E56DE9"/>
    <w:rsid w:val="00E56E99"/>
    <w:rsid w:val="00E56F24"/>
    <w:rsid w:val="00E57332"/>
    <w:rsid w:val="00E57587"/>
    <w:rsid w:val="00E57620"/>
    <w:rsid w:val="00E57A31"/>
    <w:rsid w:val="00E57C29"/>
    <w:rsid w:val="00E57EAC"/>
    <w:rsid w:val="00E6008A"/>
    <w:rsid w:val="00E6016C"/>
    <w:rsid w:val="00E609C3"/>
    <w:rsid w:val="00E60BA0"/>
    <w:rsid w:val="00E60D9F"/>
    <w:rsid w:val="00E60DB6"/>
    <w:rsid w:val="00E612EC"/>
    <w:rsid w:val="00E619B1"/>
    <w:rsid w:val="00E619EB"/>
    <w:rsid w:val="00E61C6A"/>
    <w:rsid w:val="00E62105"/>
    <w:rsid w:val="00E62202"/>
    <w:rsid w:val="00E62456"/>
    <w:rsid w:val="00E625AA"/>
    <w:rsid w:val="00E6275D"/>
    <w:rsid w:val="00E62876"/>
    <w:rsid w:val="00E62BF5"/>
    <w:rsid w:val="00E62EB6"/>
    <w:rsid w:val="00E62F2F"/>
    <w:rsid w:val="00E631DF"/>
    <w:rsid w:val="00E63445"/>
    <w:rsid w:val="00E63679"/>
    <w:rsid w:val="00E6374D"/>
    <w:rsid w:val="00E63C69"/>
    <w:rsid w:val="00E63F48"/>
    <w:rsid w:val="00E649E8"/>
    <w:rsid w:val="00E64A57"/>
    <w:rsid w:val="00E65176"/>
    <w:rsid w:val="00E653D5"/>
    <w:rsid w:val="00E65426"/>
    <w:rsid w:val="00E6553C"/>
    <w:rsid w:val="00E65855"/>
    <w:rsid w:val="00E659CD"/>
    <w:rsid w:val="00E65A0C"/>
    <w:rsid w:val="00E65BD2"/>
    <w:rsid w:val="00E65E29"/>
    <w:rsid w:val="00E660C0"/>
    <w:rsid w:val="00E6621D"/>
    <w:rsid w:val="00E664F5"/>
    <w:rsid w:val="00E669A2"/>
    <w:rsid w:val="00E66C37"/>
    <w:rsid w:val="00E66F2E"/>
    <w:rsid w:val="00E670DB"/>
    <w:rsid w:val="00E671EA"/>
    <w:rsid w:val="00E6738E"/>
    <w:rsid w:val="00E67507"/>
    <w:rsid w:val="00E677EF"/>
    <w:rsid w:val="00E679CB"/>
    <w:rsid w:val="00E70097"/>
    <w:rsid w:val="00E700AB"/>
    <w:rsid w:val="00E70409"/>
    <w:rsid w:val="00E70423"/>
    <w:rsid w:val="00E705B9"/>
    <w:rsid w:val="00E707B2"/>
    <w:rsid w:val="00E707FA"/>
    <w:rsid w:val="00E70C08"/>
    <w:rsid w:val="00E70EE8"/>
    <w:rsid w:val="00E71504"/>
    <w:rsid w:val="00E716A6"/>
    <w:rsid w:val="00E71793"/>
    <w:rsid w:val="00E71C1D"/>
    <w:rsid w:val="00E71E49"/>
    <w:rsid w:val="00E71EF0"/>
    <w:rsid w:val="00E71FAF"/>
    <w:rsid w:val="00E720FA"/>
    <w:rsid w:val="00E725FC"/>
    <w:rsid w:val="00E726EE"/>
    <w:rsid w:val="00E72A5B"/>
    <w:rsid w:val="00E732B6"/>
    <w:rsid w:val="00E733BD"/>
    <w:rsid w:val="00E734CD"/>
    <w:rsid w:val="00E735BA"/>
    <w:rsid w:val="00E737CB"/>
    <w:rsid w:val="00E739AD"/>
    <w:rsid w:val="00E73E7F"/>
    <w:rsid w:val="00E73FFD"/>
    <w:rsid w:val="00E74099"/>
    <w:rsid w:val="00E74318"/>
    <w:rsid w:val="00E74A01"/>
    <w:rsid w:val="00E74A4F"/>
    <w:rsid w:val="00E74EF2"/>
    <w:rsid w:val="00E74F9C"/>
    <w:rsid w:val="00E75404"/>
    <w:rsid w:val="00E754BB"/>
    <w:rsid w:val="00E756E8"/>
    <w:rsid w:val="00E756FB"/>
    <w:rsid w:val="00E75957"/>
    <w:rsid w:val="00E762E6"/>
    <w:rsid w:val="00E7636B"/>
    <w:rsid w:val="00E7646D"/>
    <w:rsid w:val="00E7649F"/>
    <w:rsid w:val="00E76D89"/>
    <w:rsid w:val="00E76F07"/>
    <w:rsid w:val="00E770CE"/>
    <w:rsid w:val="00E77A6C"/>
    <w:rsid w:val="00E77AF5"/>
    <w:rsid w:val="00E77B8C"/>
    <w:rsid w:val="00E77C09"/>
    <w:rsid w:val="00E77DEB"/>
    <w:rsid w:val="00E8008E"/>
    <w:rsid w:val="00E8017E"/>
    <w:rsid w:val="00E802A2"/>
    <w:rsid w:val="00E802F9"/>
    <w:rsid w:val="00E8053E"/>
    <w:rsid w:val="00E80660"/>
    <w:rsid w:val="00E80673"/>
    <w:rsid w:val="00E80849"/>
    <w:rsid w:val="00E808AB"/>
    <w:rsid w:val="00E80B43"/>
    <w:rsid w:val="00E80CD5"/>
    <w:rsid w:val="00E80D5D"/>
    <w:rsid w:val="00E80ED3"/>
    <w:rsid w:val="00E81201"/>
    <w:rsid w:val="00E81209"/>
    <w:rsid w:val="00E81394"/>
    <w:rsid w:val="00E81465"/>
    <w:rsid w:val="00E814BE"/>
    <w:rsid w:val="00E814CB"/>
    <w:rsid w:val="00E81512"/>
    <w:rsid w:val="00E8162B"/>
    <w:rsid w:val="00E816E2"/>
    <w:rsid w:val="00E81B34"/>
    <w:rsid w:val="00E81C7A"/>
    <w:rsid w:val="00E81FF9"/>
    <w:rsid w:val="00E82011"/>
    <w:rsid w:val="00E82299"/>
    <w:rsid w:val="00E825CB"/>
    <w:rsid w:val="00E82950"/>
    <w:rsid w:val="00E82A3E"/>
    <w:rsid w:val="00E8327B"/>
    <w:rsid w:val="00E834BD"/>
    <w:rsid w:val="00E8350B"/>
    <w:rsid w:val="00E83CB3"/>
    <w:rsid w:val="00E83DC2"/>
    <w:rsid w:val="00E84068"/>
    <w:rsid w:val="00E843C3"/>
    <w:rsid w:val="00E84447"/>
    <w:rsid w:val="00E844AF"/>
    <w:rsid w:val="00E847A6"/>
    <w:rsid w:val="00E848A7"/>
    <w:rsid w:val="00E84987"/>
    <w:rsid w:val="00E84F57"/>
    <w:rsid w:val="00E85352"/>
    <w:rsid w:val="00E855BD"/>
    <w:rsid w:val="00E85704"/>
    <w:rsid w:val="00E85902"/>
    <w:rsid w:val="00E85AA1"/>
    <w:rsid w:val="00E85DDB"/>
    <w:rsid w:val="00E85F5D"/>
    <w:rsid w:val="00E8630F"/>
    <w:rsid w:val="00E8631B"/>
    <w:rsid w:val="00E86741"/>
    <w:rsid w:val="00E868E3"/>
    <w:rsid w:val="00E868ED"/>
    <w:rsid w:val="00E86988"/>
    <w:rsid w:val="00E86AAE"/>
    <w:rsid w:val="00E86EFF"/>
    <w:rsid w:val="00E87183"/>
    <w:rsid w:val="00E872FF"/>
    <w:rsid w:val="00E87CD6"/>
    <w:rsid w:val="00E87ED0"/>
    <w:rsid w:val="00E90010"/>
    <w:rsid w:val="00E902CF"/>
    <w:rsid w:val="00E903B6"/>
    <w:rsid w:val="00E9063E"/>
    <w:rsid w:val="00E907C8"/>
    <w:rsid w:val="00E90B5D"/>
    <w:rsid w:val="00E90C02"/>
    <w:rsid w:val="00E90C1F"/>
    <w:rsid w:val="00E90EC9"/>
    <w:rsid w:val="00E91016"/>
    <w:rsid w:val="00E9170C"/>
    <w:rsid w:val="00E91C32"/>
    <w:rsid w:val="00E91DA9"/>
    <w:rsid w:val="00E91E7E"/>
    <w:rsid w:val="00E91F69"/>
    <w:rsid w:val="00E91F95"/>
    <w:rsid w:val="00E923CA"/>
    <w:rsid w:val="00E923EE"/>
    <w:rsid w:val="00E92519"/>
    <w:rsid w:val="00E92578"/>
    <w:rsid w:val="00E925E5"/>
    <w:rsid w:val="00E92752"/>
    <w:rsid w:val="00E92992"/>
    <w:rsid w:val="00E92995"/>
    <w:rsid w:val="00E92C94"/>
    <w:rsid w:val="00E92CA2"/>
    <w:rsid w:val="00E92F26"/>
    <w:rsid w:val="00E9309E"/>
    <w:rsid w:val="00E930B0"/>
    <w:rsid w:val="00E9343D"/>
    <w:rsid w:val="00E936BD"/>
    <w:rsid w:val="00E93ACD"/>
    <w:rsid w:val="00E93BCD"/>
    <w:rsid w:val="00E93C82"/>
    <w:rsid w:val="00E93F32"/>
    <w:rsid w:val="00E94025"/>
    <w:rsid w:val="00E946FF"/>
    <w:rsid w:val="00E94B94"/>
    <w:rsid w:val="00E94C61"/>
    <w:rsid w:val="00E94C6E"/>
    <w:rsid w:val="00E94F53"/>
    <w:rsid w:val="00E95245"/>
    <w:rsid w:val="00E95293"/>
    <w:rsid w:val="00E957C3"/>
    <w:rsid w:val="00E958BD"/>
    <w:rsid w:val="00E95BFB"/>
    <w:rsid w:val="00E95C7B"/>
    <w:rsid w:val="00E95D6D"/>
    <w:rsid w:val="00E95EF5"/>
    <w:rsid w:val="00E95F14"/>
    <w:rsid w:val="00E96108"/>
    <w:rsid w:val="00E96A2E"/>
    <w:rsid w:val="00E97006"/>
    <w:rsid w:val="00E970B5"/>
    <w:rsid w:val="00E970E0"/>
    <w:rsid w:val="00E97629"/>
    <w:rsid w:val="00E976AC"/>
    <w:rsid w:val="00E97A1D"/>
    <w:rsid w:val="00E97B7E"/>
    <w:rsid w:val="00E97D52"/>
    <w:rsid w:val="00EA004B"/>
    <w:rsid w:val="00EA0293"/>
    <w:rsid w:val="00EA0B03"/>
    <w:rsid w:val="00EA0B11"/>
    <w:rsid w:val="00EA0D21"/>
    <w:rsid w:val="00EA0D7D"/>
    <w:rsid w:val="00EA0E4A"/>
    <w:rsid w:val="00EA103C"/>
    <w:rsid w:val="00EA10B7"/>
    <w:rsid w:val="00EA1562"/>
    <w:rsid w:val="00EA161D"/>
    <w:rsid w:val="00EA16AF"/>
    <w:rsid w:val="00EA1AE2"/>
    <w:rsid w:val="00EA1F68"/>
    <w:rsid w:val="00EA207A"/>
    <w:rsid w:val="00EA22C0"/>
    <w:rsid w:val="00EA26C7"/>
    <w:rsid w:val="00EA2A3F"/>
    <w:rsid w:val="00EA2D62"/>
    <w:rsid w:val="00EA2EB1"/>
    <w:rsid w:val="00EA3013"/>
    <w:rsid w:val="00EA3242"/>
    <w:rsid w:val="00EA32AC"/>
    <w:rsid w:val="00EA36C6"/>
    <w:rsid w:val="00EA38C6"/>
    <w:rsid w:val="00EA39AC"/>
    <w:rsid w:val="00EA3B18"/>
    <w:rsid w:val="00EA4081"/>
    <w:rsid w:val="00EA45F9"/>
    <w:rsid w:val="00EA46BE"/>
    <w:rsid w:val="00EA4773"/>
    <w:rsid w:val="00EA478F"/>
    <w:rsid w:val="00EA4903"/>
    <w:rsid w:val="00EA4914"/>
    <w:rsid w:val="00EA49D5"/>
    <w:rsid w:val="00EA4BB7"/>
    <w:rsid w:val="00EA4CFF"/>
    <w:rsid w:val="00EA502B"/>
    <w:rsid w:val="00EA5998"/>
    <w:rsid w:val="00EA59FA"/>
    <w:rsid w:val="00EA5ADA"/>
    <w:rsid w:val="00EA6748"/>
    <w:rsid w:val="00EA6786"/>
    <w:rsid w:val="00EA68EA"/>
    <w:rsid w:val="00EA6F34"/>
    <w:rsid w:val="00EA717B"/>
    <w:rsid w:val="00EA72E0"/>
    <w:rsid w:val="00EA73B9"/>
    <w:rsid w:val="00EA73BD"/>
    <w:rsid w:val="00EA74FF"/>
    <w:rsid w:val="00EA7609"/>
    <w:rsid w:val="00EA7622"/>
    <w:rsid w:val="00EA76B8"/>
    <w:rsid w:val="00EA7734"/>
    <w:rsid w:val="00EA7865"/>
    <w:rsid w:val="00EA7A31"/>
    <w:rsid w:val="00EA7B20"/>
    <w:rsid w:val="00EA7B23"/>
    <w:rsid w:val="00EA7C86"/>
    <w:rsid w:val="00EA7F5E"/>
    <w:rsid w:val="00EA7F89"/>
    <w:rsid w:val="00EB0103"/>
    <w:rsid w:val="00EB0136"/>
    <w:rsid w:val="00EB0267"/>
    <w:rsid w:val="00EB0435"/>
    <w:rsid w:val="00EB07BA"/>
    <w:rsid w:val="00EB0806"/>
    <w:rsid w:val="00EB0B17"/>
    <w:rsid w:val="00EB0B65"/>
    <w:rsid w:val="00EB0DB0"/>
    <w:rsid w:val="00EB0F69"/>
    <w:rsid w:val="00EB1270"/>
    <w:rsid w:val="00EB1616"/>
    <w:rsid w:val="00EB17C2"/>
    <w:rsid w:val="00EB1D4B"/>
    <w:rsid w:val="00EB1DE9"/>
    <w:rsid w:val="00EB2091"/>
    <w:rsid w:val="00EB21EA"/>
    <w:rsid w:val="00EB244B"/>
    <w:rsid w:val="00EB2457"/>
    <w:rsid w:val="00EB258C"/>
    <w:rsid w:val="00EB25F7"/>
    <w:rsid w:val="00EB2659"/>
    <w:rsid w:val="00EB2D0E"/>
    <w:rsid w:val="00EB2D27"/>
    <w:rsid w:val="00EB3030"/>
    <w:rsid w:val="00EB331D"/>
    <w:rsid w:val="00EB33BE"/>
    <w:rsid w:val="00EB34EF"/>
    <w:rsid w:val="00EB3750"/>
    <w:rsid w:val="00EB391C"/>
    <w:rsid w:val="00EB3FA9"/>
    <w:rsid w:val="00EB421F"/>
    <w:rsid w:val="00EB434B"/>
    <w:rsid w:val="00EB4410"/>
    <w:rsid w:val="00EB46A5"/>
    <w:rsid w:val="00EB470A"/>
    <w:rsid w:val="00EB49CC"/>
    <w:rsid w:val="00EB4A31"/>
    <w:rsid w:val="00EB4AC6"/>
    <w:rsid w:val="00EB4EF4"/>
    <w:rsid w:val="00EB523A"/>
    <w:rsid w:val="00EB54C0"/>
    <w:rsid w:val="00EB56E6"/>
    <w:rsid w:val="00EB577D"/>
    <w:rsid w:val="00EB5987"/>
    <w:rsid w:val="00EB5A0D"/>
    <w:rsid w:val="00EB5D1B"/>
    <w:rsid w:val="00EB5E90"/>
    <w:rsid w:val="00EB5EBD"/>
    <w:rsid w:val="00EB5FF8"/>
    <w:rsid w:val="00EB623B"/>
    <w:rsid w:val="00EB640B"/>
    <w:rsid w:val="00EB6659"/>
    <w:rsid w:val="00EB68B9"/>
    <w:rsid w:val="00EB6AEF"/>
    <w:rsid w:val="00EB6BFE"/>
    <w:rsid w:val="00EB6F0B"/>
    <w:rsid w:val="00EB7204"/>
    <w:rsid w:val="00EB72A2"/>
    <w:rsid w:val="00EB76F2"/>
    <w:rsid w:val="00EB7AAC"/>
    <w:rsid w:val="00EB7BF6"/>
    <w:rsid w:val="00EC00FD"/>
    <w:rsid w:val="00EC0478"/>
    <w:rsid w:val="00EC0661"/>
    <w:rsid w:val="00EC06A0"/>
    <w:rsid w:val="00EC088D"/>
    <w:rsid w:val="00EC09FA"/>
    <w:rsid w:val="00EC0E09"/>
    <w:rsid w:val="00EC1175"/>
    <w:rsid w:val="00EC1664"/>
    <w:rsid w:val="00EC1C79"/>
    <w:rsid w:val="00EC1E36"/>
    <w:rsid w:val="00EC2169"/>
    <w:rsid w:val="00EC23AF"/>
    <w:rsid w:val="00EC261A"/>
    <w:rsid w:val="00EC2837"/>
    <w:rsid w:val="00EC2ADB"/>
    <w:rsid w:val="00EC2BD6"/>
    <w:rsid w:val="00EC2E36"/>
    <w:rsid w:val="00EC30F9"/>
    <w:rsid w:val="00EC32F9"/>
    <w:rsid w:val="00EC33D0"/>
    <w:rsid w:val="00EC3640"/>
    <w:rsid w:val="00EC3EBC"/>
    <w:rsid w:val="00EC3F4B"/>
    <w:rsid w:val="00EC3F75"/>
    <w:rsid w:val="00EC40FB"/>
    <w:rsid w:val="00EC435F"/>
    <w:rsid w:val="00EC443C"/>
    <w:rsid w:val="00EC451A"/>
    <w:rsid w:val="00EC455B"/>
    <w:rsid w:val="00EC4617"/>
    <w:rsid w:val="00EC4B05"/>
    <w:rsid w:val="00EC4BC2"/>
    <w:rsid w:val="00EC5177"/>
    <w:rsid w:val="00EC546F"/>
    <w:rsid w:val="00EC5669"/>
    <w:rsid w:val="00EC5ACF"/>
    <w:rsid w:val="00EC5DB4"/>
    <w:rsid w:val="00EC5E24"/>
    <w:rsid w:val="00EC5ED9"/>
    <w:rsid w:val="00EC5FB3"/>
    <w:rsid w:val="00EC5FEA"/>
    <w:rsid w:val="00EC67DE"/>
    <w:rsid w:val="00EC6D29"/>
    <w:rsid w:val="00EC6F29"/>
    <w:rsid w:val="00EC74E3"/>
    <w:rsid w:val="00EC75C2"/>
    <w:rsid w:val="00EC7738"/>
    <w:rsid w:val="00EC7AA0"/>
    <w:rsid w:val="00EC7BC3"/>
    <w:rsid w:val="00EC7C47"/>
    <w:rsid w:val="00ED03DA"/>
    <w:rsid w:val="00ED078C"/>
    <w:rsid w:val="00ED08BC"/>
    <w:rsid w:val="00ED0939"/>
    <w:rsid w:val="00ED0951"/>
    <w:rsid w:val="00ED0A09"/>
    <w:rsid w:val="00ED0BC9"/>
    <w:rsid w:val="00ED111A"/>
    <w:rsid w:val="00ED1898"/>
    <w:rsid w:val="00ED1BEC"/>
    <w:rsid w:val="00ED20B5"/>
    <w:rsid w:val="00ED2246"/>
    <w:rsid w:val="00ED2253"/>
    <w:rsid w:val="00ED2255"/>
    <w:rsid w:val="00ED2734"/>
    <w:rsid w:val="00ED2C2E"/>
    <w:rsid w:val="00ED2C60"/>
    <w:rsid w:val="00ED2E31"/>
    <w:rsid w:val="00ED3093"/>
    <w:rsid w:val="00ED379F"/>
    <w:rsid w:val="00ED39DE"/>
    <w:rsid w:val="00ED39E5"/>
    <w:rsid w:val="00ED3A24"/>
    <w:rsid w:val="00ED3B13"/>
    <w:rsid w:val="00ED3C1C"/>
    <w:rsid w:val="00ED3F19"/>
    <w:rsid w:val="00ED42F6"/>
    <w:rsid w:val="00ED4800"/>
    <w:rsid w:val="00ED4ADE"/>
    <w:rsid w:val="00ED4B7C"/>
    <w:rsid w:val="00ED4DE3"/>
    <w:rsid w:val="00ED4F4E"/>
    <w:rsid w:val="00ED5501"/>
    <w:rsid w:val="00ED5725"/>
    <w:rsid w:val="00ED576C"/>
    <w:rsid w:val="00ED5C20"/>
    <w:rsid w:val="00ED5E05"/>
    <w:rsid w:val="00ED6016"/>
    <w:rsid w:val="00ED6174"/>
    <w:rsid w:val="00ED6442"/>
    <w:rsid w:val="00ED6639"/>
    <w:rsid w:val="00ED6905"/>
    <w:rsid w:val="00ED6AFD"/>
    <w:rsid w:val="00ED6D29"/>
    <w:rsid w:val="00ED7031"/>
    <w:rsid w:val="00ED7309"/>
    <w:rsid w:val="00ED761D"/>
    <w:rsid w:val="00ED79D4"/>
    <w:rsid w:val="00ED7A80"/>
    <w:rsid w:val="00ED7D14"/>
    <w:rsid w:val="00EE032B"/>
    <w:rsid w:val="00EE03E6"/>
    <w:rsid w:val="00EE04BB"/>
    <w:rsid w:val="00EE0513"/>
    <w:rsid w:val="00EE06E5"/>
    <w:rsid w:val="00EE06FD"/>
    <w:rsid w:val="00EE0916"/>
    <w:rsid w:val="00EE0956"/>
    <w:rsid w:val="00EE09CF"/>
    <w:rsid w:val="00EE0E20"/>
    <w:rsid w:val="00EE11FA"/>
    <w:rsid w:val="00EE13DB"/>
    <w:rsid w:val="00EE1AAB"/>
    <w:rsid w:val="00EE1C6F"/>
    <w:rsid w:val="00EE1CAF"/>
    <w:rsid w:val="00EE2158"/>
    <w:rsid w:val="00EE22B5"/>
    <w:rsid w:val="00EE2317"/>
    <w:rsid w:val="00EE2700"/>
    <w:rsid w:val="00EE2D8B"/>
    <w:rsid w:val="00EE2E92"/>
    <w:rsid w:val="00EE3060"/>
    <w:rsid w:val="00EE316D"/>
    <w:rsid w:val="00EE3524"/>
    <w:rsid w:val="00EE3C7D"/>
    <w:rsid w:val="00EE3F4C"/>
    <w:rsid w:val="00EE3FE6"/>
    <w:rsid w:val="00EE402E"/>
    <w:rsid w:val="00EE404D"/>
    <w:rsid w:val="00EE4168"/>
    <w:rsid w:val="00EE4315"/>
    <w:rsid w:val="00EE43B2"/>
    <w:rsid w:val="00EE4B25"/>
    <w:rsid w:val="00EE4BE6"/>
    <w:rsid w:val="00EE521F"/>
    <w:rsid w:val="00EE53B2"/>
    <w:rsid w:val="00EE566E"/>
    <w:rsid w:val="00EE5A8E"/>
    <w:rsid w:val="00EE5ABE"/>
    <w:rsid w:val="00EE601D"/>
    <w:rsid w:val="00EE604C"/>
    <w:rsid w:val="00EE6370"/>
    <w:rsid w:val="00EE6742"/>
    <w:rsid w:val="00EE6859"/>
    <w:rsid w:val="00EE6AAA"/>
    <w:rsid w:val="00EE6BE5"/>
    <w:rsid w:val="00EE6C3C"/>
    <w:rsid w:val="00EE6CAA"/>
    <w:rsid w:val="00EE7187"/>
    <w:rsid w:val="00EE7828"/>
    <w:rsid w:val="00EE7B3F"/>
    <w:rsid w:val="00EF005F"/>
    <w:rsid w:val="00EF03FF"/>
    <w:rsid w:val="00EF06B1"/>
    <w:rsid w:val="00EF0C91"/>
    <w:rsid w:val="00EF0DD8"/>
    <w:rsid w:val="00EF0ED1"/>
    <w:rsid w:val="00EF12D3"/>
    <w:rsid w:val="00EF13BF"/>
    <w:rsid w:val="00EF1405"/>
    <w:rsid w:val="00EF164B"/>
    <w:rsid w:val="00EF168B"/>
    <w:rsid w:val="00EF18EF"/>
    <w:rsid w:val="00EF1B1F"/>
    <w:rsid w:val="00EF1BEB"/>
    <w:rsid w:val="00EF20B4"/>
    <w:rsid w:val="00EF26D7"/>
    <w:rsid w:val="00EF297F"/>
    <w:rsid w:val="00EF2F29"/>
    <w:rsid w:val="00EF35E4"/>
    <w:rsid w:val="00EF3730"/>
    <w:rsid w:val="00EF376F"/>
    <w:rsid w:val="00EF39DF"/>
    <w:rsid w:val="00EF3A10"/>
    <w:rsid w:val="00EF3A27"/>
    <w:rsid w:val="00EF3C3F"/>
    <w:rsid w:val="00EF3F06"/>
    <w:rsid w:val="00EF403B"/>
    <w:rsid w:val="00EF42C1"/>
    <w:rsid w:val="00EF4A9A"/>
    <w:rsid w:val="00EF4D36"/>
    <w:rsid w:val="00EF4F68"/>
    <w:rsid w:val="00EF509F"/>
    <w:rsid w:val="00EF50D7"/>
    <w:rsid w:val="00EF5320"/>
    <w:rsid w:val="00EF5476"/>
    <w:rsid w:val="00EF5481"/>
    <w:rsid w:val="00EF55D9"/>
    <w:rsid w:val="00EF57D4"/>
    <w:rsid w:val="00EF59F8"/>
    <w:rsid w:val="00EF65C2"/>
    <w:rsid w:val="00EF672A"/>
    <w:rsid w:val="00EF6925"/>
    <w:rsid w:val="00EF6938"/>
    <w:rsid w:val="00EF69F2"/>
    <w:rsid w:val="00EF6A04"/>
    <w:rsid w:val="00EF6AB0"/>
    <w:rsid w:val="00EF6CDE"/>
    <w:rsid w:val="00EF70AB"/>
    <w:rsid w:val="00EF729D"/>
    <w:rsid w:val="00EF72AC"/>
    <w:rsid w:val="00EF72CF"/>
    <w:rsid w:val="00EF7641"/>
    <w:rsid w:val="00EF765E"/>
    <w:rsid w:val="00EF78C6"/>
    <w:rsid w:val="00EF7A01"/>
    <w:rsid w:val="00F007AB"/>
    <w:rsid w:val="00F00E99"/>
    <w:rsid w:val="00F00F41"/>
    <w:rsid w:val="00F00F54"/>
    <w:rsid w:val="00F00FED"/>
    <w:rsid w:val="00F0101B"/>
    <w:rsid w:val="00F010E7"/>
    <w:rsid w:val="00F011B0"/>
    <w:rsid w:val="00F0187F"/>
    <w:rsid w:val="00F01BA2"/>
    <w:rsid w:val="00F01BA7"/>
    <w:rsid w:val="00F01ED2"/>
    <w:rsid w:val="00F0212C"/>
    <w:rsid w:val="00F02309"/>
    <w:rsid w:val="00F0253E"/>
    <w:rsid w:val="00F02628"/>
    <w:rsid w:val="00F02A9D"/>
    <w:rsid w:val="00F02B82"/>
    <w:rsid w:val="00F02C74"/>
    <w:rsid w:val="00F02D1A"/>
    <w:rsid w:val="00F03129"/>
    <w:rsid w:val="00F031D0"/>
    <w:rsid w:val="00F03359"/>
    <w:rsid w:val="00F034A5"/>
    <w:rsid w:val="00F03625"/>
    <w:rsid w:val="00F0380A"/>
    <w:rsid w:val="00F03C88"/>
    <w:rsid w:val="00F03E28"/>
    <w:rsid w:val="00F03F4D"/>
    <w:rsid w:val="00F04020"/>
    <w:rsid w:val="00F042A2"/>
    <w:rsid w:val="00F0479A"/>
    <w:rsid w:val="00F04C27"/>
    <w:rsid w:val="00F04C32"/>
    <w:rsid w:val="00F05200"/>
    <w:rsid w:val="00F0535A"/>
    <w:rsid w:val="00F05590"/>
    <w:rsid w:val="00F05895"/>
    <w:rsid w:val="00F05AD5"/>
    <w:rsid w:val="00F05B77"/>
    <w:rsid w:val="00F05C3E"/>
    <w:rsid w:val="00F05F5A"/>
    <w:rsid w:val="00F0611A"/>
    <w:rsid w:val="00F0618F"/>
    <w:rsid w:val="00F061C8"/>
    <w:rsid w:val="00F061F9"/>
    <w:rsid w:val="00F06209"/>
    <w:rsid w:val="00F0684B"/>
    <w:rsid w:val="00F06B26"/>
    <w:rsid w:val="00F06C71"/>
    <w:rsid w:val="00F06D54"/>
    <w:rsid w:val="00F07255"/>
    <w:rsid w:val="00F07622"/>
    <w:rsid w:val="00F102C7"/>
    <w:rsid w:val="00F104A9"/>
    <w:rsid w:val="00F106E2"/>
    <w:rsid w:val="00F10D06"/>
    <w:rsid w:val="00F10DD3"/>
    <w:rsid w:val="00F11118"/>
    <w:rsid w:val="00F112A0"/>
    <w:rsid w:val="00F11463"/>
    <w:rsid w:val="00F114B4"/>
    <w:rsid w:val="00F114B8"/>
    <w:rsid w:val="00F11565"/>
    <w:rsid w:val="00F115A1"/>
    <w:rsid w:val="00F117A5"/>
    <w:rsid w:val="00F1183B"/>
    <w:rsid w:val="00F11D77"/>
    <w:rsid w:val="00F12118"/>
    <w:rsid w:val="00F1214A"/>
    <w:rsid w:val="00F121DE"/>
    <w:rsid w:val="00F121F9"/>
    <w:rsid w:val="00F123A6"/>
    <w:rsid w:val="00F125B1"/>
    <w:rsid w:val="00F12960"/>
    <w:rsid w:val="00F12C89"/>
    <w:rsid w:val="00F12EE0"/>
    <w:rsid w:val="00F12EEF"/>
    <w:rsid w:val="00F131D7"/>
    <w:rsid w:val="00F13320"/>
    <w:rsid w:val="00F13640"/>
    <w:rsid w:val="00F1378B"/>
    <w:rsid w:val="00F14163"/>
    <w:rsid w:val="00F1437A"/>
    <w:rsid w:val="00F1469E"/>
    <w:rsid w:val="00F1477E"/>
    <w:rsid w:val="00F14AF4"/>
    <w:rsid w:val="00F14C1A"/>
    <w:rsid w:val="00F1508B"/>
    <w:rsid w:val="00F15394"/>
    <w:rsid w:val="00F158D2"/>
    <w:rsid w:val="00F15AF4"/>
    <w:rsid w:val="00F15C05"/>
    <w:rsid w:val="00F15D11"/>
    <w:rsid w:val="00F1601B"/>
    <w:rsid w:val="00F16B7F"/>
    <w:rsid w:val="00F16DE2"/>
    <w:rsid w:val="00F170F5"/>
    <w:rsid w:val="00F17297"/>
    <w:rsid w:val="00F1731B"/>
    <w:rsid w:val="00F173CB"/>
    <w:rsid w:val="00F173FC"/>
    <w:rsid w:val="00F175B3"/>
    <w:rsid w:val="00F17678"/>
    <w:rsid w:val="00F177B7"/>
    <w:rsid w:val="00F178A3"/>
    <w:rsid w:val="00F17BA7"/>
    <w:rsid w:val="00F17C8D"/>
    <w:rsid w:val="00F17E67"/>
    <w:rsid w:val="00F20299"/>
    <w:rsid w:val="00F20455"/>
    <w:rsid w:val="00F204AC"/>
    <w:rsid w:val="00F20977"/>
    <w:rsid w:val="00F20F63"/>
    <w:rsid w:val="00F21120"/>
    <w:rsid w:val="00F21566"/>
    <w:rsid w:val="00F2180B"/>
    <w:rsid w:val="00F22049"/>
    <w:rsid w:val="00F22608"/>
    <w:rsid w:val="00F22799"/>
    <w:rsid w:val="00F228B9"/>
    <w:rsid w:val="00F229B4"/>
    <w:rsid w:val="00F22C5B"/>
    <w:rsid w:val="00F23352"/>
    <w:rsid w:val="00F233AC"/>
    <w:rsid w:val="00F233EB"/>
    <w:rsid w:val="00F234C0"/>
    <w:rsid w:val="00F23714"/>
    <w:rsid w:val="00F237F8"/>
    <w:rsid w:val="00F239C7"/>
    <w:rsid w:val="00F23AA5"/>
    <w:rsid w:val="00F23D71"/>
    <w:rsid w:val="00F23EFB"/>
    <w:rsid w:val="00F2416E"/>
    <w:rsid w:val="00F2431F"/>
    <w:rsid w:val="00F243DC"/>
    <w:rsid w:val="00F2452F"/>
    <w:rsid w:val="00F247C3"/>
    <w:rsid w:val="00F24855"/>
    <w:rsid w:val="00F24A92"/>
    <w:rsid w:val="00F24DF2"/>
    <w:rsid w:val="00F24F8F"/>
    <w:rsid w:val="00F24FBE"/>
    <w:rsid w:val="00F254A7"/>
    <w:rsid w:val="00F2568C"/>
    <w:rsid w:val="00F25852"/>
    <w:rsid w:val="00F25880"/>
    <w:rsid w:val="00F25BB2"/>
    <w:rsid w:val="00F25F4A"/>
    <w:rsid w:val="00F26155"/>
    <w:rsid w:val="00F261DD"/>
    <w:rsid w:val="00F264FD"/>
    <w:rsid w:val="00F266E2"/>
    <w:rsid w:val="00F26A9A"/>
    <w:rsid w:val="00F26ED3"/>
    <w:rsid w:val="00F2731A"/>
    <w:rsid w:val="00F2755B"/>
    <w:rsid w:val="00F276D6"/>
    <w:rsid w:val="00F27729"/>
    <w:rsid w:val="00F27782"/>
    <w:rsid w:val="00F27914"/>
    <w:rsid w:val="00F279F7"/>
    <w:rsid w:val="00F27A8E"/>
    <w:rsid w:val="00F27B33"/>
    <w:rsid w:val="00F27BEE"/>
    <w:rsid w:val="00F27D43"/>
    <w:rsid w:val="00F27DF6"/>
    <w:rsid w:val="00F300F1"/>
    <w:rsid w:val="00F30123"/>
    <w:rsid w:val="00F3016A"/>
    <w:rsid w:val="00F301D0"/>
    <w:rsid w:val="00F30283"/>
    <w:rsid w:val="00F3040E"/>
    <w:rsid w:val="00F305CD"/>
    <w:rsid w:val="00F306F2"/>
    <w:rsid w:val="00F30B00"/>
    <w:rsid w:val="00F30B1E"/>
    <w:rsid w:val="00F30C6A"/>
    <w:rsid w:val="00F315B4"/>
    <w:rsid w:val="00F3185C"/>
    <w:rsid w:val="00F322F4"/>
    <w:rsid w:val="00F3230F"/>
    <w:rsid w:val="00F327E7"/>
    <w:rsid w:val="00F32FB6"/>
    <w:rsid w:val="00F333E4"/>
    <w:rsid w:val="00F33A6E"/>
    <w:rsid w:val="00F33B28"/>
    <w:rsid w:val="00F33D79"/>
    <w:rsid w:val="00F33E0C"/>
    <w:rsid w:val="00F34251"/>
    <w:rsid w:val="00F345AC"/>
    <w:rsid w:val="00F34743"/>
    <w:rsid w:val="00F34763"/>
    <w:rsid w:val="00F348CC"/>
    <w:rsid w:val="00F349A5"/>
    <w:rsid w:val="00F34C40"/>
    <w:rsid w:val="00F34E3F"/>
    <w:rsid w:val="00F34F23"/>
    <w:rsid w:val="00F35356"/>
    <w:rsid w:val="00F35359"/>
    <w:rsid w:val="00F353D7"/>
    <w:rsid w:val="00F35737"/>
    <w:rsid w:val="00F35BF1"/>
    <w:rsid w:val="00F35D4D"/>
    <w:rsid w:val="00F36249"/>
    <w:rsid w:val="00F36351"/>
    <w:rsid w:val="00F363A8"/>
    <w:rsid w:val="00F36592"/>
    <w:rsid w:val="00F3679F"/>
    <w:rsid w:val="00F367C5"/>
    <w:rsid w:val="00F36983"/>
    <w:rsid w:val="00F3707F"/>
    <w:rsid w:val="00F37335"/>
    <w:rsid w:val="00F37714"/>
    <w:rsid w:val="00F37723"/>
    <w:rsid w:val="00F37984"/>
    <w:rsid w:val="00F379C2"/>
    <w:rsid w:val="00F37D58"/>
    <w:rsid w:val="00F401F7"/>
    <w:rsid w:val="00F402CE"/>
    <w:rsid w:val="00F403EA"/>
    <w:rsid w:val="00F4054B"/>
    <w:rsid w:val="00F4070A"/>
    <w:rsid w:val="00F4072B"/>
    <w:rsid w:val="00F40BE3"/>
    <w:rsid w:val="00F40F35"/>
    <w:rsid w:val="00F410E5"/>
    <w:rsid w:val="00F411F8"/>
    <w:rsid w:val="00F41515"/>
    <w:rsid w:val="00F41793"/>
    <w:rsid w:val="00F41901"/>
    <w:rsid w:val="00F41C66"/>
    <w:rsid w:val="00F41EEA"/>
    <w:rsid w:val="00F423BB"/>
    <w:rsid w:val="00F423DB"/>
    <w:rsid w:val="00F42960"/>
    <w:rsid w:val="00F42BE9"/>
    <w:rsid w:val="00F42E1C"/>
    <w:rsid w:val="00F42E55"/>
    <w:rsid w:val="00F42F71"/>
    <w:rsid w:val="00F4304A"/>
    <w:rsid w:val="00F4328C"/>
    <w:rsid w:val="00F43327"/>
    <w:rsid w:val="00F43400"/>
    <w:rsid w:val="00F435A4"/>
    <w:rsid w:val="00F43A03"/>
    <w:rsid w:val="00F43A25"/>
    <w:rsid w:val="00F44141"/>
    <w:rsid w:val="00F443BE"/>
    <w:rsid w:val="00F445D8"/>
    <w:rsid w:val="00F4475E"/>
    <w:rsid w:val="00F44761"/>
    <w:rsid w:val="00F44774"/>
    <w:rsid w:val="00F447A6"/>
    <w:rsid w:val="00F44831"/>
    <w:rsid w:val="00F44B80"/>
    <w:rsid w:val="00F44FCB"/>
    <w:rsid w:val="00F4511C"/>
    <w:rsid w:val="00F45250"/>
    <w:rsid w:val="00F4564A"/>
    <w:rsid w:val="00F459C9"/>
    <w:rsid w:val="00F46208"/>
    <w:rsid w:val="00F46289"/>
    <w:rsid w:val="00F463E1"/>
    <w:rsid w:val="00F465F3"/>
    <w:rsid w:val="00F46654"/>
    <w:rsid w:val="00F46A2F"/>
    <w:rsid w:val="00F46A54"/>
    <w:rsid w:val="00F46B03"/>
    <w:rsid w:val="00F47163"/>
    <w:rsid w:val="00F4719B"/>
    <w:rsid w:val="00F473CC"/>
    <w:rsid w:val="00F474B3"/>
    <w:rsid w:val="00F4763C"/>
    <w:rsid w:val="00F47A31"/>
    <w:rsid w:val="00F47C1F"/>
    <w:rsid w:val="00F47EC9"/>
    <w:rsid w:val="00F47EE0"/>
    <w:rsid w:val="00F500CD"/>
    <w:rsid w:val="00F50109"/>
    <w:rsid w:val="00F501DB"/>
    <w:rsid w:val="00F50405"/>
    <w:rsid w:val="00F50625"/>
    <w:rsid w:val="00F50836"/>
    <w:rsid w:val="00F50860"/>
    <w:rsid w:val="00F50861"/>
    <w:rsid w:val="00F50EE6"/>
    <w:rsid w:val="00F50F03"/>
    <w:rsid w:val="00F517D5"/>
    <w:rsid w:val="00F51B97"/>
    <w:rsid w:val="00F51C28"/>
    <w:rsid w:val="00F51FFF"/>
    <w:rsid w:val="00F52104"/>
    <w:rsid w:val="00F52245"/>
    <w:rsid w:val="00F522BA"/>
    <w:rsid w:val="00F52301"/>
    <w:rsid w:val="00F52775"/>
    <w:rsid w:val="00F528D9"/>
    <w:rsid w:val="00F530D7"/>
    <w:rsid w:val="00F530E0"/>
    <w:rsid w:val="00F53133"/>
    <w:rsid w:val="00F531D7"/>
    <w:rsid w:val="00F5336F"/>
    <w:rsid w:val="00F53670"/>
    <w:rsid w:val="00F536C0"/>
    <w:rsid w:val="00F537B9"/>
    <w:rsid w:val="00F539AC"/>
    <w:rsid w:val="00F53A3F"/>
    <w:rsid w:val="00F53A8B"/>
    <w:rsid w:val="00F53C0B"/>
    <w:rsid w:val="00F53CC2"/>
    <w:rsid w:val="00F53E28"/>
    <w:rsid w:val="00F53FBC"/>
    <w:rsid w:val="00F540F7"/>
    <w:rsid w:val="00F54151"/>
    <w:rsid w:val="00F542F1"/>
    <w:rsid w:val="00F5433D"/>
    <w:rsid w:val="00F54345"/>
    <w:rsid w:val="00F543A9"/>
    <w:rsid w:val="00F54572"/>
    <w:rsid w:val="00F54890"/>
    <w:rsid w:val="00F54A11"/>
    <w:rsid w:val="00F54AFC"/>
    <w:rsid w:val="00F54B67"/>
    <w:rsid w:val="00F54C8F"/>
    <w:rsid w:val="00F54CC5"/>
    <w:rsid w:val="00F54E1E"/>
    <w:rsid w:val="00F55106"/>
    <w:rsid w:val="00F55710"/>
    <w:rsid w:val="00F55714"/>
    <w:rsid w:val="00F55A12"/>
    <w:rsid w:val="00F55B1F"/>
    <w:rsid w:val="00F55B26"/>
    <w:rsid w:val="00F55CAA"/>
    <w:rsid w:val="00F56320"/>
    <w:rsid w:val="00F563E4"/>
    <w:rsid w:val="00F566C7"/>
    <w:rsid w:val="00F566D1"/>
    <w:rsid w:val="00F56737"/>
    <w:rsid w:val="00F56971"/>
    <w:rsid w:val="00F56D78"/>
    <w:rsid w:val="00F56E7A"/>
    <w:rsid w:val="00F572BE"/>
    <w:rsid w:val="00F573BF"/>
    <w:rsid w:val="00F575C2"/>
    <w:rsid w:val="00F575F0"/>
    <w:rsid w:val="00F577B2"/>
    <w:rsid w:val="00F577BF"/>
    <w:rsid w:val="00F60198"/>
    <w:rsid w:val="00F601B4"/>
    <w:rsid w:val="00F6022F"/>
    <w:rsid w:val="00F603CC"/>
    <w:rsid w:val="00F603EE"/>
    <w:rsid w:val="00F605CF"/>
    <w:rsid w:val="00F607D8"/>
    <w:rsid w:val="00F60823"/>
    <w:rsid w:val="00F6088F"/>
    <w:rsid w:val="00F60A6A"/>
    <w:rsid w:val="00F60EDD"/>
    <w:rsid w:val="00F61110"/>
    <w:rsid w:val="00F6131C"/>
    <w:rsid w:val="00F61498"/>
    <w:rsid w:val="00F618B0"/>
    <w:rsid w:val="00F618F4"/>
    <w:rsid w:val="00F619AB"/>
    <w:rsid w:val="00F61AE1"/>
    <w:rsid w:val="00F61B52"/>
    <w:rsid w:val="00F61EE1"/>
    <w:rsid w:val="00F61FE8"/>
    <w:rsid w:val="00F6210B"/>
    <w:rsid w:val="00F621E0"/>
    <w:rsid w:val="00F623A2"/>
    <w:rsid w:val="00F623FE"/>
    <w:rsid w:val="00F6292E"/>
    <w:rsid w:val="00F62A3F"/>
    <w:rsid w:val="00F62B7A"/>
    <w:rsid w:val="00F62EB4"/>
    <w:rsid w:val="00F6335C"/>
    <w:rsid w:val="00F6339C"/>
    <w:rsid w:val="00F633E9"/>
    <w:rsid w:val="00F6365D"/>
    <w:rsid w:val="00F636C0"/>
    <w:rsid w:val="00F638C3"/>
    <w:rsid w:val="00F6397D"/>
    <w:rsid w:val="00F63ABC"/>
    <w:rsid w:val="00F63AD5"/>
    <w:rsid w:val="00F63D83"/>
    <w:rsid w:val="00F64131"/>
    <w:rsid w:val="00F64452"/>
    <w:rsid w:val="00F644B4"/>
    <w:rsid w:val="00F647C5"/>
    <w:rsid w:val="00F64F01"/>
    <w:rsid w:val="00F6538D"/>
    <w:rsid w:val="00F656BC"/>
    <w:rsid w:val="00F6570D"/>
    <w:rsid w:val="00F65903"/>
    <w:rsid w:val="00F65D34"/>
    <w:rsid w:val="00F661B9"/>
    <w:rsid w:val="00F6656E"/>
    <w:rsid w:val="00F66609"/>
    <w:rsid w:val="00F66AFF"/>
    <w:rsid w:val="00F66F78"/>
    <w:rsid w:val="00F6751B"/>
    <w:rsid w:val="00F67678"/>
    <w:rsid w:val="00F67A4B"/>
    <w:rsid w:val="00F67B31"/>
    <w:rsid w:val="00F67BA0"/>
    <w:rsid w:val="00F67C33"/>
    <w:rsid w:val="00F67D1A"/>
    <w:rsid w:val="00F70148"/>
    <w:rsid w:val="00F703D3"/>
    <w:rsid w:val="00F70587"/>
    <w:rsid w:val="00F70980"/>
    <w:rsid w:val="00F70B94"/>
    <w:rsid w:val="00F70BB1"/>
    <w:rsid w:val="00F70CE2"/>
    <w:rsid w:val="00F70D90"/>
    <w:rsid w:val="00F70F5A"/>
    <w:rsid w:val="00F70FF3"/>
    <w:rsid w:val="00F713BD"/>
    <w:rsid w:val="00F7168D"/>
    <w:rsid w:val="00F71849"/>
    <w:rsid w:val="00F71902"/>
    <w:rsid w:val="00F719D6"/>
    <w:rsid w:val="00F71F90"/>
    <w:rsid w:val="00F71FBB"/>
    <w:rsid w:val="00F72091"/>
    <w:rsid w:val="00F721A2"/>
    <w:rsid w:val="00F726C0"/>
    <w:rsid w:val="00F72879"/>
    <w:rsid w:val="00F728C9"/>
    <w:rsid w:val="00F7293E"/>
    <w:rsid w:val="00F72CF9"/>
    <w:rsid w:val="00F72E13"/>
    <w:rsid w:val="00F73052"/>
    <w:rsid w:val="00F73058"/>
    <w:rsid w:val="00F731D1"/>
    <w:rsid w:val="00F73317"/>
    <w:rsid w:val="00F73429"/>
    <w:rsid w:val="00F7353E"/>
    <w:rsid w:val="00F738DB"/>
    <w:rsid w:val="00F73B72"/>
    <w:rsid w:val="00F73D96"/>
    <w:rsid w:val="00F73EBF"/>
    <w:rsid w:val="00F740C2"/>
    <w:rsid w:val="00F74205"/>
    <w:rsid w:val="00F74365"/>
    <w:rsid w:val="00F74430"/>
    <w:rsid w:val="00F74584"/>
    <w:rsid w:val="00F7472D"/>
    <w:rsid w:val="00F74A5A"/>
    <w:rsid w:val="00F74F90"/>
    <w:rsid w:val="00F751D2"/>
    <w:rsid w:val="00F755C9"/>
    <w:rsid w:val="00F756A7"/>
    <w:rsid w:val="00F757D2"/>
    <w:rsid w:val="00F757F9"/>
    <w:rsid w:val="00F75976"/>
    <w:rsid w:val="00F759C1"/>
    <w:rsid w:val="00F75AEE"/>
    <w:rsid w:val="00F75EFE"/>
    <w:rsid w:val="00F76115"/>
    <w:rsid w:val="00F76275"/>
    <w:rsid w:val="00F765BE"/>
    <w:rsid w:val="00F76650"/>
    <w:rsid w:val="00F76717"/>
    <w:rsid w:val="00F76966"/>
    <w:rsid w:val="00F76A75"/>
    <w:rsid w:val="00F76D44"/>
    <w:rsid w:val="00F76EF0"/>
    <w:rsid w:val="00F77333"/>
    <w:rsid w:val="00F77463"/>
    <w:rsid w:val="00F77502"/>
    <w:rsid w:val="00F7781D"/>
    <w:rsid w:val="00F778F4"/>
    <w:rsid w:val="00F77BEA"/>
    <w:rsid w:val="00F77C88"/>
    <w:rsid w:val="00F77EAD"/>
    <w:rsid w:val="00F804C6"/>
    <w:rsid w:val="00F807A7"/>
    <w:rsid w:val="00F80945"/>
    <w:rsid w:val="00F80A43"/>
    <w:rsid w:val="00F80D21"/>
    <w:rsid w:val="00F80EFD"/>
    <w:rsid w:val="00F80FF2"/>
    <w:rsid w:val="00F81109"/>
    <w:rsid w:val="00F81427"/>
    <w:rsid w:val="00F81470"/>
    <w:rsid w:val="00F815F4"/>
    <w:rsid w:val="00F816BC"/>
    <w:rsid w:val="00F81917"/>
    <w:rsid w:val="00F81A30"/>
    <w:rsid w:val="00F81B16"/>
    <w:rsid w:val="00F81D34"/>
    <w:rsid w:val="00F81D54"/>
    <w:rsid w:val="00F8235F"/>
    <w:rsid w:val="00F823EB"/>
    <w:rsid w:val="00F824B0"/>
    <w:rsid w:val="00F82607"/>
    <w:rsid w:val="00F827F8"/>
    <w:rsid w:val="00F82C67"/>
    <w:rsid w:val="00F82E2C"/>
    <w:rsid w:val="00F82E64"/>
    <w:rsid w:val="00F83339"/>
    <w:rsid w:val="00F83612"/>
    <w:rsid w:val="00F83756"/>
    <w:rsid w:val="00F837D6"/>
    <w:rsid w:val="00F83D77"/>
    <w:rsid w:val="00F83DB4"/>
    <w:rsid w:val="00F83E7E"/>
    <w:rsid w:val="00F83EAE"/>
    <w:rsid w:val="00F83F58"/>
    <w:rsid w:val="00F84143"/>
    <w:rsid w:val="00F841A9"/>
    <w:rsid w:val="00F845DB"/>
    <w:rsid w:val="00F84867"/>
    <w:rsid w:val="00F84992"/>
    <w:rsid w:val="00F849CE"/>
    <w:rsid w:val="00F84BDE"/>
    <w:rsid w:val="00F84C0B"/>
    <w:rsid w:val="00F84C8A"/>
    <w:rsid w:val="00F84D0B"/>
    <w:rsid w:val="00F84E0D"/>
    <w:rsid w:val="00F851F0"/>
    <w:rsid w:val="00F852DD"/>
    <w:rsid w:val="00F853A1"/>
    <w:rsid w:val="00F85F59"/>
    <w:rsid w:val="00F8614E"/>
    <w:rsid w:val="00F86250"/>
    <w:rsid w:val="00F86941"/>
    <w:rsid w:val="00F86997"/>
    <w:rsid w:val="00F86D71"/>
    <w:rsid w:val="00F86E1E"/>
    <w:rsid w:val="00F86F50"/>
    <w:rsid w:val="00F8713F"/>
    <w:rsid w:val="00F87302"/>
    <w:rsid w:val="00F87527"/>
    <w:rsid w:val="00F87813"/>
    <w:rsid w:val="00F87935"/>
    <w:rsid w:val="00F87F80"/>
    <w:rsid w:val="00F903D9"/>
    <w:rsid w:val="00F905C9"/>
    <w:rsid w:val="00F908D2"/>
    <w:rsid w:val="00F90E07"/>
    <w:rsid w:val="00F90E27"/>
    <w:rsid w:val="00F91441"/>
    <w:rsid w:val="00F916D5"/>
    <w:rsid w:val="00F91774"/>
    <w:rsid w:val="00F9187B"/>
    <w:rsid w:val="00F919B6"/>
    <w:rsid w:val="00F91C99"/>
    <w:rsid w:val="00F91DD7"/>
    <w:rsid w:val="00F91E43"/>
    <w:rsid w:val="00F91E59"/>
    <w:rsid w:val="00F91F70"/>
    <w:rsid w:val="00F91FAF"/>
    <w:rsid w:val="00F9216B"/>
    <w:rsid w:val="00F92385"/>
    <w:rsid w:val="00F9241E"/>
    <w:rsid w:val="00F92535"/>
    <w:rsid w:val="00F92B0E"/>
    <w:rsid w:val="00F92CA7"/>
    <w:rsid w:val="00F92D63"/>
    <w:rsid w:val="00F93140"/>
    <w:rsid w:val="00F931C1"/>
    <w:rsid w:val="00F93617"/>
    <w:rsid w:val="00F9372A"/>
    <w:rsid w:val="00F93827"/>
    <w:rsid w:val="00F93941"/>
    <w:rsid w:val="00F93ABC"/>
    <w:rsid w:val="00F93B4F"/>
    <w:rsid w:val="00F93C97"/>
    <w:rsid w:val="00F93E74"/>
    <w:rsid w:val="00F94079"/>
    <w:rsid w:val="00F940DF"/>
    <w:rsid w:val="00F941EB"/>
    <w:rsid w:val="00F944DB"/>
    <w:rsid w:val="00F9467D"/>
    <w:rsid w:val="00F9487F"/>
    <w:rsid w:val="00F94965"/>
    <w:rsid w:val="00F94A79"/>
    <w:rsid w:val="00F94BA1"/>
    <w:rsid w:val="00F94D81"/>
    <w:rsid w:val="00F94EEC"/>
    <w:rsid w:val="00F95152"/>
    <w:rsid w:val="00F952B6"/>
    <w:rsid w:val="00F9530D"/>
    <w:rsid w:val="00F953CA"/>
    <w:rsid w:val="00F955A6"/>
    <w:rsid w:val="00F95912"/>
    <w:rsid w:val="00F96C74"/>
    <w:rsid w:val="00F96D9A"/>
    <w:rsid w:val="00F9719C"/>
    <w:rsid w:val="00F97327"/>
    <w:rsid w:val="00F97A51"/>
    <w:rsid w:val="00F97A8C"/>
    <w:rsid w:val="00F97D22"/>
    <w:rsid w:val="00F97F2D"/>
    <w:rsid w:val="00FA00E9"/>
    <w:rsid w:val="00FA013F"/>
    <w:rsid w:val="00FA0A08"/>
    <w:rsid w:val="00FA0CD5"/>
    <w:rsid w:val="00FA0F76"/>
    <w:rsid w:val="00FA1036"/>
    <w:rsid w:val="00FA1ABA"/>
    <w:rsid w:val="00FA1B4F"/>
    <w:rsid w:val="00FA1F35"/>
    <w:rsid w:val="00FA1F6C"/>
    <w:rsid w:val="00FA2031"/>
    <w:rsid w:val="00FA247B"/>
    <w:rsid w:val="00FA2B49"/>
    <w:rsid w:val="00FA2C4B"/>
    <w:rsid w:val="00FA2C99"/>
    <w:rsid w:val="00FA303B"/>
    <w:rsid w:val="00FA3100"/>
    <w:rsid w:val="00FA336E"/>
    <w:rsid w:val="00FA35FC"/>
    <w:rsid w:val="00FA3772"/>
    <w:rsid w:val="00FA377F"/>
    <w:rsid w:val="00FA3973"/>
    <w:rsid w:val="00FA3B3A"/>
    <w:rsid w:val="00FA3E17"/>
    <w:rsid w:val="00FA4344"/>
    <w:rsid w:val="00FA4704"/>
    <w:rsid w:val="00FA471D"/>
    <w:rsid w:val="00FA4850"/>
    <w:rsid w:val="00FA48CE"/>
    <w:rsid w:val="00FA4FC7"/>
    <w:rsid w:val="00FA4FD6"/>
    <w:rsid w:val="00FA509F"/>
    <w:rsid w:val="00FA531C"/>
    <w:rsid w:val="00FA538C"/>
    <w:rsid w:val="00FA56AA"/>
    <w:rsid w:val="00FA58C8"/>
    <w:rsid w:val="00FA5BF8"/>
    <w:rsid w:val="00FA5C3B"/>
    <w:rsid w:val="00FA601B"/>
    <w:rsid w:val="00FA613B"/>
    <w:rsid w:val="00FA621A"/>
    <w:rsid w:val="00FA638A"/>
    <w:rsid w:val="00FA63A0"/>
    <w:rsid w:val="00FA64D2"/>
    <w:rsid w:val="00FA6D36"/>
    <w:rsid w:val="00FA70EE"/>
    <w:rsid w:val="00FA7314"/>
    <w:rsid w:val="00FA764C"/>
    <w:rsid w:val="00FA76DF"/>
    <w:rsid w:val="00FA77C6"/>
    <w:rsid w:val="00FA77F7"/>
    <w:rsid w:val="00FA783F"/>
    <w:rsid w:val="00FA79D9"/>
    <w:rsid w:val="00FA7CFB"/>
    <w:rsid w:val="00FB0000"/>
    <w:rsid w:val="00FB0252"/>
    <w:rsid w:val="00FB02CF"/>
    <w:rsid w:val="00FB082A"/>
    <w:rsid w:val="00FB0AD2"/>
    <w:rsid w:val="00FB0C25"/>
    <w:rsid w:val="00FB1313"/>
    <w:rsid w:val="00FB1478"/>
    <w:rsid w:val="00FB1581"/>
    <w:rsid w:val="00FB1670"/>
    <w:rsid w:val="00FB1744"/>
    <w:rsid w:val="00FB1D21"/>
    <w:rsid w:val="00FB1D7B"/>
    <w:rsid w:val="00FB1DA6"/>
    <w:rsid w:val="00FB2569"/>
    <w:rsid w:val="00FB256E"/>
    <w:rsid w:val="00FB28F1"/>
    <w:rsid w:val="00FB2B11"/>
    <w:rsid w:val="00FB2B2F"/>
    <w:rsid w:val="00FB2E4A"/>
    <w:rsid w:val="00FB2FB4"/>
    <w:rsid w:val="00FB303F"/>
    <w:rsid w:val="00FB306D"/>
    <w:rsid w:val="00FB30AA"/>
    <w:rsid w:val="00FB3466"/>
    <w:rsid w:val="00FB35EF"/>
    <w:rsid w:val="00FB3895"/>
    <w:rsid w:val="00FB39BA"/>
    <w:rsid w:val="00FB3AC0"/>
    <w:rsid w:val="00FB42CD"/>
    <w:rsid w:val="00FB4478"/>
    <w:rsid w:val="00FB4766"/>
    <w:rsid w:val="00FB4A37"/>
    <w:rsid w:val="00FB4BD2"/>
    <w:rsid w:val="00FB4D11"/>
    <w:rsid w:val="00FB4DA2"/>
    <w:rsid w:val="00FB4ED9"/>
    <w:rsid w:val="00FB50CF"/>
    <w:rsid w:val="00FB55F9"/>
    <w:rsid w:val="00FB57E1"/>
    <w:rsid w:val="00FB5C7A"/>
    <w:rsid w:val="00FB5E65"/>
    <w:rsid w:val="00FB5E8F"/>
    <w:rsid w:val="00FB5ECF"/>
    <w:rsid w:val="00FB5ED2"/>
    <w:rsid w:val="00FB60B3"/>
    <w:rsid w:val="00FB60B8"/>
    <w:rsid w:val="00FB624F"/>
    <w:rsid w:val="00FB6257"/>
    <w:rsid w:val="00FB6886"/>
    <w:rsid w:val="00FB6993"/>
    <w:rsid w:val="00FB6A04"/>
    <w:rsid w:val="00FB6C1B"/>
    <w:rsid w:val="00FB6EC5"/>
    <w:rsid w:val="00FB7124"/>
    <w:rsid w:val="00FB7149"/>
    <w:rsid w:val="00FB736C"/>
    <w:rsid w:val="00FB7572"/>
    <w:rsid w:val="00FB774E"/>
    <w:rsid w:val="00FB7B4B"/>
    <w:rsid w:val="00FB7BAB"/>
    <w:rsid w:val="00FB7F16"/>
    <w:rsid w:val="00FC0357"/>
    <w:rsid w:val="00FC0832"/>
    <w:rsid w:val="00FC13C4"/>
    <w:rsid w:val="00FC1C40"/>
    <w:rsid w:val="00FC1C58"/>
    <w:rsid w:val="00FC2034"/>
    <w:rsid w:val="00FC213D"/>
    <w:rsid w:val="00FC22AA"/>
    <w:rsid w:val="00FC2622"/>
    <w:rsid w:val="00FC2AA0"/>
    <w:rsid w:val="00FC2BEB"/>
    <w:rsid w:val="00FC2CF4"/>
    <w:rsid w:val="00FC2E6F"/>
    <w:rsid w:val="00FC3072"/>
    <w:rsid w:val="00FC33D5"/>
    <w:rsid w:val="00FC34B4"/>
    <w:rsid w:val="00FC35EB"/>
    <w:rsid w:val="00FC3AA0"/>
    <w:rsid w:val="00FC3C18"/>
    <w:rsid w:val="00FC3C9B"/>
    <w:rsid w:val="00FC40A2"/>
    <w:rsid w:val="00FC41A9"/>
    <w:rsid w:val="00FC42D7"/>
    <w:rsid w:val="00FC436F"/>
    <w:rsid w:val="00FC4509"/>
    <w:rsid w:val="00FC47F9"/>
    <w:rsid w:val="00FC4943"/>
    <w:rsid w:val="00FC4986"/>
    <w:rsid w:val="00FC4FB4"/>
    <w:rsid w:val="00FC50B0"/>
    <w:rsid w:val="00FC56B2"/>
    <w:rsid w:val="00FC5D53"/>
    <w:rsid w:val="00FC60E1"/>
    <w:rsid w:val="00FC636C"/>
    <w:rsid w:val="00FC658F"/>
    <w:rsid w:val="00FC6654"/>
    <w:rsid w:val="00FC6A8E"/>
    <w:rsid w:val="00FC6AAC"/>
    <w:rsid w:val="00FC7222"/>
    <w:rsid w:val="00FC726A"/>
    <w:rsid w:val="00FC7677"/>
    <w:rsid w:val="00FC784A"/>
    <w:rsid w:val="00FC7A75"/>
    <w:rsid w:val="00FC7E22"/>
    <w:rsid w:val="00FC7E51"/>
    <w:rsid w:val="00FD019D"/>
    <w:rsid w:val="00FD02C0"/>
    <w:rsid w:val="00FD0345"/>
    <w:rsid w:val="00FD07F0"/>
    <w:rsid w:val="00FD0E28"/>
    <w:rsid w:val="00FD0F8B"/>
    <w:rsid w:val="00FD1480"/>
    <w:rsid w:val="00FD1639"/>
    <w:rsid w:val="00FD1721"/>
    <w:rsid w:val="00FD1786"/>
    <w:rsid w:val="00FD1862"/>
    <w:rsid w:val="00FD1A1E"/>
    <w:rsid w:val="00FD1CEE"/>
    <w:rsid w:val="00FD1E69"/>
    <w:rsid w:val="00FD1F6F"/>
    <w:rsid w:val="00FD2350"/>
    <w:rsid w:val="00FD239F"/>
    <w:rsid w:val="00FD27CC"/>
    <w:rsid w:val="00FD28FB"/>
    <w:rsid w:val="00FD2995"/>
    <w:rsid w:val="00FD2E5F"/>
    <w:rsid w:val="00FD2F48"/>
    <w:rsid w:val="00FD3075"/>
    <w:rsid w:val="00FD3263"/>
    <w:rsid w:val="00FD32EE"/>
    <w:rsid w:val="00FD387E"/>
    <w:rsid w:val="00FD38F4"/>
    <w:rsid w:val="00FD3A06"/>
    <w:rsid w:val="00FD3C90"/>
    <w:rsid w:val="00FD3F16"/>
    <w:rsid w:val="00FD41DB"/>
    <w:rsid w:val="00FD41F9"/>
    <w:rsid w:val="00FD4275"/>
    <w:rsid w:val="00FD4385"/>
    <w:rsid w:val="00FD4840"/>
    <w:rsid w:val="00FD48B5"/>
    <w:rsid w:val="00FD48D7"/>
    <w:rsid w:val="00FD4C21"/>
    <w:rsid w:val="00FD5070"/>
    <w:rsid w:val="00FD527F"/>
    <w:rsid w:val="00FD566A"/>
    <w:rsid w:val="00FD5A46"/>
    <w:rsid w:val="00FD5ADE"/>
    <w:rsid w:val="00FD5BC2"/>
    <w:rsid w:val="00FD60AA"/>
    <w:rsid w:val="00FD60DA"/>
    <w:rsid w:val="00FD63CD"/>
    <w:rsid w:val="00FD669F"/>
    <w:rsid w:val="00FD66EA"/>
    <w:rsid w:val="00FD693E"/>
    <w:rsid w:val="00FD6A49"/>
    <w:rsid w:val="00FD6C44"/>
    <w:rsid w:val="00FD6C83"/>
    <w:rsid w:val="00FD711E"/>
    <w:rsid w:val="00FD71F2"/>
    <w:rsid w:val="00FD7337"/>
    <w:rsid w:val="00FD73C2"/>
    <w:rsid w:val="00FD7781"/>
    <w:rsid w:val="00FD7930"/>
    <w:rsid w:val="00FD7A0D"/>
    <w:rsid w:val="00FD7F15"/>
    <w:rsid w:val="00FE0087"/>
    <w:rsid w:val="00FE00C2"/>
    <w:rsid w:val="00FE00C4"/>
    <w:rsid w:val="00FE00F1"/>
    <w:rsid w:val="00FE041B"/>
    <w:rsid w:val="00FE0585"/>
    <w:rsid w:val="00FE0749"/>
    <w:rsid w:val="00FE0DE3"/>
    <w:rsid w:val="00FE1057"/>
    <w:rsid w:val="00FE109A"/>
    <w:rsid w:val="00FE1C6C"/>
    <w:rsid w:val="00FE1CEB"/>
    <w:rsid w:val="00FE1DDC"/>
    <w:rsid w:val="00FE1ED0"/>
    <w:rsid w:val="00FE1FF0"/>
    <w:rsid w:val="00FE2351"/>
    <w:rsid w:val="00FE27E9"/>
    <w:rsid w:val="00FE27EA"/>
    <w:rsid w:val="00FE2826"/>
    <w:rsid w:val="00FE2F2A"/>
    <w:rsid w:val="00FE3230"/>
    <w:rsid w:val="00FE32D1"/>
    <w:rsid w:val="00FE3309"/>
    <w:rsid w:val="00FE337D"/>
    <w:rsid w:val="00FE3452"/>
    <w:rsid w:val="00FE3719"/>
    <w:rsid w:val="00FE3A53"/>
    <w:rsid w:val="00FE3A69"/>
    <w:rsid w:val="00FE3C62"/>
    <w:rsid w:val="00FE40BC"/>
    <w:rsid w:val="00FE4187"/>
    <w:rsid w:val="00FE4203"/>
    <w:rsid w:val="00FE46C2"/>
    <w:rsid w:val="00FE47F6"/>
    <w:rsid w:val="00FE4A46"/>
    <w:rsid w:val="00FE4C4A"/>
    <w:rsid w:val="00FE4F55"/>
    <w:rsid w:val="00FE5178"/>
    <w:rsid w:val="00FE52A2"/>
    <w:rsid w:val="00FE5580"/>
    <w:rsid w:val="00FE58E3"/>
    <w:rsid w:val="00FE5E90"/>
    <w:rsid w:val="00FE6065"/>
    <w:rsid w:val="00FE60C7"/>
    <w:rsid w:val="00FE62A0"/>
    <w:rsid w:val="00FE62AE"/>
    <w:rsid w:val="00FE6363"/>
    <w:rsid w:val="00FE63FC"/>
    <w:rsid w:val="00FE6AE8"/>
    <w:rsid w:val="00FE6C66"/>
    <w:rsid w:val="00FE6D2C"/>
    <w:rsid w:val="00FE6D32"/>
    <w:rsid w:val="00FE6E19"/>
    <w:rsid w:val="00FE6F8D"/>
    <w:rsid w:val="00FE6FDA"/>
    <w:rsid w:val="00FE729B"/>
    <w:rsid w:val="00FE737D"/>
    <w:rsid w:val="00FE74F6"/>
    <w:rsid w:val="00FF0218"/>
    <w:rsid w:val="00FF068B"/>
    <w:rsid w:val="00FF0731"/>
    <w:rsid w:val="00FF079B"/>
    <w:rsid w:val="00FF07B3"/>
    <w:rsid w:val="00FF09E0"/>
    <w:rsid w:val="00FF110C"/>
    <w:rsid w:val="00FF11B4"/>
    <w:rsid w:val="00FF12A0"/>
    <w:rsid w:val="00FF1B20"/>
    <w:rsid w:val="00FF1B30"/>
    <w:rsid w:val="00FF1D20"/>
    <w:rsid w:val="00FF1D4A"/>
    <w:rsid w:val="00FF1DEA"/>
    <w:rsid w:val="00FF2796"/>
    <w:rsid w:val="00FF28DC"/>
    <w:rsid w:val="00FF2C60"/>
    <w:rsid w:val="00FF2DC2"/>
    <w:rsid w:val="00FF30F3"/>
    <w:rsid w:val="00FF32F8"/>
    <w:rsid w:val="00FF3431"/>
    <w:rsid w:val="00FF380C"/>
    <w:rsid w:val="00FF384D"/>
    <w:rsid w:val="00FF38EA"/>
    <w:rsid w:val="00FF38EB"/>
    <w:rsid w:val="00FF3B1C"/>
    <w:rsid w:val="00FF3C89"/>
    <w:rsid w:val="00FF3F97"/>
    <w:rsid w:val="00FF41B9"/>
    <w:rsid w:val="00FF4A66"/>
    <w:rsid w:val="00FF4CFF"/>
    <w:rsid w:val="00FF4D4C"/>
    <w:rsid w:val="00FF4DFA"/>
    <w:rsid w:val="00FF4E57"/>
    <w:rsid w:val="00FF4F5F"/>
    <w:rsid w:val="00FF4F76"/>
    <w:rsid w:val="00FF50B9"/>
    <w:rsid w:val="00FF52B2"/>
    <w:rsid w:val="00FF5308"/>
    <w:rsid w:val="00FF53C5"/>
    <w:rsid w:val="00FF5461"/>
    <w:rsid w:val="00FF555D"/>
    <w:rsid w:val="00FF5E96"/>
    <w:rsid w:val="00FF6165"/>
    <w:rsid w:val="00FF62BD"/>
    <w:rsid w:val="00FF6349"/>
    <w:rsid w:val="00FF64FB"/>
    <w:rsid w:val="00FF6765"/>
    <w:rsid w:val="00FF6818"/>
    <w:rsid w:val="00FF6A4B"/>
    <w:rsid w:val="00FF6EAA"/>
    <w:rsid w:val="00FF75F4"/>
    <w:rsid w:val="00FF76FC"/>
    <w:rsid w:val="00FF7814"/>
    <w:rsid w:val="00FF79D5"/>
    <w:rsid w:val="00FF7FE9"/>
    <w:rsid w:val="0121580A"/>
    <w:rsid w:val="013211F3"/>
    <w:rsid w:val="0181784D"/>
    <w:rsid w:val="0195793C"/>
    <w:rsid w:val="0197949D"/>
    <w:rsid w:val="019BB87F"/>
    <w:rsid w:val="01D9CF3D"/>
    <w:rsid w:val="021A779D"/>
    <w:rsid w:val="02231472"/>
    <w:rsid w:val="022E8205"/>
    <w:rsid w:val="0240D9E0"/>
    <w:rsid w:val="02A43591"/>
    <w:rsid w:val="02EF1D07"/>
    <w:rsid w:val="02F9A9C2"/>
    <w:rsid w:val="031612AE"/>
    <w:rsid w:val="03266EC4"/>
    <w:rsid w:val="035ECB5C"/>
    <w:rsid w:val="03BB42DB"/>
    <w:rsid w:val="03BD4B76"/>
    <w:rsid w:val="043EC46C"/>
    <w:rsid w:val="0441943D"/>
    <w:rsid w:val="0442CE94"/>
    <w:rsid w:val="04626C48"/>
    <w:rsid w:val="049E3048"/>
    <w:rsid w:val="04C06363"/>
    <w:rsid w:val="04D57260"/>
    <w:rsid w:val="04E2BE12"/>
    <w:rsid w:val="04F7D244"/>
    <w:rsid w:val="0506D4A2"/>
    <w:rsid w:val="050B3236"/>
    <w:rsid w:val="052A7314"/>
    <w:rsid w:val="0536180B"/>
    <w:rsid w:val="05DB67A1"/>
    <w:rsid w:val="05E542F4"/>
    <w:rsid w:val="05F10E01"/>
    <w:rsid w:val="0607AD8C"/>
    <w:rsid w:val="062FC995"/>
    <w:rsid w:val="065CA9D8"/>
    <w:rsid w:val="066C831A"/>
    <w:rsid w:val="06B856A5"/>
    <w:rsid w:val="06BD54C0"/>
    <w:rsid w:val="06CF4B4E"/>
    <w:rsid w:val="07135334"/>
    <w:rsid w:val="071F972E"/>
    <w:rsid w:val="07425074"/>
    <w:rsid w:val="0757DED6"/>
    <w:rsid w:val="076C57DD"/>
    <w:rsid w:val="07978040"/>
    <w:rsid w:val="07983805"/>
    <w:rsid w:val="07C84D61"/>
    <w:rsid w:val="082311E4"/>
    <w:rsid w:val="0840D953"/>
    <w:rsid w:val="08A3F05C"/>
    <w:rsid w:val="08BFD24E"/>
    <w:rsid w:val="08C95FF9"/>
    <w:rsid w:val="08EBB06B"/>
    <w:rsid w:val="08EDC9A9"/>
    <w:rsid w:val="09090FAF"/>
    <w:rsid w:val="091A07FC"/>
    <w:rsid w:val="092BC356"/>
    <w:rsid w:val="094F247D"/>
    <w:rsid w:val="0987E9B4"/>
    <w:rsid w:val="09C07834"/>
    <w:rsid w:val="09EB1A3B"/>
    <w:rsid w:val="09F73DB3"/>
    <w:rsid w:val="0A4FA99E"/>
    <w:rsid w:val="0A62E41A"/>
    <w:rsid w:val="0A6BCD58"/>
    <w:rsid w:val="0A812CF2"/>
    <w:rsid w:val="0AF6E4BB"/>
    <w:rsid w:val="0B11587F"/>
    <w:rsid w:val="0B19BA8A"/>
    <w:rsid w:val="0B2A53C1"/>
    <w:rsid w:val="0BA6885D"/>
    <w:rsid w:val="0BB7FD10"/>
    <w:rsid w:val="0BFF51DB"/>
    <w:rsid w:val="0C16A217"/>
    <w:rsid w:val="0C6DD2A3"/>
    <w:rsid w:val="0C73404B"/>
    <w:rsid w:val="0C9A2FB3"/>
    <w:rsid w:val="0CB25FCD"/>
    <w:rsid w:val="0CF2FA21"/>
    <w:rsid w:val="0D1098A0"/>
    <w:rsid w:val="0D51DE43"/>
    <w:rsid w:val="0D82841F"/>
    <w:rsid w:val="0D82C822"/>
    <w:rsid w:val="0DD14ABC"/>
    <w:rsid w:val="0E16561B"/>
    <w:rsid w:val="0E2ABB38"/>
    <w:rsid w:val="0E414E77"/>
    <w:rsid w:val="0E4ACCD0"/>
    <w:rsid w:val="0E5856F3"/>
    <w:rsid w:val="0E6C1C06"/>
    <w:rsid w:val="0E803C06"/>
    <w:rsid w:val="0EDDB54E"/>
    <w:rsid w:val="0EE2CAEB"/>
    <w:rsid w:val="0F012D05"/>
    <w:rsid w:val="0F741091"/>
    <w:rsid w:val="0FAD9D36"/>
    <w:rsid w:val="1056DE07"/>
    <w:rsid w:val="107656A1"/>
    <w:rsid w:val="10A514EB"/>
    <w:rsid w:val="10A6FC60"/>
    <w:rsid w:val="10B8609A"/>
    <w:rsid w:val="10CFE9D1"/>
    <w:rsid w:val="10F1989B"/>
    <w:rsid w:val="10FD3B6A"/>
    <w:rsid w:val="1110B544"/>
    <w:rsid w:val="111AF1C7"/>
    <w:rsid w:val="1131AEFD"/>
    <w:rsid w:val="11330546"/>
    <w:rsid w:val="1158369C"/>
    <w:rsid w:val="117330F1"/>
    <w:rsid w:val="118ACD54"/>
    <w:rsid w:val="11A6AAFE"/>
    <w:rsid w:val="11B7CCE8"/>
    <w:rsid w:val="11FD3B46"/>
    <w:rsid w:val="122E2323"/>
    <w:rsid w:val="122E2782"/>
    <w:rsid w:val="125822BA"/>
    <w:rsid w:val="125EBE44"/>
    <w:rsid w:val="1262AED4"/>
    <w:rsid w:val="1266E7A2"/>
    <w:rsid w:val="12D1C5E3"/>
    <w:rsid w:val="1309EB83"/>
    <w:rsid w:val="1343A64F"/>
    <w:rsid w:val="134584C2"/>
    <w:rsid w:val="134BE0D0"/>
    <w:rsid w:val="13EC484F"/>
    <w:rsid w:val="14040DE6"/>
    <w:rsid w:val="14088BBE"/>
    <w:rsid w:val="149080BD"/>
    <w:rsid w:val="14966E5F"/>
    <w:rsid w:val="14B5C3D5"/>
    <w:rsid w:val="14D7D300"/>
    <w:rsid w:val="14E6B693"/>
    <w:rsid w:val="1511FB7C"/>
    <w:rsid w:val="153AACC2"/>
    <w:rsid w:val="15535B55"/>
    <w:rsid w:val="1581C21F"/>
    <w:rsid w:val="1586004E"/>
    <w:rsid w:val="15B605FB"/>
    <w:rsid w:val="160E7E78"/>
    <w:rsid w:val="1613058C"/>
    <w:rsid w:val="1642F81A"/>
    <w:rsid w:val="165346C7"/>
    <w:rsid w:val="16893E00"/>
    <w:rsid w:val="1745538E"/>
    <w:rsid w:val="174C7BBD"/>
    <w:rsid w:val="174D1E45"/>
    <w:rsid w:val="178B54B7"/>
    <w:rsid w:val="17A25AF4"/>
    <w:rsid w:val="17B772A9"/>
    <w:rsid w:val="18817E6C"/>
    <w:rsid w:val="18A9480E"/>
    <w:rsid w:val="18AF7FEA"/>
    <w:rsid w:val="18E97A1E"/>
    <w:rsid w:val="18FDF1BE"/>
    <w:rsid w:val="1908FCA4"/>
    <w:rsid w:val="19206618"/>
    <w:rsid w:val="193E660D"/>
    <w:rsid w:val="1953AD48"/>
    <w:rsid w:val="1990E1E7"/>
    <w:rsid w:val="19A096AD"/>
    <w:rsid w:val="19A6B54C"/>
    <w:rsid w:val="19C2268F"/>
    <w:rsid w:val="19CDABE1"/>
    <w:rsid w:val="19F619EC"/>
    <w:rsid w:val="1A37E0E1"/>
    <w:rsid w:val="1A48271C"/>
    <w:rsid w:val="1A49ABA3"/>
    <w:rsid w:val="1AA30A50"/>
    <w:rsid w:val="1AA63623"/>
    <w:rsid w:val="1AA9F74A"/>
    <w:rsid w:val="1AE8E41D"/>
    <w:rsid w:val="1B21AE07"/>
    <w:rsid w:val="1B7865EE"/>
    <w:rsid w:val="1B880B6C"/>
    <w:rsid w:val="1B8CE937"/>
    <w:rsid w:val="1BF892BB"/>
    <w:rsid w:val="1BFD3C99"/>
    <w:rsid w:val="1C04214F"/>
    <w:rsid w:val="1C69C93E"/>
    <w:rsid w:val="1C754CF3"/>
    <w:rsid w:val="1CA7E0F2"/>
    <w:rsid w:val="1CBDEE46"/>
    <w:rsid w:val="1CF830FE"/>
    <w:rsid w:val="1D1E405C"/>
    <w:rsid w:val="1D45FD10"/>
    <w:rsid w:val="1D462B68"/>
    <w:rsid w:val="1D482650"/>
    <w:rsid w:val="1D4958EB"/>
    <w:rsid w:val="1D49D1EC"/>
    <w:rsid w:val="1DD92BB9"/>
    <w:rsid w:val="1DDA9768"/>
    <w:rsid w:val="1DDDF148"/>
    <w:rsid w:val="1E38FC85"/>
    <w:rsid w:val="1E3B3968"/>
    <w:rsid w:val="1E3E77CD"/>
    <w:rsid w:val="1E7CA64A"/>
    <w:rsid w:val="1E94A9EC"/>
    <w:rsid w:val="1EA9A59E"/>
    <w:rsid w:val="1EBD45A9"/>
    <w:rsid w:val="1ECC76A2"/>
    <w:rsid w:val="1F303321"/>
    <w:rsid w:val="1F696947"/>
    <w:rsid w:val="1F7957B0"/>
    <w:rsid w:val="1F98066B"/>
    <w:rsid w:val="1F9EF22E"/>
    <w:rsid w:val="1FA25B7D"/>
    <w:rsid w:val="1FB67589"/>
    <w:rsid w:val="1FC15A4B"/>
    <w:rsid w:val="1FDF86ED"/>
    <w:rsid w:val="1FF08847"/>
    <w:rsid w:val="1FF5DF60"/>
    <w:rsid w:val="1FFEF8EC"/>
    <w:rsid w:val="201F9796"/>
    <w:rsid w:val="204E57A9"/>
    <w:rsid w:val="209A08B9"/>
    <w:rsid w:val="20A6C317"/>
    <w:rsid w:val="20BBEF7A"/>
    <w:rsid w:val="20FC6659"/>
    <w:rsid w:val="21287565"/>
    <w:rsid w:val="216D9468"/>
    <w:rsid w:val="21793209"/>
    <w:rsid w:val="219EBE6F"/>
    <w:rsid w:val="21B607C5"/>
    <w:rsid w:val="21E92908"/>
    <w:rsid w:val="21EC99CE"/>
    <w:rsid w:val="21F07606"/>
    <w:rsid w:val="220C76DA"/>
    <w:rsid w:val="223B9B53"/>
    <w:rsid w:val="227A2868"/>
    <w:rsid w:val="227E3E59"/>
    <w:rsid w:val="228AB45C"/>
    <w:rsid w:val="22D1D8E7"/>
    <w:rsid w:val="22ED8022"/>
    <w:rsid w:val="22F31611"/>
    <w:rsid w:val="2310A17F"/>
    <w:rsid w:val="235420F3"/>
    <w:rsid w:val="2392965F"/>
    <w:rsid w:val="239E59F1"/>
    <w:rsid w:val="23B460CC"/>
    <w:rsid w:val="23C65583"/>
    <w:rsid w:val="23CFB120"/>
    <w:rsid w:val="23DC582D"/>
    <w:rsid w:val="24342B15"/>
    <w:rsid w:val="24841DF6"/>
    <w:rsid w:val="249E80F7"/>
    <w:rsid w:val="24A0A864"/>
    <w:rsid w:val="24B3AC07"/>
    <w:rsid w:val="24B4ED53"/>
    <w:rsid w:val="24C880B5"/>
    <w:rsid w:val="24D5A758"/>
    <w:rsid w:val="2506DE6C"/>
    <w:rsid w:val="254D0B34"/>
    <w:rsid w:val="254E115B"/>
    <w:rsid w:val="255497A8"/>
    <w:rsid w:val="258E5E21"/>
    <w:rsid w:val="25D777AA"/>
    <w:rsid w:val="25DEEB55"/>
    <w:rsid w:val="2666340D"/>
    <w:rsid w:val="2675812D"/>
    <w:rsid w:val="2694E146"/>
    <w:rsid w:val="26C246EF"/>
    <w:rsid w:val="26E1C077"/>
    <w:rsid w:val="27182DCA"/>
    <w:rsid w:val="27202742"/>
    <w:rsid w:val="272DF231"/>
    <w:rsid w:val="27B2E087"/>
    <w:rsid w:val="27B7A1E5"/>
    <w:rsid w:val="27C5F2B8"/>
    <w:rsid w:val="27C6B08E"/>
    <w:rsid w:val="27E871F8"/>
    <w:rsid w:val="280DA319"/>
    <w:rsid w:val="2815EC31"/>
    <w:rsid w:val="28622996"/>
    <w:rsid w:val="2888AD32"/>
    <w:rsid w:val="289EF711"/>
    <w:rsid w:val="2917820C"/>
    <w:rsid w:val="293A970B"/>
    <w:rsid w:val="293EBC82"/>
    <w:rsid w:val="294402A2"/>
    <w:rsid w:val="299D99EA"/>
    <w:rsid w:val="29F8BC90"/>
    <w:rsid w:val="2A17F800"/>
    <w:rsid w:val="2A19E55F"/>
    <w:rsid w:val="2A19F216"/>
    <w:rsid w:val="2A52921B"/>
    <w:rsid w:val="2A8FCBC0"/>
    <w:rsid w:val="2AA43794"/>
    <w:rsid w:val="2ADB0776"/>
    <w:rsid w:val="2AF7D73E"/>
    <w:rsid w:val="2B1A6A4D"/>
    <w:rsid w:val="2B2EBE63"/>
    <w:rsid w:val="2B604592"/>
    <w:rsid w:val="2B804DB4"/>
    <w:rsid w:val="2BB33FBA"/>
    <w:rsid w:val="2BB96B23"/>
    <w:rsid w:val="2BE2C416"/>
    <w:rsid w:val="2BFB31A2"/>
    <w:rsid w:val="2C05585D"/>
    <w:rsid w:val="2C2599DA"/>
    <w:rsid w:val="2CA29DE3"/>
    <w:rsid w:val="2CF894FF"/>
    <w:rsid w:val="2D0E6550"/>
    <w:rsid w:val="2D3FF191"/>
    <w:rsid w:val="2D8E13FA"/>
    <w:rsid w:val="2DB76AB0"/>
    <w:rsid w:val="2DED2220"/>
    <w:rsid w:val="2DEEFDCC"/>
    <w:rsid w:val="2DF54779"/>
    <w:rsid w:val="2E380F6A"/>
    <w:rsid w:val="2E542E14"/>
    <w:rsid w:val="2E5C4DE6"/>
    <w:rsid w:val="2EB4BA73"/>
    <w:rsid w:val="2EBDD7EE"/>
    <w:rsid w:val="2EE1AF58"/>
    <w:rsid w:val="2EF77786"/>
    <w:rsid w:val="2F84346C"/>
    <w:rsid w:val="2F9C2467"/>
    <w:rsid w:val="2FDB3AEA"/>
    <w:rsid w:val="3017B37F"/>
    <w:rsid w:val="301CD5E2"/>
    <w:rsid w:val="303EA3CD"/>
    <w:rsid w:val="304958F8"/>
    <w:rsid w:val="305B5B50"/>
    <w:rsid w:val="30B08448"/>
    <w:rsid w:val="30B3AEAB"/>
    <w:rsid w:val="30E093A0"/>
    <w:rsid w:val="3104FF41"/>
    <w:rsid w:val="310A246E"/>
    <w:rsid w:val="310B8877"/>
    <w:rsid w:val="3115D18D"/>
    <w:rsid w:val="314EB446"/>
    <w:rsid w:val="31630AD4"/>
    <w:rsid w:val="318428D1"/>
    <w:rsid w:val="318AAAB9"/>
    <w:rsid w:val="31F9C2A4"/>
    <w:rsid w:val="31FA36C1"/>
    <w:rsid w:val="3205EA67"/>
    <w:rsid w:val="3206A946"/>
    <w:rsid w:val="321D6FBA"/>
    <w:rsid w:val="3237AF1C"/>
    <w:rsid w:val="32A5C307"/>
    <w:rsid w:val="32CDA089"/>
    <w:rsid w:val="32DF4E41"/>
    <w:rsid w:val="3338E835"/>
    <w:rsid w:val="3349F867"/>
    <w:rsid w:val="33700844"/>
    <w:rsid w:val="337A94CE"/>
    <w:rsid w:val="33A244AA"/>
    <w:rsid w:val="3422522E"/>
    <w:rsid w:val="345FF0A2"/>
    <w:rsid w:val="34B15979"/>
    <w:rsid w:val="34D45417"/>
    <w:rsid w:val="34DB7A0C"/>
    <w:rsid w:val="34F1D195"/>
    <w:rsid w:val="35118720"/>
    <w:rsid w:val="353FE0CC"/>
    <w:rsid w:val="35510F9E"/>
    <w:rsid w:val="355AB706"/>
    <w:rsid w:val="356720EF"/>
    <w:rsid w:val="35703486"/>
    <w:rsid w:val="35A21E92"/>
    <w:rsid w:val="35B0E476"/>
    <w:rsid w:val="35D2AC1C"/>
    <w:rsid w:val="360BF9EC"/>
    <w:rsid w:val="360C7C26"/>
    <w:rsid w:val="36763C34"/>
    <w:rsid w:val="36A0AED2"/>
    <w:rsid w:val="36A4F5C2"/>
    <w:rsid w:val="36B788C9"/>
    <w:rsid w:val="36CB13FE"/>
    <w:rsid w:val="36E04271"/>
    <w:rsid w:val="36FBAC74"/>
    <w:rsid w:val="3702F9B6"/>
    <w:rsid w:val="3707B579"/>
    <w:rsid w:val="371F56D7"/>
    <w:rsid w:val="371FCED6"/>
    <w:rsid w:val="3739E477"/>
    <w:rsid w:val="37423029"/>
    <w:rsid w:val="3748D522"/>
    <w:rsid w:val="3749F686"/>
    <w:rsid w:val="3761CCC0"/>
    <w:rsid w:val="3790DBBE"/>
    <w:rsid w:val="37BA2ECB"/>
    <w:rsid w:val="37C28981"/>
    <w:rsid w:val="37E9A210"/>
    <w:rsid w:val="37FCD4A5"/>
    <w:rsid w:val="380C1DDE"/>
    <w:rsid w:val="3843B1A2"/>
    <w:rsid w:val="38559471"/>
    <w:rsid w:val="3889BC1B"/>
    <w:rsid w:val="38C8500D"/>
    <w:rsid w:val="38ECBD07"/>
    <w:rsid w:val="38FE278E"/>
    <w:rsid w:val="393F9768"/>
    <w:rsid w:val="396543B6"/>
    <w:rsid w:val="398CCD81"/>
    <w:rsid w:val="39B72462"/>
    <w:rsid w:val="39C25094"/>
    <w:rsid w:val="39D8659E"/>
    <w:rsid w:val="3A10D52C"/>
    <w:rsid w:val="3A2C704B"/>
    <w:rsid w:val="3A31BCB0"/>
    <w:rsid w:val="3A7AA061"/>
    <w:rsid w:val="3A992540"/>
    <w:rsid w:val="3AA15D0E"/>
    <w:rsid w:val="3AEEB324"/>
    <w:rsid w:val="3B59DE19"/>
    <w:rsid w:val="3B89D37D"/>
    <w:rsid w:val="3B96A9F1"/>
    <w:rsid w:val="3C01D7F2"/>
    <w:rsid w:val="3C03D2A5"/>
    <w:rsid w:val="3C24EEB6"/>
    <w:rsid w:val="3C373A3B"/>
    <w:rsid w:val="3C645879"/>
    <w:rsid w:val="3C811050"/>
    <w:rsid w:val="3C8FDFBD"/>
    <w:rsid w:val="3CBD8D46"/>
    <w:rsid w:val="3CD31087"/>
    <w:rsid w:val="3D1E116B"/>
    <w:rsid w:val="3D4EEAEB"/>
    <w:rsid w:val="3D719457"/>
    <w:rsid w:val="3D76483F"/>
    <w:rsid w:val="3D7E82A1"/>
    <w:rsid w:val="3D86AF3E"/>
    <w:rsid w:val="3DE73649"/>
    <w:rsid w:val="3DECCD85"/>
    <w:rsid w:val="3DF1C1C0"/>
    <w:rsid w:val="3E1FBE0F"/>
    <w:rsid w:val="3E2445FA"/>
    <w:rsid w:val="3E25D237"/>
    <w:rsid w:val="3E519D28"/>
    <w:rsid w:val="3EA91CC5"/>
    <w:rsid w:val="3EC143E8"/>
    <w:rsid w:val="3EF82008"/>
    <w:rsid w:val="3EFE6E16"/>
    <w:rsid w:val="3F6EABC0"/>
    <w:rsid w:val="3FBD929B"/>
    <w:rsid w:val="3FCE2DBE"/>
    <w:rsid w:val="3FD60EB8"/>
    <w:rsid w:val="3FE25CE6"/>
    <w:rsid w:val="4056D17D"/>
    <w:rsid w:val="406074B9"/>
    <w:rsid w:val="4070EACA"/>
    <w:rsid w:val="407D480A"/>
    <w:rsid w:val="40BB91B0"/>
    <w:rsid w:val="40F5559A"/>
    <w:rsid w:val="4105840E"/>
    <w:rsid w:val="41217257"/>
    <w:rsid w:val="4146CDEA"/>
    <w:rsid w:val="414D007F"/>
    <w:rsid w:val="41AC092D"/>
    <w:rsid w:val="41BDE363"/>
    <w:rsid w:val="41D132D4"/>
    <w:rsid w:val="420D297F"/>
    <w:rsid w:val="420EB9E0"/>
    <w:rsid w:val="42166B4C"/>
    <w:rsid w:val="4220E60D"/>
    <w:rsid w:val="42335664"/>
    <w:rsid w:val="423CDEC9"/>
    <w:rsid w:val="4245163F"/>
    <w:rsid w:val="42476A86"/>
    <w:rsid w:val="425B358C"/>
    <w:rsid w:val="425C4D0B"/>
    <w:rsid w:val="428E8D85"/>
    <w:rsid w:val="42B48850"/>
    <w:rsid w:val="42DAC9CE"/>
    <w:rsid w:val="42EC1D16"/>
    <w:rsid w:val="4304F577"/>
    <w:rsid w:val="43172520"/>
    <w:rsid w:val="4373EB79"/>
    <w:rsid w:val="439184F6"/>
    <w:rsid w:val="43973CE5"/>
    <w:rsid w:val="439D61C4"/>
    <w:rsid w:val="43C831DA"/>
    <w:rsid w:val="43D19E9A"/>
    <w:rsid w:val="43F750AD"/>
    <w:rsid w:val="43FEBB27"/>
    <w:rsid w:val="443A76E5"/>
    <w:rsid w:val="4461BADF"/>
    <w:rsid w:val="448F19BB"/>
    <w:rsid w:val="44A19C06"/>
    <w:rsid w:val="44AC7F6F"/>
    <w:rsid w:val="44B1A1A1"/>
    <w:rsid w:val="44E442A8"/>
    <w:rsid w:val="451C19BF"/>
    <w:rsid w:val="45224BD3"/>
    <w:rsid w:val="4531AD22"/>
    <w:rsid w:val="455B8BFA"/>
    <w:rsid w:val="456F1CEF"/>
    <w:rsid w:val="4574187C"/>
    <w:rsid w:val="45754E3B"/>
    <w:rsid w:val="458D37B0"/>
    <w:rsid w:val="45A6633E"/>
    <w:rsid w:val="46029404"/>
    <w:rsid w:val="460C75EE"/>
    <w:rsid w:val="4611D982"/>
    <w:rsid w:val="461800EE"/>
    <w:rsid w:val="4623C63C"/>
    <w:rsid w:val="467312F3"/>
    <w:rsid w:val="46A371EE"/>
    <w:rsid w:val="46BF929F"/>
    <w:rsid w:val="46DAA0E9"/>
    <w:rsid w:val="47354C88"/>
    <w:rsid w:val="47907F88"/>
    <w:rsid w:val="47C75717"/>
    <w:rsid w:val="47D57317"/>
    <w:rsid w:val="47DD97C3"/>
    <w:rsid w:val="47DE2F8B"/>
    <w:rsid w:val="47DEE5A6"/>
    <w:rsid w:val="47E68413"/>
    <w:rsid w:val="47EC619B"/>
    <w:rsid w:val="47FFB83E"/>
    <w:rsid w:val="481EDDD0"/>
    <w:rsid w:val="48518857"/>
    <w:rsid w:val="486BCE45"/>
    <w:rsid w:val="48758075"/>
    <w:rsid w:val="487C7B34"/>
    <w:rsid w:val="489E985E"/>
    <w:rsid w:val="48DEF41F"/>
    <w:rsid w:val="49205767"/>
    <w:rsid w:val="49A5897B"/>
    <w:rsid w:val="49AAF9C4"/>
    <w:rsid w:val="4A645E45"/>
    <w:rsid w:val="4A737A6B"/>
    <w:rsid w:val="4A9A834B"/>
    <w:rsid w:val="4A9D18A6"/>
    <w:rsid w:val="4AA08A47"/>
    <w:rsid w:val="4AE17C86"/>
    <w:rsid w:val="4AE4399C"/>
    <w:rsid w:val="4B24E14A"/>
    <w:rsid w:val="4B2B3B6B"/>
    <w:rsid w:val="4B5C0F40"/>
    <w:rsid w:val="4B843EB9"/>
    <w:rsid w:val="4B8810B8"/>
    <w:rsid w:val="4B890BB6"/>
    <w:rsid w:val="4BBA8874"/>
    <w:rsid w:val="4BDBE8C4"/>
    <w:rsid w:val="4CF4459F"/>
    <w:rsid w:val="4D1D9139"/>
    <w:rsid w:val="4D91AD12"/>
    <w:rsid w:val="4E14E436"/>
    <w:rsid w:val="4E1B1E3A"/>
    <w:rsid w:val="4EA52C10"/>
    <w:rsid w:val="4EC07DD4"/>
    <w:rsid w:val="4EE06F22"/>
    <w:rsid w:val="4EFACC81"/>
    <w:rsid w:val="4F80279D"/>
    <w:rsid w:val="4F9AC5E9"/>
    <w:rsid w:val="4F9AE538"/>
    <w:rsid w:val="4FE1E069"/>
    <w:rsid w:val="4FF8B2B8"/>
    <w:rsid w:val="50139FB8"/>
    <w:rsid w:val="502FAB79"/>
    <w:rsid w:val="506504D5"/>
    <w:rsid w:val="509C041C"/>
    <w:rsid w:val="50C66135"/>
    <w:rsid w:val="50F0AD30"/>
    <w:rsid w:val="51389ADE"/>
    <w:rsid w:val="51585305"/>
    <w:rsid w:val="5163DD83"/>
    <w:rsid w:val="517246B7"/>
    <w:rsid w:val="51922A56"/>
    <w:rsid w:val="519CD4AD"/>
    <w:rsid w:val="519F7A83"/>
    <w:rsid w:val="51AB62EB"/>
    <w:rsid w:val="51CA4D1D"/>
    <w:rsid w:val="51D08577"/>
    <w:rsid w:val="51DFA079"/>
    <w:rsid w:val="51E651D9"/>
    <w:rsid w:val="51E689ED"/>
    <w:rsid w:val="52122AEF"/>
    <w:rsid w:val="523DB6B5"/>
    <w:rsid w:val="524B4B42"/>
    <w:rsid w:val="524C2BF7"/>
    <w:rsid w:val="528732C3"/>
    <w:rsid w:val="528D37A7"/>
    <w:rsid w:val="52AEAFC8"/>
    <w:rsid w:val="52F13A21"/>
    <w:rsid w:val="5337F319"/>
    <w:rsid w:val="5363B687"/>
    <w:rsid w:val="53878FB9"/>
    <w:rsid w:val="53A23EAE"/>
    <w:rsid w:val="53BD4F7A"/>
    <w:rsid w:val="53E0F1AE"/>
    <w:rsid w:val="5420F635"/>
    <w:rsid w:val="5435BB6C"/>
    <w:rsid w:val="5446E933"/>
    <w:rsid w:val="547B6231"/>
    <w:rsid w:val="54872BEE"/>
    <w:rsid w:val="54BEAB03"/>
    <w:rsid w:val="54EAE61D"/>
    <w:rsid w:val="550632E5"/>
    <w:rsid w:val="5532AD39"/>
    <w:rsid w:val="558A379C"/>
    <w:rsid w:val="55DAE84B"/>
    <w:rsid w:val="55DC4A63"/>
    <w:rsid w:val="55FA734C"/>
    <w:rsid w:val="560F33ED"/>
    <w:rsid w:val="561E9661"/>
    <w:rsid w:val="56235249"/>
    <w:rsid w:val="562F0E5C"/>
    <w:rsid w:val="56387F4E"/>
    <w:rsid w:val="565AF347"/>
    <w:rsid w:val="5672A819"/>
    <w:rsid w:val="5674366B"/>
    <w:rsid w:val="567C3FC9"/>
    <w:rsid w:val="56B177A5"/>
    <w:rsid w:val="56D5C91E"/>
    <w:rsid w:val="56F76144"/>
    <w:rsid w:val="5719B8BB"/>
    <w:rsid w:val="5726B32D"/>
    <w:rsid w:val="5750C416"/>
    <w:rsid w:val="5755C389"/>
    <w:rsid w:val="576A9978"/>
    <w:rsid w:val="576BBF09"/>
    <w:rsid w:val="5795ED7A"/>
    <w:rsid w:val="58053C6A"/>
    <w:rsid w:val="58900B98"/>
    <w:rsid w:val="58B37B5E"/>
    <w:rsid w:val="58BFCB06"/>
    <w:rsid w:val="58E1B51E"/>
    <w:rsid w:val="58ECBC3D"/>
    <w:rsid w:val="59052990"/>
    <w:rsid w:val="5929C9F8"/>
    <w:rsid w:val="595CF614"/>
    <w:rsid w:val="5993D075"/>
    <w:rsid w:val="59D04C99"/>
    <w:rsid w:val="5A06BE08"/>
    <w:rsid w:val="5A0B8DB6"/>
    <w:rsid w:val="5A50962A"/>
    <w:rsid w:val="5A6F7BCF"/>
    <w:rsid w:val="5AA4E08A"/>
    <w:rsid w:val="5AC91851"/>
    <w:rsid w:val="5ACAEBD3"/>
    <w:rsid w:val="5AE5C64F"/>
    <w:rsid w:val="5AECF508"/>
    <w:rsid w:val="5AF7AF3B"/>
    <w:rsid w:val="5B109DAA"/>
    <w:rsid w:val="5B142F66"/>
    <w:rsid w:val="5B21942E"/>
    <w:rsid w:val="5B33D258"/>
    <w:rsid w:val="5B8E4732"/>
    <w:rsid w:val="5BA0A3DA"/>
    <w:rsid w:val="5BA12FF1"/>
    <w:rsid w:val="5BB8B53E"/>
    <w:rsid w:val="5BF8BDA8"/>
    <w:rsid w:val="5C3C121F"/>
    <w:rsid w:val="5C88543F"/>
    <w:rsid w:val="5C8A2911"/>
    <w:rsid w:val="5CE0AB74"/>
    <w:rsid w:val="5D3CAB50"/>
    <w:rsid w:val="5D3FDEFC"/>
    <w:rsid w:val="5DD50C13"/>
    <w:rsid w:val="5DEEBF05"/>
    <w:rsid w:val="5E4AD761"/>
    <w:rsid w:val="5E90CE5E"/>
    <w:rsid w:val="5EB353A5"/>
    <w:rsid w:val="5EE74CAD"/>
    <w:rsid w:val="5F0FB979"/>
    <w:rsid w:val="5F56E520"/>
    <w:rsid w:val="5FA41C24"/>
    <w:rsid w:val="5FC677D1"/>
    <w:rsid w:val="60454894"/>
    <w:rsid w:val="6059C7E4"/>
    <w:rsid w:val="60AA974A"/>
    <w:rsid w:val="60E0E846"/>
    <w:rsid w:val="60E55626"/>
    <w:rsid w:val="60E8DD56"/>
    <w:rsid w:val="60EC80C8"/>
    <w:rsid w:val="610F9332"/>
    <w:rsid w:val="613EC366"/>
    <w:rsid w:val="61D7B038"/>
    <w:rsid w:val="61E4FD77"/>
    <w:rsid w:val="61F162B3"/>
    <w:rsid w:val="61F81B78"/>
    <w:rsid w:val="6205E5D0"/>
    <w:rsid w:val="622736B6"/>
    <w:rsid w:val="622F197F"/>
    <w:rsid w:val="6246BAC9"/>
    <w:rsid w:val="6279B490"/>
    <w:rsid w:val="6298A347"/>
    <w:rsid w:val="62A17BCC"/>
    <w:rsid w:val="62D749D0"/>
    <w:rsid w:val="62ED2665"/>
    <w:rsid w:val="6332333B"/>
    <w:rsid w:val="634D461D"/>
    <w:rsid w:val="63571085"/>
    <w:rsid w:val="635B993B"/>
    <w:rsid w:val="6376D589"/>
    <w:rsid w:val="6388B850"/>
    <w:rsid w:val="638CDDD9"/>
    <w:rsid w:val="63C18A49"/>
    <w:rsid w:val="63EDBE3B"/>
    <w:rsid w:val="63FF4AE1"/>
    <w:rsid w:val="641DAAAC"/>
    <w:rsid w:val="6438A44E"/>
    <w:rsid w:val="6453A413"/>
    <w:rsid w:val="64C2A751"/>
    <w:rsid w:val="64ECA76D"/>
    <w:rsid w:val="6581C93C"/>
    <w:rsid w:val="65C094E2"/>
    <w:rsid w:val="65DADB8A"/>
    <w:rsid w:val="65DB691F"/>
    <w:rsid w:val="6615B119"/>
    <w:rsid w:val="66237091"/>
    <w:rsid w:val="66452283"/>
    <w:rsid w:val="664CE2ED"/>
    <w:rsid w:val="664ED78B"/>
    <w:rsid w:val="6670646C"/>
    <w:rsid w:val="6680CF1B"/>
    <w:rsid w:val="66834E9B"/>
    <w:rsid w:val="66873B3C"/>
    <w:rsid w:val="66D5192A"/>
    <w:rsid w:val="6726CA7C"/>
    <w:rsid w:val="6762DEE4"/>
    <w:rsid w:val="6782B226"/>
    <w:rsid w:val="6795B2E3"/>
    <w:rsid w:val="67A2EA06"/>
    <w:rsid w:val="67B5C48B"/>
    <w:rsid w:val="68237C3E"/>
    <w:rsid w:val="68240F70"/>
    <w:rsid w:val="6830D520"/>
    <w:rsid w:val="68594F0A"/>
    <w:rsid w:val="687EB28B"/>
    <w:rsid w:val="68839729"/>
    <w:rsid w:val="689728F4"/>
    <w:rsid w:val="689B3235"/>
    <w:rsid w:val="68A9DD1B"/>
    <w:rsid w:val="68AC18E8"/>
    <w:rsid w:val="68FCDC6B"/>
    <w:rsid w:val="69033AF7"/>
    <w:rsid w:val="6956A537"/>
    <w:rsid w:val="69B3D442"/>
    <w:rsid w:val="6A0888F8"/>
    <w:rsid w:val="6A49C10D"/>
    <w:rsid w:val="6A5AD193"/>
    <w:rsid w:val="6A649F68"/>
    <w:rsid w:val="6A6C8B20"/>
    <w:rsid w:val="6A905A30"/>
    <w:rsid w:val="6A9FBAA4"/>
    <w:rsid w:val="6AA73159"/>
    <w:rsid w:val="6AADB0DF"/>
    <w:rsid w:val="6AC97D00"/>
    <w:rsid w:val="6AF233FF"/>
    <w:rsid w:val="6B09122A"/>
    <w:rsid w:val="6B0D383D"/>
    <w:rsid w:val="6B525632"/>
    <w:rsid w:val="6B54DADB"/>
    <w:rsid w:val="6B6B98F2"/>
    <w:rsid w:val="6B7A2B19"/>
    <w:rsid w:val="6BAC8E1D"/>
    <w:rsid w:val="6C0E1F4A"/>
    <w:rsid w:val="6C20D867"/>
    <w:rsid w:val="6C391D41"/>
    <w:rsid w:val="6C3AD297"/>
    <w:rsid w:val="6C40A22E"/>
    <w:rsid w:val="6C5BF72E"/>
    <w:rsid w:val="6C627658"/>
    <w:rsid w:val="6C92637F"/>
    <w:rsid w:val="6C9FA8F4"/>
    <w:rsid w:val="6D165941"/>
    <w:rsid w:val="6D30687B"/>
    <w:rsid w:val="6D3F0DD8"/>
    <w:rsid w:val="6D51D632"/>
    <w:rsid w:val="6D5D2828"/>
    <w:rsid w:val="6D60B28D"/>
    <w:rsid w:val="6D61E47C"/>
    <w:rsid w:val="6D67F069"/>
    <w:rsid w:val="6D87386B"/>
    <w:rsid w:val="6D8EBF27"/>
    <w:rsid w:val="6D966F00"/>
    <w:rsid w:val="6DA52C7D"/>
    <w:rsid w:val="6DBE0048"/>
    <w:rsid w:val="6DFFF5DC"/>
    <w:rsid w:val="6E46F12B"/>
    <w:rsid w:val="6E69A1D9"/>
    <w:rsid w:val="6E8A9C55"/>
    <w:rsid w:val="6EA8864E"/>
    <w:rsid w:val="6EE2A4E3"/>
    <w:rsid w:val="6F262871"/>
    <w:rsid w:val="6F6FB550"/>
    <w:rsid w:val="6F822412"/>
    <w:rsid w:val="6F84883F"/>
    <w:rsid w:val="6FA810AA"/>
    <w:rsid w:val="6FEAFE14"/>
    <w:rsid w:val="6FF00A35"/>
    <w:rsid w:val="6FF75114"/>
    <w:rsid w:val="700122EE"/>
    <w:rsid w:val="7030BCBF"/>
    <w:rsid w:val="7046E515"/>
    <w:rsid w:val="705AB086"/>
    <w:rsid w:val="70D2A104"/>
    <w:rsid w:val="70E01599"/>
    <w:rsid w:val="70F3257E"/>
    <w:rsid w:val="7198F02C"/>
    <w:rsid w:val="71B71F25"/>
    <w:rsid w:val="71C16739"/>
    <w:rsid w:val="71CD150B"/>
    <w:rsid w:val="71DEE89F"/>
    <w:rsid w:val="71E1DC77"/>
    <w:rsid w:val="71F523F0"/>
    <w:rsid w:val="71F9252D"/>
    <w:rsid w:val="726DC523"/>
    <w:rsid w:val="728E476F"/>
    <w:rsid w:val="72C32B85"/>
    <w:rsid w:val="730909E6"/>
    <w:rsid w:val="73219693"/>
    <w:rsid w:val="73282788"/>
    <w:rsid w:val="73464BD1"/>
    <w:rsid w:val="7372BCDD"/>
    <w:rsid w:val="73A7F1BF"/>
    <w:rsid w:val="73D915D3"/>
    <w:rsid w:val="73DC0E74"/>
    <w:rsid w:val="73DE6E33"/>
    <w:rsid w:val="73F31200"/>
    <w:rsid w:val="7405F78E"/>
    <w:rsid w:val="74603534"/>
    <w:rsid w:val="7478E406"/>
    <w:rsid w:val="7498CA9E"/>
    <w:rsid w:val="74E98470"/>
    <w:rsid w:val="74F7F8C1"/>
    <w:rsid w:val="751BEFA5"/>
    <w:rsid w:val="75246CDB"/>
    <w:rsid w:val="752FBEEA"/>
    <w:rsid w:val="753E5A20"/>
    <w:rsid w:val="755910A8"/>
    <w:rsid w:val="7597D15F"/>
    <w:rsid w:val="759E7DCB"/>
    <w:rsid w:val="76265A02"/>
    <w:rsid w:val="765DA345"/>
    <w:rsid w:val="76960F81"/>
    <w:rsid w:val="7699C109"/>
    <w:rsid w:val="77286F29"/>
    <w:rsid w:val="77461A69"/>
    <w:rsid w:val="7752647A"/>
    <w:rsid w:val="77867E6A"/>
    <w:rsid w:val="779F82B2"/>
    <w:rsid w:val="77EF26A2"/>
    <w:rsid w:val="782BE986"/>
    <w:rsid w:val="78554EFB"/>
    <w:rsid w:val="78587E66"/>
    <w:rsid w:val="7858DBD5"/>
    <w:rsid w:val="788ECBB3"/>
    <w:rsid w:val="78A62CB4"/>
    <w:rsid w:val="78DCD63C"/>
    <w:rsid w:val="78E6CA43"/>
    <w:rsid w:val="78F80A6D"/>
    <w:rsid w:val="78F97616"/>
    <w:rsid w:val="790498C9"/>
    <w:rsid w:val="791FF74D"/>
    <w:rsid w:val="794CF2FC"/>
    <w:rsid w:val="795D809D"/>
    <w:rsid w:val="7966F45C"/>
    <w:rsid w:val="79690E84"/>
    <w:rsid w:val="79F06C91"/>
    <w:rsid w:val="79F78D4C"/>
    <w:rsid w:val="7A2D370C"/>
    <w:rsid w:val="7A337029"/>
    <w:rsid w:val="7A49FC40"/>
    <w:rsid w:val="7A4E1EE2"/>
    <w:rsid w:val="7A79534E"/>
    <w:rsid w:val="7AA08564"/>
    <w:rsid w:val="7AC0F6A3"/>
    <w:rsid w:val="7AE1CA9D"/>
    <w:rsid w:val="7AE26827"/>
    <w:rsid w:val="7AF2034C"/>
    <w:rsid w:val="7AF8E87E"/>
    <w:rsid w:val="7B51CCF9"/>
    <w:rsid w:val="7BAFE3EA"/>
    <w:rsid w:val="7BB85849"/>
    <w:rsid w:val="7BCE8878"/>
    <w:rsid w:val="7BFF471B"/>
    <w:rsid w:val="7C071937"/>
    <w:rsid w:val="7C09D2D3"/>
    <w:rsid w:val="7C38524D"/>
    <w:rsid w:val="7C7017C0"/>
    <w:rsid w:val="7C77E74D"/>
    <w:rsid w:val="7C978852"/>
    <w:rsid w:val="7CDFEB97"/>
    <w:rsid w:val="7CEEDD02"/>
    <w:rsid w:val="7D0D787D"/>
    <w:rsid w:val="7D4BB46D"/>
    <w:rsid w:val="7D66665D"/>
    <w:rsid w:val="7D965A8F"/>
    <w:rsid w:val="7D9BDBF6"/>
    <w:rsid w:val="7DAF9941"/>
    <w:rsid w:val="7E1BF86A"/>
    <w:rsid w:val="7E7C62FF"/>
    <w:rsid w:val="7EA17DCF"/>
    <w:rsid w:val="7EA301C7"/>
    <w:rsid w:val="7EC99AB2"/>
    <w:rsid w:val="7F2D750B"/>
    <w:rsid w:val="7F3CD65A"/>
    <w:rsid w:val="7F8822EB"/>
    <w:rsid w:val="7F9D9789"/>
    <w:rsid w:val="7F9DAF4D"/>
    <w:rsid w:val="7FA38C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270F"/>
  <w15:chartTrackingRefBased/>
  <w15:docId w15:val="{DD4A8306-B2A8-4BFD-A0D9-7098E9509F9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Char"/>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Char Char1"/>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A12092"/>
    <w:rPr>
      <w:sz w:val="16"/>
      <w:szCs w:val="16"/>
    </w:rPr>
  </w:style>
  <w:style w:type="paragraph" w:styleId="CommentText">
    <w:name w:val="annotation text"/>
    <w:basedOn w:val="Normal"/>
    <w:link w:val="CommentTextChar"/>
    <w:uiPriority w:val="99"/>
    <w:unhideWhenUsed/>
    <w:rsid w:val="00A12092"/>
    <w:pPr>
      <w:spacing w:line="240" w:lineRule="auto"/>
    </w:pPr>
    <w:rPr>
      <w:sz w:val="20"/>
      <w:szCs w:val="20"/>
    </w:rPr>
  </w:style>
  <w:style w:type="character" w:customStyle="1" w:styleId="CommentTextChar">
    <w:name w:val="Comment Text Char"/>
    <w:basedOn w:val="DefaultParagraphFont"/>
    <w:link w:val="CommentText"/>
    <w:uiPriority w:val="99"/>
    <w:rsid w:val="00A1209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12092"/>
    <w:rPr>
      <w:b/>
      <w:bCs/>
    </w:rPr>
  </w:style>
  <w:style w:type="character" w:customStyle="1" w:styleId="CommentSubjectChar">
    <w:name w:val="Comment Subject Char"/>
    <w:basedOn w:val="CommentTextChar"/>
    <w:link w:val="CommentSubject"/>
    <w:uiPriority w:val="99"/>
    <w:semiHidden/>
    <w:rsid w:val="00A12092"/>
    <w:rPr>
      <w:rFonts w:ascii="Book Antiqua" w:hAnsi="Book Antiqua"/>
      <w:b/>
      <w:bCs/>
      <w:sz w:val="20"/>
      <w:szCs w:val="20"/>
    </w:rPr>
  </w:style>
  <w:style w:type="paragraph" w:styleId="ListParagraph">
    <w:name w:val="List Paragraph"/>
    <w:basedOn w:val="Normal"/>
    <w:uiPriority w:val="34"/>
    <w:qFormat/>
    <w:rsid w:val="001A6DF3"/>
    <w:pPr>
      <w:spacing w:after="120" w:line="240" w:lineRule="auto"/>
      <w:ind w:firstLine="0"/>
    </w:pPr>
  </w:style>
  <w:style w:type="character" w:styleId="Mention">
    <w:name w:val="Mention"/>
    <w:basedOn w:val="DefaultParagraphFont"/>
    <w:uiPriority w:val="99"/>
    <w:unhideWhenUsed/>
    <w:rsid w:val="00D24611"/>
    <w:rPr>
      <w:color w:val="2B579A"/>
      <w:shd w:val="clear" w:color="auto" w:fill="E1DFDD"/>
    </w:rPr>
  </w:style>
  <w:style w:type="paragraph" w:styleId="Revision">
    <w:name w:val="Revision"/>
    <w:hidden/>
    <w:uiPriority w:val="99"/>
    <w:semiHidden/>
    <w:rsid w:val="00E37767"/>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492D32"/>
    <w:rPr>
      <w:color w:val="605E5C"/>
      <w:shd w:val="clear" w:color="auto" w:fill="E1DFDD"/>
    </w:rPr>
  </w:style>
  <w:style w:type="table" w:customStyle="1" w:styleId="TableGrid1">
    <w:name w:val="Table Grid1"/>
    <w:basedOn w:val="TableNormal"/>
    <w:next w:val="TableGrid"/>
    <w:uiPriority w:val="59"/>
    <w:rsid w:val="006714AC"/>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3D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3DB8"/>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aragraph">
    <w:name w:val="paragraph"/>
    <w:basedOn w:val="Normal"/>
    <w:rsid w:val="00DC096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C0967"/>
  </w:style>
  <w:style w:type="character" w:customStyle="1" w:styleId="findhit">
    <w:name w:val="findhit"/>
    <w:basedOn w:val="DefaultParagraphFont"/>
    <w:rsid w:val="00DC0967"/>
  </w:style>
  <w:style w:type="character" w:customStyle="1" w:styleId="eop">
    <w:name w:val="eop"/>
    <w:basedOn w:val="DefaultParagraphFont"/>
    <w:rsid w:val="00DC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9/K895/609895776.pdf" TargetMode="External" Id="Ra49a39fe449941c4" /></Relationships>
</file>

<file path=word/_rels/footnotes.xml.rels><?xml version="1.0" encoding="UTF-8" standalone="yes"?>
<Relationships xmlns="http://schemas.openxmlformats.org/package/2006/relationships"><Relationship Id="rId1" Type="http://schemas.openxmlformats.org/officeDocument/2006/relationships/hyperlink" Target="https://www.socalgas.com/sites/default/files/2025-07/2025-CA-Gas-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65C58292-CFA8-4A19-8ADA-2A2DE5FD2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97</ap:Pages>
  <ap:Words>22332</ap:Words>
  <ap:Characters>127299</ap:Characters>
  <ap:Application>Microsoft Office Word</ap:Application>
  <ap:DocSecurity>0</ap:DocSecurity>
  <ap:Lines>1060</ap:Lines>
  <ap:Paragraphs>298</ap:Paragraphs>
  <ap:ScaleCrop>false</ap:ScaleCrop>
  <ap:Company/>
  <ap:LinksUpToDate>false</ap:LinksUpToDate>
  <ap:CharactersWithSpaces>149333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2019-07-04T07:18:00Z</cp:lastPrinted>
  <dcterms:created xsi:type="dcterms:W3CDTF">2026-06-29T15:43:02Z</dcterms:created>
  <dcterms:modified xsi:type="dcterms:W3CDTF">2026-06-29T15:43:02Z</dcterms:modified>
</cp:coreProperties>
</file>