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67AE" w:rsidRDefault="007728D4" w14:paraId="6B1A8DF1" w14:textId="77777777">
      <w:pPr>
        <w:pBdr>
          <w:bottom w:val="double" w:color="auto" w:sz="6" w:space="1"/>
        </w:pBdr>
        <w:tabs>
          <w:tab w:val="right" w:pos="9720"/>
        </w:tabs>
        <w:spacing w:line="240" w:lineRule="auto"/>
        <w:ind w:right="-306" w:firstLine="0"/>
        <w:rPr>
          <w:rFonts w:ascii="Arial" w:hAnsi="Arial" w:eastAsia="Times New Roman" w:cs="Times New Roman"/>
          <w:i/>
          <w:strike/>
          <w:color w:val="FF0000"/>
          <w:szCs w:val="20"/>
        </w:rPr>
      </w:pPr>
      <w:bookmarkStart w:name="_cp_change_1" w:id="0"/>
      <w:r>
        <w:rPr>
          <w:rFonts w:ascii="Arial" w:hAnsi="Arial" w:eastAsia="Times New Roman" w:cs="Times New Roman"/>
          <w:strike/>
          <w:color w:val="FF0000"/>
          <w:sz w:val="16"/>
          <w:szCs w:val="20"/>
          <w:u w:color="FF0000"/>
        </w:rPr>
        <w:t>STATE OF CALIFORNIA</w:t>
      </w:r>
      <w:r>
        <w:rPr>
          <w:rFonts w:ascii="Arial" w:hAnsi="Arial" w:eastAsia="Times New Roman" w:cs="Times New Roman"/>
          <w:szCs w:val="20"/>
        </w:rPr>
        <w:tab/>
      </w:r>
      <w:r>
        <w:rPr>
          <w:rFonts w:ascii="Arial" w:hAnsi="Arial" w:eastAsia="Times New Roman" w:cs="Times New Roman"/>
          <w:strike/>
          <w:color w:val="FF0000"/>
          <w:sz w:val="16"/>
          <w:szCs w:val="20"/>
          <w:u w:color="FF0000"/>
        </w:rPr>
        <w:t>GAVIN NEWSOM,</w:t>
      </w:r>
      <w:r>
        <w:rPr>
          <w:rFonts w:ascii="Arial" w:hAnsi="Arial" w:eastAsia="Times New Roman" w:cs="Times New Roman"/>
          <w:strike/>
          <w:color w:val="FF0000"/>
          <w:szCs w:val="20"/>
          <w:u w:color="FF0000"/>
        </w:rPr>
        <w:t xml:space="preserve"> </w:t>
      </w:r>
      <w:r>
        <w:rPr>
          <w:rFonts w:ascii="Arial" w:hAnsi="Arial" w:eastAsia="Times New Roman" w:cs="Times New Roman"/>
          <w:i/>
          <w:strike/>
          <w:color w:val="FF0000"/>
          <w:sz w:val="16"/>
          <w:szCs w:val="20"/>
          <w:u w:color="FF0000"/>
        </w:rPr>
        <w:t>Governor</w:t>
      </w:r>
      <w:bookmarkStart w:name="_cp_change_0" w:id="1"/>
      <w:bookmarkEnd w:id="0"/>
    </w:p>
    <w:p w:rsidR="002B67AE" w:rsidRDefault="007728D4" w14:paraId="74C45327" w14:textId="77777777">
      <w:pPr>
        <w:tabs>
          <w:tab w:val="right" w:pos="11070"/>
        </w:tabs>
        <w:spacing w:before="80" w:line="240" w:lineRule="auto"/>
        <w:ind w:right="-306" w:firstLine="0"/>
        <w:rPr>
          <w:rFonts w:ascii="Arial" w:hAnsi="Arial" w:eastAsia="Times New Roman" w:cs="Times New Roman"/>
          <w:strike/>
          <w:color w:val="FF0000"/>
          <w:szCs w:val="20"/>
        </w:rPr>
      </w:pPr>
      <w:bookmarkStart w:name="_cp_change_3" w:id="2"/>
      <w:bookmarkEnd w:id="1"/>
      <w:r>
        <w:rPr>
          <w:rFonts w:ascii="Arial" w:hAnsi="Arial" w:eastAsia="Times New Roman" w:cs="Times New Roman"/>
          <w:strike/>
          <w:color w:val="FF0000"/>
          <w:szCs w:val="20"/>
          <w:u w:color="FF0000"/>
        </w:rPr>
        <w:t>PUBLIC UTILITIES COMMISSION</w:t>
      </w:r>
      <w:bookmarkStart w:name="_cp_change_2" w:id="3"/>
      <w:bookmarkEnd w:id="2"/>
    </w:p>
    <w:p w:rsidR="002B67AE" w:rsidRDefault="007728D4" w14:paraId="2AB70212" w14:textId="77777777">
      <w:pPr>
        <w:tabs>
          <w:tab w:val="right" w:pos="11070"/>
        </w:tabs>
        <w:spacing w:before="80" w:line="240" w:lineRule="auto"/>
        <w:ind w:right="-306" w:firstLine="0"/>
        <w:rPr>
          <w:rFonts w:ascii="Arial" w:hAnsi="Arial" w:eastAsia="Times New Roman" w:cs="Times New Roman"/>
          <w:strike/>
          <w:color w:val="FF0000"/>
          <w:sz w:val="12"/>
          <w:szCs w:val="20"/>
        </w:rPr>
      </w:pPr>
      <w:bookmarkStart w:name="_cp_change_5" w:id="4"/>
      <w:bookmarkEnd w:id="3"/>
      <w:r>
        <w:rPr>
          <w:rFonts w:ascii="Arial" w:hAnsi="Arial" w:eastAsia="Times New Roman" w:cs="Times New Roman"/>
          <w:strike/>
          <w:color w:val="FF0000"/>
          <w:sz w:val="12"/>
          <w:szCs w:val="20"/>
          <w:u w:color="FF0000"/>
        </w:rPr>
        <w:t>505 VAN NESS AVENUE</w:t>
      </w:r>
      <w:bookmarkStart w:name="_cp_change_4" w:id="5"/>
      <w:bookmarkEnd w:id="4"/>
    </w:p>
    <w:p w:rsidR="002B67AE" w:rsidRDefault="007728D4" w14:paraId="49D72C9A" w14:textId="77777777">
      <w:pPr>
        <w:tabs>
          <w:tab w:val="right" w:pos="11070"/>
        </w:tabs>
        <w:spacing w:before="80" w:line="240" w:lineRule="auto"/>
        <w:ind w:right="-306" w:firstLine="0"/>
        <w:rPr>
          <w:rFonts w:ascii="Arial" w:hAnsi="Arial" w:eastAsia="Times New Roman" w:cs="Times New Roman"/>
          <w:strike/>
          <w:color w:val="FF0000"/>
          <w:sz w:val="12"/>
          <w:szCs w:val="20"/>
        </w:rPr>
      </w:pPr>
      <w:bookmarkStart w:name="_cp_change_7" w:id="6"/>
      <w:bookmarkEnd w:id="5"/>
      <w:r>
        <w:rPr>
          <w:rFonts w:ascii="Arial" w:hAnsi="Arial" w:eastAsia="Times New Roman" w:cs="Times New Roman"/>
          <w:strike/>
          <w:color w:val="FF0000"/>
          <w:sz w:val="12"/>
          <w:szCs w:val="20"/>
          <w:u w:color="FF0000"/>
        </w:rPr>
        <w:t>SAN FRANCISCO, CA 94102</w:t>
      </w:r>
      <w:r>
        <w:rPr>
          <w:rFonts w:ascii="Arial" w:hAnsi="Arial" w:eastAsia="Times New Roman" w:cs="Times New Roman"/>
          <w:strike/>
          <w:color w:val="FF0000"/>
          <w:sz w:val="12"/>
          <w:szCs w:val="20"/>
          <w:u w:color="FF0000"/>
        </w:rPr>
        <w:noBreakHyphen/>
        <w:t>3298</w:t>
      </w:r>
      <w:bookmarkStart w:name="_cp_change_6" w:id="7"/>
      <w:bookmarkEnd w:id="6"/>
    </w:p>
    <w:p w:rsidR="002B67AE" w:rsidRDefault="007728D4" w14:paraId="5ED6F566" w14:textId="77777777">
      <w:pPr>
        <w:tabs>
          <w:tab w:val="right" w:pos="9360"/>
        </w:tabs>
        <w:spacing w:line="240" w:lineRule="auto"/>
        <w:ind w:firstLine="0"/>
        <w:rPr>
          <w:rFonts w:eastAsia="Times New Roman" w:cs="Times New Roman"/>
          <w:b/>
          <w:strike/>
          <w:color w:val="FF0000"/>
          <w:szCs w:val="20"/>
        </w:rPr>
      </w:pPr>
      <w:bookmarkStart w:name="_cp_change_9" w:id="8"/>
      <w:bookmarkEnd w:id="7"/>
      <w:r>
        <w:rPr>
          <w:rFonts w:eastAsia="Times New Roman" w:cs="Times New Roman"/>
          <w:strike/>
          <w:color w:val="FF0000"/>
          <w:szCs w:val="20"/>
          <w:u w:color="FF0000"/>
        </w:rPr>
        <w:t>May 27, 2026</w:t>
      </w:r>
      <w:r>
        <w:rPr>
          <w:rFonts w:eastAsia="Times New Roman" w:cs="Times New Roman"/>
          <w:szCs w:val="20"/>
        </w:rPr>
        <w:tab/>
      </w:r>
      <w:r>
        <w:rPr>
          <w:rFonts w:eastAsia="Times New Roman" w:cs="Times New Roman"/>
          <w:b/>
          <w:strike/>
          <w:color w:val="FF0000"/>
          <w:szCs w:val="20"/>
          <w:u w:color="FF0000"/>
        </w:rPr>
        <w:t>Agenda ID #24249</w:t>
      </w:r>
      <w:bookmarkStart w:name="_cp_change_8" w:id="9"/>
      <w:bookmarkEnd w:id="8"/>
    </w:p>
    <w:p w:rsidR="002B67AE" w:rsidRDefault="007728D4" w14:paraId="779121A5" w14:textId="77777777">
      <w:pPr>
        <w:spacing w:line="240" w:lineRule="auto"/>
        <w:ind w:left="7171" w:firstLine="0"/>
        <w:rPr>
          <w:rFonts w:eastAsia="Times New Roman" w:cs="Times New Roman"/>
          <w:strike/>
          <w:color w:val="FF0000"/>
          <w:szCs w:val="20"/>
        </w:rPr>
      </w:pPr>
      <w:bookmarkStart w:name="_cp_change_11" w:id="10"/>
      <w:bookmarkEnd w:id="9"/>
      <w:r>
        <w:rPr>
          <w:b/>
          <w:strike/>
          <w:color w:val="FF0000"/>
          <w:u w:color="FF0000"/>
        </w:rPr>
        <w:t>Ratesetting</w:t>
      </w:r>
      <w:bookmarkStart w:name="_cp_change_10" w:id="11"/>
      <w:bookmarkEnd w:id="10"/>
    </w:p>
    <w:p w:rsidR="002B67AE" w:rsidRDefault="007728D4" w14:paraId="15C49DBF" w14:textId="77777777">
      <w:pPr>
        <w:spacing w:line="240" w:lineRule="auto"/>
        <w:ind w:firstLine="0"/>
        <w:rPr>
          <w:rFonts w:eastAsia="Times New Roman" w:cs="Times New Roman"/>
          <w:strike/>
          <w:color w:val="FF0000"/>
          <w:szCs w:val="20"/>
        </w:rPr>
      </w:pPr>
      <w:bookmarkStart w:name="_cp_change_13" w:id="12"/>
      <w:bookmarkEnd w:id="11"/>
      <w:r>
        <w:rPr>
          <w:rFonts w:eastAsia="Times New Roman" w:cs="Times New Roman"/>
          <w:strike/>
          <w:color w:val="FF0000"/>
          <w:szCs w:val="20"/>
          <w:u w:color="FF0000"/>
        </w:rPr>
        <w:t>TO PARTIES OF RECORD IN RULEMAKING 21</w:t>
      </w:r>
      <w:r>
        <w:rPr>
          <w:rFonts w:eastAsia="Times New Roman" w:cs="Times New Roman"/>
          <w:strike/>
          <w:color w:val="FF0000"/>
          <w:szCs w:val="20"/>
          <w:u w:color="FF0000"/>
        </w:rPr>
        <w:noBreakHyphen/>
        <w:t>03</w:t>
      </w:r>
      <w:r>
        <w:rPr>
          <w:rFonts w:eastAsia="Times New Roman" w:cs="Times New Roman"/>
          <w:strike/>
          <w:color w:val="FF0000"/>
          <w:szCs w:val="20"/>
          <w:u w:color="FF0000"/>
        </w:rPr>
        <w:noBreakHyphen/>
        <w:t>002:</w:t>
      </w:r>
      <w:bookmarkStart w:name="_cp_change_12" w:id="13"/>
      <w:bookmarkEnd w:id="12"/>
    </w:p>
    <w:p w:rsidR="002B67AE" w:rsidRDefault="007728D4" w14:paraId="32E463F5" w14:textId="77777777">
      <w:pPr>
        <w:tabs>
          <w:tab w:val="left" w:pos="2160"/>
          <w:tab w:val="left" w:pos="3600"/>
        </w:tabs>
        <w:spacing w:line="240" w:lineRule="auto"/>
        <w:ind w:firstLine="0"/>
        <w:rPr>
          <w:rFonts w:eastAsia="Times New Roman" w:cs="Times New Roman"/>
          <w:strike/>
          <w:color w:val="FF0000"/>
          <w:szCs w:val="20"/>
        </w:rPr>
      </w:pPr>
      <w:bookmarkStart w:name="_cp_change_15" w:id="14"/>
      <w:bookmarkEnd w:id="13"/>
      <w:r>
        <w:rPr>
          <w:rFonts w:eastAsia="Times New Roman" w:cs="Times New Roman"/>
          <w:strike/>
          <w:color w:val="FF0000"/>
          <w:szCs w:val="20"/>
          <w:u w:color="FF0000"/>
        </w:rPr>
        <w:t xml:space="preserve">This is the proposed decision of Administrative Law Judge </w:t>
      </w:r>
      <w:r>
        <w:rPr>
          <w:strike/>
          <w:color w:val="FF0000"/>
          <w:u w:color="FF0000"/>
        </w:rPr>
        <w:t>Hazlyn Fortune</w:t>
      </w:r>
      <w:r>
        <w:rPr>
          <w:rFonts w:eastAsia="Times New Roman" w:cs="Times New Roman"/>
          <w:strike/>
          <w:color w:val="FF0000"/>
          <w:szCs w:val="20"/>
          <w:u w:color="FF0000"/>
        </w:rPr>
        <w:t>.  Until and unless the Commission hears the item and votes to approve it, the proposed decision has no legal effect.  This item may be heard, at the earliest, at the Commission’s July 2, 2026 Business Meeting.  To confirm when the item will be heard, please see the Business Meeting agenda, which is posted on the Commission’s website 10 days before each Business Meeting.</w:t>
      </w:r>
      <w:bookmarkStart w:name="_cp_change_14" w:id="15"/>
      <w:bookmarkEnd w:id="14"/>
    </w:p>
    <w:p w:rsidR="002B67AE" w:rsidRDefault="007728D4" w14:paraId="7EDB70FC" w14:textId="77777777">
      <w:pPr>
        <w:tabs>
          <w:tab w:val="left" w:pos="2160"/>
          <w:tab w:val="left" w:pos="3600"/>
        </w:tabs>
        <w:spacing w:line="240" w:lineRule="auto"/>
        <w:ind w:firstLine="0"/>
        <w:rPr>
          <w:rFonts w:eastAsia="Times New Roman" w:cs="Times New Roman"/>
          <w:strike/>
          <w:color w:val="FF0000"/>
          <w:szCs w:val="20"/>
        </w:rPr>
      </w:pPr>
      <w:bookmarkStart w:name="_cp_change_17" w:id="16"/>
      <w:bookmarkEnd w:id="15"/>
      <w:r>
        <w:rPr>
          <w:rFonts w:eastAsia="Times New Roman" w:cs="Times New Roman"/>
          <w:strike/>
          <w:color w:val="FF0000"/>
          <w:szCs w:val="20"/>
          <w:u w:color="FF0000"/>
        </w:rPr>
        <w:t>Parties to the proceeding may file comments on the proposed decision as provided in Rule 14.3 of the Commission’s Rules of Practice and Procedure (Rules).</w:t>
      </w:r>
      <w:bookmarkStart w:name="_cp_change_16" w:id="17"/>
      <w:bookmarkEnd w:id="16"/>
    </w:p>
    <w:p w:rsidR="002B67AE" w:rsidRDefault="007728D4" w14:paraId="438A8296" w14:textId="77777777">
      <w:pPr>
        <w:tabs>
          <w:tab w:val="left" w:pos="2160"/>
          <w:tab w:val="left" w:pos="3600"/>
        </w:tabs>
        <w:spacing w:line="240" w:lineRule="auto"/>
        <w:ind w:firstLine="0"/>
        <w:rPr>
          <w:rFonts w:eastAsia="Times New Roman" w:cs="Times New Roman"/>
          <w:strike/>
          <w:color w:val="FF0000"/>
          <w:szCs w:val="20"/>
        </w:rPr>
      </w:pPr>
      <w:bookmarkStart w:name="_cp_change_19" w:id="18"/>
      <w:bookmarkEnd w:id="17"/>
      <w:r>
        <w:rPr>
          <w:rFonts w:eastAsia="Times New Roman" w:cs="Times New Roman"/>
          <w:strike/>
          <w:color w:val="FF0000"/>
          <w:szCs w:val="20"/>
          <w:u w:color="FF0000"/>
        </w:rPr>
        <w:t xml:space="preserve">The Commission may hold a Ratesetting Deliberative Meeting to consider this item in closed session in advance of the Business Meeting at which the item will be heard.  In such event, notice of the Ratesetting Deliberative Meeting will appear in the Daily Calendar, which is posted on the Commission’s website.  If a Ratesetting Deliberative Meeting is scheduled, </w:t>
      </w:r>
      <w:r>
        <w:rPr>
          <w:rFonts w:eastAsia="Times New Roman" w:cs="Times New Roman"/>
          <w:i/>
          <w:iCs/>
          <w:strike/>
          <w:color w:val="FF0000"/>
          <w:szCs w:val="20"/>
          <w:u w:color="FF0000"/>
        </w:rPr>
        <w:t>ex parte</w:t>
      </w:r>
      <w:r>
        <w:rPr>
          <w:rFonts w:eastAsia="Times New Roman" w:cs="Times New Roman"/>
          <w:strike/>
          <w:color w:val="FF0000"/>
          <w:szCs w:val="20"/>
          <w:u w:color="FF0000"/>
        </w:rPr>
        <w:t xml:space="preserve"> communications are prohibited pursuant to Rule 8.2(c)(4).</w:t>
      </w:r>
      <w:bookmarkStart w:name="_cp_change_18" w:id="19"/>
      <w:bookmarkEnd w:id="18"/>
    </w:p>
    <w:p w:rsidR="002B67AE" w:rsidRDefault="007728D4" w14:paraId="33C084E4" w14:textId="77777777">
      <w:pPr>
        <w:tabs>
          <w:tab w:val="left" w:pos="4320"/>
        </w:tabs>
        <w:spacing w:line="240" w:lineRule="auto"/>
        <w:ind w:right="-126" w:firstLine="0"/>
        <w:rPr>
          <w:rFonts w:eastAsia="Times New Roman" w:cs="Times New Roman"/>
          <w:strike/>
          <w:color w:val="FF0000"/>
          <w:szCs w:val="20"/>
          <w:u w:val="single"/>
        </w:rPr>
      </w:pPr>
      <w:bookmarkStart w:name="_cp_change_21" w:id="20"/>
      <w:bookmarkEnd w:id="19"/>
      <w:r>
        <w:rPr>
          <w:rFonts w:eastAsia="Times New Roman" w:cs="Times New Roman"/>
          <w:strike/>
          <w:color w:val="FF0000"/>
          <w:szCs w:val="20"/>
          <w:u w:val="single" w:color="FF0000"/>
        </w:rPr>
        <w:t>/s/  MICHELLE COOKE</w:t>
      </w:r>
      <w:r>
        <w:rPr>
          <w:rFonts w:eastAsia="Times New Roman" w:cs="Times New Roman"/>
          <w:szCs w:val="20"/>
          <w:u w:val="single"/>
        </w:rPr>
        <w:tab/>
      </w:r>
      <w:bookmarkStart w:name="_cp_change_20" w:id="21"/>
      <w:bookmarkEnd w:id="20"/>
    </w:p>
    <w:p w:rsidR="002B67AE" w:rsidRDefault="007728D4" w14:paraId="7BB6F4D8" w14:textId="77777777">
      <w:pPr>
        <w:spacing w:line="240" w:lineRule="auto"/>
        <w:ind w:right="-126" w:firstLine="0"/>
        <w:rPr>
          <w:rFonts w:eastAsia="Times New Roman" w:cs="Times New Roman"/>
          <w:strike/>
          <w:color w:val="FF0000"/>
          <w:szCs w:val="20"/>
        </w:rPr>
      </w:pPr>
      <w:bookmarkStart w:name="_cp_change_23" w:id="22"/>
      <w:bookmarkEnd w:id="21"/>
      <w:r>
        <w:rPr>
          <w:rFonts w:eastAsia="Times New Roman" w:cs="Times New Roman"/>
          <w:strike/>
          <w:color w:val="FF0000"/>
          <w:szCs w:val="20"/>
          <w:u w:color="FF0000"/>
        </w:rPr>
        <w:t>Michelle Cooke</w:t>
      </w:r>
      <w:bookmarkStart w:name="_cp_change_22" w:id="23"/>
      <w:bookmarkEnd w:id="22"/>
    </w:p>
    <w:p w:rsidR="002B67AE" w:rsidRDefault="007728D4" w14:paraId="34DBF064" w14:textId="77777777">
      <w:pPr>
        <w:tabs>
          <w:tab w:val="left" w:pos="2160"/>
          <w:tab w:val="left" w:pos="3600"/>
        </w:tabs>
        <w:spacing w:line="240" w:lineRule="auto"/>
        <w:ind w:firstLine="0"/>
        <w:rPr>
          <w:rFonts w:eastAsia="Times New Roman" w:cs="Times New Roman"/>
          <w:strike/>
          <w:color w:val="FF0000"/>
          <w:szCs w:val="20"/>
        </w:rPr>
      </w:pPr>
      <w:bookmarkStart w:name="_cp_change_25" w:id="24"/>
      <w:bookmarkEnd w:id="23"/>
      <w:r>
        <w:rPr>
          <w:rFonts w:eastAsia="Times New Roman" w:cs="Times New Roman"/>
          <w:strike/>
          <w:color w:val="FF0000"/>
          <w:szCs w:val="20"/>
          <w:u w:color="FF0000"/>
        </w:rPr>
        <w:t>Chief Administrative Law Judge</w:t>
      </w:r>
      <w:bookmarkStart w:name="_cp_change_24" w:id="25"/>
      <w:bookmarkEnd w:id="24"/>
    </w:p>
    <w:p w:rsidR="002B67AE" w:rsidRDefault="007728D4" w14:paraId="74A1F1C9" w14:textId="77777777">
      <w:pPr>
        <w:spacing w:line="240" w:lineRule="auto"/>
        <w:ind w:right="-126" w:firstLine="0"/>
        <w:rPr>
          <w:rFonts w:eastAsia="Times New Roman" w:cs="Times New Roman"/>
          <w:strike/>
          <w:color w:val="FF0000"/>
          <w:szCs w:val="20"/>
        </w:rPr>
      </w:pPr>
      <w:bookmarkStart w:name="_cp_change_27" w:id="26"/>
      <w:bookmarkEnd w:id="25"/>
      <w:r>
        <w:rPr>
          <w:rFonts w:eastAsia="Times New Roman" w:cs="Times New Roman"/>
          <w:strike/>
          <w:color w:val="FF0000"/>
          <w:szCs w:val="20"/>
          <w:u w:color="FF0000"/>
        </w:rPr>
        <w:t>MLC:nd3</w:t>
      </w:r>
      <w:bookmarkStart w:name="_cp_change_26" w:id="27"/>
      <w:bookmarkEnd w:id="26"/>
    </w:p>
    <w:p w:rsidR="002B67AE" w:rsidRDefault="007728D4" w14:paraId="03C59479" w14:textId="77777777">
      <w:pPr>
        <w:spacing w:line="240" w:lineRule="auto"/>
        <w:ind w:firstLine="0"/>
        <w:rPr>
          <w:rFonts w:eastAsia="Times New Roman" w:cs="Times New Roman"/>
          <w:strike/>
          <w:color w:val="FF0000"/>
          <w:szCs w:val="20"/>
        </w:rPr>
      </w:pPr>
      <w:bookmarkStart w:name="_cp_change_29" w:id="28"/>
      <w:bookmarkEnd w:id="27"/>
      <w:r>
        <w:rPr>
          <w:rFonts w:eastAsia="Times New Roman" w:cs="Times New Roman"/>
          <w:strike/>
          <w:color w:val="FF0000"/>
          <w:szCs w:val="20"/>
          <w:u w:color="FF0000"/>
        </w:rPr>
        <w:t>Attachment</w:t>
      </w:r>
      <w:bookmarkStart w:name="_cp_change_28" w:id="29"/>
      <w:bookmarkEnd w:id="28"/>
    </w:p>
    <w:p w:rsidR="002B67AE" w:rsidRDefault="002B67AE" w14:paraId="4DDDA186" w14:textId="77777777">
      <w:pPr>
        <w:tabs>
          <w:tab w:val="center" w:pos="4320"/>
          <w:tab w:val="right" w:pos="8640"/>
        </w:tabs>
        <w:suppressAutoHyphens/>
        <w:spacing w:line="240" w:lineRule="auto"/>
        <w:ind w:firstLine="0"/>
        <w:rPr>
          <w:rFonts w:ascii="Times New Roman" w:hAnsi="Times New Roman" w:eastAsia="Times New Roman" w:cs="Times New Roman"/>
          <w:strike/>
          <w:color w:val="FF0000"/>
          <w:szCs w:val="24"/>
        </w:rPr>
        <w:sectPr w:rsidR="002B67AE" w:rsidSect="00E93C10">
          <w:headerReference w:type="even" r:id="rId11"/>
          <w:headerReference w:type="default" r:id="rId12"/>
          <w:footerReference w:type="even" r:id="rId13"/>
          <w:footerReference w:type="default" r:id="rId14"/>
          <w:headerReference w:type="first" r:id="rId15"/>
          <w:footerReference w:type="first" r:id="rId16"/>
          <w:pgSz w:w="12240" w:h="15840"/>
          <w:pgMar w:top="1728" w:right="1440" w:bottom="1440" w:left="1440" w:header="720" w:footer="720" w:gutter="0"/>
          <w:pgNumType w:fmt="numberInDash"/>
          <w:cols w:space="720"/>
          <w:titlePg/>
          <w:docGrid w:linePitch="360"/>
        </w:sectPr>
      </w:pPr>
      <w:bookmarkStart w:name="_cp_change_30" w:id="31"/>
      <w:bookmarkEnd w:id="29"/>
    </w:p>
    <w:bookmarkEnd w:id="31"/>
    <w:p w:rsidR="005F1969" w:rsidP="007E0FEE" w:rsidRDefault="00731EC4" w14:paraId="4A8A7B07" w14:textId="77777777">
      <w:pPr>
        <w:tabs>
          <w:tab w:val="center" w:pos="4680"/>
          <w:tab w:val="right" w:pos="9360"/>
        </w:tabs>
        <w:spacing w:line="240" w:lineRule="auto"/>
        <w:ind w:firstLine="0"/>
      </w:pPr>
      <w:r>
        <w:lastRenderedPageBreak/>
        <w:t>ALJ/HCF/nd3</w:t>
      </w:r>
      <w:bookmarkStart w:name="_cp_change_31" w:id="32"/>
      <w:r>
        <w:rPr>
          <w:color w:val="0000FF"/>
          <w:u w:val="double" w:color="0000FF"/>
        </w:rPr>
        <w:t>/smt</w:t>
      </w:r>
      <w:bookmarkEnd w:id="32"/>
      <w:r>
        <w:tab/>
      </w:r>
      <w:r>
        <w:rPr>
          <w:rFonts w:cs="Arial"/>
          <w:b/>
          <w:szCs w:val="32"/>
        </w:rPr>
        <w:t>PROPOSED DECISION</w:t>
      </w:r>
      <w:r>
        <w:tab/>
      </w:r>
      <w:r>
        <w:rPr>
          <w:b/>
        </w:rPr>
        <w:t>Agenda ID #24249</w:t>
      </w:r>
      <w:bookmarkStart w:name="_cp_change_32" w:id="33"/>
      <w:r>
        <w:rPr>
          <w:b/>
          <w:color w:val="0000FF"/>
          <w:u w:val="double" w:color="0000FF"/>
        </w:rPr>
        <w:t xml:space="preserve"> (Rev.1)</w:t>
      </w:r>
      <w:bookmarkEnd w:id="33"/>
    </w:p>
    <w:p w:rsidR="00DA7B5D" w:rsidP="00632207" w:rsidRDefault="00731EC4" w14:paraId="3D9EA438" w14:textId="77777777">
      <w:pPr>
        <w:spacing w:line="240" w:lineRule="auto"/>
        <w:jc w:val="right"/>
        <w:rPr>
          <w:b/>
        </w:rPr>
      </w:pPr>
      <w:r>
        <w:rPr>
          <w:b/>
        </w:rPr>
        <w:t>Ratesetting</w:t>
      </w:r>
    </w:p>
    <w:p w:rsidRPr="00EE4315" w:rsidR="00CE6E47" w:rsidP="00632207" w:rsidRDefault="00CE6E47" w14:paraId="0A0EC8AC" w14:textId="77777777">
      <w:pPr>
        <w:spacing w:line="240" w:lineRule="auto"/>
        <w:jc w:val="right"/>
        <w:rPr>
          <w:b/>
          <w:color w:val="0000FF"/>
          <w:u w:val="double"/>
        </w:rPr>
      </w:pPr>
      <w:bookmarkStart w:name="_cp_change_34" w:id="34"/>
      <w:r>
        <w:rPr>
          <w:b/>
          <w:color w:val="0000FF"/>
          <w:u w:val="double" w:color="0000FF"/>
        </w:rPr>
        <w:t>7/2/2026  Item #11</w:t>
      </w:r>
      <w:bookmarkStart w:name="_cp_change_33" w:id="35"/>
      <w:bookmarkEnd w:id="34"/>
    </w:p>
    <w:bookmarkEnd w:id="35"/>
    <w:p w:rsidR="00DA7B5D" w:rsidP="006D32EB" w:rsidRDefault="00DA7B5D" w14:paraId="7435172B" w14:textId="77777777">
      <w:pPr>
        <w:spacing w:line="240" w:lineRule="auto"/>
        <w:ind w:firstLine="0"/>
      </w:pPr>
    </w:p>
    <w:p w:rsidR="006D32EB" w:rsidP="006D32EB" w:rsidRDefault="006D32EB" w14:paraId="33C6BEAA" w14:textId="77777777">
      <w:pPr>
        <w:spacing w:line="240" w:lineRule="auto"/>
        <w:ind w:firstLine="0"/>
      </w:pPr>
    </w:p>
    <w:p w:rsidRPr="00EE3060" w:rsidR="00DA7B5D" w:rsidP="006D32EB" w:rsidRDefault="00DA7B5D" w14:paraId="6A8D44EA" w14:textId="77777777">
      <w:pPr>
        <w:spacing w:line="240" w:lineRule="auto"/>
        <w:ind w:firstLine="0"/>
      </w:pPr>
      <w:r>
        <w:t xml:space="preserve">Decision </w:t>
      </w:r>
      <w:r>
        <w:rPr>
          <w:b/>
          <w:bCs/>
          <w:u w:val="single"/>
        </w:rPr>
        <w:t>PROPOSED DECISION OF ALJ FORTUNE</w:t>
      </w:r>
      <w:r>
        <w:rPr>
          <w:b/>
          <w:bCs/>
        </w:rPr>
        <w:t xml:space="preserve"> (Mailed 5/27/2026)</w:t>
      </w:r>
    </w:p>
    <w:p w:rsidR="00DA7B5D" w:rsidP="006D32EB" w:rsidRDefault="00DA7B5D" w14:paraId="4899B7F3" w14:textId="77777777">
      <w:pPr>
        <w:spacing w:line="240" w:lineRule="auto"/>
        <w:ind w:firstLine="0"/>
        <w:rPr>
          <w:u w:val="single"/>
        </w:rPr>
      </w:pPr>
    </w:p>
    <w:p w:rsidR="006D32EB" w:rsidP="006D32EB" w:rsidRDefault="006D32EB" w14:paraId="4C32B12E" w14:textId="77777777">
      <w:pPr>
        <w:spacing w:line="240" w:lineRule="auto"/>
        <w:ind w:firstLine="0"/>
        <w:rPr>
          <w:u w:val="single"/>
        </w:rPr>
      </w:pPr>
    </w:p>
    <w:p w:rsidR="00DA7B5D" w:rsidP="00BB0243" w:rsidRDefault="00DA7B5D" w14:paraId="4FC40BA0" w14:textId="77777777">
      <w:pPr>
        <w:spacing w:line="240" w:lineRule="auto"/>
        <w:ind w:firstLine="0"/>
        <w:jc w:val="center"/>
        <w:rPr>
          <w:rFonts w:ascii="Arial" w:hAnsi="Arial" w:cs="Arial"/>
          <w:sz w:val="24"/>
          <w:szCs w:val="24"/>
        </w:rPr>
      </w:pPr>
      <w:r>
        <w:rPr>
          <w:rFonts w:ascii="Arial" w:hAnsi="Arial" w:cs="Arial"/>
          <w:b/>
          <w:sz w:val="24"/>
          <w:szCs w:val="24"/>
        </w:rPr>
        <w:t>BEFORE THE PUBLIC UTILITIES COMMISSION OF THE STATE OF CALIFORNIA</w:t>
      </w:r>
    </w:p>
    <w:p w:rsidR="00DA7B5D" w:rsidP="008F0116" w:rsidRDefault="00DA7B5D" w14:paraId="2EFED1C4"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1D9280F3" w14:textId="77777777">
        <w:trPr>
          <w:jc w:val="center"/>
        </w:trPr>
        <w:tc>
          <w:tcPr>
            <w:tcW w:w="5040" w:type="dxa"/>
            <w:tcBorders>
              <w:top w:val="nil"/>
              <w:left w:val="nil"/>
              <w:bottom w:val="single" w:color="auto" w:sz="4" w:space="0"/>
              <w:right w:val="single" w:color="auto" w:sz="4" w:space="0"/>
            </w:tcBorders>
          </w:tcPr>
          <w:p w:rsidR="00EE1723" w:rsidP="00C10B5F" w:rsidRDefault="00EE1723" w14:paraId="00C2217A" w14:textId="77777777">
            <w:pPr>
              <w:spacing w:line="240" w:lineRule="auto"/>
              <w:ind w:firstLine="0"/>
              <w:rPr>
                <w:rFonts w:cs="Arial"/>
                <w:szCs w:val="26"/>
              </w:rPr>
            </w:pPr>
            <w:r>
              <w:rPr>
                <w:rFonts w:cs="Arial"/>
                <w:szCs w:val="26"/>
              </w:rPr>
              <w:t>Order Instituting Rulemaking to Update Surcharge Mechanisms to Ensure Equity and Transparency of Fees, Taxes and Surcharges Assessed on Customers of Telecommunications Services in California.</w:t>
            </w:r>
          </w:p>
          <w:p w:rsidRPr="00DA7B5D" w:rsidR="00DA7B5D" w:rsidP="00C10B5F" w:rsidRDefault="00DA7B5D" w14:paraId="328AED8F" w14:textId="77777777">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1C3DE0" w:rsidP="00EE1723" w:rsidRDefault="001C3DE0" w14:paraId="16C84F2F" w14:textId="77777777">
            <w:pPr>
              <w:spacing w:line="240" w:lineRule="auto"/>
              <w:ind w:firstLine="0"/>
              <w:jc w:val="center"/>
              <w:rPr>
                <w:rFonts w:cs="Arial"/>
                <w:szCs w:val="26"/>
              </w:rPr>
            </w:pPr>
            <w:r>
              <w:rPr>
                <w:rFonts w:cs="Arial"/>
                <w:szCs w:val="26"/>
              </w:rPr>
              <w:t>Rulemaking 21</w:t>
            </w:r>
            <w:r>
              <w:rPr>
                <w:rFonts w:cs="Arial"/>
                <w:szCs w:val="26"/>
              </w:rPr>
              <w:noBreakHyphen/>
              <w:t>03</w:t>
            </w:r>
            <w:r>
              <w:rPr>
                <w:rFonts w:cs="Arial"/>
                <w:szCs w:val="26"/>
              </w:rPr>
              <w:noBreakHyphen/>
              <w:t>002</w:t>
            </w:r>
          </w:p>
        </w:tc>
      </w:tr>
    </w:tbl>
    <w:p w:rsidR="00DA7B5D" w:rsidP="008F0116" w:rsidRDefault="00DA7B5D" w14:paraId="1869B552" w14:textId="77777777">
      <w:pPr>
        <w:spacing w:line="240" w:lineRule="auto"/>
        <w:ind w:firstLine="0"/>
        <w:rPr>
          <w:rFonts w:ascii="Arial" w:hAnsi="Arial" w:cs="Arial"/>
          <w:sz w:val="24"/>
          <w:szCs w:val="24"/>
        </w:rPr>
      </w:pPr>
    </w:p>
    <w:p w:rsidR="00DA7B5D" w:rsidP="008F0116" w:rsidRDefault="00DA7B5D" w14:paraId="2A5DCE1D" w14:textId="77777777">
      <w:pPr>
        <w:spacing w:line="240" w:lineRule="auto"/>
        <w:ind w:firstLine="0"/>
        <w:rPr>
          <w:rFonts w:ascii="Arial" w:hAnsi="Arial" w:cs="Arial"/>
          <w:sz w:val="24"/>
          <w:szCs w:val="24"/>
        </w:rPr>
      </w:pPr>
    </w:p>
    <w:p w:rsidRPr="00A64A22" w:rsidR="0098655A" w:rsidP="00A64A22" w:rsidRDefault="001C3DE0" w14:paraId="6BB8FD05" w14:textId="77777777">
      <w:pPr>
        <w:pStyle w:val="Main"/>
      </w:pPr>
      <w:r>
        <w:t>dECISION CLOSING RULEMAKING 21</w:t>
      </w:r>
      <w:r>
        <w:noBreakHyphen/>
        <w:t>03</w:t>
      </w:r>
      <w:r>
        <w:noBreakHyphen/>
        <w:t>002</w:t>
      </w:r>
    </w:p>
    <w:p w:rsidRPr="000F12C1" w:rsidR="000F12C1" w:rsidP="000F12C1" w:rsidRDefault="000F12C1" w14:paraId="32CFA024" w14:textId="77777777">
      <w:pPr>
        <w:pStyle w:val="Main"/>
      </w:pPr>
    </w:p>
    <w:p w:rsidRPr="000F12C1" w:rsidR="005A148C" w:rsidP="000F12C1" w:rsidRDefault="005A148C" w14:paraId="623F55ED" w14:textId="77777777">
      <w:pPr>
        <w:pStyle w:val="Dummy"/>
      </w:pPr>
      <w:bookmarkStart w:name="_Toc8123714" w:id="36"/>
      <w:bookmarkStart w:name="_Toc133843842" w:id="37"/>
      <w:r>
        <w:t>Summary</w:t>
      </w:r>
      <w:bookmarkEnd w:id="36"/>
      <w:bookmarkEnd w:id="37"/>
    </w:p>
    <w:p w:rsidR="00987D91" w:rsidP="000F12C1" w:rsidRDefault="00987D91" w14:paraId="32D03E90" w14:textId="77777777">
      <w:pPr>
        <w:pStyle w:val="Standard"/>
      </w:pPr>
      <w:r>
        <w:t>This decision closes Rulemaking 21</w:t>
      </w:r>
      <w:r>
        <w:noBreakHyphen/>
        <w:t>03</w:t>
      </w:r>
      <w:r>
        <w:noBreakHyphen/>
        <w:t>002. The California Public Utilities Commission (Commission) initiated this Order Instituting Rulemaking (OIR) to address the need for a sustainable and cost</w:t>
      </w:r>
      <w:r>
        <w:noBreakHyphen/>
        <w:t>effective method to fund California’s six Universal Service Public Purpose Programs (PPPs). The funding levels for some programs were dramatically low and threatened their viability. In addition, the Rulemaking sought to review the reasonableness of charges and miscellaneous fees appearing on customer bills for telecommunication services.</w:t>
      </w:r>
    </w:p>
    <w:p w:rsidR="00073FB1" w:rsidP="006E6574" w:rsidRDefault="00987D91" w14:paraId="79FCEF81" w14:textId="77777777">
      <w:pPr>
        <w:pStyle w:val="Standard"/>
      </w:pPr>
      <w:r>
        <w:t>The OIR was to do the following:</w:t>
      </w:r>
    </w:p>
    <w:p w:rsidR="00126769" w:rsidP="006832A3" w:rsidRDefault="00C44DD6" w14:paraId="777D15DB" w14:textId="77777777">
      <w:pPr>
        <w:pStyle w:val="BlockQuoteH033"/>
        <w:numPr>
          <w:ilvl w:val="0"/>
          <w:numId w:val="31"/>
        </w:numPr>
        <w:ind w:left="1195" w:hanging="475"/>
      </w:pPr>
      <w:r>
        <w:t>Phase 1 — Consider reforming the surcharge mechanism for the state PPPs and user fee from the existing revenue</w:t>
      </w:r>
      <w:r>
        <w:noBreakHyphen/>
        <w:t>based approach to a per access</w:t>
      </w:r>
      <w:r>
        <w:noBreakHyphen/>
        <w:t>line flat</w:t>
      </w:r>
      <w:r>
        <w:noBreakHyphen/>
        <w:t>rate end</w:t>
      </w:r>
      <w:r>
        <w:noBreakHyphen/>
        <w:t>user mechanism; and</w:t>
      </w:r>
    </w:p>
    <w:p w:rsidR="00126769" w:rsidP="006832A3" w:rsidRDefault="00C44DD6" w14:paraId="14BC6547" w14:textId="77777777">
      <w:pPr>
        <w:pStyle w:val="BlockQuoteH033"/>
        <w:numPr>
          <w:ilvl w:val="0"/>
          <w:numId w:val="31"/>
        </w:numPr>
        <w:ind w:left="1195" w:hanging="475"/>
      </w:pPr>
      <w:r>
        <w:lastRenderedPageBreak/>
        <w:t>Phase 2 — Review the reasonableness of the PPP surcharges and user fees that telecommunications service providers impose on end users, as well as additional taxes, fees and surcharges assessed by federal, state, and local governments.</w:t>
      </w:r>
    </w:p>
    <w:p w:rsidR="005F1969" w:rsidP="006642C7" w:rsidRDefault="00B81AF6" w14:paraId="1A860BDE" w14:textId="77777777">
      <w:pPr>
        <w:pStyle w:val="Standard"/>
      </w:pPr>
      <w:r>
        <w:t>Decision 22</w:t>
      </w:r>
      <w:r>
        <w:noBreakHyphen/>
        <w:t>10</w:t>
      </w:r>
      <w:r>
        <w:noBreakHyphen/>
        <w:t>021 addressed Phase 1 and introduced a new surcharge mechanism for telephone corporations based on access lines and other updates. This decision addressed the urgent and critical issues that prompted the OIR, including updating the surcharge mechanism.</w:t>
      </w:r>
    </w:p>
    <w:p w:rsidR="00987D91" w:rsidP="006E6574" w:rsidRDefault="007959DC" w14:paraId="23820A88" w14:textId="77777777">
      <w:pPr>
        <w:pStyle w:val="Standard"/>
      </w:pPr>
      <w:r>
        <w:t>At this time, we are closing the Rulemaking. We are aware that many Phase 2 issues remain unexamined and unaddressed. The Commission may open a successor proceeding to further explore Phase 2 issues.</w:t>
      </w:r>
    </w:p>
    <w:p w:rsidR="007959DC" w:rsidP="006E6574" w:rsidRDefault="007959DC" w14:paraId="4EDAD6CD" w14:textId="77777777">
      <w:pPr>
        <w:pStyle w:val="Standard"/>
      </w:pPr>
      <w:r>
        <w:t>This proceeding is closed.</w:t>
      </w:r>
    </w:p>
    <w:p w:rsidRPr="00121089" w:rsidR="005A148C" w:rsidP="000F12C1" w:rsidRDefault="002C7FE9" w14:paraId="3C6F56AE" w14:textId="77777777">
      <w:pPr>
        <w:pStyle w:val="Heading1"/>
      </w:pPr>
      <w:bookmarkStart w:name="_Toc8123715" w:id="38"/>
      <w:bookmarkStart w:name="_Toc133843843" w:id="39"/>
      <w:r>
        <w:t>Background</w:t>
      </w:r>
      <w:bookmarkEnd w:id="38"/>
      <w:bookmarkEnd w:id="39"/>
    </w:p>
    <w:p w:rsidR="007E20E9" w:rsidP="006E6574" w:rsidRDefault="00155746" w14:paraId="165D33BF" w14:textId="77777777">
      <w:pPr>
        <w:pStyle w:val="Standard"/>
      </w:pPr>
      <w:r>
        <w:t>The California Public Utilities Commission (Commission) issued Decision (D.) 22</w:t>
      </w:r>
      <w:r>
        <w:noBreakHyphen/>
        <w:t>10</w:t>
      </w:r>
      <w:r>
        <w:noBreakHyphen/>
        <w:t>021, which adopted a new surcharge mechanism to fund California’s Universal Service Public Purpose Programs (PPPs) based on the number of active access lines, as defined, that telephone corporations operate in California. In addition to adopting a definition for “access line” the decision provided guidance on how carriers should implement the new flat rate PPP surcharge. The flat rate surcharge consisted of all six individual PPP surcharges into a single consolidated line item. The Commission exempted two types of customers from paying surcharges: LifeLine customers and incarcerated persons. The decision left the mechanism for collecting and reporting the user fee unchanged and open for consideration in a subsequent Phase 2.</w:t>
      </w:r>
    </w:p>
    <w:p w:rsidR="005A148C" w:rsidP="000F12C1" w:rsidRDefault="005939A5" w14:paraId="1096D465" w14:textId="77777777">
      <w:pPr>
        <w:pStyle w:val="Heading1"/>
      </w:pPr>
      <w:bookmarkStart w:name="_Toc8123719" w:id="40"/>
      <w:bookmarkStart w:name="_Toc133843848" w:id="41"/>
      <w:r>
        <w:t xml:space="preserve">Issues Before the </w:t>
      </w:r>
      <w:bookmarkEnd w:id="40"/>
      <w:r>
        <w:t>Commission</w:t>
      </w:r>
      <w:bookmarkEnd w:id="41"/>
    </w:p>
    <w:p w:rsidR="005939A5" w:rsidP="00A44E8D" w:rsidRDefault="00E15B98" w14:paraId="055EEE67" w14:textId="77777777">
      <w:pPr>
        <w:pStyle w:val="Standard"/>
      </w:pPr>
      <w:r>
        <w:t>The issue before the Commission is whether to close this proceeding.</w:t>
      </w:r>
    </w:p>
    <w:p w:rsidR="005939A5" w:rsidP="000F12C1" w:rsidRDefault="005939A5" w14:paraId="25EC9260" w14:textId="77777777">
      <w:pPr>
        <w:pStyle w:val="Heading1"/>
      </w:pPr>
      <w:bookmarkStart w:name="_Toc8123720" w:id="42"/>
      <w:bookmarkStart w:name="_Toc133843849" w:id="43"/>
      <w:r>
        <w:lastRenderedPageBreak/>
        <w:t>Discussion and Analysis</w:t>
      </w:r>
      <w:bookmarkEnd w:id="42"/>
      <w:bookmarkEnd w:id="43"/>
    </w:p>
    <w:p w:rsidR="006A5DE7" w:rsidP="006E6574" w:rsidRDefault="00CF1FD5" w14:paraId="7FB8461C" w14:textId="77777777">
      <w:pPr>
        <w:pStyle w:val="Standard"/>
      </w:pPr>
      <w:r>
        <w:t>The urgent conditions that prompted the Commission to launch this proceeding no longer threaten the PPPs; therefore, it is appropriate to close this proceeding and address issues that were identified for Phase 2 in a new proceeding. The Commission’s primary intent in opening this proceeding was to stabilize funding for California’s Universal Service PPPs, Universal LifeLine Telephone Service (ULTS), Deaf and Disabled Telecommunications Program (DDTP), California High</w:t>
      </w:r>
      <w:r>
        <w:noBreakHyphen/>
        <w:t>Cost Fund</w:t>
      </w:r>
      <w:r>
        <w:noBreakHyphen/>
        <w:t>A (CHCF</w:t>
      </w:r>
      <w:r>
        <w:noBreakHyphen/>
        <w:t>A), California High</w:t>
      </w:r>
      <w:r>
        <w:noBreakHyphen/>
        <w:t>Cost Fund</w:t>
      </w:r>
      <w:r>
        <w:noBreakHyphen/>
        <w:t>B (CHCF</w:t>
      </w:r>
      <w:r>
        <w:noBreakHyphen/>
        <w:t>B), California Teleconnect Fund (CTF), and the California Advanced Services Fund (CASF). In D.22</w:t>
      </w:r>
      <w:r>
        <w:noBreakHyphen/>
        <w:t>10</w:t>
      </w:r>
      <w:r>
        <w:noBreakHyphen/>
        <w:t>021, the Commission updated the mechanism for calculating surcharges to support PPPs that assesses surcharges based on the number of active access lines that a telephone corporation operating in California uses to provide service to customers. The change allowed for a more accurate and transparent method for funding each PPP program through a flat rate surcharge that consolidated the individual PPP surcharges. In addition, the Commission adopted a new Telecommunications &amp; User Fee Filing System (TUFFS) that was made available on April 1, 2023.</w:t>
      </w:r>
    </w:p>
    <w:p w:rsidR="00B0728D" w:rsidP="006E6574" w:rsidRDefault="00B0728D" w14:paraId="5B66AD30" w14:textId="77777777">
      <w:pPr>
        <w:pStyle w:val="Standard"/>
      </w:pPr>
      <w:r>
        <w:t>In D.22</w:t>
      </w:r>
      <w:r>
        <w:noBreakHyphen/>
        <w:t>10</w:t>
      </w:r>
      <w:r>
        <w:noBreakHyphen/>
        <w:t>021, we did not specifically identify the existing exemptions applicable to a telephone corporation’s universal service obligation, which the decision did not change. Therefore, we clarify that those existing exemptions continue to apply to the access line</w:t>
      </w:r>
      <w:r>
        <w:noBreakHyphen/>
        <w:t>based surcharge we adopted in D.22</w:t>
      </w:r>
      <w:r>
        <w:noBreakHyphen/>
        <w:t>10</w:t>
      </w:r>
      <w:r>
        <w:noBreakHyphen/>
        <w:t>021, in addition to the exemptions for LifeLine customers and incarcerated persons identified in the decision. For ease of reference, we list the current surcharge and user fee exemptions in Attachment A.</w:t>
      </w:r>
    </w:p>
    <w:p w:rsidRPr="002A0E4F" w:rsidR="00F92730" w:rsidP="00F92730" w:rsidRDefault="002756C4" w14:paraId="0D0EDE96" w14:textId="77777777">
      <w:pPr>
        <w:pStyle w:val="Standard"/>
      </w:pPr>
      <w:r>
        <w:lastRenderedPageBreak/>
        <w:t>Carriers’ implementation of the access line surcharge mechanism in D.22</w:t>
      </w:r>
      <w:r>
        <w:noBreakHyphen/>
        <w:t>10</w:t>
      </w:r>
      <w:r>
        <w:noBreakHyphen/>
        <w:t>021 and the reasonableness of the current User Fee funding mechanism are items that could be addressed in a successor proceeding.</w:t>
      </w:r>
    </w:p>
    <w:p w:rsidR="00813524" w:rsidP="006E6574" w:rsidRDefault="008F4C2F" w14:paraId="0E7DD34C" w14:textId="77777777">
      <w:pPr>
        <w:pStyle w:val="Standard"/>
      </w:pPr>
      <w:r>
        <w:t>A key component of the transition to use access lines as the basis for assessing surcharges to support PPP programs are the definitions and guidance that were included in D.22</w:t>
      </w:r>
      <w:r>
        <w:noBreakHyphen/>
        <w:t>10</w:t>
      </w:r>
      <w:r>
        <w:noBreakHyphen/>
        <w:t>021. We remind telephone corporations that they must apply these definitions and guidance when assessing, collecting, and reporting the PPP surcharge. We made clear in D.22</w:t>
      </w:r>
      <w:r>
        <w:noBreakHyphen/>
        <w:t>10</w:t>
      </w:r>
      <w:r>
        <w:noBreakHyphen/>
        <w:t>021, Ordering Paragraph 2, that “All telephone corporations, including traditional wireline, wireless and Voice Over Internet Protocol carriers or providers, shall report their access lines used to provide two</w:t>
      </w:r>
      <w:r>
        <w:noBreakHyphen/>
        <w:t>way communication, as defined in this decision. This reporting may be subject to Commission audit.”</w:t>
      </w:r>
    </w:p>
    <w:p w:rsidR="0080281A" w:rsidP="006E6574" w:rsidRDefault="005854EA" w14:paraId="0C1FC3EF" w14:textId="77777777">
      <w:pPr>
        <w:pStyle w:val="Standard"/>
      </w:pPr>
      <w:r>
        <w:t>For ease of reference, we repeat those key definitions, clarifications and guidance below to ensure the continued success of the new surcharge mechanism:</w:t>
      </w:r>
    </w:p>
    <w:p w:rsidR="005F1969" w:rsidP="000F164C" w:rsidRDefault="00FC6C4E" w14:paraId="39AC5994" w14:textId="77777777">
      <w:pPr>
        <w:pStyle w:val="BlockQuoteH025"/>
        <w:numPr>
          <w:ilvl w:val="6"/>
          <w:numId w:val="1"/>
        </w:numPr>
        <w:tabs>
          <w:tab w:val="clear" w:pos="1080"/>
        </w:tabs>
      </w:pPr>
      <w:r>
        <w:t>“Access Line” means a wire or wireless connection that provides a real</w:t>
      </w:r>
      <w:r>
        <w:noBreakHyphen/>
        <w:t>time two</w:t>
      </w:r>
      <w:r>
        <w:noBreakHyphen/>
        <w:t>way voice telecommunications service or VoIP service to or from any device utilized by an end user, regardless of technology, which is associated with a 10</w:t>
      </w:r>
      <w:r>
        <w:noBreakHyphen/>
        <w:t>digit NPA</w:t>
      </w:r>
      <w:r>
        <w:noBreakHyphen/>
        <w:t>NXX number or other unique identifier and a service address or Place of Primary Use in California.</w:t>
      </w:r>
      <w:r>
        <w:rPr>
          <w:rStyle w:val="FootnoteReference"/>
        </w:rPr>
        <w:footnoteReference w:id="2"/>
      </w:r>
    </w:p>
    <w:p w:rsidR="005F1969" w:rsidP="000F164C" w:rsidRDefault="00FC6C4E" w14:paraId="23F54D9F" w14:textId="77777777">
      <w:pPr>
        <w:pStyle w:val="BlockQuoteH025"/>
        <w:numPr>
          <w:ilvl w:val="6"/>
          <w:numId w:val="1"/>
        </w:numPr>
        <w:tabs>
          <w:tab w:val="clear" w:pos="1080"/>
        </w:tabs>
      </w:pPr>
      <w:r>
        <w:t xml:space="preserve">“Telecommunications” has the same meaning as in 47 U.S.C. Section 153(50): “The term ‘telecommunications’ means the transmission, between or among points specified by the user, of information of the user’s choosing, </w:t>
      </w:r>
      <w:r>
        <w:lastRenderedPageBreak/>
        <w:t>without change in the form or content of the information as sent and received.”</w:t>
      </w:r>
      <w:r>
        <w:rPr>
          <w:rStyle w:val="FootnoteReference"/>
        </w:rPr>
        <w:footnoteReference w:id="3"/>
      </w:r>
    </w:p>
    <w:p w:rsidR="005F1969" w:rsidP="000F164C" w:rsidRDefault="00FC6C4E" w14:paraId="14AF91D9" w14:textId="77777777">
      <w:pPr>
        <w:pStyle w:val="BlockQuoteH025"/>
        <w:numPr>
          <w:ilvl w:val="6"/>
          <w:numId w:val="1"/>
        </w:numPr>
        <w:tabs>
          <w:tab w:val="clear" w:pos="1080"/>
        </w:tabs>
      </w:pPr>
      <w:r>
        <w:t>“VoIP service” means service as defined in Public Utilities (Pub. Util.) Code Section 239.</w:t>
      </w:r>
      <w:r>
        <w:rPr>
          <w:rStyle w:val="FootnoteReference"/>
        </w:rPr>
        <w:footnoteReference w:id="4"/>
      </w:r>
    </w:p>
    <w:p w:rsidR="005F1969" w:rsidP="000F164C" w:rsidRDefault="00FC6C4E" w14:paraId="2E7AF771" w14:textId="77777777">
      <w:pPr>
        <w:pStyle w:val="BlockQuoteH025"/>
        <w:numPr>
          <w:ilvl w:val="6"/>
          <w:numId w:val="1"/>
        </w:numPr>
        <w:tabs>
          <w:tab w:val="clear" w:pos="1080"/>
        </w:tabs>
      </w:pPr>
      <w:r>
        <w:t>“Service address” means the physical address in California where fixed telecommunication service is provided.</w:t>
      </w:r>
      <w:r>
        <w:rPr>
          <w:rStyle w:val="FootnoteReference"/>
        </w:rPr>
        <w:footnoteReference w:id="5"/>
      </w:r>
    </w:p>
    <w:p w:rsidR="005F1969" w:rsidP="000F164C" w:rsidRDefault="00FC6C4E" w14:paraId="3E737A13" w14:textId="77777777">
      <w:pPr>
        <w:pStyle w:val="BlockQuoteH025"/>
        <w:numPr>
          <w:ilvl w:val="6"/>
          <w:numId w:val="1"/>
        </w:numPr>
        <w:tabs>
          <w:tab w:val="clear" w:pos="1080"/>
        </w:tabs>
      </w:pPr>
      <w:r>
        <w:t>“Place of primary use” is defined (a) for mobile telecommunications service in Pub. Util. Code Section 247.1(c)(6); and (b) for interconnected VoIP service providers in Pub. Util. Code Section 285(d).</w:t>
      </w:r>
      <w:r>
        <w:rPr>
          <w:rStyle w:val="FootnoteReference"/>
        </w:rPr>
        <w:footnoteReference w:id="6"/>
      </w:r>
    </w:p>
    <w:p w:rsidR="005F1969" w:rsidP="000F164C" w:rsidRDefault="00A15E88" w14:paraId="6F1F0470" w14:textId="77777777">
      <w:pPr>
        <w:pStyle w:val="BlockQuoteH025"/>
        <w:numPr>
          <w:ilvl w:val="6"/>
          <w:numId w:val="1"/>
        </w:numPr>
        <w:tabs>
          <w:tab w:val="clear" w:pos="1080"/>
        </w:tabs>
      </w:pPr>
      <w:r>
        <w:t>Additional Guidelines: For purposes of this definition, private branch exchange (PBX) lines and Centrex lines are “access lines.” The number of access lines a carrier provides to an end user shall be deemed equal to the number of inbound or outbound two</w:t>
      </w:r>
      <w:r>
        <w:noBreakHyphen/>
        <w:t>way communications by any technology that the end user can maintain at the same time as provisioned by the carrier’s service.</w:t>
      </w:r>
      <w:r>
        <w:rPr>
          <w:rStyle w:val="FootnoteReference"/>
        </w:rPr>
        <w:footnoteReference w:id="7"/>
      </w:r>
    </w:p>
    <w:p w:rsidR="00B41B36" w:rsidP="000F12C1" w:rsidRDefault="009E3A93" w14:paraId="13FA3F37" w14:textId="77777777">
      <w:pPr>
        <w:pStyle w:val="Heading1"/>
      </w:pPr>
      <w:r>
        <w:t>Administrative Program Guidance</w:t>
      </w:r>
    </w:p>
    <w:p w:rsidR="005F1969" w:rsidP="006E6574" w:rsidRDefault="00B62F53" w14:paraId="0257E4A5" w14:textId="77777777">
      <w:pPr>
        <w:pStyle w:val="Standard"/>
      </w:pPr>
      <w:r>
        <w:t>Communications Division (CD) staff is tasked with the management of the surcharge remittances for all PPPs. A core part of their work uses the data collected for telephone corporations to inform the Commission about their activities so that program modifications can be implemented as needed. CD has in place an existing citation program and should explore expanding that program to create tools that support the new access line surcharge mechanism. The Commission recently issued a ruling</w:t>
      </w:r>
      <w:r>
        <w:rPr>
          <w:rStyle w:val="FootnoteReference"/>
        </w:rPr>
        <w:footnoteReference w:id="8"/>
      </w:r>
      <w:r>
        <w:t xml:space="preserve"> to address non</w:t>
      </w:r>
      <w:r>
        <w:noBreakHyphen/>
        <w:t xml:space="preserve">responses to data </w:t>
      </w:r>
      <w:r>
        <w:lastRenderedPageBreak/>
        <w:t>requests that were sent to carriers. It is important that telephone corporations report timely and accurate information to CD staff.</w:t>
      </w:r>
    </w:p>
    <w:p w:rsidR="00603238" w:rsidP="000F12C1" w:rsidRDefault="00603238" w14:paraId="00EB423F" w14:textId="77777777">
      <w:pPr>
        <w:pStyle w:val="Heading1"/>
      </w:pPr>
      <w:bookmarkStart w:name="_Toc133843852" w:id="44"/>
      <w:bookmarkStart w:name="_Toc8123721" w:id="45"/>
      <w:r>
        <w:t>Summary of Public Comment</w:t>
      </w:r>
      <w:bookmarkEnd w:id="44"/>
    </w:p>
    <w:p w:rsidRPr="00B41B36" w:rsidR="00603238" w:rsidP="00B41B36" w:rsidRDefault="00603238" w14:paraId="5C59161F" w14:textId="77777777">
      <w:pPr>
        <w:rPr>
          <w:rFonts w:ascii="Calibri" w:hAnsi="Calibri"/>
          <w:sz w:val="22"/>
        </w:rPr>
      </w:pPr>
      <w:r>
        <w:t>Rule 1.18 of the Commission’s Rules of Practice and Procedure (Rules)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 There are no relevant public comments on the Docket Card for this proceeding.</w:t>
      </w:r>
    </w:p>
    <w:p w:rsidR="005939A5" w:rsidP="000F12C1" w:rsidRDefault="005939A5" w14:paraId="60B28CAE" w14:textId="77777777">
      <w:pPr>
        <w:pStyle w:val="Heading1"/>
      </w:pPr>
      <w:bookmarkStart w:name="_Toc8123723" w:id="46"/>
      <w:bookmarkStart w:name="_Toc133843854" w:id="47"/>
      <w:bookmarkEnd w:id="45"/>
      <w:r>
        <w:t>Comments on Proposed Decision</w:t>
      </w:r>
      <w:bookmarkEnd w:id="46"/>
      <w:bookmarkEnd w:id="47"/>
    </w:p>
    <w:p w:rsidR="00C5570E" w:rsidP="001B601C" w:rsidRDefault="005C58FA" w14:paraId="3CCBCBBF" w14:textId="77777777">
      <w:pPr>
        <w:pStyle w:val="Standard"/>
      </w:pPr>
      <w:r>
        <w:t xml:space="preserve">The proposed decision of Hazlyn Fortune in this matter was mailed to the parties in accordance with Pub. Util. Code Section 311 and comments were allowed under Rule 14.3. Comments were filed on </w:t>
      </w:r>
      <w:bookmarkStart w:name="_cp_change_35" w:id="48"/>
      <w:r>
        <w:rPr>
          <w:strike/>
          <w:color w:val="FF0000"/>
          <w:u w:color="FF0000"/>
        </w:rPr>
        <w:t>____________________, and reply comments were filed on ____________________ by ____________________.</w:t>
      </w:r>
      <w:bookmarkStart w:name="_cp_change_36" w:id="49"/>
      <w:bookmarkEnd w:id="48"/>
      <w:r>
        <w:rPr>
          <w:color w:val="0000FF"/>
          <w:u w:val="double" w:color="0000FF"/>
        </w:rPr>
        <w:t>June 16, 2026, by The California Broadband &amp; Video Association (Cal Broadband) and the Center for Accessible Technology (CforAT). Cal Broadband’s comments mentioned that certain issues that were scoped for Phase 2 of the proceeding, namely “the reasonableness of charges and miscellaneous fees appearing on customer bills,” have not yet been addressed.</w:t>
      </w:r>
      <w:bookmarkStart w:name="_cp_change_37" w:id="50"/>
      <w:bookmarkEnd w:id="49"/>
      <w:r>
        <w:rPr>
          <w:rStyle w:val="FootnoteReference"/>
          <w:color w:val="0000FF"/>
          <w:u w:val="double" w:color="0000FF"/>
        </w:rPr>
        <w:footnoteReference w:id="9"/>
      </w:r>
      <w:r>
        <w:rPr>
          <w:color w:val="0000FF"/>
          <w:u w:val="double" w:color="0000FF"/>
        </w:rPr>
        <w:t xml:space="preserve"> </w:t>
      </w:r>
      <w:bookmarkStart w:name="_cp_change_40" w:id="54"/>
      <w:bookmarkEnd w:id="50"/>
      <w:r>
        <w:rPr>
          <w:color w:val="0000FF"/>
          <w:u w:val="double" w:color="0000FF"/>
        </w:rPr>
        <w:t>In earlier comments in the Rulemaking, Cal Broadband stated that proposals to regulate or prohibit certain provider fees, exceeded the proper scope of this proceeding and raised significant jurisdictional concerns.</w:t>
      </w:r>
      <w:bookmarkStart w:name="_cp_change_41" w:id="55"/>
      <w:bookmarkEnd w:id="54"/>
      <w:r>
        <w:rPr>
          <w:rStyle w:val="FootnoteReference"/>
          <w:color w:val="0000FF"/>
          <w:u w:val="double" w:color="0000FF"/>
        </w:rPr>
        <w:footnoteReference w:id="10"/>
      </w:r>
      <w:r>
        <w:rPr>
          <w:color w:val="0000FF"/>
          <w:u w:val="double" w:color="0000FF"/>
        </w:rPr>
        <w:t xml:space="preserve"> </w:t>
      </w:r>
      <w:bookmarkStart w:name="_cp_change_44" w:id="59"/>
      <w:bookmarkEnd w:id="55"/>
      <w:r>
        <w:rPr>
          <w:color w:val="0000FF"/>
          <w:u w:val="double" w:color="0000FF"/>
        </w:rPr>
        <w:t xml:space="preserve">According to </w:t>
      </w:r>
      <w:r>
        <w:rPr>
          <w:color w:val="0000FF"/>
          <w:u w:val="double" w:color="0000FF"/>
        </w:rPr>
        <w:lastRenderedPageBreak/>
        <w:t>Cal Broadband there is no requirement, federal, state, or otherwise, for the Commission to address such topics at all.</w:t>
      </w:r>
      <w:bookmarkStart w:name="_cp_change_45" w:id="60"/>
      <w:bookmarkEnd w:id="59"/>
      <w:r>
        <w:rPr>
          <w:rStyle w:val="FootnoteReference"/>
          <w:color w:val="0000FF"/>
          <w:u w:val="double" w:color="0000FF"/>
        </w:rPr>
        <w:footnoteReference w:id="11"/>
      </w:r>
      <w:r>
        <w:rPr>
          <w:color w:val="0000FF"/>
          <w:u w:val="double" w:color="0000FF"/>
        </w:rPr>
        <w:t xml:space="preserve"> </w:t>
      </w:r>
      <w:bookmarkStart w:name="_cp_change_48" w:id="64"/>
      <w:bookmarkEnd w:id="60"/>
      <w:r>
        <w:rPr>
          <w:color w:val="0000FF"/>
          <w:u w:val="double" w:color="0000FF"/>
        </w:rPr>
        <w:t>The Cal Broadband’s comments recommend that the Commission revise the Findings of Fact and Conclusion of Law sections in the proposed decision to reflect that the Commission “may” consider Phase 2 issues in the future but is under no obligation to do so.</w:t>
      </w:r>
      <w:bookmarkStart w:name="_cp_change_49" w:id="65"/>
      <w:bookmarkEnd w:id="64"/>
      <w:r>
        <w:rPr>
          <w:rStyle w:val="FootnoteReference"/>
          <w:color w:val="0000FF"/>
          <w:u w:val="double" w:color="0000FF"/>
        </w:rPr>
        <w:footnoteReference w:id="12"/>
      </w:r>
      <w:bookmarkEnd w:id="65"/>
    </w:p>
    <w:p w:rsidR="005F1969" w:rsidP="005B6265" w:rsidRDefault="006A7369" w14:paraId="715444BC" w14:textId="77777777">
      <w:pPr>
        <w:pStyle w:val="Standard"/>
        <w:rPr>
          <w:color w:val="0000FF"/>
          <w:u w:val="double"/>
        </w:rPr>
      </w:pPr>
      <w:bookmarkStart w:name="_cp_change_52" w:id="69"/>
      <w:r>
        <w:rPr>
          <w:color w:val="0000FF"/>
          <w:u w:val="double" w:color="0000FF"/>
        </w:rPr>
        <w:t>In their comments, CforAT pointed to potential harm to customers if the proceeding closes since leaving (provider fees) unresolved may embolden providers to increase those charges.</w:t>
      </w:r>
      <w:bookmarkStart w:name="_cp_change_53" w:id="70"/>
      <w:bookmarkEnd w:id="69"/>
      <w:r>
        <w:rPr>
          <w:rStyle w:val="FootnoteReference"/>
          <w:color w:val="0000FF"/>
          <w:u w:val="double" w:color="0000FF"/>
        </w:rPr>
        <w:footnoteReference w:id="13"/>
      </w:r>
      <w:r>
        <w:rPr>
          <w:color w:val="0000FF"/>
          <w:u w:val="double" w:color="0000FF"/>
        </w:rPr>
        <w:t xml:space="preserve"> </w:t>
      </w:r>
      <w:bookmarkStart w:name="_cp_change_56" w:id="74"/>
      <w:bookmarkEnd w:id="70"/>
      <w:r>
        <w:rPr>
          <w:color w:val="0000FF"/>
          <w:u w:val="double" w:color="0000FF"/>
        </w:rPr>
        <w:t>In addition, CforAT’s comments indicated that closing the proceeding with (Phase 2) issues unaddressed creates a risk that intervenors may not be able to claim intervenor compensation for their work (to date) on Phase 2 of the proceeding.</w:t>
      </w:r>
      <w:bookmarkStart w:name="_cp_change_57" w:id="75"/>
      <w:bookmarkEnd w:id="74"/>
      <w:r>
        <w:rPr>
          <w:rStyle w:val="FootnoteReference"/>
          <w:color w:val="0000FF"/>
          <w:u w:val="double" w:color="0000FF"/>
        </w:rPr>
        <w:footnoteReference w:id="14"/>
      </w:r>
      <w:r>
        <w:rPr>
          <w:color w:val="0000FF"/>
          <w:u w:val="double" w:color="0000FF"/>
        </w:rPr>
        <w:t xml:space="preserve"> </w:t>
      </w:r>
      <w:bookmarkStart w:name="_cp_change_60" w:id="79"/>
      <w:bookmarkEnd w:id="75"/>
      <w:r>
        <w:rPr>
          <w:color w:val="0000FF"/>
          <w:u w:val="double" w:color="0000FF"/>
        </w:rPr>
        <w:t>Finally, CforAT’s comments identified that the Commission should clarify that it will continue to us the current user fee assessment and collection mechanism until it orders otherwise.</w:t>
      </w:r>
      <w:bookmarkStart w:name="_cp_change_61" w:id="80"/>
      <w:bookmarkEnd w:id="79"/>
      <w:r>
        <w:rPr>
          <w:rStyle w:val="FootnoteReference"/>
          <w:color w:val="0000FF"/>
          <w:u w:val="double" w:color="0000FF"/>
        </w:rPr>
        <w:footnoteReference w:id="15"/>
      </w:r>
      <w:r>
        <w:rPr>
          <w:color w:val="0000FF"/>
          <w:u w:val="double" w:color="0000FF"/>
        </w:rPr>
        <w:t xml:space="preserve"> </w:t>
      </w:r>
      <w:bookmarkStart w:name="_cp_change_64" w:id="84"/>
      <w:bookmarkEnd w:id="80"/>
      <w:r>
        <w:rPr>
          <w:color w:val="0000FF"/>
          <w:u w:val="double" w:color="0000FF"/>
        </w:rPr>
        <w:t>Reply comments were filed on June 22, 2026, by CTIA and Pacific Bell Telephone Company D/B/A AT&amp;T California; AT&amp;T Enterprises, LLC; and AT&amp;T Mobility (AT&amp;T). CTIA and AT&amp;T’s reply comments reject CforAT’s argument that closing proceeding R.21-03-002 “will likely embolden providers to increase those charges.”</w:t>
      </w:r>
      <w:bookmarkStart w:name="_cp_change_65" w:id="85"/>
      <w:bookmarkEnd w:id="84"/>
      <w:r>
        <w:rPr>
          <w:rStyle w:val="FootnoteReference"/>
          <w:color w:val="0000FF"/>
          <w:u w:val="double" w:color="0000FF"/>
        </w:rPr>
        <w:footnoteReference w:id="16"/>
      </w:r>
      <w:r>
        <w:rPr>
          <w:color w:val="0000FF"/>
          <w:u w:val="double" w:color="0000FF"/>
        </w:rPr>
        <w:t xml:space="preserve"> </w:t>
      </w:r>
      <w:bookmarkStart w:name="_cp_change_68" w:id="89"/>
      <w:bookmarkEnd w:id="85"/>
      <w:r>
        <w:rPr>
          <w:color w:val="0000FF"/>
          <w:u w:val="double" w:color="0000FF"/>
        </w:rPr>
        <w:t xml:space="preserve">CTIA’s comments stated that “the record shows that existing provisions of California law, Commission rules, and federal law require that wireless providers’ fees and charges are reasonable and fully disclosed to </w:t>
      </w:r>
      <w:r>
        <w:rPr>
          <w:color w:val="0000FF"/>
          <w:u w:val="double" w:color="0000FF"/>
        </w:rPr>
        <w:lastRenderedPageBreak/>
        <w:t>consumers.”</w:t>
      </w:r>
      <w:bookmarkStart w:name="_cp_change_69" w:id="90"/>
      <w:bookmarkEnd w:id="89"/>
      <w:r>
        <w:rPr>
          <w:rStyle w:val="FootnoteReference"/>
          <w:color w:val="0000FF"/>
          <w:u w:val="double" w:color="0000FF"/>
        </w:rPr>
        <w:footnoteReference w:id="17"/>
      </w:r>
      <w:r>
        <w:rPr>
          <w:color w:val="0000FF"/>
          <w:u w:val="double" w:color="0000FF"/>
        </w:rPr>
        <w:t xml:space="preserve"> </w:t>
      </w:r>
      <w:bookmarkStart w:name="_cp_change_72" w:id="94"/>
      <w:bookmarkEnd w:id="90"/>
      <w:r>
        <w:rPr>
          <w:color w:val="0000FF"/>
          <w:u w:val="double" w:color="0000FF"/>
        </w:rPr>
        <w:t>AT&amp;T’s comments assert that CforAT’s argument should be rejected because “it rests on conjecture not supported by any reference to the record.”</w:t>
      </w:r>
      <w:bookmarkStart w:name="_cp_change_73" w:id="95"/>
      <w:bookmarkEnd w:id="94"/>
      <w:r>
        <w:rPr>
          <w:rStyle w:val="FootnoteReference"/>
          <w:color w:val="0000FF"/>
          <w:u w:val="double" w:color="0000FF"/>
        </w:rPr>
        <w:footnoteReference w:id="18"/>
      </w:r>
      <w:r>
        <w:rPr>
          <w:color w:val="0000FF"/>
          <w:u w:val="double" w:color="0000FF"/>
        </w:rPr>
        <w:t xml:space="preserve"> </w:t>
      </w:r>
      <w:bookmarkStart w:name="_cp_change_76" w:id="99"/>
      <w:bookmarkEnd w:id="95"/>
      <w:r>
        <w:rPr>
          <w:color w:val="0000FF"/>
          <w:u w:val="double" w:color="0000FF"/>
        </w:rPr>
        <w:t>AT&amp;T supports Cal Broadband’s comments that the Commission should align language in the summary with other sections of the proposed decision to indicate that the Commission may open a successor proceeding to further explore Phase 2 issues.</w:t>
      </w:r>
      <w:bookmarkStart w:name="_cp_change_77" w:id="100"/>
      <w:bookmarkEnd w:id="99"/>
      <w:r>
        <w:rPr>
          <w:rStyle w:val="FootnoteReference"/>
          <w:color w:val="0000FF"/>
          <w:u w:val="double" w:color="0000FF"/>
        </w:rPr>
        <w:footnoteReference w:id="19"/>
      </w:r>
      <w:r>
        <w:rPr>
          <w:color w:val="0000FF"/>
          <w:u w:val="double" w:color="0000FF"/>
        </w:rPr>
        <w:t xml:space="preserve"> </w:t>
      </w:r>
      <w:bookmarkStart w:name="_cp_change_80" w:id="104"/>
      <w:bookmarkEnd w:id="100"/>
      <w:r>
        <w:rPr>
          <w:color w:val="0000FF"/>
          <w:u w:val="double" w:color="0000FF"/>
        </w:rPr>
        <w:t>CTIA’s Reply Comments also agree with Cal Broadband’s proposed minor changes to the proposed decision to confirm that “the Commission retains discretion to determine whether a successor proceeding is needed.”</w:t>
      </w:r>
      <w:bookmarkStart w:name="_cp_change_81" w:id="105"/>
      <w:bookmarkEnd w:id="104"/>
      <w:r>
        <w:rPr>
          <w:rStyle w:val="FootnoteReference"/>
          <w:color w:val="0000FF"/>
          <w:u w:val="double" w:color="0000FF"/>
        </w:rPr>
        <w:footnoteReference w:id="20"/>
      </w:r>
      <w:bookmarkStart w:name="_cp_change_84" w:id="108"/>
      <w:bookmarkEnd w:id="105"/>
    </w:p>
    <w:p w:rsidR="005B6265" w:rsidP="005B6265" w:rsidRDefault="005B6265" w14:paraId="48DDE525" w14:textId="77777777">
      <w:pPr>
        <w:pStyle w:val="Standard"/>
        <w:rPr>
          <w:color w:val="0000FF"/>
          <w:u w:val="double"/>
        </w:rPr>
      </w:pPr>
      <w:bookmarkStart w:name="_cp_change_86" w:id="109"/>
      <w:bookmarkEnd w:id="108"/>
      <w:r>
        <w:rPr>
          <w:color w:val="0000FF"/>
          <w:u w:val="double" w:color="0000FF"/>
        </w:rPr>
        <w:t>The Commission has reviewed the opening and reply comments to this proceeding and no changes have been made to the proposed decision.</w:t>
      </w:r>
      <w:bookmarkStart w:name="_cp_change_85" w:id="110"/>
      <w:bookmarkEnd w:id="109"/>
    </w:p>
    <w:p w:rsidR="005939A5" w:rsidP="000F12C1" w:rsidRDefault="005939A5" w14:paraId="03AC983C" w14:textId="77777777">
      <w:pPr>
        <w:pStyle w:val="Heading1"/>
      </w:pPr>
      <w:bookmarkStart w:name="_Toc8123724" w:id="111"/>
      <w:bookmarkStart w:name="_Toc133843855" w:id="112"/>
      <w:bookmarkEnd w:id="110"/>
      <w:r>
        <w:t>Assignment of Proceeding</w:t>
      </w:r>
      <w:bookmarkEnd w:id="111"/>
      <w:bookmarkEnd w:id="112"/>
    </w:p>
    <w:p w:rsidR="005939A5" w:rsidP="006E6574" w:rsidRDefault="00777BC4" w14:paraId="0F58D678" w14:textId="77777777">
      <w:pPr>
        <w:pStyle w:val="Standard"/>
      </w:pPr>
      <w:r>
        <w:t>Karen Douglas is the assigned Commissioner and Hazlyn Fortune is the assigned Administrative Law Judge in this proceeding.</w:t>
      </w:r>
    </w:p>
    <w:p w:rsidR="005939A5" w:rsidP="00A64A22" w:rsidRDefault="005939A5" w14:paraId="5E287490" w14:textId="77777777">
      <w:pPr>
        <w:pStyle w:val="Dummy"/>
      </w:pPr>
      <w:bookmarkStart w:name="_Toc8123725" w:id="113"/>
      <w:bookmarkStart w:name="_Toc133843856" w:id="114"/>
      <w:r>
        <w:t>Findings of Fact</w:t>
      </w:r>
      <w:bookmarkEnd w:id="113"/>
      <w:bookmarkEnd w:id="114"/>
    </w:p>
    <w:p w:rsidR="005F1969" w:rsidP="001E2A62" w:rsidRDefault="007250EE" w14:paraId="510C9047" w14:textId="77777777">
      <w:pPr>
        <w:pStyle w:val="FoF"/>
      </w:pPr>
      <w:r>
        <w:t>The Commission opened Rulemaking (R.) 21</w:t>
      </w:r>
      <w:r>
        <w:noBreakHyphen/>
        <w:t>03</w:t>
      </w:r>
      <w:r>
        <w:noBreakHyphen/>
        <w:t>002 to address funding issues for universal service PPPs.</w:t>
      </w:r>
    </w:p>
    <w:p w:rsidR="005F1969" w:rsidP="001E2A62" w:rsidRDefault="004311E2" w14:paraId="6A07D712" w14:textId="77777777">
      <w:pPr>
        <w:pStyle w:val="FoF"/>
      </w:pPr>
      <w:r>
        <w:t>D.22</w:t>
      </w:r>
      <w:r>
        <w:noBreakHyphen/>
        <w:t>10</w:t>
      </w:r>
      <w:r>
        <w:noBreakHyphen/>
        <w:t>021</w:t>
      </w:r>
      <w:r>
        <w:rPr>
          <w:rFonts w:cs="Book Antiqua"/>
        </w:rPr>
        <w:t xml:space="preserve"> </w:t>
      </w:r>
      <w:r>
        <w:t>adopted a funding mechanism</w:t>
      </w:r>
      <w:r>
        <w:rPr>
          <w:rFonts w:cs="Book Antiqua"/>
        </w:rPr>
        <w:t xml:space="preserve"> </w:t>
      </w:r>
      <w:r>
        <w:t>to stabilize PPP funding.</w:t>
      </w:r>
    </w:p>
    <w:p w:rsidRPr="001E2A62" w:rsidR="008E6AE6" w:rsidP="00C277E2" w:rsidRDefault="00C44DD6" w14:paraId="49D2C13A" w14:textId="77777777">
      <w:pPr>
        <w:pStyle w:val="FoF"/>
      </w:pPr>
      <w:r>
        <w:t>Phase 2 issues in R.21</w:t>
      </w:r>
      <w:r>
        <w:noBreakHyphen/>
        <w:t>03</w:t>
      </w:r>
      <w:r>
        <w:noBreakHyphen/>
        <w:t>002 remain open and unaddressed.</w:t>
      </w:r>
    </w:p>
    <w:p w:rsidRPr="00A64A22" w:rsidR="005939A5" w:rsidP="00A64A22" w:rsidRDefault="005939A5" w14:paraId="354BB94B" w14:textId="77777777">
      <w:pPr>
        <w:pStyle w:val="Dummy"/>
      </w:pPr>
      <w:bookmarkStart w:name="_Toc8123726" w:id="115"/>
      <w:bookmarkStart w:name="_Toc133843857" w:id="116"/>
      <w:r>
        <w:t>Conclusions of Law</w:t>
      </w:r>
      <w:bookmarkEnd w:id="115"/>
      <w:bookmarkEnd w:id="116"/>
    </w:p>
    <w:p w:rsidR="005F1969" w:rsidP="001E2A62" w:rsidRDefault="00B20F2B" w14:paraId="35104950" w14:textId="77777777">
      <w:pPr>
        <w:pStyle w:val="CoL"/>
      </w:pPr>
      <w:r>
        <w:t>The Commission should close R.21</w:t>
      </w:r>
      <w:r>
        <w:noBreakHyphen/>
        <w:t>03</w:t>
      </w:r>
      <w:r>
        <w:noBreakHyphen/>
        <w:t>002.</w:t>
      </w:r>
    </w:p>
    <w:p w:rsidR="00B20F2B" w:rsidP="001E2A62" w:rsidRDefault="00FC66C9" w14:paraId="4CD95E73" w14:textId="77777777">
      <w:pPr>
        <w:pStyle w:val="CoL"/>
      </w:pPr>
      <w:r>
        <w:lastRenderedPageBreak/>
        <w:t>The Commission should address the Phase 2 issues in R.21</w:t>
      </w:r>
      <w:r>
        <w:noBreakHyphen/>
        <w:t>03</w:t>
      </w:r>
      <w:r>
        <w:noBreakHyphen/>
        <w:t>002 in a subsequent proceeding.</w:t>
      </w:r>
    </w:p>
    <w:p w:rsidRPr="001E2A62" w:rsidR="008F143D" w:rsidP="00D530D1" w:rsidRDefault="00E5465B" w14:paraId="4A093A31" w14:textId="77777777">
      <w:pPr>
        <w:pStyle w:val="CoL"/>
      </w:pPr>
      <w:r>
        <w:t>CD staff at the Commission should explore expanding its existing citation program to support the access line surcharge mechanism transition.</w:t>
      </w:r>
    </w:p>
    <w:p w:rsidR="00BB0243" w:rsidP="00EF3B4C" w:rsidRDefault="005939A5" w14:paraId="5F0A5087" w14:textId="77777777">
      <w:pPr>
        <w:pStyle w:val="Mainex"/>
      </w:pPr>
      <w:bookmarkStart w:name="_Toc133843858" w:id="117"/>
      <w:r>
        <w:t>ORDER</w:t>
      </w:r>
      <w:bookmarkEnd w:id="117"/>
    </w:p>
    <w:p w:rsidR="00BB0243" w:rsidP="00EF3B4C" w:rsidRDefault="00BB0243" w14:paraId="29C02602" w14:textId="77777777">
      <w:pPr>
        <w:pStyle w:val="Standard"/>
        <w:keepNext/>
      </w:pPr>
      <w:r>
        <w:rPr>
          <w:b/>
          <w:bCs/>
        </w:rPr>
        <w:t>IT IS ORDERED</w:t>
      </w:r>
      <w:r>
        <w:t xml:space="preserve"> that:</w:t>
      </w:r>
    </w:p>
    <w:p w:rsidR="00D530D1" w:rsidP="001E2A62" w:rsidRDefault="00D530D1" w14:paraId="4B7EE1D5" w14:textId="77777777">
      <w:pPr>
        <w:pStyle w:val="OP"/>
      </w:pPr>
      <w:r>
        <w:t>All telephone corporations must apply the definitions, clarifications and guidance in Section 3 of this decision to comply with their Public Purpose Program surcharge obligations.</w:t>
      </w:r>
    </w:p>
    <w:p w:rsidR="00F6397D" w:rsidP="00445C59" w:rsidRDefault="00E23CBB" w14:paraId="5DAA90AD" w14:textId="77777777">
      <w:pPr>
        <w:pStyle w:val="OP"/>
        <w:keepNext/>
      </w:pPr>
      <w:r>
        <w:t>Rulemaking 21</w:t>
      </w:r>
      <w:r>
        <w:noBreakHyphen/>
        <w:t>03</w:t>
      </w:r>
      <w:r>
        <w:noBreakHyphen/>
        <w:t>002 is closed.</w:t>
      </w:r>
    </w:p>
    <w:p w:rsidR="008F0116" w:rsidP="00445C59" w:rsidRDefault="008F0116" w14:paraId="737D370E" w14:textId="77777777">
      <w:pPr>
        <w:keepNext/>
      </w:pPr>
      <w:r>
        <w:t>This order is effective today.</w:t>
      </w:r>
    </w:p>
    <w:p w:rsidR="00714CF2" w:rsidP="00445C59" w:rsidRDefault="008F0116" w14:paraId="25B5F7BE" w14:textId="77777777">
      <w:pPr>
        <w:pStyle w:val="Standard"/>
        <w:keepNext/>
      </w:pPr>
      <w:r>
        <w:t>Dated ____________________, at Fort Bragg, California.</w:t>
      </w:r>
    </w:p>
    <w:p w:rsidR="00445C59" w:rsidP="00445C59" w:rsidRDefault="00445C59" w14:paraId="50EDFDFA" w14:textId="77777777">
      <w:pPr>
        <w:pStyle w:val="Standard"/>
        <w:keepNext/>
      </w:pPr>
    </w:p>
    <w:p w:rsidR="00445C59" w:rsidP="00445C59" w:rsidRDefault="00445C59" w14:paraId="55354460" w14:textId="77777777">
      <w:pPr>
        <w:pStyle w:val="Standard"/>
        <w:keepNext/>
      </w:pPr>
    </w:p>
    <w:p w:rsidR="00445C59" w:rsidP="00445C59" w:rsidRDefault="00445C59" w14:paraId="778CE792" w14:textId="77777777">
      <w:pPr>
        <w:pStyle w:val="Standard"/>
        <w:keepNext/>
      </w:pPr>
    </w:p>
    <w:p w:rsidR="00463EA9" w:rsidP="00445C59" w:rsidRDefault="00463EA9" w14:paraId="739CBDED" w14:textId="77777777">
      <w:pPr>
        <w:pStyle w:val="Standard"/>
        <w:keepNext/>
      </w:pPr>
    </w:p>
    <w:p w:rsidR="00463EA9" w:rsidP="00445C59" w:rsidRDefault="00463EA9" w14:paraId="5F2F30E5" w14:textId="77777777">
      <w:pPr>
        <w:pStyle w:val="Standard"/>
        <w:keepNext/>
        <w:sectPr w:rsidR="00463EA9" w:rsidSect="00137FC5">
          <w:headerReference w:type="even" r:id="rId17"/>
          <w:headerReference w:type="default" r:id="rId18"/>
          <w:footerReference w:type="even" r:id="rId19"/>
          <w:footerReference w:type="default" r:id="rId20"/>
          <w:headerReference w:type="first" r:id="rId21"/>
          <w:footerReference w:type="first" r:id="rId22"/>
          <w:pgSz w:w="12240" w:h="15840"/>
          <w:pgMar w:top="1728" w:right="1440" w:bottom="1440" w:left="1440" w:header="720" w:footer="720" w:gutter="0"/>
          <w:pgNumType w:start="1"/>
          <w:cols w:space="720"/>
          <w:titlePg/>
          <w:docGrid w:linePitch="360"/>
        </w:sectPr>
      </w:pPr>
    </w:p>
    <w:p w:rsidRPr="00463EA9" w:rsidR="00463EA9" w:rsidP="00463EA9" w:rsidRDefault="00463EA9" w14:paraId="3073AE83" w14:textId="77777777">
      <w:pPr>
        <w:ind w:firstLine="0"/>
        <w:rPr>
          <w:rFonts w:eastAsia="Calibri" w:cs="Times New Roman"/>
        </w:rPr>
      </w:pPr>
    </w:p>
    <w:p w:rsidRPr="00463EA9" w:rsidR="00463EA9" w:rsidP="00463EA9" w:rsidRDefault="00463EA9" w14:paraId="60FAB1F4" w14:textId="77777777">
      <w:pPr>
        <w:ind w:firstLine="0"/>
        <w:rPr>
          <w:rFonts w:eastAsia="Calibri" w:cs="Times New Roman"/>
        </w:rPr>
      </w:pPr>
    </w:p>
    <w:p w:rsidRPr="00463EA9" w:rsidR="00463EA9" w:rsidP="00463EA9" w:rsidRDefault="00463EA9" w14:paraId="0C89B9BB" w14:textId="77777777">
      <w:pPr>
        <w:ind w:firstLine="0"/>
        <w:rPr>
          <w:rFonts w:eastAsia="Calibri" w:cs="Times New Roman"/>
        </w:rPr>
      </w:pPr>
    </w:p>
    <w:p w:rsidRPr="00463EA9" w:rsidR="00463EA9" w:rsidP="00463EA9" w:rsidRDefault="00463EA9" w14:paraId="1AA6F77A" w14:textId="77777777">
      <w:pPr>
        <w:ind w:firstLine="0"/>
        <w:rPr>
          <w:rFonts w:eastAsia="Calibri" w:cs="Times New Roman"/>
        </w:rPr>
      </w:pPr>
    </w:p>
    <w:p w:rsidRPr="00463EA9" w:rsidR="00463EA9" w:rsidP="00463EA9" w:rsidRDefault="00463EA9" w14:paraId="1270D42C" w14:textId="77777777">
      <w:pPr>
        <w:ind w:firstLine="0"/>
        <w:rPr>
          <w:rFonts w:eastAsia="Calibri" w:cs="Times New Roman"/>
        </w:rPr>
      </w:pPr>
    </w:p>
    <w:p w:rsidRPr="00463EA9" w:rsidR="00463EA9" w:rsidP="00463EA9" w:rsidRDefault="00463EA9" w14:paraId="0D884F17" w14:textId="77777777">
      <w:pPr>
        <w:ind w:firstLine="0"/>
        <w:rPr>
          <w:rFonts w:eastAsia="Calibri" w:cs="Times New Roman"/>
        </w:rPr>
      </w:pPr>
    </w:p>
    <w:p w:rsidRPr="00463EA9" w:rsidR="00463EA9" w:rsidP="00463EA9" w:rsidRDefault="00463EA9" w14:paraId="414ED430" w14:textId="77777777">
      <w:pPr>
        <w:ind w:firstLine="0"/>
        <w:rPr>
          <w:rFonts w:eastAsia="Calibri" w:cs="Times New Roman"/>
        </w:rPr>
      </w:pPr>
    </w:p>
    <w:p w:rsidRPr="00463EA9" w:rsidR="00463EA9" w:rsidP="00463EA9" w:rsidRDefault="00463EA9" w14:paraId="082EFD13" w14:textId="77777777">
      <w:pPr>
        <w:ind w:firstLine="0"/>
        <w:jc w:val="center"/>
        <w:rPr>
          <w:rFonts w:eastAsia="Calibri" w:cs="Times New Roman"/>
          <w:b/>
          <w:bCs/>
          <w:sz w:val="50"/>
        </w:rPr>
      </w:pPr>
      <w:r>
        <w:rPr>
          <w:rFonts w:eastAsia="Calibri" w:cs="Times New Roman"/>
          <w:b/>
          <w:bCs/>
          <w:sz w:val="50"/>
        </w:rPr>
        <w:t>ATTACHMENT A</w:t>
      </w:r>
    </w:p>
    <w:p w:rsidRPr="00714CF2" w:rsidR="00463EA9" w:rsidP="00445C59" w:rsidRDefault="00463EA9" w14:paraId="0DAF67E5" w14:textId="77777777">
      <w:pPr>
        <w:pStyle w:val="Standard"/>
        <w:keepNext/>
      </w:pPr>
    </w:p>
    <w:p w:rsidR="002B67AE" w:rsidRDefault="002B67AE" w14:paraId="1D317331" w14:textId="77777777">
      <w:pPr>
        <w:rPr>
          <w:sz w:val="24"/>
        </w:rPr>
      </w:pPr>
    </w:p>
    <w:p w:rsidR="002B67AE" w:rsidRDefault="002B67AE" w14:paraId="0D1CDEB8" w14:textId="77777777">
      <w:pPr>
        <w:rPr>
          <w:sz w:val="24"/>
        </w:rPr>
      </w:pPr>
    </w:p>
    <w:p w:rsidR="002B67AE" w:rsidRDefault="002B67AE" w14:paraId="2798EA00" w14:textId="77777777">
      <w:pPr>
        <w:rPr>
          <w:sz w:val="24"/>
        </w:rPr>
        <w:sectPr w:rsidR="002B67AE" w:rsidSect="00463EA9">
          <w:headerReference w:type="even" r:id="rId23"/>
          <w:headerReference w:type="default" r:id="rId24"/>
          <w:footerReference w:type="even" r:id="rId25"/>
          <w:footerReference w:type="default" r:id="rId26"/>
          <w:headerReference w:type="first" r:id="rId27"/>
          <w:footerReference w:type="first" r:id="rId28"/>
          <w:pgSz w:w="12240" w:h="15840"/>
          <w:pgMar w:top="1728" w:right="1440" w:bottom="1440" w:left="1440" w:header="720" w:footer="720" w:gutter="0"/>
          <w:pgNumType w:start="1"/>
          <w:cols w:space="720"/>
          <w:docGrid w:linePitch="360"/>
        </w:sectPr>
      </w:pPr>
    </w:p>
    <w:p w:rsidR="002B67AE" w:rsidRDefault="002B67AE" w14:paraId="3055BB79" w14:textId="77777777">
      <w:pPr>
        <w:rPr>
          <w:sz w:val="24"/>
        </w:rPr>
      </w:pPr>
    </w:p>
    <w:p w:rsidR="002B67AE" w:rsidRDefault="002B67AE" w14:paraId="6405D0A5" w14:textId="77777777">
      <w:pPr>
        <w:rPr>
          <w:sz w:val="24"/>
        </w:rPr>
      </w:pP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6200"/>
        <w:gridCol w:w="1800"/>
      </w:tblGrid>
      <w:tr w:rsidR="002B67AE" w14:paraId="00D4DAD3" w14:textId="77777777">
        <w:trPr>
          <w:jc w:val="center"/>
        </w:trPr>
        <w:tc>
          <w:tcPr>
            <w:tcW w:w="8000" w:type="dxa"/>
            <w:gridSpan w:val="2"/>
          </w:tcPr>
          <w:p w:rsidR="002B67AE" w:rsidRDefault="007728D4" w14:paraId="4E2232EA" w14:textId="77777777">
            <w:pPr>
              <w:spacing w:line="240" w:lineRule="auto"/>
              <w:jc w:val="center"/>
              <w:rPr>
                <w:sz w:val="24"/>
              </w:rPr>
            </w:pPr>
            <w:r>
              <w:rPr>
                <w:rFonts w:ascii="Times New Roman" w:hAnsi="Times New Roman" w:eastAsia="Times New Roman" w:cs="Times New Roman"/>
                <w:b/>
                <w:color w:val="000000"/>
                <w:sz w:val="24"/>
              </w:rPr>
              <w:t xml:space="preserve">Summary report: </w:t>
            </w:r>
          </w:p>
          <w:p w:rsidR="002B67AE" w:rsidRDefault="007728D4" w14:paraId="11082735" w14:textId="77777777">
            <w:pPr>
              <w:spacing w:line="240" w:lineRule="auto"/>
              <w:jc w:val="center"/>
              <w:rPr>
                <w:sz w:val="24"/>
              </w:rPr>
            </w:pPr>
            <w:r>
              <w:rPr>
                <w:rFonts w:ascii="Times New Roman" w:hAnsi="Times New Roman" w:eastAsia="Times New Roman" w:cs="Times New Roman"/>
                <w:b/>
                <w:color w:val="000000"/>
                <w:sz w:val="24"/>
              </w:rPr>
              <w:t>Litera Compare for Word 11.6.0.100 Document comparison done on 6/29/2026 3:06:38 PM</w:t>
            </w:r>
          </w:p>
        </w:tc>
      </w:tr>
      <w:tr w:rsidR="002B67AE" w14:paraId="7E82ED84" w14:textId="77777777">
        <w:trPr>
          <w:jc w:val="center"/>
        </w:trPr>
        <w:tc>
          <w:tcPr>
            <w:tcW w:w="8000" w:type="dxa"/>
            <w:gridSpan w:val="2"/>
          </w:tcPr>
          <w:p w:rsidR="002B67AE" w:rsidRDefault="007728D4" w14:paraId="00DB7778" w14:textId="77777777">
            <w:pPr>
              <w:spacing w:line="240" w:lineRule="auto"/>
              <w:rPr>
                <w:sz w:val="24"/>
              </w:rPr>
            </w:pPr>
            <w:r>
              <w:rPr>
                <w:rFonts w:ascii="Times New Roman" w:hAnsi="Times New Roman" w:eastAsia="Times New Roman" w:cs="Times New Roman"/>
                <w:b/>
                <w:color w:val="000000"/>
                <w:sz w:val="24"/>
              </w:rPr>
              <w:t xml:space="preserve">Style name: </w:t>
            </w:r>
            <w:r>
              <w:rPr>
                <w:rFonts w:ascii="Times New Roman" w:hAnsi="Times New Roman" w:eastAsia="Times New Roman" w:cs="Times New Roman"/>
                <w:sz w:val="24"/>
              </w:rPr>
              <w:t>Default Style</w:t>
            </w:r>
          </w:p>
        </w:tc>
      </w:tr>
      <w:tr w:rsidR="002B67AE" w14:paraId="213BCB3D" w14:textId="77777777">
        <w:trPr>
          <w:jc w:val="center"/>
        </w:trPr>
        <w:tc>
          <w:tcPr>
            <w:tcW w:w="8000" w:type="dxa"/>
            <w:gridSpan w:val="2"/>
          </w:tcPr>
          <w:p w:rsidR="002B67AE" w:rsidRDefault="007728D4" w14:paraId="7FDECBC2" w14:textId="77777777">
            <w:pPr>
              <w:spacing w:line="240" w:lineRule="auto"/>
              <w:rPr>
                <w:sz w:val="24"/>
              </w:rPr>
            </w:pPr>
            <w:r>
              <w:rPr>
                <w:rFonts w:ascii="Times New Roman" w:hAnsi="Times New Roman" w:eastAsia="Times New Roman" w:cs="Times New Roman"/>
                <w:b/>
                <w:color w:val="000000"/>
                <w:sz w:val="24"/>
              </w:rPr>
              <w:t xml:space="preserve">Intelligent Table Comparison: </w:t>
            </w:r>
            <w:r>
              <w:rPr>
                <w:rFonts w:ascii="Times New Roman" w:hAnsi="Times New Roman" w:eastAsia="Times New Roman" w:cs="Times New Roman"/>
                <w:sz w:val="24"/>
              </w:rPr>
              <w:t>Active</w:t>
            </w:r>
          </w:p>
        </w:tc>
      </w:tr>
      <w:tr w:rsidR="002B67AE" w14:paraId="62C6F1C3" w14:textId="77777777">
        <w:trPr>
          <w:jc w:val="center"/>
        </w:trPr>
        <w:tc>
          <w:tcPr>
            <w:tcW w:w="8000" w:type="dxa"/>
            <w:gridSpan w:val="2"/>
          </w:tcPr>
          <w:p w:rsidR="002B67AE" w:rsidRDefault="007728D4" w14:paraId="0DF09D15" w14:textId="77777777">
            <w:pPr>
              <w:spacing w:line="240" w:lineRule="auto"/>
              <w:rPr>
                <w:sz w:val="24"/>
              </w:rPr>
            </w:pPr>
            <w:r>
              <w:rPr>
                <w:rFonts w:ascii="Times New Roman" w:hAnsi="Times New Roman" w:eastAsia="Times New Roman" w:cs="Times New Roman"/>
                <w:b/>
                <w:color w:val="000000"/>
                <w:sz w:val="24"/>
              </w:rPr>
              <w:t xml:space="preserve">Original filename: </w:t>
            </w:r>
            <w:r>
              <w:rPr>
                <w:rFonts w:ascii="Times New Roman" w:hAnsi="Times New Roman" w:eastAsia="Times New Roman" w:cs="Times New Roman"/>
                <w:sz w:val="24"/>
              </w:rPr>
              <w:t>z.SERVED FOR COMMENTS - R2103002 Fortune PD.docx</w:t>
            </w:r>
          </w:p>
        </w:tc>
      </w:tr>
      <w:tr w:rsidR="002B67AE" w14:paraId="798B7638" w14:textId="77777777">
        <w:trPr>
          <w:jc w:val="center"/>
        </w:trPr>
        <w:tc>
          <w:tcPr>
            <w:tcW w:w="8000" w:type="dxa"/>
            <w:gridSpan w:val="2"/>
          </w:tcPr>
          <w:p w:rsidR="002B67AE" w:rsidRDefault="007728D4" w14:paraId="0535BC75" w14:textId="77777777">
            <w:pPr>
              <w:spacing w:line="240" w:lineRule="auto"/>
              <w:rPr>
                <w:sz w:val="24"/>
              </w:rPr>
            </w:pPr>
            <w:r>
              <w:rPr>
                <w:rFonts w:ascii="Times New Roman" w:hAnsi="Times New Roman" w:eastAsia="Times New Roman" w:cs="Times New Roman"/>
                <w:b/>
                <w:color w:val="000000"/>
                <w:sz w:val="24"/>
              </w:rPr>
              <w:t xml:space="preserve">Modified filename: </w:t>
            </w:r>
            <w:r>
              <w:rPr>
                <w:rFonts w:ascii="Times New Roman" w:hAnsi="Times New Roman" w:eastAsia="Times New Roman" w:cs="Times New Roman"/>
                <w:sz w:val="24"/>
              </w:rPr>
              <w:t>R2103002 Fortune PD (Rev.1).docx</w:t>
            </w:r>
          </w:p>
        </w:tc>
      </w:tr>
      <w:tr w:rsidR="002B67AE" w14:paraId="0BDB97F0" w14:textId="77777777">
        <w:trPr>
          <w:jc w:val="center"/>
        </w:trPr>
        <w:tc>
          <w:tcPr>
            <w:tcW w:w="8000" w:type="dxa"/>
            <w:gridSpan w:val="2"/>
          </w:tcPr>
          <w:p w:rsidR="002B67AE" w:rsidRDefault="007728D4" w14:paraId="76433881" w14:textId="77777777">
            <w:pPr>
              <w:spacing w:line="240" w:lineRule="auto"/>
              <w:rPr>
                <w:sz w:val="24"/>
              </w:rPr>
            </w:pPr>
            <w:r>
              <w:rPr>
                <w:rFonts w:ascii="Times New Roman" w:hAnsi="Times New Roman" w:eastAsia="Times New Roman" w:cs="Times New Roman"/>
                <w:b/>
                <w:color w:val="000000"/>
                <w:sz w:val="24"/>
              </w:rPr>
              <w:t xml:space="preserve">Changes: </w:t>
            </w:r>
          </w:p>
        </w:tc>
      </w:tr>
      <w:tr w:rsidR="002B67AE" w14:paraId="6DE5F5A4" w14:textId="77777777">
        <w:trPr>
          <w:jc w:val="center"/>
        </w:trPr>
        <w:tc>
          <w:tcPr>
            <w:tcW w:w="6200" w:type="dxa"/>
          </w:tcPr>
          <w:p w:rsidR="002B67AE" w:rsidRDefault="007728D4" w14:paraId="02609B66" w14:textId="77777777">
            <w:pPr>
              <w:spacing w:line="240" w:lineRule="auto"/>
              <w:rPr>
                <w:sz w:val="24"/>
              </w:rPr>
            </w:pPr>
            <w:r>
              <w:rPr>
                <w:rFonts w:ascii="Times New Roman" w:hAnsi="Times New Roman" w:eastAsia="Times New Roman" w:cs="Times New Roman"/>
                <w:color w:val="0000FF"/>
                <w:sz w:val="24"/>
                <w:u w:val="double"/>
              </w:rPr>
              <w:t xml:space="preserve">Add </w:t>
            </w:r>
          </w:p>
        </w:tc>
        <w:tc>
          <w:tcPr>
            <w:tcW w:w="1800" w:type="dxa"/>
          </w:tcPr>
          <w:p w:rsidR="002B67AE" w:rsidRDefault="007728D4" w14:paraId="4F3636ED" w14:textId="77777777">
            <w:pPr>
              <w:spacing w:line="240" w:lineRule="auto"/>
              <w:rPr>
                <w:sz w:val="24"/>
              </w:rPr>
            </w:pPr>
            <w:r>
              <w:rPr>
                <w:rFonts w:ascii="Times New Roman" w:hAnsi="Times New Roman" w:eastAsia="Times New Roman" w:cs="Times New Roman"/>
                <w:color w:val="000000"/>
                <w:sz w:val="24"/>
              </w:rPr>
              <w:t>58</w:t>
            </w:r>
          </w:p>
        </w:tc>
      </w:tr>
      <w:tr w:rsidR="002B67AE" w14:paraId="38B8328F" w14:textId="77777777">
        <w:trPr>
          <w:jc w:val="center"/>
        </w:trPr>
        <w:tc>
          <w:tcPr>
            <w:tcW w:w="6200" w:type="dxa"/>
          </w:tcPr>
          <w:p w:rsidR="002B67AE" w:rsidRDefault="007728D4" w14:paraId="2A0D99BA" w14:textId="77777777">
            <w:pPr>
              <w:spacing w:line="240" w:lineRule="auto"/>
              <w:rPr>
                <w:sz w:val="24"/>
              </w:rPr>
            </w:pPr>
            <w:r>
              <w:rPr>
                <w:rFonts w:ascii="Times New Roman" w:hAnsi="Times New Roman" w:eastAsia="Times New Roman" w:cs="Times New Roman"/>
                <w:strike/>
                <w:color w:val="FF0000"/>
                <w:sz w:val="24"/>
              </w:rPr>
              <w:t xml:space="preserve">Delete </w:t>
            </w:r>
          </w:p>
        </w:tc>
        <w:tc>
          <w:tcPr>
            <w:tcW w:w="1800" w:type="dxa"/>
          </w:tcPr>
          <w:p w:rsidR="002B67AE" w:rsidRDefault="007728D4" w14:paraId="66CF45DE" w14:textId="77777777">
            <w:pPr>
              <w:spacing w:line="240" w:lineRule="auto"/>
              <w:rPr>
                <w:sz w:val="24"/>
              </w:rPr>
            </w:pPr>
            <w:r>
              <w:rPr>
                <w:rFonts w:ascii="Times New Roman" w:hAnsi="Times New Roman" w:eastAsia="Times New Roman" w:cs="Times New Roman"/>
                <w:color w:val="000000"/>
                <w:sz w:val="24"/>
              </w:rPr>
              <w:t>19</w:t>
            </w:r>
          </w:p>
        </w:tc>
      </w:tr>
      <w:tr w:rsidR="002B67AE" w14:paraId="5E1FA95A" w14:textId="77777777">
        <w:trPr>
          <w:jc w:val="center"/>
        </w:trPr>
        <w:tc>
          <w:tcPr>
            <w:tcW w:w="6200" w:type="dxa"/>
          </w:tcPr>
          <w:p w:rsidR="002B67AE" w:rsidRDefault="007728D4" w14:paraId="0D787AC8" w14:textId="77777777">
            <w:pPr>
              <w:spacing w:line="240" w:lineRule="auto"/>
              <w:rPr>
                <w:sz w:val="24"/>
              </w:rPr>
            </w:pPr>
            <w:r>
              <w:rPr>
                <w:rFonts w:ascii="Times New Roman" w:hAnsi="Times New Roman" w:eastAsia="Times New Roman" w:cs="Times New Roman"/>
                <w:strike/>
                <w:color w:val="008000"/>
                <w:sz w:val="24"/>
              </w:rPr>
              <w:t>Move From</w:t>
            </w:r>
          </w:p>
        </w:tc>
        <w:tc>
          <w:tcPr>
            <w:tcW w:w="1800" w:type="dxa"/>
          </w:tcPr>
          <w:p w:rsidR="002B67AE" w:rsidRDefault="007728D4" w14:paraId="620B1489" w14:textId="77777777">
            <w:pPr>
              <w:spacing w:line="240" w:lineRule="auto"/>
              <w:rPr>
                <w:sz w:val="24"/>
              </w:rPr>
            </w:pPr>
            <w:r>
              <w:rPr>
                <w:rFonts w:ascii="Times New Roman" w:hAnsi="Times New Roman" w:eastAsia="Times New Roman" w:cs="Times New Roman"/>
                <w:color w:val="000000"/>
                <w:sz w:val="24"/>
              </w:rPr>
              <w:t>0</w:t>
            </w:r>
          </w:p>
        </w:tc>
      </w:tr>
      <w:tr w:rsidR="002B67AE" w14:paraId="5AA901DC" w14:textId="77777777">
        <w:trPr>
          <w:jc w:val="center"/>
        </w:trPr>
        <w:tc>
          <w:tcPr>
            <w:tcW w:w="6200" w:type="dxa"/>
          </w:tcPr>
          <w:p w:rsidR="002B67AE" w:rsidRDefault="007728D4" w14:paraId="7FB0DCE0" w14:textId="77777777">
            <w:pPr>
              <w:spacing w:line="240" w:lineRule="auto"/>
              <w:rPr>
                <w:sz w:val="24"/>
              </w:rPr>
            </w:pPr>
            <w:r>
              <w:rPr>
                <w:rFonts w:ascii="Times New Roman" w:hAnsi="Times New Roman" w:eastAsia="Times New Roman" w:cs="Times New Roman"/>
                <w:color w:val="008000"/>
                <w:sz w:val="24"/>
                <w:u w:val="double"/>
              </w:rPr>
              <w:t>Move To</w:t>
            </w:r>
          </w:p>
        </w:tc>
        <w:tc>
          <w:tcPr>
            <w:tcW w:w="1800" w:type="dxa"/>
          </w:tcPr>
          <w:p w:rsidR="002B67AE" w:rsidRDefault="007728D4" w14:paraId="3F166EE4" w14:textId="77777777">
            <w:pPr>
              <w:spacing w:line="240" w:lineRule="auto"/>
              <w:rPr>
                <w:sz w:val="24"/>
              </w:rPr>
            </w:pPr>
            <w:r>
              <w:rPr>
                <w:rFonts w:ascii="Times New Roman" w:hAnsi="Times New Roman" w:eastAsia="Times New Roman" w:cs="Times New Roman"/>
                <w:color w:val="000000"/>
                <w:sz w:val="24"/>
              </w:rPr>
              <w:t>0</w:t>
            </w:r>
          </w:p>
        </w:tc>
      </w:tr>
      <w:tr w:rsidR="002B67AE" w14:paraId="7ADECC67" w14:textId="77777777">
        <w:trPr>
          <w:jc w:val="center"/>
        </w:trPr>
        <w:tc>
          <w:tcPr>
            <w:tcW w:w="6200" w:type="dxa"/>
          </w:tcPr>
          <w:p w:rsidR="002B67AE" w:rsidRDefault="007728D4" w14:paraId="20B93761" w14:textId="77777777">
            <w:pPr>
              <w:spacing w:line="240" w:lineRule="auto"/>
              <w:rPr>
                <w:sz w:val="24"/>
              </w:rPr>
            </w:pPr>
            <w:r>
              <w:rPr>
                <w:rFonts w:ascii="Times New Roman" w:hAnsi="Times New Roman" w:eastAsia="Times New Roman" w:cs="Times New Roman"/>
                <w:color w:val="0000FF"/>
                <w:sz w:val="24"/>
                <w:u w:val="double"/>
              </w:rPr>
              <w:t>Table Insert</w:t>
            </w:r>
          </w:p>
        </w:tc>
        <w:tc>
          <w:tcPr>
            <w:tcW w:w="1800" w:type="dxa"/>
          </w:tcPr>
          <w:p w:rsidR="002B67AE" w:rsidRDefault="007728D4" w14:paraId="7C8E51A3" w14:textId="77777777">
            <w:pPr>
              <w:spacing w:line="240" w:lineRule="auto"/>
              <w:rPr>
                <w:sz w:val="24"/>
              </w:rPr>
            </w:pPr>
            <w:r>
              <w:rPr>
                <w:rFonts w:ascii="Times New Roman" w:hAnsi="Times New Roman" w:eastAsia="Times New Roman" w:cs="Times New Roman"/>
                <w:color w:val="000000"/>
                <w:sz w:val="24"/>
              </w:rPr>
              <w:t>0</w:t>
            </w:r>
          </w:p>
        </w:tc>
      </w:tr>
      <w:tr w:rsidR="002B67AE" w14:paraId="78A061A4" w14:textId="77777777">
        <w:trPr>
          <w:jc w:val="center"/>
        </w:trPr>
        <w:tc>
          <w:tcPr>
            <w:tcW w:w="6200" w:type="dxa"/>
          </w:tcPr>
          <w:p w:rsidR="002B67AE" w:rsidRDefault="007728D4" w14:paraId="505484BA" w14:textId="77777777">
            <w:pPr>
              <w:spacing w:line="240" w:lineRule="auto"/>
              <w:rPr>
                <w:sz w:val="24"/>
              </w:rPr>
            </w:pPr>
            <w:r>
              <w:rPr>
                <w:rFonts w:ascii="Times New Roman" w:hAnsi="Times New Roman" w:eastAsia="Times New Roman" w:cs="Times New Roman"/>
                <w:strike/>
                <w:color w:val="FF0000"/>
                <w:sz w:val="24"/>
              </w:rPr>
              <w:t>Table Delete</w:t>
            </w:r>
          </w:p>
        </w:tc>
        <w:tc>
          <w:tcPr>
            <w:tcW w:w="1800" w:type="dxa"/>
          </w:tcPr>
          <w:p w:rsidR="002B67AE" w:rsidRDefault="007728D4" w14:paraId="5574B068" w14:textId="77777777">
            <w:pPr>
              <w:spacing w:line="240" w:lineRule="auto"/>
              <w:rPr>
                <w:sz w:val="24"/>
              </w:rPr>
            </w:pPr>
            <w:r>
              <w:rPr>
                <w:rFonts w:ascii="Times New Roman" w:hAnsi="Times New Roman" w:eastAsia="Times New Roman" w:cs="Times New Roman"/>
                <w:color w:val="000000"/>
                <w:sz w:val="24"/>
              </w:rPr>
              <w:t>0</w:t>
            </w:r>
          </w:p>
        </w:tc>
      </w:tr>
      <w:tr w:rsidR="002B67AE" w14:paraId="191FA70E" w14:textId="77777777">
        <w:trPr>
          <w:jc w:val="center"/>
        </w:trPr>
        <w:tc>
          <w:tcPr>
            <w:tcW w:w="6200" w:type="dxa"/>
          </w:tcPr>
          <w:p w:rsidR="002B67AE" w:rsidRDefault="007728D4" w14:paraId="3BCEC4F1" w14:textId="77777777">
            <w:pPr>
              <w:spacing w:line="240" w:lineRule="auto"/>
              <w:rPr>
                <w:sz w:val="24"/>
              </w:rPr>
            </w:pPr>
            <w:r>
              <w:rPr>
                <w:rFonts w:ascii="Times New Roman" w:hAnsi="Times New Roman" w:eastAsia="Times New Roman" w:cs="Times New Roman"/>
                <w:color w:val="008000"/>
                <w:sz w:val="24"/>
                <w:u w:val="double"/>
              </w:rPr>
              <w:t>Table moves to</w:t>
            </w:r>
          </w:p>
        </w:tc>
        <w:tc>
          <w:tcPr>
            <w:tcW w:w="1800" w:type="dxa"/>
          </w:tcPr>
          <w:p w:rsidR="002B67AE" w:rsidRDefault="007728D4" w14:paraId="06662ED7" w14:textId="77777777">
            <w:pPr>
              <w:spacing w:line="240" w:lineRule="auto"/>
              <w:rPr>
                <w:sz w:val="24"/>
              </w:rPr>
            </w:pPr>
            <w:r>
              <w:rPr>
                <w:rFonts w:ascii="Times New Roman" w:hAnsi="Times New Roman" w:eastAsia="Times New Roman" w:cs="Times New Roman"/>
                <w:color w:val="000000"/>
                <w:sz w:val="24"/>
              </w:rPr>
              <w:t>0</w:t>
            </w:r>
          </w:p>
        </w:tc>
      </w:tr>
      <w:tr w:rsidR="002B67AE" w14:paraId="2499AA77" w14:textId="77777777">
        <w:trPr>
          <w:jc w:val="center"/>
        </w:trPr>
        <w:tc>
          <w:tcPr>
            <w:tcW w:w="6200" w:type="dxa"/>
          </w:tcPr>
          <w:p w:rsidR="002B67AE" w:rsidRDefault="007728D4" w14:paraId="6E58795C" w14:textId="77777777">
            <w:pPr>
              <w:spacing w:line="240" w:lineRule="auto"/>
              <w:rPr>
                <w:sz w:val="24"/>
              </w:rPr>
            </w:pPr>
            <w:r>
              <w:rPr>
                <w:rFonts w:ascii="Times New Roman" w:hAnsi="Times New Roman" w:eastAsia="Times New Roman" w:cs="Times New Roman"/>
                <w:strike/>
                <w:color w:val="008000"/>
                <w:sz w:val="24"/>
              </w:rPr>
              <w:t>Table moves from</w:t>
            </w:r>
          </w:p>
        </w:tc>
        <w:tc>
          <w:tcPr>
            <w:tcW w:w="1800" w:type="dxa"/>
          </w:tcPr>
          <w:p w:rsidR="002B67AE" w:rsidRDefault="007728D4" w14:paraId="53349DE1" w14:textId="77777777">
            <w:pPr>
              <w:spacing w:line="240" w:lineRule="auto"/>
              <w:rPr>
                <w:sz w:val="24"/>
              </w:rPr>
            </w:pPr>
            <w:r>
              <w:rPr>
                <w:rFonts w:ascii="Times New Roman" w:hAnsi="Times New Roman" w:eastAsia="Times New Roman" w:cs="Times New Roman"/>
                <w:color w:val="000000"/>
                <w:sz w:val="24"/>
              </w:rPr>
              <w:t>0</w:t>
            </w:r>
          </w:p>
        </w:tc>
      </w:tr>
      <w:tr w:rsidR="002B67AE" w14:paraId="211F4B7B" w14:textId="77777777">
        <w:trPr>
          <w:jc w:val="center"/>
        </w:trPr>
        <w:tc>
          <w:tcPr>
            <w:tcW w:w="6200" w:type="dxa"/>
          </w:tcPr>
          <w:p w:rsidR="002B67AE" w:rsidRDefault="007728D4" w14:paraId="362D5605" w14:textId="77777777">
            <w:pPr>
              <w:spacing w:line="240" w:lineRule="auto"/>
              <w:rPr>
                <w:sz w:val="24"/>
              </w:rPr>
            </w:pPr>
            <w:r>
              <w:rPr>
                <w:rFonts w:ascii="Times New Roman" w:hAnsi="Times New Roman" w:eastAsia="Times New Roman" w:cs="Times New Roman"/>
                <w:color w:val="000000"/>
                <w:sz w:val="24"/>
              </w:rPr>
              <w:t>Embedded Graphics (Visio, ChemDraw, Images etc.)</w:t>
            </w:r>
          </w:p>
        </w:tc>
        <w:tc>
          <w:tcPr>
            <w:tcW w:w="1800" w:type="dxa"/>
          </w:tcPr>
          <w:p w:rsidR="002B67AE" w:rsidRDefault="007728D4" w14:paraId="0449DFE7" w14:textId="77777777">
            <w:pPr>
              <w:spacing w:line="240" w:lineRule="auto"/>
              <w:rPr>
                <w:sz w:val="24"/>
              </w:rPr>
            </w:pPr>
            <w:r>
              <w:rPr>
                <w:rFonts w:ascii="Times New Roman" w:hAnsi="Times New Roman" w:eastAsia="Times New Roman" w:cs="Times New Roman"/>
                <w:color w:val="000000"/>
                <w:sz w:val="24"/>
              </w:rPr>
              <w:t>0</w:t>
            </w:r>
          </w:p>
        </w:tc>
      </w:tr>
      <w:tr w:rsidR="002B67AE" w14:paraId="387E8172" w14:textId="77777777">
        <w:trPr>
          <w:jc w:val="center"/>
        </w:trPr>
        <w:tc>
          <w:tcPr>
            <w:tcW w:w="6200" w:type="dxa"/>
          </w:tcPr>
          <w:p w:rsidR="002B67AE" w:rsidRDefault="007728D4" w14:paraId="489F67C1" w14:textId="77777777">
            <w:pPr>
              <w:spacing w:line="240" w:lineRule="auto"/>
              <w:rPr>
                <w:sz w:val="24"/>
              </w:rPr>
            </w:pPr>
            <w:r>
              <w:rPr>
                <w:rFonts w:ascii="Times New Roman" w:hAnsi="Times New Roman" w:eastAsia="Times New Roman" w:cs="Times New Roman"/>
                <w:color w:val="000000"/>
                <w:sz w:val="24"/>
              </w:rPr>
              <w:t xml:space="preserve">Embedded Excel </w:t>
            </w:r>
          </w:p>
        </w:tc>
        <w:tc>
          <w:tcPr>
            <w:tcW w:w="1800" w:type="dxa"/>
          </w:tcPr>
          <w:p w:rsidR="002B67AE" w:rsidRDefault="007728D4" w14:paraId="265C2830" w14:textId="77777777">
            <w:pPr>
              <w:spacing w:line="240" w:lineRule="auto"/>
              <w:rPr>
                <w:sz w:val="24"/>
              </w:rPr>
            </w:pPr>
            <w:r>
              <w:rPr>
                <w:rFonts w:ascii="Times New Roman" w:hAnsi="Times New Roman" w:eastAsia="Times New Roman" w:cs="Times New Roman"/>
                <w:color w:val="000000"/>
                <w:sz w:val="24"/>
              </w:rPr>
              <w:t>0</w:t>
            </w:r>
          </w:p>
        </w:tc>
      </w:tr>
      <w:tr w:rsidR="002B67AE" w14:paraId="7A4803BA" w14:textId="77777777">
        <w:trPr>
          <w:jc w:val="center"/>
        </w:trPr>
        <w:tc>
          <w:tcPr>
            <w:tcW w:w="6200" w:type="dxa"/>
          </w:tcPr>
          <w:p w:rsidR="002B67AE" w:rsidRDefault="007728D4" w14:paraId="6838BB3E" w14:textId="77777777">
            <w:pPr>
              <w:spacing w:line="240" w:lineRule="auto"/>
              <w:rPr>
                <w:sz w:val="24"/>
              </w:rPr>
            </w:pPr>
            <w:r>
              <w:rPr>
                <w:rFonts w:ascii="Times New Roman" w:hAnsi="Times New Roman" w:eastAsia="Times New Roman" w:cs="Times New Roman"/>
                <w:color w:val="000000"/>
                <w:sz w:val="24"/>
              </w:rPr>
              <w:t>Format changes</w:t>
            </w:r>
          </w:p>
        </w:tc>
        <w:tc>
          <w:tcPr>
            <w:tcW w:w="1800" w:type="dxa"/>
          </w:tcPr>
          <w:p w:rsidR="002B67AE" w:rsidRDefault="007728D4" w14:paraId="637428A4" w14:textId="77777777">
            <w:pPr>
              <w:spacing w:line="240" w:lineRule="auto"/>
              <w:rPr>
                <w:sz w:val="24"/>
              </w:rPr>
            </w:pPr>
            <w:r>
              <w:rPr>
                <w:rFonts w:ascii="Times New Roman" w:hAnsi="Times New Roman" w:eastAsia="Times New Roman" w:cs="Times New Roman"/>
                <w:color w:val="000000"/>
                <w:sz w:val="24"/>
              </w:rPr>
              <w:t>0</w:t>
            </w:r>
          </w:p>
        </w:tc>
      </w:tr>
      <w:tr w:rsidR="002B67AE" w14:paraId="3274554A" w14:textId="77777777">
        <w:trPr>
          <w:jc w:val="center"/>
        </w:trPr>
        <w:tc>
          <w:tcPr>
            <w:tcW w:w="6200" w:type="dxa"/>
          </w:tcPr>
          <w:p w:rsidR="002B67AE" w:rsidRDefault="007728D4" w14:paraId="37C3E2D8" w14:textId="77777777">
            <w:pPr>
              <w:spacing w:line="240" w:lineRule="auto"/>
              <w:rPr>
                <w:sz w:val="24"/>
              </w:rPr>
            </w:pPr>
            <w:r>
              <w:rPr>
                <w:rFonts w:ascii="Times New Roman" w:hAnsi="Times New Roman" w:eastAsia="Times New Roman" w:cs="Times New Roman"/>
                <w:b/>
                <w:color w:val="000000"/>
                <w:sz w:val="24"/>
              </w:rPr>
              <w:t xml:space="preserve">Total Changes: </w:t>
            </w:r>
          </w:p>
        </w:tc>
        <w:tc>
          <w:tcPr>
            <w:tcW w:w="1800" w:type="dxa"/>
          </w:tcPr>
          <w:p w:rsidR="002B67AE" w:rsidRDefault="007728D4" w14:paraId="70E23E13" w14:textId="77777777">
            <w:pPr>
              <w:spacing w:line="240" w:lineRule="auto"/>
              <w:rPr>
                <w:sz w:val="24"/>
              </w:rPr>
            </w:pPr>
            <w:r>
              <w:rPr>
                <w:rFonts w:ascii="Times New Roman" w:hAnsi="Times New Roman" w:eastAsia="Times New Roman" w:cs="Times New Roman"/>
                <w:color w:val="000000"/>
                <w:sz w:val="24"/>
              </w:rPr>
              <w:t>77</w:t>
            </w:r>
          </w:p>
        </w:tc>
      </w:tr>
    </w:tbl>
    <w:p w:rsidR="002B67AE" w:rsidRDefault="002B67AE" w14:paraId="33F8D16C" w14:textId="77777777">
      <w:pPr>
        <w:rPr>
          <w:sz w:val="24"/>
        </w:rPr>
      </w:pPr>
    </w:p>
    <w:p w:rsidR="002B67AE" w:rsidRDefault="002B67AE" w14:paraId="6B86F865" w14:textId="77777777">
      <w:pPr>
        <w:rPr>
          <w:sz w:val="24"/>
        </w:rPr>
      </w:pPr>
    </w:p>
    <w:sectPr w:rsidR="002B67AE">
      <w:headerReference w:type="default" r:id="rId29"/>
      <w:footerReference w:type="default" r:id="rId3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15D44" w14:textId="77777777" w:rsidR="007728D4" w:rsidRDefault="007728D4" w:rsidP="0098138E">
      <w:pPr>
        <w:spacing w:line="240" w:lineRule="auto"/>
      </w:pPr>
      <w:r>
        <w:separator/>
      </w:r>
    </w:p>
  </w:endnote>
  <w:endnote w:type="continuationSeparator" w:id="0">
    <w:p w14:paraId="55422F2A" w14:textId="77777777" w:rsidR="007728D4" w:rsidRDefault="007728D4"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CC56" w14:textId="77777777" w:rsidR="002B67AE" w:rsidRDefault="002B67AE">
    <w:pPr>
      <w:rPr>
        <w:sz w:val="2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704C" w14:textId="77777777" w:rsidR="002B67AE" w:rsidRDefault="002B67AE">
    <w:pP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0" w:name="_cp_change_89"/>
  <w:p w14:paraId="6EEC1929" w14:textId="77777777" w:rsidR="002B67AE" w:rsidRDefault="007728D4">
    <w:pPr>
      <w:pStyle w:val="Header1"/>
      <w:jc w:val="center"/>
      <w:rPr>
        <w:strike/>
        <w:color w:val="FF0000"/>
      </w:rPr>
    </w:pPr>
    <w:r>
      <w:rPr>
        <w:strike/>
        <w:color w:val="FF0000"/>
        <w:u w:color="FF0000"/>
      </w:rPr>
      <w:fldChar w:fldCharType="begin"/>
    </w:r>
    <w:r>
      <w:rPr>
        <w:strike/>
        <w:color w:val="FF0000"/>
        <w:u w:color="FF0000"/>
      </w:rPr>
      <w:instrText>PAGE   \* MERGEFORMAT</w:instrText>
    </w:r>
    <w:r>
      <w:rPr>
        <w:strike/>
        <w:color w:val="FF0000"/>
        <w:u w:color="FF0000"/>
      </w:rPr>
      <w:fldChar w:fldCharType="separate"/>
    </w:r>
    <w:r>
      <w:rPr>
        <w:strike/>
        <w:noProof/>
        <w:color w:val="FF0000"/>
        <w:u w:color="FF0000"/>
      </w:rPr>
      <w:t>- 1 -</w:t>
    </w:r>
    <w:r>
      <w:rPr>
        <w:strike/>
        <w:noProof/>
        <w:color w:val="FF0000"/>
        <w:u w:color="FF0000"/>
      </w:rPr>
      <w:fldChar w:fldCharType="end"/>
    </w:r>
  </w:p>
  <w:bookmarkEnd w:id="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636B" w14:textId="77777777" w:rsidR="002B67AE" w:rsidRDefault="002B67AE">
    <w:pPr>
      <w:rPr>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0D8D" w14:textId="77777777" w:rsidR="002B67AE" w:rsidRDefault="002B67AE">
    <w:pPr>
      <w:rPr>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7B97C" w14:textId="77777777" w:rsidR="00E23CBB" w:rsidRDefault="007279C1" w:rsidP="00CF1455">
    <w:pPr>
      <w:spacing w:line="240" w:lineRule="auto"/>
      <w:ind w:firstLine="0"/>
      <w:jc w:val="center"/>
    </w:pPr>
    <w:r>
      <w:noBreakHyphen/>
    </w:r>
    <w:sdt>
      <w:sdtPr>
        <w:id w:val="-1034043401"/>
        <w:docPartObj>
          <w:docPartGallery w:val="Page Numbers (Bottom of Page)"/>
          <w:docPartUnique/>
        </w:docPartObj>
      </w:sdtPr>
      <w:sdtEndPr>
        <w:rPr>
          <w:noProof/>
        </w:rPr>
      </w:sdtEndPr>
      <w:sdtContent>
        <w:r>
          <w:t xml:space="preserve"> </w:t>
        </w:r>
        <w:r>
          <w:fldChar w:fldCharType="begin"/>
        </w:r>
        <w:r>
          <w:instrText>PAGE   \* MERGEFORMAT</w:instrText>
        </w:r>
        <w:r>
          <w:fldChar w:fldCharType="separate"/>
        </w:r>
        <w:r>
          <w:rPr>
            <w:noProof/>
          </w:rPr>
          <w:t>1</w:t>
        </w:r>
        <w:r>
          <w:rPr>
            <w:noProof/>
          </w:rPr>
          <w:fldChar w:fldCharType="end"/>
        </w:r>
        <w:r>
          <w:rPr>
            <w:noProof/>
          </w:rPr>
          <w:t xml:space="preserve"> </w:t>
        </w:r>
        <w:r>
          <w:rPr>
            <w:noProof/>
          </w:rPr>
          <w:noBreakHyphen/>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22F6A" w14:textId="77777777" w:rsidR="00CF1455" w:rsidRDefault="004D0F25" w:rsidP="00CF1455">
    <w:pPr>
      <w:pStyle w:val="Footer"/>
      <w:ind w:firstLine="0"/>
    </w:pPr>
    <w:bookmarkStart w:id="120" w:name="_cp_change_92"/>
    <w:r>
      <w:rPr>
        <w:strike/>
        <w:color w:val="FF0000"/>
        <w:sz w:val="16"/>
        <w:u w:color="FF0000"/>
      </w:rPr>
      <w:t>605929122</w:t>
    </w:r>
    <w:bookmarkStart w:id="121" w:name="_cp_change_93"/>
    <w:bookmarkEnd w:id="120"/>
    <w:r>
      <w:rPr>
        <w:color w:val="0000FF"/>
        <w:sz w:val="16"/>
        <w:u w:val="double" w:color="0000FF"/>
      </w:rPr>
      <w:t>609718540</w:t>
    </w:r>
    <w:bookmarkEnd w:id="121"/>
    <w:r>
      <w:tab/>
      <w:t xml:space="preserve">- </w:t>
    </w:r>
    <w:r>
      <w:fldChar w:fldCharType="begin"/>
    </w:r>
    <w:r>
      <w:instrText>PAGE   \* MERGEFORMAT</w:instrText>
    </w:r>
    <w:r>
      <w:fldChar w:fldCharType="separate"/>
    </w:r>
    <w:r>
      <w:rPr>
        <w:noProof/>
      </w:rPr>
      <w:t>1</w:t>
    </w:r>
    <w:r>
      <w:rPr>
        <w:noProof/>
      </w:rP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8E0F" w14:textId="77777777" w:rsidR="002B67AE" w:rsidRDefault="002B67AE">
    <w:pPr>
      <w:rPr>
        <w:sz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4DEC" w14:textId="77777777" w:rsidR="008D2608" w:rsidRPr="008D2608" w:rsidRDefault="008D2608" w:rsidP="008D260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77CD" w14:textId="77777777" w:rsidR="00463EA9" w:rsidRPr="00463EA9" w:rsidRDefault="00463EA9" w:rsidP="00463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ECD48" w14:textId="77777777" w:rsidR="007728D4" w:rsidRDefault="007728D4" w:rsidP="00DF58E7">
      <w:pPr>
        <w:spacing w:line="240" w:lineRule="auto"/>
        <w:ind w:firstLine="0"/>
      </w:pPr>
      <w:r>
        <w:separator/>
      </w:r>
    </w:p>
  </w:footnote>
  <w:footnote w:type="continuationSeparator" w:id="0">
    <w:p w14:paraId="3031DE62" w14:textId="77777777" w:rsidR="007728D4" w:rsidRDefault="007728D4" w:rsidP="00DF58E7">
      <w:pPr>
        <w:spacing w:line="240" w:lineRule="auto"/>
        <w:ind w:firstLine="0"/>
      </w:pPr>
      <w:r>
        <w:continuationSeparator/>
      </w:r>
    </w:p>
  </w:footnote>
  <w:footnote w:type="continuationNotice" w:id="1">
    <w:p w14:paraId="4FE18901" w14:textId="77777777" w:rsidR="007728D4" w:rsidRPr="00DF58E7" w:rsidRDefault="007728D4" w:rsidP="00DF58E7">
      <w:pPr>
        <w:spacing w:line="240" w:lineRule="auto"/>
        <w:ind w:firstLine="0"/>
        <w:jc w:val="right"/>
        <w:rPr>
          <w:i/>
          <w:sz w:val="22"/>
        </w:rPr>
      </w:pPr>
      <w:r>
        <w:rPr>
          <w:i/>
          <w:sz w:val="22"/>
        </w:rPr>
        <w:t>Footnote continued on next page.</w:t>
      </w:r>
    </w:p>
  </w:footnote>
  <w:footnote w:id="2">
    <w:p w14:paraId="54FFB99E" w14:textId="77777777" w:rsidR="000C3802" w:rsidRDefault="000C3802">
      <w:pPr>
        <w:pStyle w:val="FootnoteText"/>
      </w:pPr>
      <w:r>
        <w:rPr>
          <w:rStyle w:val="FootnoteReference"/>
        </w:rPr>
        <w:footnoteRef/>
      </w:r>
      <w:r>
        <w:t xml:space="preserve"> </w:t>
      </w:r>
      <w:r>
        <w:rPr>
          <w:i/>
          <w:iCs/>
        </w:rPr>
        <w:t>See</w:t>
      </w:r>
      <w:r>
        <w:t xml:space="preserve"> page 52 in D.22</w:t>
      </w:r>
      <w:r>
        <w:noBreakHyphen/>
        <w:t>10</w:t>
      </w:r>
      <w:r>
        <w:noBreakHyphen/>
        <w:t>021.</w:t>
      </w:r>
    </w:p>
  </w:footnote>
  <w:footnote w:id="3">
    <w:p w14:paraId="7180BC62" w14:textId="77777777" w:rsidR="00813807" w:rsidRDefault="00813807">
      <w:pPr>
        <w:pStyle w:val="FootnoteText"/>
      </w:pPr>
      <w:r>
        <w:rPr>
          <w:rStyle w:val="FootnoteReference"/>
        </w:rPr>
        <w:footnoteRef/>
      </w:r>
      <w:r>
        <w:t xml:space="preserve"> </w:t>
      </w:r>
      <w:r>
        <w:rPr>
          <w:i/>
          <w:iCs/>
        </w:rPr>
        <w:t>Id</w:t>
      </w:r>
      <w:r>
        <w:t>. at 53.</w:t>
      </w:r>
    </w:p>
  </w:footnote>
  <w:footnote w:id="4">
    <w:p w14:paraId="72C80192" w14:textId="77777777" w:rsidR="00DE0BF7" w:rsidRDefault="00DE0BF7">
      <w:pPr>
        <w:pStyle w:val="FootnoteText"/>
      </w:pPr>
      <w:r>
        <w:rPr>
          <w:rStyle w:val="FootnoteReference"/>
        </w:rPr>
        <w:footnoteRef/>
      </w:r>
      <w:r>
        <w:t xml:space="preserve"> </w:t>
      </w:r>
      <w:r>
        <w:rPr>
          <w:i/>
          <w:iCs/>
        </w:rPr>
        <w:t>Ibid.</w:t>
      </w:r>
    </w:p>
  </w:footnote>
  <w:footnote w:id="5">
    <w:p w14:paraId="7DF1358C" w14:textId="77777777" w:rsidR="0079603A" w:rsidRDefault="0079603A">
      <w:pPr>
        <w:pStyle w:val="FootnoteText"/>
      </w:pPr>
      <w:r>
        <w:rPr>
          <w:rStyle w:val="FootnoteReference"/>
        </w:rPr>
        <w:footnoteRef/>
      </w:r>
      <w:r>
        <w:t xml:space="preserve"> </w:t>
      </w:r>
      <w:r>
        <w:rPr>
          <w:i/>
          <w:iCs/>
        </w:rPr>
        <w:t>Ibid.</w:t>
      </w:r>
    </w:p>
  </w:footnote>
  <w:footnote w:id="6">
    <w:p w14:paraId="29A03146" w14:textId="77777777" w:rsidR="004D6619" w:rsidRDefault="004D6619">
      <w:pPr>
        <w:pStyle w:val="FootnoteText"/>
      </w:pPr>
      <w:r>
        <w:rPr>
          <w:rStyle w:val="FootnoteReference"/>
        </w:rPr>
        <w:footnoteRef/>
      </w:r>
      <w:r>
        <w:t xml:space="preserve"> </w:t>
      </w:r>
      <w:r>
        <w:rPr>
          <w:i/>
          <w:iCs/>
        </w:rPr>
        <w:t>Ibid.</w:t>
      </w:r>
    </w:p>
  </w:footnote>
  <w:footnote w:id="7">
    <w:p w14:paraId="018F1630" w14:textId="77777777" w:rsidR="004D6619" w:rsidRDefault="004D6619">
      <w:pPr>
        <w:pStyle w:val="FootnoteText"/>
      </w:pPr>
      <w:r>
        <w:rPr>
          <w:rStyle w:val="FootnoteReference"/>
        </w:rPr>
        <w:footnoteRef/>
      </w:r>
      <w:r>
        <w:t xml:space="preserve"> </w:t>
      </w:r>
      <w:r>
        <w:rPr>
          <w:i/>
          <w:iCs/>
        </w:rPr>
        <w:t>Ibid.</w:t>
      </w:r>
    </w:p>
  </w:footnote>
  <w:footnote w:id="8">
    <w:p w14:paraId="6952D50D" w14:textId="77777777" w:rsidR="008D139E" w:rsidRDefault="008D139E">
      <w:pPr>
        <w:pStyle w:val="FootnoteText"/>
      </w:pPr>
      <w:r>
        <w:rPr>
          <w:rStyle w:val="FootnoteReference"/>
        </w:rPr>
        <w:footnoteRef/>
      </w:r>
      <w:r>
        <w:t xml:space="preserve"> January 5, 2026 Ruling.</w:t>
      </w:r>
    </w:p>
  </w:footnote>
  <w:footnote w:id="9">
    <w:p w14:paraId="29C4349C" w14:textId="77777777" w:rsidR="00E96A31" w:rsidRDefault="00E96A31">
      <w:pPr>
        <w:pStyle w:val="FootnoteText"/>
        <w:rPr>
          <w:color w:val="0000FF"/>
          <w:u w:val="double"/>
        </w:rPr>
      </w:pPr>
      <w:bookmarkStart w:id="51" w:name="_cp_change_38"/>
      <w:r>
        <w:rPr>
          <w:rStyle w:val="FootnoteReference"/>
          <w:color w:val="0000FF"/>
          <w:u w:val="double" w:color="0000FF"/>
        </w:rPr>
        <w:footnoteRef/>
      </w:r>
      <w:r>
        <w:rPr>
          <w:color w:val="0000FF"/>
          <w:u w:val="double" w:color="0000FF"/>
        </w:rPr>
        <w:t xml:space="preserve"> Comments of The California Broadband &amp; Video Association on Proposed Decision Closing Rulemaking 21-03-003, June 16, 2026, at 2.</w:t>
      </w:r>
      <w:bookmarkStart w:id="52" w:name="_cp_change_39"/>
      <w:bookmarkEnd w:id="51"/>
    </w:p>
    <w:bookmarkStart w:id="53" w:name="_cp_change_42"/>
    <w:bookmarkEnd w:id="52"/>
  </w:footnote>
  <w:footnote w:id="10">
    <w:p w14:paraId="6722FE4A" w14:textId="77777777" w:rsidR="001F17AA" w:rsidRDefault="001F17AA">
      <w:pPr>
        <w:pStyle w:val="FootnoteText"/>
        <w:rPr>
          <w:color w:val="0000FF"/>
          <w:u w:val="double"/>
        </w:rPr>
      </w:pPr>
      <w:bookmarkStart w:id="56" w:name="_cp_change_42"/>
      <w:r>
        <w:rPr>
          <w:rStyle w:val="FootnoteReference"/>
          <w:color w:val="0000FF"/>
          <w:u w:val="double" w:color="0000FF"/>
        </w:rPr>
        <w:footnoteRef/>
      </w:r>
      <w:r>
        <w:rPr>
          <w:color w:val="0000FF"/>
          <w:u w:val="double" w:color="0000FF"/>
        </w:rPr>
        <w:t xml:space="preserve"> </w:t>
      </w:r>
      <w:r>
        <w:rPr>
          <w:i/>
          <w:iCs/>
          <w:color w:val="0000FF"/>
          <w:u w:val="double" w:color="0000FF"/>
        </w:rPr>
        <w:t>Ibid</w:t>
      </w:r>
      <w:r>
        <w:rPr>
          <w:color w:val="0000FF"/>
          <w:u w:val="double" w:color="0000FF"/>
        </w:rPr>
        <w:t>.</w:t>
      </w:r>
      <w:bookmarkStart w:id="57" w:name="_cp_change_43"/>
      <w:bookmarkEnd w:id="56"/>
    </w:p>
    <w:bookmarkStart w:id="58" w:name="_cp_change_46"/>
    <w:bookmarkEnd w:id="57"/>
  </w:footnote>
  <w:footnote w:id="11">
    <w:p w14:paraId="448250DF" w14:textId="77777777" w:rsidR="00810F65" w:rsidRDefault="00810F65">
      <w:pPr>
        <w:pStyle w:val="FootnoteText"/>
        <w:rPr>
          <w:color w:val="0000FF"/>
          <w:u w:val="double"/>
        </w:rPr>
      </w:pPr>
      <w:bookmarkStart w:id="61" w:name="_cp_change_46"/>
      <w:r>
        <w:rPr>
          <w:rStyle w:val="FootnoteReference"/>
          <w:color w:val="0000FF"/>
          <w:u w:val="double" w:color="0000FF"/>
        </w:rPr>
        <w:footnoteRef/>
      </w:r>
      <w:r>
        <w:rPr>
          <w:color w:val="0000FF"/>
          <w:u w:val="double" w:color="0000FF"/>
        </w:rPr>
        <w:t xml:space="preserve"> </w:t>
      </w:r>
      <w:r>
        <w:rPr>
          <w:i/>
          <w:iCs/>
          <w:color w:val="0000FF"/>
          <w:u w:val="double" w:color="0000FF"/>
        </w:rPr>
        <w:t>Id</w:t>
      </w:r>
      <w:r>
        <w:rPr>
          <w:color w:val="0000FF"/>
          <w:u w:val="double" w:color="0000FF"/>
        </w:rPr>
        <w:t>., at 3.</w:t>
      </w:r>
      <w:bookmarkStart w:id="62" w:name="_cp_change_47"/>
      <w:bookmarkEnd w:id="61"/>
    </w:p>
    <w:bookmarkStart w:id="63" w:name="_cp_change_50"/>
    <w:bookmarkEnd w:id="62"/>
  </w:footnote>
  <w:footnote w:id="12">
    <w:p w14:paraId="56655BBE" w14:textId="77777777" w:rsidR="00DE1EE0" w:rsidRDefault="00DE1EE0">
      <w:pPr>
        <w:pStyle w:val="FootnoteText"/>
        <w:rPr>
          <w:color w:val="0000FF"/>
          <w:u w:val="double"/>
        </w:rPr>
      </w:pPr>
      <w:bookmarkStart w:id="66" w:name="_cp_change_50"/>
      <w:r>
        <w:rPr>
          <w:rStyle w:val="FootnoteReference"/>
          <w:color w:val="0000FF"/>
          <w:u w:val="double" w:color="0000FF"/>
        </w:rPr>
        <w:footnoteRef/>
      </w:r>
      <w:r>
        <w:rPr>
          <w:color w:val="0000FF"/>
          <w:u w:val="double" w:color="0000FF"/>
        </w:rPr>
        <w:t xml:space="preserve"> </w:t>
      </w:r>
      <w:r>
        <w:rPr>
          <w:i/>
          <w:iCs/>
          <w:color w:val="0000FF"/>
          <w:u w:val="double" w:color="0000FF"/>
        </w:rPr>
        <w:t>Ibid.</w:t>
      </w:r>
      <w:bookmarkStart w:id="67" w:name="_cp_change_51"/>
      <w:bookmarkEnd w:id="66"/>
    </w:p>
    <w:bookmarkStart w:id="68" w:name="_cp_change_54"/>
    <w:bookmarkEnd w:id="67"/>
  </w:footnote>
  <w:footnote w:id="13">
    <w:p w14:paraId="097D74F9" w14:textId="77777777" w:rsidR="009B0798" w:rsidRDefault="009B0798">
      <w:pPr>
        <w:pStyle w:val="FootnoteText"/>
        <w:rPr>
          <w:color w:val="0000FF"/>
          <w:u w:val="double"/>
        </w:rPr>
      </w:pPr>
      <w:bookmarkStart w:id="71" w:name="_cp_change_54"/>
      <w:r>
        <w:rPr>
          <w:rStyle w:val="FootnoteReference"/>
          <w:color w:val="0000FF"/>
          <w:u w:val="double" w:color="0000FF"/>
        </w:rPr>
        <w:footnoteRef/>
      </w:r>
      <w:r>
        <w:rPr>
          <w:color w:val="0000FF"/>
          <w:u w:val="double" w:color="0000FF"/>
        </w:rPr>
        <w:t xml:space="preserve"> Center for Accessible Technology Comments on Proposed Decision Closing Rulemaking 21</w:t>
      </w:r>
      <w:r>
        <w:rPr>
          <w:color w:val="0000FF"/>
          <w:u w:val="double" w:color="0000FF"/>
        </w:rPr>
        <w:noBreakHyphen/>
        <w:t>03</w:t>
      </w:r>
      <w:r>
        <w:rPr>
          <w:color w:val="0000FF"/>
          <w:u w:val="double" w:color="0000FF"/>
        </w:rPr>
        <w:noBreakHyphen/>
        <w:t>002, June 16, 2026, at 1.</w:t>
      </w:r>
      <w:bookmarkStart w:id="72" w:name="_cp_change_55"/>
      <w:bookmarkEnd w:id="71"/>
    </w:p>
    <w:bookmarkStart w:id="73" w:name="_cp_change_58"/>
    <w:bookmarkEnd w:id="72"/>
  </w:footnote>
  <w:footnote w:id="14">
    <w:p w14:paraId="2CFD2BFB" w14:textId="77777777" w:rsidR="003E2BA0" w:rsidRDefault="003E2BA0">
      <w:pPr>
        <w:pStyle w:val="FootnoteText"/>
        <w:rPr>
          <w:color w:val="0000FF"/>
          <w:u w:val="double"/>
        </w:rPr>
      </w:pPr>
      <w:bookmarkStart w:id="76" w:name="_cp_change_58"/>
      <w:r>
        <w:rPr>
          <w:rStyle w:val="FootnoteReference"/>
          <w:color w:val="0000FF"/>
          <w:u w:val="double" w:color="0000FF"/>
        </w:rPr>
        <w:footnoteRef/>
      </w:r>
      <w:r>
        <w:rPr>
          <w:color w:val="0000FF"/>
          <w:u w:val="double" w:color="0000FF"/>
        </w:rPr>
        <w:t xml:space="preserve"> </w:t>
      </w:r>
      <w:r>
        <w:rPr>
          <w:i/>
          <w:iCs/>
          <w:color w:val="0000FF"/>
          <w:u w:val="double" w:color="0000FF"/>
        </w:rPr>
        <w:t>Id</w:t>
      </w:r>
      <w:r>
        <w:rPr>
          <w:color w:val="0000FF"/>
          <w:u w:val="double" w:color="0000FF"/>
        </w:rPr>
        <w:t>., at 3.</w:t>
      </w:r>
      <w:bookmarkStart w:id="77" w:name="_cp_change_59"/>
      <w:bookmarkEnd w:id="76"/>
    </w:p>
    <w:bookmarkStart w:id="78" w:name="_cp_change_62"/>
    <w:bookmarkEnd w:id="77"/>
  </w:footnote>
  <w:footnote w:id="15">
    <w:p w14:paraId="078D0684" w14:textId="77777777" w:rsidR="00EA2D54" w:rsidRDefault="00EA2D54">
      <w:pPr>
        <w:pStyle w:val="FootnoteText"/>
        <w:rPr>
          <w:color w:val="0000FF"/>
          <w:u w:val="double"/>
        </w:rPr>
      </w:pPr>
      <w:bookmarkStart w:id="81" w:name="_cp_change_62"/>
      <w:r>
        <w:rPr>
          <w:rStyle w:val="FootnoteReference"/>
          <w:color w:val="0000FF"/>
          <w:u w:val="double" w:color="0000FF"/>
        </w:rPr>
        <w:footnoteRef/>
      </w:r>
      <w:r>
        <w:rPr>
          <w:color w:val="0000FF"/>
          <w:u w:val="double" w:color="0000FF"/>
        </w:rPr>
        <w:t xml:space="preserve"> </w:t>
      </w:r>
      <w:r>
        <w:rPr>
          <w:i/>
          <w:iCs/>
          <w:color w:val="0000FF"/>
          <w:u w:val="double" w:color="0000FF"/>
        </w:rPr>
        <w:t>Id</w:t>
      </w:r>
      <w:r>
        <w:rPr>
          <w:color w:val="0000FF"/>
          <w:u w:val="double" w:color="0000FF"/>
        </w:rPr>
        <w:t>., at 4.</w:t>
      </w:r>
      <w:bookmarkStart w:id="82" w:name="_cp_change_63"/>
      <w:bookmarkEnd w:id="81"/>
    </w:p>
    <w:bookmarkStart w:id="83" w:name="_cp_change_66"/>
    <w:bookmarkEnd w:id="82"/>
  </w:footnote>
  <w:footnote w:id="16">
    <w:p w14:paraId="483FB09F" w14:textId="77777777" w:rsidR="005B3701" w:rsidRDefault="005B3701">
      <w:pPr>
        <w:pStyle w:val="FootnoteText"/>
        <w:rPr>
          <w:color w:val="0000FF"/>
          <w:u w:val="double"/>
        </w:rPr>
      </w:pPr>
      <w:bookmarkStart w:id="86" w:name="_cp_change_66"/>
      <w:r>
        <w:rPr>
          <w:rStyle w:val="FootnoteReference"/>
          <w:color w:val="0000FF"/>
          <w:u w:val="double" w:color="0000FF"/>
        </w:rPr>
        <w:footnoteRef/>
      </w:r>
      <w:r>
        <w:rPr>
          <w:color w:val="0000FF"/>
          <w:u w:val="double" w:color="0000FF"/>
        </w:rPr>
        <w:t xml:space="preserve"> </w:t>
      </w:r>
      <w:r>
        <w:rPr>
          <w:i/>
          <w:iCs/>
          <w:color w:val="0000FF"/>
          <w:u w:val="double" w:color="0000FF"/>
        </w:rPr>
        <w:t>Id.</w:t>
      </w:r>
      <w:r>
        <w:rPr>
          <w:color w:val="0000FF"/>
          <w:u w:val="double" w:color="0000FF"/>
        </w:rPr>
        <w:t>, at 1.</w:t>
      </w:r>
      <w:bookmarkStart w:id="87" w:name="_cp_change_67"/>
      <w:bookmarkEnd w:id="86"/>
    </w:p>
    <w:bookmarkStart w:id="88" w:name="_cp_change_70"/>
    <w:bookmarkEnd w:id="87"/>
  </w:footnote>
  <w:footnote w:id="17">
    <w:p w14:paraId="4E67A638" w14:textId="77777777" w:rsidR="00797DB8" w:rsidRDefault="00797DB8">
      <w:pPr>
        <w:pStyle w:val="FootnoteText"/>
        <w:rPr>
          <w:color w:val="0000FF"/>
          <w:u w:val="double"/>
        </w:rPr>
      </w:pPr>
      <w:bookmarkStart w:id="91" w:name="_cp_change_70"/>
      <w:r>
        <w:rPr>
          <w:rStyle w:val="FootnoteReference"/>
          <w:color w:val="0000FF"/>
          <w:u w:val="double" w:color="0000FF"/>
        </w:rPr>
        <w:footnoteRef/>
      </w:r>
      <w:r>
        <w:rPr>
          <w:color w:val="0000FF"/>
          <w:u w:val="double" w:color="0000FF"/>
        </w:rPr>
        <w:t xml:space="preserve"> Reply Comments of CTIA on Proposed Decision Closing Rulemaking 21</w:t>
      </w:r>
      <w:r>
        <w:rPr>
          <w:color w:val="0000FF"/>
          <w:u w:val="double" w:color="0000FF"/>
        </w:rPr>
        <w:noBreakHyphen/>
        <w:t>03</w:t>
      </w:r>
      <w:r>
        <w:rPr>
          <w:color w:val="0000FF"/>
          <w:u w:val="double" w:color="0000FF"/>
        </w:rPr>
        <w:noBreakHyphen/>
        <w:t>002 (Reply Comments of CTIA), June 22, 2026, at 1.</w:t>
      </w:r>
      <w:bookmarkStart w:id="92" w:name="_cp_change_71"/>
      <w:bookmarkEnd w:id="91"/>
    </w:p>
    <w:bookmarkStart w:id="93" w:name="_cp_change_74"/>
    <w:bookmarkEnd w:id="92"/>
  </w:footnote>
  <w:footnote w:id="18">
    <w:p w14:paraId="79607FBE" w14:textId="77777777" w:rsidR="00693C3F" w:rsidRDefault="00693C3F">
      <w:pPr>
        <w:pStyle w:val="FootnoteText"/>
        <w:rPr>
          <w:color w:val="0000FF"/>
          <w:u w:val="double"/>
        </w:rPr>
      </w:pPr>
      <w:bookmarkStart w:id="96" w:name="_cp_change_74"/>
      <w:r>
        <w:rPr>
          <w:rStyle w:val="FootnoteReference"/>
          <w:color w:val="0000FF"/>
          <w:u w:val="double" w:color="0000FF"/>
        </w:rPr>
        <w:footnoteRef/>
      </w:r>
      <w:r>
        <w:rPr>
          <w:color w:val="0000FF"/>
          <w:u w:val="double" w:color="0000FF"/>
        </w:rPr>
        <w:t xml:space="preserve"> Reply Comments of Pacific Bell Telephone Company, D/B/A AT&amp;T California; AT&amp;T Enterprises, LLC; and AT&amp;T Mobility (Reply Comments of AT&amp;T), June 22, 2026, at 2.</w:t>
      </w:r>
      <w:bookmarkStart w:id="97" w:name="_cp_change_75"/>
      <w:bookmarkEnd w:id="96"/>
    </w:p>
    <w:bookmarkStart w:id="98" w:name="_cp_change_78"/>
    <w:bookmarkEnd w:id="97"/>
  </w:footnote>
  <w:footnote w:id="19">
    <w:p w14:paraId="06118E38" w14:textId="77777777" w:rsidR="005214F3" w:rsidRDefault="005214F3">
      <w:pPr>
        <w:pStyle w:val="FootnoteText"/>
        <w:rPr>
          <w:color w:val="0000FF"/>
          <w:u w:val="double"/>
        </w:rPr>
      </w:pPr>
      <w:bookmarkStart w:id="101" w:name="_cp_change_78"/>
      <w:r>
        <w:rPr>
          <w:rStyle w:val="FootnoteReference"/>
          <w:color w:val="0000FF"/>
          <w:u w:val="double" w:color="0000FF"/>
        </w:rPr>
        <w:footnoteRef/>
      </w:r>
      <w:r>
        <w:rPr>
          <w:color w:val="0000FF"/>
          <w:u w:val="double" w:color="0000FF"/>
        </w:rPr>
        <w:t xml:space="preserve"> Reply Comments of AT&amp;T at 3.</w:t>
      </w:r>
      <w:bookmarkStart w:id="102" w:name="_cp_change_79"/>
      <w:bookmarkEnd w:id="101"/>
    </w:p>
    <w:bookmarkStart w:id="103" w:name="_cp_change_82"/>
    <w:bookmarkEnd w:id="102"/>
  </w:footnote>
  <w:footnote w:id="20">
    <w:p w14:paraId="6A89A6EC" w14:textId="77777777" w:rsidR="00916F1A" w:rsidRDefault="00916F1A">
      <w:pPr>
        <w:pStyle w:val="FootnoteText"/>
        <w:rPr>
          <w:color w:val="0000FF"/>
          <w:u w:val="double"/>
        </w:rPr>
      </w:pPr>
      <w:bookmarkStart w:id="106" w:name="_cp_change_82"/>
      <w:r>
        <w:rPr>
          <w:rStyle w:val="FootnoteReference"/>
          <w:color w:val="0000FF"/>
          <w:u w:val="double" w:color="0000FF"/>
        </w:rPr>
        <w:footnoteRef/>
      </w:r>
      <w:r>
        <w:rPr>
          <w:color w:val="0000FF"/>
          <w:u w:val="double" w:color="0000FF"/>
        </w:rPr>
        <w:t xml:space="preserve"> Reply Comments of CTIA at 2.</w:t>
      </w:r>
      <w:bookmarkStart w:id="107" w:name="_cp_change_83"/>
      <w:bookmarkEnd w:id="106"/>
      <w:bookmarkEnd w:id="10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E2D4" w14:textId="77777777" w:rsidR="002B67AE" w:rsidRDefault="002B67AE">
    <w:pPr>
      <w:rPr>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A7965" w14:textId="77777777" w:rsidR="002B67AE" w:rsidRDefault="002B67AE">
    <w:pP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4042" w14:textId="77777777" w:rsidR="002B67AE" w:rsidRDefault="002B67AE">
    <w:pP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85B58" w14:textId="77777777" w:rsidR="002B67AE" w:rsidRDefault="002B67AE">
    <w:pPr>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EB3C6" w14:textId="77777777" w:rsidR="002B67AE" w:rsidRDefault="002B67AE">
    <w:pPr>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C136" w14:textId="77777777" w:rsidR="00137FC5" w:rsidRPr="00E37D41" w:rsidRDefault="00137FC5" w:rsidP="00F92B6E">
    <w:pPr>
      <w:pStyle w:val="Header"/>
      <w:tabs>
        <w:tab w:val="clear" w:pos="4680"/>
      </w:tabs>
      <w:ind w:firstLine="0"/>
      <w:rPr>
        <w:b/>
        <w:bCs/>
      </w:rPr>
    </w:pPr>
    <w:r>
      <w:t>R.21</w:t>
    </w:r>
    <w:r>
      <w:noBreakHyphen/>
      <w:t>03</w:t>
    </w:r>
    <w:r>
      <w:noBreakHyphen/>
      <w:t>002  ALJ/HCF/nd3</w:t>
    </w:r>
    <w:bookmarkStart w:id="118" w:name="_cp_change_90"/>
    <w:r>
      <w:rPr>
        <w:color w:val="0000FF"/>
        <w:u w:val="double" w:color="0000FF"/>
      </w:rPr>
      <w:t>/smt</w:t>
    </w:r>
    <w:bookmarkEnd w:id="118"/>
    <w:r>
      <w:tab/>
    </w:r>
    <w:r>
      <w:rPr>
        <w:b/>
        <w:bCs/>
      </w:rPr>
      <w:t>PROPOSED DECISION</w:t>
    </w:r>
    <w:bookmarkStart w:id="119" w:name="_cp_change_91"/>
    <w:r>
      <w:rPr>
        <w:b/>
        <w:bCs/>
        <w:color w:val="0000FF"/>
        <w:u w:val="double" w:color="0000FF"/>
      </w:rPr>
      <w:t xml:space="preserve"> (Rev.1)</w:t>
    </w:r>
    <w:bookmarkEnd w:id="119"/>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90F2" w14:textId="77777777" w:rsidR="00137FC5" w:rsidRPr="00F92B6E" w:rsidRDefault="00137FC5" w:rsidP="00F92B6E">
    <w:pPr>
      <w:pStyle w:val="Header"/>
      <w:ind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03ED" w14:textId="77777777" w:rsidR="002B67AE" w:rsidRDefault="002B67AE">
    <w:pPr>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1238" w14:textId="77777777" w:rsidR="00137FC5" w:rsidRPr="00E37D41" w:rsidRDefault="00137FC5" w:rsidP="00F92B6E">
    <w:pPr>
      <w:pStyle w:val="Header1"/>
      <w:tabs>
        <w:tab w:val="clear" w:pos="4680"/>
      </w:tabs>
      <w:ind w:firstLine="0"/>
      <w:rPr>
        <w:b/>
        <w:bCs/>
      </w:rPr>
    </w:pPr>
    <w:r>
      <w:t>R.21</w:t>
    </w:r>
    <w:r>
      <w:noBreakHyphen/>
      <w:t>03</w:t>
    </w:r>
    <w:r>
      <w:noBreakHyphen/>
      <w:t>002  ALJ/HCF/nd3</w:t>
    </w:r>
    <w:bookmarkStart w:id="122" w:name="_cp_change_94"/>
    <w:r>
      <w:rPr>
        <w:color w:val="0000FF"/>
        <w:u w:val="double" w:color="0000FF"/>
      </w:rPr>
      <w:t>/smt</w:t>
    </w:r>
    <w:bookmarkEnd w:id="122"/>
    <w:r>
      <w:tab/>
    </w:r>
    <w:r>
      <w:rPr>
        <w:b/>
        <w:bCs/>
      </w:rPr>
      <w:t>PROPOSED DECISION</w:t>
    </w:r>
    <w:bookmarkStart w:id="123" w:name="_cp_change_95"/>
    <w:r>
      <w:rPr>
        <w:b/>
        <w:bCs/>
        <w:color w:val="0000FF"/>
        <w:u w:val="double" w:color="0000FF"/>
      </w:rPr>
      <w:t xml:space="preserve"> (Rev.1)</w:t>
    </w:r>
    <w:bookmarkEnd w:id="123"/>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1FB40" w14:textId="77777777" w:rsidR="00137FC5" w:rsidRPr="00F92B6E" w:rsidRDefault="00137FC5" w:rsidP="00F92B6E">
    <w:pPr>
      <w:pStyle w:val="Header1"/>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777D13"/>
    <w:multiLevelType w:val="multilevel"/>
    <w:tmpl w:val="2E6E7E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7F0DFE"/>
    <w:multiLevelType w:val="hybridMultilevel"/>
    <w:tmpl w:val="085E3830"/>
    <w:lvl w:ilvl="0" w:tplc="32EA91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 w15:restartNumberingAfterBreak="0">
    <w:nsid w:val="15F056CB"/>
    <w:multiLevelType w:val="multilevel"/>
    <w:tmpl w:val="18F4A5AC"/>
    <w:numStyleLink w:val="FoFCoLOP"/>
  </w:abstractNum>
  <w:abstractNum w:abstractNumId="5" w15:restartNumberingAfterBreak="0">
    <w:nsid w:val="18593D22"/>
    <w:multiLevelType w:val="multilevel"/>
    <w:tmpl w:val="DDD0F9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70038F"/>
    <w:multiLevelType w:val="multilevel"/>
    <w:tmpl w:val="3C526EDE"/>
    <w:numStyleLink w:val="Headings"/>
  </w:abstractNum>
  <w:abstractNum w:abstractNumId="8" w15:restartNumberingAfterBreak="0">
    <w:nsid w:val="1E2242C9"/>
    <w:multiLevelType w:val="multilevel"/>
    <w:tmpl w:val="3C526EDE"/>
    <w:numStyleLink w:val="Headings"/>
  </w:abstractNum>
  <w:abstractNum w:abstractNumId="9" w15:restartNumberingAfterBreak="0">
    <w:nsid w:val="21FB58FE"/>
    <w:multiLevelType w:val="multilevel"/>
    <w:tmpl w:val="3C526EDE"/>
    <w:numStyleLink w:val="Headings"/>
  </w:abstractNum>
  <w:abstractNum w:abstractNumId="10" w15:restartNumberingAfterBreak="0">
    <w:nsid w:val="243663A0"/>
    <w:multiLevelType w:val="multilevel"/>
    <w:tmpl w:val="3C526EDE"/>
    <w:numStyleLink w:val="Headings"/>
  </w:abstractNum>
  <w:abstractNum w:abstractNumId="11" w15:restartNumberingAfterBreak="0">
    <w:nsid w:val="2A3A336B"/>
    <w:multiLevelType w:val="multilevel"/>
    <w:tmpl w:val="BC3A9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8124D7"/>
    <w:multiLevelType w:val="multilevel"/>
    <w:tmpl w:val="3C526EDE"/>
    <w:numStyleLink w:val="Headings"/>
  </w:abstractNum>
  <w:abstractNum w:abstractNumId="13" w15:restartNumberingAfterBreak="0">
    <w:nsid w:val="2DE44CBA"/>
    <w:multiLevelType w:val="multilevel"/>
    <w:tmpl w:val="9CEC8A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5" w15:restartNumberingAfterBreak="0">
    <w:nsid w:val="3537410E"/>
    <w:multiLevelType w:val="multilevel"/>
    <w:tmpl w:val="F44EDC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017819"/>
    <w:multiLevelType w:val="multilevel"/>
    <w:tmpl w:val="661486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9E6C1A"/>
    <w:multiLevelType w:val="multilevel"/>
    <w:tmpl w:val="EE1AD9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50054F"/>
    <w:multiLevelType w:val="multilevel"/>
    <w:tmpl w:val="BA447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8255C6"/>
    <w:multiLevelType w:val="multilevel"/>
    <w:tmpl w:val="B11AC2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561EFD"/>
    <w:multiLevelType w:val="multilevel"/>
    <w:tmpl w:val="25ACA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59D042D7"/>
    <w:multiLevelType w:val="multilevel"/>
    <w:tmpl w:val="18F4A5AC"/>
    <w:numStyleLink w:val="FoFCoLOP"/>
  </w:abstractNum>
  <w:abstractNum w:abstractNumId="23" w15:restartNumberingAfterBreak="0">
    <w:nsid w:val="5A9E2171"/>
    <w:multiLevelType w:val="multilevel"/>
    <w:tmpl w:val="3C526EDE"/>
    <w:numStyleLink w:val="Headings"/>
  </w:abstractNum>
  <w:abstractNum w:abstractNumId="24" w15:restartNumberingAfterBreak="0">
    <w:nsid w:val="61A25780"/>
    <w:multiLevelType w:val="multilevel"/>
    <w:tmpl w:val="3C526EDE"/>
    <w:numStyleLink w:val="Headings"/>
  </w:abstractNum>
  <w:abstractNum w:abstractNumId="25" w15:restartNumberingAfterBreak="0">
    <w:nsid w:val="6E1E4312"/>
    <w:multiLevelType w:val="multilevel"/>
    <w:tmpl w:val="7FC4EA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89A0AFE"/>
    <w:multiLevelType w:val="multilevel"/>
    <w:tmpl w:val="18F4A5AC"/>
    <w:numStyleLink w:val="FoFCoLOP"/>
  </w:abstractNum>
  <w:abstractNum w:abstractNumId="28" w15:restartNumberingAfterBreak="0">
    <w:nsid w:val="7B617ABD"/>
    <w:multiLevelType w:val="multilevel"/>
    <w:tmpl w:val="043A5E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DA5D81"/>
    <w:multiLevelType w:val="multilevel"/>
    <w:tmpl w:val="D338C2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5764878">
    <w:abstractNumId w:val="23"/>
  </w:num>
  <w:num w:numId="2" w16cid:durableId="137311824">
    <w:abstractNumId w:val="3"/>
  </w:num>
  <w:num w:numId="3" w16cid:durableId="1770394782">
    <w:abstractNumId w:val="22"/>
  </w:num>
  <w:num w:numId="4" w16cid:durableId="1436096109">
    <w:abstractNumId w:val="4"/>
  </w:num>
  <w:num w:numId="5" w16cid:durableId="1399935830">
    <w:abstractNumId w:val="27"/>
  </w:num>
  <w:num w:numId="6" w16cid:durableId="1200171097">
    <w:abstractNumId w:val="14"/>
  </w:num>
  <w:num w:numId="7" w16cid:durableId="784688535">
    <w:abstractNumId w:val="8"/>
  </w:num>
  <w:num w:numId="8" w16cid:durableId="1235162329">
    <w:abstractNumId w:val="26"/>
  </w:num>
  <w:num w:numId="9" w16cid:durableId="138771650">
    <w:abstractNumId w:val="0"/>
  </w:num>
  <w:num w:numId="10" w16cid:durableId="142546520">
    <w:abstractNumId w:val="7"/>
  </w:num>
  <w:num w:numId="11" w16cid:durableId="483590924">
    <w:abstractNumId w:val="9"/>
  </w:num>
  <w:num w:numId="12" w16cid:durableId="1134788134">
    <w:abstractNumId w:val="6"/>
  </w:num>
  <w:num w:numId="13" w16cid:durableId="725690755">
    <w:abstractNumId w:val="10"/>
  </w:num>
  <w:num w:numId="14" w16cid:durableId="1052343182">
    <w:abstractNumId w:val="12"/>
  </w:num>
  <w:num w:numId="15" w16cid:durableId="458762377">
    <w:abstractNumId w:val="24"/>
  </w:num>
  <w:num w:numId="16" w16cid:durableId="9545573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836076">
    <w:abstractNumId w:val="24"/>
  </w:num>
  <w:num w:numId="18" w16cid:durableId="1722360801">
    <w:abstractNumId w:val="18"/>
  </w:num>
  <w:num w:numId="19" w16cid:durableId="627588129">
    <w:abstractNumId w:val="13"/>
  </w:num>
  <w:num w:numId="20" w16cid:durableId="305671481">
    <w:abstractNumId w:val="16"/>
  </w:num>
  <w:num w:numId="21" w16cid:durableId="214122797">
    <w:abstractNumId w:val="15"/>
  </w:num>
  <w:num w:numId="22" w16cid:durableId="583416835">
    <w:abstractNumId w:val="5"/>
  </w:num>
  <w:num w:numId="23" w16cid:durableId="1783719291">
    <w:abstractNumId w:val="1"/>
  </w:num>
  <w:num w:numId="24" w16cid:durableId="811600773">
    <w:abstractNumId w:val="29"/>
  </w:num>
  <w:num w:numId="25" w16cid:durableId="719284790">
    <w:abstractNumId w:val="19"/>
  </w:num>
  <w:num w:numId="26" w16cid:durableId="1406148232">
    <w:abstractNumId w:val="25"/>
  </w:num>
  <w:num w:numId="27" w16cid:durableId="1921525903">
    <w:abstractNumId w:val="11"/>
  </w:num>
  <w:num w:numId="28" w16cid:durableId="452213285">
    <w:abstractNumId w:val="20"/>
  </w:num>
  <w:num w:numId="29" w16cid:durableId="1189609573">
    <w:abstractNumId w:val="28"/>
  </w:num>
  <w:num w:numId="30" w16cid:durableId="1190338568">
    <w:abstractNumId w:val="17"/>
  </w:num>
  <w:num w:numId="31" w16cid:durableId="491063327">
    <w:abstractNumId w:val="2"/>
  </w:num>
  <w:num w:numId="32" w16cid:durableId="546112768">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746"/>
    <w:rsid w:val="00000F6A"/>
    <w:rsid w:val="0000263F"/>
    <w:rsid w:val="00005D17"/>
    <w:rsid w:val="00013CAC"/>
    <w:rsid w:val="00037CBB"/>
    <w:rsid w:val="00062BE2"/>
    <w:rsid w:val="0006455E"/>
    <w:rsid w:val="00064CC1"/>
    <w:rsid w:val="00064D40"/>
    <w:rsid w:val="0007115A"/>
    <w:rsid w:val="00072E07"/>
    <w:rsid w:val="00073FB1"/>
    <w:rsid w:val="00074729"/>
    <w:rsid w:val="00090328"/>
    <w:rsid w:val="000963CC"/>
    <w:rsid w:val="000973C8"/>
    <w:rsid w:val="000A0EB6"/>
    <w:rsid w:val="000A1AA2"/>
    <w:rsid w:val="000A2AA9"/>
    <w:rsid w:val="000A2C85"/>
    <w:rsid w:val="000A3C48"/>
    <w:rsid w:val="000A4D6E"/>
    <w:rsid w:val="000A56F2"/>
    <w:rsid w:val="000A6353"/>
    <w:rsid w:val="000A6E05"/>
    <w:rsid w:val="000B12FA"/>
    <w:rsid w:val="000B1CEE"/>
    <w:rsid w:val="000C08BF"/>
    <w:rsid w:val="000C170B"/>
    <w:rsid w:val="000C3802"/>
    <w:rsid w:val="000C3B9A"/>
    <w:rsid w:val="000C5D59"/>
    <w:rsid w:val="000C5FF1"/>
    <w:rsid w:val="000D0363"/>
    <w:rsid w:val="000D25A8"/>
    <w:rsid w:val="000E270A"/>
    <w:rsid w:val="000E41CF"/>
    <w:rsid w:val="000E4C53"/>
    <w:rsid w:val="000E712A"/>
    <w:rsid w:val="000F0022"/>
    <w:rsid w:val="000F08F2"/>
    <w:rsid w:val="000F0A25"/>
    <w:rsid w:val="000F12C1"/>
    <w:rsid w:val="000F1313"/>
    <w:rsid w:val="000F164C"/>
    <w:rsid w:val="000F3572"/>
    <w:rsid w:val="000F48C6"/>
    <w:rsid w:val="000F768D"/>
    <w:rsid w:val="00102D8E"/>
    <w:rsid w:val="00121089"/>
    <w:rsid w:val="001226EC"/>
    <w:rsid w:val="00126769"/>
    <w:rsid w:val="00133248"/>
    <w:rsid w:val="0013626A"/>
    <w:rsid w:val="00137FC5"/>
    <w:rsid w:val="001440B1"/>
    <w:rsid w:val="00152691"/>
    <w:rsid w:val="00155746"/>
    <w:rsid w:val="00157BFE"/>
    <w:rsid w:val="00170453"/>
    <w:rsid w:val="00171089"/>
    <w:rsid w:val="00184A8F"/>
    <w:rsid w:val="00190FFF"/>
    <w:rsid w:val="00197C0C"/>
    <w:rsid w:val="001A59BD"/>
    <w:rsid w:val="001A65F6"/>
    <w:rsid w:val="001B601C"/>
    <w:rsid w:val="001C363F"/>
    <w:rsid w:val="001C3DE0"/>
    <w:rsid w:val="001C4FE0"/>
    <w:rsid w:val="001E0DB9"/>
    <w:rsid w:val="001E2A3A"/>
    <w:rsid w:val="001E2A62"/>
    <w:rsid w:val="001F08CA"/>
    <w:rsid w:val="001F17AA"/>
    <w:rsid w:val="001F2819"/>
    <w:rsid w:val="00200E64"/>
    <w:rsid w:val="0020299A"/>
    <w:rsid w:val="002043EC"/>
    <w:rsid w:val="00214BD8"/>
    <w:rsid w:val="002211B0"/>
    <w:rsid w:val="00226B40"/>
    <w:rsid w:val="00226EB1"/>
    <w:rsid w:val="002305CD"/>
    <w:rsid w:val="00237F7A"/>
    <w:rsid w:val="00243DC0"/>
    <w:rsid w:val="00243DFE"/>
    <w:rsid w:val="00247477"/>
    <w:rsid w:val="002614F9"/>
    <w:rsid w:val="00270440"/>
    <w:rsid w:val="00270BA1"/>
    <w:rsid w:val="00271745"/>
    <w:rsid w:val="00272B26"/>
    <w:rsid w:val="00272BF6"/>
    <w:rsid w:val="002756C4"/>
    <w:rsid w:val="00284D8D"/>
    <w:rsid w:val="00287BC5"/>
    <w:rsid w:val="00293DEE"/>
    <w:rsid w:val="00296504"/>
    <w:rsid w:val="002A07EF"/>
    <w:rsid w:val="002A0B5D"/>
    <w:rsid w:val="002A0E4F"/>
    <w:rsid w:val="002A6B76"/>
    <w:rsid w:val="002B67AE"/>
    <w:rsid w:val="002C4C8E"/>
    <w:rsid w:val="002C7FE9"/>
    <w:rsid w:val="002D00D5"/>
    <w:rsid w:val="002D0DC5"/>
    <w:rsid w:val="002D15B2"/>
    <w:rsid w:val="002D4EFD"/>
    <w:rsid w:val="002D4F1B"/>
    <w:rsid w:val="002E23A5"/>
    <w:rsid w:val="002E48B6"/>
    <w:rsid w:val="002F1B2D"/>
    <w:rsid w:val="00313E80"/>
    <w:rsid w:val="00315A97"/>
    <w:rsid w:val="00316071"/>
    <w:rsid w:val="00321A4A"/>
    <w:rsid w:val="003266A0"/>
    <w:rsid w:val="00335416"/>
    <w:rsid w:val="0034037A"/>
    <w:rsid w:val="00342C10"/>
    <w:rsid w:val="00343E5C"/>
    <w:rsid w:val="0034435B"/>
    <w:rsid w:val="00344FB8"/>
    <w:rsid w:val="00351018"/>
    <w:rsid w:val="0035719C"/>
    <w:rsid w:val="0036017B"/>
    <w:rsid w:val="0036071B"/>
    <w:rsid w:val="00362755"/>
    <w:rsid w:val="0036672D"/>
    <w:rsid w:val="00373B93"/>
    <w:rsid w:val="00380CD1"/>
    <w:rsid w:val="0039166C"/>
    <w:rsid w:val="003A02CA"/>
    <w:rsid w:val="003A38F0"/>
    <w:rsid w:val="003B42A5"/>
    <w:rsid w:val="003C121F"/>
    <w:rsid w:val="003C60C2"/>
    <w:rsid w:val="003D52A0"/>
    <w:rsid w:val="003E10D3"/>
    <w:rsid w:val="003E1368"/>
    <w:rsid w:val="003E2BA0"/>
    <w:rsid w:val="003E5C58"/>
    <w:rsid w:val="003F069A"/>
    <w:rsid w:val="003F4329"/>
    <w:rsid w:val="00404E7B"/>
    <w:rsid w:val="00412534"/>
    <w:rsid w:val="00412C83"/>
    <w:rsid w:val="00412D52"/>
    <w:rsid w:val="004165B0"/>
    <w:rsid w:val="004206EC"/>
    <w:rsid w:val="00422B67"/>
    <w:rsid w:val="00426014"/>
    <w:rsid w:val="00431028"/>
    <w:rsid w:val="004311E2"/>
    <w:rsid w:val="00440706"/>
    <w:rsid w:val="00440B52"/>
    <w:rsid w:val="00444035"/>
    <w:rsid w:val="00445C59"/>
    <w:rsid w:val="0044617E"/>
    <w:rsid w:val="00457C4F"/>
    <w:rsid w:val="0046078B"/>
    <w:rsid w:val="00460B7D"/>
    <w:rsid w:val="00460C6B"/>
    <w:rsid w:val="0046179F"/>
    <w:rsid w:val="00462220"/>
    <w:rsid w:val="00463EA9"/>
    <w:rsid w:val="00467C91"/>
    <w:rsid w:val="00475310"/>
    <w:rsid w:val="00480CB0"/>
    <w:rsid w:val="00483603"/>
    <w:rsid w:val="004932BA"/>
    <w:rsid w:val="004969F6"/>
    <w:rsid w:val="004A1EAD"/>
    <w:rsid w:val="004A47BE"/>
    <w:rsid w:val="004B34EA"/>
    <w:rsid w:val="004B3822"/>
    <w:rsid w:val="004B5494"/>
    <w:rsid w:val="004B6AD6"/>
    <w:rsid w:val="004C015F"/>
    <w:rsid w:val="004C4AEB"/>
    <w:rsid w:val="004C7A2B"/>
    <w:rsid w:val="004C7D3A"/>
    <w:rsid w:val="004D0F25"/>
    <w:rsid w:val="004D65E8"/>
    <w:rsid w:val="004D6619"/>
    <w:rsid w:val="004E0B5E"/>
    <w:rsid w:val="004E20EB"/>
    <w:rsid w:val="004E2B33"/>
    <w:rsid w:val="004F7310"/>
    <w:rsid w:val="005018A8"/>
    <w:rsid w:val="00505A39"/>
    <w:rsid w:val="00506EC5"/>
    <w:rsid w:val="005214F3"/>
    <w:rsid w:val="005240BF"/>
    <w:rsid w:val="00526DBB"/>
    <w:rsid w:val="00533D40"/>
    <w:rsid w:val="005462A5"/>
    <w:rsid w:val="00550738"/>
    <w:rsid w:val="00552144"/>
    <w:rsid w:val="00560F89"/>
    <w:rsid w:val="00561DBE"/>
    <w:rsid w:val="00563676"/>
    <w:rsid w:val="00566D9B"/>
    <w:rsid w:val="005807D6"/>
    <w:rsid w:val="00585390"/>
    <w:rsid w:val="005854EA"/>
    <w:rsid w:val="00585EB4"/>
    <w:rsid w:val="005939A5"/>
    <w:rsid w:val="005A148C"/>
    <w:rsid w:val="005A427F"/>
    <w:rsid w:val="005A6B7F"/>
    <w:rsid w:val="005A7034"/>
    <w:rsid w:val="005B3701"/>
    <w:rsid w:val="005B6265"/>
    <w:rsid w:val="005B7A88"/>
    <w:rsid w:val="005C58FA"/>
    <w:rsid w:val="005D34D5"/>
    <w:rsid w:val="005E11E0"/>
    <w:rsid w:val="005F1969"/>
    <w:rsid w:val="005F59CD"/>
    <w:rsid w:val="00603238"/>
    <w:rsid w:val="00603259"/>
    <w:rsid w:val="00603307"/>
    <w:rsid w:val="00605692"/>
    <w:rsid w:val="006149EF"/>
    <w:rsid w:val="00632207"/>
    <w:rsid w:val="0063467C"/>
    <w:rsid w:val="0063491C"/>
    <w:rsid w:val="00640929"/>
    <w:rsid w:val="00641A5C"/>
    <w:rsid w:val="006447B0"/>
    <w:rsid w:val="00661AFE"/>
    <w:rsid w:val="006642C7"/>
    <w:rsid w:val="006656CD"/>
    <w:rsid w:val="006673B6"/>
    <w:rsid w:val="00670696"/>
    <w:rsid w:val="00680F19"/>
    <w:rsid w:val="006832A3"/>
    <w:rsid w:val="00683B2C"/>
    <w:rsid w:val="006878C2"/>
    <w:rsid w:val="0069187A"/>
    <w:rsid w:val="00693C3F"/>
    <w:rsid w:val="00695505"/>
    <w:rsid w:val="006A5DE7"/>
    <w:rsid w:val="006A7369"/>
    <w:rsid w:val="006C0092"/>
    <w:rsid w:val="006C1F10"/>
    <w:rsid w:val="006D0AA0"/>
    <w:rsid w:val="006D32EB"/>
    <w:rsid w:val="006E27CD"/>
    <w:rsid w:val="006E5E28"/>
    <w:rsid w:val="006E6574"/>
    <w:rsid w:val="006E6FA1"/>
    <w:rsid w:val="00707E37"/>
    <w:rsid w:val="00712402"/>
    <w:rsid w:val="00714CF2"/>
    <w:rsid w:val="007156B9"/>
    <w:rsid w:val="00720817"/>
    <w:rsid w:val="00722850"/>
    <w:rsid w:val="00722B6E"/>
    <w:rsid w:val="007250EE"/>
    <w:rsid w:val="00726254"/>
    <w:rsid w:val="007279C1"/>
    <w:rsid w:val="00731EC4"/>
    <w:rsid w:val="0073353F"/>
    <w:rsid w:val="00735A91"/>
    <w:rsid w:val="00735AC6"/>
    <w:rsid w:val="00742E45"/>
    <w:rsid w:val="007447AF"/>
    <w:rsid w:val="007453E6"/>
    <w:rsid w:val="00750816"/>
    <w:rsid w:val="007633F0"/>
    <w:rsid w:val="007657C1"/>
    <w:rsid w:val="007728D4"/>
    <w:rsid w:val="0077755F"/>
    <w:rsid w:val="00777BC4"/>
    <w:rsid w:val="00786DA3"/>
    <w:rsid w:val="007959DC"/>
    <w:rsid w:val="00795EAA"/>
    <w:rsid w:val="0079603A"/>
    <w:rsid w:val="00797DB8"/>
    <w:rsid w:val="007A406D"/>
    <w:rsid w:val="007A62B0"/>
    <w:rsid w:val="007B66C8"/>
    <w:rsid w:val="007B7580"/>
    <w:rsid w:val="007C2370"/>
    <w:rsid w:val="007C2C33"/>
    <w:rsid w:val="007C5A0C"/>
    <w:rsid w:val="007D2C65"/>
    <w:rsid w:val="007D5234"/>
    <w:rsid w:val="007D603C"/>
    <w:rsid w:val="007E0FEE"/>
    <w:rsid w:val="007E20E9"/>
    <w:rsid w:val="007F2017"/>
    <w:rsid w:val="007F4F32"/>
    <w:rsid w:val="007F599B"/>
    <w:rsid w:val="0080281A"/>
    <w:rsid w:val="0080390E"/>
    <w:rsid w:val="00804086"/>
    <w:rsid w:val="008044DB"/>
    <w:rsid w:val="00804CF9"/>
    <w:rsid w:val="00810F65"/>
    <w:rsid w:val="00811BC0"/>
    <w:rsid w:val="00813524"/>
    <w:rsid w:val="00813807"/>
    <w:rsid w:val="008159CF"/>
    <w:rsid w:val="00816E05"/>
    <w:rsid w:val="0081769F"/>
    <w:rsid w:val="008339BB"/>
    <w:rsid w:val="00847F86"/>
    <w:rsid w:val="00852B52"/>
    <w:rsid w:val="00857D3B"/>
    <w:rsid w:val="008623BD"/>
    <w:rsid w:val="0086419A"/>
    <w:rsid w:val="00867987"/>
    <w:rsid w:val="0087023B"/>
    <w:rsid w:val="0089216C"/>
    <w:rsid w:val="008A08BF"/>
    <w:rsid w:val="008A107C"/>
    <w:rsid w:val="008A179F"/>
    <w:rsid w:val="008B0864"/>
    <w:rsid w:val="008B175A"/>
    <w:rsid w:val="008B3FDC"/>
    <w:rsid w:val="008B579B"/>
    <w:rsid w:val="008B786C"/>
    <w:rsid w:val="008C22D9"/>
    <w:rsid w:val="008C3CB7"/>
    <w:rsid w:val="008C7413"/>
    <w:rsid w:val="008D139E"/>
    <w:rsid w:val="008D16B7"/>
    <w:rsid w:val="008D2608"/>
    <w:rsid w:val="008D402B"/>
    <w:rsid w:val="008E3D24"/>
    <w:rsid w:val="008E5E5E"/>
    <w:rsid w:val="008E6AE6"/>
    <w:rsid w:val="008F0116"/>
    <w:rsid w:val="008F143D"/>
    <w:rsid w:val="008F2677"/>
    <w:rsid w:val="008F4C2F"/>
    <w:rsid w:val="008F7B38"/>
    <w:rsid w:val="00916F1A"/>
    <w:rsid w:val="0091714E"/>
    <w:rsid w:val="00921567"/>
    <w:rsid w:val="00922752"/>
    <w:rsid w:val="00923481"/>
    <w:rsid w:val="00925AD6"/>
    <w:rsid w:val="00926F93"/>
    <w:rsid w:val="00932865"/>
    <w:rsid w:val="009357A3"/>
    <w:rsid w:val="00956D72"/>
    <w:rsid w:val="009614AC"/>
    <w:rsid w:val="00961D5F"/>
    <w:rsid w:val="009656E9"/>
    <w:rsid w:val="00980120"/>
    <w:rsid w:val="00980F52"/>
    <w:rsid w:val="0098138E"/>
    <w:rsid w:val="00982220"/>
    <w:rsid w:val="0098655A"/>
    <w:rsid w:val="009866B4"/>
    <w:rsid w:val="00987D91"/>
    <w:rsid w:val="00991AC3"/>
    <w:rsid w:val="009A6E36"/>
    <w:rsid w:val="009B0798"/>
    <w:rsid w:val="009B5C15"/>
    <w:rsid w:val="009B6A81"/>
    <w:rsid w:val="009C1B22"/>
    <w:rsid w:val="009C4827"/>
    <w:rsid w:val="009D08C4"/>
    <w:rsid w:val="009E3A93"/>
    <w:rsid w:val="009E6052"/>
    <w:rsid w:val="009E78A8"/>
    <w:rsid w:val="009E7C7F"/>
    <w:rsid w:val="009F35A8"/>
    <w:rsid w:val="009F43A5"/>
    <w:rsid w:val="00A15830"/>
    <w:rsid w:val="00A15E88"/>
    <w:rsid w:val="00A17CE0"/>
    <w:rsid w:val="00A23D48"/>
    <w:rsid w:val="00A25C13"/>
    <w:rsid w:val="00A322D6"/>
    <w:rsid w:val="00A355B3"/>
    <w:rsid w:val="00A42306"/>
    <w:rsid w:val="00A44E8D"/>
    <w:rsid w:val="00A4531E"/>
    <w:rsid w:val="00A46EA8"/>
    <w:rsid w:val="00A477D4"/>
    <w:rsid w:val="00A50CD9"/>
    <w:rsid w:val="00A55ACD"/>
    <w:rsid w:val="00A611C2"/>
    <w:rsid w:val="00A64A22"/>
    <w:rsid w:val="00A6599F"/>
    <w:rsid w:val="00A73165"/>
    <w:rsid w:val="00A7607F"/>
    <w:rsid w:val="00A810EB"/>
    <w:rsid w:val="00A84D1D"/>
    <w:rsid w:val="00A85D27"/>
    <w:rsid w:val="00A905A1"/>
    <w:rsid w:val="00A9142A"/>
    <w:rsid w:val="00A93FAB"/>
    <w:rsid w:val="00A968C0"/>
    <w:rsid w:val="00AA2CA3"/>
    <w:rsid w:val="00AA5ED0"/>
    <w:rsid w:val="00AA6D71"/>
    <w:rsid w:val="00AB7875"/>
    <w:rsid w:val="00AB7D9F"/>
    <w:rsid w:val="00AC68EE"/>
    <w:rsid w:val="00AD6278"/>
    <w:rsid w:val="00AE5E23"/>
    <w:rsid w:val="00AE6B71"/>
    <w:rsid w:val="00B01F7E"/>
    <w:rsid w:val="00B0728D"/>
    <w:rsid w:val="00B16C2A"/>
    <w:rsid w:val="00B20F2B"/>
    <w:rsid w:val="00B2292A"/>
    <w:rsid w:val="00B22D61"/>
    <w:rsid w:val="00B233C2"/>
    <w:rsid w:val="00B303D8"/>
    <w:rsid w:val="00B3087D"/>
    <w:rsid w:val="00B34794"/>
    <w:rsid w:val="00B40F40"/>
    <w:rsid w:val="00B40FD2"/>
    <w:rsid w:val="00B41495"/>
    <w:rsid w:val="00B41B36"/>
    <w:rsid w:val="00B506BA"/>
    <w:rsid w:val="00B53B95"/>
    <w:rsid w:val="00B60421"/>
    <w:rsid w:val="00B62F53"/>
    <w:rsid w:val="00B636FA"/>
    <w:rsid w:val="00B65F7F"/>
    <w:rsid w:val="00B70778"/>
    <w:rsid w:val="00B77E2A"/>
    <w:rsid w:val="00B80B98"/>
    <w:rsid w:val="00B81AF6"/>
    <w:rsid w:val="00B81EB6"/>
    <w:rsid w:val="00B91EB1"/>
    <w:rsid w:val="00BA41B6"/>
    <w:rsid w:val="00BB0243"/>
    <w:rsid w:val="00BB4ECA"/>
    <w:rsid w:val="00BC1670"/>
    <w:rsid w:val="00BC1E3A"/>
    <w:rsid w:val="00BD02E4"/>
    <w:rsid w:val="00BD4ABA"/>
    <w:rsid w:val="00BE21E6"/>
    <w:rsid w:val="00BE46D3"/>
    <w:rsid w:val="00BF6939"/>
    <w:rsid w:val="00C07250"/>
    <w:rsid w:val="00C10087"/>
    <w:rsid w:val="00C10B5F"/>
    <w:rsid w:val="00C277E2"/>
    <w:rsid w:val="00C35384"/>
    <w:rsid w:val="00C44DD6"/>
    <w:rsid w:val="00C50232"/>
    <w:rsid w:val="00C5570E"/>
    <w:rsid w:val="00C61168"/>
    <w:rsid w:val="00C8216F"/>
    <w:rsid w:val="00C87525"/>
    <w:rsid w:val="00C878D5"/>
    <w:rsid w:val="00C9033B"/>
    <w:rsid w:val="00C913A1"/>
    <w:rsid w:val="00C92036"/>
    <w:rsid w:val="00C967CE"/>
    <w:rsid w:val="00CB35CA"/>
    <w:rsid w:val="00CC10A5"/>
    <w:rsid w:val="00CC2DFD"/>
    <w:rsid w:val="00CC6A99"/>
    <w:rsid w:val="00CD1AEC"/>
    <w:rsid w:val="00CE6E47"/>
    <w:rsid w:val="00CF1455"/>
    <w:rsid w:val="00CF1E4F"/>
    <w:rsid w:val="00CF1FD5"/>
    <w:rsid w:val="00D00AA3"/>
    <w:rsid w:val="00D0504E"/>
    <w:rsid w:val="00D07F73"/>
    <w:rsid w:val="00D14844"/>
    <w:rsid w:val="00D14D15"/>
    <w:rsid w:val="00D178EB"/>
    <w:rsid w:val="00D2041C"/>
    <w:rsid w:val="00D25ADE"/>
    <w:rsid w:val="00D25F99"/>
    <w:rsid w:val="00D3568B"/>
    <w:rsid w:val="00D43297"/>
    <w:rsid w:val="00D43E92"/>
    <w:rsid w:val="00D44BE8"/>
    <w:rsid w:val="00D44DB6"/>
    <w:rsid w:val="00D4676E"/>
    <w:rsid w:val="00D50119"/>
    <w:rsid w:val="00D530D1"/>
    <w:rsid w:val="00D6153A"/>
    <w:rsid w:val="00D658D2"/>
    <w:rsid w:val="00D67E41"/>
    <w:rsid w:val="00D72537"/>
    <w:rsid w:val="00D77F33"/>
    <w:rsid w:val="00D82A43"/>
    <w:rsid w:val="00D91BB6"/>
    <w:rsid w:val="00DA7B5D"/>
    <w:rsid w:val="00DB0E8F"/>
    <w:rsid w:val="00DB5F1A"/>
    <w:rsid w:val="00DB74F3"/>
    <w:rsid w:val="00DB75E8"/>
    <w:rsid w:val="00DC76B5"/>
    <w:rsid w:val="00DE0BF7"/>
    <w:rsid w:val="00DE1EE0"/>
    <w:rsid w:val="00DE21E1"/>
    <w:rsid w:val="00DE3B92"/>
    <w:rsid w:val="00DF1ABA"/>
    <w:rsid w:val="00DF4B77"/>
    <w:rsid w:val="00DF58E7"/>
    <w:rsid w:val="00DF7D06"/>
    <w:rsid w:val="00E11876"/>
    <w:rsid w:val="00E13242"/>
    <w:rsid w:val="00E15B98"/>
    <w:rsid w:val="00E23CBB"/>
    <w:rsid w:val="00E36D9B"/>
    <w:rsid w:val="00E37360"/>
    <w:rsid w:val="00E37B59"/>
    <w:rsid w:val="00E37D41"/>
    <w:rsid w:val="00E45022"/>
    <w:rsid w:val="00E47FF5"/>
    <w:rsid w:val="00E53438"/>
    <w:rsid w:val="00E5465B"/>
    <w:rsid w:val="00E64767"/>
    <w:rsid w:val="00E725FC"/>
    <w:rsid w:val="00E73ADD"/>
    <w:rsid w:val="00E75BCD"/>
    <w:rsid w:val="00E867A6"/>
    <w:rsid w:val="00E869C8"/>
    <w:rsid w:val="00E8784F"/>
    <w:rsid w:val="00E93C10"/>
    <w:rsid w:val="00E969F9"/>
    <w:rsid w:val="00E96A31"/>
    <w:rsid w:val="00EA2D54"/>
    <w:rsid w:val="00EA36C6"/>
    <w:rsid w:val="00EA4F46"/>
    <w:rsid w:val="00EB17ED"/>
    <w:rsid w:val="00EB3B67"/>
    <w:rsid w:val="00EC30F9"/>
    <w:rsid w:val="00EC36A4"/>
    <w:rsid w:val="00EC6952"/>
    <w:rsid w:val="00ED5725"/>
    <w:rsid w:val="00ED7031"/>
    <w:rsid w:val="00EE1723"/>
    <w:rsid w:val="00EE3060"/>
    <w:rsid w:val="00EE3909"/>
    <w:rsid w:val="00EE4315"/>
    <w:rsid w:val="00EE4365"/>
    <w:rsid w:val="00EF3B4C"/>
    <w:rsid w:val="00EF45F3"/>
    <w:rsid w:val="00EF6925"/>
    <w:rsid w:val="00F04E90"/>
    <w:rsid w:val="00F06AB7"/>
    <w:rsid w:val="00F12118"/>
    <w:rsid w:val="00F16698"/>
    <w:rsid w:val="00F20002"/>
    <w:rsid w:val="00F21CB1"/>
    <w:rsid w:val="00F26ED3"/>
    <w:rsid w:val="00F326E5"/>
    <w:rsid w:val="00F32C43"/>
    <w:rsid w:val="00F33D27"/>
    <w:rsid w:val="00F373D0"/>
    <w:rsid w:val="00F37BD6"/>
    <w:rsid w:val="00F60429"/>
    <w:rsid w:val="00F62B7A"/>
    <w:rsid w:val="00F6397D"/>
    <w:rsid w:val="00F719F6"/>
    <w:rsid w:val="00F7293E"/>
    <w:rsid w:val="00F76650"/>
    <w:rsid w:val="00F76752"/>
    <w:rsid w:val="00F85C88"/>
    <w:rsid w:val="00F9187B"/>
    <w:rsid w:val="00F92385"/>
    <w:rsid w:val="00F92730"/>
    <w:rsid w:val="00F92B6E"/>
    <w:rsid w:val="00F93A4A"/>
    <w:rsid w:val="00FA1B4F"/>
    <w:rsid w:val="00FA37CE"/>
    <w:rsid w:val="00FB0073"/>
    <w:rsid w:val="00FC1CD7"/>
    <w:rsid w:val="00FC47F9"/>
    <w:rsid w:val="00FC66C9"/>
    <w:rsid w:val="00FC6C4E"/>
    <w:rsid w:val="00FE2351"/>
    <w:rsid w:val="00FE337D"/>
    <w:rsid w:val="00FE4529"/>
    <w:rsid w:val="00FE5580"/>
    <w:rsid w:val="00FE77A2"/>
    <w:rsid w:val="00FF110C"/>
    <w:rsid w:val="00FF7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2DE0C"/>
  <w15:chartTrackingRefBased/>
  <w15:docId w15:val="{84D40CFF-F179-4910-AA96-196DE7716801}"/>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0E270A"/>
    <w:pPr>
      <w:numPr>
        <w:numId w:val="6"/>
      </w:numPr>
    </w:pPr>
  </w:style>
  <w:style w:type="paragraph" w:customStyle="1" w:styleId="BlockQuoteH033">
    <w:name w:val="BlockQuoteH033"/>
    <w:basedOn w:val="Normal"/>
    <w:qFormat/>
    <w:rsid w:val="006832A3"/>
    <w:pPr>
      <w:spacing w:after="120" w:line="240" w:lineRule="auto"/>
      <w:ind w:left="1195" w:right="1440" w:hanging="475"/>
    </w:pPr>
  </w:style>
  <w:style w:type="paragraph" w:customStyle="1" w:styleId="Standard">
    <w:name w:val="Standard"/>
    <w:basedOn w:val="Normal"/>
    <w:qFormat/>
    <w:rsid w:val="007A406D"/>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character" w:styleId="Hyperlink">
    <w:name w:val="Hyperlink"/>
    <w:basedOn w:val="DefaultParagraphFont"/>
    <w:uiPriority w:val="99"/>
    <w:rsid w:val="00D82A43"/>
    <w:rPr>
      <w:color w:val="0563C1" w:themeColor="hyperlink"/>
      <w:u w:val="single"/>
    </w:rPr>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paragraph" w:customStyle="1" w:styleId="CoL">
    <w:name w:val="CoL"/>
    <w:basedOn w:val="Standard"/>
    <w:uiPriority w:val="7"/>
    <w:qFormat/>
    <w:rsid w:val="001E2A62"/>
    <w:pPr>
      <w:numPr>
        <w:numId w:val="4"/>
      </w:numPr>
      <w:ind w:firstLine="547"/>
    </w:p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NoSpacing">
    <w:name w:val="No Spacing"/>
    <w:basedOn w:val="Standard"/>
    <w:uiPriority w:val="1"/>
    <w:rsid w:val="00287BC5"/>
    <w:pPr>
      <w:spacing w:after="120" w:line="240" w:lineRule="auto"/>
      <w:ind w:firstLine="0"/>
      <w:contextualSpacing/>
    </w:p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EF3B4C"/>
    <w:pPr>
      <w:keepNext/>
      <w:spacing w:before="180"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numbering" w:customStyle="1" w:styleId="FoFCoLOP">
    <w:name w:val="FoF/CoL/OP"/>
    <w:uiPriority w:val="99"/>
    <w:rsid w:val="008E6AE6"/>
    <w:pPr>
      <w:numPr>
        <w:numId w:val="2"/>
      </w:numPr>
    </w:pPr>
  </w:style>
  <w:style w:type="paragraph" w:customStyle="1" w:styleId="Header1">
    <w:name w:val="Header_1"/>
    <w:uiPriority w:val="99"/>
    <w:semiHidden/>
    <w:pPr>
      <w:tabs>
        <w:tab w:val="center" w:pos="4680"/>
        <w:tab w:val="right" w:pos="9360"/>
      </w:tabs>
      <w:spacing w:after="0" w:line="240" w:lineRule="auto"/>
      <w:ind w:firstLine="720"/>
    </w:pPr>
    <w:rPr>
      <w:rFonts w:ascii="Book Antiqua" w:hAnsi="Book Antiqua"/>
      <w:sz w:val="26"/>
    </w:rPr>
  </w:style>
  <w:style w:type="character" w:styleId="FootnoteReference">
    <w:name w:val="footnote reference"/>
    <w:basedOn w:val="DefaultParagraphFont"/>
    <w:uiPriority w:val="99"/>
    <w:semiHidden/>
    <w:unhideWhenUsed/>
    <w:rsid w:val="00DF58E7"/>
    <w:rPr>
      <w:vertAlign w:val="superscript"/>
    </w:rPr>
  </w:style>
  <w:style w:type="paragraph" w:styleId="TOC9">
    <w:name w:val="toc 9"/>
    <w:basedOn w:val="Normal"/>
    <w:next w:val="Normal"/>
    <w:autoRedefine/>
    <w:uiPriority w:val="39"/>
    <w:semiHidden/>
    <w:unhideWhenUsed/>
    <w:rsid w:val="00D82A43"/>
    <w:pPr>
      <w:spacing w:after="100"/>
      <w:ind w:left="2080"/>
    </w:pPr>
  </w:style>
  <w:style w:type="paragraph" w:customStyle="1" w:styleId="FoF">
    <w:name w:val="FoF"/>
    <w:basedOn w:val="Standard"/>
    <w:uiPriority w:val="6"/>
    <w:qFormat/>
    <w:rsid w:val="001E2A62"/>
    <w:pPr>
      <w:numPr>
        <w:numId w:val="3"/>
      </w:numPr>
      <w:ind w:firstLine="547"/>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TOC5">
    <w:name w:val="toc 5"/>
    <w:basedOn w:val="Normal"/>
    <w:next w:val="Normal"/>
    <w:autoRedefine/>
    <w:uiPriority w:val="39"/>
    <w:unhideWhenUsed/>
    <w:rsid w:val="008C7413"/>
    <w:pPr>
      <w:spacing w:line="240" w:lineRule="auto"/>
      <w:ind w:left="2160" w:hanging="1296"/>
    </w:p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customStyle="1" w:styleId="OP">
    <w:name w:val="OP"/>
    <w:basedOn w:val="Standard"/>
    <w:uiPriority w:val="8"/>
    <w:qFormat/>
    <w:rsid w:val="001E2A62"/>
    <w:pPr>
      <w:numPr>
        <w:numId w:val="5"/>
      </w:numPr>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paragraph" w:styleId="CommentText">
    <w:name w:val="annotation text"/>
    <w:basedOn w:val="Normal"/>
    <w:link w:val="CommentTextChar"/>
    <w:uiPriority w:val="99"/>
    <w:unhideWhenUsed/>
    <w:rsid w:val="00A355B3"/>
    <w:pPr>
      <w:spacing w:line="240" w:lineRule="auto"/>
    </w:pPr>
    <w:rPr>
      <w:sz w:val="20"/>
      <w:szCs w:val="20"/>
    </w:r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ListAlpha">
    <w:name w:val="List Alpha"/>
    <w:basedOn w:val="Standard"/>
    <w:uiPriority w:val="4"/>
    <w:qFormat/>
    <w:rsid w:val="000E270A"/>
    <w:pPr>
      <w:numPr>
        <w:ilvl w:val="7"/>
        <w:numId w:val="15"/>
      </w:numPr>
      <w:spacing w:after="120" w:line="240" w:lineRule="auto"/>
    </w:pPr>
  </w:style>
  <w:style w:type="paragraph" w:customStyle="1" w:styleId="BlockQuoteH025">
    <w:name w:val="BlockQuoteH025"/>
    <w:basedOn w:val="BlockQuoteH033"/>
    <w:qFormat/>
    <w:rsid w:val="000F164C"/>
    <w:pPr>
      <w:ind w:left="1080" w:hanging="360"/>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paragraph" w:styleId="TOC4">
    <w:name w:val="toc 4"/>
    <w:basedOn w:val="Normal"/>
    <w:next w:val="Normal"/>
    <w:autoRedefine/>
    <w:uiPriority w:val="39"/>
    <w:unhideWhenUsed/>
    <w:rsid w:val="008C7413"/>
    <w:pPr>
      <w:spacing w:line="240" w:lineRule="auto"/>
      <w:ind w:left="1728" w:hanging="1080"/>
    </w:pPr>
  </w:style>
  <w:style w:type="paragraph" w:styleId="Revision">
    <w:name w:val="Revision"/>
    <w:hidden/>
    <w:uiPriority w:val="99"/>
    <w:semiHidden/>
    <w:rsid w:val="00EC36A4"/>
    <w:pPr>
      <w:spacing w:after="0" w:line="240" w:lineRule="auto"/>
    </w:pPr>
    <w:rPr>
      <w:rFonts w:ascii="Book Antiqua" w:hAnsi="Book Antiqua"/>
      <w:sz w:val="26"/>
    </w:rPr>
  </w:style>
  <w:style w:type="paragraph" w:customStyle="1" w:styleId="TableText">
    <w:name w:val="Table Text"/>
    <w:basedOn w:val="NoSpacing"/>
    <w:uiPriority w:val="5"/>
    <w:rsid w:val="00E53438"/>
    <w:pPr>
      <w:spacing w:after="0"/>
    </w:pPr>
    <w:rPr>
      <w:sz w:val="22"/>
    </w:rPr>
  </w:style>
  <w:style w:type="paragraph" w:styleId="ListParagraph">
    <w:name w:val="List Paragraph"/>
    <w:basedOn w:val="Normal"/>
    <w:uiPriority w:val="34"/>
    <w:rsid w:val="00170453"/>
    <w:pPr>
      <w:ind w:left="720"/>
      <w:contextualSpacing/>
    </w:pPr>
  </w:style>
  <w:style w:type="paragraph" w:customStyle="1" w:styleId="ListNum">
    <w:name w:val="List Num"/>
    <w:basedOn w:val="Standard"/>
    <w:uiPriority w:val="4"/>
    <w:rsid w:val="000E270A"/>
    <w:pPr>
      <w:numPr>
        <w:ilvl w:val="6"/>
        <w:numId w:val="15"/>
      </w:numPr>
      <w:spacing w:after="120" w:line="240" w:lineRule="auto"/>
    </w:pPr>
  </w:style>
  <w:style w:type="character" w:styleId="CommentReference">
    <w:name w:val="annotation reference"/>
    <w:basedOn w:val="DefaultParagraphFont"/>
    <w:uiPriority w:val="99"/>
    <w:semiHidden/>
    <w:unhideWhenUsed/>
    <w:rsid w:val="00A355B3"/>
    <w:rPr>
      <w:sz w:val="16"/>
      <w:szCs w:val="16"/>
    </w:rPr>
  </w:style>
  <w:style w:type="character" w:customStyle="1" w:styleId="CommentTextChar">
    <w:name w:val="Comment Text Char"/>
    <w:basedOn w:val="DefaultParagraphFont"/>
    <w:link w:val="CommentText"/>
    <w:uiPriority w:val="99"/>
    <w:rsid w:val="00A355B3"/>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A355B3"/>
    <w:rPr>
      <w:b/>
      <w:bCs/>
    </w:rPr>
  </w:style>
  <w:style w:type="character" w:customStyle="1" w:styleId="CommentSubjectChar">
    <w:name w:val="Comment Subject Char"/>
    <w:basedOn w:val="CommentTextChar"/>
    <w:link w:val="CommentSubject"/>
    <w:uiPriority w:val="99"/>
    <w:semiHidden/>
    <w:rsid w:val="00A355B3"/>
    <w:rPr>
      <w:rFonts w:ascii="Book Antiqua" w:hAnsi="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14c60f-d572-43b4-ba5f-295801837341">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0db3a248-2f3b-4e14-a06e-708bd1cc474a">
      <Terms xmlns="http://schemas.microsoft.com/office/infopath/2007/PartnerControls"/>
    </lcf76f155ced4ddcb4097134ff3c332f>
    <TaxCatchAll xmlns="8114c60f-d572-43b4-ba5f-29580183734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80575d62ecc55d6f04a1a66d8959c822">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1af4f0a5a0da12401308155740e01bd"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40F31500-B076-4F7F-9C4D-7F7F96118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12</ap:Pages>
  <ap:Words>2135</ap:Words>
  <ap:Characters>12172</ap:Characters>
  <ap:Application>Microsoft Office Word</ap:Application>
  <ap:DocSecurity>0</ap:DocSecurity>
  <ap:Lines>101</ap:Lines>
  <ap:Paragraphs>28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14279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2026-06-29T18:36:00Z</cp:lastPrinted>
  <dcterms:created xsi:type="dcterms:W3CDTF">2026-06-29T15:17:43Z</dcterms:created>
  <dcterms:modified xsi:type="dcterms:W3CDTF">2026-06-29T15:17:43Z</dcterms:modified>
</cp:coreProperties>
</file>