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AE0" w:rsidR="008023EF" w:rsidRDefault="008023EF" w14:paraId="1E85E5ED" w14:textId="5A76F2E4">
      <w:pPr>
        <w:pStyle w:val="BodyText"/>
        <w:ind w:firstLine="0"/>
        <w:rPr>
          <w:szCs w:val="26"/>
        </w:rPr>
      </w:pPr>
      <w:r w:rsidRPr="00020AE0">
        <w:rPr>
          <w:szCs w:val="26"/>
        </w:rPr>
        <w:t>Decision</w:t>
      </w:r>
      <w:r w:rsidRPr="00BD20FD">
        <w:rPr>
          <w:szCs w:val="26"/>
        </w:rPr>
        <w:t xml:space="preserve"> </w:t>
      </w:r>
      <w:r w:rsidRPr="00BD20FD" w:rsidR="00BD20FD">
        <w:rPr>
          <w:szCs w:val="26"/>
        </w:rPr>
        <w:t>26-07-034</w:t>
      </w:r>
      <w:r w:rsidR="00022637">
        <w:rPr>
          <w:szCs w:val="26"/>
        </w:rPr>
        <w:tab/>
      </w:r>
      <w:r w:rsidR="00022637">
        <w:rPr>
          <w:szCs w:val="26"/>
        </w:rPr>
        <w:tab/>
      </w:r>
      <w:r w:rsidR="00022637">
        <w:rPr>
          <w:szCs w:val="26"/>
        </w:rPr>
        <w:tab/>
        <w:t>July 2, 2026</w:t>
      </w:r>
    </w:p>
    <w:bookmarkStart w:name="Initials" w:id="0"/>
    <w:bookmarkEnd w:id="0"/>
    <w:p w:rsidRPr="00020AE0" w:rsidR="008023EF" w:rsidRDefault="008023EF" w14:paraId="11D27A56" w14:textId="77777777">
      <w:pPr>
        <w:rPr>
          <w:szCs w:val="26"/>
        </w:rPr>
      </w:pPr>
      <w:r w:rsidRPr="00020AE0">
        <w:rPr>
          <w:szCs w:val="26"/>
        </w:rPr>
        <w:fldChar w:fldCharType="begin"/>
      </w:r>
      <w:r w:rsidRPr="00020AE0">
        <w:rPr>
          <w:szCs w:val="26"/>
        </w:rPr>
        <w:instrText xml:space="preserve"> ASK Initials "Enter your initials in all CAPS (e.g. ATTY)" [/d "ATTY"]Initials  \* MERGEFORMAT </w:instrText>
      </w:r>
      <w:r w:rsidRPr="00020AE0">
        <w:rPr>
          <w:szCs w:val="26"/>
        </w:rPr>
        <w:fldChar w:fldCharType="separate"/>
      </w:r>
      <w:r w:rsidRPr="00020AE0">
        <w:rPr>
          <w:szCs w:val="26"/>
        </w:rPr>
        <w:fldChar w:fldCharType="end"/>
      </w:r>
      <w:r w:rsidRPr="00020AE0">
        <w:rPr>
          <w:szCs w:val="26"/>
        </w:rPr>
        <w:t xml:space="preserve"> </w:t>
      </w:r>
    </w:p>
    <w:bookmarkStart w:name="AgendaNo" w:id="1"/>
    <w:bookmarkEnd w:id="1"/>
    <w:p w:rsidRPr="00020AE0" w:rsidR="008023EF" w:rsidRDefault="008023EF" w14:paraId="52ABE26C" w14:textId="77777777">
      <w:pPr>
        <w:pStyle w:val="BriefHeading"/>
        <w:rPr>
          <w:sz w:val="26"/>
          <w:szCs w:val="26"/>
        </w:rPr>
      </w:pPr>
      <w:r w:rsidRPr="00020AE0">
        <w:rPr>
          <w:sz w:val="26"/>
          <w:szCs w:val="26"/>
        </w:rPr>
        <w:fldChar w:fldCharType="begin"/>
      </w:r>
      <w:r w:rsidRPr="00020AE0">
        <w:rPr>
          <w:sz w:val="26"/>
          <w:szCs w:val="26"/>
        </w:rPr>
        <w:instrText xml:space="preserve"> ASK AgendaNo "Enter the agenda item number (e.g. CA-4)" [/d "Agenda Item No."] \* MERGEFORMAT </w:instrText>
      </w:r>
      <w:r w:rsidRPr="00020AE0">
        <w:rPr>
          <w:sz w:val="26"/>
          <w:szCs w:val="26"/>
        </w:rPr>
        <w:fldChar w:fldCharType="separate"/>
      </w:r>
      <w:r w:rsidRPr="00020AE0">
        <w:rPr>
          <w:sz w:val="26"/>
          <w:szCs w:val="26"/>
        </w:rPr>
        <w:fldChar w:fldCharType="end"/>
      </w:r>
      <w:r w:rsidRPr="00020AE0">
        <w:rPr>
          <w:sz w:val="26"/>
          <w:szCs w:val="26"/>
        </w:rPr>
        <w:t>Before The Public Utilities Commission Of The State Of California</w:t>
      </w:r>
    </w:p>
    <w:p w:rsidRPr="00020AE0" w:rsidR="008023EF" w:rsidRDefault="008023EF" w14:paraId="271A3761" w14:textId="77777777">
      <w:pPr>
        <w:pStyle w:val="BriefHeading"/>
        <w:tabs>
          <w:tab w:val="clear" w:pos="5040"/>
        </w:tabs>
        <w:jc w:val="left"/>
        <w:rPr>
          <w:sz w:val="26"/>
          <w:szCs w:val="26"/>
        </w:rPr>
      </w:pPr>
    </w:p>
    <w:p w:rsidRPr="00020AE0" w:rsidR="008023EF" w:rsidRDefault="008023EF" w14:paraId="33CB5E87" w14:textId="77777777">
      <w:pPr>
        <w:pStyle w:val="BriefHeading"/>
        <w:jc w:val="left"/>
        <w:rPr>
          <w:sz w:val="26"/>
          <w:szCs w:val="26"/>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428"/>
        <w:gridCol w:w="4428"/>
      </w:tblGrid>
      <w:tr w:rsidRPr="00020AE0" w:rsidR="008023EF" w14:paraId="107B353E" w14:textId="77777777">
        <w:tc>
          <w:tcPr>
            <w:tcW w:w="4428" w:type="dxa"/>
            <w:tcBorders>
              <w:top w:val="nil"/>
              <w:left w:val="nil"/>
              <w:bottom w:val="nil"/>
            </w:tcBorders>
          </w:tcPr>
          <w:p w:rsidRPr="00020AE0" w:rsidR="008023EF" w:rsidRDefault="004335BE" w14:paraId="1BF6362A" w14:textId="7A44265E">
            <w:pPr>
              <w:pStyle w:val="Caption"/>
              <w:rPr>
                <w:szCs w:val="26"/>
              </w:rPr>
            </w:pPr>
            <w:r w:rsidRPr="004335BE">
              <w:rPr>
                <w:szCs w:val="26"/>
              </w:rPr>
              <w:t xml:space="preserve">Application of Pacific Gas and Electric Company for Compliance Review of Utility-Owned Generation Operations, Portfolio Allocation Balancing Account Entries, Energy Resource Recovery Account Entries, Contract Administration, Economic Dispatch of Electric Resources, Utility-Owned Generation Fuel Procurement, and Other Activities for the Record Period January 1 through December 31, 2021. </w:t>
            </w:r>
            <w:r w:rsidRPr="00020AE0" w:rsidR="008023EF">
              <w:rPr>
                <w:szCs w:val="26"/>
              </w:rPr>
              <w:fldChar w:fldCharType="begin"/>
            </w:r>
            <w:r w:rsidRPr="00020AE0" w:rsidR="008023EF">
              <w:rPr>
                <w:szCs w:val="26"/>
              </w:rPr>
              <w:instrText xml:space="preserve"> FILLIN "Enter the caption for this decision.  If there is more than one case, separate with hard returns." [/d "Caption"] \* MERGEFORMAT </w:instrText>
            </w:r>
            <w:r w:rsidRPr="00020AE0" w:rsidR="008023EF">
              <w:rPr>
                <w:szCs w:val="26"/>
              </w:rPr>
              <w:fldChar w:fldCharType="end"/>
            </w:r>
          </w:p>
        </w:tc>
        <w:tc>
          <w:tcPr>
            <w:tcW w:w="4428" w:type="dxa"/>
            <w:tcBorders>
              <w:top w:val="nil"/>
              <w:bottom w:val="nil"/>
              <w:right w:val="nil"/>
            </w:tcBorders>
          </w:tcPr>
          <w:p w:rsidR="00E820BC" w:rsidRDefault="00E820BC" w14:paraId="3D581E31" w14:textId="77777777">
            <w:pPr>
              <w:pStyle w:val="Caption"/>
              <w:jc w:val="center"/>
              <w:rPr>
                <w:szCs w:val="26"/>
              </w:rPr>
            </w:pPr>
            <w:bookmarkStart w:name="Caption" w:id="2"/>
            <w:bookmarkStart w:name="CaseNo" w:id="3"/>
            <w:bookmarkEnd w:id="2"/>
            <w:bookmarkEnd w:id="3"/>
          </w:p>
          <w:p w:rsidR="00E820BC" w:rsidRDefault="00E820BC" w14:paraId="0C0275A6" w14:textId="77777777">
            <w:pPr>
              <w:pStyle w:val="Caption"/>
              <w:jc w:val="center"/>
              <w:rPr>
                <w:szCs w:val="26"/>
              </w:rPr>
            </w:pPr>
          </w:p>
          <w:p w:rsidR="00E820BC" w:rsidRDefault="00E820BC" w14:paraId="15FA826F" w14:textId="77777777">
            <w:pPr>
              <w:pStyle w:val="Caption"/>
              <w:jc w:val="center"/>
              <w:rPr>
                <w:szCs w:val="26"/>
              </w:rPr>
            </w:pPr>
          </w:p>
          <w:p w:rsidR="00E820BC" w:rsidRDefault="00E820BC" w14:paraId="01B6B62A" w14:textId="77777777">
            <w:pPr>
              <w:pStyle w:val="Caption"/>
              <w:jc w:val="center"/>
              <w:rPr>
                <w:szCs w:val="26"/>
              </w:rPr>
            </w:pPr>
          </w:p>
          <w:p w:rsidRPr="00020AE0" w:rsidR="008023EF" w:rsidRDefault="000741C6" w14:paraId="4F88A9EC" w14:textId="466A93D9">
            <w:pPr>
              <w:pStyle w:val="Caption"/>
              <w:jc w:val="center"/>
              <w:rPr>
                <w:szCs w:val="26"/>
              </w:rPr>
            </w:pPr>
            <w:r>
              <w:rPr>
                <w:szCs w:val="26"/>
              </w:rPr>
              <w:t xml:space="preserve">Application </w:t>
            </w:r>
            <w:r w:rsidR="00714A1A">
              <w:rPr>
                <w:szCs w:val="26"/>
              </w:rPr>
              <w:t>22-02-</w:t>
            </w:r>
            <w:r w:rsidR="004335BE">
              <w:rPr>
                <w:szCs w:val="26"/>
              </w:rPr>
              <w:t>0</w:t>
            </w:r>
            <w:r w:rsidR="00714A1A">
              <w:rPr>
                <w:szCs w:val="26"/>
              </w:rPr>
              <w:t>15</w:t>
            </w:r>
            <w:r w:rsidRPr="00020AE0" w:rsidR="008023EF">
              <w:rPr>
                <w:szCs w:val="26"/>
              </w:rPr>
              <w:fldChar w:fldCharType="begin"/>
            </w:r>
            <w:r w:rsidRPr="00020AE0" w:rsidR="008023EF">
              <w:rPr>
                <w:szCs w:val="26"/>
              </w:rPr>
              <w:instrText xml:space="preserve"> ASK CaseNo "Enter the case number for this decision.  If there is more than one, separate by hard returns." [/d "Case Number"] \* MERGEFORMAT </w:instrText>
            </w:r>
            <w:r w:rsidRPr="00020AE0" w:rsidR="008023EF">
              <w:rPr>
                <w:szCs w:val="26"/>
              </w:rPr>
              <w:fldChar w:fldCharType="separate"/>
            </w:r>
            <w:r w:rsidRPr="00020AE0" w:rsidR="008023EF">
              <w:rPr>
                <w:szCs w:val="26"/>
              </w:rPr>
              <w:fldChar w:fldCharType="end"/>
            </w:r>
            <w:r w:rsidRPr="00020AE0" w:rsidR="008023EF">
              <w:rPr>
                <w:szCs w:val="26"/>
              </w:rPr>
              <w:fldChar w:fldCharType="begin"/>
            </w:r>
            <w:r w:rsidRPr="00020AE0" w:rsidR="008023EF">
              <w:rPr>
                <w:szCs w:val="26"/>
              </w:rPr>
              <w:instrText xml:space="preserve"> REF CaseNo  \* MERGEFORMAT </w:instrText>
            </w:r>
            <w:r w:rsidRPr="00020AE0" w:rsidR="008023EF">
              <w:rPr>
                <w:szCs w:val="26"/>
              </w:rPr>
              <w:fldChar w:fldCharType="end"/>
            </w:r>
          </w:p>
          <w:p w:rsidRPr="00020AE0" w:rsidR="008023EF" w:rsidRDefault="008023EF" w14:paraId="48EB9335" w14:textId="67B4261A">
            <w:pPr>
              <w:pStyle w:val="Caption"/>
              <w:jc w:val="center"/>
              <w:rPr>
                <w:szCs w:val="26"/>
              </w:rPr>
            </w:pPr>
          </w:p>
        </w:tc>
      </w:tr>
      <w:tr w:rsidRPr="00020AE0" w:rsidR="008023EF" w14:paraId="5C051E95" w14:textId="77777777">
        <w:tc>
          <w:tcPr>
            <w:tcW w:w="4428" w:type="dxa"/>
            <w:tcBorders>
              <w:top w:val="nil"/>
              <w:left w:val="nil"/>
            </w:tcBorders>
          </w:tcPr>
          <w:p w:rsidRPr="00020AE0" w:rsidR="008023EF" w:rsidRDefault="008023EF" w14:paraId="61B64EF5" w14:textId="77777777">
            <w:pPr>
              <w:pStyle w:val="Caption"/>
              <w:rPr>
                <w:szCs w:val="26"/>
              </w:rPr>
            </w:pPr>
          </w:p>
        </w:tc>
        <w:tc>
          <w:tcPr>
            <w:tcW w:w="4428" w:type="dxa"/>
            <w:tcBorders>
              <w:top w:val="nil"/>
              <w:bottom w:val="nil"/>
              <w:right w:val="nil"/>
            </w:tcBorders>
          </w:tcPr>
          <w:p w:rsidRPr="00020AE0" w:rsidR="008023EF" w:rsidRDefault="008023EF" w14:paraId="29FFF921" w14:textId="77777777">
            <w:pPr>
              <w:pStyle w:val="Caption"/>
              <w:jc w:val="center"/>
              <w:rPr>
                <w:szCs w:val="26"/>
              </w:rPr>
            </w:pPr>
          </w:p>
        </w:tc>
      </w:tr>
    </w:tbl>
    <w:p w:rsidRPr="00020AE0" w:rsidR="008023EF" w:rsidRDefault="008023EF" w14:paraId="4B7331CA" w14:textId="77777777">
      <w:pPr>
        <w:pStyle w:val="BriefHeading"/>
        <w:jc w:val="left"/>
        <w:rPr>
          <w:sz w:val="26"/>
          <w:szCs w:val="26"/>
        </w:rPr>
      </w:pPr>
    </w:p>
    <w:p w:rsidR="00A45646" w:rsidRDefault="008023EF" w14:paraId="633648C1" w14:textId="77777777">
      <w:pPr>
        <w:pStyle w:val="BriefTitle"/>
        <w:rPr>
          <w:szCs w:val="26"/>
          <w:u w:val="single"/>
        </w:rPr>
      </w:pPr>
      <w:r w:rsidRPr="0083307F">
        <w:rPr>
          <w:szCs w:val="26"/>
          <w:u w:val="single"/>
        </w:rPr>
        <w:t xml:space="preserve">ORDER </w:t>
      </w:r>
      <w:r w:rsidRPr="0083307F" w:rsidR="00714A1A">
        <w:rPr>
          <w:szCs w:val="26"/>
          <w:u w:val="single"/>
        </w:rPr>
        <w:t>modifying</w:t>
      </w:r>
      <w:r w:rsidRPr="0083307F">
        <w:rPr>
          <w:szCs w:val="26"/>
          <w:u w:val="single"/>
        </w:rPr>
        <w:t xml:space="preserve"> DECISION </w:t>
      </w:r>
      <w:r w:rsidRPr="0083307F" w:rsidR="00714A1A">
        <w:rPr>
          <w:szCs w:val="26"/>
          <w:u w:val="single"/>
        </w:rPr>
        <w:t>25-06-045</w:t>
      </w:r>
      <w:r w:rsidRPr="0083307F" w:rsidR="00E23736">
        <w:rPr>
          <w:szCs w:val="26"/>
          <w:u w:val="single"/>
        </w:rPr>
        <w:t xml:space="preserve"> and denying rehearing </w:t>
      </w:r>
    </w:p>
    <w:p w:rsidR="008023EF" w:rsidRDefault="00E23736" w14:paraId="1D49EF4C" w14:textId="241F636E">
      <w:pPr>
        <w:pStyle w:val="BriefTitle"/>
        <w:rPr>
          <w:szCs w:val="26"/>
          <w:u w:val="single"/>
        </w:rPr>
      </w:pPr>
      <w:r w:rsidRPr="0083307F">
        <w:rPr>
          <w:szCs w:val="26"/>
          <w:u w:val="single"/>
        </w:rPr>
        <w:t>of the decision, as modified</w:t>
      </w:r>
    </w:p>
    <w:p w:rsidRPr="00022637" w:rsidR="00BD20FD" w:rsidP="00022637" w:rsidRDefault="00BD20FD" w14:paraId="2ABF0CE5" w14:textId="77777777">
      <w:pPr>
        <w:pStyle w:val="BriefTitle"/>
        <w:jc w:val="left"/>
        <w:rPr>
          <w:b w:val="0"/>
          <w:bCs/>
          <w:szCs w:val="26"/>
        </w:rPr>
      </w:pPr>
    </w:p>
    <w:p w:rsidRPr="00020AE0" w:rsidR="008023EF" w:rsidP="00A45646" w:rsidRDefault="000F4F2D" w14:paraId="6D131024" w14:textId="3B18F842">
      <w:pPr>
        <w:pStyle w:val="Heading1"/>
        <w:rPr>
          <w:szCs w:val="26"/>
        </w:rPr>
      </w:pPr>
      <w:bookmarkStart w:name="Title" w:id="4"/>
      <w:bookmarkEnd w:id="4"/>
      <w:r>
        <w:rPr>
          <w:szCs w:val="26"/>
        </w:rPr>
        <w:t>SUMMARY</w:t>
      </w:r>
    </w:p>
    <w:p w:rsidRPr="003008E6" w:rsidR="006340A3" w:rsidP="00494597" w:rsidRDefault="00E23736" w14:paraId="28F7D233" w14:textId="28ACD50E">
      <w:pPr>
        <w:pStyle w:val="BodyText10"/>
        <w:ind w:firstLine="1440"/>
        <w:rPr>
          <w:szCs w:val="26"/>
        </w:rPr>
      </w:pPr>
      <w:r>
        <w:rPr>
          <w:szCs w:val="26"/>
        </w:rPr>
        <w:t>This Order modifies Decision 25-06-045</w:t>
      </w:r>
      <w:r w:rsidR="003008E6">
        <w:rPr>
          <w:szCs w:val="26"/>
        </w:rPr>
        <w:t xml:space="preserve"> and denies rehearing of the decision, as modified.</w:t>
      </w:r>
    </w:p>
    <w:p w:rsidR="003008E6" w:rsidP="000F4F2D" w:rsidRDefault="003008E6" w14:paraId="3AE9CD72" w14:textId="3A1C940C">
      <w:pPr>
        <w:pStyle w:val="Heading1"/>
      </w:pPr>
      <w:r>
        <w:t>BACKGROUND</w:t>
      </w:r>
    </w:p>
    <w:p w:rsidR="004335BE" w:rsidP="00494597" w:rsidRDefault="00874923" w14:paraId="46E8D228" w14:textId="06FE3E65">
      <w:pPr>
        <w:pStyle w:val="BodyText"/>
        <w:ind w:firstLine="1440"/>
        <w:rPr>
          <w:szCs w:val="26"/>
        </w:rPr>
      </w:pPr>
      <w:r>
        <w:rPr>
          <w:szCs w:val="26"/>
        </w:rPr>
        <w:t>Pacific Gas and Electric Company (PG&amp;E)</w:t>
      </w:r>
      <w:r w:rsidRPr="00D466C1" w:rsidR="001A7AB3">
        <w:rPr>
          <w:szCs w:val="26"/>
        </w:rPr>
        <w:t xml:space="preserve"> filed </w:t>
      </w:r>
      <w:r w:rsidR="004335BE">
        <w:rPr>
          <w:szCs w:val="26"/>
        </w:rPr>
        <w:t xml:space="preserve">Application </w:t>
      </w:r>
      <w:r w:rsidR="00494597">
        <w:rPr>
          <w:szCs w:val="26"/>
        </w:rPr>
        <w:br/>
      </w:r>
      <w:r w:rsidR="004335BE">
        <w:rPr>
          <w:szCs w:val="26"/>
        </w:rPr>
        <w:t>(</w:t>
      </w:r>
      <w:r w:rsidRPr="00D466C1" w:rsidR="001A7AB3">
        <w:rPr>
          <w:szCs w:val="26"/>
        </w:rPr>
        <w:t>A.</w:t>
      </w:r>
      <w:r w:rsidR="004335BE">
        <w:rPr>
          <w:szCs w:val="26"/>
        </w:rPr>
        <w:t xml:space="preserve">) </w:t>
      </w:r>
      <w:r w:rsidRPr="00D466C1" w:rsidR="001A7AB3">
        <w:rPr>
          <w:szCs w:val="26"/>
        </w:rPr>
        <w:t xml:space="preserve">22-02-015 on February 28, 2022, seeking Commission review of its utility-owned generation operations, </w:t>
      </w:r>
      <w:r w:rsidR="004335BE">
        <w:rPr>
          <w:szCs w:val="26"/>
        </w:rPr>
        <w:t>Energy Resource Recovery Account (</w:t>
      </w:r>
      <w:r w:rsidRPr="00D466C1" w:rsidR="001A7AB3">
        <w:rPr>
          <w:szCs w:val="26"/>
        </w:rPr>
        <w:t>ERRA</w:t>
      </w:r>
      <w:r w:rsidR="004335BE">
        <w:rPr>
          <w:szCs w:val="26"/>
        </w:rPr>
        <w:t>)</w:t>
      </w:r>
      <w:r w:rsidRPr="00D466C1" w:rsidR="001A7AB3">
        <w:rPr>
          <w:szCs w:val="26"/>
        </w:rPr>
        <w:t xml:space="preserve"> and Portfolio Allocation Balancing Account entries, contract administration, economic dispatch, fuel procurement, and related activities for the January 1 through December 31, 2021 record year. </w:t>
      </w:r>
      <w:r w:rsidR="00FF0934">
        <w:rPr>
          <w:szCs w:val="26"/>
        </w:rPr>
        <w:t xml:space="preserve"> </w:t>
      </w:r>
      <w:r w:rsidRPr="00D466C1" w:rsidR="001A7AB3">
        <w:rPr>
          <w:szCs w:val="26"/>
        </w:rPr>
        <w:t>As part of A.22-02-015, the Commission reviewed six unplanned outages at</w:t>
      </w:r>
      <w:r w:rsidR="001A7AB3">
        <w:rPr>
          <w:szCs w:val="26"/>
        </w:rPr>
        <w:t xml:space="preserve"> the</w:t>
      </w:r>
      <w:r w:rsidRPr="00D466C1" w:rsidR="001A7AB3">
        <w:rPr>
          <w:szCs w:val="26"/>
        </w:rPr>
        <w:t xml:space="preserve"> Diablo Canyon Nuclear Powerplant, three of which occurred during the 2020 Record </w:t>
      </w:r>
      <w:r w:rsidR="001A7AB3">
        <w:rPr>
          <w:szCs w:val="26"/>
        </w:rPr>
        <w:t>Y</w:t>
      </w:r>
      <w:r w:rsidRPr="00D466C1" w:rsidR="001A7AB3">
        <w:rPr>
          <w:szCs w:val="26"/>
        </w:rPr>
        <w:t xml:space="preserve">ear and three of which occurred during the 2021 </w:t>
      </w:r>
      <w:r w:rsidR="001A7AB3">
        <w:rPr>
          <w:szCs w:val="26"/>
        </w:rPr>
        <w:t>R</w:t>
      </w:r>
      <w:r w:rsidRPr="00D466C1" w:rsidR="001A7AB3">
        <w:rPr>
          <w:szCs w:val="26"/>
        </w:rPr>
        <w:t xml:space="preserve">ecord </w:t>
      </w:r>
      <w:r w:rsidR="001A7AB3">
        <w:rPr>
          <w:szCs w:val="26"/>
        </w:rPr>
        <w:t>Y</w:t>
      </w:r>
      <w:r w:rsidRPr="00D466C1" w:rsidR="001A7AB3">
        <w:rPr>
          <w:szCs w:val="26"/>
        </w:rPr>
        <w:t>ear.</w:t>
      </w:r>
      <w:r w:rsidRPr="00D466C1" w:rsidR="001A7AB3">
        <w:rPr>
          <w:rStyle w:val="FootnoteReference"/>
          <w:sz w:val="26"/>
          <w:szCs w:val="26"/>
        </w:rPr>
        <w:footnoteReference w:id="2"/>
      </w:r>
      <w:r>
        <w:rPr>
          <w:szCs w:val="26"/>
        </w:rPr>
        <w:t xml:space="preserve"> </w:t>
      </w:r>
      <w:r w:rsidR="00FF0934">
        <w:rPr>
          <w:szCs w:val="26"/>
        </w:rPr>
        <w:t xml:space="preserve"> </w:t>
      </w:r>
      <w:r w:rsidRPr="00D466C1">
        <w:rPr>
          <w:szCs w:val="26"/>
        </w:rPr>
        <w:t xml:space="preserve">The 2020 outages were </w:t>
      </w:r>
      <w:r w:rsidRPr="00D466C1">
        <w:rPr>
          <w:szCs w:val="26"/>
        </w:rPr>
        <w:lastRenderedPageBreak/>
        <w:t>deferred from PG&amp;E’s 2020 ERRA compliance proceeding because PG&amp;E’s Root Cause Evaluation (RCE) was not completed in time for review in the previous proceeding.</w:t>
      </w:r>
      <w:r w:rsidRPr="00FF0934">
        <w:rPr>
          <w:rStyle w:val="FootnoteReference"/>
          <w:sz w:val="26"/>
          <w:szCs w:val="26"/>
        </w:rPr>
        <w:footnoteReference w:id="3"/>
      </w:r>
    </w:p>
    <w:p w:rsidR="001A7AB3" w:rsidP="00494597" w:rsidRDefault="001A7AB3" w14:paraId="5A528928" w14:textId="42D2DE28">
      <w:pPr>
        <w:pStyle w:val="BodyText"/>
        <w:ind w:firstLine="1440"/>
        <w:rPr>
          <w:szCs w:val="26"/>
        </w:rPr>
      </w:pPr>
      <w:r w:rsidRPr="00D466C1">
        <w:rPr>
          <w:szCs w:val="26"/>
        </w:rPr>
        <w:t xml:space="preserve">On June 26, 2025, the Commission </w:t>
      </w:r>
      <w:r>
        <w:rPr>
          <w:szCs w:val="26"/>
        </w:rPr>
        <w:t xml:space="preserve">adopted </w:t>
      </w:r>
      <w:r w:rsidRPr="00D466C1">
        <w:rPr>
          <w:szCs w:val="26"/>
        </w:rPr>
        <w:t>D.25-06-045</w:t>
      </w:r>
      <w:r w:rsidR="00874923">
        <w:rPr>
          <w:szCs w:val="26"/>
        </w:rPr>
        <w:t xml:space="preserve"> (Decision)</w:t>
      </w:r>
      <w:r w:rsidRPr="00D466C1">
        <w:rPr>
          <w:szCs w:val="26"/>
        </w:rPr>
        <w:t>, which found that</w:t>
      </w:r>
      <w:r>
        <w:rPr>
          <w:szCs w:val="26"/>
        </w:rPr>
        <w:t>, with narrow exceptions,</w:t>
      </w:r>
      <w:r w:rsidRPr="00D466C1">
        <w:rPr>
          <w:szCs w:val="26"/>
        </w:rPr>
        <w:t xml:space="preserve"> PG&amp;E met the ERRA compliance standard for the 2021 Record Year.</w:t>
      </w:r>
      <w:r w:rsidRPr="00FF0934">
        <w:rPr>
          <w:rStyle w:val="FootnoteReference"/>
          <w:sz w:val="26"/>
          <w:szCs w:val="26"/>
        </w:rPr>
        <w:footnoteReference w:id="4"/>
      </w:r>
      <w:r w:rsidR="00FF0934">
        <w:rPr>
          <w:szCs w:val="26"/>
        </w:rPr>
        <w:t xml:space="preserve"> </w:t>
      </w:r>
      <w:r>
        <w:rPr>
          <w:szCs w:val="26"/>
        </w:rPr>
        <w:t xml:space="preserve"> </w:t>
      </w:r>
      <w:r w:rsidRPr="00D466C1">
        <w:rPr>
          <w:szCs w:val="26"/>
        </w:rPr>
        <w:t xml:space="preserve">As relevant to this rehearing, </w:t>
      </w:r>
      <w:r>
        <w:rPr>
          <w:szCs w:val="26"/>
        </w:rPr>
        <w:t>the Decision</w:t>
      </w:r>
      <w:r w:rsidRPr="00D466C1">
        <w:rPr>
          <w:szCs w:val="26"/>
        </w:rPr>
        <w:t xml:space="preserve"> found that the first three outages were caused by excessive vibrations arising from loosening of components known as bore rings</w:t>
      </w:r>
      <w:r>
        <w:rPr>
          <w:szCs w:val="26"/>
        </w:rPr>
        <w:t>.</w:t>
      </w:r>
      <w:r w:rsidRPr="00FF0934">
        <w:rPr>
          <w:rStyle w:val="FootnoteReference"/>
          <w:sz w:val="26"/>
          <w:szCs w:val="26"/>
        </w:rPr>
        <w:footnoteReference w:id="5"/>
      </w:r>
      <w:r w:rsidRPr="00D466C1">
        <w:rPr>
          <w:szCs w:val="26"/>
        </w:rPr>
        <w:t xml:space="preserve"> </w:t>
      </w:r>
      <w:r w:rsidR="00FF0934">
        <w:rPr>
          <w:szCs w:val="26"/>
        </w:rPr>
        <w:t xml:space="preserve"> </w:t>
      </w:r>
      <w:r w:rsidRPr="00D466C1">
        <w:rPr>
          <w:szCs w:val="26"/>
        </w:rPr>
        <w:t xml:space="preserve">The Commission concluded that PG&amp;E </w:t>
      </w:r>
      <w:r>
        <w:rPr>
          <w:szCs w:val="26"/>
        </w:rPr>
        <w:t>“</w:t>
      </w:r>
      <w:r w:rsidRPr="00D466C1">
        <w:rPr>
          <w:szCs w:val="26"/>
        </w:rPr>
        <w:t>acted reasonably with respect to the first three forced outages but failed to act as a reasonable and prudent manager to prevent or lessen forced outage four.</w:t>
      </w:r>
      <w:r>
        <w:rPr>
          <w:szCs w:val="26"/>
        </w:rPr>
        <w:t>”</w:t>
      </w:r>
      <w:r w:rsidRPr="00D466C1">
        <w:rPr>
          <w:rStyle w:val="FootnoteReference"/>
          <w:sz w:val="26"/>
          <w:szCs w:val="26"/>
        </w:rPr>
        <w:footnoteReference w:id="6"/>
      </w:r>
      <w:r w:rsidRPr="00D466C1">
        <w:rPr>
          <w:szCs w:val="26"/>
        </w:rPr>
        <w:t xml:space="preserve"> </w:t>
      </w:r>
      <w:r w:rsidR="00FF0934">
        <w:rPr>
          <w:szCs w:val="26"/>
        </w:rPr>
        <w:t xml:space="preserve"> </w:t>
      </w:r>
      <w:r w:rsidRPr="00D466C1">
        <w:rPr>
          <w:szCs w:val="26"/>
        </w:rPr>
        <w:t xml:space="preserve">Consequently, the Commission </w:t>
      </w:r>
      <w:r>
        <w:rPr>
          <w:szCs w:val="26"/>
        </w:rPr>
        <w:t xml:space="preserve">authorized PG&amp;E to recover its requested costs for the first three outages but </w:t>
      </w:r>
      <w:r w:rsidRPr="00D466C1">
        <w:rPr>
          <w:szCs w:val="26"/>
        </w:rPr>
        <w:t xml:space="preserve">disallowed $43,208,116 in replacement power costs associated with forced outage four, finding that PG&amp;E </w:t>
      </w:r>
      <w:r w:rsidRPr="00330F20">
        <w:rPr>
          <w:szCs w:val="26"/>
        </w:rPr>
        <w:t>should have ensured that the end windings and parallel rings met the specification requirements and recognized that</w:t>
      </w:r>
      <w:r>
        <w:rPr>
          <w:szCs w:val="26"/>
        </w:rPr>
        <w:t xml:space="preserve"> its contractor</w:t>
      </w:r>
      <w:r w:rsidRPr="00330F20">
        <w:rPr>
          <w:szCs w:val="26"/>
        </w:rPr>
        <w:t xml:space="preserve"> Siemens failed to incorporate those limits into its design verification testing</w:t>
      </w:r>
      <w:r w:rsidRPr="00D466C1">
        <w:rPr>
          <w:szCs w:val="26"/>
        </w:rPr>
        <w:t>.</w:t>
      </w:r>
      <w:r w:rsidRPr="00D466C1">
        <w:rPr>
          <w:rStyle w:val="FootnoteReference"/>
          <w:sz w:val="26"/>
          <w:szCs w:val="26"/>
        </w:rPr>
        <w:footnoteReference w:id="7"/>
      </w:r>
      <w:r w:rsidR="00FF0934">
        <w:rPr>
          <w:szCs w:val="26"/>
        </w:rPr>
        <w:t xml:space="preserve">  </w:t>
      </w:r>
    </w:p>
    <w:p w:rsidR="001A7AB3" w:rsidP="00494597" w:rsidRDefault="00F639AA" w14:paraId="4FCD81F9" w14:textId="3D29A1FF">
      <w:pPr>
        <w:pStyle w:val="BodyText"/>
        <w:ind w:firstLine="1440"/>
        <w:rPr>
          <w:szCs w:val="26"/>
        </w:rPr>
      </w:pPr>
      <w:r>
        <w:rPr>
          <w:szCs w:val="26"/>
        </w:rPr>
        <w:t>The Alliance for Nuclear Responsibility (</w:t>
      </w:r>
      <w:r w:rsidRPr="0029042C" w:rsidR="001A7AB3">
        <w:rPr>
          <w:szCs w:val="26"/>
        </w:rPr>
        <w:t>A4NR</w:t>
      </w:r>
      <w:r>
        <w:rPr>
          <w:szCs w:val="26"/>
        </w:rPr>
        <w:t>)</w:t>
      </w:r>
      <w:r w:rsidRPr="0029042C" w:rsidR="001A7AB3">
        <w:rPr>
          <w:szCs w:val="26"/>
        </w:rPr>
        <w:t xml:space="preserve"> </w:t>
      </w:r>
      <w:r w:rsidR="001A7AB3">
        <w:rPr>
          <w:szCs w:val="26"/>
        </w:rPr>
        <w:t>filed</w:t>
      </w:r>
      <w:r w:rsidRPr="0029042C" w:rsidR="001A7AB3">
        <w:rPr>
          <w:szCs w:val="26"/>
        </w:rPr>
        <w:t xml:space="preserve"> an application for rehearing of </w:t>
      </w:r>
      <w:r w:rsidR="001A7AB3">
        <w:rPr>
          <w:szCs w:val="26"/>
        </w:rPr>
        <w:t>the Decision</w:t>
      </w:r>
      <w:r w:rsidRPr="0029042C" w:rsidR="001A7AB3">
        <w:rPr>
          <w:szCs w:val="26"/>
        </w:rPr>
        <w:t xml:space="preserve"> on August 1, 2025, alleging that Finding of Fact 15</w:t>
      </w:r>
      <w:r w:rsidR="001A7AB3">
        <w:rPr>
          <w:szCs w:val="26"/>
        </w:rPr>
        <w:t>, which finds that design flaws and design verification testing deficiencies were not factors in the first three outages,</w:t>
      </w:r>
      <w:r w:rsidRPr="0029042C" w:rsidR="001A7AB3">
        <w:rPr>
          <w:szCs w:val="26"/>
        </w:rPr>
        <w:t xml:space="preserve"> is unsupported by substantial evidence.</w:t>
      </w:r>
      <w:r w:rsidRPr="00FF0934" w:rsidR="001A7AB3">
        <w:rPr>
          <w:rStyle w:val="FootnoteReference"/>
          <w:sz w:val="26"/>
          <w:szCs w:val="26"/>
        </w:rPr>
        <w:footnoteReference w:id="8"/>
      </w:r>
      <w:r w:rsidR="00FF0934">
        <w:rPr>
          <w:szCs w:val="26"/>
        </w:rPr>
        <w:t xml:space="preserve"> </w:t>
      </w:r>
      <w:r w:rsidRPr="0029042C" w:rsidR="001A7AB3">
        <w:rPr>
          <w:szCs w:val="26"/>
        </w:rPr>
        <w:t xml:space="preserve"> </w:t>
      </w:r>
      <w:r w:rsidR="001A7AB3">
        <w:rPr>
          <w:szCs w:val="26"/>
        </w:rPr>
        <w:t>A4NR contends that because Finding of Fact 15 is unsupported, Conclusions of Law 11 and 12, which conclude that PG&amp;E acted reasonably with respect to all of the outages except outage four, are also unsupported.</w:t>
      </w:r>
      <w:r w:rsidRPr="00FF0934" w:rsidR="001A7AB3">
        <w:rPr>
          <w:rStyle w:val="FootnoteReference"/>
          <w:sz w:val="26"/>
          <w:szCs w:val="26"/>
        </w:rPr>
        <w:footnoteReference w:id="9"/>
      </w:r>
    </w:p>
    <w:p w:rsidR="00874923" w:rsidP="00494597" w:rsidRDefault="00874923" w14:paraId="4B996C48" w14:textId="0EE06B9B">
      <w:pPr>
        <w:pStyle w:val="BodyText"/>
        <w:ind w:firstLine="1440"/>
        <w:rPr>
          <w:szCs w:val="26"/>
        </w:rPr>
      </w:pPr>
      <w:r w:rsidRPr="009C7904">
        <w:rPr>
          <w:szCs w:val="26"/>
        </w:rPr>
        <w:lastRenderedPageBreak/>
        <w:t xml:space="preserve">PG&amp;E filed </w:t>
      </w:r>
      <w:r>
        <w:rPr>
          <w:szCs w:val="26"/>
        </w:rPr>
        <w:t xml:space="preserve">a </w:t>
      </w:r>
      <w:r w:rsidRPr="009C7904">
        <w:rPr>
          <w:szCs w:val="26"/>
        </w:rPr>
        <w:t>response on August 18, 2025, opposing A4NR’s rehearing application. PG&amp;E argue</w:t>
      </w:r>
      <w:r>
        <w:rPr>
          <w:szCs w:val="26"/>
        </w:rPr>
        <w:t>s</w:t>
      </w:r>
      <w:r w:rsidRPr="009C7904">
        <w:rPr>
          <w:szCs w:val="26"/>
        </w:rPr>
        <w:t xml:space="preserve"> that A4NR mischaracterized the </w:t>
      </w:r>
      <w:r>
        <w:rPr>
          <w:szCs w:val="26"/>
        </w:rPr>
        <w:t>RCE</w:t>
      </w:r>
      <w:r w:rsidRPr="009C7904">
        <w:rPr>
          <w:szCs w:val="26"/>
        </w:rPr>
        <w:t xml:space="preserve"> by conflating “contributing causes” with root causes, and that the record still support</w:t>
      </w:r>
      <w:r>
        <w:rPr>
          <w:szCs w:val="26"/>
        </w:rPr>
        <w:t>s</w:t>
      </w:r>
      <w:r w:rsidRPr="009C7904">
        <w:rPr>
          <w:szCs w:val="26"/>
        </w:rPr>
        <w:t xml:space="preserve"> the Commission’s conclusion that PG&amp;E acted reasonably under the reasonable manager standard</w:t>
      </w:r>
      <w:r>
        <w:rPr>
          <w:szCs w:val="26"/>
        </w:rPr>
        <w:t xml:space="preserve"> with regard to the first three outages.</w:t>
      </w:r>
      <w:r w:rsidRPr="00FF0934">
        <w:rPr>
          <w:rStyle w:val="FootnoteReference"/>
          <w:sz w:val="26"/>
          <w:szCs w:val="26"/>
        </w:rPr>
        <w:footnoteReference w:id="10"/>
      </w:r>
    </w:p>
    <w:p w:rsidRPr="006641E3" w:rsidR="005866E0" w:rsidP="00494597" w:rsidRDefault="005866E0" w14:paraId="078A7AC2" w14:textId="371B6AC7">
      <w:pPr>
        <w:pStyle w:val="standard"/>
        <w:ind w:firstLine="1440"/>
        <w:rPr>
          <w:rFonts w:ascii="Times New Roman" w:hAnsi="Times New Roman"/>
          <w:szCs w:val="26"/>
        </w:rPr>
      </w:pPr>
      <w:r w:rsidRPr="006641E3">
        <w:rPr>
          <w:rFonts w:ascii="Times New Roman" w:hAnsi="Times New Roman"/>
          <w:szCs w:val="26"/>
        </w:rPr>
        <w:t xml:space="preserve">We have reviewed the allegations of error contained in the application for rehearing of </w:t>
      </w:r>
      <w:r w:rsidRPr="002710AC" w:rsidR="006641E3">
        <w:rPr>
          <w:rFonts w:ascii="Times New Roman" w:hAnsi="Times New Roman"/>
          <w:szCs w:val="26"/>
        </w:rPr>
        <w:t xml:space="preserve">D.25-06-045 </w:t>
      </w:r>
      <w:r w:rsidRPr="006641E3">
        <w:rPr>
          <w:rFonts w:ascii="Times New Roman" w:hAnsi="Times New Roman"/>
          <w:szCs w:val="26"/>
        </w:rPr>
        <w:t xml:space="preserve">and have determined that good cause has been demonstrated to modify the Decision. </w:t>
      </w:r>
      <w:r w:rsidR="00FF0934">
        <w:rPr>
          <w:rFonts w:ascii="Times New Roman" w:hAnsi="Times New Roman"/>
          <w:szCs w:val="26"/>
        </w:rPr>
        <w:t xml:space="preserve"> </w:t>
      </w:r>
      <w:r w:rsidRPr="006641E3">
        <w:rPr>
          <w:rFonts w:ascii="Times New Roman" w:hAnsi="Times New Roman"/>
          <w:szCs w:val="26"/>
        </w:rPr>
        <w:t xml:space="preserve">As modified, rehearing of </w:t>
      </w:r>
      <w:r w:rsidRPr="002710AC" w:rsidR="006641E3">
        <w:rPr>
          <w:rFonts w:ascii="Times New Roman" w:hAnsi="Times New Roman"/>
          <w:szCs w:val="26"/>
        </w:rPr>
        <w:t xml:space="preserve">D.25-06-045 </w:t>
      </w:r>
      <w:r w:rsidRPr="006641E3">
        <w:rPr>
          <w:rFonts w:ascii="Times New Roman" w:hAnsi="Times New Roman"/>
          <w:szCs w:val="26"/>
        </w:rPr>
        <w:t>is denied.</w:t>
      </w:r>
    </w:p>
    <w:p w:rsidR="00C3521D" w:rsidP="000F4F2D" w:rsidRDefault="000F4F2D" w14:paraId="0FB9BD85" w14:textId="050F4D76">
      <w:pPr>
        <w:pStyle w:val="Heading1"/>
      </w:pPr>
      <w:r>
        <w:t>DISCUSSION</w:t>
      </w:r>
    </w:p>
    <w:p w:rsidR="003008E6" w:rsidP="00FF0934" w:rsidRDefault="004C19A4" w14:paraId="49D533DF" w14:textId="0DB5F3AF">
      <w:pPr>
        <w:pStyle w:val="Heading2"/>
      </w:pPr>
      <w:r>
        <w:t>Applicable Legal Standards</w:t>
      </w:r>
    </w:p>
    <w:p w:rsidRPr="00502A94" w:rsidR="003008E6" w:rsidP="00494597" w:rsidRDefault="00502A94" w14:paraId="1333C5B6" w14:textId="5A034E16">
      <w:pPr>
        <w:pStyle w:val="BodyText"/>
        <w:ind w:firstLine="1440"/>
        <w:rPr>
          <w:szCs w:val="26"/>
        </w:rPr>
      </w:pPr>
      <w:r>
        <w:rPr>
          <w:szCs w:val="26"/>
        </w:rPr>
        <w:t>Under the Commission’s Rules of Practice and Procedure, “[t]</w:t>
      </w:r>
      <w:r w:rsidRPr="005F2974">
        <w:rPr>
          <w:szCs w:val="26"/>
        </w:rPr>
        <w:t>he purpose of an application for rehearing is to alert the Commission to a legal error, so that the Commission may correct it expeditiously.”</w:t>
      </w:r>
      <w:r w:rsidRPr="005F2974">
        <w:rPr>
          <w:rStyle w:val="FootnoteReference"/>
          <w:bCs/>
          <w:sz w:val="26"/>
          <w:szCs w:val="26"/>
        </w:rPr>
        <w:footnoteReference w:id="11"/>
      </w:r>
      <w:r w:rsidRPr="005F2974">
        <w:rPr>
          <w:szCs w:val="26"/>
        </w:rPr>
        <w:t xml:space="preserve"> </w:t>
      </w:r>
      <w:r w:rsidR="00FF0934">
        <w:rPr>
          <w:szCs w:val="26"/>
        </w:rPr>
        <w:t xml:space="preserve"> </w:t>
      </w:r>
      <w:r w:rsidRPr="00C30A34">
        <w:rPr>
          <w:szCs w:val="26"/>
        </w:rPr>
        <w:t xml:space="preserve">Applications for rehearing </w:t>
      </w:r>
      <w:r>
        <w:rPr>
          <w:szCs w:val="26"/>
        </w:rPr>
        <w:t>must “</w:t>
      </w:r>
      <w:r w:rsidRPr="00C30A34">
        <w:rPr>
          <w:szCs w:val="26"/>
        </w:rPr>
        <w:t>set forth specifically the grounds on which</w:t>
      </w:r>
      <w:r>
        <w:rPr>
          <w:szCs w:val="26"/>
        </w:rPr>
        <w:t xml:space="preserve"> </w:t>
      </w:r>
      <w:r w:rsidRPr="00C30A34">
        <w:rPr>
          <w:szCs w:val="26"/>
        </w:rPr>
        <w:t>the applicant considers the order or decision of the Commission to be</w:t>
      </w:r>
      <w:r>
        <w:rPr>
          <w:szCs w:val="26"/>
        </w:rPr>
        <w:t xml:space="preserve"> </w:t>
      </w:r>
      <w:r w:rsidRPr="00C30A34">
        <w:rPr>
          <w:szCs w:val="26"/>
        </w:rPr>
        <w:t>unlawful or erroneous, and must make specific references to the record or</w:t>
      </w:r>
      <w:r>
        <w:rPr>
          <w:szCs w:val="26"/>
        </w:rPr>
        <w:t xml:space="preserve"> </w:t>
      </w:r>
      <w:r w:rsidRPr="00C30A34">
        <w:rPr>
          <w:szCs w:val="26"/>
        </w:rPr>
        <w:t>law</w:t>
      </w:r>
      <w:r w:rsidRPr="00216C46">
        <w:rPr>
          <w:szCs w:val="26"/>
        </w:rPr>
        <w:t>.</w:t>
      </w:r>
      <w:r>
        <w:rPr>
          <w:szCs w:val="26"/>
        </w:rPr>
        <w:t>”</w:t>
      </w:r>
      <w:r w:rsidRPr="005F2974">
        <w:rPr>
          <w:rStyle w:val="FootnoteReference"/>
          <w:bCs/>
          <w:sz w:val="26"/>
          <w:szCs w:val="26"/>
        </w:rPr>
        <w:footnoteReference w:id="12"/>
      </w:r>
      <w:r>
        <w:rPr>
          <w:szCs w:val="26"/>
        </w:rPr>
        <w:t xml:space="preserve"> </w:t>
      </w:r>
      <w:r w:rsidR="00FF0934">
        <w:rPr>
          <w:szCs w:val="26"/>
        </w:rPr>
        <w:t xml:space="preserve"> </w:t>
      </w:r>
      <w:r w:rsidRPr="005F2974">
        <w:rPr>
          <w:szCs w:val="26"/>
        </w:rPr>
        <w:t>The rehearing applicant bears the burden of proving legal error.</w:t>
      </w:r>
      <w:r w:rsidRPr="00FF0934">
        <w:rPr>
          <w:rStyle w:val="FootnoteReference"/>
          <w:sz w:val="26"/>
          <w:szCs w:val="26"/>
        </w:rPr>
        <w:footnoteReference w:id="13"/>
      </w:r>
      <w:r>
        <w:rPr>
          <w:szCs w:val="26"/>
        </w:rPr>
        <w:t xml:space="preserve"> </w:t>
      </w:r>
      <w:r w:rsidR="00FF0934">
        <w:rPr>
          <w:szCs w:val="26"/>
        </w:rPr>
        <w:t xml:space="preserve"> </w:t>
      </w:r>
    </w:p>
    <w:p w:rsidR="00231959" w:rsidP="00494597" w:rsidRDefault="00231959" w14:paraId="6592120B" w14:textId="7AFBF9C8">
      <w:pPr>
        <w:pStyle w:val="BodyText"/>
        <w:ind w:firstLine="1440"/>
        <w:rPr>
          <w:szCs w:val="26"/>
        </w:rPr>
      </w:pPr>
      <w:r w:rsidRPr="00A55063">
        <w:rPr>
          <w:szCs w:val="26"/>
        </w:rPr>
        <w:t xml:space="preserve">A4NR’s application specifically alleges errors under several subdivisions of section 1757(a), focusing primarily on the claims that the Commission’s findings </w:t>
      </w:r>
      <w:r w:rsidR="00874923">
        <w:rPr>
          <w:szCs w:val="26"/>
        </w:rPr>
        <w:t>are unsupported by</w:t>
      </w:r>
      <w:r w:rsidRPr="00A55063" w:rsidR="00874923">
        <w:rPr>
          <w:szCs w:val="26"/>
        </w:rPr>
        <w:t xml:space="preserve"> </w:t>
      </w:r>
      <w:r w:rsidRPr="00A55063">
        <w:rPr>
          <w:szCs w:val="26"/>
        </w:rPr>
        <w:t xml:space="preserve">substantial evidence and that the Decision is not supported by </w:t>
      </w:r>
      <w:r>
        <w:rPr>
          <w:szCs w:val="26"/>
        </w:rPr>
        <w:t>the</w:t>
      </w:r>
      <w:r w:rsidRPr="00A55063">
        <w:rPr>
          <w:szCs w:val="26"/>
        </w:rPr>
        <w:t xml:space="preserve"> findings.</w:t>
      </w:r>
      <w:r w:rsidRPr="00FF0934">
        <w:rPr>
          <w:rStyle w:val="FootnoteReference"/>
          <w:sz w:val="26"/>
          <w:szCs w:val="26"/>
        </w:rPr>
        <w:footnoteReference w:id="14"/>
      </w:r>
      <w:r w:rsidRPr="00A55063">
        <w:rPr>
          <w:szCs w:val="26"/>
        </w:rPr>
        <w:t xml:space="preserve"> </w:t>
      </w:r>
      <w:r w:rsidR="00FF0934">
        <w:rPr>
          <w:szCs w:val="26"/>
        </w:rPr>
        <w:t xml:space="preserve"> </w:t>
      </w:r>
      <w:r w:rsidR="00874923">
        <w:rPr>
          <w:szCs w:val="26"/>
        </w:rPr>
        <w:t>Under the</w:t>
      </w:r>
      <w:r w:rsidRPr="002708AD">
        <w:rPr>
          <w:szCs w:val="26"/>
        </w:rPr>
        <w:t xml:space="preserve"> substantial evidence standard</w:t>
      </w:r>
      <w:r w:rsidR="00874923">
        <w:rPr>
          <w:szCs w:val="26"/>
        </w:rPr>
        <w:t>,</w:t>
      </w:r>
      <w:r w:rsidRPr="002708AD">
        <w:rPr>
          <w:szCs w:val="26"/>
        </w:rPr>
        <w:t xml:space="preserve"> the Commission’s findings may be reversed only if, based on the evidence before the Commission, no reasonable person </w:t>
      </w:r>
      <w:r w:rsidRPr="002708AD">
        <w:rPr>
          <w:szCs w:val="26"/>
        </w:rPr>
        <w:lastRenderedPageBreak/>
        <w:t>could reach the same conclusion.</w:t>
      </w:r>
      <w:r w:rsidRPr="00FF0934">
        <w:rPr>
          <w:rStyle w:val="FootnoteReference"/>
          <w:sz w:val="26"/>
          <w:szCs w:val="26"/>
        </w:rPr>
        <w:footnoteReference w:id="15"/>
      </w:r>
      <w:r>
        <w:rPr>
          <w:szCs w:val="26"/>
        </w:rPr>
        <w:t xml:space="preserve"> </w:t>
      </w:r>
      <w:r w:rsidR="00FF0934">
        <w:rPr>
          <w:szCs w:val="26"/>
        </w:rPr>
        <w:t xml:space="preserve"> </w:t>
      </w:r>
      <w:r w:rsidRPr="00364550">
        <w:rPr>
          <w:szCs w:val="26"/>
        </w:rPr>
        <w:t>This limitation is reinforced by section 1757(b), which provides that nothing in section 1757 permits a reviewing court “to hold a trial de novo, to take evidence other than as specified by the California Rules of Court, or to exercise its independent judgment on the evidence.</w:t>
      </w:r>
      <w:r>
        <w:rPr>
          <w:szCs w:val="26"/>
        </w:rPr>
        <w:t>”</w:t>
      </w:r>
      <w:r w:rsidRPr="00FF0934">
        <w:rPr>
          <w:rStyle w:val="FootnoteReference"/>
          <w:sz w:val="26"/>
          <w:szCs w:val="26"/>
        </w:rPr>
        <w:footnoteReference w:id="16"/>
      </w:r>
      <w:r w:rsidR="00FF0934">
        <w:rPr>
          <w:szCs w:val="26"/>
        </w:rPr>
        <w:t xml:space="preserve">  </w:t>
      </w:r>
    </w:p>
    <w:p w:rsidR="00CD11AA" w:rsidP="00494597" w:rsidRDefault="00CD11AA" w14:paraId="098A7135" w14:textId="365CB8A8">
      <w:pPr>
        <w:pStyle w:val="BodyText"/>
        <w:ind w:firstLine="1440"/>
        <w:rPr>
          <w:szCs w:val="26"/>
        </w:rPr>
      </w:pPr>
      <w:r w:rsidRPr="00D466C1">
        <w:rPr>
          <w:szCs w:val="26"/>
        </w:rPr>
        <w:t>The Commission use</w:t>
      </w:r>
      <w:r>
        <w:rPr>
          <w:szCs w:val="26"/>
        </w:rPr>
        <w:t>d</w:t>
      </w:r>
      <w:r w:rsidRPr="00D466C1">
        <w:rPr>
          <w:szCs w:val="26"/>
        </w:rPr>
        <w:t xml:space="preserve"> a </w:t>
      </w:r>
      <w:r>
        <w:rPr>
          <w:szCs w:val="26"/>
        </w:rPr>
        <w:t>“</w:t>
      </w:r>
      <w:r w:rsidRPr="00D466C1">
        <w:rPr>
          <w:szCs w:val="26"/>
        </w:rPr>
        <w:t>reasonable manager standard</w:t>
      </w:r>
      <w:r>
        <w:rPr>
          <w:szCs w:val="26"/>
        </w:rPr>
        <w:t>”</w:t>
      </w:r>
      <w:r w:rsidRPr="00D466C1">
        <w:rPr>
          <w:szCs w:val="26"/>
        </w:rPr>
        <w:t xml:space="preserve"> to assess PG&amp;E's actions</w:t>
      </w:r>
      <w:r>
        <w:rPr>
          <w:szCs w:val="26"/>
        </w:rPr>
        <w:t>.</w:t>
      </w:r>
      <w:r w:rsidRPr="00D466C1">
        <w:rPr>
          <w:rStyle w:val="FootnoteReference"/>
          <w:sz w:val="26"/>
          <w:szCs w:val="26"/>
        </w:rPr>
        <w:footnoteReference w:id="17"/>
      </w:r>
      <w:r w:rsidRPr="00D466C1">
        <w:rPr>
          <w:szCs w:val="26"/>
        </w:rPr>
        <w:t xml:space="preserve"> </w:t>
      </w:r>
      <w:r w:rsidR="00FF0934">
        <w:rPr>
          <w:szCs w:val="26"/>
        </w:rPr>
        <w:t xml:space="preserve"> </w:t>
      </w:r>
      <w:r w:rsidRPr="00D466C1">
        <w:rPr>
          <w:szCs w:val="26"/>
        </w:rPr>
        <w:t>Under this standard, utilities are held to “a standard of reasonableness based upon the facts that are known or should have been known at the time,” and their actions must “comport with what a reasonable manager of sufficient education, training, experience, and skills using the tools and knowledge at his or her disposal would do when faced with a need to make a decision and act.”</w:t>
      </w:r>
      <w:r w:rsidRPr="00D466C1">
        <w:rPr>
          <w:rStyle w:val="FootnoteReference"/>
          <w:sz w:val="26"/>
          <w:szCs w:val="26"/>
        </w:rPr>
        <w:footnoteReference w:id="18"/>
      </w:r>
      <w:r w:rsidRPr="00D466C1">
        <w:rPr>
          <w:szCs w:val="26"/>
        </w:rPr>
        <w:t xml:space="preserve"> </w:t>
      </w:r>
      <w:r w:rsidR="00FF0934">
        <w:rPr>
          <w:szCs w:val="26"/>
        </w:rPr>
        <w:t xml:space="preserve"> </w:t>
      </w:r>
      <w:r w:rsidRPr="00D466C1">
        <w:rPr>
          <w:szCs w:val="26"/>
        </w:rPr>
        <w:t>In other words, the standard evaluates decisions prospectively, not with hindsight, and measures whether the utility’s management actions were reasonable given the information and constraints existing at the time.</w:t>
      </w:r>
    </w:p>
    <w:p w:rsidRPr="00D67318" w:rsidR="00C055CD" w:rsidP="00FF0934" w:rsidRDefault="00C055CD" w14:paraId="66AF43AF" w14:textId="2EFA99E3">
      <w:pPr>
        <w:pStyle w:val="Heading2"/>
        <w:rPr>
          <w:u w:val="single"/>
        </w:rPr>
      </w:pPr>
      <w:r>
        <w:t xml:space="preserve">Section 4.3.3 and Finding of Fact 15 of the Decision </w:t>
      </w:r>
      <w:r w:rsidR="00931483">
        <w:t xml:space="preserve">are </w:t>
      </w:r>
      <w:r w:rsidR="000F06D0">
        <w:t xml:space="preserve">Modified to Clarify </w:t>
      </w:r>
      <w:r>
        <w:t>the Findings of the Root Cause Evaluation</w:t>
      </w:r>
    </w:p>
    <w:p w:rsidR="0078207B" w:rsidP="00494597" w:rsidRDefault="0078207B" w14:paraId="7E5B70D5" w14:textId="2993CEF8">
      <w:pPr>
        <w:pStyle w:val="BodyText"/>
        <w:ind w:firstLine="1440"/>
        <w:rPr>
          <w:szCs w:val="26"/>
        </w:rPr>
      </w:pPr>
      <w:r w:rsidRPr="004828F5">
        <w:rPr>
          <w:szCs w:val="26"/>
        </w:rPr>
        <w:t>A4NR</w:t>
      </w:r>
      <w:r>
        <w:rPr>
          <w:szCs w:val="26"/>
        </w:rPr>
        <w:t>’s rehearing application</w:t>
      </w:r>
      <w:r w:rsidRPr="004828F5">
        <w:rPr>
          <w:szCs w:val="26"/>
        </w:rPr>
        <w:t xml:space="preserve"> challenges the Commission’s findings regarding the cause of the first three outages at Diablo Canyon</w:t>
      </w:r>
      <w:r>
        <w:rPr>
          <w:szCs w:val="26"/>
        </w:rPr>
        <w:t xml:space="preserve">. </w:t>
      </w:r>
      <w:r w:rsidR="00FF0934">
        <w:rPr>
          <w:szCs w:val="26"/>
        </w:rPr>
        <w:t xml:space="preserve"> </w:t>
      </w:r>
      <w:r>
        <w:rPr>
          <w:szCs w:val="26"/>
        </w:rPr>
        <w:t>Specifically, A4NR alleges that the Commission’s conclusion that design flaws were not a factor in the first three outages was a misinterpretation of PG&amp;E’s Root Cause Evaluation.</w:t>
      </w:r>
      <w:r w:rsidRPr="00FF0934">
        <w:rPr>
          <w:rStyle w:val="FootnoteReference"/>
          <w:sz w:val="26"/>
          <w:szCs w:val="26"/>
        </w:rPr>
        <w:footnoteReference w:id="19"/>
      </w:r>
      <w:r>
        <w:rPr>
          <w:szCs w:val="26"/>
        </w:rPr>
        <w:t xml:space="preserve"> </w:t>
      </w:r>
      <w:r w:rsidR="00FF0934">
        <w:rPr>
          <w:szCs w:val="26"/>
        </w:rPr>
        <w:t xml:space="preserve"> </w:t>
      </w:r>
      <w:r>
        <w:rPr>
          <w:szCs w:val="26"/>
        </w:rPr>
        <w:t xml:space="preserve">The Decision’s Finding of Fact 15 states that “Design flaws and design verification testing deficiencies were not factors in the first three of the four vibration-caused forced outages at the Diablo Canyon Nuclear Powerplant.” </w:t>
      </w:r>
      <w:r w:rsidR="00FF0934">
        <w:rPr>
          <w:szCs w:val="26"/>
        </w:rPr>
        <w:t xml:space="preserve"> </w:t>
      </w:r>
      <w:r>
        <w:rPr>
          <w:szCs w:val="26"/>
        </w:rPr>
        <w:t xml:space="preserve">However, A4NR points to several places in </w:t>
      </w:r>
      <w:r>
        <w:rPr>
          <w:szCs w:val="26"/>
        </w:rPr>
        <w:lastRenderedPageBreak/>
        <w:t>the Root Cause Evaluation that list both design flaws and design verification testing deficiencies as “contributing causes” of all four outages.</w:t>
      </w:r>
      <w:r w:rsidRPr="00FF0934">
        <w:rPr>
          <w:rStyle w:val="FootnoteReference"/>
          <w:sz w:val="26"/>
          <w:szCs w:val="26"/>
        </w:rPr>
        <w:footnoteReference w:id="20"/>
      </w:r>
      <w:r>
        <w:rPr>
          <w:szCs w:val="26"/>
        </w:rPr>
        <w:t xml:space="preserve"> </w:t>
      </w:r>
      <w:r w:rsidR="00FF0934">
        <w:rPr>
          <w:szCs w:val="26"/>
        </w:rPr>
        <w:t xml:space="preserve"> </w:t>
      </w:r>
    </w:p>
    <w:p w:rsidR="00656EC0" w:rsidP="00494597" w:rsidRDefault="00656EC0" w14:paraId="10448E23" w14:textId="012593C3">
      <w:pPr>
        <w:pStyle w:val="BodyText"/>
        <w:ind w:firstLine="1440"/>
        <w:rPr>
          <w:szCs w:val="26"/>
        </w:rPr>
      </w:pPr>
      <w:r>
        <w:rPr>
          <w:szCs w:val="26"/>
        </w:rPr>
        <w:t xml:space="preserve">A4NR correctly notes that the Root Cause Evaluation </w:t>
      </w:r>
      <w:r w:rsidR="00892E85">
        <w:rPr>
          <w:szCs w:val="26"/>
        </w:rPr>
        <w:t>lists</w:t>
      </w:r>
      <w:r>
        <w:rPr>
          <w:szCs w:val="26"/>
        </w:rPr>
        <w:t xml:space="preserve"> design flaws (as well as design testing verification deficiencies) </w:t>
      </w:r>
      <w:r w:rsidR="00892E85">
        <w:rPr>
          <w:szCs w:val="26"/>
        </w:rPr>
        <w:t>as contributing causes of</w:t>
      </w:r>
      <w:r>
        <w:rPr>
          <w:szCs w:val="26"/>
        </w:rPr>
        <w:t xml:space="preserve"> the first three outages</w:t>
      </w:r>
      <w:r w:rsidRPr="003300F0">
        <w:rPr>
          <w:szCs w:val="26"/>
        </w:rPr>
        <w:t>, including</w:t>
      </w:r>
      <w:r w:rsidR="00BF147E">
        <w:rPr>
          <w:szCs w:val="26"/>
        </w:rPr>
        <w:t xml:space="preserve"> for</w:t>
      </w:r>
      <w:r w:rsidRPr="003300F0">
        <w:rPr>
          <w:szCs w:val="26"/>
        </w:rPr>
        <w:t xml:space="preserve"> issues associated with the original stator design, the stator rebuild design, the </w:t>
      </w:r>
      <w:r w:rsidR="00BE775F">
        <w:rPr>
          <w:szCs w:val="26"/>
        </w:rPr>
        <w:t xml:space="preserve">Stator Core </w:t>
      </w:r>
      <w:r w:rsidR="004665B7">
        <w:rPr>
          <w:szCs w:val="26"/>
        </w:rPr>
        <w:t>Cooling Water</w:t>
      </w:r>
      <w:r w:rsidRPr="003300F0" w:rsidR="00BE775F">
        <w:rPr>
          <w:szCs w:val="26"/>
        </w:rPr>
        <w:t xml:space="preserve"> </w:t>
      </w:r>
      <w:r w:rsidR="00BE59CE">
        <w:rPr>
          <w:szCs w:val="26"/>
        </w:rPr>
        <w:t>(SCCW) m</w:t>
      </w:r>
      <w:r w:rsidRPr="003300F0">
        <w:rPr>
          <w:szCs w:val="26"/>
        </w:rPr>
        <w:t>anifold water box weld design, and related vibration/resonance concerns.</w:t>
      </w:r>
      <w:r>
        <w:rPr>
          <w:szCs w:val="26"/>
        </w:rPr>
        <w:t xml:space="preserve"> </w:t>
      </w:r>
      <w:r w:rsidR="00FF0934">
        <w:rPr>
          <w:szCs w:val="26"/>
        </w:rPr>
        <w:t xml:space="preserve"> </w:t>
      </w:r>
      <w:r w:rsidR="003D2D5F">
        <w:rPr>
          <w:szCs w:val="26"/>
        </w:rPr>
        <w:t xml:space="preserve">We </w:t>
      </w:r>
      <w:r w:rsidR="009E495A">
        <w:rPr>
          <w:szCs w:val="26"/>
        </w:rPr>
        <w:t>acknowledge that</w:t>
      </w:r>
      <w:r w:rsidR="003D2D5F">
        <w:rPr>
          <w:szCs w:val="26"/>
        </w:rPr>
        <w:t xml:space="preserve"> t</w:t>
      </w:r>
      <w:r>
        <w:rPr>
          <w:szCs w:val="26"/>
        </w:rPr>
        <w:t>he language in section 4.3.3 and Finding of Fact 15 that design flaws and design testing verification deficiencies were not factors in the first three outages</w:t>
      </w:r>
      <w:r w:rsidR="003D2D5F">
        <w:rPr>
          <w:szCs w:val="26"/>
        </w:rPr>
        <w:t xml:space="preserve"> may cause confusion in light of these findings</w:t>
      </w:r>
      <w:r w:rsidR="00991B8A">
        <w:rPr>
          <w:szCs w:val="26"/>
        </w:rPr>
        <w:t xml:space="preserve"> in the R</w:t>
      </w:r>
      <w:r w:rsidR="002372FA">
        <w:rPr>
          <w:szCs w:val="26"/>
        </w:rPr>
        <w:t>oot Cause Evaluation</w:t>
      </w:r>
      <w:r w:rsidR="003D2D5F">
        <w:rPr>
          <w:szCs w:val="26"/>
        </w:rPr>
        <w:t>.</w:t>
      </w:r>
    </w:p>
    <w:p w:rsidR="008A4346" w:rsidP="00494597" w:rsidRDefault="00EF711E" w14:paraId="51ED3308" w14:textId="03AAF8DF">
      <w:pPr>
        <w:pStyle w:val="BodyText"/>
        <w:ind w:firstLine="1440"/>
        <w:rPr>
          <w:szCs w:val="26"/>
        </w:rPr>
      </w:pPr>
      <w:r>
        <w:rPr>
          <w:szCs w:val="26"/>
        </w:rPr>
        <w:t>Therefore, we modify</w:t>
      </w:r>
      <w:r w:rsidR="008A4346">
        <w:rPr>
          <w:szCs w:val="26"/>
        </w:rPr>
        <w:t xml:space="preserve"> section 4.3.3 and Finding of Fact 15 to </w:t>
      </w:r>
      <w:r w:rsidR="00714B90">
        <w:rPr>
          <w:szCs w:val="26"/>
        </w:rPr>
        <w:t>clarify</w:t>
      </w:r>
      <w:r w:rsidR="008A4346">
        <w:rPr>
          <w:szCs w:val="26"/>
        </w:rPr>
        <w:t xml:space="preserve"> that </w:t>
      </w:r>
      <w:r w:rsidRPr="00E2595C" w:rsidR="008A4346">
        <w:rPr>
          <w:szCs w:val="26"/>
        </w:rPr>
        <w:t>the Root Cause Evaluation identified certain design-related issues as contributing causes associated with the first three vibration-related outages</w:t>
      </w:r>
      <w:r w:rsidR="008A4346">
        <w:rPr>
          <w:szCs w:val="26"/>
        </w:rPr>
        <w:t xml:space="preserve"> at the Diablo Canyon Nuclear Powerplant, but that ultimately the determinative root cause of the first three outages was the slip-stick phenomenon.</w:t>
      </w:r>
      <w:r w:rsidRPr="00FF0934" w:rsidR="00A5624C">
        <w:rPr>
          <w:rStyle w:val="FootnoteReference"/>
          <w:sz w:val="26"/>
          <w:szCs w:val="26"/>
        </w:rPr>
        <w:footnoteReference w:id="21"/>
      </w:r>
      <w:r w:rsidR="008A4346">
        <w:rPr>
          <w:szCs w:val="26"/>
        </w:rPr>
        <w:t xml:space="preserve"> </w:t>
      </w:r>
      <w:r w:rsidR="00FF0934">
        <w:rPr>
          <w:szCs w:val="26"/>
        </w:rPr>
        <w:t xml:space="preserve"> </w:t>
      </w:r>
      <w:r w:rsidR="008A4346">
        <w:rPr>
          <w:szCs w:val="26"/>
        </w:rPr>
        <w:t>As discussed further below, these modifications do not affect the Decision’s conclusion that PG&amp;E acted reasonably with respect to the first three outages.</w:t>
      </w:r>
    </w:p>
    <w:p w:rsidRPr="00FF0934" w:rsidR="009B22BA" w:rsidP="00FF0934" w:rsidRDefault="009B22BA" w14:paraId="3455187F" w14:textId="6611D442">
      <w:pPr>
        <w:pStyle w:val="Heading2"/>
      </w:pPr>
      <w:r w:rsidRPr="00FF0934">
        <w:t>A4NR’s Allegations that Conclusions of Law 11 and 12 are Unsupported Lack Merit</w:t>
      </w:r>
    </w:p>
    <w:p w:rsidR="00395D8C" w:rsidP="00494597" w:rsidRDefault="00395D8C" w14:paraId="65DA80E2" w14:textId="30D168D2">
      <w:pPr>
        <w:pStyle w:val="BodyText"/>
        <w:ind w:firstLine="1440"/>
        <w:rPr>
          <w:szCs w:val="26"/>
        </w:rPr>
      </w:pPr>
      <w:r>
        <w:rPr>
          <w:szCs w:val="26"/>
        </w:rPr>
        <w:t xml:space="preserve">As noted above, </w:t>
      </w:r>
      <w:r w:rsidRPr="00FB5214">
        <w:rPr>
          <w:szCs w:val="26"/>
        </w:rPr>
        <w:t xml:space="preserve">A4NR argues that, because the </w:t>
      </w:r>
      <w:r>
        <w:rPr>
          <w:szCs w:val="26"/>
        </w:rPr>
        <w:t>Root Cause Evaluation</w:t>
      </w:r>
      <w:r w:rsidRPr="00FB5214">
        <w:rPr>
          <w:szCs w:val="26"/>
        </w:rPr>
        <w:t xml:space="preserve"> identifies design flaws as contributing causes of the first three outages, Finding of Fact 15 is unsupported by substantial evidence to the extent it states that design flaws were not factors in those outages.</w:t>
      </w:r>
      <w:r w:rsidRPr="00FF0934">
        <w:rPr>
          <w:rStyle w:val="FootnoteReference"/>
          <w:sz w:val="26"/>
          <w:szCs w:val="26"/>
        </w:rPr>
        <w:footnoteReference w:id="22"/>
      </w:r>
      <w:r w:rsidRPr="00FB5214">
        <w:rPr>
          <w:szCs w:val="26"/>
        </w:rPr>
        <w:t xml:space="preserve"> </w:t>
      </w:r>
      <w:r w:rsidR="00FF0934">
        <w:rPr>
          <w:szCs w:val="26"/>
        </w:rPr>
        <w:t xml:space="preserve"> </w:t>
      </w:r>
      <w:r w:rsidRPr="00FB5214">
        <w:rPr>
          <w:szCs w:val="26"/>
        </w:rPr>
        <w:t>A4NR then contends that this asserted factual error undermines the Decision’s related legal conclusions regarding PG&amp;E’s prudence.</w:t>
      </w:r>
      <w:r w:rsidRPr="00FF0934">
        <w:rPr>
          <w:rStyle w:val="FootnoteReference"/>
          <w:sz w:val="26"/>
          <w:szCs w:val="26"/>
        </w:rPr>
        <w:footnoteReference w:id="23"/>
      </w:r>
    </w:p>
    <w:p w:rsidR="00395D8C" w:rsidP="00494597" w:rsidRDefault="00395D8C" w14:paraId="0A8F5624" w14:textId="604AE5BE">
      <w:pPr>
        <w:pStyle w:val="BodyText"/>
        <w:ind w:firstLine="1440"/>
        <w:rPr>
          <w:szCs w:val="26"/>
        </w:rPr>
      </w:pPr>
      <w:r w:rsidRPr="00696414">
        <w:rPr>
          <w:szCs w:val="26"/>
        </w:rPr>
        <w:lastRenderedPageBreak/>
        <w:t>Specifically, A4NR challenges Conclusions of Law 11 and 12.</w:t>
      </w:r>
      <w:r w:rsidRPr="00FF0934">
        <w:rPr>
          <w:rStyle w:val="FootnoteReference"/>
          <w:sz w:val="26"/>
          <w:szCs w:val="26"/>
        </w:rPr>
        <w:footnoteReference w:id="24"/>
      </w:r>
      <w:r w:rsidRPr="00696414">
        <w:rPr>
          <w:szCs w:val="26"/>
        </w:rPr>
        <w:t xml:space="preserve"> </w:t>
      </w:r>
      <w:r w:rsidR="00FF0934">
        <w:rPr>
          <w:szCs w:val="26"/>
        </w:rPr>
        <w:t xml:space="preserve"> </w:t>
      </w:r>
      <w:r w:rsidRPr="00696414">
        <w:rPr>
          <w:szCs w:val="26"/>
        </w:rPr>
        <w:t xml:space="preserve">Conclusion of Law 11 states that, </w:t>
      </w:r>
      <w:r>
        <w:rPr>
          <w:szCs w:val="26"/>
        </w:rPr>
        <w:t>“[w]</w:t>
      </w:r>
      <w:proofErr w:type="spellStart"/>
      <w:r w:rsidRPr="003E03DF">
        <w:rPr>
          <w:szCs w:val="26"/>
        </w:rPr>
        <w:t>ith</w:t>
      </w:r>
      <w:proofErr w:type="spellEnd"/>
      <w:r w:rsidRPr="003E03DF">
        <w:rPr>
          <w:szCs w:val="26"/>
        </w:rPr>
        <w:t xml:space="preserve"> the exception of forced outage four, PG&amp;E acted reasonably with respect to forced outages one, two, three, five and six at the Diablo Canyon Nuclear Power Plant</w:t>
      </w:r>
      <w:r w:rsidRPr="00696414">
        <w:rPr>
          <w:szCs w:val="26"/>
        </w:rPr>
        <w:t>.</w:t>
      </w:r>
      <w:r>
        <w:rPr>
          <w:szCs w:val="26"/>
        </w:rPr>
        <w:t>”</w:t>
      </w:r>
      <w:r w:rsidRPr="00FF0934">
        <w:rPr>
          <w:rStyle w:val="FootnoteReference"/>
          <w:sz w:val="26"/>
          <w:szCs w:val="26"/>
        </w:rPr>
        <w:footnoteReference w:id="25"/>
      </w:r>
      <w:r w:rsidRPr="00696414">
        <w:rPr>
          <w:szCs w:val="26"/>
        </w:rPr>
        <w:t xml:space="preserve"> </w:t>
      </w:r>
      <w:r w:rsidR="00FF0934">
        <w:rPr>
          <w:szCs w:val="26"/>
        </w:rPr>
        <w:t xml:space="preserve"> </w:t>
      </w:r>
      <w:r w:rsidRPr="00696414">
        <w:rPr>
          <w:szCs w:val="26"/>
        </w:rPr>
        <w:t xml:space="preserve">Conclusion of Law 12 states that, </w:t>
      </w:r>
      <w:r>
        <w:rPr>
          <w:szCs w:val="26"/>
        </w:rPr>
        <w:t>“[w]</w:t>
      </w:r>
      <w:proofErr w:type="spellStart"/>
      <w:r w:rsidRPr="00EB28C5">
        <w:rPr>
          <w:szCs w:val="26"/>
        </w:rPr>
        <w:t>ith</w:t>
      </w:r>
      <w:proofErr w:type="spellEnd"/>
      <w:r w:rsidRPr="00EB28C5">
        <w:rPr>
          <w:szCs w:val="26"/>
        </w:rPr>
        <w:t xml:space="preserve"> the exception of forced outage four at Diablo Canyon Nuclear Power Plant, PG&amp;E managed its utility owned nuclear generation facilities reasonably and in compliance with all applicable rules, regulations and Commission decisions.</w:t>
      </w:r>
      <w:r>
        <w:rPr>
          <w:szCs w:val="26"/>
        </w:rPr>
        <w:t>”</w:t>
      </w:r>
      <w:r w:rsidRPr="00FF0934">
        <w:rPr>
          <w:rStyle w:val="FootnoteReference"/>
          <w:sz w:val="26"/>
          <w:szCs w:val="26"/>
        </w:rPr>
        <w:footnoteReference w:id="26"/>
      </w:r>
      <w:r w:rsidRPr="00EB28C5">
        <w:rPr>
          <w:szCs w:val="26"/>
        </w:rPr>
        <w:t xml:space="preserve"> </w:t>
      </w:r>
      <w:r w:rsidR="00FF0934">
        <w:rPr>
          <w:szCs w:val="26"/>
        </w:rPr>
        <w:t xml:space="preserve"> </w:t>
      </w:r>
    </w:p>
    <w:p w:rsidR="00395D8C" w:rsidP="00494597" w:rsidRDefault="00395D8C" w14:paraId="0772DD07" w14:textId="64A1E938">
      <w:pPr>
        <w:pStyle w:val="BodyText"/>
        <w:ind w:firstLine="1440"/>
        <w:rPr>
          <w:szCs w:val="26"/>
        </w:rPr>
      </w:pPr>
      <w:r w:rsidRPr="00696414">
        <w:rPr>
          <w:szCs w:val="26"/>
        </w:rPr>
        <w:t xml:space="preserve">A4NR </w:t>
      </w:r>
      <w:r w:rsidR="002A53B0">
        <w:rPr>
          <w:szCs w:val="26"/>
        </w:rPr>
        <w:t>alleges</w:t>
      </w:r>
      <w:r w:rsidRPr="00696414" w:rsidR="002A53B0">
        <w:rPr>
          <w:szCs w:val="26"/>
        </w:rPr>
        <w:t xml:space="preserve"> </w:t>
      </w:r>
      <w:r w:rsidRPr="00696414">
        <w:rPr>
          <w:szCs w:val="26"/>
        </w:rPr>
        <w:t xml:space="preserve">that if design flaws caused or contributed to the first three outages, then the Commission’s conclusions that PG&amp;E acted reasonably with respect to those outages are not supported by </w:t>
      </w:r>
      <w:r>
        <w:rPr>
          <w:szCs w:val="26"/>
        </w:rPr>
        <w:t>the</w:t>
      </w:r>
      <w:r w:rsidRPr="00696414">
        <w:rPr>
          <w:szCs w:val="26"/>
        </w:rPr>
        <w:t xml:space="preserve"> findings</w:t>
      </w:r>
      <w:r w:rsidR="00C00EF7">
        <w:rPr>
          <w:szCs w:val="26"/>
        </w:rPr>
        <w:t xml:space="preserve"> or substantial evidence</w:t>
      </w:r>
      <w:r w:rsidRPr="00696414">
        <w:rPr>
          <w:szCs w:val="26"/>
        </w:rPr>
        <w:t>.</w:t>
      </w:r>
      <w:r>
        <w:rPr>
          <w:szCs w:val="26"/>
        </w:rPr>
        <w:t xml:space="preserve"> </w:t>
      </w:r>
      <w:r w:rsidR="00FF0934">
        <w:rPr>
          <w:szCs w:val="26"/>
        </w:rPr>
        <w:t xml:space="preserve"> </w:t>
      </w:r>
      <w:r>
        <w:rPr>
          <w:szCs w:val="26"/>
        </w:rPr>
        <w:t xml:space="preserve">Based on this, </w:t>
      </w:r>
      <w:r w:rsidRPr="00E403F0">
        <w:rPr>
          <w:szCs w:val="26"/>
        </w:rPr>
        <w:t>A4NR asks the Commission to revise the Decision’s treatment of the first three outages and impose additional replacement power disallowances.</w:t>
      </w:r>
      <w:r w:rsidRPr="00FF0934">
        <w:rPr>
          <w:rStyle w:val="FootnoteReference"/>
          <w:sz w:val="26"/>
          <w:szCs w:val="26"/>
        </w:rPr>
        <w:footnoteReference w:id="27"/>
      </w:r>
      <w:r w:rsidR="00FF0934">
        <w:rPr>
          <w:szCs w:val="26"/>
        </w:rPr>
        <w:t xml:space="preserve"> </w:t>
      </w:r>
      <w:r w:rsidRPr="00E403F0">
        <w:rPr>
          <w:szCs w:val="26"/>
        </w:rPr>
        <w:t xml:space="preserve"> In addition to the $43,208,116 disallowance already adopted for forced outage four, A4NR seeks to augment the disallowance by $103,535,740 for replacement power costs associated with the first three SCCW manifold vibration-related outages.</w:t>
      </w:r>
      <w:r w:rsidRPr="00FF0934">
        <w:rPr>
          <w:rStyle w:val="FootnoteReference"/>
          <w:sz w:val="26"/>
          <w:szCs w:val="26"/>
        </w:rPr>
        <w:footnoteReference w:id="28"/>
      </w:r>
      <w:r w:rsidR="00FF0934">
        <w:rPr>
          <w:szCs w:val="26"/>
        </w:rPr>
        <w:t xml:space="preserve">  </w:t>
      </w:r>
    </w:p>
    <w:p w:rsidR="00395D8C" w:rsidP="00494597" w:rsidRDefault="002A53B0" w14:paraId="5C95FB28" w14:textId="36AEFF7D">
      <w:pPr>
        <w:pStyle w:val="BodyText"/>
        <w:ind w:firstLine="1440"/>
        <w:rPr>
          <w:szCs w:val="26"/>
        </w:rPr>
      </w:pPr>
      <w:r>
        <w:rPr>
          <w:szCs w:val="26"/>
        </w:rPr>
        <w:t xml:space="preserve">A4NR’s allegations lack merit. </w:t>
      </w:r>
      <w:r w:rsidR="00F639AA">
        <w:rPr>
          <w:szCs w:val="26"/>
        </w:rPr>
        <w:t xml:space="preserve"> </w:t>
      </w:r>
      <w:r w:rsidR="00395D8C">
        <w:rPr>
          <w:szCs w:val="26"/>
        </w:rPr>
        <w:t xml:space="preserve">As discussed above, </w:t>
      </w:r>
      <w:r w:rsidR="00C903DF">
        <w:rPr>
          <w:szCs w:val="26"/>
        </w:rPr>
        <w:t>we modify</w:t>
      </w:r>
      <w:r w:rsidR="00395D8C">
        <w:rPr>
          <w:szCs w:val="26"/>
        </w:rPr>
        <w:t xml:space="preserve"> </w:t>
      </w:r>
      <w:r w:rsidR="00377813">
        <w:rPr>
          <w:szCs w:val="26"/>
        </w:rPr>
        <w:t xml:space="preserve">Decision to clarify </w:t>
      </w:r>
      <w:r w:rsidR="00395D8C">
        <w:rPr>
          <w:szCs w:val="26"/>
        </w:rPr>
        <w:t>Finding of Fact 15</w:t>
      </w:r>
      <w:r w:rsidR="00377813">
        <w:rPr>
          <w:szCs w:val="26"/>
        </w:rPr>
        <w:t xml:space="preserve"> and section 4.3.3</w:t>
      </w:r>
      <w:r w:rsidR="00395D8C">
        <w:rPr>
          <w:szCs w:val="26"/>
        </w:rPr>
        <w:t>.</w:t>
      </w:r>
      <w:r w:rsidR="00A45646">
        <w:rPr>
          <w:szCs w:val="26"/>
        </w:rPr>
        <w:t xml:space="preserve"> </w:t>
      </w:r>
      <w:r w:rsidR="00F639AA">
        <w:rPr>
          <w:szCs w:val="26"/>
        </w:rPr>
        <w:t xml:space="preserve"> </w:t>
      </w:r>
      <w:r w:rsidR="00A33D2E">
        <w:rPr>
          <w:szCs w:val="26"/>
        </w:rPr>
        <w:t>T</w:t>
      </w:r>
      <w:r w:rsidR="00395D8C">
        <w:rPr>
          <w:szCs w:val="26"/>
        </w:rPr>
        <w:t>he Commission’s conclusion that PG&amp;E acted reasonably with respect to outages one through three are supported by the findings, as modified, and substantial evidence.</w:t>
      </w:r>
    </w:p>
    <w:p w:rsidRPr="00FF0934" w:rsidR="00291772" w:rsidP="00FF0934" w:rsidRDefault="007E4FEF" w14:paraId="67059D1C" w14:textId="51BB1431">
      <w:pPr>
        <w:pStyle w:val="Heading3"/>
      </w:pPr>
      <w:r w:rsidRPr="00FF0934">
        <w:lastRenderedPageBreak/>
        <w:t xml:space="preserve">The </w:t>
      </w:r>
      <w:r w:rsidRPr="00FF0934" w:rsidR="00C01D2F">
        <w:t>R</w:t>
      </w:r>
      <w:r w:rsidRPr="00FF0934">
        <w:t xml:space="preserve">ecord and </w:t>
      </w:r>
      <w:r w:rsidRPr="00FF0934" w:rsidR="00C01D2F">
        <w:t>F</w:t>
      </w:r>
      <w:r w:rsidRPr="00FF0934">
        <w:t xml:space="preserve">indings </w:t>
      </w:r>
      <w:r w:rsidRPr="00FF0934" w:rsidR="00C01D2F">
        <w:t>S</w:t>
      </w:r>
      <w:r w:rsidRPr="00FF0934">
        <w:t xml:space="preserve">upport the Commission’s </w:t>
      </w:r>
      <w:r w:rsidRPr="00FF0934" w:rsidR="00C01D2F">
        <w:t>D</w:t>
      </w:r>
      <w:r w:rsidRPr="00FF0934">
        <w:t xml:space="preserve">etermination that PG&amp;E </w:t>
      </w:r>
      <w:r w:rsidRPr="00FF0934" w:rsidR="00C01D2F">
        <w:t>A</w:t>
      </w:r>
      <w:r w:rsidRPr="00FF0934">
        <w:t xml:space="preserve">cted </w:t>
      </w:r>
      <w:r w:rsidRPr="00FF0934" w:rsidR="00C01D2F">
        <w:t>P</w:t>
      </w:r>
      <w:r w:rsidRPr="00FF0934">
        <w:t xml:space="preserve">rudently with </w:t>
      </w:r>
      <w:r w:rsidRPr="00FF0934" w:rsidR="00C01D2F">
        <w:t>R</w:t>
      </w:r>
      <w:r w:rsidRPr="00FF0934">
        <w:t xml:space="preserve">espect to </w:t>
      </w:r>
      <w:r w:rsidRPr="00FF0934" w:rsidR="00C01D2F">
        <w:t>O</w:t>
      </w:r>
      <w:r w:rsidRPr="00FF0934">
        <w:t xml:space="preserve">utages </w:t>
      </w:r>
      <w:r w:rsidRPr="00FF0934" w:rsidR="00C01D2F">
        <w:t>O</w:t>
      </w:r>
      <w:r w:rsidRPr="00FF0934">
        <w:t xml:space="preserve">ne </w:t>
      </w:r>
      <w:r w:rsidRPr="00FF0934" w:rsidR="00C01D2F">
        <w:t>T</w:t>
      </w:r>
      <w:r w:rsidRPr="00FF0934">
        <w:t xml:space="preserve">hrough </w:t>
      </w:r>
      <w:r w:rsidRPr="00FF0934" w:rsidR="00C01D2F">
        <w:t>T</w:t>
      </w:r>
      <w:r w:rsidRPr="00FF0934">
        <w:t>hree</w:t>
      </w:r>
    </w:p>
    <w:p w:rsidR="0049742D" w:rsidP="00494597" w:rsidRDefault="008A2CA0" w14:paraId="4075E121" w14:textId="3544B2FF">
      <w:pPr>
        <w:pStyle w:val="BodyText"/>
        <w:ind w:firstLine="1440"/>
        <w:rPr>
          <w:szCs w:val="26"/>
        </w:rPr>
      </w:pPr>
      <w:r>
        <w:rPr>
          <w:szCs w:val="26"/>
        </w:rPr>
        <w:t>The</w:t>
      </w:r>
      <w:r w:rsidRPr="00D466C1" w:rsidR="00D3330B">
        <w:rPr>
          <w:szCs w:val="26"/>
        </w:rPr>
        <w:t xml:space="preserve"> </w:t>
      </w:r>
      <w:r>
        <w:rPr>
          <w:szCs w:val="26"/>
        </w:rPr>
        <w:t>Root Cause Evaluation identifie</w:t>
      </w:r>
      <w:r w:rsidR="000B233E">
        <w:rPr>
          <w:szCs w:val="26"/>
        </w:rPr>
        <w:t>d that the root cause of the first three outages</w:t>
      </w:r>
      <w:r>
        <w:rPr>
          <w:szCs w:val="26"/>
        </w:rPr>
        <w:t xml:space="preserve"> </w:t>
      </w:r>
      <w:r w:rsidR="00D3330B">
        <w:rPr>
          <w:szCs w:val="26"/>
        </w:rPr>
        <w:t>was the bore ring “slip-stick” phenomenon.</w:t>
      </w:r>
      <w:r w:rsidRPr="00FF0934" w:rsidR="00D3330B">
        <w:rPr>
          <w:rStyle w:val="FootnoteReference"/>
          <w:sz w:val="26"/>
          <w:szCs w:val="26"/>
        </w:rPr>
        <w:footnoteReference w:id="29"/>
      </w:r>
      <w:r w:rsidR="00D3330B">
        <w:rPr>
          <w:szCs w:val="26"/>
        </w:rPr>
        <w:t xml:space="preserve"> </w:t>
      </w:r>
      <w:r w:rsidR="00FF0934">
        <w:rPr>
          <w:szCs w:val="26"/>
        </w:rPr>
        <w:t xml:space="preserve"> </w:t>
      </w:r>
      <w:r w:rsidR="001F1DB8">
        <w:rPr>
          <w:szCs w:val="26"/>
        </w:rPr>
        <w:t>An additional root cause</w:t>
      </w:r>
      <w:r w:rsidR="0049742D">
        <w:rPr>
          <w:szCs w:val="26"/>
        </w:rPr>
        <w:t xml:space="preserve">, attributed to outage four, was identified as </w:t>
      </w:r>
      <w:r w:rsidRPr="00472A79" w:rsidR="0049742D">
        <w:rPr>
          <w:szCs w:val="26"/>
        </w:rPr>
        <w:t>inadequate mitigation of and testing for resonant frequencies on the exciter and parallel rings and end windings</w:t>
      </w:r>
      <w:r w:rsidR="0049742D">
        <w:rPr>
          <w:szCs w:val="26"/>
        </w:rPr>
        <w:t>.</w:t>
      </w:r>
      <w:r w:rsidRPr="00FF0934" w:rsidR="0049742D">
        <w:rPr>
          <w:rStyle w:val="FootnoteReference"/>
          <w:sz w:val="26"/>
          <w:szCs w:val="26"/>
        </w:rPr>
        <w:footnoteReference w:id="30"/>
      </w:r>
    </w:p>
    <w:p w:rsidR="0049742D" w:rsidP="00494597" w:rsidRDefault="0049742D" w14:paraId="17561FDB" w14:textId="47766371">
      <w:pPr>
        <w:pStyle w:val="BodyText"/>
        <w:ind w:firstLine="1440"/>
        <w:rPr>
          <w:szCs w:val="26"/>
        </w:rPr>
      </w:pPr>
      <w:r w:rsidRPr="00D466C1">
        <w:rPr>
          <w:szCs w:val="26"/>
        </w:rPr>
        <w:t xml:space="preserve">PG&amp;E </w:t>
      </w:r>
      <w:r>
        <w:rPr>
          <w:szCs w:val="26"/>
        </w:rPr>
        <w:t>failed to prevent the stick-slip phenomenon, until after the third outage.</w:t>
      </w:r>
      <w:r w:rsidRPr="00FF0934">
        <w:rPr>
          <w:rStyle w:val="FootnoteReference"/>
          <w:sz w:val="26"/>
          <w:szCs w:val="26"/>
        </w:rPr>
        <w:footnoteReference w:id="31"/>
      </w:r>
      <w:r>
        <w:rPr>
          <w:szCs w:val="26"/>
        </w:rPr>
        <w:t xml:space="preserve"> </w:t>
      </w:r>
      <w:r w:rsidR="00FF0934">
        <w:rPr>
          <w:szCs w:val="26"/>
        </w:rPr>
        <w:t xml:space="preserve"> </w:t>
      </w:r>
      <w:r>
        <w:rPr>
          <w:szCs w:val="26"/>
        </w:rPr>
        <w:t xml:space="preserve">PG&amp;E </w:t>
      </w:r>
      <w:r w:rsidRPr="00D466C1">
        <w:rPr>
          <w:szCs w:val="26"/>
        </w:rPr>
        <w:t xml:space="preserve">stated that this </w:t>
      </w:r>
      <w:r>
        <w:rPr>
          <w:szCs w:val="26"/>
        </w:rPr>
        <w:t>“</w:t>
      </w:r>
      <w:r w:rsidRPr="00D466C1">
        <w:rPr>
          <w:szCs w:val="26"/>
        </w:rPr>
        <w:t>stick-slip</w:t>
      </w:r>
      <w:r>
        <w:rPr>
          <w:szCs w:val="26"/>
        </w:rPr>
        <w:t>”</w:t>
      </w:r>
      <w:r w:rsidRPr="00D466C1">
        <w:rPr>
          <w:szCs w:val="26"/>
        </w:rPr>
        <w:t xml:space="preserve"> phenomenon </w:t>
      </w:r>
      <w:r>
        <w:rPr>
          <w:szCs w:val="26"/>
        </w:rPr>
        <w:t>“</w:t>
      </w:r>
      <w:r w:rsidRPr="00D466C1">
        <w:rPr>
          <w:szCs w:val="26"/>
        </w:rPr>
        <w:t>had never previously occurred in a generator using Siemens’ chosen stator design</w:t>
      </w:r>
      <w:r>
        <w:rPr>
          <w:szCs w:val="26"/>
        </w:rPr>
        <w:t>”</w:t>
      </w:r>
      <w:r w:rsidRPr="00D466C1">
        <w:rPr>
          <w:szCs w:val="26"/>
        </w:rPr>
        <w:t xml:space="preserve"> and was an </w:t>
      </w:r>
      <w:r>
        <w:rPr>
          <w:szCs w:val="26"/>
        </w:rPr>
        <w:t>“</w:t>
      </w:r>
      <w:r w:rsidRPr="00D466C1">
        <w:rPr>
          <w:szCs w:val="26"/>
        </w:rPr>
        <w:t>underlying causal condition</w:t>
      </w:r>
      <w:r>
        <w:rPr>
          <w:szCs w:val="26"/>
        </w:rPr>
        <w:t>”</w:t>
      </w:r>
      <w:r w:rsidRPr="00D466C1">
        <w:rPr>
          <w:szCs w:val="26"/>
        </w:rPr>
        <w:t xml:space="preserve"> that </w:t>
      </w:r>
      <w:r>
        <w:rPr>
          <w:szCs w:val="26"/>
        </w:rPr>
        <w:t>“</w:t>
      </w:r>
      <w:r w:rsidRPr="00D466C1">
        <w:rPr>
          <w:szCs w:val="26"/>
        </w:rPr>
        <w:t>no industry knowledge or available testing could have detected prior to restart.</w:t>
      </w:r>
      <w:r>
        <w:rPr>
          <w:szCs w:val="26"/>
        </w:rPr>
        <w:t>”</w:t>
      </w:r>
      <w:r w:rsidRPr="00D466C1">
        <w:rPr>
          <w:rStyle w:val="FootnoteReference"/>
          <w:sz w:val="26"/>
          <w:szCs w:val="26"/>
        </w:rPr>
        <w:footnoteReference w:id="32"/>
      </w:r>
      <w:r w:rsidRPr="00D466C1">
        <w:rPr>
          <w:szCs w:val="26"/>
        </w:rPr>
        <w:t xml:space="preserve"> </w:t>
      </w:r>
      <w:r w:rsidR="00FF0934">
        <w:rPr>
          <w:szCs w:val="26"/>
        </w:rPr>
        <w:t xml:space="preserve"> </w:t>
      </w:r>
      <w:r w:rsidRPr="00D466C1">
        <w:rPr>
          <w:szCs w:val="26"/>
        </w:rPr>
        <w:t>Because the stick-slip phenomenon was “previously unknown,”</w:t>
      </w:r>
      <w:r>
        <w:rPr>
          <w:szCs w:val="26"/>
        </w:rPr>
        <w:t xml:space="preserve"> </w:t>
      </w:r>
      <w:r w:rsidRPr="00D466C1">
        <w:rPr>
          <w:szCs w:val="26"/>
        </w:rPr>
        <w:t xml:space="preserve">the Commission </w:t>
      </w:r>
      <w:r>
        <w:rPr>
          <w:szCs w:val="26"/>
        </w:rPr>
        <w:t>concluded</w:t>
      </w:r>
      <w:r w:rsidRPr="00D466C1">
        <w:rPr>
          <w:szCs w:val="26"/>
        </w:rPr>
        <w:t xml:space="preserve"> that</w:t>
      </w:r>
      <w:r>
        <w:rPr>
          <w:szCs w:val="26"/>
        </w:rPr>
        <w:t xml:space="preserve"> </w:t>
      </w:r>
      <w:r w:rsidRPr="002F3630">
        <w:rPr>
          <w:szCs w:val="26"/>
        </w:rPr>
        <w:t xml:space="preserve">PG&amp;E did not act imprudently </w:t>
      </w:r>
      <w:r>
        <w:rPr>
          <w:szCs w:val="26"/>
        </w:rPr>
        <w:t>by failing</w:t>
      </w:r>
      <w:r w:rsidRPr="002F3630">
        <w:rPr>
          <w:szCs w:val="26"/>
        </w:rPr>
        <w:t xml:space="preserve"> to identify and prevent </w:t>
      </w:r>
      <w:r>
        <w:rPr>
          <w:szCs w:val="26"/>
        </w:rPr>
        <w:t>the</w:t>
      </w:r>
      <w:r w:rsidRPr="002F3630">
        <w:rPr>
          <w:szCs w:val="26"/>
        </w:rPr>
        <w:t xml:space="preserve"> condition</w:t>
      </w:r>
      <w:r>
        <w:rPr>
          <w:szCs w:val="26"/>
        </w:rPr>
        <w:t>, even after two outages.</w:t>
      </w:r>
      <w:r w:rsidRPr="00FF0934">
        <w:rPr>
          <w:rStyle w:val="FootnoteReference"/>
          <w:sz w:val="26"/>
          <w:szCs w:val="26"/>
        </w:rPr>
        <w:footnoteReference w:id="33"/>
      </w:r>
      <w:r>
        <w:rPr>
          <w:szCs w:val="26"/>
        </w:rPr>
        <w:t xml:space="preserve"> </w:t>
      </w:r>
      <w:r w:rsidR="00FF0934">
        <w:rPr>
          <w:szCs w:val="26"/>
        </w:rPr>
        <w:t xml:space="preserve"> </w:t>
      </w:r>
    </w:p>
    <w:p w:rsidR="0049742D" w:rsidP="00494597" w:rsidRDefault="0049742D" w14:paraId="4494B5EA" w14:textId="2386E1F5">
      <w:pPr>
        <w:pStyle w:val="BodyText"/>
        <w:ind w:firstLine="1440"/>
        <w:rPr>
          <w:szCs w:val="26"/>
        </w:rPr>
      </w:pPr>
      <w:r>
        <w:rPr>
          <w:szCs w:val="26"/>
        </w:rPr>
        <w:t>As discussed above, t</w:t>
      </w:r>
      <w:r w:rsidRPr="00787681">
        <w:rPr>
          <w:szCs w:val="26"/>
        </w:rPr>
        <w:t>he reasonable-manager standard</w:t>
      </w:r>
      <w:r>
        <w:rPr>
          <w:szCs w:val="26"/>
        </w:rPr>
        <w:t xml:space="preserve"> is retrospective and asks what a reasonable manager knew or should have known at the time the issue occurred.</w:t>
      </w:r>
      <w:r w:rsidRPr="00FF0934">
        <w:rPr>
          <w:rStyle w:val="FootnoteReference"/>
          <w:sz w:val="26"/>
          <w:szCs w:val="26"/>
        </w:rPr>
        <w:footnoteReference w:id="34"/>
      </w:r>
      <w:r>
        <w:rPr>
          <w:szCs w:val="26"/>
        </w:rPr>
        <w:t xml:space="preserve"> </w:t>
      </w:r>
      <w:r w:rsidR="00FF0934">
        <w:rPr>
          <w:szCs w:val="26"/>
        </w:rPr>
        <w:t xml:space="preserve"> </w:t>
      </w:r>
      <w:r>
        <w:rPr>
          <w:szCs w:val="26"/>
        </w:rPr>
        <w:t>Here, t</w:t>
      </w:r>
      <w:r w:rsidRPr="00D466C1">
        <w:rPr>
          <w:szCs w:val="26"/>
        </w:rPr>
        <w:t xml:space="preserve">he record showed that </w:t>
      </w:r>
      <w:r w:rsidRPr="009B566B">
        <w:rPr>
          <w:szCs w:val="26"/>
        </w:rPr>
        <w:t>the stick-slip phenomenon was a latent and unusual bore-ring seating problem that had not previously manifested in a generator using Siemens’ chosen stator design, and PG&amp;E’s response involved an iterative effort to identify, tighten, and stabilize the affected assembly</w:t>
      </w:r>
      <w:r w:rsidRPr="00D466C1">
        <w:rPr>
          <w:szCs w:val="26"/>
        </w:rPr>
        <w:t>.</w:t>
      </w:r>
      <w:r w:rsidRPr="00FF0934">
        <w:rPr>
          <w:rStyle w:val="FootnoteReference"/>
          <w:sz w:val="26"/>
          <w:szCs w:val="26"/>
        </w:rPr>
        <w:footnoteReference w:id="35"/>
      </w:r>
      <w:r w:rsidR="00FF0934">
        <w:rPr>
          <w:szCs w:val="26"/>
        </w:rPr>
        <w:t xml:space="preserve"> </w:t>
      </w:r>
      <w:r>
        <w:rPr>
          <w:szCs w:val="26"/>
        </w:rPr>
        <w:t xml:space="preserve"> Therefore, the Commission concluded that PG&amp;E acted as a reasonably prudent manager with regard to the first three outages.</w:t>
      </w:r>
      <w:r w:rsidRPr="00FF0934">
        <w:rPr>
          <w:rStyle w:val="FootnoteReference"/>
          <w:sz w:val="26"/>
          <w:szCs w:val="26"/>
        </w:rPr>
        <w:footnoteReference w:id="36"/>
      </w:r>
      <w:r w:rsidR="006E7306">
        <w:rPr>
          <w:szCs w:val="26"/>
        </w:rPr>
        <w:t xml:space="preserve">  </w:t>
      </w:r>
    </w:p>
    <w:p w:rsidR="0049742D" w:rsidP="00494597" w:rsidRDefault="0049742D" w14:paraId="4857F71D" w14:textId="2CE607EC">
      <w:pPr>
        <w:pStyle w:val="BodyText"/>
        <w:ind w:firstLine="1440"/>
        <w:rPr>
          <w:szCs w:val="26"/>
        </w:rPr>
      </w:pPr>
      <w:r w:rsidRPr="00F87347">
        <w:rPr>
          <w:szCs w:val="26"/>
        </w:rPr>
        <w:lastRenderedPageBreak/>
        <w:t>The Decision found that PG&amp;E ultimately achieved sustained bore ring bolt tightness after the third forced outage.</w:t>
      </w:r>
      <w:r w:rsidRPr="006E7306">
        <w:rPr>
          <w:rStyle w:val="FootnoteReference"/>
          <w:sz w:val="26"/>
          <w:szCs w:val="26"/>
        </w:rPr>
        <w:footnoteReference w:id="37"/>
      </w:r>
      <w:r w:rsidRPr="00F87347">
        <w:rPr>
          <w:szCs w:val="26"/>
        </w:rPr>
        <w:t xml:space="preserve"> </w:t>
      </w:r>
      <w:r w:rsidR="006E7306">
        <w:rPr>
          <w:szCs w:val="26"/>
        </w:rPr>
        <w:t xml:space="preserve"> </w:t>
      </w:r>
      <w:r w:rsidRPr="00F87347">
        <w:rPr>
          <w:szCs w:val="26"/>
        </w:rPr>
        <w:t>By contrast, forced outage four involved additional components — including the stator end windings and parallel rings — and the Commission found that, by that point, PG&amp;E should have taken a broader approach to evaluating Unit 2’s structural integrity after multiple vibration-related failures.</w:t>
      </w:r>
      <w:r w:rsidRPr="006E7306">
        <w:rPr>
          <w:rStyle w:val="FootnoteReference"/>
          <w:sz w:val="26"/>
          <w:szCs w:val="26"/>
        </w:rPr>
        <w:footnoteReference w:id="38"/>
      </w:r>
    </w:p>
    <w:p w:rsidR="002147DA" w:rsidP="00494597" w:rsidRDefault="0049742D" w14:paraId="59161EA9" w14:textId="15C95D74">
      <w:pPr>
        <w:pStyle w:val="BodyText"/>
        <w:ind w:firstLine="1440"/>
        <w:rPr>
          <w:szCs w:val="26"/>
        </w:rPr>
      </w:pPr>
      <w:r>
        <w:rPr>
          <w:szCs w:val="26"/>
        </w:rPr>
        <w:t xml:space="preserve">As detailed above, the Commission’s reasoning for </w:t>
      </w:r>
      <w:r w:rsidR="00C0085B">
        <w:rPr>
          <w:szCs w:val="26"/>
        </w:rPr>
        <w:t xml:space="preserve">its </w:t>
      </w:r>
      <w:r>
        <w:rPr>
          <w:szCs w:val="26"/>
        </w:rPr>
        <w:t xml:space="preserve">conclusion that PG&amp;E acted reasonably with respect to the first three outages is adequately set forth in the Decision. </w:t>
      </w:r>
      <w:r w:rsidR="006E7306">
        <w:rPr>
          <w:szCs w:val="26"/>
        </w:rPr>
        <w:t xml:space="preserve"> </w:t>
      </w:r>
      <w:r w:rsidR="00C0085B">
        <w:rPr>
          <w:szCs w:val="26"/>
        </w:rPr>
        <w:t>T</w:t>
      </w:r>
      <w:r>
        <w:rPr>
          <w:szCs w:val="26"/>
        </w:rPr>
        <w:t xml:space="preserve">he findings supporting this conclusion are supported by substantial evidence. </w:t>
      </w:r>
      <w:r w:rsidR="006E7306">
        <w:rPr>
          <w:szCs w:val="26"/>
        </w:rPr>
        <w:t xml:space="preserve"> </w:t>
      </w:r>
      <w:r w:rsidRPr="00F87347">
        <w:rPr>
          <w:szCs w:val="26"/>
        </w:rPr>
        <w:t xml:space="preserve">The </w:t>
      </w:r>
      <w:r w:rsidR="00C0085B">
        <w:rPr>
          <w:szCs w:val="26"/>
        </w:rPr>
        <w:t>Decision</w:t>
      </w:r>
      <w:r w:rsidRPr="00F87347" w:rsidR="00C0085B">
        <w:rPr>
          <w:szCs w:val="26"/>
        </w:rPr>
        <w:t xml:space="preserve"> </w:t>
      </w:r>
      <w:r w:rsidRPr="00F87347">
        <w:rPr>
          <w:szCs w:val="26"/>
        </w:rPr>
        <w:t xml:space="preserve">did not find that no design-related issue existed anywhere in the technical history of the Unit 2 generator. </w:t>
      </w:r>
      <w:r w:rsidR="006E7306">
        <w:rPr>
          <w:szCs w:val="26"/>
        </w:rPr>
        <w:t xml:space="preserve"> </w:t>
      </w:r>
      <w:r w:rsidRPr="00F87347">
        <w:rPr>
          <w:szCs w:val="26"/>
        </w:rPr>
        <w:t xml:space="preserve">Rather, it weighed the Root Cause Evaluation, PG&amp;E’s testimony, the parties’ briefing, and the outage sequence, and determined that PG&amp;E acted reasonably in responding to the first three outages but failed to act reasonably before outage four. </w:t>
      </w:r>
      <w:r w:rsidR="006E7306">
        <w:rPr>
          <w:szCs w:val="26"/>
        </w:rPr>
        <w:t xml:space="preserve"> </w:t>
      </w:r>
      <w:r w:rsidRPr="00F87347">
        <w:rPr>
          <w:szCs w:val="26"/>
        </w:rPr>
        <w:t>That determination is consistent with the reasonable manager standard, which asks what a reasonable utility manager would have done based on the information known or reasonably knowable at the time.</w:t>
      </w:r>
      <w:r w:rsidRPr="006E7306">
        <w:rPr>
          <w:rStyle w:val="FootnoteReference"/>
          <w:sz w:val="26"/>
          <w:szCs w:val="26"/>
        </w:rPr>
        <w:footnoteReference w:id="39"/>
      </w:r>
      <w:r w:rsidRPr="00F87347">
        <w:rPr>
          <w:szCs w:val="26"/>
        </w:rPr>
        <w:t xml:space="preserve"> </w:t>
      </w:r>
      <w:r w:rsidR="006E7306">
        <w:rPr>
          <w:szCs w:val="26"/>
        </w:rPr>
        <w:t xml:space="preserve"> </w:t>
      </w:r>
    </w:p>
    <w:p w:rsidR="0049742D" w:rsidP="00494597" w:rsidRDefault="0049742D" w14:paraId="03B9BE7E" w14:textId="13E7A597">
      <w:pPr>
        <w:pStyle w:val="BodyText"/>
        <w:ind w:firstLine="1440"/>
        <w:rPr>
          <w:szCs w:val="26"/>
        </w:rPr>
      </w:pPr>
      <w:r>
        <w:rPr>
          <w:szCs w:val="26"/>
        </w:rPr>
        <w:t xml:space="preserve">Based on the record, </w:t>
      </w:r>
      <w:r w:rsidR="00C0085B">
        <w:rPr>
          <w:szCs w:val="26"/>
        </w:rPr>
        <w:t xml:space="preserve">the Decision </w:t>
      </w:r>
      <w:r w:rsidRPr="00F87347">
        <w:rPr>
          <w:szCs w:val="26"/>
        </w:rPr>
        <w:t>conclude</w:t>
      </w:r>
      <w:r w:rsidR="00C0085B">
        <w:rPr>
          <w:szCs w:val="26"/>
        </w:rPr>
        <w:t>d</w:t>
      </w:r>
      <w:r w:rsidRPr="00F87347">
        <w:rPr>
          <w:szCs w:val="26"/>
        </w:rPr>
        <w:t xml:space="preserve"> that the first three outages involved a previously unknown stick-slip vibration mechanism requiring iterative diagnosis and mitigation, while also concluding that, after three vibration-related failures, PG&amp;E should have known enough to expand its testing and inspection before returning Unit 2 to service.</w:t>
      </w:r>
      <w:r w:rsidRPr="006E7306">
        <w:rPr>
          <w:rStyle w:val="FootnoteReference"/>
          <w:sz w:val="26"/>
          <w:szCs w:val="26"/>
        </w:rPr>
        <w:footnoteReference w:id="40"/>
      </w:r>
      <w:r>
        <w:rPr>
          <w:szCs w:val="26"/>
        </w:rPr>
        <w:t xml:space="preserve"> </w:t>
      </w:r>
      <w:r w:rsidR="006E7306">
        <w:rPr>
          <w:szCs w:val="26"/>
        </w:rPr>
        <w:t xml:space="preserve"> </w:t>
      </w:r>
      <w:r w:rsidR="008F1BED">
        <w:rPr>
          <w:szCs w:val="26"/>
        </w:rPr>
        <w:t>A4NR fails to demonstrate that this conclusion was unreasonable, much less that</w:t>
      </w:r>
      <w:r w:rsidRPr="002708AD" w:rsidR="008F1BED">
        <w:rPr>
          <w:szCs w:val="26"/>
        </w:rPr>
        <w:t xml:space="preserve"> no reasonable person could reach the same conclusion</w:t>
      </w:r>
      <w:r w:rsidR="008F1BED">
        <w:rPr>
          <w:szCs w:val="26"/>
        </w:rPr>
        <w:t xml:space="preserve">. </w:t>
      </w:r>
      <w:r w:rsidR="006E7306">
        <w:rPr>
          <w:szCs w:val="26"/>
        </w:rPr>
        <w:t xml:space="preserve"> </w:t>
      </w:r>
      <w:r>
        <w:rPr>
          <w:szCs w:val="26"/>
        </w:rPr>
        <w:t>Therefore, A4NR fails to demonstrate legal error.</w:t>
      </w:r>
    </w:p>
    <w:p w:rsidR="00EE07A4" w:rsidP="00FF0934" w:rsidRDefault="00EE07A4" w14:paraId="34654DF1" w14:textId="3C795A87">
      <w:pPr>
        <w:pStyle w:val="Heading3"/>
      </w:pPr>
      <w:r w:rsidRPr="00CF05A4">
        <w:lastRenderedPageBreak/>
        <w:t xml:space="preserve">A Finding of Causation in the Root Cause Evaluation is not Determinative of </w:t>
      </w:r>
      <w:r w:rsidR="00C01D2F">
        <w:t>W</w:t>
      </w:r>
      <w:r w:rsidRPr="00CF05A4">
        <w:t xml:space="preserve">hether PG&amp;E </w:t>
      </w:r>
      <w:r w:rsidR="00C01D2F">
        <w:t>A</w:t>
      </w:r>
      <w:r w:rsidRPr="00CF05A4">
        <w:t xml:space="preserve">cted </w:t>
      </w:r>
      <w:r w:rsidR="00C01D2F">
        <w:t>P</w:t>
      </w:r>
      <w:r w:rsidRPr="00CF05A4">
        <w:t>rudently</w:t>
      </w:r>
    </w:p>
    <w:p w:rsidR="000F3FE3" w:rsidP="00494597" w:rsidRDefault="000F3FE3" w14:paraId="71C965AD" w14:textId="787FC3DF">
      <w:pPr>
        <w:pStyle w:val="BodyText"/>
        <w:ind w:firstLine="1440"/>
        <w:rPr>
          <w:szCs w:val="26"/>
        </w:rPr>
      </w:pPr>
      <w:r w:rsidRPr="00081A8D">
        <w:rPr>
          <w:szCs w:val="26"/>
        </w:rPr>
        <w:t xml:space="preserve">A4NR’s argument that the Commission’s reasonableness conclusions lack support </w:t>
      </w:r>
      <w:r w:rsidR="0088770D">
        <w:rPr>
          <w:szCs w:val="26"/>
        </w:rPr>
        <w:t xml:space="preserve">are </w:t>
      </w:r>
      <w:r w:rsidR="00332256">
        <w:rPr>
          <w:szCs w:val="26"/>
        </w:rPr>
        <w:t>based on the premise that</w:t>
      </w:r>
      <w:r w:rsidRPr="00081A8D">
        <w:rPr>
          <w:szCs w:val="26"/>
        </w:rPr>
        <w:t xml:space="preserve"> design-related contributing causes identified in the RCE </w:t>
      </w:r>
      <w:r w:rsidR="00332256">
        <w:rPr>
          <w:szCs w:val="26"/>
        </w:rPr>
        <w:t>are</w:t>
      </w:r>
      <w:r w:rsidRPr="00081A8D">
        <w:rPr>
          <w:szCs w:val="26"/>
        </w:rPr>
        <w:t xml:space="preserve"> determinative of the prudence inquiry.</w:t>
      </w:r>
      <w:r>
        <w:rPr>
          <w:szCs w:val="26"/>
        </w:rPr>
        <w:t xml:space="preserve"> </w:t>
      </w:r>
      <w:r w:rsidR="006E7306">
        <w:rPr>
          <w:szCs w:val="26"/>
        </w:rPr>
        <w:t xml:space="preserve"> </w:t>
      </w:r>
      <w:r>
        <w:rPr>
          <w:szCs w:val="26"/>
        </w:rPr>
        <w:t xml:space="preserve">However, </w:t>
      </w:r>
      <w:r w:rsidR="00F76329">
        <w:rPr>
          <w:szCs w:val="26"/>
        </w:rPr>
        <w:t>this premise is erroneous</w:t>
      </w:r>
      <w:r>
        <w:rPr>
          <w:szCs w:val="26"/>
        </w:rPr>
        <w:t>.</w:t>
      </w:r>
    </w:p>
    <w:p w:rsidR="000F3FE3" w:rsidP="00494597" w:rsidRDefault="000F3FE3" w14:paraId="564E9DAD" w14:textId="675104ED">
      <w:pPr>
        <w:pStyle w:val="BodyText"/>
        <w:ind w:firstLine="1440"/>
        <w:rPr>
          <w:szCs w:val="26"/>
        </w:rPr>
      </w:pPr>
      <w:r w:rsidRPr="00A57C6B">
        <w:rPr>
          <w:szCs w:val="26"/>
        </w:rPr>
        <w:t xml:space="preserve">First, “root cause” and “contributing cause” are technical terms of art in the </w:t>
      </w:r>
      <w:r>
        <w:rPr>
          <w:szCs w:val="26"/>
        </w:rPr>
        <w:t>Root Cause Evaluation</w:t>
      </w:r>
      <w:r w:rsidRPr="00A57C6B">
        <w:rPr>
          <w:szCs w:val="26"/>
        </w:rPr>
        <w:t xml:space="preserve">, and the </w:t>
      </w:r>
      <w:r>
        <w:rPr>
          <w:szCs w:val="26"/>
        </w:rPr>
        <w:t xml:space="preserve">Root Cause Evaluation’s </w:t>
      </w:r>
      <w:r w:rsidRPr="00A57C6B">
        <w:rPr>
          <w:szCs w:val="26"/>
        </w:rPr>
        <w:t xml:space="preserve">identification of a contributing cause does not necessarily mean that eliminating that condition would have prevented the outage. </w:t>
      </w:r>
      <w:r w:rsidR="006E7306">
        <w:rPr>
          <w:szCs w:val="26"/>
        </w:rPr>
        <w:t xml:space="preserve"> </w:t>
      </w:r>
      <w:r>
        <w:rPr>
          <w:szCs w:val="26"/>
        </w:rPr>
        <w:t xml:space="preserve">As laid out in the </w:t>
      </w:r>
      <w:r>
        <w:rPr>
          <w:color w:val="000000" w:themeColor="text1"/>
          <w:szCs w:val="26"/>
        </w:rPr>
        <w:t>Fault Tree Methodology in Section V of the</w:t>
      </w:r>
      <w:r w:rsidRPr="008875AD">
        <w:rPr>
          <w:color w:val="000000" w:themeColor="text1"/>
          <w:szCs w:val="26"/>
        </w:rPr>
        <w:t xml:space="preserve"> </w:t>
      </w:r>
      <w:r>
        <w:rPr>
          <w:color w:val="000000" w:themeColor="text1"/>
          <w:szCs w:val="26"/>
        </w:rPr>
        <w:t>Root Cause Evaluation</w:t>
      </w:r>
      <w:r w:rsidRPr="008875AD">
        <w:rPr>
          <w:color w:val="000000" w:themeColor="text1"/>
          <w:szCs w:val="26"/>
        </w:rPr>
        <w:t xml:space="preserve">, </w:t>
      </w:r>
      <w:r w:rsidRPr="008875AD">
        <w:rPr>
          <w:color w:val="000000" w:themeColor="text1"/>
        </w:rPr>
        <w:t xml:space="preserve">a </w:t>
      </w:r>
      <w:r w:rsidR="002F08C8">
        <w:rPr>
          <w:color w:val="000000" w:themeColor="text1"/>
        </w:rPr>
        <w:t>“</w:t>
      </w:r>
      <w:r w:rsidRPr="008875AD">
        <w:rPr>
          <w:color w:val="000000" w:themeColor="text1"/>
        </w:rPr>
        <w:t>Contributing Cause</w:t>
      </w:r>
      <w:r w:rsidR="002F08C8">
        <w:rPr>
          <w:color w:val="000000" w:themeColor="text1"/>
        </w:rPr>
        <w:t>”</w:t>
      </w:r>
      <w:r w:rsidRPr="008875AD">
        <w:rPr>
          <w:color w:val="000000" w:themeColor="text1"/>
        </w:rPr>
        <w:t xml:space="preserve"> is </w:t>
      </w:r>
      <w:r w:rsidR="002F08C8">
        <w:rPr>
          <w:color w:val="000000" w:themeColor="text1"/>
        </w:rPr>
        <w:t>“</w:t>
      </w:r>
      <w:r w:rsidRPr="008875AD">
        <w:rPr>
          <w:color w:val="000000" w:themeColor="text1"/>
        </w:rPr>
        <w:t>[a] condition or behavior that exacerbates the consequence of an event without being necessary to cause the event,</w:t>
      </w:r>
      <w:r w:rsidR="002F08C8">
        <w:rPr>
          <w:color w:val="000000" w:themeColor="text1"/>
        </w:rPr>
        <w:t>”</w:t>
      </w:r>
      <w:r w:rsidRPr="008875AD">
        <w:rPr>
          <w:color w:val="000000" w:themeColor="text1"/>
        </w:rPr>
        <w:t xml:space="preserve"> and </w:t>
      </w:r>
      <w:r w:rsidR="002F08C8">
        <w:rPr>
          <w:color w:val="000000" w:themeColor="text1"/>
        </w:rPr>
        <w:t>“</w:t>
      </w:r>
      <w:r w:rsidRPr="008875AD">
        <w:rPr>
          <w:color w:val="000000" w:themeColor="text1"/>
        </w:rPr>
        <w:t>[e]</w:t>
      </w:r>
      <w:proofErr w:type="spellStart"/>
      <w:r w:rsidRPr="008875AD">
        <w:rPr>
          <w:color w:val="000000" w:themeColor="text1"/>
        </w:rPr>
        <w:t>liminating</w:t>
      </w:r>
      <w:proofErr w:type="spellEnd"/>
      <w:r w:rsidRPr="008875AD">
        <w:rPr>
          <w:color w:val="000000" w:themeColor="text1"/>
        </w:rPr>
        <w:t xml:space="preserve"> a contributing cause(s) will not eliminate the effect.</w:t>
      </w:r>
      <w:r w:rsidR="002F08C8">
        <w:rPr>
          <w:color w:val="000000" w:themeColor="text1"/>
        </w:rPr>
        <w:t>”</w:t>
      </w:r>
      <w:r w:rsidRPr="006E7306">
        <w:rPr>
          <w:rStyle w:val="FootnoteReference"/>
          <w:color w:val="000000" w:themeColor="text1"/>
          <w:sz w:val="26"/>
          <w:szCs w:val="26"/>
        </w:rPr>
        <w:footnoteReference w:id="41"/>
      </w:r>
      <w:r w:rsidRPr="008875AD">
        <w:rPr>
          <w:color w:val="000000" w:themeColor="text1"/>
        </w:rPr>
        <w:t xml:space="preserve"> </w:t>
      </w:r>
      <w:r w:rsidR="006E7306">
        <w:rPr>
          <w:color w:val="000000" w:themeColor="text1"/>
        </w:rPr>
        <w:t xml:space="preserve"> </w:t>
      </w:r>
      <w:r w:rsidRPr="008875AD">
        <w:rPr>
          <w:color w:val="000000" w:themeColor="text1"/>
        </w:rPr>
        <w:t xml:space="preserve">By contrast, a </w:t>
      </w:r>
      <w:r w:rsidR="002F08C8">
        <w:rPr>
          <w:color w:val="000000" w:themeColor="text1"/>
        </w:rPr>
        <w:t>“</w:t>
      </w:r>
      <w:r w:rsidRPr="008875AD">
        <w:rPr>
          <w:color w:val="000000" w:themeColor="text1"/>
        </w:rPr>
        <w:t>Root Cause</w:t>
      </w:r>
      <w:r w:rsidR="002F08C8">
        <w:rPr>
          <w:color w:val="000000" w:themeColor="text1"/>
        </w:rPr>
        <w:t>”</w:t>
      </w:r>
      <w:r w:rsidRPr="008875AD">
        <w:rPr>
          <w:color w:val="000000" w:themeColor="text1"/>
        </w:rPr>
        <w:t xml:space="preserve"> is </w:t>
      </w:r>
      <w:r w:rsidR="002F08C8">
        <w:rPr>
          <w:color w:val="000000" w:themeColor="text1"/>
        </w:rPr>
        <w:t>“</w:t>
      </w:r>
      <w:r w:rsidRPr="008875AD">
        <w:rPr>
          <w:color w:val="000000" w:themeColor="text1"/>
        </w:rPr>
        <w:t>[t]he most basic reason . . . for a problem whose removal prevents, or minimizes the probability of recurrence of the problem.</w:t>
      </w:r>
      <w:r w:rsidR="002F08C8">
        <w:rPr>
          <w:color w:val="000000" w:themeColor="text1"/>
        </w:rPr>
        <w:t>”</w:t>
      </w:r>
      <w:r w:rsidRPr="006E7306">
        <w:rPr>
          <w:rStyle w:val="FootnoteReference"/>
          <w:color w:val="000000" w:themeColor="text1"/>
          <w:sz w:val="26"/>
          <w:szCs w:val="26"/>
        </w:rPr>
        <w:footnoteReference w:id="42"/>
      </w:r>
      <w:r w:rsidRPr="008875AD">
        <w:rPr>
          <w:color w:val="000000" w:themeColor="text1"/>
        </w:rPr>
        <w:t xml:space="preserve"> </w:t>
      </w:r>
      <w:r w:rsidR="006E7306">
        <w:rPr>
          <w:color w:val="000000" w:themeColor="text1"/>
        </w:rPr>
        <w:t xml:space="preserve"> </w:t>
      </w:r>
      <w:r w:rsidRPr="008875AD">
        <w:rPr>
          <w:color w:val="000000" w:themeColor="text1"/>
        </w:rPr>
        <w:t xml:space="preserve">As PG&amp;E explained in its testimony, this </w:t>
      </w:r>
      <w:r w:rsidR="004D0B97">
        <w:rPr>
          <w:color w:val="000000" w:themeColor="text1"/>
        </w:rPr>
        <w:t>“</w:t>
      </w:r>
      <w:r w:rsidRPr="008875AD">
        <w:rPr>
          <w:color w:val="000000" w:themeColor="text1"/>
        </w:rPr>
        <w:t>differentiation between root and contributing causes is necessary</w:t>
      </w:r>
      <w:r w:rsidR="004D0B97">
        <w:rPr>
          <w:color w:val="000000" w:themeColor="text1"/>
        </w:rPr>
        <w:t>”</w:t>
      </w:r>
      <w:r w:rsidRPr="008875AD">
        <w:rPr>
          <w:color w:val="000000" w:themeColor="text1"/>
        </w:rPr>
        <w:t xml:space="preserve"> because </w:t>
      </w:r>
      <w:r w:rsidR="004D0B97">
        <w:rPr>
          <w:color w:val="000000" w:themeColor="text1"/>
        </w:rPr>
        <w:t>“</w:t>
      </w:r>
      <w:r w:rsidRPr="008875AD">
        <w:rPr>
          <w:color w:val="000000" w:themeColor="text1"/>
        </w:rPr>
        <w:t>[a]voiding a contributory cause to an outage would not prevent the outage.</w:t>
      </w:r>
      <w:r w:rsidR="004D0B97">
        <w:rPr>
          <w:color w:val="000000" w:themeColor="text1"/>
        </w:rPr>
        <w:t>”</w:t>
      </w:r>
      <w:r w:rsidRPr="006E7306">
        <w:rPr>
          <w:rStyle w:val="FootnoteReference"/>
          <w:color w:val="000000" w:themeColor="text1"/>
          <w:sz w:val="26"/>
          <w:szCs w:val="26"/>
        </w:rPr>
        <w:footnoteReference w:id="43"/>
      </w:r>
      <w:r w:rsidRPr="008875AD">
        <w:rPr>
          <w:color w:val="000000" w:themeColor="text1"/>
        </w:rPr>
        <w:t xml:space="preserve"> </w:t>
      </w:r>
      <w:r>
        <w:rPr>
          <w:szCs w:val="26"/>
        </w:rPr>
        <w:t xml:space="preserve"> </w:t>
      </w:r>
    </w:p>
    <w:p w:rsidR="00E74F6D" w:rsidP="00494597" w:rsidRDefault="000F3FE3" w14:paraId="2F172C1D" w14:textId="3E0B7DF0">
      <w:pPr>
        <w:pStyle w:val="BodyText"/>
        <w:ind w:firstLine="1440"/>
        <w:rPr>
          <w:szCs w:val="26"/>
        </w:rPr>
      </w:pPr>
      <w:r w:rsidRPr="00A57C6B">
        <w:rPr>
          <w:szCs w:val="26"/>
        </w:rPr>
        <w:t>Second, and more importantly, the existence of design-related contributing causes does not by itself resolve the separate legal question</w:t>
      </w:r>
      <w:r>
        <w:rPr>
          <w:szCs w:val="26"/>
        </w:rPr>
        <w:t xml:space="preserve"> of</w:t>
      </w:r>
      <w:r w:rsidRPr="00A57C6B">
        <w:rPr>
          <w:szCs w:val="26"/>
        </w:rPr>
        <w:t xml:space="preserve"> whether PG&amp;E acted as a reasonable manager based on what it knew or should have known at the time. </w:t>
      </w:r>
      <w:r w:rsidR="006E7306">
        <w:rPr>
          <w:szCs w:val="26"/>
        </w:rPr>
        <w:t xml:space="preserve"> </w:t>
      </w:r>
      <w:r>
        <w:rPr>
          <w:szCs w:val="26"/>
        </w:rPr>
        <w:t>P</w:t>
      </w:r>
      <w:r w:rsidRPr="00F87347">
        <w:rPr>
          <w:szCs w:val="26"/>
        </w:rPr>
        <w:t>ost-incident technical findings, corrective actions, and identified causes do not themselves answer the legal question</w:t>
      </w:r>
      <w:r w:rsidR="002F0D7F">
        <w:rPr>
          <w:szCs w:val="26"/>
        </w:rPr>
        <w:t xml:space="preserve"> of</w:t>
      </w:r>
      <w:r w:rsidRPr="00F87347">
        <w:rPr>
          <w:szCs w:val="26"/>
        </w:rPr>
        <w:t xml:space="preserve"> whether the utility acted as a reasonable manager.</w:t>
      </w:r>
      <w:r w:rsidR="006E7306">
        <w:rPr>
          <w:szCs w:val="26"/>
        </w:rPr>
        <w:br/>
      </w:r>
      <w:r w:rsidRPr="00375486">
        <w:rPr>
          <w:szCs w:val="26"/>
        </w:rPr>
        <w:t xml:space="preserve">D.25-06-045 expressly recognized this distinction. </w:t>
      </w:r>
      <w:r w:rsidR="006E7306">
        <w:rPr>
          <w:szCs w:val="26"/>
        </w:rPr>
        <w:t xml:space="preserve"> </w:t>
      </w:r>
      <w:r w:rsidRPr="00375486">
        <w:rPr>
          <w:szCs w:val="26"/>
        </w:rPr>
        <w:t xml:space="preserve">The Decision explained that, while it is appropriate for the Commission to use the facts and underpinning of a Root Cause Evaluation in applying the reasonable manager standard, the conclusions reached in a Root Cause Evaluation are not, standing alone, evidence that the utility acted </w:t>
      </w:r>
      <w:r w:rsidRPr="00375486">
        <w:rPr>
          <w:szCs w:val="26"/>
        </w:rPr>
        <w:lastRenderedPageBreak/>
        <w:t>unreasonably.</w:t>
      </w:r>
      <w:r w:rsidRPr="006E7306">
        <w:rPr>
          <w:rStyle w:val="FootnoteReference"/>
          <w:sz w:val="26"/>
          <w:szCs w:val="26"/>
        </w:rPr>
        <w:footnoteReference w:id="44"/>
      </w:r>
      <w:r w:rsidR="006E7306">
        <w:rPr>
          <w:szCs w:val="26"/>
        </w:rPr>
        <w:t xml:space="preserve"> </w:t>
      </w:r>
      <w:r w:rsidRPr="00375486">
        <w:rPr>
          <w:szCs w:val="26"/>
        </w:rPr>
        <w:t xml:space="preserve"> The Decision further emphasized that inappropriate actions, root causes, or apparent causes identified in a post-incident evaluation “may not translate directly into unreasonable actions on the part of the utility.”</w:t>
      </w:r>
      <w:r w:rsidRPr="006E7306">
        <w:rPr>
          <w:rStyle w:val="FootnoteReference"/>
          <w:sz w:val="26"/>
          <w:szCs w:val="26"/>
        </w:rPr>
        <w:footnoteReference w:id="45"/>
      </w:r>
      <w:r w:rsidRPr="00375486">
        <w:rPr>
          <w:szCs w:val="26"/>
        </w:rPr>
        <w:t xml:space="preserve"> </w:t>
      </w:r>
      <w:r w:rsidR="006E7306">
        <w:rPr>
          <w:szCs w:val="26"/>
        </w:rPr>
        <w:t xml:space="preserve"> </w:t>
      </w:r>
    </w:p>
    <w:p w:rsidR="000F3FE3" w:rsidP="00494597" w:rsidRDefault="000F3FE3" w14:paraId="2996EC5F" w14:textId="2FB674DF">
      <w:pPr>
        <w:pStyle w:val="BodyText"/>
        <w:ind w:firstLine="1440"/>
        <w:rPr>
          <w:szCs w:val="26"/>
        </w:rPr>
      </w:pPr>
      <w:r w:rsidRPr="00375486">
        <w:rPr>
          <w:szCs w:val="26"/>
        </w:rPr>
        <w:t>Instead, the Commission must evaluate the utility’s actions, the facts identified in the RCE, and the identified root causes together under the reasonable manager standard to determine whether the outage was reasonable or unreasonable and whether a replacement-power disallowance is warranted.</w:t>
      </w:r>
      <w:r w:rsidRPr="006E7306">
        <w:rPr>
          <w:rStyle w:val="FootnoteReference"/>
          <w:sz w:val="26"/>
          <w:szCs w:val="26"/>
        </w:rPr>
        <w:footnoteReference w:id="46"/>
      </w:r>
      <w:r w:rsidRPr="00375486">
        <w:rPr>
          <w:szCs w:val="26"/>
        </w:rPr>
        <w:t xml:space="preserve"> </w:t>
      </w:r>
      <w:r w:rsidR="006E7306">
        <w:rPr>
          <w:szCs w:val="26"/>
        </w:rPr>
        <w:t xml:space="preserve"> </w:t>
      </w:r>
      <w:r w:rsidRPr="00375486">
        <w:rPr>
          <w:szCs w:val="26"/>
        </w:rPr>
        <w:t>Thus, even if the RCE identified an issue as a “root cause,” that does not compel the conclusion that PG&amp;E failed to act prudently with respect to those outages.</w:t>
      </w:r>
      <w:r w:rsidRPr="004414E2">
        <w:rPr>
          <w:szCs w:val="26"/>
        </w:rPr>
        <w:t xml:space="preserve"> </w:t>
      </w:r>
      <w:r w:rsidR="006E7306">
        <w:rPr>
          <w:szCs w:val="26"/>
        </w:rPr>
        <w:t xml:space="preserve"> </w:t>
      </w:r>
    </w:p>
    <w:p w:rsidR="006E7306" w:rsidP="00494597" w:rsidRDefault="000F3FE3" w14:paraId="50D32195" w14:textId="70988851">
      <w:pPr>
        <w:pStyle w:val="BodyText"/>
        <w:ind w:firstLine="1440"/>
        <w:rPr>
          <w:szCs w:val="26"/>
        </w:rPr>
      </w:pPr>
      <w:r>
        <w:rPr>
          <w:szCs w:val="26"/>
        </w:rPr>
        <w:t>As discussed above, t</w:t>
      </w:r>
      <w:r w:rsidRPr="00F87347">
        <w:rPr>
          <w:szCs w:val="26"/>
        </w:rPr>
        <w:t>he Decision’s prudence determination rests on the broader record showing what PG&amp;E knew or should have known at each stage</w:t>
      </w:r>
      <w:r>
        <w:rPr>
          <w:szCs w:val="26"/>
        </w:rPr>
        <w:t xml:space="preserve"> and</w:t>
      </w:r>
      <w:r w:rsidRPr="00F87347">
        <w:rPr>
          <w:szCs w:val="26"/>
        </w:rPr>
        <w:t xml:space="preserve"> how PG&amp;E and Siemens responded to the recurring vibration issue</w:t>
      </w:r>
      <w:r w:rsidR="00F03BC1">
        <w:rPr>
          <w:szCs w:val="26"/>
        </w:rPr>
        <w:t>.</w:t>
      </w:r>
      <w:r w:rsidR="006E7306">
        <w:rPr>
          <w:szCs w:val="26"/>
        </w:rPr>
        <w:t xml:space="preserve"> </w:t>
      </w:r>
      <w:r w:rsidR="00F03BC1">
        <w:rPr>
          <w:szCs w:val="26"/>
        </w:rPr>
        <w:t xml:space="preserve"> A4NR fails to demonstrate the C</w:t>
      </w:r>
      <w:r w:rsidR="00E74F6D">
        <w:rPr>
          <w:szCs w:val="26"/>
        </w:rPr>
        <w:t>o</w:t>
      </w:r>
      <w:r w:rsidR="00F03BC1">
        <w:rPr>
          <w:szCs w:val="26"/>
        </w:rPr>
        <w:t xml:space="preserve">mmission </w:t>
      </w:r>
      <w:proofErr w:type="gramStart"/>
      <w:r w:rsidR="00F03BC1">
        <w:rPr>
          <w:szCs w:val="26"/>
        </w:rPr>
        <w:t>erred</w:t>
      </w:r>
      <w:proofErr w:type="gramEnd"/>
      <w:r w:rsidR="00F03BC1">
        <w:rPr>
          <w:szCs w:val="26"/>
        </w:rPr>
        <w:t xml:space="preserve"> in making this determination.</w:t>
      </w:r>
    </w:p>
    <w:p w:rsidR="000F4F2D" w:rsidP="000F4F2D" w:rsidRDefault="000F4F2D" w14:paraId="7C9A4988" w14:textId="0E248E71">
      <w:pPr>
        <w:pStyle w:val="Heading1"/>
      </w:pPr>
      <w:r>
        <w:t>CONCLUSION</w:t>
      </w:r>
    </w:p>
    <w:p w:rsidR="00A45646" w:rsidP="00494597" w:rsidRDefault="007B17FB" w14:paraId="572BF130" w14:textId="7E92DA22">
      <w:pPr>
        <w:pStyle w:val="BodyText"/>
        <w:ind w:firstLine="1440"/>
      </w:pPr>
      <w:r w:rsidRPr="000B4CCF">
        <w:t xml:space="preserve">As discussed above, </w:t>
      </w:r>
      <w:r>
        <w:t xml:space="preserve">we have determined that the Decision should be modified.  As modified, we deny rehearing of </w:t>
      </w:r>
      <w:r w:rsidRPr="00375486">
        <w:rPr>
          <w:szCs w:val="26"/>
        </w:rPr>
        <w:t xml:space="preserve">D.25-06-045 </w:t>
      </w:r>
      <w:r>
        <w:t>because no legal error has been demonstrated.</w:t>
      </w:r>
    </w:p>
    <w:p w:rsidRPr="00020AE0" w:rsidR="008023EF" w:rsidRDefault="00070C5C" w14:paraId="2D2B115A" w14:textId="47ED123E">
      <w:pPr>
        <w:pStyle w:val="BodyText10"/>
        <w:ind w:firstLine="1440"/>
        <w:rPr>
          <w:szCs w:val="26"/>
        </w:rPr>
      </w:pPr>
      <w:r>
        <w:rPr>
          <w:b/>
          <w:bCs/>
          <w:szCs w:val="26"/>
        </w:rPr>
        <w:t>THEREFORE,</w:t>
      </w:r>
      <w:r w:rsidRPr="00020AE0">
        <w:rPr>
          <w:szCs w:val="26"/>
        </w:rPr>
        <w:t xml:space="preserve"> </w:t>
      </w:r>
      <w:r w:rsidRPr="00020AE0" w:rsidR="008023EF">
        <w:rPr>
          <w:b/>
          <w:szCs w:val="26"/>
        </w:rPr>
        <w:t>IT IS ORDERED</w:t>
      </w:r>
      <w:r w:rsidRPr="00020AE0" w:rsidR="008023EF">
        <w:rPr>
          <w:szCs w:val="26"/>
        </w:rPr>
        <w:t xml:space="preserve"> that: </w:t>
      </w:r>
    </w:p>
    <w:p w:rsidRPr="00E13DCA" w:rsidR="001E7EFF" w:rsidP="002710AC" w:rsidRDefault="00A87077" w14:paraId="0BE91EC3" w14:textId="7EF60CA8">
      <w:pPr>
        <w:numPr>
          <w:ilvl w:val="2"/>
          <w:numId w:val="1"/>
        </w:numPr>
        <w:tabs>
          <w:tab w:val="clear" w:pos="5040"/>
        </w:tabs>
        <w:spacing w:line="360" w:lineRule="auto"/>
        <w:ind w:left="0" w:firstLine="720"/>
      </w:pPr>
      <w:r w:rsidRPr="00E13DCA">
        <w:t>Decision</w:t>
      </w:r>
      <w:r w:rsidRPr="00E13DCA" w:rsidR="00CE0DBF">
        <w:t xml:space="preserve"> 25-06-045 is </w:t>
      </w:r>
      <w:r w:rsidRPr="00E13DCA" w:rsidR="001E7EFF">
        <w:t>modified as follow</w:t>
      </w:r>
      <w:r w:rsidR="00EF36AB">
        <w:t>s</w:t>
      </w:r>
      <w:r w:rsidRPr="00E13DCA" w:rsidR="001E7EFF">
        <w:t>:</w:t>
      </w:r>
    </w:p>
    <w:p w:rsidRPr="00A45646" w:rsidR="00EC5856" w:rsidP="006E7306" w:rsidRDefault="00CA4AA1" w14:paraId="284AB0E3" w14:textId="4031CA29">
      <w:pPr>
        <w:pStyle w:val="Heading3"/>
        <w:numPr>
          <w:ilvl w:val="0"/>
          <w:numId w:val="7"/>
        </w:numPr>
        <w:ind w:left="2160" w:right="1440" w:hanging="720"/>
        <w:rPr>
          <w:b w:val="0"/>
          <w:bCs/>
        </w:rPr>
      </w:pPr>
      <w:r w:rsidRPr="00A45646">
        <w:rPr>
          <w:b w:val="0"/>
          <w:bCs/>
        </w:rPr>
        <w:t xml:space="preserve">The last sentence of the first full paragraph on page 22 is </w:t>
      </w:r>
      <w:r w:rsidRPr="00A45646" w:rsidR="007A55B4">
        <w:rPr>
          <w:b w:val="0"/>
          <w:bCs/>
        </w:rPr>
        <w:t xml:space="preserve">modified </w:t>
      </w:r>
      <w:r w:rsidRPr="00A45646">
        <w:rPr>
          <w:b w:val="0"/>
          <w:bCs/>
        </w:rPr>
        <w:t>to read: “</w:t>
      </w:r>
      <w:r w:rsidRPr="00A45646" w:rsidR="00B42CD4">
        <w:rPr>
          <w:b w:val="0"/>
          <w:bCs/>
        </w:rPr>
        <w:t>While noting certain</w:t>
      </w:r>
      <w:r w:rsidRPr="00A45646">
        <w:rPr>
          <w:b w:val="0"/>
          <w:bCs/>
        </w:rPr>
        <w:t xml:space="preserve"> design flaws and design verification testing</w:t>
      </w:r>
      <w:r w:rsidRPr="00A45646" w:rsidR="00A76CA2">
        <w:rPr>
          <w:b w:val="0"/>
          <w:bCs/>
        </w:rPr>
        <w:t xml:space="preserve"> deficiencies</w:t>
      </w:r>
      <w:r w:rsidRPr="00A45646" w:rsidR="00B42CD4">
        <w:rPr>
          <w:b w:val="0"/>
          <w:bCs/>
        </w:rPr>
        <w:t xml:space="preserve"> as contributing causes</w:t>
      </w:r>
      <w:r w:rsidRPr="00A45646" w:rsidR="00A76CA2">
        <w:rPr>
          <w:b w:val="0"/>
          <w:bCs/>
        </w:rPr>
        <w:t>, the Root Cause</w:t>
      </w:r>
      <w:r w:rsidRPr="00A45646" w:rsidR="00A37067">
        <w:rPr>
          <w:b w:val="0"/>
          <w:bCs/>
        </w:rPr>
        <w:t xml:space="preserve"> </w:t>
      </w:r>
      <w:r w:rsidRPr="00A45646" w:rsidR="00A76CA2">
        <w:rPr>
          <w:b w:val="0"/>
          <w:bCs/>
        </w:rPr>
        <w:t xml:space="preserve">Evaluation asserts </w:t>
      </w:r>
      <w:r w:rsidRPr="00A45646" w:rsidR="00A76CA2">
        <w:rPr>
          <w:b w:val="0"/>
          <w:bCs/>
        </w:rPr>
        <w:lastRenderedPageBreak/>
        <w:t>that the slip-stick phenomenon was the root cause of the first three forced outages.”</w:t>
      </w:r>
    </w:p>
    <w:p w:rsidRPr="00A45646" w:rsidR="006D3E6D" w:rsidP="006E7306" w:rsidRDefault="006D3E6D" w14:paraId="540E15B2" w14:textId="396AE751">
      <w:pPr>
        <w:pStyle w:val="Heading3"/>
        <w:numPr>
          <w:ilvl w:val="0"/>
          <w:numId w:val="7"/>
        </w:numPr>
        <w:ind w:left="2160" w:right="1440" w:hanging="720"/>
        <w:rPr>
          <w:b w:val="0"/>
          <w:bCs/>
        </w:rPr>
      </w:pPr>
      <w:r w:rsidRPr="00A45646">
        <w:rPr>
          <w:b w:val="0"/>
          <w:bCs/>
        </w:rPr>
        <w:t xml:space="preserve">Footnote 46 on page 22 is </w:t>
      </w:r>
      <w:r w:rsidRPr="00A45646" w:rsidR="00725904">
        <w:rPr>
          <w:b w:val="0"/>
          <w:bCs/>
        </w:rPr>
        <w:t>modified to read</w:t>
      </w:r>
      <w:r w:rsidRPr="00A45646">
        <w:rPr>
          <w:b w:val="0"/>
          <w:bCs/>
        </w:rPr>
        <w:t xml:space="preserve">: </w:t>
      </w:r>
      <w:r w:rsidRPr="00A45646" w:rsidR="00FE6496">
        <w:rPr>
          <w:b w:val="0"/>
          <w:bCs/>
        </w:rPr>
        <w:t>Exhibit A4NR-01-C, Attachment A at</w:t>
      </w:r>
      <w:r w:rsidRPr="00A45646" w:rsidR="00641523">
        <w:rPr>
          <w:b w:val="0"/>
          <w:bCs/>
        </w:rPr>
        <w:t xml:space="preserve"> 13-17,</w:t>
      </w:r>
      <w:r w:rsidRPr="00A45646" w:rsidR="00FE6496">
        <w:rPr>
          <w:b w:val="0"/>
          <w:bCs/>
        </w:rPr>
        <w:t xml:space="preserve"> 87 (Fault Tree Methodology).</w:t>
      </w:r>
    </w:p>
    <w:p w:rsidRPr="00A45646" w:rsidR="00CA06EB" w:rsidP="006E7306" w:rsidRDefault="00CA06EB" w14:paraId="0159A285" w14:textId="66CBB28C">
      <w:pPr>
        <w:pStyle w:val="Heading3"/>
        <w:numPr>
          <w:ilvl w:val="0"/>
          <w:numId w:val="7"/>
        </w:numPr>
        <w:ind w:left="2160" w:right="1440" w:hanging="720"/>
        <w:rPr>
          <w:b w:val="0"/>
          <w:bCs/>
        </w:rPr>
      </w:pPr>
      <w:r w:rsidRPr="00A45646">
        <w:rPr>
          <w:b w:val="0"/>
          <w:bCs/>
        </w:rPr>
        <w:t xml:space="preserve">Finding of Fact 15 is </w:t>
      </w:r>
      <w:r w:rsidRPr="00A45646" w:rsidR="007E14C9">
        <w:rPr>
          <w:b w:val="0"/>
          <w:bCs/>
        </w:rPr>
        <w:t xml:space="preserve">modified </w:t>
      </w:r>
      <w:r w:rsidRPr="00A45646">
        <w:rPr>
          <w:b w:val="0"/>
          <w:bCs/>
        </w:rPr>
        <w:t>to read:</w:t>
      </w:r>
      <w:r w:rsidRPr="00A45646" w:rsidR="009B3A0D">
        <w:rPr>
          <w:b w:val="0"/>
          <w:bCs/>
        </w:rPr>
        <w:t xml:space="preserve"> “The root cause of the first three forced outages was the stick-slip </w:t>
      </w:r>
      <w:r w:rsidRPr="00A45646" w:rsidR="00342073">
        <w:rPr>
          <w:b w:val="0"/>
          <w:bCs/>
        </w:rPr>
        <w:t>phenomenon</w:t>
      </w:r>
      <w:r w:rsidRPr="00A45646" w:rsidR="009B3A0D">
        <w:rPr>
          <w:b w:val="0"/>
          <w:bCs/>
        </w:rPr>
        <w:t>.”</w:t>
      </w:r>
    </w:p>
    <w:p w:rsidR="001D7479" w:rsidP="001D7479" w:rsidRDefault="001D7479" w14:paraId="18B44638" w14:textId="1C2FEDAD">
      <w:pPr>
        <w:pStyle w:val="BodyText6"/>
      </w:pPr>
      <w:r>
        <w:t>2.</w:t>
      </w:r>
      <w:r>
        <w:tab/>
        <w:t>Rehearing of Decision</w:t>
      </w:r>
      <w:r w:rsidR="00E26D53">
        <w:t xml:space="preserve"> 25-06-045</w:t>
      </w:r>
      <w:r>
        <w:t>, as modified, is denied.</w:t>
      </w:r>
    </w:p>
    <w:p w:rsidRPr="00E53648" w:rsidR="001D7479" w:rsidP="001D7479" w:rsidRDefault="00E26D53" w14:paraId="4D5599FB" w14:textId="4232A1E8">
      <w:pPr>
        <w:pStyle w:val="BodyText6"/>
      </w:pPr>
      <w:r>
        <w:t>3</w:t>
      </w:r>
      <w:r w:rsidR="001D7479">
        <w:t>.</w:t>
      </w:r>
      <w:r w:rsidR="001D7479">
        <w:tab/>
        <w:t>Application 22-02-015 is closed.</w:t>
      </w:r>
    </w:p>
    <w:p w:rsidRPr="00020AE0" w:rsidR="008023EF" w:rsidRDefault="008023EF" w14:paraId="391C9585" w14:textId="1D5B6E1C">
      <w:pPr>
        <w:pStyle w:val="BodyText10"/>
        <w:ind w:firstLine="1440"/>
        <w:rPr>
          <w:szCs w:val="26"/>
        </w:rPr>
      </w:pPr>
      <w:r w:rsidRPr="00020AE0">
        <w:rPr>
          <w:szCs w:val="26"/>
        </w:rPr>
        <w:t>This order is effective today.</w:t>
      </w:r>
    </w:p>
    <w:p w:rsidR="008023EF" w:rsidRDefault="008023EF" w14:paraId="18A0EE67" w14:textId="508EF995">
      <w:pPr>
        <w:pStyle w:val="BodyText10"/>
        <w:ind w:firstLine="1440"/>
        <w:rPr>
          <w:szCs w:val="26"/>
        </w:rPr>
      </w:pPr>
      <w:r w:rsidRPr="00020AE0">
        <w:rPr>
          <w:szCs w:val="26"/>
        </w:rPr>
        <w:t xml:space="preserve">Dated </w:t>
      </w:r>
      <w:r w:rsidRPr="00DC1656" w:rsidR="00DC1656">
        <w:rPr>
          <w:szCs w:val="26"/>
        </w:rPr>
        <w:t>July 2, 2026</w:t>
      </w:r>
      <w:r w:rsidRPr="00020AE0">
        <w:rPr>
          <w:szCs w:val="26"/>
        </w:rPr>
        <w:t xml:space="preserve"> at </w:t>
      </w:r>
      <w:r w:rsidR="005A5517">
        <w:rPr>
          <w:szCs w:val="26"/>
        </w:rPr>
        <w:t>Fort Bragg</w:t>
      </w:r>
      <w:r w:rsidRPr="00020AE0">
        <w:rPr>
          <w:szCs w:val="26"/>
        </w:rPr>
        <w:t>, California.</w:t>
      </w:r>
    </w:p>
    <w:p w:rsidR="00724927" w:rsidP="00DC1656" w:rsidRDefault="00724927" w14:paraId="4E1F8296" w14:textId="77777777">
      <w:pPr>
        <w:pStyle w:val="Footer"/>
        <w:tabs>
          <w:tab w:val="clear" w:pos="4320"/>
          <w:tab w:val="clear" w:pos="5040"/>
        </w:tabs>
        <w:ind w:left="4230"/>
        <w:rPr>
          <w:szCs w:val="26"/>
        </w:rPr>
      </w:pPr>
      <w:bookmarkStart w:name="_Hlk61602525" w:id="5"/>
    </w:p>
    <w:p w:rsidRPr="00724927" w:rsidR="00DC1656" w:rsidP="00DA199D" w:rsidRDefault="00DC1656" w14:paraId="5D8A12DA" w14:textId="53FA8DD2">
      <w:pPr>
        <w:pStyle w:val="Footer"/>
        <w:tabs>
          <w:tab w:val="clear" w:pos="4320"/>
          <w:tab w:val="clear" w:pos="5040"/>
        </w:tabs>
        <w:ind w:left="5040"/>
        <w:rPr>
          <w:szCs w:val="26"/>
        </w:rPr>
      </w:pPr>
      <w:r w:rsidRPr="00724927">
        <w:rPr>
          <w:szCs w:val="26"/>
        </w:rPr>
        <w:t>JOHN REYNOLDS</w:t>
      </w:r>
    </w:p>
    <w:p w:rsidRPr="00724927" w:rsidR="00DC1656" w:rsidP="00DA199D" w:rsidRDefault="00DC1656" w14:paraId="1C43D9CA" w14:textId="561F3242">
      <w:pPr>
        <w:pStyle w:val="standard"/>
        <w:spacing w:line="240" w:lineRule="auto"/>
        <w:ind w:left="5040" w:firstLine="0"/>
        <w:rPr>
          <w:rFonts w:ascii="Times New Roman" w:hAnsi="Times New Roman"/>
        </w:rPr>
      </w:pPr>
      <w:r w:rsidRPr="00724927">
        <w:rPr>
          <w:rFonts w:ascii="Times New Roman" w:hAnsi="Times New Roman"/>
        </w:rPr>
        <w:t xml:space="preserve">                  President</w:t>
      </w:r>
    </w:p>
    <w:p w:rsidRPr="00724927" w:rsidR="00DC1656" w:rsidP="00DA199D" w:rsidRDefault="00DC1656" w14:paraId="1CA74DC6" w14:textId="77777777">
      <w:pPr>
        <w:pStyle w:val="standard"/>
        <w:tabs>
          <w:tab w:val="left" w:pos="8220"/>
        </w:tabs>
        <w:spacing w:line="240" w:lineRule="auto"/>
        <w:ind w:left="5040" w:firstLine="0"/>
        <w:rPr>
          <w:rFonts w:ascii="Times New Roman" w:hAnsi="Times New Roman"/>
        </w:rPr>
      </w:pPr>
      <w:r w:rsidRPr="00724927">
        <w:rPr>
          <w:rFonts w:ascii="Times New Roman" w:hAnsi="Times New Roman"/>
        </w:rPr>
        <w:t>DARCIE L. HOUCK</w:t>
      </w:r>
    </w:p>
    <w:p w:rsidRPr="00724927" w:rsidR="00DC1656" w:rsidP="00DA199D" w:rsidRDefault="00DC1656" w14:paraId="595F601F" w14:textId="2AA3D875">
      <w:pPr>
        <w:ind w:left="5040"/>
      </w:pPr>
      <w:r w:rsidRPr="00724927">
        <w:t>KAREN DOUGLAS</w:t>
      </w:r>
    </w:p>
    <w:p w:rsidR="00DC1656" w:rsidP="00DA199D" w:rsidRDefault="00DC1656" w14:paraId="3AF77222" w14:textId="11F7C724">
      <w:pPr>
        <w:tabs>
          <w:tab w:val="clear" w:pos="5040"/>
        </w:tabs>
        <w:ind w:left="5040"/>
      </w:pPr>
      <w:r w:rsidRPr="00724927">
        <w:t xml:space="preserve">             Commissioners</w:t>
      </w:r>
      <w:bookmarkEnd w:id="5"/>
    </w:p>
    <w:p w:rsidRPr="00724927" w:rsidR="00022637" w:rsidP="00DA199D" w:rsidRDefault="00022637" w14:paraId="5063309D" w14:textId="77777777">
      <w:pPr>
        <w:tabs>
          <w:tab w:val="clear" w:pos="5040"/>
        </w:tabs>
        <w:ind w:left="5040"/>
      </w:pPr>
    </w:p>
    <w:p w:rsidRPr="00724927" w:rsidR="00DC1656" w:rsidP="00DA199D" w:rsidRDefault="00DC1656" w14:paraId="4E1888B4" w14:textId="05321A1A">
      <w:pPr>
        <w:pStyle w:val="Footer"/>
        <w:tabs>
          <w:tab w:val="clear" w:pos="4320"/>
          <w:tab w:val="clear" w:pos="5040"/>
          <w:tab w:val="clear" w:pos="8640"/>
        </w:tabs>
        <w:ind w:left="5040"/>
        <w:rPr>
          <w:szCs w:val="26"/>
        </w:rPr>
      </w:pPr>
      <w:r w:rsidRPr="00724927">
        <w:rPr>
          <w:szCs w:val="26"/>
        </w:rPr>
        <w:t>Commissioner Matthew Baker recused himself and did not participate in the vote of this item.</w:t>
      </w:r>
    </w:p>
    <w:p w:rsidRPr="00724927" w:rsidR="00DC1656" w:rsidP="00DA199D" w:rsidRDefault="00DC1656" w14:paraId="0A159FF8" w14:textId="77777777">
      <w:pPr>
        <w:pStyle w:val="Footer"/>
        <w:ind w:left="5040"/>
        <w:rPr>
          <w:szCs w:val="26"/>
        </w:rPr>
      </w:pPr>
    </w:p>
    <w:p w:rsidRPr="00020AE0" w:rsidR="00DC1656" w:rsidP="00DA199D" w:rsidRDefault="00DC1656" w14:paraId="4455E5D8" w14:textId="4B20BDD7">
      <w:pPr>
        <w:pStyle w:val="Footer"/>
        <w:tabs>
          <w:tab w:val="clear" w:pos="4320"/>
          <w:tab w:val="clear" w:pos="5040"/>
          <w:tab w:val="clear" w:pos="8640"/>
        </w:tabs>
        <w:ind w:left="5040"/>
        <w:rPr>
          <w:szCs w:val="26"/>
        </w:rPr>
      </w:pPr>
      <w:r w:rsidRPr="00724927">
        <w:rPr>
          <w:szCs w:val="26"/>
        </w:rPr>
        <w:t>Commissioner Christine Harada being absent</w:t>
      </w:r>
      <w:r w:rsidR="00DA199D">
        <w:rPr>
          <w:szCs w:val="26"/>
        </w:rPr>
        <w:t xml:space="preserve"> </w:t>
      </w:r>
      <w:r w:rsidRPr="00724927">
        <w:rPr>
          <w:szCs w:val="26"/>
        </w:rPr>
        <w:t>did not participate in the vote of this item</w:t>
      </w:r>
    </w:p>
    <w:sectPr w:rsidRPr="00020AE0" w:rsidR="00DC1656" w:rsidSect="00020AE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8F9D" w14:textId="77777777" w:rsidR="00365ABD" w:rsidRDefault="00365ABD">
      <w:r>
        <w:separator/>
      </w:r>
    </w:p>
  </w:endnote>
  <w:endnote w:type="continuationSeparator" w:id="0">
    <w:p w14:paraId="22CB130D" w14:textId="77777777" w:rsidR="00365ABD" w:rsidRDefault="0036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w:altName w:val="Palatino Linotype"/>
    <w:charset w:val="00"/>
    <w:family w:val="auto"/>
    <w:pitch w:val="variable"/>
    <w:sig w:usb0="20000A87" w:usb1="08000000" w:usb2="00000008" w:usb3="00000000" w:csb0="000001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4393" w14:textId="77777777" w:rsidR="00724927" w:rsidRDefault="00724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171151"/>
      <w:docPartObj>
        <w:docPartGallery w:val="Page Numbers (Bottom of Page)"/>
        <w:docPartUnique/>
      </w:docPartObj>
    </w:sdtPr>
    <w:sdtEndPr>
      <w:rPr>
        <w:noProof/>
      </w:rPr>
    </w:sdtEndPr>
    <w:sdtContent>
      <w:p w14:paraId="69603A77" w14:textId="0092763B" w:rsidR="00A45646" w:rsidRDefault="00A456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E67A" w14:textId="06212656" w:rsidR="00020AE0" w:rsidRPr="00020AE0" w:rsidRDefault="00724927" w:rsidP="003C0982">
    <w:pPr>
      <w:pStyle w:val="Footer"/>
      <w:rPr>
        <w:sz w:val="24"/>
        <w:szCs w:val="24"/>
      </w:rPr>
    </w:pPr>
    <w:r w:rsidRPr="00724927">
      <w:rPr>
        <w:sz w:val="18"/>
        <w:szCs w:val="18"/>
      </w:rPr>
      <w:t>610105314</w:t>
    </w:r>
    <w:r w:rsidR="003C0982">
      <w:rPr>
        <w:sz w:val="24"/>
        <w:szCs w:val="24"/>
      </w:rPr>
      <w:tab/>
    </w:r>
    <w:r w:rsidR="00020AE0" w:rsidRPr="00020AE0">
      <w:rPr>
        <w:sz w:val="24"/>
        <w:szCs w:val="24"/>
      </w:rPr>
      <w:fldChar w:fldCharType="begin"/>
    </w:r>
    <w:r w:rsidR="00020AE0" w:rsidRPr="00020AE0">
      <w:rPr>
        <w:sz w:val="24"/>
        <w:szCs w:val="24"/>
      </w:rPr>
      <w:instrText xml:space="preserve"> PAGE   \* MERGEFORMAT </w:instrText>
    </w:r>
    <w:r w:rsidR="00020AE0" w:rsidRPr="00020AE0">
      <w:rPr>
        <w:sz w:val="24"/>
        <w:szCs w:val="24"/>
      </w:rPr>
      <w:fldChar w:fldCharType="separate"/>
    </w:r>
    <w:r w:rsidR="00020AE0">
      <w:rPr>
        <w:noProof/>
        <w:sz w:val="24"/>
        <w:szCs w:val="24"/>
      </w:rPr>
      <w:t>1</w:t>
    </w:r>
    <w:r w:rsidR="00020AE0" w:rsidRPr="00020AE0">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9829" w14:textId="77777777" w:rsidR="00365ABD" w:rsidRDefault="00365ABD">
      <w:r>
        <w:separator/>
      </w:r>
    </w:p>
  </w:footnote>
  <w:footnote w:type="continuationSeparator" w:id="0">
    <w:p w14:paraId="388A6A32" w14:textId="77777777" w:rsidR="00365ABD" w:rsidRDefault="00365ABD">
      <w:pPr>
        <w:rPr>
          <w:sz w:val="22"/>
        </w:rPr>
      </w:pPr>
      <w:r>
        <w:rPr>
          <w:sz w:val="22"/>
        </w:rPr>
        <w:separator/>
      </w:r>
    </w:p>
    <w:p w14:paraId="3118D283" w14:textId="77777777" w:rsidR="00365ABD" w:rsidRDefault="00365ABD">
      <w:pPr>
        <w:pStyle w:val="Footer"/>
        <w:spacing w:before="120" w:after="120"/>
        <w:rPr>
          <w:i/>
          <w:sz w:val="22"/>
        </w:rPr>
      </w:pPr>
      <w:r>
        <w:rPr>
          <w:i/>
          <w:sz w:val="22"/>
        </w:rPr>
        <w:t>(footnote continued from previous page)</w:t>
      </w:r>
    </w:p>
  </w:footnote>
  <w:footnote w:type="continuationNotice" w:id="1">
    <w:p w14:paraId="53881798" w14:textId="77777777" w:rsidR="00365ABD" w:rsidRDefault="00365ABD">
      <w:pPr>
        <w:spacing w:before="120" w:after="120"/>
        <w:jc w:val="right"/>
        <w:rPr>
          <w:i/>
        </w:rPr>
      </w:pPr>
      <w:r>
        <w:rPr>
          <w:i/>
          <w:sz w:val="22"/>
        </w:rPr>
        <w:t>(footnote continued on next page)</w:t>
      </w:r>
    </w:p>
  </w:footnote>
  <w:footnote w:id="2">
    <w:p w14:paraId="0B33FAC6" w14:textId="02E15544" w:rsidR="001A7AB3" w:rsidRPr="00A45646" w:rsidRDefault="001A7AB3" w:rsidP="00A45646">
      <w:pPr>
        <w:pStyle w:val="FootnoteText"/>
        <w:rPr>
          <w:sz w:val="26"/>
          <w:szCs w:val="26"/>
        </w:rPr>
      </w:pPr>
      <w:r w:rsidRPr="00A45646">
        <w:rPr>
          <w:rStyle w:val="FootnoteReference"/>
          <w:sz w:val="26"/>
          <w:szCs w:val="26"/>
        </w:rPr>
        <w:footnoteRef/>
      </w:r>
      <w:r w:rsidR="004335BE" w:rsidRPr="00A45646">
        <w:rPr>
          <w:sz w:val="26"/>
          <w:szCs w:val="26"/>
        </w:rPr>
        <w:t xml:space="preserve"> Decision</w:t>
      </w:r>
      <w:r w:rsidRPr="00A45646">
        <w:rPr>
          <w:sz w:val="26"/>
          <w:szCs w:val="26"/>
        </w:rPr>
        <w:t xml:space="preserve"> </w:t>
      </w:r>
      <w:r w:rsidR="004335BE" w:rsidRPr="00A45646">
        <w:rPr>
          <w:sz w:val="26"/>
          <w:szCs w:val="26"/>
        </w:rPr>
        <w:t>(</w:t>
      </w:r>
      <w:r w:rsidRPr="00A45646">
        <w:rPr>
          <w:sz w:val="26"/>
          <w:szCs w:val="26"/>
        </w:rPr>
        <w:t>D.</w:t>
      </w:r>
      <w:r w:rsidR="004335BE" w:rsidRPr="00A45646">
        <w:rPr>
          <w:sz w:val="26"/>
          <w:szCs w:val="26"/>
        </w:rPr>
        <w:t xml:space="preserve">) </w:t>
      </w:r>
      <w:r w:rsidRPr="00A45646">
        <w:rPr>
          <w:sz w:val="26"/>
          <w:szCs w:val="26"/>
        </w:rPr>
        <w:t>25-06-045 at 3, 14-24.</w:t>
      </w:r>
    </w:p>
  </w:footnote>
  <w:footnote w:id="3">
    <w:p w14:paraId="0B109F9C" w14:textId="77777777" w:rsidR="00874923" w:rsidRPr="00A45646" w:rsidRDefault="00874923"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Id</w:t>
      </w:r>
      <w:r w:rsidRPr="00A45646">
        <w:rPr>
          <w:sz w:val="26"/>
          <w:szCs w:val="26"/>
        </w:rPr>
        <w:t>. at 14.</w:t>
      </w:r>
    </w:p>
  </w:footnote>
  <w:footnote w:id="4">
    <w:p w14:paraId="7829AFDA" w14:textId="77777777" w:rsidR="001A7AB3" w:rsidRPr="00A45646" w:rsidRDefault="001A7AB3"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Id.</w:t>
      </w:r>
      <w:r w:rsidRPr="00A45646">
        <w:rPr>
          <w:sz w:val="26"/>
          <w:szCs w:val="26"/>
        </w:rPr>
        <w:t xml:space="preserve"> at 2.</w:t>
      </w:r>
    </w:p>
  </w:footnote>
  <w:footnote w:id="5">
    <w:p w14:paraId="724C2E96" w14:textId="306A92A6" w:rsidR="001A7AB3" w:rsidRPr="00A45646" w:rsidRDefault="001A7AB3"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Id.</w:t>
      </w:r>
      <w:r w:rsidRPr="00A45646">
        <w:rPr>
          <w:sz w:val="26"/>
          <w:szCs w:val="26"/>
        </w:rPr>
        <w:t xml:space="preserve"> at 21.</w:t>
      </w:r>
    </w:p>
  </w:footnote>
  <w:footnote w:id="6">
    <w:p w14:paraId="6FA41C03" w14:textId="504AA7DD" w:rsidR="001A7AB3" w:rsidRPr="00A45646" w:rsidRDefault="001A7AB3"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Id.</w:t>
      </w:r>
      <w:r w:rsidRPr="00A45646">
        <w:rPr>
          <w:sz w:val="26"/>
          <w:szCs w:val="26"/>
        </w:rPr>
        <w:t xml:space="preserve"> at 23.  The first four outages involved excessive vibrations at the Unit 2 generator.  The fifth and sixth outages involved different issues at the Unit 2 generator and are not relevant to the issues in the rehearing application.</w:t>
      </w:r>
    </w:p>
  </w:footnote>
  <w:footnote w:id="7">
    <w:p w14:paraId="05D3921C" w14:textId="77777777" w:rsidR="001A7AB3" w:rsidRPr="00A45646" w:rsidRDefault="001A7AB3"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 xml:space="preserve">Id. </w:t>
      </w:r>
      <w:r w:rsidRPr="00A45646">
        <w:rPr>
          <w:sz w:val="26"/>
          <w:szCs w:val="26"/>
        </w:rPr>
        <w:t>at 24.</w:t>
      </w:r>
    </w:p>
  </w:footnote>
  <w:footnote w:id="8">
    <w:p w14:paraId="2098E8C2" w14:textId="77777777" w:rsidR="001A7AB3" w:rsidRPr="00A45646" w:rsidRDefault="001A7AB3" w:rsidP="00A45646">
      <w:pPr>
        <w:pStyle w:val="FootnoteText"/>
        <w:rPr>
          <w:sz w:val="26"/>
          <w:szCs w:val="26"/>
        </w:rPr>
      </w:pPr>
      <w:r w:rsidRPr="00A45646">
        <w:rPr>
          <w:rStyle w:val="FootnoteReference"/>
          <w:sz w:val="26"/>
          <w:szCs w:val="26"/>
        </w:rPr>
        <w:footnoteRef/>
      </w:r>
      <w:r w:rsidRPr="00A45646">
        <w:rPr>
          <w:sz w:val="26"/>
          <w:szCs w:val="26"/>
        </w:rPr>
        <w:t xml:space="preserve"> A4NR Rehearing Application at 1, 4.</w:t>
      </w:r>
    </w:p>
  </w:footnote>
  <w:footnote w:id="9">
    <w:p w14:paraId="40623645" w14:textId="77777777" w:rsidR="001A7AB3" w:rsidRPr="00A45646" w:rsidRDefault="001A7AB3"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Id.</w:t>
      </w:r>
      <w:r w:rsidRPr="00A45646">
        <w:rPr>
          <w:sz w:val="26"/>
          <w:szCs w:val="26"/>
        </w:rPr>
        <w:t xml:space="preserve"> at 4.</w:t>
      </w:r>
    </w:p>
  </w:footnote>
  <w:footnote w:id="10">
    <w:p w14:paraId="668728D4" w14:textId="77777777" w:rsidR="00874923" w:rsidRPr="00A45646" w:rsidRDefault="00874923" w:rsidP="00A45646">
      <w:pPr>
        <w:pStyle w:val="FootnoteText"/>
        <w:rPr>
          <w:sz w:val="26"/>
          <w:szCs w:val="26"/>
        </w:rPr>
      </w:pPr>
      <w:r w:rsidRPr="00A45646">
        <w:rPr>
          <w:rStyle w:val="FootnoteReference"/>
          <w:sz w:val="26"/>
          <w:szCs w:val="26"/>
        </w:rPr>
        <w:footnoteRef/>
      </w:r>
      <w:r w:rsidRPr="00A45646">
        <w:rPr>
          <w:sz w:val="26"/>
          <w:szCs w:val="26"/>
        </w:rPr>
        <w:t xml:space="preserve"> PG&amp;E Response at 4-5.</w:t>
      </w:r>
    </w:p>
  </w:footnote>
  <w:footnote w:id="11">
    <w:p w14:paraId="30159F33" w14:textId="77777777" w:rsidR="00502A94" w:rsidRPr="00A45646" w:rsidRDefault="00502A94" w:rsidP="00A45646">
      <w:pPr>
        <w:pStyle w:val="FootnoteText"/>
        <w:rPr>
          <w:sz w:val="26"/>
          <w:szCs w:val="26"/>
        </w:rPr>
      </w:pPr>
      <w:r w:rsidRPr="00A45646">
        <w:rPr>
          <w:rStyle w:val="FootnoteReference"/>
          <w:bCs/>
          <w:sz w:val="26"/>
          <w:szCs w:val="26"/>
        </w:rPr>
        <w:footnoteRef/>
      </w:r>
      <w:r w:rsidRPr="00A45646">
        <w:rPr>
          <w:sz w:val="26"/>
          <w:szCs w:val="26"/>
        </w:rPr>
        <w:t xml:space="preserve"> Rule 16.1(c).  Unless otherwise specified, all references to a Rule are to the Commission’s Rules of Practice and Procedure.</w:t>
      </w:r>
    </w:p>
  </w:footnote>
  <w:footnote w:id="12">
    <w:p w14:paraId="48892BA3" w14:textId="77777777" w:rsidR="00502A94" w:rsidRPr="00A45646" w:rsidRDefault="00502A94" w:rsidP="00A45646">
      <w:pPr>
        <w:pStyle w:val="FootnoteText"/>
        <w:rPr>
          <w:sz w:val="26"/>
          <w:szCs w:val="26"/>
        </w:rPr>
      </w:pPr>
      <w:r w:rsidRPr="00A45646">
        <w:rPr>
          <w:rStyle w:val="FootnoteReference"/>
          <w:bCs/>
          <w:sz w:val="26"/>
          <w:szCs w:val="26"/>
        </w:rPr>
        <w:footnoteRef/>
      </w:r>
      <w:r w:rsidRPr="00A45646">
        <w:rPr>
          <w:sz w:val="26"/>
          <w:szCs w:val="26"/>
        </w:rPr>
        <w:t xml:space="preserve"> Pub. Util. Code § 1732. All subsequent section references are to the Public Utilities Code, unless otherwise specified.</w:t>
      </w:r>
    </w:p>
  </w:footnote>
  <w:footnote w:id="13">
    <w:p w14:paraId="515BEA53" w14:textId="127A61C0" w:rsidR="00502A94" w:rsidRPr="00A45646" w:rsidRDefault="00502A94" w:rsidP="00A45646">
      <w:pPr>
        <w:pStyle w:val="FootnoteText"/>
        <w:rPr>
          <w:sz w:val="26"/>
          <w:szCs w:val="26"/>
        </w:rPr>
      </w:pPr>
      <w:r w:rsidRPr="00A45646">
        <w:rPr>
          <w:rStyle w:val="FootnoteReference"/>
          <w:sz w:val="26"/>
          <w:szCs w:val="26"/>
        </w:rPr>
        <w:footnoteRef/>
      </w:r>
      <w:r w:rsidRPr="00A45646">
        <w:rPr>
          <w:sz w:val="26"/>
          <w:szCs w:val="26"/>
        </w:rPr>
        <w:t xml:space="preserve"> </w:t>
      </w:r>
      <w:r w:rsidR="00874923" w:rsidRPr="00A45646">
        <w:rPr>
          <w:sz w:val="26"/>
          <w:szCs w:val="26"/>
        </w:rPr>
        <w:t xml:space="preserve">See </w:t>
      </w:r>
      <w:r w:rsidRPr="00A45646">
        <w:rPr>
          <w:sz w:val="26"/>
          <w:szCs w:val="26"/>
        </w:rPr>
        <w:t>Rule 16.1(c).</w:t>
      </w:r>
    </w:p>
  </w:footnote>
  <w:footnote w:id="14">
    <w:p w14:paraId="2FCB1527" w14:textId="77777777" w:rsidR="00231959" w:rsidRPr="00A45646" w:rsidRDefault="00231959" w:rsidP="00A45646">
      <w:pPr>
        <w:pStyle w:val="FootnoteText"/>
        <w:rPr>
          <w:sz w:val="26"/>
          <w:szCs w:val="26"/>
        </w:rPr>
      </w:pPr>
      <w:r w:rsidRPr="00A45646">
        <w:rPr>
          <w:rStyle w:val="FootnoteReference"/>
          <w:sz w:val="26"/>
          <w:szCs w:val="26"/>
        </w:rPr>
        <w:footnoteRef/>
      </w:r>
      <w:r w:rsidRPr="00A45646">
        <w:rPr>
          <w:sz w:val="26"/>
          <w:szCs w:val="26"/>
        </w:rPr>
        <w:t xml:space="preserve"> A4NR Rehearing Application at 4.</w:t>
      </w:r>
    </w:p>
  </w:footnote>
  <w:footnote w:id="15">
    <w:p w14:paraId="52B4B963" w14:textId="60FE16F8" w:rsidR="00231959" w:rsidRPr="00A45646" w:rsidRDefault="00231959"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The Utility Reform Network v. Pu</w:t>
      </w:r>
      <w:r w:rsidR="00874923" w:rsidRPr="00A45646">
        <w:rPr>
          <w:i/>
          <w:iCs/>
          <w:sz w:val="26"/>
          <w:szCs w:val="26"/>
        </w:rPr>
        <w:t>blic</w:t>
      </w:r>
      <w:r w:rsidR="002710AC" w:rsidRPr="00A45646">
        <w:rPr>
          <w:i/>
          <w:iCs/>
          <w:sz w:val="26"/>
          <w:szCs w:val="26"/>
        </w:rPr>
        <w:t xml:space="preserve"> Utilities </w:t>
      </w:r>
      <w:r w:rsidRPr="00A45646">
        <w:rPr>
          <w:i/>
          <w:iCs/>
          <w:sz w:val="26"/>
          <w:szCs w:val="26"/>
        </w:rPr>
        <w:t xml:space="preserve">Com. </w:t>
      </w:r>
      <w:r w:rsidRPr="00A45646">
        <w:rPr>
          <w:sz w:val="26"/>
          <w:szCs w:val="26"/>
        </w:rPr>
        <w:t>(2014) 223 Cal.App.4th 945, 959; § 1757(a)(4).</w:t>
      </w:r>
    </w:p>
  </w:footnote>
  <w:footnote w:id="16">
    <w:p w14:paraId="7A38EB65" w14:textId="77777777" w:rsidR="00231959" w:rsidRPr="00A45646" w:rsidRDefault="00231959" w:rsidP="00A45646">
      <w:pPr>
        <w:pStyle w:val="FootnoteText"/>
        <w:rPr>
          <w:sz w:val="26"/>
          <w:szCs w:val="26"/>
        </w:rPr>
      </w:pPr>
      <w:r w:rsidRPr="00A45646">
        <w:rPr>
          <w:rStyle w:val="FootnoteReference"/>
          <w:sz w:val="26"/>
          <w:szCs w:val="26"/>
        </w:rPr>
        <w:footnoteRef/>
      </w:r>
      <w:r w:rsidRPr="00A45646">
        <w:rPr>
          <w:sz w:val="26"/>
          <w:szCs w:val="26"/>
        </w:rPr>
        <w:t xml:space="preserve"> § 1757(b).</w:t>
      </w:r>
    </w:p>
  </w:footnote>
  <w:footnote w:id="17">
    <w:p w14:paraId="1F25A1C6" w14:textId="0EC40B3A" w:rsidR="00CD11AA" w:rsidRPr="00A45646" w:rsidRDefault="00CD11AA" w:rsidP="00A45646">
      <w:pPr>
        <w:pStyle w:val="FootnoteText"/>
        <w:rPr>
          <w:sz w:val="26"/>
          <w:szCs w:val="26"/>
        </w:rPr>
      </w:pPr>
      <w:r w:rsidRPr="00A45646">
        <w:rPr>
          <w:rStyle w:val="FootnoteReference"/>
          <w:sz w:val="26"/>
          <w:szCs w:val="26"/>
        </w:rPr>
        <w:footnoteRef/>
      </w:r>
      <w:r w:rsidRPr="00A45646">
        <w:rPr>
          <w:sz w:val="26"/>
          <w:szCs w:val="26"/>
        </w:rPr>
        <w:t xml:space="preserve"> D.25-06-045 at 9.</w:t>
      </w:r>
    </w:p>
  </w:footnote>
  <w:footnote w:id="18">
    <w:p w14:paraId="01BBE028" w14:textId="48098D50" w:rsidR="00CD11AA" w:rsidRPr="00A45646" w:rsidRDefault="00CD11AA" w:rsidP="00A45646">
      <w:pPr>
        <w:pStyle w:val="FootnoteText"/>
        <w:rPr>
          <w:sz w:val="26"/>
          <w:szCs w:val="26"/>
        </w:rPr>
      </w:pPr>
      <w:r w:rsidRPr="00A45646">
        <w:rPr>
          <w:rStyle w:val="FootnoteReference"/>
          <w:sz w:val="26"/>
          <w:szCs w:val="26"/>
        </w:rPr>
        <w:footnoteRef/>
      </w:r>
      <w:r w:rsidRPr="00A45646">
        <w:rPr>
          <w:sz w:val="26"/>
          <w:szCs w:val="26"/>
        </w:rPr>
        <w:t xml:space="preserve"> D.90-09-088</w:t>
      </w:r>
      <w:r w:rsidR="00874923" w:rsidRPr="00A45646">
        <w:rPr>
          <w:sz w:val="26"/>
          <w:szCs w:val="26"/>
        </w:rPr>
        <w:t xml:space="preserve"> (1990)</w:t>
      </w:r>
      <w:r w:rsidRPr="00A45646">
        <w:rPr>
          <w:sz w:val="26"/>
          <w:szCs w:val="26"/>
        </w:rPr>
        <w:t xml:space="preserve"> 37 CPUC 2d 488, 499-500; D.11</w:t>
      </w:r>
      <w:r w:rsidRPr="00A45646">
        <w:rPr>
          <w:sz w:val="26"/>
          <w:szCs w:val="26"/>
        </w:rPr>
        <w:noBreakHyphen/>
        <w:t>10</w:t>
      </w:r>
      <w:r w:rsidRPr="00A45646">
        <w:rPr>
          <w:sz w:val="26"/>
          <w:szCs w:val="26"/>
        </w:rPr>
        <w:noBreakHyphen/>
        <w:t>002 at fn. 6; D.10</w:t>
      </w:r>
      <w:r w:rsidRPr="00A45646">
        <w:rPr>
          <w:sz w:val="26"/>
          <w:szCs w:val="26"/>
        </w:rPr>
        <w:noBreakHyphen/>
        <w:t>07</w:t>
      </w:r>
      <w:r w:rsidRPr="00A45646">
        <w:rPr>
          <w:sz w:val="26"/>
          <w:szCs w:val="26"/>
        </w:rPr>
        <w:noBreakHyphen/>
        <w:t>049; D.14</w:t>
      </w:r>
      <w:r w:rsidRPr="00A45646">
        <w:rPr>
          <w:sz w:val="26"/>
          <w:szCs w:val="26"/>
        </w:rPr>
        <w:noBreakHyphen/>
        <w:t>05</w:t>
      </w:r>
      <w:r w:rsidRPr="00A45646">
        <w:rPr>
          <w:sz w:val="26"/>
          <w:szCs w:val="26"/>
        </w:rPr>
        <w:noBreakHyphen/>
        <w:t>023.</w:t>
      </w:r>
    </w:p>
  </w:footnote>
  <w:footnote w:id="19">
    <w:p w14:paraId="1504852E" w14:textId="77777777" w:rsidR="0078207B" w:rsidRPr="00A45646" w:rsidRDefault="0078207B" w:rsidP="00A45646">
      <w:pPr>
        <w:pStyle w:val="FootnoteText"/>
        <w:rPr>
          <w:sz w:val="26"/>
          <w:szCs w:val="26"/>
        </w:rPr>
      </w:pPr>
      <w:r w:rsidRPr="00A45646">
        <w:rPr>
          <w:rStyle w:val="FootnoteReference"/>
          <w:sz w:val="26"/>
          <w:szCs w:val="26"/>
        </w:rPr>
        <w:footnoteRef/>
      </w:r>
      <w:r w:rsidRPr="00A45646">
        <w:rPr>
          <w:sz w:val="26"/>
          <w:szCs w:val="26"/>
        </w:rPr>
        <w:t xml:space="preserve"> A4NR Rehearing Application at 1.</w:t>
      </w:r>
    </w:p>
  </w:footnote>
  <w:footnote w:id="20">
    <w:p w14:paraId="6E3D088D" w14:textId="5C858AB7" w:rsidR="0078207B" w:rsidRPr="00A45646" w:rsidRDefault="0078207B" w:rsidP="00A45646">
      <w:pPr>
        <w:pStyle w:val="FootnoteText"/>
        <w:rPr>
          <w:sz w:val="26"/>
          <w:szCs w:val="26"/>
        </w:rPr>
      </w:pPr>
      <w:r w:rsidRPr="00A45646">
        <w:rPr>
          <w:rStyle w:val="FootnoteReference"/>
          <w:sz w:val="26"/>
          <w:szCs w:val="26"/>
        </w:rPr>
        <w:footnoteRef/>
      </w:r>
      <w:r w:rsidRPr="00A45646">
        <w:rPr>
          <w:sz w:val="26"/>
          <w:szCs w:val="26"/>
        </w:rPr>
        <w:t xml:space="preserve"> </w:t>
      </w:r>
      <w:r w:rsidR="00874923" w:rsidRPr="00A45646">
        <w:rPr>
          <w:i/>
          <w:iCs/>
          <w:sz w:val="26"/>
          <w:szCs w:val="26"/>
        </w:rPr>
        <w:t>Id.</w:t>
      </w:r>
      <w:r w:rsidRPr="00A45646">
        <w:rPr>
          <w:sz w:val="26"/>
          <w:szCs w:val="26"/>
        </w:rPr>
        <w:t xml:space="preserve"> at 1-4.</w:t>
      </w:r>
    </w:p>
  </w:footnote>
  <w:footnote w:id="21">
    <w:p w14:paraId="6570DC1B" w14:textId="1C409AD5" w:rsidR="00A5624C" w:rsidRPr="00A45646" w:rsidRDefault="00A5624C" w:rsidP="00A45646">
      <w:pPr>
        <w:pStyle w:val="FootnoteText"/>
        <w:rPr>
          <w:sz w:val="26"/>
          <w:szCs w:val="26"/>
        </w:rPr>
      </w:pPr>
      <w:r w:rsidRPr="00A45646">
        <w:rPr>
          <w:rStyle w:val="FootnoteReference"/>
          <w:sz w:val="26"/>
          <w:szCs w:val="26"/>
        </w:rPr>
        <w:footnoteRef/>
      </w:r>
      <w:r w:rsidRPr="00A45646">
        <w:rPr>
          <w:sz w:val="26"/>
          <w:szCs w:val="26"/>
        </w:rPr>
        <w:t xml:space="preserve"> </w:t>
      </w:r>
      <w:r w:rsidR="00F639AA" w:rsidRPr="00D72E0F">
        <w:rPr>
          <w:i/>
          <w:iCs/>
          <w:sz w:val="26"/>
          <w:szCs w:val="26"/>
        </w:rPr>
        <w:t>Id.</w:t>
      </w:r>
      <w:r w:rsidR="009D5103" w:rsidRPr="00A45646">
        <w:rPr>
          <w:sz w:val="26"/>
          <w:szCs w:val="26"/>
        </w:rPr>
        <w:t xml:space="preserve"> at 1-4; </w:t>
      </w:r>
      <w:r w:rsidR="00F33351" w:rsidRPr="00A45646">
        <w:rPr>
          <w:sz w:val="26"/>
          <w:szCs w:val="26"/>
        </w:rPr>
        <w:t>D.25-06-045 at 21-22.</w:t>
      </w:r>
    </w:p>
  </w:footnote>
  <w:footnote w:id="22">
    <w:p w14:paraId="00D10E6B" w14:textId="3DB72C3D" w:rsidR="00395D8C" w:rsidRPr="00A45646" w:rsidRDefault="00395D8C" w:rsidP="00A45646">
      <w:pPr>
        <w:pStyle w:val="FootnoteText"/>
        <w:rPr>
          <w:sz w:val="26"/>
          <w:szCs w:val="26"/>
        </w:rPr>
      </w:pPr>
      <w:r w:rsidRPr="00A45646">
        <w:rPr>
          <w:rStyle w:val="FootnoteReference"/>
          <w:sz w:val="26"/>
          <w:szCs w:val="26"/>
        </w:rPr>
        <w:footnoteRef/>
      </w:r>
      <w:r w:rsidRPr="00A45646">
        <w:rPr>
          <w:sz w:val="26"/>
          <w:szCs w:val="26"/>
        </w:rPr>
        <w:t xml:space="preserve"> </w:t>
      </w:r>
      <w:r w:rsidR="00A5624C" w:rsidRPr="00A45646">
        <w:rPr>
          <w:sz w:val="26"/>
          <w:szCs w:val="26"/>
        </w:rPr>
        <w:t>A4NR Rehearing Application at 1-4</w:t>
      </w:r>
    </w:p>
  </w:footnote>
  <w:footnote w:id="23">
    <w:p w14:paraId="6F22CD06" w14:textId="77777777" w:rsidR="00395D8C" w:rsidRPr="00A45646" w:rsidRDefault="00395D8C"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Ibid.</w:t>
      </w:r>
    </w:p>
  </w:footnote>
  <w:footnote w:id="24">
    <w:p w14:paraId="25205B30" w14:textId="77777777" w:rsidR="00395D8C" w:rsidRPr="00A45646" w:rsidRDefault="00395D8C"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Ibid.</w:t>
      </w:r>
    </w:p>
  </w:footnote>
  <w:footnote w:id="25">
    <w:p w14:paraId="65571721" w14:textId="77777777" w:rsidR="00395D8C" w:rsidRPr="00A45646" w:rsidRDefault="00395D8C" w:rsidP="00A45646">
      <w:pPr>
        <w:pStyle w:val="FootnoteText"/>
        <w:rPr>
          <w:sz w:val="26"/>
          <w:szCs w:val="26"/>
        </w:rPr>
      </w:pPr>
      <w:r w:rsidRPr="00A45646">
        <w:rPr>
          <w:rStyle w:val="FootnoteReference"/>
          <w:sz w:val="26"/>
          <w:szCs w:val="26"/>
        </w:rPr>
        <w:footnoteRef/>
      </w:r>
      <w:r w:rsidRPr="00A45646">
        <w:rPr>
          <w:sz w:val="26"/>
          <w:szCs w:val="26"/>
        </w:rPr>
        <w:t xml:space="preserve"> D.25-06-045 at 57.</w:t>
      </w:r>
    </w:p>
  </w:footnote>
  <w:footnote w:id="26">
    <w:p w14:paraId="591F2CE5" w14:textId="77777777" w:rsidR="00395D8C" w:rsidRPr="00A45646" w:rsidRDefault="00395D8C"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 xml:space="preserve">Id. </w:t>
      </w:r>
      <w:r w:rsidRPr="00A45646">
        <w:rPr>
          <w:sz w:val="26"/>
          <w:szCs w:val="26"/>
        </w:rPr>
        <w:t>at 58.</w:t>
      </w:r>
    </w:p>
  </w:footnote>
  <w:footnote w:id="27">
    <w:p w14:paraId="1C0A3A37" w14:textId="77777777" w:rsidR="00395D8C" w:rsidRPr="00A45646" w:rsidRDefault="00395D8C" w:rsidP="00A45646">
      <w:pPr>
        <w:pStyle w:val="FootnoteText"/>
        <w:rPr>
          <w:sz w:val="26"/>
          <w:szCs w:val="26"/>
        </w:rPr>
      </w:pPr>
      <w:r w:rsidRPr="00A45646">
        <w:rPr>
          <w:rStyle w:val="FootnoteReference"/>
          <w:sz w:val="26"/>
          <w:szCs w:val="26"/>
        </w:rPr>
        <w:footnoteRef/>
      </w:r>
      <w:r w:rsidRPr="00A45646">
        <w:rPr>
          <w:sz w:val="26"/>
          <w:szCs w:val="26"/>
        </w:rPr>
        <w:t xml:space="preserve"> A4NR Rehearing Application at 4.</w:t>
      </w:r>
    </w:p>
  </w:footnote>
  <w:footnote w:id="28">
    <w:p w14:paraId="4F680E78" w14:textId="77777777" w:rsidR="00395D8C" w:rsidRPr="00A45646" w:rsidRDefault="00395D8C" w:rsidP="00A45646">
      <w:pPr>
        <w:pStyle w:val="FootnoteText"/>
        <w:rPr>
          <w:i/>
          <w:iCs/>
          <w:sz w:val="26"/>
          <w:szCs w:val="26"/>
        </w:rPr>
      </w:pPr>
      <w:r w:rsidRPr="00A45646">
        <w:rPr>
          <w:rStyle w:val="FootnoteReference"/>
          <w:sz w:val="26"/>
          <w:szCs w:val="26"/>
        </w:rPr>
        <w:footnoteRef/>
      </w:r>
      <w:r w:rsidRPr="00A45646">
        <w:rPr>
          <w:sz w:val="26"/>
          <w:szCs w:val="26"/>
        </w:rPr>
        <w:t xml:space="preserve"> </w:t>
      </w:r>
      <w:r w:rsidRPr="00A45646">
        <w:rPr>
          <w:i/>
          <w:iCs/>
          <w:sz w:val="26"/>
          <w:szCs w:val="26"/>
        </w:rPr>
        <w:t>Ibid.</w:t>
      </w:r>
    </w:p>
  </w:footnote>
  <w:footnote w:id="29">
    <w:p w14:paraId="4E7E7181" w14:textId="3DC84FDF" w:rsidR="00D3330B" w:rsidRPr="00A45646" w:rsidRDefault="00D3330B" w:rsidP="00A45646">
      <w:pPr>
        <w:pStyle w:val="FootnoteText"/>
        <w:rPr>
          <w:i/>
          <w:iCs/>
          <w:sz w:val="26"/>
          <w:szCs w:val="26"/>
        </w:rPr>
      </w:pPr>
      <w:r w:rsidRPr="00A45646">
        <w:rPr>
          <w:rStyle w:val="FootnoteReference"/>
          <w:sz w:val="26"/>
          <w:szCs w:val="26"/>
        </w:rPr>
        <w:footnoteRef/>
      </w:r>
      <w:r w:rsidRPr="00A45646">
        <w:rPr>
          <w:sz w:val="26"/>
          <w:szCs w:val="26"/>
        </w:rPr>
        <w:t xml:space="preserve"> </w:t>
      </w:r>
      <w:r w:rsidR="005A5517">
        <w:rPr>
          <w:sz w:val="26"/>
          <w:szCs w:val="26"/>
        </w:rPr>
        <w:t xml:space="preserve">See </w:t>
      </w:r>
      <w:r w:rsidR="00063A07" w:rsidRPr="00A45646">
        <w:rPr>
          <w:sz w:val="26"/>
          <w:szCs w:val="26"/>
        </w:rPr>
        <w:t>D.25-06-045 at 21</w:t>
      </w:r>
      <w:r w:rsidR="0026320D" w:rsidRPr="00A45646">
        <w:rPr>
          <w:sz w:val="26"/>
          <w:szCs w:val="26"/>
        </w:rPr>
        <w:t xml:space="preserve">; PG&amp;E Response at </w:t>
      </w:r>
      <w:r w:rsidR="008E6F03" w:rsidRPr="00A45646">
        <w:rPr>
          <w:sz w:val="26"/>
          <w:szCs w:val="26"/>
        </w:rPr>
        <w:t>3</w:t>
      </w:r>
      <w:r w:rsidR="003F12A3" w:rsidRPr="00A45646">
        <w:rPr>
          <w:sz w:val="26"/>
          <w:szCs w:val="26"/>
        </w:rPr>
        <w:t>-4</w:t>
      </w:r>
      <w:r w:rsidR="00063A07" w:rsidRPr="00A45646">
        <w:rPr>
          <w:sz w:val="26"/>
          <w:szCs w:val="26"/>
        </w:rPr>
        <w:t>.</w:t>
      </w:r>
    </w:p>
  </w:footnote>
  <w:footnote w:id="30">
    <w:p w14:paraId="63FF724B" w14:textId="2CF9A3A5" w:rsidR="0049742D" w:rsidRPr="00A45646" w:rsidRDefault="0049742D" w:rsidP="00A45646">
      <w:pPr>
        <w:pStyle w:val="FootnoteText"/>
        <w:rPr>
          <w:sz w:val="26"/>
          <w:szCs w:val="26"/>
        </w:rPr>
      </w:pPr>
      <w:r w:rsidRPr="00A45646">
        <w:rPr>
          <w:rStyle w:val="FootnoteReference"/>
          <w:sz w:val="26"/>
          <w:szCs w:val="26"/>
        </w:rPr>
        <w:footnoteRef/>
      </w:r>
      <w:r w:rsidRPr="00A45646">
        <w:rPr>
          <w:sz w:val="26"/>
          <w:szCs w:val="26"/>
        </w:rPr>
        <w:t xml:space="preserve"> </w:t>
      </w:r>
      <w:r w:rsidR="005A5517">
        <w:rPr>
          <w:sz w:val="26"/>
          <w:szCs w:val="26"/>
        </w:rPr>
        <w:t xml:space="preserve">See </w:t>
      </w:r>
      <w:r w:rsidR="00900223" w:rsidRPr="00A45646">
        <w:rPr>
          <w:sz w:val="26"/>
          <w:szCs w:val="26"/>
        </w:rPr>
        <w:t xml:space="preserve">D.25-06-045 </w:t>
      </w:r>
      <w:r w:rsidR="00EE5DAD" w:rsidRPr="00A45646">
        <w:rPr>
          <w:sz w:val="26"/>
          <w:szCs w:val="26"/>
        </w:rPr>
        <w:t>at 2</w:t>
      </w:r>
      <w:r w:rsidR="00025898" w:rsidRPr="00A45646">
        <w:rPr>
          <w:sz w:val="26"/>
          <w:szCs w:val="26"/>
        </w:rPr>
        <w:t>2</w:t>
      </w:r>
      <w:r w:rsidRPr="00A45646">
        <w:rPr>
          <w:sz w:val="26"/>
          <w:szCs w:val="26"/>
        </w:rPr>
        <w:t>.</w:t>
      </w:r>
    </w:p>
  </w:footnote>
  <w:footnote w:id="31">
    <w:p w14:paraId="2F93138D" w14:textId="74E307C6" w:rsidR="0049742D" w:rsidRPr="00A45646" w:rsidRDefault="0049742D" w:rsidP="00A45646">
      <w:pPr>
        <w:pStyle w:val="FootnoteText"/>
        <w:rPr>
          <w:sz w:val="26"/>
          <w:szCs w:val="26"/>
        </w:rPr>
      </w:pPr>
      <w:r w:rsidRPr="00A45646">
        <w:rPr>
          <w:rStyle w:val="FootnoteReference"/>
          <w:sz w:val="26"/>
          <w:szCs w:val="26"/>
        </w:rPr>
        <w:footnoteRef/>
      </w:r>
      <w:r w:rsidRPr="00A45646">
        <w:rPr>
          <w:sz w:val="26"/>
          <w:szCs w:val="26"/>
        </w:rPr>
        <w:t xml:space="preserve"> </w:t>
      </w:r>
      <w:r w:rsidR="00025898" w:rsidRPr="00A45646">
        <w:rPr>
          <w:i/>
          <w:iCs/>
          <w:sz w:val="26"/>
          <w:szCs w:val="26"/>
        </w:rPr>
        <w:t>Id</w:t>
      </w:r>
      <w:r w:rsidR="005A5517">
        <w:rPr>
          <w:i/>
          <w:iCs/>
          <w:sz w:val="26"/>
          <w:szCs w:val="26"/>
        </w:rPr>
        <w:t>.</w:t>
      </w:r>
      <w:r w:rsidR="00025898" w:rsidRPr="00A45646">
        <w:rPr>
          <w:i/>
          <w:iCs/>
          <w:sz w:val="26"/>
          <w:szCs w:val="26"/>
        </w:rPr>
        <w:t xml:space="preserve"> </w:t>
      </w:r>
      <w:r w:rsidR="00025898" w:rsidRPr="00A45646">
        <w:rPr>
          <w:sz w:val="26"/>
          <w:szCs w:val="26"/>
        </w:rPr>
        <w:t>at 22</w:t>
      </w:r>
      <w:r w:rsidRPr="00A45646">
        <w:rPr>
          <w:sz w:val="26"/>
          <w:szCs w:val="26"/>
        </w:rPr>
        <w:t>.</w:t>
      </w:r>
    </w:p>
  </w:footnote>
  <w:footnote w:id="32">
    <w:p w14:paraId="3861E522" w14:textId="41C86B7A" w:rsidR="0049742D" w:rsidRPr="00A45646" w:rsidRDefault="0049742D" w:rsidP="00A45646">
      <w:pPr>
        <w:pStyle w:val="FootnoteText"/>
        <w:rPr>
          <w:sz w:val="26"/>
          <w:szCs w:val="26"/>
        </w:rPr>
      </w:pPr>
      <w:r w:rsidRPr="00A45646">
        <w:rPr>
          <w:rStyle w:val="FootnoteReference"/>
          <w:sz w:val="26"/>
          <w:szCs w:val="26"/>
        </w:rPr>
        <w:footnoteRef/>
      </w:r>
      <w:r w:rsidRPr="00A45646">
        <w:rPr>
          <w:sz w:val="26"/>
          <w:szCs w:val="26"/>
        </w:rPr>
        <w:t xml:space="preserve"> </w:t>
      </w:r>
      <w:r w:rsidR="00025898" w:rsidRPr="00A45646">
        <w:rPr>
          <w:i/>
          <w:iCs/>
          <w:sz w:val="26"/>
          <w:szCs w:val="26"/>
        </w:rPr>
        <w:t xml:space="preserve">Id. </w:t>
      </w:r>
      <w:r w:rsidR="00025898" w:rsidRPr="00A45646">
        <w:rPr>
          <w:sz w:val="26"/>
          <w:szCs w:val="26"/>
        </w:rPr>
        <w:t>at 21</w:t>
      </w:r>
      <w:r w:rsidRPr="00A45646">
        <w:rPr>
          <w:sz w:val="26"/>
          <w:szCs w:val="26"/>
        </w:rPr>
        <w:t>.</w:t>
      </w:r>
    </w:p>
  </w:footnote>
  <w:footnote w:id="33">
    <w:p w14:paraId="1EA02C2F" w14:textId="5D2C406C" w:rsidR="0049742D" w:rsidRPr="00A45646" w:rsidRDefault="0049742D" w:rsidP="00A45646">
      <w:pPr>
        <w:pStyle w:val="FootnoteText"/>
        <w:rPr>
          <w:sz w:val="26"/>
          <w:szCs w:val="26"/>
        </w:rPr>
      </w:pPr>
      <w:r w:rsidRPr="00A45646">
        <w:rPr>
          <w:rStyle w:val="FootnoteReference"/>
          <w:sz w:val="26"/>
          <w:szCs w:val="26"/>
        </w:rPr>
        <w:footnoteRef/>
      </w:r>
      <w:r w:rsidRPr="00A45646">
        <w:rPr>
          <w:sz w:val="26"/>
          <w:szCs w:val="26"/>
        </w:rPr>
        <w:t xml:space="preserve"> </w:t>
      </w:r>
      <w:r w:rsidR="00025898" w:rsidRPr="00A45646">
        <w:rPr>
          <w:i/>
          <w:iCs/>
          <w:sz w:val="26"/>
          <w:szCs w:val="26"/>
        </w:rPr>
        <w:t>Id.</w:t>
      </w:r>
      <w:r w:rsidRPr="00A45646">
        <w:rPr>
          <w:sz w:val="26"/>
          <w:szCs w:val="26"/>
        </w:rPr>
        <w:t xml:space="preserve"> at 22.</w:t>
      </w:r>
    </w:p>
  </w:footnote>
  <w:footnote w:id="34">
    <w:p w14:paraId="01CBD0F5" w14:textId="77777777" w:rsidR="0049742D" w:rsidRPr="00A45646" w:rsidRDefault="0049742D"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 xml:space="preserve">Id. </w:t>
      </w:r>
      <w:r w:rsidRPr="00A45646">
        <w:rPr>
          <w:sz w:val="26"/>
          <w:szCs w:val="26"/>
        </w:rPr>
        <w:t>at 20.</w:t>
      </w:r>
    </w:p>
  </w:footnote>
  <w:footnote w:id="35">
    <w:p w14:paraId="031BFE3B" w14:textId="77777777" w:rsidR="0049742D" w:rsidRPr="00A45646" w:rsidRDefault="0049742D"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 xml:space="preserve">Id. </w:t>
      </w:r>
      <w:r w:rsidRPr="00A45646">
        <w:rPr>
          <w:sz w:val="26"/>
          <w:szCs w:val="26"/>
        </w:rPr>
        <w:t>at 22.</w:t>
      </w:r>
    </w:p>
  </w:footnote>
  <w:footnote w:id="36">
    <w:p w14:paraId="63F4CBE4" w14:textId="77777777" w:rsidR="0049742D" w:rsidRPr="00A45646" w:rsidRDefault="0049742D"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 xml:space="preserve">Id. </w:t>
      </w:r>
      <w:r w:rsidRPr="00A45646">
        <w:rPr>
          <w:sz w:val="26"/>
          <w:szCs w:val="26"/>
        </w:rPr>
        <w:t>at 24.</w:t>
      </w:r>
    </w:p>
  </w:footnote>
  <w:footnote w:id="37">
    <w:p w14:paraId="21242C6F" w14:textId="73979CA4" w:rsidR="0049742D" w:rsidRPr="00A45646" w:rsidRDefault="0049742D" w:rsidP="00A45646">
      <w:pPr>
        <w:pStyle w:val="FootnoteText"/>
        <w:rPr>
          <w:sz w:val="26"/>
          <w:szCs w:val="26"/>
        </w:rPr>
      </w:pPr>
      <w:r w:rsidRPr="00A45646">
        <w:rPr>
          <w:rStyle w:val="FootnoteReference"/>
          <w:sz w:val="26"/>
          <w:szCs w:val="26"/>
        </w:rPr>
        <w:footnoteRef/>
      </w:r>
      <w:r w:rsidRPr="00A45646">
        <w:rPr>
          <w:sz w:val="26"/>
          <w:szCs w:val="26"/>
        </w:rPr>
        <w:t xml:space="preserve"> </w:t>
      </w:r>
      <w:r w:rsidR="00277EAC" w:rsidRPr="00A45646">
        <w:rPr>
          <w:i/>
          <w:iCs/>
          <w:sz w:val="26"/>
          <w:szCs w:val="26"/>
        </w:rPr>
        <w:t>Id.</w:t>
      </w:r>
      <w:r w:rsidRPr="00A45646">
        <w:rPr>
          <w:sz w:val="26"/>
          <w:szCs w:val="26"/>
        </w:rPr>
        <w:t xml:space="preserve"> at 22.</w:t>
      </w:r>
    </w:p>
  </w:footnote>
  <w:footnote w:id="38">
    <w:p w14:paraId="03C96669" w14:textId="4A7FBD37" w:rsidR="0049742D" w:rsidRPr="00A45646" w:rsidRDefault="0049742D" w:rsidP="00A45646">
      <w:pPr>
        <w:pStyle w:val="FootnoteText"/>
        <w:rPr>
          <w:sz w:val="26"/>
          <w:szCs w:val="26"/>
        </w:rPr>
      </w:pPr>
      <w:r w:rsidRPr="00A45646">
        <w:rPr>
          <w:rStyle w:val="FootnoteReference"/>
          <w:sz w:val="26"/>
          <w:szCs w:val="26"/>
        </w:rPr>
        <w:footnoteRef/>
      </w:r>
      <w:r w:rsidRPr="00A45646">
        <w:rPr>
          <w:sz w:val="26"/>
          <w:szCs w:val="26"/>
        </w:rPr>
        <w:t xml:space="preserve"> </w:t>
      </w:r>
      <w:r w:rsidR="00277EAC" w:rsidRPr="00A45646">
        <w:rPr>
          <w:i/>
          <w:iCs/>
          <w:color w:val="000000" w:themeColor="text1"/>
          <w:sz w:val="26"/>
          <w:szCs w:val="26"/>
        </w:rPr>
        <w:t>Id.</w:t>
      </w:r>
      <w:r w:rsidRPr="00A45646">
        <w:rPr>
          <w:sz w:val="26"/>
          <w:szCs w:val="26"/>
        </w:rPr>
        <w:t xml:space="preserve"> at 23.</w:t>
      </w:r>
    </w:p>
  </w:footnote>
  <w:footnote w:id="39">
    <w:p w14:paraId="6EE0DFC3" w14:textId="70AC6295" w:rsidR="0049742D" w:rsidRPr="00A45646" w:rsidRDefault="0049742D" w:rsidP="00A45646">
      <w:pPr>
        <w:pStyle w:val="FootnoteText"/>
        <w:rPr>
          <w:sz w:val="26"/>
          <w:szCs w:val="26"/>
        </w:rPr>
      </w:pPr>
      <w:r w:rsidRPr="00A45646">
        <w:rPr>
          <w:rStyle w:val="FootnoteReference"/>
          <w:sz w:val="26"/>
          <w:szCs w:val="26"/>
        </w:rPr>
        <w:footnoteRef/>
      </w:r>
      <w:r w:rsidRPr="00A45646">
        <w:rPr>
          <w:sz w:val="26"/>
          <w:szCs w:val="26"/>
        </w:rPr>
        <w:t xml:space="preserve"> </w:t>
      </w:r>
      <w:r w:rsidR="00CF1981" w:rsidRPr="00A45646">
        <w:rPr>
          <w:i/>
          <w:iCs/>
          <w:sz w:val="26"/>
          <w:szCs w:val="26"/>
        </w:rPr>
        <w:t>Id.</w:t>
      </w:r>
      <w:r w:rsidRPr="00A45646">
        <w:rPr>
          <w:sz w:val="26"/>
          <w:szCs w:val="26"/>
        </w:rPr>
        <w:t xml:space="preserve"> at 20.</w:t>
      </w:r>
    </w:p>
  </w:footnote>
  <w:footnote w:id="40">
    <w:p w14:paraId="43F5245D" w14:textId="77777777" w:rsidR="0049742D" w:rsidRPr="00A45646" w:rsidRDefault="0049742D"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 xml:space="preserve">Id. </w:t>
      </w:r>
      <w:r w:rsidRPr="00A45646">
        <w:rPr>
          <w:sz w:val="26"/>
          <w:szCs w:val="26"/>
        </w:rPr>
        <w:t>at 23.</w:t>
      </w:r>
    </w:p>
  </w:footnote>
  <w:footnote w:id="41">
    <w:p w14:paraId="5D4E333E" w14:textId="4824B057" w:rsidR="000F3FE3" w:rsidRPr="00A45646" w:rsidRDefault="000F3FE3" w:rsidP="00A45646">
      <w:pPr>
        <w:pStyle w:val="FootnoteText"/>
        <w:rPr>
          <w:color w:val="000000" w:themeColor="text1"/>
          <w:sz w:val="26"/>
          <w:szCs w:val="26"/>
        </w:rPr>
      </w:pPr>
      <w:r w:rsidRPr="00A45646">
        <w:rPr>
          <w:rStyle w:val="FootnoteReference"/>
          <w:color w:val="000000" w:themeColor="text1"/>
          <w:sz w:val="26"/>
          <w:szCs w:val="26"/>
        </w:rPr>
        <w:footnoteRef/>
      </w:r>
      <w:r w:rsidRPr="00A45646">
        <w:rPr>
          <w:color w:val="000000" w:themeColor="text1"/>
          <w:sz w:val="26"/>
          <w:szCs w:val="26"/>
        </w:rPr>
        <w:t xml:space="preserve"> </w:t>
      </w:r>
      <w:r w:rsidR="00770C27" w:rsidRPr="00A45646">
        <w:rPr>
          <w:color w:val="000000" w:themeColor="text1"/>
          <w:sz w:val="26"/>
          <w:szCs w:val="26"/>
        </w:rPr>
        <w:t xml:space="preserve">See </w:t>
      </w:r>
      <w:r w:rsidR="007C66A5" w:rsidRPr="00A45646">
        <w:rPr>
          <w:color w:val="000000" w:themeColor="text1"/>
          <w:sz w:val="26"/>
          <w:szCs w:val="26"/>
        </w:rPr>
        <w:t>PG&amp;E Response at 5.</w:t>
      </w:r>
    </w:p>
  </w:footnote>
  <w:footnote w:id="42">
    <w:p w14:paraId="1C10CC8F" w14:textId="2141E5BB" w:rsidR="000F3FE3" w:rsidRPr="00A45646" w:rsidRDefault="000F3FE3" w:rsidP="00A45646">
      <w:pPr>
        <w:spacing w:after="120" w:line="240" w:lineRule="exact"/>
        <w:rPr>
          <w:color w:val="000000" w:themeColor="text1"/>
          <w:szCs w:val="26"/>
        </w:rPr>
      </w:pPr>
      <w:r w:rsidRPr="00A45646">
        <w:rPr>
          <w:rStyle w:val="FootnoteReference"/>
          <w:color w:val="000000" w:themeColor="text1"/>
          <w:sz w:val="26"/>
          <w:szCs w:val="26"/>
        </w:rPr>
        <w:footnoteRef/>
      </w:r>
      <w:r w:rsidR="00770C27" w:rsidRPr="00A45646">
        <w:rPr>
          <w:i/>
          <w:iCs/>
          <w:color w:val="000000" w:themeColor="text1"/>
          <w:szCs w:val="26"/>
        </w:rPr>
        <w:t xml:space="preserve"> See</w:t>
      </w:r>
      <w:r w:rsidRPr="00A45646">
        <w:rPr>
          <w:i/>
          <w:iCs/>
          <w:color w:val="000000" w:themeColor="text1"/>
          <w:szCs w:val="26"/>
        </w:rPr>
        <w:t xml:space="preserve"> </w:t>
      </w:r>
      <w:r w:rsidR="00770C27" w:rsidRPr="00A45646">
        <w:rPr>
          <w:i/>
          <w:iCs/>
          <w:color w:val="000000" w:themeColor="text1"/>
          <w:szCs w:val="26"/>
        </w:rPr>
        <w:t>i</w:t>
      </w:r>
      <w:r w:rsidRPr="00A45646">
        <w:rPr>
          <w:i/>
          <w:iCs/>
          <w:color w:val="000000" w:themeColor="text1"/>
          <w:szCs w:val="26"/>
        </w:rPr>
        <w:t>bid.</w:t>
      </w:r>
    </w:p>
  </w:footnote>
  <w:footnote w:id="43">
    <w:p w14:paraId="4B84472A" w14:textId="4309469F" w:rsidR="000F3FE3" w:rsidRPr="00A45646" w:rsidRDefault="000F3FE3" w:rsidP="00A45646">
      <w:pPr>
        <w:spacing w:after="120" w:line="240" w:lineRule="exact"/>
        <w:rPr>
          <w:i/>
          <w:iCs/>
          <w:color w:val="000000" w:themeColor="text1"/>
          <w:szCs w:val="26"/>
        </w:rPr>
      </w:pPr>
      <w:r w:rsidRPr="00A45646">
        <w:rPr>
          <w:rStyle w:val="FootnoteReference"/>
          <w:color w:val="000000" w:themeColor="text1"/>
          <w:sz w:val="26"/>
          <w:szCs w:val="26"/>
        </w:rPr>
        <w:footnoteRef/>
      </w:r>
      <w:r w:rsidR="00E8723C" w:rsidRPr="00A45646">
        <w:rPr>
          <w:i/>
          <w:iCs/>
          <w:color w:val="000000" w:themeColor="text1"/>
          <w:szCs w:val="26"/>
        </w:rPr>
        <w:t xml:space="preserve"> </w:t>
      </w:r>
      <w:r w:rsidR="00770C27" w:rsidRPr="00A45646">
        <w:rPr>
          <w:i/>
          <w:iCs/>
          <w:color w:val="000000" w:themeColor="text1"/>
          <w:szCs w:val="26"/>
        </w:rPr>
        <w:t>See i</w:t>
      </w:r>
      <w:r w:rsidR="00E8723C" w:rsidRPr="00A45646">
        <w:rPr>
          <w:i/>
          <w:iCs/>
          <w:color w:val="000000" w:themeColor="text1"/>
          <w:szCs w:val="26"/>
        </w:rPr>
        <w:t>bid.</w:t>
      </w:r>
    </w:p>
  </w:footnote>
  <w:footnote w:id="44">
    <w:p w14:paraId="2CAAFF75" w14:textId="77777777" w:rsidR="000F3FE3" w:rsidRPr="00A45646" w:rsidRDefault="000F3FE3" w:rsidP="00A45646">
      <w:pPr>
        <w:pStyle w:val="FootnoteText"/>
        <w:rPr>
          <w:sz w:val="26"/>
          <w:szCs w:val="26"/>
        </w:rPr>
      </w:pPr>
      <w:r w:rsidRPr="00A45646">
        <w:rPr>
          <w:rStyle w:val="FootnoteReference"/>
          <w:sz w:val="26"/>
          <w:szCs w:val="26"/>
        </w:rPr>
        <w:footnoteRef/>
      </w:r>
      <w:r w:rsidRPr="00A45646">
        <w:rPr>
          <w:sz w:val="26"/>
          <w:szCs w:val="26"/>
        </w:rPr>
        <w:t xml:space="preserve"> D.25-06-045 at 15.</w:t>
      </w:r>
    </w:p>
  </w:footnote>
  <w:footnote w:id="45">
    <w:p w14:paraId="3717063E" w14:textId="77777777" w:rsidR="000F3FE3" w:rsidRPr="00A45646" w:rsidRDefault="000F3FE3"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 xml:space="preserve">Id. </w:t>
      </w:r>
      <w:r w:rsidRPr="00A45646">
        <w:rPr>
          <w:sz w:val="26"/>
          <w:szCs w:val="26"/>
        </w:rPr>
        <w:t>at 16.</w:t>
      </w:r>
    </w:p>
  </w:footnote>
  <w:footnote w:id="46">
    <w:p w14:paraId="09575118" w14:textId="49FD8D48" w:rsidR="000F3FE3" w:rsidRPr="00A45646" w:rsidRDefault="000F3FE3" w:rsidP="00A45646">
      <w:pPr>
        <w:pStyle w:val="FootnoteText"/>
        <w:rPr>
          <w:sz w:val="26"/>
          <w:szCs w:val="26"/>
        </w:rPr>
      </w:pPr>
      <w:r w:rsidRPr="00A45646">
        <w:rPr>
          <w:rStyle w:val="FootnoteReference"/>
          <w:sz w:val="26"/>
          <w:szCs w:val="26"/>
        </w:rPr>
        <w:footnoteRef/>
      </w:r>
      <w:r w:rsidRPr="00A45646">
        <w:rPr>
          <w:sz w:val="26"/>
          <w:szCs w:val="26"/>
        </w:rPr>
        <w:t xml:space="preserve"> </w:t>
      </w:r>
      <w:r w:rsidRPr="00A45646">
        <w:rPr>
          <w:i/>
          <w:iCs/>
          <w:sz w:val="26"/>
          <w:szCs w:val="26"/>
        </w:rPr>
        <w:t>Ibid</w:t>
      </w:r>
      <w:r w:rsidR="005A5517">
        <w:rPr>
          <w:i/>
          <w:iCs/>
          <w:sz w:val="26"/>
          <w:szCs w:val="26"/>
        </w:rPr>
        <w:t>.</w:t>
      </w:r>
      <w:r w:rsidRPr="00A45646">
        <w:rPr>
          <w:i/>
          <w:iCs/>
          <w:sz w:val="26"/>
          <w:szCs w:val="26"/>
        </w:rPr>
        <w:t xml:space="preserve">; </w:t>
      </w:r>
      <w:r w:rsidRPr="00A45646">
        <w:rPr>
          <w:sz w:val="26"/>
          <w:szCs w:val="26"/>
        </w:rPr>
        <w:t>D.16-04-005 at 31-32.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FF3F" w14:textId="77777777" w:rsidR="00724927" w:rsidRDefault="00724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4240" w14:textId="69CC1193" w:rsidR="00020AE0" w:rsidRDefault="00E1344E">
    <w:pPr>
      <w:pStyle w:val="Header"/>
    </w:pPr>
    <w:r>
      <w:t>A.22-02-015</w:t>
    </w:r>
    <w:r w:rsidR="00020AE0">
      <w:t xml:space="preserve"> </w:t>
    </w:r>
    <w:r w:rsidR="00020AE0">
      <w:tab/>
    </w:r>
    <w:r w:rsidR="00E820BC">
      <w:t>L/</w:t>
    </w:r>
    <w:proofErr w:type="spellStart"/>
    <w:r w:rsidR="00DC1656">
      <w:t>rga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306C" w14:textId="4BE7246C" w:rsidR="00BD20FD" w:rsidRPr="00BD20FD" w:rsidRDefault="00BD20FD" w:rsidP="00BD20FD">
    <w:pPr>
      <w:pStyle w:val="Header"/>
      <w:rPr>
        <w:b/>
        <w:bCs/>
        <w:szCs w:val="26"/>
      </w:rPr>
    </w:pPr>
    <w:r w:rsidRPr="00BD20FD">
      <w:rPr>
        <w:szCs w:val="26"/>
      </w:rPr>
      <w:t>L/</w:t>
    </w:r>
    <w:proofErr w:type="spellStart"/>
    <w:r w:rsidRPr="00BD20FD">
      <w:rPr>
        <w:szCs w:val="26"/>
      </w:rPr>
      <w:t>rga</w:t>
    </w:r>
    <w:proofErr w:type="spellEnd"/>
    <w:r w:rsidRPr="00BD20FD">
      <w:rPr>
        <w:szCs w:val="26"/>
      </w:rPr>
      <w:tab/>
    </w:r>
    <w:r w:rsidRPr="00BD20FD">
      <w:rPr>
        <w:szCs w:val="26"/>
      </w:rPr>
      <w:tab/>
    </w:r>
    <w:r w:rsidRPr="00BD20FD">
      <w:rPr>
        <w:b/>
        <w:bCs/>
        <w:szCs w:val="26"/>
      </w:rPr>
      <w:t>Date of Issuance</w:t>
    </w:r>
  </w:p>
  <w:p w14:paraId="77904F43" w14:textId="0049218F" w:rsidR="00BD20FD" w:rsidRPr="009A6F29" w:rsidRDefault="00BD20FD" w:rsidP="00BD20FD">
    <w:pPr>
      <w:pStyle w:val="Header"/>
      <w:rPr>
        <w:b/>
        <w:bCs/>
        <w:szCs w:val="26"/>
      </w:rPr>
    </w:pPr>
    <w:r w:rsidRPr="00BD20FD">
      <w:rPr>
        <w:b/>
        <w:bCs/>
        <w:szCs w:val="26"/>
      </w:rPr>
      <w:tab/>
    </w:r>
    <w:r w:rsidRPr="00BD20FD">
      <w:rPr>
        <w:b/>
        <w:bCs/>
        <w:szCs w:val="26"/>
      </w:rPr>
      <w:tab/>
      <w:t>July 3, 2026</w:t>
    </w:r>
  </w:p>
  <w:p w14:paraId="47D2632C" w14:textId="6B0DF984" w:rsidR="00020AE0" w:rsidRPr="00BD20FD" w:rsidRDefault="00020AE0" w:rsidP="00BD2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CD884F2"/>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rPr>
        <w:b/>
        <w:bCs w:val="0"/>
      </w:r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FFFFFFFE"/>
    <w:multiLevelType w:val="singleLevel"/>
    <w:tmpl w:val="FEBAD71E"/>
    <w:lvl w:ilvl="0">
      <w:numFmt w:val="decimal"/>
      <w:lvlText w:val="*"/>
      <w:lvlJc w:val="left"/>
    </w:lvl>
  </w:abstractNum>
  <w:abstractNum w:abstractNumId="2" w15:restartNumberingAfterBreak="0">
    <w:nsid w:val="1AFB56D2"/>
    <w:multiLevelType w:val="hybridMultilevel"/>
    <w:tmpl w:val="B082DA3E"/>
    <w:lvl w:ilvl="0" w:tplc="135E67DA">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1A357B"/>
    <w:multiLevelType w:val="singleLevel"/>
    <w:tmpl w:val="DEA4D04C"/>
    <w:lvl w:ilvl="0">
      <w:start w:val="1"/>
      <w:numFmt w:val="decimal"/>
      <w:lvlText w:val="%1."/>
      <w:legacy w:legacy="1" w:legacySpace="0" w:legacyIndent="360"/>
      <w:lvlJc w:val="left"/>
      <w:pPr>
        <w:ind w:left="1080" w:hanging="360"/>
      </w:pPr>
    </w:lvl>
  </w:abstractNum>
  <w:abstractNum w:abstractNumId="4" w15:restartNumberingAfterBreak="0">
    <w:nsid w:val="3E586E30"/>
    <w:multiLevelType w:val="hybridMultilevel"/>
    <w:tmpl w:val="D6D436C0"/>
    <w:lvl w:ilvl="0" w:tplc="54BC44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42B1E00"/>
    <w:multiLevelType w:val="hybridMultilevel"/>
    <w:tmpl w:val="46CC8FB8"/>
    <w:lvl w:ilvl="0" w:tplc="544AF85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F668DA"/>
    <w:multiLevelType w:val="hybridMultilevel"/>
    <w:tmpl w:val="602022B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57265939">
    <w:abstractNumId w:val="0"/>
  </w:num>
  <w:num w:numId="2" w16cid:durableId="2015916281">
    <w:abstractNumId w:val="1"/>
    <w:lvlOverride w:ilvl="0">
      <w:lvl w:ilvl="0">
        <w:start w:val="1"/>
        <w:numFmt w:val="bullet"/>
        <w:lvlText w:val=""/>
        <w:legacy w:legacy="1" w:legacySpace="0" w:legacyIndent="360"/>
        <w:lvlJc w:val="left"/>
        <w:pPr>
          <w:ind w:left="360" w:hanging="360"/>
        </w:pPr>
        <w:rPr>
          <w:rFonts w:ascii="Courier New" w:hAnsi="Courier New" w:hint="default"/>
        </w:rPr>
      </w:lvl>
    </w:lvlOverride>
  </w:num>
  <w:num w:numId="3" w16cid:durableId="1358963965">
    <w:abstractNumId w:val="3"/>
  </w:num>
  <w:num w:numId="4" w16cid:durableId="128285685">
    <w:abstractNumId w:val="6"/>
  </w:num>
  <w:num w:numId="5" w16cid:durableId="711078755">
    <w:abstractNumId w:val="5"/>
  </w:num>
  <w:num w:numId="6" w16cid:durableId="962006567">
    <w:abstractNumId w:val="4"/>
  </w:num>
  <w:num w:numId="7" w16cid:durableId="1253245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D6"/>
    <w:rsid w:val="000169EF"/>
    <w:rsid w:val="00020AE0"/>
    <w:rsid w:val="00020C11"/>
    <w:rsid w:val="00022637"/>
    <w:rsid w:val="0002428A"/>
    <w:rsid w:val="00025898"/>
    <w:rsid w:val="000426D3"/>
    <w:rsid w:val="00063A07"/>
    <w:rsid w:val="00070C5C"/>
    <w:rsid w:val="000741C6"/>
    <w:rsid w:val="000826A0"/>
    <w:rsid w:val="000B233E"/>
    <w:rsid w:val="000E3841"/>
    <w:rsid w:val="000F06D0"/>
    <w:rsid w:val="000F3FE3"/>
    <w:rsid w:val="000F4F2D"/>
    <w:rsid w:val="001622D6"/>
    <w:rsid w:val="00183914"/>
    <w:rsid w:val="001A5048"/>
    <w:rsid w:val="001A7AB3"/>
    <w:rsid w:val="001C357E"/>
    <w:rsid w:val="001D7479"/>
    <w:rsid w:val="001E3DB3"/>
    <w:rsid w:val="001E7EFF"/>
    <w:rsid w:val="001F1DB8"/>
    <w:rsid w:val="002147DA"/>
    <w:rsid w:val="00231959"/>
    <w:rsid w:val="002372FA"/>
    <w:rsid w:val="0026320D"/>
    <w:rsid w:val="00270482"/>
    <w:rsid w:val="002710AC"/>
    <w:rsid w:val="00272FB6"/>
    <w:rsid w:val="00277EAC"/>
    <w:rsid w:val="00280EDC"/>
    <w:rsid w:val="00291772"/>
    <w:rsid w:val="002A2959"/>
    <w:rsid w:val="002A53B0"/>
    <w:rsid w:val="002C02D3"/>
    <w:rsid w:val="002C0BBD"/>
    <w:rsid w:val="002D3FFC"/>
    <w:rsid w:val="002F08C8"/>
    <w:rsid w:val="002F0D7F"/>
    <w:rsid w:val="003008E6"/>
    <w:rsid w:val="003077E4"/>
    <w:rsid w:val="0032187D"/>
    <w:rsid w:val="00323E44"/>
    <w:rsid w:val="00332256"/>
    <w:rsid w:val="00335FE4"/>
    <w:rsid w:val="00342073"/>
    <w:rsid w:val="0035715F"/>
    <w:rsid w:val="00365ABD"/>
    <w:rsid w:val="00373C38"/>
    <w:rsid w:val="0037467B"/>
    <w:rsid w:val="00374F5C"/>
    <w:rsid w:val="00377813"/>
    <w:rsid w:val="00394019"/>
    <w:rsid w:val="0039580A"/>
    <w:rsid w:val="00395D8C"/>
    <w:rsid w:val="00397DCC"/>
    <w:rsid w:val="003C0982"/>
    <w:rsid w:val="003C17F7"/>
    <w:rsid w:val="003C4443"/>
    <w:rsid w:val="003D2D5F"/>
    <w:rsid w:val="003F12A3"/>
    <w:rsid w:val="00400613"/>
    <w:rsid w:val="0041723E"/>
    <w:rsid w:val="004335BE"/>
    <w:rsid w:val="00433717"/>
    <w:rsid w:val="004536C0"/>
    <w:rsid w:val="004665B7"/>
    <w:rsid w:val="00494597"/>
    <w:rsid w:val="0049742D"/>
    <w:rsid w:val="004C19A4"/>
    <w:rsid w:val="004C5D8F"/>
    <w:rsid w:val="004D0B97"/>
    <w:rsid w:val="004E7156"/>
    <w:rsid w:val="00502A94"/>
    <w:rsid w:val="0053145C"/>
    <w:rsid w:val="00537F87"/>
    <w:rsid w:val="005666AF"/>
    <w:rsid w:val="00573758"/>
    <w:rsid w:val="005771F4"/>
    <w:rsid w:val="005866E0"/>
    <w:rsid w:val="00594C84"/>
    <w:rsid w:val="005A5517"/>
    <w:rsid w:val="005B59E1"/>
    <w:rsid w:val="005C2528"/>
    <w:rsid w:val="005D064B"/>
    <w:rsid w:val="005F79E5"/>
    <w:rsid w:val="006031B4"/>
    <w:rsid w:val="00617C54"/>
    <w:rsid w:val="006340A3"/>
    <w:rsid w:val="00641523"/>
    <w:rsid w:val="00656EC0"/>
    <w:rsid w:val="00657BB5"/>
    <w:rsid w:val="006641E3"/>
    <w:rsid w:val="00685DE9"/>
    <w:rsid w:val="006A6D2C"/>
    <w:rsid w:val="006D3E6D"/>
    <w:rsid w:val="006E7306"/>
    <w:rsid w:val="00707BAF"/>
    <w:rsid w:val="00714A1A"/>
    <w:rsid w:val="00714B90"/>
    <w:rsid w:val="00724927"/>
    <w:rsid w:val="00725904"/>
    <w:rsid w:val="00743C03"/>
    <w:rsid w:val="00770C27"/>
    <w:rsid w:val="0078207B"/>
    <w:rsid w:val="00784DFC"/>
    <w:rsid w:val="007A55B4"/>
    <w:rsid w:val="007B17FB"/>
    <w:rsid w:val="007C4025"/>
    <w:rsid w:val="007C66A5"/>
    <w:rsid w:val="007E14C9"/>
    <w:rsid w:val="007E4FEF"/>
    <w:rsid w:val="007F79A6"/>
    <w:rsid w:val="008023EF"/>
    <w:rsid w:val="0083307F"/>
    <w:rsid w:val="00833D2E"/>
    <w:rsid w:val="00874923"/>
    <w:rsid w:val="0088770D"/>
    <w:rsid w:val="008918BB"/>
    <w:rsid w:val="00892E85"/>
    <w:rsid w:val="008A2CA0"/>
    <w:rsid w:val="008A4346"/>
    <w:rsid w:val="008E246A"/>
    <w:rsid w:val="008E5A08"/>
    <w:rsid w:val="008E654B"/>
    <w:rsid w:val="008E6F03"/>
    <w:rsid w:val="008F1BED"/>
    <w:rsid w:val="00900223"/>
    <w:rsid w:val="009024C5"/>
    <w:rsid w:val="00922670"/>
    <w:rsid w:val="009260F0"/>
    <w:rsid w:val="00931483"/>
    <w:rsid w:val="00957905"/>
    <w:rsid w:val="00991B8A"/>
    <w:rsid w:val="009A09E6"/>
    <w:rsid w:val="009A4780"/>
    <w:rsid w:val="009B22BA"/>
    <w:rsid w:val="009B3A0D"/>
    <w:rsid w:val="009D5103"/>
    <w:rsid w:val="009E495A"/>
    <w:rsid w:val="009E4C8E"/>
    <w:rsid w:val="00A15D6F"/>
    <w:rsid w:val="00A33D2E"/>
    <w:rsid w:val="00A37067"/>
    <w:rsid w:val="00A45646"/>
    <w:rsid w:val="00A5624C"/>
    <w:rsid w:val="00A61CF3"/>
    <w:rsid w:val="00A76CA2"/>
    <w:rsid w:val="00A87077"/>
    <w:rsid w:val="00AA4455"/>
    <w:rsid w:val="00AB52DD"/>
    <w:rsid w:val="00AB73C7"/>
    <w:rsid w:val="00AC340E"/>
    <w:rsid w:val="00AC7866"/>
    <w:rsid w:val="00B00C54"/>
    <w:rsid w:val="00B22A00"/>
    <w:rsid w:val="00B22FAC"/>
    <w:rsid w:val="00B3636B"/>
    <w:rsid w:val="00B42CD4"/>
    <w:rsid w:val="00B86EDD"/>
    <w:rsid w:val="00BB4614"/>
    <w:rsid w:val="00BD20FD"/>
    <w:rsid w:val="00BE1BCB"/>
    <w:rsid w:val="00BE4198"/>
    <w:rsid w:val="00BE59CE"/>
    <w:rsid w:val="00BE775F"/>
    <w:rsid w:val="00BF147E"/>
    <w:rsid w:val="00BF15C5"/>
    <w:rsid w:val="00BF76A6"/>
    <w:rsid w:val="00C0085B"/>
    <w:rsid w:val="00C00EF7"/>
    <w:rsid w:val="00C01D2F"/>
    <w:rsid w:val="00C055CD"/>
    <w:rsid w:val="00C20D9E"/>
    <w:rsid w:val="00C2437B"/>
    <w:rsid w:val="00C3521D"/>
    <w:rsid w:val="00C50CD6"/>
    <w:rsid w:val="00C86A8E"/>
    <w:rsid w:val="00C90118"/>
    <w:rsid w:val="00C903DF"/>
    <w:rsid w:val="00C90508"/>
    <w:rsid w:val="00CA06EB"/>
    <w:rsid w:val="00CA4AA1"/>
    <w:rsid w:val="00CA50F6"/>
    <w:rsid w:val="00CB6208"/>
    <w:rsid w:val="00CD11AA"/>
    <w:rsid w:val="00CE0DBF"/>
    <w:rsid w:val="00CF1981"/>
    <w:rsid w:val="00D24170"/>
    <w:rsid w:val="00D3330B"/>
    <w:rsid w:val="00D72E0F"/>
    <w:rsid w:val="00D7592C"/>
    <w:rsid w:val="00D75989"/>
    <w:rsid w:val="00D82BF0"/>
    <w:rsid w:val="00D85CFF"/>
    <w:rsid w:val="00DA199D"/>
    <w:rsid w:val="00DA4759"/>
    <w:rsid w:val="00DC1656"/>
    <w:rsid w:val="00DC3854"/>
    <w:rsid w:val="00E05068"/>
    <w:rsid w:val="00E1344E"/>
    <w:rsid w:val="00E13DCA"/>
    <w:rsid w:val="00E16301"/>
    <w:rsid w:val="00E228CA"/>
    <w:rsid w:val="00E23736"/>
    <w:rsid w:val="00E255A9"/>
    <w:rsid w:val="00E2663A"/>
    <w:rsid w:val="00E26D53"/>
    <w:rsid w:val="00E32E85"/>
    <w:rsid w:val="00E444F7"/>
    <w:rsid w:val="00E73CE1"/>
    <w:rsid w:val="00E74F6D"/>
    <w:rsid w:val="00E820BC"/>
    <w:rsid w:val="00E8723C"/>
    <w:rsid w:val="00E87BC4"/>
    <w:rsid w:val="00EA1F51"/>
    <w:rsid w:val="00EC5856"/>
    <w:rsid w:val="00EE07A4"/>
    <w:rsid w:val="00EE5DAD"/>
    <w:rsid w:val="00EF254E"/>
    <w:rsid w:val="00EF36AB"/>
    <w:rsid w:val="00EF711E"/>
    <w:rsid w:val="00F03BC1"/>
    <w:rsid w:val="00F0705C"/>
    <w:rsid w:val="00F07B90"/>
    <w:rsid w:val="00F216E9"/>
    <w:rsid w:val="00F25790"/>
    <w:rsid w:val="00F33351"/>
    <w:rsid w:val="00F53857"/>
    <w:rsid w:val="00F639AA"/>
    <w:rsid w:val="00F76329"/>
    <w:rsid w:val="00F7712C"/>
    <w:rsid w:val="00FA590C"/>
    <w:rsid w:val="00FE6496"/>
    <w:rsid w:val="00FF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41B1A"/>
  <w15:chartTrackingRefBased/>
  <w15:docId w15:val="{CD934212-B777-4A71-8B0E-56AD505D3F8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right" w:pos="5040"/>
      </w:tabs>
      <w:overflowPunct w:val="0"/>
      <w:autoSpaceDE w:val="0"/>
      <w:autoSpaceDN w:val="0"/>
      <w:adjustRightInd w:val="0"/>
      <w:textAlignment w:val="baseline"/>
    </w:pPr>
    <w:rPr>
      <w:sz w:val="26"/>
    </w:rPr>
  </w:style>
  <w:style w:type="paragraph" w:styleId="Heading1">
    <w:name w:val="heading 1"/>
    <w:basedOn w:val="BodyText"/>
    <w:next w:val="BodyText"/>
    <w:qFormat/>
    <w:pPr>
      <w:keepNext/>
      <w:keepLines/>
      <w:numPr>
        <w:numId w:val="1"/>
      </w:numPr>
      <w:spacing w:before="120" w:after="120" w:line="240" w:lineRule="auto"/>
      <w:ind w:right="720"/>
      <w:outlineLvl w:val="0"/>
    </w:pPr>
    <w:rPr>
      <w:b/>
      <w:kern w:val="28"/>
    </w:rPr>
  </w:style>
  <w:style w:type="paragraph" w:styleId="Heading2">
    <w:name w:val="heading 2"/>
    <w:basedOn w:val="BodyText"/>
    <w:next w:val="BodyText"/>
    <w:qFormat/>
    <w:rsid w:val="00FF0934"/>
    <w:pPr>
      <w:keepNext/>
      <w:numPr>
        <w:ilvl w:val="1"/>
        <w:numId w:val="1"/>
      </w:numPr>
      <w:spacing w:before="120" w:after="120" w:line="240" w:lineRule="auto"/>
      <w:ind w:right="720"/>
      <w:outlineLvl w:val="1"/>
    </w:pPr>
    <w:rPr>
      <w:b/>
    </w:rPr>
  </w:style>
  <w:style w:type="paragraph" w:styleId="Heading3">
    <w:name w:val="heading 3"/>
    <w:basedOn w:val="BodyText"/>
    <w:next w:val="BodyText"/>
    <w:qFormat/>
    <w:rsid w:val="00FF0934"/>
    <w:pPr>
      <w:keepNext/>
      <w:numPr>
        <w:ilvl w:val="2"/>
        <w:numId w:val="1"/>
      </w:numPr>
      <w:spacing w:before="120" w:after="120" w:line="240" w:lineRule="auto"/>
      <w:ind w:right="720"/>
      <w:outlineLvl w:val="2"/>
    </w:pPr>
    <w:rPr>
      <w:b/>
    </w:rPr>
  </w:style>
  <w:style w:type="paragraph" w:styleId="Heading4">
    <w:name w:val="heading 4"/>
    <w:basedOn w:val="BodyText"/>
    <w:next w:val="BodyText"/>
    <w:autoRedefine/>
    <w:qFormat/>
    <w:pPr>
      <w:keepNext/>
      <w:numPr>
        <w:ilvl w:val="3"/>
        <w:numId w:val="1"/>
      </w:numPr>
      <w:spacing w:before="120" w:after="120" w:line="240" w:lineRule="auto"/>
      <w:ind w:right="1440"/>
      <w:outlineLvl w:val="3"/>
    </w:pPr>
    <w:rPr>
      <w:b/>
    </w:rPr>
  </w:style>
  <w:style w:type="paragraph" w:styleId="Heading5">
    <w:name w:val="heading 5"/>
    <w:basedOn w:val="Normal"/>
    <w:next w:val="Normal"/>
    <w:autoRedefine/>
    <w:qFormat/>
    <w:pPr>
      <w:numPr>
        <w:ilvl w:val="4"/>
        <w:numId w:val="1"/>
      </w:numPr>
      <w:spacing w:before="120" w:after="120"/>
      <w:ind w:left="3600"/>
      <w:outlineLvl w:val="4"/>
    </w:pPr>
    <w:rPr>
      <w:b/>
    </w:rPr>
  </w:style>
  <w:style w:type="paragraph" w:styleId="Heading6">
    <w:name w:val="heading 6"/>
    <w:basedOn w:val="Normal"/>
    <w:next w:val="Normal"/>
    <w:autoRedefine/>
    <w:qFormat/>
    <w:pPr>
      <w:numPr>
        <w:ilvl w:val="5"/>
        <w:numId w:val="1"/>
      </w:numPr>
      <w:spacing w:before="240" w:after="60"/>
      <w:outlineLvl w:val="5"/>
    </w:pPr>
    <w:rPr>
      <w:b/>
    </w:rPr>
  </w:style>
  <w:style w:type="paragraph" w:styleId="Heading7">
    <w:name w:val="heading 7"/>
    <w:basedOn w:val="Normal"/>
    <w:next w:val="Normal"/>
    <w:autoRedefine/>
    <w:qFormat/>
    <w:pPr>
      <w:numPr>
        <w:ilvl w:val="6"/>
        <w:numId w:val="1"/>
      </w:numPr>
      <w:spacing w:before="240" w:after="60"/>
      <w:outlineLvl w:val="6"/>
    </w:pPr>
    <w:rPr>
      <w:b/>
    </w:rPr>
  </w:style>
  <w:style w:type="paragraph" w:styleId="Heading8">
    <w:name w:val="heading 8"/>
    <w:basedOn w:val="Normal"/>
    <w:next w:val="Normal"/>
    <w:autoRedefine/>
    <w:qFormat/>
    <w:pPr>
      <w:numPr>
        <w:ilvl w:val="7"/>
        <w:numId w:val="1"/>
      </w:numPr>
      <w:spacing w:before="240" w:after="60"/>
      <w:outlineLvl w:val="7"/>
    </w:pPr>
    <w:rPr>
      <w:b/>
    </w:rPr>
  </w:style>
  <w:style w:type="paragraph" w:styleId="Heading9">
    <w:name w:val="heading 9"/>
    <w:basedOn w:val="Normal"/>
    <w:next w:val="Normal"/>
    <w:autoRedefine/>
    <w:qFormat/>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overflowPunct w:val="0"/>
      <w:autoSpaceDE w:val="0"/>
      <w:autoSpaceDN w:val="0"/>
      <w:adjustRightInd w:val="0"/>
      <w:spacing w:line="360" w:lineRule="auto"/>
      <w:ind w:firstLine="720"/>
      <w:textAlignment w:val="baseline"/>
    </w:pPr>
    <w:rPr>
      <w:sz w:val="26"/>
    </w:rPr>
  </w:style>
  <w:style w:type="paragraph" w:styleId="FootnoteText">
    <w:name w:val="footnote text"/>
    <w:aliases w:val="Char"/>
    <w:basedOn w:val="Normal"/>
    <w:link w:val="FootnoteTextChar"/>
    <w:uiPriority w:val="99"/>
    <w:pPr>
      <w:widowControl w:val="0"/>
      <w:spacing w:after="120" w:line="240" w:lineRule="exact"/>
    </w:pPr>
    <w:rPr>
      <w:sz w:val="22"/>
    </w:rPr>
  </w:style>
  <w:style w:type="character" w:styleId="FootnoteReference">
    <w:name w:val="footnote reference"/>
    <w:uiPriority w:val="99"/>
    <w:rPr>
      <w:rFonts w:ascii="Times New Roman" w:hAnsi="Times New Roman"/>
      <w:b/>
      <w:sz w:val="28"/>
      <w:u w:val="single"/>
      <w:vertAlign w:val="superscript"/>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semiHidden/>
    <w:pPr>
      <w:keepNext/>
      <w:tabs>
        <w:tab w:val="clear" w:pos="5040"/>
        <w:tab w:val="right" w:leader="dot" w:pos="8640"/>
      </w:tabs>
      <w:suppressAutoHyphens/>
      <w:spacing w:before="120" w:after="120"/>
      <w:ind w:left="720" w:right="1440" w:hanging="720"/>
    </w:pPr>
    <w:rPr>
      <w:caps/>
      <w:noProof/>
      <w:sz w:val="24"/>
    </w:rPr>
  </w:style>
  <w:style w:type="paragraph" w:styleId="TOC2">
    <w:name w:val="toc 2"/>
    <w:basedOn w:val="Normal"/>
    <w:next w:val="Normal"/>
    <w:autoRedefine/>
    <w:semiHidden/>
    <w:pPr>
      <w:tabs>
        <w:tab w:val="clear" w:pos="5040"/>
        <w:tab w:val="right" w:leader="dot" w:pos="8640"/>
      </w:tabs>
      <w:suppressAutoHyphens/>
      <w:spacing w:after="120"/>
      <w:ind w:left="720" w:right="1440" w:hanging="288"/>
    </w:pPr>
    <w:rPr>
      <w:smallCaps/>
      <w:noProof/>
      <w:sz w:val="24"/>
    </w:rPr>
  </w:style>
  <w:style w:type="paragraph" w:styleId="TOC3">
    <w:name w:val="toc 3"/>
    <w:basedOn w:val="Normal"/>
    <w:next w:val="Normal"/>
    <w:autoRedefine/>
    <w:semiHidden/>
    <w:pPr>
      <w:tabs>
        <w:tab w:val="clear" w:pos="5040"/>
        <w:tab w:val="right" w:leader="dot" w:pos="8640"/>
      </w:tabs>
      <w:spacing w:after="120"/>
      <w:ind w:left="1109" w:right="1440" w:hanging="245"/>
    </w:pPr>
    <w:rPr>
      <w:noProof/>
      <w:sz w:val="24"/>
    </w:rPr>
  </w:style>
  <w:style w:type="paragraph" w:styleId="TOC4">
    <w:name w:val="toc 4"/>
    <w:basedOn w:val="Normal"/>
    <w:next w:val="Normal"/>
    <w:autoRedefine/>
    <w:semiHidden/>
    <w:pPr>
      <w:widowControl w:val="0"/>
      <w:tabs>
        <w:tab w:val="clear" w:pos="5040"/>
        <w:tab w:val="right" w:leader="dot" w:pos="8640"/>
      </w:tabs>
      <w:spacing w:after="120"/>
      <w:ind w:left="1627" w:right="1440" w:hanging="360"/>
    </w:pPr>
    <w:rPr>
      <w:sz w:val="24"/>
    </w:rPr>
  </w:style>
  <w:style w:type="paragraph" w:styleId="TOC5">
    <w:name w:val="toc 5"/>
    <w:basedOn w:val="Normal"/>
    <w:next w:val="Normal"/>
    <w:autoRedefine/>
    <w:semiHidden/>
    <w:pPr>
      <w:tabs>
        <w:tab w:val="clear" w:pos="5040"/>
        <w:tab w:val="right" w:leader="dot" w:pos="8640"/>
      </w:tabs>
      <w:spacing w:after="120"/>
      <w:ind w:left="1980" w:right="1440" w:hanging="360"/>
    </w:pPr>
    <w:rPr>
      <w:sz w:val="24"/>
    </w:rPr>
  </w:style>
  <w:style w:type="paragraph" w:styleId="TOC6">
    <w:name w:val="toc 6"/>
    <w:basedOn w:val="Normal"/>
    <w:next w:val="Normal"/>
    <w:autoRedefine/>
    <w:semiHidden/>
    <w:pPr>
      <w:tabs>
        <w:tab w:val="clear" w:pos="5040"/>
        <w:tab w:val="right" w:leader="dot" w:pos="8640"/>
      </w:tabs>
      <w:spacing w:after="120"/>
      <w:ind w:left="2333" w:right="1440" w:hanging="331"/>
    </w:pPr>
    <w:rPr>
      <w:sz w:val="24"/>
    </w:rPr>
  </w:style>
  <w:style w:type="paragraph" w:styleId="TOC7">
    <w:name w:val="toc 7"/>
    <w:basedOn w:val="Normal"/>
    <w:next w:val="Normal"/>
    <w:autoRedefine/>
    <w:semiHidden/>
    <w:pPr>
      <w:tabs>
        <w:tab w:val="clear" w:pos="5040"/>
        <w:tab w:val="right" w:leader="dot" w:pos="8640"/>
      </w:tabs>
      <w:spacing w:after="120"/>
      <w:ind w:left="2707" w:right="1440" w:hanging="360"/>
    </w:pPr>
    <w:rPr>
      <w:sz w:val="24"/>
    </w:rPr>
  </w:style>
  <w:style w:type="paragraph" w:styleId="TOC8">
    <w:name w:val="toc 8"/>
    <w:basedOn w:val="Normal"/>
    <w:next w:val="Normal"/>
    <w:autoRedefine/>
    <w:semiHidden/>
    <w:pPr>
      <w:tabs>
        <w:tab w:val="clear" w:pos="5040"/>
        <w:tab w:val="right" w:leader="dot" w:pos="8640"/>
      </w:tabs>
      <w:spacing w:after="120"/>
      <w:ind w:left="3067" w:right="1440" w:hanging="360"/>
    </w:pPr>
    <w:rPr>
      <w:sz w:val="24"/>
    </w:rPr>
  </w:style>
  <w:style w:type="paragraph" w:styleId="TOC9">
    <w:name w:val="toc 9"/>
    <w:basedOn w:val="Normal"/>
    <w:next w:val="Normal"/>
    <w:autoRedefine/>
    <w:semiHidden/>
    <w:pPr>
      <w:tabs>
        <w:tab w:val="clear" w:pos="5040"/>
        <w:tab w:val="right" w:leader="dot" w:pos="8640"/>
      </w:tabs>
      <w:spacing w:after="120"/>
      <w:ind w:left="3427" w:right="1440" w:hanging="360"/>
    </w:pPr>
    <w:rPr>
      <w:sz w:val="24"/>
    </w:rPr>
  </w:style>
  <w:style w:type="paragraph" w:customStyle="1" w:styleId="Quotation">
    <w:name w:val="Quotation"/>
    <w:basedOn w:val="BodyText"/>
    <w:next w:val="BodyText"/>
    <w:pPr>
      <w:spacing w:after="120" w:line="240" w:lineRule="auto"/>
      <w:ind w:left="1440" w:right="1440" w:firstLine="0"/>
    </w:pPr>
  </w:style>
  <w:style w:type="paragraph" w:styleId="Header">
    <w:name w:val="header"/>
    <w:basedOn w:val="Normal"/>
    <w:link w:val="HeaderChar"/>
    <w:uiPriority w:val="99"/>
    <w:rsid w:val="00020AE0"/>
    <w:pPr>
      <w:tabs>
        <w:tab w:val="clear" w:pos="5040"/>
        <w:tab w:val="center" w:pos="4680"/>
        <w:tab w:val="right" w:pos="9360"/>
      </w:tabs>
    </w:pPr>
  </w:style>
  <w:style w:type="paragraph" w:styleId="TOAHeading">
    <w:name w:val="toa heading"/>
    <w:basedOn w:val="Normal"/>
    <w:next w:val="Normal"/>
    <w:semiHidden/>
    <w:pPr>
      <w:spacing w:before="240" w:after="120"/>
    </w:pPr>
    <w:rPr>
      <w:b/>
      <w:smallCaps/>
    </w:rPr>
  </w:style>
  <w:style w:type="paragraph" w:customStyle="1" w:styleId="BriefHeading">
    <w:name w:val="Brief Heading"/>
    <w:basedOn w:val="Normal"/>
    <w:pPr>
      <w:jc w:val="center"/>
    </w:pPr>
    <w:rPr>
      <w:smallCaps/>
      <w:sz w:val="28"/>
    </w:rPr>
  </w:style>
  <w:style w:type="character" w:customStyle="1" w:styleId="HeaderChar">
    <w:name w:val="Header Char"/>
    <w:link w:val="Header"/>
    <w:uiPriority w:val="99"/>
    <w:rsid w:val="00020AE0"/>
    <w:rPr>
      <w:sz w:val="26"/>
    </w:rPr>
  </w:style>
  <w:style w:type="paragraph" w:styleId="Caption">
    <w:name w:val="caption"/>
    <w:basedOn w:val="BodyText"/>
    <w:qFormat/>
    <w:pPr>
      <w:tabs>
        <w:tab w:val="left" w:pos="4320"/>
        <w:tab w:val="left" w:pos="5040"/>
      </w:tabs>
      <w:spacing w:line="240" w:lineRule="auto"/>
      <w:ind w:firstLine="0"/>
    </w:pPr>
  </w:style>
  <w:style w:type="paragraph" w:customStyle="1" w:styleId="BriefTitle">
    <w:name w:val="Brief Title"/>
    <w:basedOn w:val="Normal"/>
    <w:pPr>
      <w:jc w:val="center"/>
    </w:pPr>
    <w:rPr>
      <w:b/>
      <w:caps/>
    </w:rPr>
  </w:style>
  <w:style w:type="character" w:customStyle="1" w:styleId="FooterChar">
    <w:name w:val="Footer Char"/>
    <w:link w:val="Footer"/>
    <w:uiPriority w:val="99"/>
    <w:rsid w:val="00020AE0"/>
    <w:rPr>
      <w:sz w:val="26"/>
    </w:rPr>
  </w:style>
  <w:style w:type="paragraph" w:customStyle="1" w:styleId="BodyText10">
    <w:name w:val="Body Text 10"/>
    <w:basedOn w:val="BodyText"/>
    <w:pPr>
      <w:overflowPunct/>
      <w:autoSpaceDE/>
      <w:autoSpaceDN/>
      <w:adjustRightInd/>
      <w:ind w:firstLine="1296"/>
      <w:textAlignment w:val="auto"/>
    </w:pPr>
  </w:style>
  <w:style w:type="paragraph" w:customStyle="1" w:styleId="BodyText6">
    <w:name w:val="Body Text 6"/>
    <w:basedOn w:val="BodyText"/>
    <w:autoRedefine/>
    <w:pPr>
      <w:overflowPunct/>
      <w:autoSpaceDE/>
      <w:autoSpaceDN/>
      <w:adjustRightInd/>
      <w:ind w:firstLine="864"/>
      <w:textAlignment w:val="auto"/>
    </w:pPr>
  </w:style>
  <w:style w:type="character" w:customStyle="1" w:styleId="FootnoteTextChar">
    <w:name w:val="Footnote Text Char"/>
    <w:aliases w:val="Char Char"/>
    <w:basedOn w:val="DefaultParagraphFont"/>
    <w:link w:val="FootnoteText"/>
    <w:uiPriority w:val="99"/>
    <w:rsid w:val="001A7AB3"/>
    <w:rPr>
      <w:sz w:val="22"/>
    </w:rPr>
  </w:style>
  <w:style w:type="character" w:styleId="CommentReference">
    <w:name w:val="annotation reference"/>
    <w:basedOn w:val="DefaultParagraphFont"/>
    <w:uiPriority w:val="99"/>
    <w:unhideWhenUsed/>
    <w:rsid w:val="0049742D"/>
    <w:rPr>
      <w:sz w:val="16"/>
      <w:szCs w:val="16"/>
    </w:rPr>
  </w:style>
  <w:style w:type="paragraph" w:styleId="CommentText">
    <w:name w:val="annotation text"/>
    <w:basedOn w:val="Normal"/>
    <w:link w:val="CommentTextChar"/>
    <w:uiPriority w:val="99"/>
    <w:unhideWhenUsed/>
    <w:rsid w:val="0049742D"/>
    <w:pPr>
      <w:tabs>
        <w:tab w:val="clear" w:pos="5040"/>
      </w:tabs>
      <w:overflowPunct/>
      <w:autoSpaceDE/>
      <w:autoSpaceDN/>
      <w:adjustRightInd/>
      <w:textAlignment w:val="auto"/>
    </w:pPr>
    <w:rPr>
      <w:sz w:val="20"/>
    </w:rPr>
  </w:style>
  <w:style w:type="character" w:customStyle="1" w:styleId="CommentTextChar">
    <w:name w:val="Comment Text Char"/>
    <w:basedOn w:val="DefaultParagraphFont"/>
    <w:link w:val="CommentText"/>
    <w:uiPriority w:val="99"/>
    <w:rsid w:val="0049742D"/>
  </w:style>
  <w:style w:type="paragraph" w:styleId="CommentSubject">
    <w:name w:val="annotation subject"/>
    <w:basedOn w:val="CommentText"/>
    <w:next w:val="CommentText"/>
    <w:link w:val="CommentSubjectChar"/>
    <w:rsid w:val="002C02D3"/>
    <w:pPr>
      <w:tabs>
        <w:tab w:val="right" w:pos="5040"/>
      </w:tabs>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rsid w:val="002C02D3"/>
    <w:rPr>
      <w:b/>
      <w:bCs/>
    </w:rPr>
  </w:style>
  <w:style w:type="paragraph" w:styleId="Revision">
    <w:name w:val="Revision"/>
    <w:hidden/>
    <w:uiPriority w:val="99"/>
    <w:semiHidden/>
    <w:rsid w:val="004335BE"/>
    <w:rPr>
      <w:sz w:val="26"/>
    </w:rPr>
  </w:style>
  <w:style w:type="paragraph" w:customStyle="1" w:styleId="standard">
    <w:name w:val="standard"/>
    <w:basedOn w:val="Normal"/>
    <w:link w:val="standardChar"/>
    <w:rsid w:val="005866E0"/>
    <w:pPr>
      <w:tabs>
        <w:tab w:val="clear" w:pos="5040"/>
      </w:tabs>
      <w:overflowPunct/>
      <w:autoSpaceDE/>
      <w:autoSpaceDN/>
      <w:adjustRightInd/>
      <w:spacing w:line="360" w:lineRule="auto"/>
      <w:ind w:firstLine="720"/>
      <w:textAlignment w:val="auto"/>
    </w:pPr>
    <w:rPr>
      <w:rFonts w:ascii="Palatino" w:hAnsi="Palatino"/>
    </w:rPr>
  </w:style>
  <w:style w:type="character" w:customStyle="1" w:styleId="standardChar">
    <w:name w:val="standard Char"/>
    <w:link w:val="standard"/>
    <w:locked/>
    <w:rsid w:val="005866E0"/>
    <w:rPr>
      <w:rFonts w:ascii="Palatino" w:hAnsi="Palatino"/>
      <w:sz w:val="26"/>
    </w:rPr>
  </w:style>
  <w:style w:type="character" w:customStyle="1" w:styleId="BodyTextChar">
    <w:name w:val="Body Text Char"/>
    <w:link w:val="BodyText"/>
    <w:rsid w:val="007B17FB"/>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3a7631f-c7a6-45a8-83ff-f796eb6a2c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BFF018FA8C8468DEF270F4A39FD9E" ma:contentTypeVersion="13" ma:contentTypeDescription="Create a new document." ma:contentTypeScope="" ma:versionID="187a1a340851fae9a61c1018d99d39b3">
  <xsd:schema xmlns:xsd="http://www.w3.org/2001/XMLSchema" xmlns:xs="http://www.w3.org/2001/XMLSchema" xmlns:p="http://schemas.microsoft.com/office/2006/metadata/properties" xmlns:ns3="43a7631f-c7a6-45a8-83ff-f796eb6a2c2d" xmlns:ns4="c9f433cb-6fef-4dc0-b8a7-8f5df00cb154" targetNamespace="http://schemas.microsoft.com/office/2006/metadata/properties" ma:root="true" ma:fieldsID="454883250bc5fccac0cccc0fd11fca0e" ns3:_="" ns4:_="">
    <xsd:import namespace="43a7631f-c7a6-45a8-83ff-f796eb6a2c2d"/>
    <xsd:import namespace="c9f433cb-6fef-4dc0-b8a7-8f5df00cb1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7631f-c7a6-45a8-83ff-f796eb6a2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433cb-6fef-4dc0-b8a7-8f5df00cb1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D2288-0E66-4E2E-AAB5-D78011A39AD7}">
  <ds:schemaRefs>
    <ds:schemaRef ds:uri="http://schemas.microsoft.com/office/2006/metadata/properties"/>
    <ds:schemaRef ds:uri="http://schemas.microsoft.com/office/infopath/2007/PartnerControls"/>
    <ds:schemaRef ds:uri="43a7631f-c7a6-45a8-83ff-f796eb6a2c2d"/>
  </ds:schemaRefs>
</ds:datastoreItem>
</file>

<file path=customXml/itemProps2.xml><?xml version="1.0" encoding="utf-8"?>
<ds:datastoreItem xmlns:ds="http://schemas.openxmlformats.org/officeDocument/2006/customXml" ds:itemID="{BD3CB61B-A6E5-43DC-B632-F90A15C1FC8E}">
  <ds:schemaRefs>
    <ds:schemaRef ds:uri="http://schemas.microsoft.com/sharepoint/v3/contenttype/forms"/>
  </ds:schemaRefs>
</ds:datastoreItem>
</file>

<file path=customXml/itemProps3.xml><?xml version="1.0" encoding="utf-8"?>
<ds:datastoreItem xmlns:ds="http://schemas.openxmlformats.org/officeDocument/2006/customXml" ds:itemID="{360A6583-80CC-4316-961D-97D460597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7631f-c7a6-45a8-83ff-f796eb6a2c2d"/>
    <ds:schemaRef ds:uri="c9f433cb-6fef-4dc0-b8a7-8f5df00c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6827A-2A57-4C1F-BA42-59FC179F534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2637</ap:Words>
  <ap:Characters>15035</ap:Characters>
  <ap:Application>Microsoft Office Word</ap:Application>
  <ap:DocSecurity>0</ap:DocSecurity>
  <ap:Lines>125</ap:Lines>
  <ap:Paragraphs>35</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17637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1996-10-10T23:38:00Z</cp:lastPrinted>
  <dcterms:created xsi:type="dcterms:W3CDTF">2026-07-03T11:29:53Z</dcterms:created>
  <dcterms:modified xsi:type="dcterms:W3CDTF">2026-07-03T11:29:53Z</dcterms:modified>
</cp:coreProperties>
</file>