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69D9" w:rsidR="00725F0A" w:rsidP="00725F0A" w:rsidRDefault="00725F0A" w14:paraId="4E784229" w14:textId="652B1A2B">
      <w:pPr>
        <w:tabs>
          <w:tab w:val="center" w:pos="4680"/>
          <w:tab w:val="right" w:pos="9360"/>
        </w:tabs>
        <w:rPr>
          <w:b/>
          <w:bCs/>
        </w:rPr>
      </w:pPr>
      <w:r w:rsidRPr="005169D9">
        <w:rPr>
          <w:color w:val="000000"/>
        </w:rPr>
        <w:t>ALJ/</w:t>
      </w:r>
      <w:r>
        <w:rPr>
          <w:color w:val="000000"/>
        </w:rPr>
        <w:t>MPO</w:t>
      </w:r>
      <w:r w:rsidRPr="005169D9">
        <w:rPr>
          <w:color w:val="000000"/>
        </w:rPr>
        <w:t>/vhj</w:t>
      </w:r>
      <w:r w:rsidRPr="005169D9">
        <w:tab/>
      </w:r>
      <w:r w:rsidRPr="005169D9">
        <w:rPr>
          <w:b/>
          <w:bCs/>
        </w:rPr>
        <w:tab/>
      </w:r>
      <w:r w:rsidR="004E3CB2">
        <w:rPr>
          <w:b/>
          <w:bCs/>
        </w:rPr>
        <w:t>Date of Issuance 7/3/2026</w:t>
      </w:r>
    </w:p>
    <w:p w:rsidR="00725F0A" w:rsidP="00625B30" w:rsidRDefault="00725F0A" w14:paraId="02D3DCD3" w14:textId="77777777">
      <w:pPr>
        <w:suppressAutoHyphens/>
        <w:rPr>
          <w:b/>
          <w:bCs/>
        </w:rPr>
      </w:pPr>
    </w:p>
    <w:p w:rsidR="004E3CB2" w:rsidP="00625B30" w:rsidRDefault="004E3CB2" w14:paraId="7A009359" w14:textId="77777777">
      <w:pPr>
        <w:suppressAutoHyphens/>
        <w:rPr>
          <w:color w:val="000000"/>
        </w:rPr>
      </w:pPr>
    </w:p>
    <w:p w:rsidRPr="007F620E" w:rsidR="00625B30" w:rsidP="00CC27B2" w:rsidRDefault="00625B30" w14:paraId="3B656E07" w14:textId="4B884785">
      <w:pPr>
        <w:suppressAutoHyphens/>
        <w:rPr>
          <w:color w:val="000000"/>
        </w:rPr>
      </w:pPr>
      <w:r w:rsidRPr="007F620E">
        <w:rPr>
          <w:color w:val="000000"/>
        </w:rPr>
        <w:t xml:space="preserve">Decision </w:t>
      </w:r>
      <w:r w:rsidRPr="004E3CB2" w:rsidR="004E3CB2">
        <w:rPr>
          <w:color w:val="000000"/>
        </w:rPr>
        <w:t>26-07-020</w:t>
      </w:r>
      <w:r w:rsidR="004E3CB2">
        <w:rPr>
          <w:color w:val="000000"/>
        </w:rPr>
        <w:t xml:space="preserve">  July 2, 2026</w:t>
      </w:r>
    </w:p>
    <w:p w:rsidRPr="007F620E" w:rsidR="00625B30" w:rsidP="00625B30" w:rsidRDefault="00625B30" w14:paraId="3D3AD171" w14:textId="77777777">
      <w:pPr>
        <w:pStyle w:val="titlebar"/>
        <w:rPr>
          <w:rFonts w:ascii="Times New Roman" w:hAnsi="Times New Roman"/>
          <w:color w:val="000000"/>
          <w:sz w:val="24"/>
          <w:szCs w:val="24"/>
        </w:rPr>
      </w:pPr>
    </w:p>
    <w:p w:rsidRPr="0057088A" w:rsidR="00625B30" w:rsidP="00625B30" w:rsidRDefault="00625B30" w14:paraId="1481C028" w14:textId="77777777">
      <w:pPr>
        <w:pStyle w:val="titlebar"/>
        <w:rPr>
          <w:rFonts w:ascii="Arial" w:hAnsi="Arial"/>
          <w:color w:val="000000"/>
          <w:sz w:val="24"/>
          <w:szCs w:val="24"/>
        </w:rPr>
      </w:pPr>
      <w:r w:rsidRPr="0057088A">
        <w:rPr>
          <w:rFonts w:ascii="Arial" w:hAnsi="Arial"/>
          <w:color w:val="000000"/>
          <w:sz w:val="24"/>
          <w:szCs w:val="24"/>
        </w:rPr>
        <w:t>BEFORE THE PUBLIC UTILITIES COMMISSION OF THE STATE OF CALIFORNIA</w:t>
      </w:r>
    </w:p>
    <w:p w:rsidR="00625B30" w:rsidP="00625B30" w:rsidRDefault="00625B30" w14:paraId="50B58BC8" w14:textId="77777777">
      <w:pPr>
        <w:suppressAutoHyphens/>
        <w:rPr>
          <w:color w:val="000000"/>
        </w:rPr>
      </w:pPr>
    </w:p>
    <w:p w:rsidRPr="007F620E" w:rsidR="00CC27B2" w:rsidP="00625B30" w:rsidRDefault="00CC27B2" w14:paraId="358F48CB" w14:textId="77777777">
      <w:pPr>
        <w:suppressAutoHyphens/>
        <w:rPr>
          <w:color w:val="000000"/>
        </w:rPr>
      </w:pPr>
    </w:p>
    <w:tbl>
      <w:tblPr>
        <w:tblW w:w="9828" w:type="dxa"/>
        <w:tblBorders>
          <w:bottom w:val="single" w:color="auto" w:sz="4" w:space="0"/>
          <w:insideH w:val="single" w:color="auto" w:sz="4" w:space="0"/>
          <w:insideV w:val="single" w:color="auto" w:sz="4" w:space="0"/>
        </w:tblBorders>
        <w:tblLayout w:type="fixed"/>
        <w:tblLook w:val="0000" w:firstRow="0" w:lastRow="0" w:firstColumn="0" w:lastColumn="0" w:noHBand="0" w:noVBand="0"/>
      </w:tblPr>
      <w:tblGrid>
        <w:gridCol w:w="4860"/>
        <w:gridCol w:w="4968"/>
      </w:tblGrid>
      <w:tr w:rsidRPr="007F620E" w:rsidR="00625B30" w:rsidTr="00F76F08" w14:paraId="3118FF93" w14:textId="77777777">
        <w:tc>
          <w:tcPr>
            <w:tcW w:w="4860" w:type="dxa"/>
          </w:tcPr>
          <w:p w:rsidRPr="00CC27B2" w:rsidR="00625B30" w:rsidP="008A19C8" w:rsidRDefault="009A22EE" w14:paraId="69A9B09C" w14:textId="67669A5C">
            <w:pPr>
              <w:rPr>
                <w:color w:val="000000"/>
              </w:rPr>
            </w:pPr>
            <w:r w:rsidRPr="00CC27B2">
              <w:rPr>
                <w:color w:val="000000"/>
              </w:rPr>
              <w:t>Application of San Diego Gas &amp; Electric Company (U902E) for Authority to Update Marginal Costs, Cost Allocation, and Electric Rate Design.</w:t>
            </w:r>
          </w:p>
          <w:p w:rsidRPr="00F76F08" w:rsidR="00F76F08" w:rsidP="008A19C8" w:rsidRDefault="00F76F08" w14:paraId="7192D4D4" w14:textId="0C56A0A1">
            <w:pPr>
              <w:rPr>
                <w:color w:val="000000"/>
                <w:highlight w:val="yellow"/>
              </w:rPr>
            </w:pPr>
          </w:p>
        </w:tc>
        <w:tc>
          <w:tcPr>
            <w:tcW w:w="4968" w:type="dxa"/>
            <w:tcBorders>
              <w:top w:val="nil"/>
              <w:bottom w:val="nil"/>
            </w:tcBorders>
          </w:tcPr>
          <w:p w:rsidRPr="00F76F08" w:rsidR="00F76F08" w:rsidP="00A47EB7" w:rsidRDefault="00F76F08" w14:paraId="74687A5A" w14:textId="77777777">
            <w:pPr>
              <w:tabs>
                <w:tab w:val="left" w:pos="1440"/>
                <w:tab w:val="left" w:pos="3600"/>
              </w:tabs>
              <w:jc w:val="center"/>
              <w:rPr>
                <w:color w:val="000000"/>
                <w:highlight w:val="yellow"/>
              </w:rPr>
            </w:pPr>
          </w:p>
          <w:p w:rsidRPr="00B61873" w:rsidR="00625B30" w:rsidP="00A47EB7" w:rsidRDefault="00625B30" w14:paraId="28FBCB65" w14:textId="22B427D2">
            <w:pPr>
              <w:tabs>
                <w:tab w:val="left" w:pos="1440"/>
                <w:tab w:val="left" w:pos="3600"/>
              </w:tabs>
              <w:jc w:val="center"/>
              <w:rPr>
                <w:color w:val="000000"/>
              </w:rPr>
            </w:pPr>
            <w:r w:rsidRPr="00B61873">
              <w:rPr>
                <w:color w:val="000000"/>
              </w:rPr>
              <w:t xml:space="preserve">Application </w:t>
            </w:r>
            <w:r w:rsidRPr="00B61873" w:rsidR="00042267">
              <w:rPr>
                <w:color w:val="000000"/>
              </w:rPr>
              <w:t>2</w:t>
            </w:r>
            <w:r w:rsidRPr="00B61873" w:rsidR="009A22EE">
              <w:rPr>
                <w:color w:val="000000"/>
              </w:rPr>
              <w:t>3</w:t>
            </w:r>
            <w:r w:rsidRPr="00B61873" w:rsidR="00042267">
              <w:rPr>
                <w:color w:val="000000"/>
              </w:rPr>
              <w:t>-</w:t>
            </w:r>
            <w:r w:rsidRPr="00B61873" w:rsidR="00646E16">
              <w:rPr>
                <w:color w:val="000000"/>
              </w:rPr>
              <w:t>0</w:t>
            </w:r>
            <w:r w:rsidRPr="00B61873" w:rsidR="009A22EE">
              <w:rPr>
                <w:color w:val="000000"/>
              </w:rPr>
              <w:t>1</w:t>
            </w:r>
            <w:r w:rsidRPr="00B61873" w:rsidR="00042267">
              <w:rPr>
                <w:color w:val="000000"/>
              </w:rPr>
              <w:t>-0</w:t>
            </w:r>
            <w:r w:rsidRPr="00B61873" w:rsidR="009A22EE">
              <w:rPr>
                <w:color w:val="000000"/>
              </w:rPr>
              <w:t>08</w:t>
            </w:r>
          </w:p>
          <w:p w:rsidRPr="00CC27B2" w:rsidR="00625B30" w:rsidP="00A47EB7" w:rsidRDefault="00625B30" w14:paraId="5EB69743" w14:textId="43055C0C">
            <w:pPr>
              <w:tabs>
                <w:tab w:val="left" w:pos="1440"/>
                <w:tab w:val="left" w:pos="3600"/>
              </w:tabs>
              <w:jc w:val="center"/>
              <w:rPr>
                <w:color w:val="000000"/>
              </w:rPr>
            </w:pPr>
            <w:r w:rsidRPr="0090492E">
              <w:rPr>
                <w:color w:val="000000"/>
              </w:rPr>
              <w:t>(</w:t>
            </w:r>
            <w:bookmarkStart w:name="OLE_LINK1" w:id="0"/>
            <w:bookmarkStart w:name="OLE_LINK2" w:id="1"/>
            <w:r w:rsidRPr="0090492E">
              <w:rPr>
                <w:color w:val="000000"/>
              </w:rPr>
              <w:t xml:space="preserve">Filed </w:t>
            </w:r>
            <w:bookmarkEnd w:id="0"/>
            <w:bookmarkEnd w:id="1"/>
            <w:r w:rsidRPr="0090492E" w:rsidR="009A22EE">
              <w:rPr>
                <w:color w:val="000000"/>
              </w:rPr>
              <w:t>January 17, 2023</w:t>
            </w:r>
            <w:r w:rsidRPr="0090492E">
              <w:rPr>
                <w:color w:val="000000"/>
              </w:rPr>
              <w:t>)</w:t>
            </w:r>
          </w:p>
          <w:p w:rsidRPr="00F76F08" w:rsidR="00625B30" w:rsidP="00A47EB7" w:rsidRDefault="00625B30" w14:paraId="1DD5E0AD" w14:textId="77777777">
            <w:pPr>
              <w:jc w:val="center"/>
              <w:rPr>
                <w:color w:val="000000"/>
                <w:highlight w:val="yellow"/>
              </w:rPr>
            </w:pPr>
          </w:p>
        </w:tc>
      </w:tr>
    </w:tbl>
    <w:p w:rsidR="00625B30" w:rsidP="00CC27B2" w:rsidRDefault="00625B30" w14:paraId="2711831F" w14:textId="77777777">
      <w:pPr>
        <w:rPr>
          <w:b/>
          <w:bCs/>
        </w:rPr>
      </w:pPr>
    </w:p>
    <w:p w:rsidRPr="00B73798" w:rsidR="00F76F08" w:rsidP="00CC27B2" w:rsidRDefault="00F76F08" w14:paraId="74BC6934" w14:textId="7E4092E5">
      <w:pPr>
        <w:rPr>
          <w:b/>
          <w:bCs/>
        </w:rPr>
      </w:pPr>
    </w:p>
    <w:p w:rsidR="00625B30" w:rsidP="00E20B45" w:rsidRDefault="00E20B45" w14:paraId="1D4406A6" w14:textId="5377BF77">
      <w:pPr>
        <w:suppressAutoHyphens/>
        <w:jc w:val="center"/>
        <w:rPr>
          <w:b/>
          <w:bCs/>
        </w:rPr>
      </w:pPr>
      <w:r w:rsidRPr="00CC27B2">
        <w:rPr>
          <w:b/>
          <w:bCs/>
        </w:rPr>
        <w:t xml:space="preserve">DECISION GRANTING COMPENSATION TO THE </w:t>
      </w:r>
      <w:r w:rsidRPr="00CC27B2" w:rsidR="00F76F08">
        <w:rPr>
          <w:b/>
          <w:bCs/>
        </w:rPr>
        <w:br/>
      </w:r>
      <w:r w:rsidRPr="00CC27B2">
        <w:rPr>
          <w:b/>
          <w:bCs/>
        </w:rPr>
        <w:t xml:space="preserve">UTILITY REFORM NETWORK FOR SUBSTANTIAL </w:t>
      </w:r>
      <w:r w:rsidRPr="00CC27B2" w:rsidR="00F76F08">
        <w:rPr>
          <w:b/>
          <w:bCs/>
        </w:rPr>
        <w:br/>
      </w:r>
      <w:r w:rsidRPr="00CC27B2">
        <w:rPr>
          <w:b/>
          <w:bCs/>
        </w:rPr>
        <w:t>CONTRIBUTION TO DECISION (D.) 25-09-006</w:t>
      </w:r>
    </w:p>
    <w:p w:rsidRPr="007F620E" w:rsidR="00E20B45" w:rsidP="00625B30" w:rsidRDefault="00E20B45" w14:paraId="0F4BEC04" w14:textId="77777777">
      <w:pPr>
        <w:suppressAutoHyphens/>
        <w:rPr>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3963"/>
        <w:gridCol w:w="5397"/>
      </w:tblGrid>
      <w:tr w:rsidRPr="007F620E" w:rsidR="00625B30" w:rsidTr="003B408F" w14:paraId="0E272B2D" w14:textId="77777777">
        <w:tc>
          <w:tcPr>
            <w:tcW w:w="3963" w:type="dxa"/>
          </w:tcPr>
          <w:p w:rsidRPr="00691528" w:rsidR="00625B30" w:rsidP="00A47EB7" w:rsidRDefault="00625B30" w14:paraId="55BFC873" w14:textId="77777777">
            <w:pPr>
              <w:tabs>
                <w:tab w:val="left" w:pos="1620"/>
                <w:tab w:val="right" w:pos="4500"/>
              </w:tabs>
              <w:rPr>
                <w:color w:val="000000"/>
              </w:rPr>
            </w:pPr>
            <w:r w:rsidRPr="007F620E">
              <w:rPr>
                <w:b/>
                <w:color w:val="000000"/>
              </w:rPr>
              <w:t>Intervenor:</w:t>
            </w:r>
            <w:r>
              <w:rPr>
                <w:b/>
                <w:color w:val="000000"/>
              </w:rPr>
              <w:t xml:space="preserve"> </w:t>
            </w:r>
            <w:r>
              <w:rPr>
                <w:bCs/>
                <w:color w:val="000000"/>
              </w:rPr>
              <w:t>The Utility Reform Network (TURN)</w:t>
            </w:r>
          </w:p>
        </w:tc>
        <w:tc>
          <w:tcPr>
            <w:tcW w:w="5397" w:type="dxa"/>
          </w:tcPr>
          <w:p w:rsidRPr="007F620E" w:rsidR="00625B30" w:rsidP="00A47EB7" w:rsidRDefault="00625B30" w14:paraId="3979BBD2" w14:textId="1142BC3E">
            <w:pPr>
              <w:tabs>
                <w:tab w:val="left" w:pos="1872"/>
                <w:tab w:val="right" w:pos="3672"/>
              </w:tabs>
              <w:rPr>
                <w:b/>
                <w:color w:val="000000"/>
              </w:rPr>
            </w:pPr>
            <w:r w:rsidRPr="007F620E">
              <w:rPr>
                <w:b/>
                <w:color w:val="000000"/>
              </w:rPr>
              <w:t xml:space="preserve">For contribution to </w:t>
            </w:r>
            <w:r w:rsidRPr="00FE673A" w:rsidR="00FE673A">
              <w:rPr>
                <w:bCs/>
                <w:color w:val="000000"/>
              </w:rPr>
              <w:t>D.</w:t>
            </w:r>
            <w:r w:rsidRPr="009A22EE" w:rsidR="009A22EE">
              <w:rPr>
                <w:bCs/>
                <w:color w:val="000000"/>
              </w:rPr>
              <w:t>25-09-006</w:t>
            </w:r>
          </w:p>
        </w:tc>
      </w:tr>
      <w:tr w:rsidRPr="007F620E" w:rsidR="00625B30" w:rsidTr="003B408F" w14:paraId="3BAE7DD6" w14:textId="77777777">
        <w:tc>
          <w:tcPr>
            <w:tcW w:w="3963" w:type="dxa"/>
          </w:tcPr>
          <w:p w:rsidRPr="002A4432" w:rsidR="00625B30" w:rsidP="00A47EB7" w:rsidRDefault="00625B30" w14:paraId="0FB0268E" w14:textId="10E802A5">
            <w:pPr>
              <w:tabs>
                <w:tab w:val="left" w:pos="1620"/>
                <w:tab w:val="right" w:pos="4500"/>
              </w:tabs>
              <w:rPr>
                <w:b/>
                <w:color w:val="000000"/>
              </w:rPr>
            </w:pPr>
            <w:r w:rsidRPr="007F620E">
              <w:rPr>
                <w:b/>
                <w:color w:val="000000"/>
              </w:rPr>
              <w:t>Claimed</w:t>
            </w:r>
            <w:r w:rsidRPr="00A03087">
              <w:rPr>
                <w:b/>
                <w:color w:val="000000"/>
              </w:rPr>
              <w:t xml:space="preserve">: </w:t>
            </w:r>
            <w:r w:rsidRPr="00AB2F28" w:rsidR="00263356">
              <w:rPr>
                <w:bCs/>
                <w:color w:val="000000"/>
              </w:rPr>
              <w:t>$188,148.44</w:t>
            </w:r>
          </w:p>
        </w:tc>
        <w:tc>
          <w:tcPr>
            <w:tcW w:w="5397" w:type="dxa"/>
            <w:tcBorders>
              <w:bottom w:val="single" w:color="auto" w:sz="4" w:space="0"/>
            </w:tcBorders>
          </w:tcPr>
          <w:p w:rsidRPr="007F620E" w:rsidR="00625B30" w:rsidP="00A47EB7" w:rsidRDefault="00625B30" w14:paraId="73C3DAD1" w14:textId="598380DD">
            <w:pPr>
              <w:tabs>
                <w:tab w:val="left" w:pos="1872"/>
                <w:tab w:val="right" w:pos="3672"/>
              </w:tabs>
              <w:rPr>
                <w:b/>
                <w:color w:val="000000"/>
                <w:u w:val="single"/>
              </w:rPr>
            </w:pPr>
            <w:r w:rsidRPr="007F620E">
              <w:rPr>
                <w:b/>
                <w:color w:val="000000"/>
              </w:rPr>
              <w:t xml:space="preserve">Awarded: </w:t>
            </w:r>
            <w:r w:rsidRPr="00AB2F28">
              <w:rPr>
                <w:bCs/>
                <w:color w:val="000000"/>
              </w:rPr>
              <w:t>$</w:t>
            </w:r>
            <w:r w:rsidRPr="00DC0497" w:rsidR="00DC0497">
              <w:rPr>
                <w:color w:val="000000"/>
              </w:rPr>
              <w:t>188,148.44</w:t>
            </w:r>
          </w:p>
        </w:tc>
      </w:tr>
      <w:tr w:rsidRPr="007F620E" w:rsidR="00625B30" w:rsidTr="003B408F" w14:paraId="243EB11B" w14:textId="77777777">
        <w:tc>
          <w:tcPr>
            <w:tcW w:w="3963" w:type="dxa"/>
          </w:tcPr>
          <w:p w:rsidRPr="00691528" w:rsidR="00625B30" w:rsidP="00A47EB7" w:rsidRDefault="00625B30" w14:paraId="301E429A" w14:textId="4CEB5021">
            <w:pPr>
              <w:tabs>
                <w:tab w:val="left" w:pos="3060"/>
                <w:tab w:val="right" w:pos="4500"/>
              </w:tabs>
              <w:rPr>
                <w:color w:val="000000"/>
                <w:u w:val="single"/>
              </w:rPr>
            </w:pPr>
            <w:r w:rsidRPr="007F620E">
              <w:rPr>
                <w:b/>
                <w:color w:val="000000"/>
              </w:rPr>
              <w:t xml:space="preserve">Assigned Commissioner: </w:t>
            </w:r>
            <w:r w:rsidR="00D77A1A">
              <w:rPr>
                <w:bCs/>
                <w:color w:val="000000"/>
              </w:rPr>
              <w:t>John Reynolds</w:t>
            </w:r>
            <w:bookmarkStart w:name="_Ref229557705" w:id="2"/>
            <w:r w:rsidRPr="00AB2F28" w:rsidR="00D77A1A">
              <w:rPr>
                <w:rStyle w:val="FootnoteReference"/>
                <w:bCs/>
                <w:color w:val="000000"/>
              </w:rPr>
              <w:footnoteReference w:id="1"/>
            </w:r>
            <w:bookmarkEnd w:id="2"/>
          </w:p>
        </w:tc>
        <w:tc>
          <w:tcPr>
            <w:tcW w:w="5397" w:type="dxa"/>
          </w:tcPr>
          <w:p w:rsidRPr="00691528" w:rsidR="00625B30" w:rsidP="00A47EB7" w:rsidRDefault="00625B30" w14:paraId="13EDC8D8" w14:textId="647D1B57">
            <w:pPr>
              <w:tabs>
                <w:tab w:val="left" w:pos="1872"/>
                <w:tab w:val="right" w:pos="3672"/>
              </w:tabs>
              <w:rPr>
                <w:color w:val="000000"/>
                <w:u w:val="single"/>
              </w:rPr>
            </w:pPr>
            <w:r w:rsidRPr="007F620E">
              <w:rPr>
                <w:b/>
                <w:color w:val="000000"/>
              </w:rPr>
              <w:t xml:space="preserve">Assigned ALJ: </w:t>
            </w:r>
            <w:bookmarkStart w:name="_Ref225241496" w:id="3"/>
            <w:r w:rsidRPr="00AB2F28" w:rsidR="00C03782">
              <w:rPr>
                <w:bCs/>
                <w:color w:val="000000"/>
              </w:rPr>
              <w:t>Marcelo Poirier</w:t>
            </w:r>
            <w:bookmarkStart w:name="_Ref230853448" w:id="4"/>
            <w:bookmarkEnd w:id="3"/>
            <w:r w:rsidR="00D77A1A">
              <w:rPr>
                <w:rStyle w:val="FootnoteReference"/>
                <w:bCs/>
                <w:color w:val="000000"/>
              </w:rPr>
              <w:footnoteReference w:id="2"/>
            </w:r>
            <w:bookmarkEnd w:id="4"/>
          </w:p>
        </w:tc>
      </w:tr>
    </w:tbl>
    <w:p w:rsidR="00625B30" w:rsidP="00AB2F28" w:rsidRDefault="00625B30" w14:paraId="2B9B63D7" w14:textId="3FC3207F">
      <w:pPr>
        <w:keepNext/>
        <w:spacing w:before="360"/>
        <w:jc w:val="center"/>
        <w:rPr>
          <w:b/>
          <w:color w:val="000000"/>
        </w:rPr>
      </w:pPr>
      <w:r w:rsidRPr="007F620E">
        <w:rPr>
          <w:b/>
          <w:color w:val="000000"/>
        </w:rPr>
        <w:t>PART I:</w:t>
      </w:r>
      <w:r>
        <w:rPr>
          <w:b/>
          <w:color w:val="000000"/>
        </w:rPr>
        <w:t xml:space="preserve">  </w:t>
      </w:r>
      <w:r w:rsidRPr="007F620E">
        <w:rPr>
          <w:b/>
          <w:color w:val="000000"/>
        </w:rPr>
        <w:t>PROCEDURAL ISSUES</w:t>
      </w:r>
    </w:p>
    <w:p w:rsidRPr="00625B30" w:rsidR="00625B30" w:rsidP="00625B30" w:rsidRDefault="00625B30" w14:paraId="4FA04D13" w14:textId="77777777">
      <w:pPr>
        <w:keepNext/>
        <w:jc w:val="center"/>
        <w:rPr>
          <w:i/>
          <w:color w:val="000000"/>
          <w:u w:val="single"/>
        </w:rPr>
      </w:pPr>
    </w:p>
    <w:tbl>
      <w:tblPr>
        <w:tblpPr w:leftFromText="187" w:rightFromText="187" w:vertAnchor="text" w:tblpY="1"/>
        <w:tblOverlap w:val="neve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08"/>
        <w:gridCol w:w="5647"/>
      </w:tblGrid>
      <w:tr w:rsidRPr="007F620E" w:rsidR="00625B30" w:rsidTr="00725F0A" w14:paraId="23E65303" w14:textId="77777777">
        <w:tc>
          <w:tcPr>
            <w:tcW w:w="3708" w:type="dxa"/>
          </w:tcPr>
          <w:p w:rsidRPr="007F620E" w:rsidR="00625B30" w:rsidP="00ED55FC" w:rsidRDefault="00625B30" w14:paraId="7EF356D2" w14:textId="77777777">
            <w:pPr>
              <w:rPr>
                <w:b/>
                <w:color w:val="000000"/>
              </w:rPr>
            </w:pPr>
            <w:r w:rsidRPr="007F620E">
              <w:rPr>
                <w:b/>
                <w:color w:val="000000"/>
              </w:rPr>
              <w:t xml:space="preserve">A.  Brief description of Decision: </w:t>
            </w:r>
          </w:p>
        </w:tc>
        <w:tc>
          <w:tcPr>
            <w:tcW w:w="5647" w:type="dxa"/>
          </w:tcPr>
          <w:p w:rsidRPr="007F620E" w:rsidR="00625B30" w:rsidP="00ED55FC" w:rsidRDefault="00390153" w14:paraId="0ED531DB" w14:textId="6C5ED0F6">
            <w:pPr>
              <w:rPr>
                <w:color w:val="000000"/>
              </w:rPr>
            </w:pPr>
            <w:r w:rsidRPr="00390153">
              <w:rPr>
                <w:bCs/>
                <w:color w:val="000000"/>
              </w:rPr>
              <w:t>In D.25-09-006, the Commission adopted three settlement agreements in San Diego Gas &amp; Electric Company’s 2024 General Rate Case Phase 2, resolving cost allocation, marginal costs, time-of-use rate design, and medical baseline issues. The decision also adopted the system percentage of change methodology, addressed Power Charge Indifference Adjustment rate design and bill presentment issues, and approved SDG&amp;E’s uncontested proposals.</w:t>
            </w:r>
          </w:p>
        </w:tc>
      </w:tr>
    </w:tbl>
    <w:p w:rsidR="00725F0A" w:rsidRDefault="00725F0A" w14:paraId="3074DED3" w14:textId="25AE2A66"/>
    <w:p w:rsidR="00625B30" w:rsidRDefault="00725F0A" w14:paraId="1C528B13" w14:textId="64F2C842">
      <w:r>
        <w:br w:type="page"/>
      </w:r>
    </w:p>
    <w:p w:rsidR="00AB472A" w:rsidP="00AB472A" w:rsidRDefault="00625B30" w14:paraId="156581CF" w14:textId="46D8F141">
      <w:pPr>
        <w:keepNext/>
        <w:numPr>
          <w:ilvl w:val="0"/>
          <w:numId w:val="1"/>
        </w:numPr>
        <w:rPr>
          <w:b/>
          <w:color w:val="000000"/>
        </w:rPr>
      </w:pPr>
      <w:r w:rsidRPr="007F620E">
        <w:rPr>
          <w:b/>
          <w:color w:val="000000"/>
        </w:rPr>
        <w:lastRenderedPageBreak/>
        <w:t>Intervenor must satisfy intervenor compensation requirements set forth in Pub. Util. Code §§ 1801-1812</w:t>
      </w:r>
      <w:r>
        <w:rPr>
          <w:rStyle w:val="FootnoteReference"/>
          <w:rFonts w:eastAsiaTheme="majorEastAsia"/>
          <w:b/>
          <w:color w:val="000000"/>
        </w:rPr>
        <w:footnoteReference w:id="3"/>
      </w:r>
      <w:r w:rsidRPr="007F620E">
        <w:rPr>
          <w:b/>
          <w:color w:val="000000"/>
        </w:rPr>
        <w:t>:</w:t>
      </w:r>
    </w:p>
    <w:p w:rsidRPr="00AB472A" w:rsidR="00AB472A" w:rsidP="00AB472A" w:rsidRDefault="00AB472A" w14:paraId="6480F903" w14:textId="77777777">
      <w:pPr>
        <w:keepNext/>
        <w:ind w:left="360"/>
        <w:rPr>
          <w:b/>
          <w:color w:val="000000"/>
        </w:rPr>
      </w:pPr>
    </w:p>
    <w:tbl>
      <w:tblPr>
        <w:tblpPr w:leftFromText="187" w:rightFromText="187" w:vertAnchor="text" w:tblpY="1"/>
        <w:tblOverlap w:val="neve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817"/>
        <w:gridCol w:w="2267"/>
        <w:gridCol w:w="2276"/>
      </w:tblGrid>
      <w:tr w:rsidRPr="007F620E" w:rsidR="00625B30" w:rsidTr="00C86F48" w14:paraId="399A957E" w14:textId="77777777">
        <w:trPr>
          <w:tblHeader/>
        </w:trPr>
        <w:tc>
          <w:tcPr>
            <w:tcW w:w="4817" w:type="dxa"/>
            <w:tcBorders>
              <w:bottom w:val="single" w:color="auto" w:sz="4" w:space="0"/>
            </w:tcBorders>
          </w:tcPr>
          <w:p w:rsidRPr="007F620E" w:rsidR="00625B30" w:rsidP="00ED55FC" w:rsidRDefault="00625B30" w14:paraId="1D6F2E4E" w14:textId="77777777">
            <w:pPr>
              <w:tabs>
                <w:tab w:val="left" w:pos="360"/>
              </w:tabs>
              <w:jc w:val="center"/>
              <w:rPr>
                <w:color w:val="000000"/>
              </w:rPr>
            </w:pPr>
          </w:p>
        </w:tc>
        <w:tc>
          <w:tcPr>
            <w:tcW w:w="2267" w:type="dxa"/>
            <w:tcBorders>
              <w:bottom w:val="single" w:color="auto" w:sz="4" w:space="0"/>
            </w:tcBorders>
          </w:tcPr>
          <w:p w:rsidRPr="007F620E" w:rsidR="00625B30" w:rsidP="00ED55FC" w:rsidRDefault="00625B30" w14:paraId="4D502B6B" w14:textId="77777777">
            <w:pPr>
              <w:tabs>
                <w:tab w:val="left" w:pos="360"/>
              </w:tabs>
              <w:jc w:val="center"/>
              <w:rPr>
                <w:b/>
                <w:color w:val="000000"/>
              </w:rPr>
            </w:pPr>
            <w:r w:rsidRPr="007F620E">
              <w:rPr>
                <w:b/>
                <w:color w:val="000000"/>
              </w:rPr>
              <w:t>Intervenor</w:t>
            </w:r>
          </w:p>
        </w:tc>
        <w:tc>
          <w:tcPr>
            <w:tcW w:w="2276" w:type="dxa"/>
            <w:tcBorders>
              <w:bottom w:val="single" w:color="auto" w:sz="4" w:space="0"/>
            </w:tcBorders>
          </w:tcPr>
          <w:p w:rsidRPr="007F620E" w:rsidR="00625B30" w:rsidP="00ED55FC" w:rsidRDefault="00625B30" w14:paraId="179E93D8" w14:textId="77777777">
            <w:pPr>
              <w:tabs>
                <w:tab w:val="left" w:pos="360"/>
              </w:tabs>
              <w:jc w:val="center"/>
              <w:rPr>
                <w:b/>
                <w:color w:val="000000"/>
              </w:rPr>
            </w:pPr>
            <w:r w:rsidRPr="007F620E">
              <w:rPr>
                <w:b/>
                <w:color w:val="000000"/>
              </w:rPr>
              <w:t xml:space="preserve">CPUC </w:t>
            </w:r>
            <w:r>
              <w:rPr>
                <w:b/>
                <w:color w:val="000000"/>
              </w:rPr>
              <w:t>Verification</w:t>
            </w:r>
          </w:p>
        </w:tc>
      </w:tr>
      <w:tr w:rsidRPr="007F620E" w:rsidR="00625B30" w:rsidTr="004D1F0C" w14:paraId="30C1C53A"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F620E" w:rsidR="00625B30" w:rsidP="00ED55FC" w:rsidRDefault="00625B30" w14:paraId="7A65DC4F" w14:textId="77777777">
            <w:pPr>
              <w:keepNext/>
              <w:tabs>
                <w:tab w:val="left" w:pos="360"/>
              </w:tabs>
              <w:jc w:val="center"/>
              <w:rPr>
                <w:b/>
              </w:rPr>
            </w:pPr>
            <w:r w:rsidRPr="007F620E">
              <w:rPr>
                <w:b/>
              </w:rPr>
              <w:t>Timely filing of notice of intent to claim compensation (NOI) (§ 1804(a)):</w:t>
            </w:r>
          </w:p>
        </w:tc>
      </w:tr>
      <w:tr w:rsidRPr="007F620E" w:rsidR="00625B30" w:rsidTr="00C86F48" w14:paraId="29C972CE" w14:textId="77777777">
        <w:tc>
          <w:tcPr>
            <w:tcW w:w="4817" w:type="dxa"/>
            <w:tcBorders>
              <w:top w:val="single" w:color="auto" w:sz="4" w:space="0"/>
            </w:tcBorders>
          </w:tcPr>
          <w:p w:rsidRPr="007F620E" w:rsidR="00625B30" w:rsidP="00ED55FC" w:rsidRDefault="00625B30" w14:paraId="14B80595" w14:textId="77777777">
            <w:pPr>
              <w:keepNext/>
              <w:tabs>
                <w:tab w:val="left" w:pos="360"/>
              </w:tabs>
              <w:ind w:left="360" w:hanging="360"/>
              <w:rPr>
                <w:color w:val="000000"/>
              </w:rPr>
            </w:pPr>
            <w:r w:rsidRPr="007F620E">
              <w:rPr>
                <w:color w:val="000000"/>
              </w:rPr>
              <w:t>1.</w:t>
            </w:r>
            <w:r>
              <w:rPr>
                <w:color w:val="000000"/>
              </w:rPr>
              <w:tab/>
            </w:r>
            <w:r w:rsidRPr="007F620E">
              <w:rPr>
                <w:color w:val="000000"/>
              </w:rPr>
              <w:t>Date of Prehearing Conference:</w:t>
            </w:r>
          </w:p>
        </w:tc>
        <w:tc>
          <w:tcPr>
            <w:tcW w:w="2267" w:type="dxa"/>
            <w:tcBorders>
              <w:top w:val="single" w:color="auto" w:sz="4" w:space="0"/>
            </w:tcBorders>
          </w:tcPr>
          <w:p w:rsidRPr="007F620E" w:rsidR="00625B30" w:rsidP="00ED55FC" w:rsidRDefault="003764EC" w14:paraId="72BAF1DA" w14:textId="38F06F68">
            <w:pPr>
              <w:keepNext/>
              <w:keepLines/>
              <w:tabs>
                <w:tab w:val="left" w:pos="360"/>
              </w:tabs>
              <w:ind w:left="360" w:hanging="360"/>
              <w:rPr>
                <w:color w:val="000000"/>
              </w:rPr>
            </w:pPr>
            <w:r w:rsidRPr="003764EC">
              <w:rPr>
                <w:color w:val="000000"/>
              </w:rPr>
              <w:t>5/10/2023</w:t>
            </w:r>
          </w:p>
        </w:tc>
        <w:tc>
          <w:tcPr>
            <w:tcW w:w="2276" w:type="dxa"/>
            <w:tcBorders>
              <w:top w:val="single" w:color="auto" w:sz="4" w:space="0"/>
            </w:tcBorders>
          </w:tcPr>
          <w:p w:rsidRPr="007F620E" w:rsidR="00625B30" w:rsidP="00ED55FC" w:rsidRDefault="00824ABF" w14:paraId="08DD3867" w14:textId="06C9F81D">
            <w:pPr>
              <w:keepNext/>
              <w:tabs>
                <w:tab w:val="left" w:pos="360"/>
              </w:tabs>
              <w:jc w:val="both"/>
              <w:rPr>
                <w:color w:val="000000"/>
              </w:rPr>
            </w:pPr>
            <w:r>
              <w:rPr>
                <w:color w:val="000000"/>
              </w:rPr>
              <w:t>Verified</w:t>
            </w:r>
          </w:p>
        </w:tc>
      </w:tr>
      <w:tr w:rsidRPr="007F620E" w:rsidR="00625B30" w:rsidTr="00C86F48" w14:paraId="4988EACE" w14:textId="77777777">
        <w:tc>
          <w:tcPr>
            <w:tcW w:w="4817" w:type="dxa"/>
          </w:tcPr>
          <w:p w:rsidRPr="007F620E" w:rsidR="00625B30" w:rsidP="00ED55FC" w:rsidRDefault="00625B30" w14:paraId="304602D5" w14:textId="77777777">
            <w:pPr>
              <w:tabs>
                <w:tab w:val="left" w:pos="360"/>
              </w:tabs>
              <w:ind w:left="360" w:hanging="360"/>
              <w:rPr>
                <w:color w:val="000000"/>
              </w:rPr>
            </w:pPr>
            <w:r w:rsidRPr="007F620E">
              <w:rPr>
                <w:color w:val="000000"/>
              </w:rPr>
              <w:t>2.</w:t>
            </w:r>
            <w:r>
              <w:rPr>
                <w:color w:val="000000"/>
              </w:rPr>
              <w:tab/>
            </w:r>
            <w:r w:rsidRPr="007F620E">
              <w:rPr>
                <w:color w:val="000000"/>
              </w:rPr>
              <w:t>Other specified date for NOI:</w:t>
            </w:r>
          </w:p>
        </w:tc>
        <w:tc>
          <w:tcPr>
            <w:tcW w:w="2267" w:type="dxa"/>
          </w:tcPr>
          <w:p w:rsidRPr="007F620E" w:rsidR="00625B30" w:rsidP="00ED55FC" w:rsidRDefault="005660A6" w14:paraId="08E76F7D" w14:textId="4F81164A">
            <w:pPr>
              <w:keepNext/>
              <w:keepLines/>
              <w:tabs>
                <w:tab w:val="left" w:pos="360"/>
              </w:tabs>
              <w:ind w:left="360" w:hanging="360"/>
              <w:rPr>
                <w:color w:val="000000"/>
              </w:rPr>
            </w:pPr>
            <w:r>
              <w:rPr>
                <w:color w:val="000000"/>
              </w:rPr>
              <w:t>N/A</w:t>
            </w:r>
          </w:p>
        </w:tc>
        <w:tc>
          <w:tcPr>
            <w:tcW w:w="2276" w:type="dxa"/>
          </w:tcPr>
          <w:p w:rsidRPr="007F620E" w:rsidR="00625B30" w:rsidP="00ED55FC" w:rsidRDefault="00625B30" w14:paraId="31ACB42D" w14:textId="77777777">
            <w:pPr>
              <w:tabs>
                <w:tab w:val="left" w:pos="360"/>
              </w:tabs>
              <w:jc w:val="both"/>
              <w:rPr>
                <w:color w:val="000000"/>
              </w:rPr>
            </w:pPr>
          </w:p>
        </w:tc>
      </w:tr>
      <w:tr w:rsidRPr="007F620E" w:rsidR="00625B30" w:rsidTr="00C86F48" w14:paraId="62DE5447" w14:textId="77777777">
        <w:tc>
          <w:tcPr>
            <w:tcW w:w="4817" w:type="dxa"/>
          </w:tcPr>
          <w:p w:rsidRPr="007F620E" w:rsidR="00625B30" w:rsidP="00ED55FC" w:rsidRDefault="00625B30" w14:paraId="24A4AD1D" w14:textId="77777777">
            <w:pPr>
              <w:tabs>
                <w:tab w:val="left" w:pos="360"/>
              </w:tabs>
              <w:ind w:left="360" w:hanging="360"/>
              <w:rPr>
                <w:color w:val="000000"/>
              </w:rPr>
            </w:pPr>
            <w:r w:rsidRPr="007F620E">
              <w:rPr>
                <w:color w:val="000000"/>
              </w:rPr>
              <w:t>3.</w:t>
            </w:r>
            <w:r>
              <w:rPr>
                <w:color w:val="000000"/>
              </w:rPr>
              <w:tab/>
            </w:r>
            <w:r w:rsidRPr="007F620E">
              <w:rPr>
                <w:color w:val="000000"/>
              </w:rPr>
              <w:t>Date NOI filed:</w:t>
            </w:r>
          </w:p>
        </w:tc>
        <w:tc>
          <w:tcPr>
            <w:tcW w:w="2267" w:type="dxa"/>
            <w:tcBorders>
              <w:bottom w:val="single" w:color="auto" w:sz="4" w:space="0"/>
            </w:tcBorders>
          </w:tcPr>
          <w:p w:rsidRPr="007F620E" w:rsidR="00625B30" w:rsidP="00ED55FC" w:rsidRDefault="003764EC" w14:paraId="5C9207ED" w14:textId="41EED91B">
            <w:pPr>
              <w:keepNext/>
              <w:keepLines/>
              <w:tabs>
                <w:tab w:val="left" w:pos="360"/>
              </w:tabs>
              <w:ind w:left="360" w:hanging="360"/>
              <w:rPr>
                <w:color w:val="000000"/>
              </w:rPr>
            </w:pPr>
            <w:r>
              <w:rPr>
                <w:color w:val="000000"/>
              </w:rPr>
              <w:t>6/9/2023</w:t>
            </w:r>
          </w:p>
        </w:tc>
        <w:tc>
          <w:tcPr>
            <w:tcW w:w="2276" w:type="dxa"/>
            <w:tcBorders>
              <w:bottom w:val="single" w:color="auto" w:sz="4" w:space="0"/>
            </w:tcBorders>
          </w:tcPr>
          <w:p w:rsidRPr="007F620E" w:rsidR="00625B30" w:rsidP="00ED55FC" w:rsidRDefault="00760202" w14:paraId="6946F97E" w14:textId="15BEF6F4">
            <w:pPr>
              <w:tabs>
                <w:tab w:val="left" w:pos="360"/>
              </w:tabs>
              <w:jc w:val="both"/>
              <w:rPr>
                <w:color w:val="000000"/>
              </w:rPr>
            </w:pPr>
            <w:r>
              <w:rPr>
                <w:color w:val="000000"/>
              </w:rPr>
              <w:t>Verified</w:t>
            </w:r>
          </w:p>
        </w:tc>
      </w:tr>
      <w:tr w:rsidRPr="007F620E" w:rsidR="00625B30" w:rsidTr="00C86F48" w14:paraId="69CAF72E" w14:textId="77777777">
        <w:tc>
          <w:tcPr>
            <w:tcW w:w="7084" w:type="dxa"/>
            <w:gridSpan w:val="2"/>
            <w:tcBorders>
              <w:bottom w:val="single" w:color="auto" w:sz="4" w:space="0"/>
            </w:tcBorders>
          </w:tcPr>
          <w:p w:rsidRPr="007F620E" w:rsidR="00625B30" w:rsidP="00ED55FC" w:rsidRDefault="00625B30" w14:paraId="06540B27" w14:textId="77777777">
            <w:pPr>
              <w:tabs>
                <w:tab w:val="left" w:pos="360"/>
              </w:tabs>
              <w:ind w:left="360" w:hanging="360"/>
              <w:rPr>
                <w:color w:val="000000"/>
              </w:rPr>
            </w:pPr>
            <w:r w:rsidRPr="007F620E">
              <w:rPr>
                <w:color w:val="000000"/>
              </w:rPr>
              <w:t>4.</w:t>
            </w:r>
            <w:r>
              <w:rPr>
                <w:color w:val="000000"/>
              </w:rPr>
              <w:tab/>
            </w:r>
            <w:r w:rsidRPr="007F620E">
              <w:rPr>
                <w:color w:val="000000"/>
              </w:rPr>
              <w:t>Was the NOI timely filed?</w:t>
            </w:r>
          </w:p>
        </w:tc>
        <w:tc>
          <w:tcPr>
            <w:tcW w:w="2276" w:type="dxa"/>
            <w:tcBorders>
              <w:bottom w:val="single" w:color="auto" w:sz="4" w:space="0"/>
            </w:tcBorders>
          </w:tcPr>
          <w:p w:rsidRPr="007F620E" w:rsidR="00625B30" w:rsidP="00ED55FC" w:rsidRDefault="00760202" w14:paraId="613C8519" w14:textId="5800E07E">
            <w:pPr>
              <w:tabs>
                <w:tab w:val="left" w:pos="360"/>
              </w:tabs>
              <w:rPr>
                <w:color w:val="000000"/>
              </w:rPr>
            </w:pPr>
            <w:r>
              <w:rPr>
                <w:color w:val="000000"/>
              </w:rPr>
              <w:t>Yes</w:t>
            </w:r>
          </w:p>
        </w:tc>
      </w:tr>
      <w:tr w:rsidRPr="007F620E" w:rsidR="00625B30" w:rsidTr="004D1F0C" w14:paraId="132BA11A"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625B30" w:rsidP="00ED55FC" w:rsidRDefault="00625B30" w14:paraId="2A799D84" w14:textId="77777777">
            <w:pPr>
              <w:keepNext/>
              <w:keepLines/>
              <w:tabs>
                <w:tab w:val="left" w:pos="360"/>
              </w:tabs>
              <w:jc w:val="center"/>
              <w:rPr>
                <w:b/>
                <w:color w:val="000000"/>
              </w:rPr>
            </w:pPr>
            <w:r w:rsidRPr="007F620E">
              <w:rPr>
                <w:b/>
                <w:color w:val="000000"/>
              </w:rPr>
              <w:t>Showing of eligible customer status (§ 1802(b)</w:t>
            </w:r>
            <w:r>
              <w:rPr>
                <w:b/>
                <w:color w:val="000000"/>
              </w:rPr>
              <w:t>)</w:t>
            </w:r>
          </w:p>
          <w:p w:rsidRPr="007F620E" w:rsidR="00625B30" w:rsidP="00ED55FC" w:rsidRDefault="00625B30" w14:paraId="169CA9D2" w14:textId="77777777">
            <w:pPr>
              <w:keepNext/>
              <w:keepLines/>
              <w:tabs>
                <w:tab w:val="left" w:pos="360"/>
              </w:tabs>
              <w:jc w:val="center"/>
              <w:rPr>
                <w:b/>
                <w:color w:val="000000"/>
              </w:rPr>
            </w:pPr>
            <w:r w:rsidRPr="007F620E">
              <w:rPr>
                <w:b/>
                <w:color w:val="000000"/>
              </w:rPr>
              <w:t xml:space="preserve"> or eligible local government entity </w:t>
            </w:r>
            <w:r>
              <w:rPr>
                <w:b/>
                <w:color w:val="000000"/>
              </w:rPr>
              <w:t xml:space="preserve">status </w:t>
            </w:r>
            <w:r w:rsidRPr="007F620E">
              <w:rPr>
                <w:b/>
                <w:color w:val="000000"/>
              </w:rPr>
              <w:t>(§§ 1802(d), 1802.4):</w:t>
            </w:r>
          </w:p>
        </w:tc>
      </w:tr>
      <w:tr w:rsidRPr="007F620E" w:rsidR="00625B30" w:rsidTr="00C86F48" w14:paraId="4D9BC127" w14:textId="77777777">
        <w:tc>
          <w:tcPr>
            <w:tcW w:w="4817" w:type="dxa"/>
            <w:tcBorders>
              <w:top w:val="single" w:color="auto" w:sz="4" w:space="0"/>
            </w:tcBorders>
          </w:tcPr>
          <w:p w:rsidRPr="007F620E" w:rsidR="00625B30" w:rsidP="00ED55FC" w:rsidRDefault="00625B30" w14:paraId="0BD024AF" w14:textId="77777777">
            <w:pPr>
              <w:keepNext/>
              <w:keepLines/>
              <w:ind w:left="360" w:hanging="360"/>
              <w:rPr>
                <w:color w:val="000000"/>
              </w:rPr>
            </w:pPr>
            <w:r w:rsidRPr="007F620E">
              <w:rPr>
                <w:color w:val="000000"/>
              </w:rPr>
              <w:t>5.</w:t>
            </w:r>
            <w:r>
              <w:rPr>
                <w:color w:val="000000"/>
              </w:rPr>
              <w:tab/>
            </w:r>
            <w:r w:rsidRPr="007F620E">
              <w:rPr>
                <w:color w:val="000000"/>
              </w:rPr>
              <w:t>Based on ALJ ruling issued in proceeding   number:</w:t>
            </w:r>
          </w:p>
        </w:tc>
        <w:tc>
          <w:tcPr>
            <w:tcW w:w="2267" w:type="dxa"/>
            <w:tcBorders>
              <w:top w:val="single" w:color="auto" w:sz="4" w:space="0"/>
            </w:tcBorders>
          </w:tcPr>
          <w:p w:rsidRPr="005660A6" w:rsidR="005660A6" w:rsidP="005660A6" w:rsidRDefault="003764EC" w14:paraId="6B4AE975" w14:textId="0E25CE67">
            <w:pPr>
              <w:rPr>
                <w:color w:val="000000"/>
              </w:rPr>
            </w:pPr>
            <w:r w:rsidRPr="003764EC">
              <w:rPr>
                <w:color w:val="000000"/>
              </w:rPr>
              <w:t>A.21-12-007</w:t>
            </w:r>
          </w:p>
          <w:p w:rsidRPr="007F620E" w:rsidR="00625B30" w:rsidP="00ED55FC" w:rsidRDefault="00625B30" w14:paraId="4B1C16EE" w14:textId="70955EBB">
            <w:pPr>
              <w:keepNext/>
              <w:keepLines/>
              <w:tabs>
                <w:tab w:val="left" w:pos="360"/>
              </w:tabs>
              <w:ind w:left="360" w:hanging="360"/>
              <w:rPr>
                <w:color w:val="000000"/>
              </w:rPr>
            </w:pPr>
          </w:p>
        </w:tc>
        <w:tc>
          <w:tcPr>
            <w:tcW w:w="2276" w:type="dxa"/>
            <w:tcBorders>
              <w:top w:val="single" w:color="auto" w:sz="4" w:space="0"/>
            </w:tcBorders>
          </w:tcPr>
          <w:p w:rsidRPr="007F620E" w:rsidR="00625B30" w:rsidP="00ED55FC" w:rsidRDefault="000A7E81" w14:paraId="0FA87BA2" w14:textId="0C2D2AD9">
            <w:pPr>
              <w:keepNext/>
              <w:keepLines/>
              <w:tabs>
                <w:tab w:val="left" w:pos="360"/>
              </w:tabs>
              <w:rPr>
                <w:color w:val="000000"/>
              </w:rPr>
            </w:pPr>
            <w:r>
              <w:rPr>
                <w:color w:val="000000"/>
              </w:rPr>
              <w:t>Verified</w:t>
            </w:r>
          </w:p>
        </w:tc>
      </w:tr>
      <w:tr w:rsidRPr="007F620E" w:rsidR="00625B30" w:rsidTr="00C86F48" w14:paraId="0DD8BF7E" w14:textId="77777777">
        <w:tc>
          <w:tcPr>
            <w:tcW w:w="4817" w:type="dxa"/>
          </w:tcPr>
          <w:p w:rsidRPr="007F620E" w:rsidR="00625B30" w:rsidP="00ED55FC" w:rsidRDefault="00625B30" w14:paraId="6B4DE40F" w14:textId="77777777">
            <w:pPr>
              <w:tabs>
                <w:tab w:val="left" w:pos="360"/>
              </w:tabs>
              <w:ind w:left="360" w:hanging="360"/>
              <w:rPr>
                <w:color w:val="000000"/>
              </w:rPr>
            </w:pPr>
            <w:r w:rsidRPr="007F620E">
              <w:rPr>
                <w:color w:val="000000"/>
              </w:rPr>
              <w:t>6.</w:t>
            </w:r>
            <w:r>
              <w:rPr>
                <w:color w:val="000000"/>
              </w:rPr>
              <w:tab/>
            </w:r>
            <w:r w:rsidRPr="007F620E">
              <w:rPr>
                <w:color w:val="000000"/>
              </w:rPr>
              <w:t>Date of ALJ ruling:</w:t>
            </w:r>
          </w:p>
        </w:tc>
        <w:tc>
          <w:tcPr>
            <w:tcW w:w="2267" w:type="dxa"/>
          </w:tcPr>
          <w:p w:rsidRPr="007F620E" w:rsidR="00625B30" w:rsidP="00ED55FC" w:rsidRDefault="003764EC" w14:paraId="26330D0F" w14:textId="2928826A">
            <w:pPr>
              <w:tabs>
                <w:tab w:val="left" w:pos="360"/>
              </w:tabs>
              <w:ind w:left="360" w:hanging="360"/>
              <w:rPr>
                <w:color w:val="000000"/>
              </w:rPr>
            </w:pPr>
            <w:r w:rsidRPr="003764EC">
              <w:rPr>
                <w:color w:val="000000"/>
              </w:rPr>
              <w:t>5/31/22</w:t>
            </w:r>
          </w:p>
        </w:tc>
        <w:tc>
          <w:tcPr>
            <w:tcW w:w="2276" w:type="dxa"/>
          </w:tcPr>
          <w:p w:rsidRPr="007F620E" w:rsidR="00625B30" w:rsidP="00ED55FC" w:rsidRDefault="000A7E81" w14:paraId="0F88CACC" w14:textId="7A95722E">
            <w:pPr>
              <w:tabs>
                <w:tab w:val="left" w:pos="360"/>
              </w:tabs>
              <w:rPr>
                <w:color w:val="000000"/>
              </w:rPr>
            </w:pPr>
            <w:r>
              <w:rPr>
                <w:color w:val="000000"/>
              </w:rPr>
              <w:t>Verified</w:t>
            </w:r>
          </w:p>
        </w:tc>
      </w:tr>
      <w:tr w:rsidRPr="007F620E" w:rsidR="00625B30" w:rsidTr="00C86F48" w14:paraId="29CED8DF" w14:textId="77777777">
        <w:tc>
          <w:tcPr>
            <w:tcW w:w="4817" w:type="dxa"/>
          </w:tcPr>
          <w:p w:rsidRPr="007F620E" w:rsidR="00625B30" w:rsidP="00ED55FC" w:rsidRDefault="00625B30" w14:paraId="4F36EDE9" w14:textId="77777777">
            <w:pPr>
              <w:tabs>
                <w:tab w:val="left" w:pos="360"/>
              </w:tabs>
              <w:ind w:left="360" w:hanging="360"/>
              <w:rPr>
                <w:color w:val="000000"/>
              </w:rPr>
            </w:pPr>
            <w:r w:rsidRPr="007F620E">
              <w:rPr>
                <w:color w:val="000000"/>
              </w:rPr>
              <w:t>7.</w:t>
            </w:r>
            <w:r>
              <w:rPr>
                <w:color w:val="000000"/>
              </w:rPr>
              <w:tab/>
            </w:r>
            <w:r w:rsidRPr="007F620E">
              <w:rPr>
                <w:color w:val="000000"/>
              </w:rPr>
              <w:t>Based on another CPUC determination (specify):</w:t>
            </w:r>
          </w:p>
        </w:tc>
        <w:tc>
          <w:tcPr>
            <w:tcW w:w="2267" w:type="dxa"/>
            <w:tcBorders>
              <w:bottom w:val="single" w:color="auto" w:sz="4" w:space="0"/>
            </w:tcBorders>
          </w:tcPr>
          <w:p w:rsidRPr="007F620E" w:rsidR="00625B30" w:rsidP="00ED55FC" w:rsidRDefault="00625B30" w14:paraId="0951D2C6" w14:textId="77777777">
            <w:pPr>
              <w:tabs>
                <w:tab w:val="left" w:pos="360"/>
              </w:tabs>
              <w:ind w:left="360" w:hanging="360"/>
              <w:rPr>
                <w:color w:val="000000"/>
              </w:rPr>
            </w:pPr>
          </w:p>
        </w:tc>
        <w:tc>
          <w:tcPr>
            <w:tcW w:w="2276" w:type="dxa"/>
            <w:tcBorders>
              <w:bottom w:val="single" w:color="auto" w:sz="4" w:space="0"/>
            </w:tcBorders>
          </w:tcPr>
          <w:p w:rsidRPr="007F620E" w:rsidR="00625B30" w:rsidP="00ED55FC" w:rsidRDefault="00625B30" w14:paraId="230FA237" w14:textId="77777777">
            <w:pPr>
              <w:tabs>
                <w:tab w:val="left" w:pos="360"/>
              </w:tabs>
              <w:rPr>
                <w:color w:val="000000"/>
              </w:rPr>
            </w:pPr>
          </w:p>
        </w:tc>
      </w:tr>
      <w:tr w:rsidRPr="007F620E" w:rsidR="00625B30" w:rsidTr="00C86F48" w14:paraId="31F5B12F" w14:textId="77777777">
        <w:tc>
          <w:tcPr>
            <w:tcW w:w="7084" w:type="dxa"/>
            <w:gridSpan w:val="2"/>
            <w:tcBorders>
              <w:bottom w:val="single" w:color="auto" w:sz="4" w:space="0"/>
            </w:tcBorders>
          </w:tcPr>
          <w:p w:rsidRPr="007F620E" w:rsidR="00625B30" w:rsidP="00ED55FC" w:rsidRDefault="00625B30" w14:paraId="7F62A206" w14:textId="77777777">
            <w:pPr>
              <w:tabs>
                <w:tab w:val="left" w:pos="360"/>
              </w:tabs>
              <w:ind w:left="360" w:hanging="360"/>
              <w:rPr>
                <w:color w:val="000000"/>
              </w:rPr>
            </w:pPr>
            <w:r w:rsidRPr="007F620E">
              <w:rPr>
                <w:color w:val="000000"/>
              </w:rPr>
              <w:t>8.</w:t>
            </w:r>
            <w:r>
              <w:rPr>
                <w:color w:val="000000"/>
              </w:rPr>
              <w:tab/>
            </w:r>
            <w:r w:rsidRPr="007F620E">
              <w:rPr>
                <w:color w:val="000000"/>
              </w:rPr>
              <w:t xml:space="preserve">Has the Intervenor demonstrated </w:t>
            </w:r>
            <w:r w:rsidRPr="00ED6B6B">
              <w:t>customer</w:t>
            </w:r>
            <w:r w:rsidRPr="007F620E">
              <w:rPr>
                <w:color w:val="000000"/>
              </w:rPr>
              <w:t xml:space="preserve"> </w:t>
            </w:r>
            <w:r>
              <w:rPr>
                <w:color w:val="000000"/>
              </w:rPr>
              <w:t>status or eligible government entity status</w:t>
            </w:r>
            <w:r w:rsidRPr="007F620E">
              <w:rPr>
                <w:color w:val="000000"/>
              </w:rPr>
              <w:t>?</w:t>
            </w:r>
          </w:p>
        </w:tc>
        <w:tc>
          <w:tcPr>
            <w:tcW w:w="2276" w:type="dxa"/>
            <w:tcBorders>
              <w:bottom w:val="single" w:color="auto" w:sz="4" w:space="0"/>
            </w:tcBorders>
          </w:tcPr>
          <w:p w:rsidRPr="007F620E" w:rsidR="00625B30" w:rsidP="00ED55FC" w:rsidRDefault="000A7E81" w14:paraId="05EEB72B" w14:textId="4EF6D253">
            <w:pPr>
              <w:tabs>
                <w:tab w:val="left" w:pos="360"/>
              </w:tabs>
              <w:rPr>
                <w:color w:val="000000"/>
              </w:rPr>
            </w:pPr>
            <w:r>
              <w:rPr>
                <w:color w:val="000000"/>
              </w:rPr>
              <w:t>Yes</w:t>
            </w:r>
          </w:p>
        </w:tc>
      </w:tr>
      <w:tr w:rsidRPr="007F620E" w:rsidR="00625B30" w:rsidTr="004D1F0C" w14:paraId="0D3F0494"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F620E" w:rsidR="00625B30" w:rsidP="00ED55FC" w:rsidRDefault="00625B30" w14:paraId="399B1345" w14:textId="77777777">
            <w:pPr>
              <w:keepNext/>
              <w:tabs>
                <w:tab w:val="left" w:pos="360"/>
              </w:tabs>
              <w:jc w:val="center"/>
              <w:rPr>
                <w:color w:val="000000"/>
              </w:rPr>
            </w:pPr>
            <w:r w:rsidRPr="007F620E">
              <w:rPr>
                <w:b/>
                <w:color w:val="000000"/>
              </w:rPr>
              <w:t>Showing of “significant financial hardship” (§1802(</w:t>
            </w:r>
            <w:r>
              <w:rPr>
                <w:b/>
                <w:color w:val="000000"/>
              </w:rPr>
              <w:t>h</w:t>
            </w:r>
            <w:r w:rsidRPr="007F620E">
              <w:rPr>
                <w:b/>
                <w:color w:val="000000"/>
              </w:rPr>
              <w:t>) or §1803.1(b))</w:t>
            </w:r>
            <w:r>
              <w:rPr>
                <w:b/>
                <w:color w:val="000000"/>
              </w:rPr>
              <w:t>:</w:t>
            </w:r>
          </w:p>
        </w:tc>
      </w:tr>
      <w:tr w:rsidRPr="007F620E" w:rsidR="00625B30" w:rsidTr="00C86F48" w14:paraId="565C1DE7" w14:textId="77777777">
        <w:tc>
          <w:tcPr>
            <w:tcW w:w="4817" w:type="dxa"/>
            <w:tcBorders>
              <w:top w:val="single" w:color="auto" w:sz="4" w:space="0"/>
            </w:tcBorders>
          </w:tcPr>
          <w:p w:rsidRPr="007F620E" w:rsidR="00625B30" w:rsidP="00ED55FC" w:rsidRDefault="00625B30" w14:paraId="459F5252" w14:textId="77777777">
            <w:pPr>
              <w:tabs>
                <w:tab w:val="left" w:pos="315"/>
              </w:tabs>
              <w:ind w:left="360" w:hanging="360"/>
              <w:rPr>
                <w:color w:val="000000"/>
              </w:rPr>
            </w:pPr>
            <w:r w:rsidRPr="007F620E">
              <w:rPr>
                <w:color w:val="000000"/>
              </w:rPr>
              <w:t>9.</w:t>
            </w:r>
            <w:r>
              <w:rPr>
                <w:color w:val="000000"/>
              </w:rPr>
              <w:tab/>
            </w:r>
            <w:r w:rsidRPr="007F620E">
              <w:rPr>
                <w:color w:val="000000"/>
              </w:rPr>
              <w:t>Based on ALJ ruling issued in proceeding number:</w:t>
            </w:r>
          </w:p>
        </w:tc>
        <w:tc>
          <w:tcPr>
            <w:tcW w:w="2267" w:type="dxa"/>
            <w:tcBorders>
              <w:top w:val="single" w:color="auto" w:sz="4" w:space="0"/>
            </w:tcBorders>
          </w:tcPr>
          <w:p w:rsidRPr="007F620E" w:rsidR="00625B30" w:rsidP="00ED55FC" w:rsidRDefault="003764EC" w14:paraId="0C25E23E" w14:textId="09B97DFF">
            <w:pPr>
              <w:tabs>
                <w:tab w:val="left" w:pos="360"/>
              </w:tabs>
              <w:ind w:left="360" w:hanging="360"/>
              <w:rPr>
                <w:color w:val="000000"/>
              </w:rPr>
            </w:pPr>
            <w:r w:rsidRPr="003764EC">
              <w:rPr>
                <w:color w:val="000000"/>
              </w:rPr>
              <w:t>A.21-12-007</w:t>
            </w:r>
          </w:p>
        </w:tc>
        <w:tc>
          <w:tcPr>
            <w:tcW w:w="2276" w:type="dxa"/>
            <w:tcBorders>
              <w:top w:val="single" w:color="auto" w:sz="4" w:space="0"/>
            </w:tcBorders>
          </w:tcPr>
          <w:p w:rsidRPr="007F620E" w:rsidR="00625B30" w:rsidP="00ED55FC" w:rsidRDefault="000A7E81" w14:paraId="24651ED2" w14:textId="6108FE50">
            <w:pPr>
              <w:tabs>
                <w:tab w:val="left" w:pos="360"/>
              </w:tabs>
              <w:rPr>
                <w:color w:val="000000"/>
              </w:rPr>
            </w:pPr>
            <w:r>
              <w:rPr>
                <w:color w:val="000000"/>
              </w:rPr>
              <w:t>Verified</w:t>
            </w:r>
          </w:p>
        </w:tc>
      </w:tr>
      <w:tr w:rsidRPr="007F620E" w:rsidR="00625B30" w:rsidTr="00C86F48" w14:paraId="58ECF57D" w14:textId="77777777">
        <w:tc>
          <w:tcPr>
            <w:tcW w:w="4817" w:type="dxa"/>
          </w:tcPr>
          <w:p w:rsidRPr="007F620E" w:rsidR="00625B30" w:rsidP="00ED55FC" w:rsidRDefault="00625B30" w14:paraId="26F408ED" w14:textId="77777777">
            <w:pPr>
              <w:ind w:left="360" w:hanging="360"/>
              <w:rPr>
                <w:color w:val="000000"/>
              </w:rPr>
            </w:pPr>
            <w:r w:rsidRPr="007F620E">
              <w:rPr>
                <w:color w:val="000000"/>
              </w:rPr>
              <w:t>10.</w:t>
            </w:r>
            <w:r>
              <w:rPr>
                <w:color w:val="000000"/>
              </w:rPr>
              <w:tab/>
            </w:r>
            <w:r w:rsidRPr="007F620E">
              <w:rPr>
                <w:color w:val="000000"/>
              </w:rPr>
              <w:t>Date of ALJ ruling:</w:t>
            </w:r>
          </w:p>
        </w:tc>
        <w:tc>
          <w:tcPr>
            <w:tcW w:w="2267" w:type="dxa"/>
          </w:tcPr>
          <w:p w:rsidRPr="007F620E" w:rsidR="00625B30" w:rsidP="00ED55FC" w:rsidRDefault="003764EC" w14:paraId="7B07360C" w14:textId="64405504">
            <w:pPr>
              <w:tabs>
                <w:tab w:val="left" w:pos="360"/>
              </w:tabs>
              <w:ind w:left="360" w:hanging="360"/>
              <w:rPr>
                <w:color w:val="000000"/>
              </w:rPr>
            </w:pPr>
            <w:r w:rsidRPr="003764EC">
              <w:rPr>
                <w:color w:val="000000"/>
              </w:rPr>
              <w:t>5/31/22</w:t>
            </w:r>
          </w:p>
        </w:tc>
        <w:tc>
          <w:tcPr>
            <w:tcW w:w="2276" w:type="dxa"/>
          </w:tcPr>
          <w:p w:rsidRPr="007F620E" w:rsidR="00625B30" w:rsidP="00ED55FC" w:rsidRDefault="000A7E81" w14:paraId="5EB17546" w14:textId="5C8E0B97">
            <w:pPr>
              <w:tabs>
                <w:tab w:val="left" w:pos="360"/>
              </w:tabs>
              <w:rPr>
                <w:color w:val="000000"/>
              </w:rPr>
            </w:pPr>
            <w:r>
              <w:rPr>
                <w:color w:val="000000"/>
              </w:rPr>
              <w:t>Verified</w:t>
            </w:r>
          </w:p>
        </w:tc>
      </w:tr>
      <w:tr w:rsidRPr="007F620E" w:rsidR="00625B30" w:rsidTr="00C86F48" w14:paraId="40DCBBF0" w14:textId="77777777">
        <w:tc>
          <w:tcPr>
            <w:tcW w:w="4817" w:type="dxa"/>
          </w:tcPr>
          <w:p w:rsidRPr="007F620E" w:rsidR="00625B30" w:rsidP="00ED55FC" w:rsidRDefault="00625B30" w14:paraId="1592AE4E" w14:textId="77777777">
            <w:pPr>
              <w:ind w:left="360" w:hanging="360"/>
              <w:rPr>
                <w:color w:val="000000"/>
              </w:rPr>
            </w:pPr>
            <w:r w:rsidRPr="007F620E">
              <w:rPr>
                <w:color w:val="000000"/>
              </w:rPr>
              <w:t>11.</w:t>
            </w:r>
            <w:r>
              <w:rPr>
                <w:color w:val="000000"/>
              </w:rPr>
              <w:tab/>
            </w:r>
            <w:r w:rsidRPr="007F620E">
              <w:rPr>
                <w:color w:val="000000"/>
              </w:rPr>
              <w:t>Based on another CPUC determination (specify):</w:t>
            </w:r>
          </w:p>
        </w:tc>
        <w:tc>
          <w:tcPr>
            <w:tcW w:w="2267" w:type="dxa"/>
          </w:tcPr>
          <w:p w:rsidRPr="007F620E" w:rsidR="00625B30" w:rsidP="00ED55FC" w:rsidRDefault="00625B30" w14:paraId="37359D69" w14:textId="77777777">
            <w:pPr>
              <w:tabs>
                <w:tab w:val="left" w:pos="360"/>
              </w:tabs>
              <w:ind w:left="360" w:hanging="360"/>
              <w:rPr>
                <w:color w:val="000000"/>
              </w:rPr>
            </w:pPr>
          </w:p>
        </w:tc>
        <w:tc>
          <w:tcPr>
            <w:tcW w:w="2276" w:type="dxa"/>
          </w:tcPr>
          <w:p w:rsidRPr="007F620E" w:rsidR="00625B30" w:rsidP="00ED55FC" w:rsidRDefault="00625B30" w14:paraId="1EE48C07" w14:textId="77777777">
            <w:pPr>
              <w:tabs>
                <w:tab w:val="left" w:pos="360"/>
              </w:tabs>
              <w:rPr>
                <w:color w:val="000000"/>
              </w:rPr>
            </w:pPr>
          </w:p>
        </w:tc>
      </w:tr>
      <w:tr w:rsidRPr="007F620E" w:rsidR="00625B30" w:rsidTr="00C86F48" w14:paraId="457CA627" w14:textId="77777777">
        <w:tc>
          <w:tcPr>
            <w:tcW w:w="7084" w:type="dxa"/>
            <w:gridSpan w:val="2"/>
            <w:tcBorders>
              <w:bottom w:val="single" w:color="auto" w:sz="4" w:space="0"/>
            </w:tcBorders>
          </w:tcPr>
          <w:p w:rsidRPr="003439D4" w:rsidR="00625B30" w:rsidP="00ED55FC" w:rsidRDefault="00625B30" w14:paraId="6F22C665" w14:textId="77777777">
            <w:pPr>
              <w:tabs>
                <w:tab w:val="left" w:pos="360"/>
              </w:tabs>
              <w:ind w:left="360" w:hanging="360"/>
              <w:rPr>
                <w:color w:val="000000"/>
              </w:rPr>
            </w:pPr>
            <w:r w:rsidRPr="003439D4">
              <w:rPr>
                <w:color w:val="000000"/>
              </w:rPr>
              <w:t>12.</w:t>
            </w:r>
            <w:r w:rsidRPr="003439D4">
              <w:rPr>
                <w:color w:val="000000"/>
              </w:rPr>
              <w:tab/>
              <w:t>Has the Intervenor demonstrated significant financial hardship?</w:t>
            </w:r>
          </w:p>
        </w:tc>
        <w:tc>
          <w:tcPr>
            <w:tcW w:w="2276" w:type="dxa"/>
            <w:tcBorders>
              <w:bottom w:val="single" w:color="auto" w:sz="4" w:space="0"/>
            </w:tcBorders>
          </w:tcPr>
          <w:p w:rsidRPr="007F620E" w:rsidR="00625B30" w:rsidP="00ED55FC" w:rsidRDefault="000A7E81" w14:paraId="2421F339" w14:textId="6FBD61C9">
            <w:pPr>
              <w:tabs>
                <w:tab w:val="left" w:pos="360"/>
              </w:tabs>
              <w:rPr>
                <w:color w:val="000000"/>
              </w:rPr>
            </w:pPr>
            <w:r>
              <w:rPr>
                <w:color w:val="000000"/>
              </w:rPr>
              <w:t>Yes</w:t>
            </w:r>
          </w:p>
        </w:tc>
      </w:tr>
      <w:tr w:rsidRPr="007F620E" w:rsidR="00625B30" w:rsidTr="004D1F0C" w14:paraId="2503D1AC"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3439D4" w:rsidR="00625B30" w:rsidP="00ED55FC" w:rsidRDefault="00625B30" w14:paraId="59FEF4D7" w14:textId="77777777">
            <w:pPr>
              <w:keepNext/>
              <w:tabs>
                <w:tab w:val="left" w:pos="360"/>
              </w:tabs>
              <w:jc w:val="center"/>
              <w:rPr>
                <w:color w:val="000000"/>
              </w:rPr>
            </w:pPr>
            <w:r w:rsidRPr="003439D4">
              <w:rPr>
                <w:b/>
                <w:color w:val="000000"/>
              </w:rPr>
              <w:t>Timely request for compensation (§ 1804(c)):</w:t>
            </w:r>
          </w:p>
        </w:tc>
      </w:tr>
      <w:tr w:rsidRPr="007F620E" w:rsidR="00625B30" w:rsidTr="00C86F48" w14:paraId="52477DCC" w14:textId="77777777">
        <w:tc>
          <w:tcPr>
            <w:tcW w:w="4817" w:type="dxa"/>
            <w:tcBorders>
              <w:top w:val="single" w:color="auto" w:sz="4" w:space="0"/>
            </w:tcBorders>
          </w:tcPr>
          <w:p w:rsidRPr="003439D4" w:rsidR="00625B30" w:rsidP="00ED55FC" w:rsidRDefault="00625B30" w14:paraId="1E8F66BD" w14:textId="77777777">
            <w:pPr>
              <w:keepNext/>
              <w:tabs>
                <w:tab w:val="left" w:pos="612"/>
              </w:tabs>
              <w:ind w:left="360" w:hanging="360"/>
              <w:rPr>
                <w:color w:val="000000"/>
              </w:rPr>
            </w:pPr>
            <w:r w:rsidRPr="003439D4">
              <w:rPr>
                <w:color w:val="000000"/>
              </w:rPr>
              <w:t>13.</w:t>
            </w:r>
            <w:r w:rsidRPr="003439D4">
              <w:rPr>
                <w:color w:val="000000"/>
              </w:rPr>
              <w:tab/>
              <w:t>Identify Final Decision:</w:t>
            </w:r>
          </w:p>
        </w:tc>
        <w:tc>
          <w:tcPr>
            <w:tcW w:w="2267" w:type="dxa"/>
            <w:tcBorders>
              <w:top w:val="single" w:color="auto" w:sz="4" w:space="0"/>
            </w:tcBorders>
          </w:tcPr>
          <w:p w:rsidRPr="003439D4" w:rsidR="00625B30" w:rsidP="00ED55FC" w:rsidRDefault="003764EC" w14:paraId="7E651D6C" w14:textId="5F897531">
            <w:pPr>
              <w:tabs>
                <w:tab w:val="left" w:pos="360"/>
              </w:tabs>
              <w:rPr>
                <w:color w:val="000000"/>
              </w:rPr>
            </w:pPr>
            <w:r w:rsidRPr="00FE673A">
              <w:rPr>
                <w:bCs/>
                <w:color w:val="000000"/>
              </w:rPr>
              <w:t>D.</w:t>
            </w:r>
            <w:r w:rsidRPr="009A22EE">
              <w:rPr>
                <w:bCs/>
                <w:color w:val="000000"/>
              </w:rPr>
              <w:t>25-09-006</w:t>
            </w:r>
          </w:p>
        </w:tc>
        <w:tc>
          <w:tcPr>
            <w:tcW w:w="2276" w:type="dxa"/>
            <w:tcBorders>
              <w:top w:val="single" w:color="auto" w:sz="4" w:space="0"/>
            </w:tcBorders>
          </w:tcPr>
          <w:p w:rsidRPr="007F620E" w:rsidR="00625B30" w:rsidP="00ED55FC" w:rsidRDefault="00AB472A" w14:paraId="0826C45B" w14:textId="21D1E455">
            <w:pPr>
              <w:tabs>
                <w:tab w:val="left" w:pos="360"/>
              </w:tabs>
              <w:rPr>
                <w:color w:val="000000"/>
              </w:rPr>
            </w:pPr>
            <w:r>
              <w:rPr>
                <w:color w:val="000000"/>
              </w:rPr>
              <w:t>Verified</w:t>
            </w:r>
          </w:p>
        </w:tc>
      </w:tr>
      <w:tr w:rsidRPr="007F620E" w:rsidR="00625B30" w:rsidTr="00C86F48" w14:paraId="1C4A82D2" w14:textId="77777777">
        <w:tc>
          <w:tcPr>
            <w:tcW w:w="4817" w:type="dxa"/>
          </w:tcPr>
          <w:p w:rsidRPr="003439D4" w:rsidR="00625B30" w:rsidP="00ED55FC" w:rsidRDefault="00625B30" w14:paraId="1BB1D16E" w14:textId="77777777">
            <w:pPr>
              <w:tabs>
                <w:tab w:val="left" w:pos="612"/>
              </w:tabs>
              <w:ind w:left="360" w:hanging="360"/>
              <w:rPr>
                <w:color w:val="000000"/>
              </w:rPr>
            </w:pPr>
            <w:r w:rsidRPr="003439D4">
              <w:rPr>
                <w:color w:val="000000"/>
              </w:rPr>
              <w:t>14.</w:t>
            </w:r>
            <w:r w:rsidRPr="003439D4">
              <w:rPr>
                <w:color w:val="000000"/>
              </w:rPr>
              <w:tab/>
              <w:t xml:space="preserve">Date of issuance of Final Order or Decision:    </w:t>
            </w:r>
          </w:p>
        </w:tc>
        <w:tc>
          <w:tcPr>
            <w:tcW w:w="2267" w:type="dxa"/>
          </w:tcPr>
          <w:p w:rsidRPr="003439D4" w:rsidR="00625B30" w:rsidP="00ED55FC" w:rsidRDefault="003764EC" w14:paraId="0FBC2608" w14:textId="2C494C86">
            <w:pPr>
              <w:tabs>
                <w:tab w:val="left" w:pos="360"/>
              </w:tabs>
              <w:rPr>
                <w:color w:val="000000"/>
              </w:rPr>
            </w:pPr>
            <w:r w:rsidRPr="003764EC">
              <w:rPr>
                <w:color w:val="000000"/>
              </w:rPr>
              <w:t>9/22/2025</w:t>
            </w:r>
          </w:p>
        </w:tc>
        <w:tc>
          <w:tcPr>
            <w:tcW w:w="2276" w:type="dxa"/>
          </w:tcPr>
          <w:p w:rsidRPr="007F620E" w:rsidR="00625B30" w:rsidP="00ED55FC" w:rsidRDefault="00AB472A" w14:paraId="400BB5CE" w14:textId="2FCAB4D9">
            <w:pPr>
              <w:tabs>
                <w:tab w:val="left" w:pos="360"/>
              </w:tabs>
              <w:rPr>
                <w:color w:val="000000"/>
              </w:rPr>
            </w:pPr>
            <w:r>
              <w:rPr>
                <w:color w:val="000000"/>
              </w:rPr>
              <w:t>Verified</w:t>
            </w:r>
          </w:p>
        </w:tc>
      </w:tr>
      <w:tr w:rsidRPr="007F620E" w:rsidR="00625B30" w:rsidTr="00C86F48" w14:paraId="1CDFC2D4" w14:textId="77777777">
        <w:tc>
          <w:tcPr>
            <w:tcW w:w="4817" w:type="dxa"/>
          </w:tcPr>
          <w:p w:rsidRPr="003439D4" w:rsidR="00625B30" w:rsidP="00ED55FC" w:rsidRDefault="00625B30" w14:paraId="718963BD" w14:textId="77777777">
            <w:pPr>
              <w:tabs>
                <w:tab w:val="left" w:pos="612"/>
              </w:tabs>
              <w:ind w:left="360" w:hanging="360"/>
              <w:rPr>
                <w:color w:val="000000"/>
              </w:rPr>
            </w:pPr>
            <w:r w:rsidRPr="003439D4">
              <w:rPr>
                <w:color w:val="000000"/>
              </w:rPr>
              <w:t>15.</w:t>
            </w:r>
            <w:r w:rsidRPr="003439D4">
              <w:rPr>
                <w:color w:val="000000"/>
              </w:rPr>
              <w:tab/>
              <w:t>File date of compensation request:</w:t>
            </w:r>
          </w:p>
        </w:tc>
        <w:tc>
          <w:tcPr>
            <w:tcW w:w="2267" w:type="dxa"/>
          </w:tcPr>
          <w:p w:rsidRPr="003439D4" w:rsidR="00625B30" w:rsidP="00ED55FC" w:rsidRDefault="00EA146E" w14:paraId="3EC4455E" w14:textId="7A734659">
            <w:pPr>
              <w:tabs>
                <w:tab w:val="left" w:pos="360"/>
              </w:tabs>
              <w:rPr>
                <w:color w:val="000000"/>
              </w:rPr>
            </w:pPr>
            <w:r>
              <w:rPr>
                <w:color w:val="000000"/>
              </w:rPr>
              <w:t>1</w:t>
            </w:r>
            <w:r w:rsidR="003764EC">
              <w:rPr>
                <w:color w:val="000000"/>
              </w:rPr>
              <w:t>1</w:t>
            </w:r>
            <w:r>
              <w:rPr>
                <w:color w:val="000000"/>
              </w:rPr>
              <w:t>/</w:t>
            </w:r>
            <w:r w:rsidR="003764EC">
              <w:rPr>
                <w:color w:val="000000"/>
              </w:rPr>
              <w:t>20</w:t>
            </w:r>
            <w:r w:rsidR="00EC18CA">
              <w:rPr>
                <w:color w:val="000000"/>
              </w:rPr>
              <w:t>/2025</w:t>
            </w:r>
          </w:p>
        </w:tc>
        <w:tc>
          <w:tcPr>
            <w:tcW w:w="2276" w:type="dxa"/>
          </w:tcPr>
          <w:p w:rsidRPr="007F620E" w:rsidR="00625B30" w:rsidP="00ED55FC" w:rsidRDefault="00AB472A" w14:paraId="0AA5FCCC" w14:textId="5828F990">
            <w:pPr>
              <w:tabs>
                <w:tab w:val="left" w:pos="360"/>
              </w:tabs>
              <w:rPr>
                <w:color w:val="000000"/>
              </w:rPr>
            </w:pPr>
            <w:r>
              <w:rPr>
                <w:color w:val="000000"/>
              </w:rPr>
              <w:t>Verified</w:t>
            </w:r>
          </w:p>
        </w:tc>
      </w:tr>
      <w:tr w:rsidRPr="007F620E" w:rsidR="00625B30" w:rsidTr="00C86F48" w14:paraId="7F31CB95" w14:textId="77777777">
        <w:tc>
          <w:tcPr>
            <w:tcW w:w="7084" w:type="dxa"/>
            <w:gridSpan w:val="2"/>
          </w:tcPr>
          <w:p w:rsidRPr="007F620E" w:rsidR="00625B30" w:rsidP="00ED55FC" w:rsidRDefault="00625B30" w14:paraId="4F41F2A4" w14:textId="77777777">
            <w:pPr>
              <w:tabs>
                <w:tab w:val="left" w:pos="360"/>
              </w:tabs>
              <w:ind w:left="360" w:hanging="360"/>
              <w:rPr>
                <w:color w:val="000000"/>
              </w:rPr>
            </w:pPr>
            <w:r w:rsidRPr="007F620E">
              <w:rPr>
                <w:color w:val="000000"/>
              </w:rPr>
              <w:t>16</w:t>
            </w:r>
            <w:r>
              <w:rPr>
                <w:color w:val="000000"/>
              </w:rPr>
              <w:t>.</w:t>
            </w:r>
            <w:r>
              <w:rPr>
                <w:color w:val="000000"/>
              </w:rPr>
              <w:tab/>
            </w:r>
            <w:r w:rsidRPr="007F620E">
              <w:rPr>
                <w:color w:val="000000"/>
              </w:rPr>
              <w:t>Was the request for compensation timely?</w:t>
            </w:r>
          </w:p>
        </w:tc>
        <w:tc>
          <w:tcPr>
            <w:tcW w:w="2276" w:type="dxa"/>
          </w:tcPr>
          <w:p w:rsidRPr="007F620E" w:rsidR="00625B30" w:rsidP="00ED55FC" w:rsidRDefault="00AB472A" w14:paraId="30065D30" w14:textId="078F80A7">
            <w:pPr>
              <w:tabs>
                <w:tab w:val="left" w:pos="360"/>
              </w:tabs>
              <w:rPr>
                <w:color w:val="000000"/>
              </w:rPr>
            </w:pPr>
            <w:r>
              <w:rPr>
                <w:color w:val="000000"/>
              </w:rPr>
              <w:t>Yes</w:t>
            </w:r>
          </w:p>
        </w:tc>
      </w:tr>
    </w:tbl>
    <w:p w:rsidR="00625B30" w:rsidRDefault="00625B30" w14:paraId="703FDAC3" w14:textId="77777777"/>
    <w:p w:rsidR="00625B30" w:rsidP="00625B30" w:rsidRDefault="00625B30" w14:paraId="79BE9856" w14:textId="77777777">
      <w:pPr>
        <w:keepNext/>
        <w:keepLines/>
        <w:adjustRightInd w:val="0"/>
        <w:snapToGrid w:val="0"/>
        <w:contextualSpacing/>
        <w:jc w:val="center"/>
        <w:rPr>
          <w:b/>
          <w:color w:val="000000"/>
        </w:rPr>
      </w:pPr>
      <w:r w:rsidRPr="007F620E">
        <w:rPr>
          <w:b/>
          <w:color w:val="000000"/>
        </w:rPr>
        <w:lastRenderedPageBreak/>
        <w:t>PART II:</w:t>
      </w:r>
      <w:r>
        <w:rPr>
          <w:b/>
          <w:color w:val="000000"/>
        </w:rPr>
        <w:t xml:space="preserve">  </w:t>
      </w:r>
      <w:r w:rsidRPr="007F620E">
        <w:rPr>
          <w:b/>
          <w:color w:val="000000"/>
        </w:rPr>
        <w:t>SUBSTANTIAL CONTRIBUTION</w:t>
      </w:r>
    </w:p>
    <w:p w:rsidRPr="00C86F48" w:rsidR="00C86F48" w:rsidP="00AB2F28" w:rsidRDefault="00C86F48" w14:paraId="7FAC7211" w14:textId="77777777">
      <w:pPr>
        <w:keepNext/>
        <w:keepLines/>
        <w:adjustRightInd w:val="0"/>
        <w:snapToGrid w:val="0"/>
        <w:spacing w:after="240"/>
        <w:contextualSpacing/>
        <w:rPr>
          <w:b/>
          <w:color w:val="000000"/>
        </w:rPr>
      </w:pPr>
    </w:p>
    <w:p w:rsidRPr="00C86F48" w:rsidR="00FB5810" w:rsidP="00FB5810" w:rsidRDefault="00625B30" w14:paraId="55AB20A7" w14:textId="15A0E6CC">
      <w:pPr>
        <w:keepNext/>
        <w:keepLines/>
        <w:numPr>
          <w:ilvl w:val="0"/>
          <w:numId w:val="2"/>
        </w:numPr>
        <w:adjustRightInd w:val="0"/>
        <w:snapToGrid w:val="0"/>
        <w:spacing w:after="240"/>
        <w:contextualSpacing/>
        <w:rPr>
          <w:b/>
          <w:color w:val="000000"/>
        </w:rPr>
      </w:pPr>
      <w:r w:rsidRPr="007F620E">
        <w:rPr>
          <w:b/>
          <w:color w:val="000000"/>
        </w:rPr>
        <w:t>Did the Intervenor substantially contribute to the final decision (</w:t>
      </w:r>
      <w:r w:rsidRPr="007F620E">
        <w:rPr>
          <w:b/>
          <w:i/>
          <w:color w:val="000000"/>
        </w:rPr>
        <w:t>see</w:t>
      </w:r>
      <w:r w:rsidRPr="007F620E">
        <w:rPr>
          <w:b/>
          <w:color w:val="000000"/>
        </w:rPr>
        <w:t xml:space="preserve"> § 1802(</w:t>
      </w:r>
      <w:r>
        <w:rPr>
          <w:b/>
          <w:color w:val="000000"/>
        </w:rPr>
        <w:t>j</w:t>
      </w:r>
      <w:r w:rsidRPr="007F620E">
        <w:rPr>
          <w:b/>
          <w:color w:val="000000"/>
        </w:rPr>
        <w:t xml:space="preserve">), </w:t>
      </w:r>
      <w:r w:rsidRPr="007F620E">
        <w:rPr>
          <w:b/>
          <w:color w:val="000000"/>
        </w:rPr>
        <w:br/>
        <w:t xml:space="preserve">§ 1803(a), </w:t>
      </w:r>
      <w:r>
        <w:rPr>
          <w:b/>
          <w:color w:val="000000"/>
        </w:rPr>
        <w:t xml:space="preserve">1803.1(a) </w:t>
      </w:r>
      <w:r w:rsidRPr="007F620E">
        <w:rPr>
          <w:b/>
          <w:color w:val="000000"/>
        </w:rPr>
        <w:t>and D.98-04-059)</w:t>
      </w:r>
      <w:r>
        <w:rPr>
          <w:b/>
          <w:color w:val="000000"/>
        </w:rPr>
        <w:t>:</w:t>
      </w:r>
      <w:r w:rsidRPr="007F620E">
        <w:rPr>
          <w:b/>
          <w:color w:val="000000"/>
        </w:rPr>
        <w:t xml:space="preserve">  </w:t>
      </w:r>
    </w:p>
    <w:p w:rsidRPr="00FB5810" w:rsidR="00C86F48" w:rsidP="00C86F48" w:rsidRDefault="00C86F48" w14:paraId="454772A6" w14:textId="77777777">
      <w:pPr>
        <w:keepNext/>
        <w:keepLines/>
        <w:adjustRightInd w:val="0"/>
        <w:snapToGrid w:val="0"/>
        <w:spacing w:after="240"/>
        <w:ind w:left="360"/>
        <w:contextualSpacing/>
        <w:rPr>
          <w:b/>
          <w:color w:val="000000"/>
        </w:rPr>
      </w:pP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75"/>
        <w:gridCol w:w="2970"/>
        <w:gridCol w:w="1710"/>
      </w:tblGrid>
      <w:tr w:rsidRPr="003349DE" w:rsidR="00FB5810" w:rsidTr="00725F0A" w14:paraId="07FA65D8" w14:textId="77777777">
        <w:tc>
          <w:tcPr>
            <w:tcW w:w="4675" w:type="dxa"/>
            <w:tcBorders>
              <w:bottom w:val="single" w:color="auto" w:sz="4" w:space="0"/>
            </w:tcBorders>
            <w:shd w:val="clear" w:color="auto" w:fill="D9D9D9" w:themeFill="background1" w:themeFillShade="D9"/>
          </w:tcPr>
          <w:p w:rsidRPr="003349DE" w:rsidR="00FB5810" w:rsidP="00FB5810" w:rsidRDefault="00FB5810" w14:paraId="486D5253" w14:textId="77777777">
            <w:pPr>
              <w:spacing w:before="120"/>
              <w:jc w:val="center"/>
              <w:rPr>
                <w:b/>
                <w:color w:val="000000"/>
              </w:rPr>
            </w:pPr>
            <w:r w:rsidRPr="003349DE">
              <w:rPr>
                <w:b/>
                <w:color w:val="000000"/>
              </w:rPr>
              <w:t>Intervenor’s Claimed Contribution(s)</w:t>
            </w:r>
          </w:p>
        </w:tc>
        <w:tc>
          <w:tcPr>
            <w:tcW w:w="2970" w:type="dxa"/>
            <w:tcBorders>
              <w:bottom w:val="single" w:color="auto" w:sz="4" w:space="0"/>
            </w:tcBorders>
            <w:shd w:val="clear" w:color="auto" w:fill="D9D9D9" w:themeFill="background1" w:themeFillShade="D9"/>
          </w:tcPr>
          <w:p w:rsidRPr="003349DE" w:rsidR="00FB5810" w:rsidP="00FB5810" w:rsidRDefault="00FB5810" w14:paraId="24FC2155" w14:textId="77777777">
            <w:pPr>
              <w:spacing w:before="120"/>
              <w:jc w:val="center"/>
              <w:rPr>
                <w:b/>
                <w:color w:val="000000"/>
              </w:rPr>
            </w:pPr>
            <w:r w:rsidRPr="003349DE">
              <w:rPr>
                <w:b/>
                <w:color w:val="000000"/>
              </w:rPr>
              <w:t>Specific References to Intervenor’s Claimed Contribution(s)</w:t>
            </w:r>
          </w:p>
        </w:tc>
        <w:tc>
          <w:tcPr>
            <w:tcW w:w="1710" w:type="dxa"/>
            <w:shd w:val="clear" w:color="auto" w:fill="D9D9D9" w:themeFill="background1" w:themeFillShade="D9"/>
          </w:tcPr>
          <w:p w:rsidRPr="003349DE" w:rsidR="00FB5810" w:rsidP="00FB5810" w:rsidRDefault="00FB5810" w14:paraId="779771EC" w14:textId="77777777">
            <w:pPr>
              <w:spacing w:before="120"/>
              <w:jc w:val="center"/>
              <w:rPr>
                <w:b/>
                <w:color w:val="000000"/>
              </w:rPr>
            </w:pPr>
            <w:r w:rsidRPr="003349DE">
              <w:rPr>
                <w:b/>
                <w:color w:val="000000"/>
              </w:rPr>
              <w:t>CPUC Discussion</w:t>
            </w:r>
          </w:p>
        </w:tc>
      </w:tr>
      <w:tr w:rsidRPr="003349DE" w:rsidR="00FB5810" w:rsidTr="00725F0A" w14:paraId="4EAFE7D1" w14:textId="77777777">
        <w:tc>
          <w:tcPr>
            <w:tcW w:w="4675" w:type="dxa"/>
          </w:tcPr>
          <w:p w:rsidRPr="005F696A" w:rsidR="00FB5810" w:rsidP="00FB5810" w:rsidRDefault="002C1111" w14:paraId="2D54CE89" w14:textId="0EE71EF7">
            <w:pPr>
              <w:spacing w:before="120"/>
              <w:rPr>
                <w:b/>
                <w:bCs/>
                <w:color w:val="000000"/>
                <w:u w:val="single"/>
              </w:rPr>
            </w:pPr>
            <w:r>
              <w:rPr>
                <w:b/>
                <w:bCs/>
                <w:color w:val="000000"/>
                <w:u w:val="single"/>
              </w:rPr>
              <w:t>1</w:t>
            </w:r>
            <w:r w:rsidRPr="005F696A" w:rsidR="00FB5810">
              <w:rPr>
                <w:b/>
                <w:bCs/>
                <w:color w:val="000000"/>
                <w:u w:val="single"/>
              </w:rPr>
              <w:t xml:space="preserve">. </w:t>
            </w:r>
            <w:r w:rsidRPr="009552CA" w:rsidR="009552CA">
              <w:rPr>
                <w:b/>
                <w:bCs/>
                <w:color w:val="000000"/>
                <w:u w:val="single"/>
              </w:rPr>
              <w:t>Marginal Distribution Customer Costs (MDCC)</w:t>
            </w:r>
          </w:p>
          <w:p w:rsidR="00FB5810" w:rsidP="00FB5810" w:rsidRDefault="00FB5810" w14:paraId="29842D32" w14:textId="77777777">
            <w:pPr>
              <w:spacing w:before="120"/>
              <w:rPr>
                <w:color w:val="000000"/>
              </w:rPr>
            </w:pPr>
          </w:p>
          <w:p w:rsidR="009552CA" w:rsidP="00FB5810" w:rsidRDefault="009552CA" w14:paraId="1DEB2463" w14:textId="77777777">
            <w:pPr>
              <w:spacing w:before="120"/>
              <w:rPr>
                <w:color w:val="000000"/>
              </w:rPr>
            </w:pPr>
            <w:r w:rsidRPr="009552CA">
              <w:rPr>
                <w:color w:val="000000"/>
              </w:rPr>
              <w:t xml:space="preserve">SDG&amp;E proposed using the Real Economic Carrying Charge (RECC) method to calculate marginal distribution customer costs. </w:t>
            </w:r>
          </w:p>
          <w:p w:rsidR="009552CA" w:rsidP="00FB5810" w:rsidRDefault="009552CA" w14:paraId="7ECCFC87" w14:textId="77777777">
            <w:pPr>
              <w:spacing w:before="120"/>
              <w:rPr>
                <w:color w:val="000000"/>
              </w:rPr>
            </w:pPr>
          </w:p>
          <w:p w:rsidR="00213F70" w:rsidP="00FB5810" w:rsidRDefault="009552CA" w14:paraId="4E168B90" w14:textId="38DAFC7E">
            <w:pPr>
              <w:spacing w:before="120"/>
              <w:rPr>
                <w:color w:val="000000"/>
              </w:rPr>
            </w:pPr>
            <w:r w:rsidRPr="009552CA">
              <w:rPr>
                <w:color w:val="000000"/>
              </w:rPr>
              <w:t xml:space="preserve">TURN </w:t>
            </w:r>
            <w:r w:rsidR="00557C6C">
              <w:rPr>
                <w:color w:val="000000"/>
              </w:rPr>
              <w:t>proposed</w:t>
            </w:r>
            <w:r w:rsidRPr="009552CA">
              <w:rPr>
                <w:color w:val="000000"/>
              </w:rPr>
              <w:t xml:space="preserve"> using the New Customer Only (NCO) method instead, arguing that marginal customer costs are driven by new customer additions rather than existing customers. TURN stated that using the NCO method more accurately reflected cost causation by linking transformer, service drop, and meter costs to incremental customer growth.</w:t>
            </w:r>
          </w:p>
          <w:p w:rsidR="009552CA" w:rsidP="00FB5810" w:rsidRDefault="009552CA" w14:paraId="3ED2C4F7" w14:textId="77777777">
            <w:pPr>
              <w:spacing w:before="120"/>
              <w:rPr>
                <w:color w:val="000000"/>
              </w:rPr>
            </w:pPr>
          </w:p>
          <w:p w:rsidRPr="007D4270" w:rsidR="0066071B" w:rsidP="007D4270" w:rsidRDefault="0066071B" w14:paraId="69D7D4EF" w14:textId="01AA46F6">
            <w:pPr>
              <w:rPr>
                <w:rFonts w:ascii="Helvetica" w:hAnsi="Helvetica"/>
                <w:color w:val="000000"/>
                <w:sz w:val="20"/>
                <w:szCs w:val="20"/>
              </w:rPr>
            </w:pPr>
            <w:r>
              <w:rPr>
                <w:color w:val="000000"/>
              </w:rPr>
              <w:t xml:space="preserve">The </w:t>
            </w:r>
            <w:r w:rsidR="000831B9">
              <w:rPr>
                <w:color w:val="000000"/>
              </w:rPr>
              <w:t xml:space="preserve">Marginal Cost </w:t>
            </w:r>
            <w:r>
              <w:rPr>
                <w:color w:val="000000"/>
              </w:rPr>
              <w:t xml:space="preserve">Settlement Agreement did not adopt the RECC or NCO method and instead struck a balance by </w:t>
            </w:r>
            <w:r w:rsidR="000831B9">
              <w:rPr>
                <w:color w:val="000000"/>
              </w:rPr>
              <w:t xml:space="preserve">adopting </w:t>
            </w:r>
            <w:r w:rsidR="00241356">
              <w:rPr>
                <w:color w:val="000000"/>
              </w:rPr>
              <w:t xml:space="preserve">a compromise position that </w:t>
            </w:r>
            <w:r w:rsidRPr="005F7379" w:rsidR="007D4270">
              <w:rPr>
                <w:rFonts w:ascii="Helvetica" w:hAnsi="Helvetica"/>
                <w:color w:val="000000"/>
                <w:sz w:val="20"/>
                <w:szCs w:val="20"/>
              </w:rPr>
              <w:t>for SDG&amp;E to set MDCCs based on results from its 2024 marginal cost study for</w:t>
            </w:r>
            <w:r w:rsidR="007D4270">
              <w:rPr>
                <w:rFonts w:ascii="Helvetica" w:hAnsi="Helvetica"/>
                <w:color w:val="000000"/>
                <w:sz w:val="20"/>
                <w:szCs w:val="20"/>
              </w:rPr>
              <w:t xml:space="preserve"> </w:t>
            </w:r>
            <w:r w:rsidRPr="005F7379" w:rsidR="007D4270">
              <w:rPr>
                <w:rFonts w:ascii="Helvetica" w:hAnsi="Helvetica"/>
                <w:color w:val="000000"/>
                <w:sz w:val="20"/>
                <w:szCs w:val="20"/>
              </w:rPr>
              <w:t>all customer classes,</w:t>
            </w:r>
            <w:r w:rsidR="007D4270">
              <w:rPr>
                <w:rFonts w:ascii="Helvetica" w:hAnsi="Helvetica"/>
                <w:color w:val="000000"/>
                <w:sz w:val="20"/>
                <w:szCs w:val="20"/>
              </w:rPr>
              <w:t xml:space="preserve"> which D.25-09-006 determined was reasonable. </w:t>
            </w:r>
          </w:p>
          <w:p w:rsidRPr="003349DE" w:rsidR="009552CA" w:rsidP="00FB5810" w:rsidRDefault="009552CA" w14:paraId="06B2E117" w14:textId="60DFA515">
            <w:pPr>
              <w:spacing w:before="120"/>
              <w:rPr>
                <w:color w:val="000000"/>
              </w:rPr>
            </w:pPr>
          </w:p>
        </w:tc>
        <w:tc>
          <w:tcPr>
            <w:tcW w:w="2970" w:type="dxa"/>
          </w:tcPr>
          <w:p w:rsidRPr="00C04011" w:rsidR="00FB5810" w:rsidP="00FB5810" w:rsidRDefault="00FB5810" w14:paraId="1771DCD7" w14:textId="77777777">
            <w:pPr>
              <w:spacing w:before="120"/>
              <w:rPr>
                <w:bCs/>
                <w:color w:val="000000"/>
              </w:rPr>
            </w:pPr>
          </w:p>
          <w:p w:rsidRPr="00C04011" w:rsidR="00135350" w:rsidP="00FB5810" w:rsidRDefault="00135350" w14:paraId="070FF1F0" w14:textId="77777777">
            <w:pPr>
              <w:spacing w:before="120"/>
              <w:rPr>
                <w:bCs/>
                <w:color w:val="000000"/>
              </w:rPr>
            </w:pPr>
          </w:p>
          <w:p w:rsidRPr="00C04011" w:rsidR="00135350" w:rsidP="00FB5810" w:rsidRDefault="00135350" w14:paraId="53207767" w14:textId="77777777">
            <w:pPr>
              <w:spacing w:before="120"/>
              <w:rPr>
                <w:bCs/>
                <w:color w:val="000000"/>
              </w:rPr>
            </w:pPr>
          </w:p>
          <w:p w:rsidRPr="009552CA" w:rsidR="00135350" w:rsidP="00927623" w:rsidRDefault="009552CA" w14:paraId="2C91E983" w14:textId="22A5EA6F">
            <w:pPr>
              <w:pStyle w:val="ListParagraph"/>
              <w:numPr>
                <w:ilvl w:val="0"/>
                <w:numId w:val="11"/>
              </w:numPr>
              <w:spacing w:before="120"/>
              <w:rPr>
                <w:bCs/>
                <w:color w:val="000000"/>
              </w:rPr>
            </w:pPr>
            <w:r w:rsidRPr="009552CA">
              <w:rPr>
                <w:bCs/>
                <w:color w:val="000000"/>
              </w:rPr>
              <w:t>D.25-09-006, p.10</w:t>
            </w:r>
            <w:r>
              <w:rPr>
                <w:bCs/>
                <w:color w:val="000000"/>
              </w:rPr>
              <w:t>.</w:t>
            </w:r>
          </w:p>
          <w:p w:rsidRPr="00C04011" w:rsidR="009552CA" w:rsidP="00135350" w:rsidRDefault="009552CA" w14:paraId="36C9C76C" w14:textId="77777777">
            <w:pPr>
              <w:pStyle w:val="ListParagraph"/>
              <w:spacing w:before="120"/>
              <w:contextualSpacing w:val="0"/>
              <w:rPr>
                <w:bCs/>
                <w:color w:val="000000"/>
              </w:rPr>
            </w:pPr>
          </w:p>
          <w:p w:rsidRPr="00C04011" w:rsidR="00FB5810" w:rsidP="00135350" w:rsidRDefault="00FB5810" w14:paraId="563077AE" w14:textId="77777777">
            <w:pPr>
              <w:spacing w:before="120"/>
              <w:rPr>
                <w:bCs/>
                <w:color w:val="000000"/>
              </w:rPr>
            </w:pPr>
          </w:p>
          <w:p w:rsidRPr="00C04011" w:rsidR="009552CA" w:rsidP="00135350" w:rsidRDefault="009552CA" w14:paraId="76CB5300" w14:textId="77777777">
            <w:pPr>
              <w:spacing w:before="120"/>
              <w:rPr>
                <w:bCs/>
                <w:color w:val="000000"/>
              </w:rPr>
            </w:pPr>
          </w:p>
          <w:p w:rsidRPr="00C04011" w:rsidR="009552CA" w:rsidP="00927623" w:rsidRDefault="00C04011" w14:paraId="4B31CE2E" w14:textId="0AA78B3F">
            <w:pPr>
              <w:pStyle w:val="p1"/>
              <w:numPr>
                <w:ilvl w:val="0"/>
                <w:numId w:val="11"/>
              </w:numPr>
              <w:rPr>
                <w:bCs/>
                <w:sz w:val="24"/>
                <w:szCs w:val="24"/>
                <w:lang w:eastAsia="ja-JP"/>
              </w:rPr>
            </w:pPr>
            <w:r w:rsidRPr="00C04011">
              <w:rPr>
                <w:bCs/>
                <w:sz w:val="24"/>
                <w:szCs w:val="24"/>
                <w:lang w:eastAsia="ja-JP"/>
              </w:rPr>
              <w:t xml:space="preserve">Ex. TURN-1E </w:t>
            </w:r>
            <w:r>
              <w:rPr>
                <w:bCs/>
                <w:sz w:val="24"/>
                <w:szCs w:val="24"/>
                <w:lang w:eastAsia="ja-JP"/>
              </w:rPr>
              <w:t>(TURN Opening Testimony), p.</w:t>
            </w:r>
            <w:r w:rsidRPr="00C04011">
              <w:rPr>
                <w:bCs/>
                <w:sz w:val="24"/>
                <w:szCs w:val="24"/>
                <w:lang w:eastAsia="ja-JP"/>
              </w:rPr>
              <w:t xml:space="preserve">11 &amp; </w:t>
            </w:r>
            <w:r w:rsidRPr="00C04011" w:rsidR="009552CA">
              <w:rPr>
                <w:bCs/>
                <w:sz w:val="24"/>
                <w:szCs w:val="24"/>
                <w:lang w:eastAsia="ja-JP"/>
              </w:rPr>
              <w:t>D.25-09-006, pp.11-12.</w:t>
            </w:r>
          </w:p>
          <w:p w:rsidRPr="00C04011" w:rsidR="009552CA" w:rsidP="00135350" w:rsidRDefault="009552CA" w14:paraId="2A4BB7FD" w14:textId="27FDB5BD">
            <w:pPr>
              <w:spacing w:before="120"/>
              <w:rPr>
                <w:bCs/>
                <w:color w:val="000000"/>
              </w:rPr>
            </w:pPr>
          </w:p>
          <w:p w:rsidRPr="00C04011" w:rsidR="00FB5810" w:rsidP="00FB5810" w:rsidRDefault="00FB5810" w14:paraId="1C6C32B1" w14:textId="77777777">
            <w:pPr>
              <w:spacing w:before="120"/>
              <w:ind w:left="360"/>
              <w:rPr>
                <w:bCs/>
                <w:color w:val="000000"/>
              </w:rPr>
            </w:pPr>
          </w:p>
          <w:p w:rsidRPr="00C04011" w:rsidR="00FB5810" w:rsidP="00FB5810" w:rsidRDefault="00FB5810" w14:paraId="4E13548E" w14:textId="77777777">
            <w:pPr>
              <w:spacing w:before="120"/>
              <w:rPr>
                <w:bCs/>
                <w:color w:val="000000"/>
              </w:rPr>
            </w:pPr>
          </w:p>
          <w:p w:rsidRPr="00C04011" w:rsidR="008539F7" w:rsidP="00FB5810" w:rsidRDefault="008539F7" w14:paraId="6E39F454" w14:textId="77777777">
            <w:pPr>
              <w:spacing w:before="120"/>
              <w:rPr>
                <w:bCs/>
                <w:color w:val="000000"/>
              </w:rPr>
            </w:pPr>
          </w:p>
          <w:p w:rsidRPr="00927623" w:rsidR="00FB5810" w:rsidP="00927623" w:rsidRDefault="00927623" w14:paraId="01E24515" w14:textId="0A33EC5F">
            <w:pPr>
              <w:pStyle w:val="ListParagraph"/>
              <w:numPr>
                <w:ilvl w:val="0"/>
                <w:numId w:val="11"/>
              </w:numPr>
              <w:spacing w:before="120"/>
              <w:rPr>
                <w:bCs/>
                <w:color w:val="000000"/>
              </w:rPr>
            </w:pPr>
            <w:r w:rsidRPr="009552CA">
              <w:rPr>
                <w:bCs/>
                <w:color w:val="000000"/>
              </w:rPr>
              <w:t>D.25-09-006, p.1</w:t>
            </w:r>
            <w:r>
              <w:rPr>
                <w:bCs/>
                <w:color w:val="000000"/>
              </w:rPr>
              <w:t>3.</w:t>
            </w:r>
          </w:p>
        </w:tc>
        <w:tc>
          <w:tcPr>
            <w:tcW w:w="1710" w:type="dxa"/>
          </w:tcPr>
          <w:p w:rsidR="00FB5810" w:rsidP="00FB5810" w:rsidRDefault="000E1CEA" w14:paraId="2DA1A914" w14:textId="77777777">
            <w:pPr>
              <w:spacing w:before="120"/>
              <w:rPr>
                <w:color w:val="000000"/>
              </w:rPr>
            </w:pPr>
            <w:r>
              <w:rPr>
                <w:color w:val="000000"/>
              </w:rPr>
              <w:t>Verified</w:t>
            </w:r>
          </w:p>
          <w:p w:rsidR="000E1CEA" w:rsidP="00FB5810" w:rsidRDefault="000E1CEA" w14:paraId="0CE6D890" w14:textId="77777777">
            <w:pPr>
              <w:spacing w:before="120"/>
              <w:rPr>
                <w:color w:val="000000"/>
              </w:rPr>
            </w:pPr>
          </w:p>
          <w:p w:rsidR="000E1CEA" w:rsidP="00FB5810" w:rsidRDefault="000E1CEA" w14:paraId="46BD7914" w14:textId="77777777">
            <w:pPr>
              <w:spacing w:before="120"/>
              <w:rPr>
                <w:color w:val="000000"/>
              </w:rPr>
            </w:pPr>
          </w:p>
          <w:p w:rsidRPr="003349DE" w:rsidR="000E1CEA" w:rsidP="00FB5810" w:rsidRDefault="000E1CEA" w14:paraId="6080F7D1" w14:textId="10C163FD">
            <w:pPr>
              <w:spacing w:before="120"/>
              <w:rPr>
                <w:color w:val="000000"/>
              </w:rPr>
            </w:pPr>
          </w:p>
        </w:tc>
      </w:tr>
      <w:tr w:rsidRPr="003349DE" w:rsidR="00FB5810" w:rsidTr="00725F0A" w14:paraId="2EA2C723" w14:textId="77777777">
        <w:tc>
          <w:tcPr>
            <w:tcW w:w="4675" w:type="dxa"/>
          </w:tcPr>
          <w:p w:rsidRPr="005F696A" w:rsidR="00FB5810" w:rsidP="00FB5810" w:rsidRDefault="00BC18A8" w14:paraId="4D5D1411" w14:textId="25A6B91C">
            <w:pPr>
              <w:spacing w:before="120"/>
              <w:rPr>
                <w:b/>
                <w:bCs/>
                <w:color w:val="000000"/>
                <w:u w:val="single"/>
              </w:rPr>
            </w:pPr>
            <w:r>
              <w:rPr>
                <w:b/>
                <w:bCs/>
                <w:color w:val="000000"/>
                <w:u w:val="single"/>
              </w:rPr>
              <w:t>2</w:t>
            </w:r>
            <w:r w:rsidRPr="005F696A" w:rsidR="00FB5810">
              <w:rPr>
                <w:b/>
                <w:bCs/>
                <w:color w:val="000000"/>
                <w:u w:val="single"/>
              </w:rPr>
              <w:t xml:space="preserve">. </w:t>
            </w:r>
            <w:r w:rsidRPr="009552CA" w:rsidR="009552CA">
              <w:rPr>
                <w:b/>
                <w:bCs/>
                <w:color w:val="000000"/>
                <w:u w:val="single"/>
              </w:rPr>
              <w:t>Marginal Distribution Demand Costs (MDDC)</w:t>
            </w:r>
          </w:p>
          <w:p w:rsidR="009552CA" w:rsidP="00FB5810" w:rsidRDefault="009552CA" w14:paraId="021B21FA" w14:textId="4A8691D6">
            <w:pPr>
              <w:spacing w:before="120"/>
            </w:pPr>
            <w:r w:rsidRPr="009552CA">
              <w:t xml:space="preserve">SDG&amp;E calculated MDDCs using the NERA regression model and proposed values based on its 2024 marginal cost study, asserting that only capacity-related distribution investments should be reflected in MDDCs. SDG&amp;E maintained that its forecast model appropriately accounted for actual maximum </w:t>
            </w:r>
            <w:r w:rsidRPr="009552CA">
              <w:lastRenderedPageBreak/>
              <w:t>peak loads and that forecasted peak loads are more appropriate for determining needed distribution infrastructure.</w:t>
            </w:r>
          </w:p>
          <w:p w:rsidR="009552CA" w:rsidP="00FB5810" w:rsidRDefault="009552CA" w14:paraId="330B06C8" w14:textId="77777777">
            <w:pPr>
              <w:spacing w:before="120"/>
            </w:pPr>
          </w:p>
          <w:p w:rsidR="009552CA" w:rsidP="00A73CD3" w:rsidRDefault="009552CA" w14:paraId="008CAA70" w14:textId="00A008DC">
            <w:pPr>
              <w:spacing w:before="120"/>
            </w:pPr>
            <w:r w:rsidRPr="009552CA">
              <w:t>TURN recommended including an adder in the MDDC calculation to recover costs associated with maintaining the distribution system. TURN argued that without a maintenance component, SDG&amp;E’s MDDCs would omit necessary distribution investments required to sustain system operations.</w:t>
            </w:r>
            <w:r w:rsidR="00A73CD3">
              <w:t xml:space="preserve"> </w:t>
            </w:r>
            <w:r w:rsidRPr="009552CA">
              <w:t>SEIA also proposed expanding marginal distribution demand costs to include non capacity investments and stated that reliability and wildfire hardening costs should be reflected.</w:t>
            </w:r>
          </w:p>
          <w:p w:rsidR="009552CA" w:rsidP="00FB5810" w:rsidRDefault="009552CA" w14:paraId="5AD214C4" w14:textId="77777777">
            <w:pPr>
              <w:spacing w:before="120"/>
            </w:pPr>
          </w:p>
          <w:p w:rsidR="00FB5810" w:rsidP="00FB5810" w:rsidRDefault="00137BA5" w14:paraId="68188FD3" w14:textId="51CBDA39">
            <w:pPr>
              <w:spacing w:before="120"/>
              <w:rPr>
                <w:color w:val="000000"/>
              </w:rPr>
            </w:pPr>
            <w:r>
              <w:t xml:space="preserve">TURN </w:t>
            </w:r>
            <w:r w:rsidR="002A0B72">
              <w:t xml:space="preserve">was active in settlement negotiations and </w:t>
            </w:r>
            <w:r>
              <w:t xml:space="preserve">signed onto to the </w:t>
            </w:r>
            <w:r w:rsidRPr="00137BA5">
              <w:t xml:space="preserve">Marginal Cost Settlement Agreement </w:t>
            </w:r>
            <w:r>
              <w:t>which t</w:t>
            </w:r>
            <w:r w:rsidRPr="00137BA5" w:rsidR="009552CA">
              <w:t>he Commission adopted</w:t>
            </w:r>
            <w:r>
              <w:t>. The</w:t>
            </w:r>
            <w:r w:rsidRPr="00137BA5" w:rsidR="009552CA">
              <w:t xml:space="preserve"> Settlement Agreement </w:t>
            </w:r>
            <w:r w:rsidRPr="00137BA5" w:rsidR="00500E34">
              <w:t xml:space="preserve">adopted a compromise position to </w:t>
            </w:r>
            <w:r w:rsidRPr="00137BA5" w:rsidR="009552CA">
              <w:t>use marginal distribution demand cost values from its 2024 marginal cost study for rate design purposes in this proceeding. The Commission also stated that interveners may propose updated marginal distribution demand cost values in future proceedings based on more recent data.</w:t>
            </w:r>
          </w:p>
        </w:tc>
        <w:tc>
          <w:tcPr>
            <w:tcW w:w="2970" w:type="dxa"/>
          </w:tcPr>
          <w:p w:rsidR="00A60E06" w:rsidP="00FB5810" w:rsidRDefault="00A60E06" w14:paraId="4BF01CE4" w14:textId="77777777">
            <w:pPr>
              <w:spacing w:before="120"/>
            </w:pPr>
          </w:p>
          <w:p w:rsidR="00213F70" w:rsidP="00FB5810" w:rsidRDefault="00213F70" w14:paraId="2B7BE12F" w14:textId="77777777">
            <w:pPr>
              <w:spacing w:before="120"/>
            </w:pPr>
          </w:p>
          <w:p w:rsidRPr="00213F70" w:rsidR="00312BD3" w:rsidP="00312BD3" w:rsidRDefault="00312BD3" w14:paraId="1D44B019" w14:textId="77777777">
            <w:pPr>
              <w:pStyle w:val="ListParagraph"/>
              <w:spacing w:before="120"/>
            </w:pPr>
          </w:p>
          <w:p w:rsidRPr="003C11B1" w:rsidR="003C11B1" w:rsidP="003C11B1" w:rsidRDefault="003C11B1" w14:paraId="43A22EAF" w14:textId="77777777">
            <w:pPr>
              <w:pStyle w:val="ListParagraph"/>
              <w:numPr>
                <w:ilvl w:val="0"/>
                <w:numId w:val="14"/>
              </w:numPr>
              <w:spacing w:before="120"/>
            </w:pPr>
            <w:r w:rsidRPr="003C11B1">
              <w:rPr>
                <w:bCs/>
                <w:color w:val="000000"/>
              </w:rPr>
              <w:t>D.25-09-006, p.13.</w:t>
            </w:r>
          </w:p>
          <w:p w:rsidR="003C11B1" w:rsidP="003C11B1" w:rsidRDefault="003C11B1" w14:paraId="7E273203" w14:textId="77777777">
            <w:pPr>
              <w:pStyle w:val="ListParagraph"/>
              <w:spacing w:before="120"/>
            </w:pPr>
          </w:p>
          <w:p w:rsidR="003C11B1" w:rsidP="003C11B1" w:rsidRDefault="003C11B1" w14:paraId="42FFFB37" w14:textId="77777777">
            <w:pPr>
              <w:pStyle w:val="ListParagraph"/>
              <w:spacing w:before="120"/>
            </w:pPr>
          </w:p>
          <w:p w:rsidR="003C11B1" w:rsidP="003C11B1" w:rsidRDefault="003C11B1" w14:paraId="6D57514E" w14:textId="77777777">
            <w:pPr>
              <w:pStyle w:val="ListParagraph"/>
              <w:spacing w:before="120"/>
            </w:pPr>
          </w:p>
          <w:p w:rsidR="003C11B1" w:rsidP="003C11B1" w:rsidRDefault="003C11B1" w14:paraId="5CD44608" w14:textId="77777777">
            <w:pPr>
              <w:pStyle w:val="ListParagraph"/>
              <w:spacing w:before="120"/>
            </w:pPr>
          </w:p>
          <w:p w:rsidR="003C11B1" w:rsidP="003C11B1" w:rsidRDefault="003C11B1" w14:paraId="5E07EDA5" w14:textId="77777777">
            <w:pPr>
              <w:pStyle w:val="ListParagraph"/>
              <w:spacing w:before="120"/>
            </w:pPr>
          </w:p>
          <w:p w:rsidR="003C11B1" w:rsidP="003C11B1" w:rsidRDefault="003C11B1" w14:paraId="106A3D14" w14:textId="77777777">
            <w:pPr>
              <w:pStyle w:val="ListParagraph"/>
              <w:spacing w:before="120"/>
            </w:pPr>
          </w:p>
          <w:p w:rsidR="003C11B1" w:rsidP="003C11B1" w:rsidRDefault="003C11B1" w14:paraId="1823AC10" w14:textId="77777777">
            <w:pPr>
              <w:pStyle w:val="ListParagraph"/>
              <w:spacing w:before="120"/>
            </w:pPr>
          </w:p>
          <w:p w:rsidR="003C11B1" w:rsidP="003C11B1" w:rsidRDefault="003C11B1" w14:paraId="4CAC7985" w14:textId="77777777">
            <w:pPr>
              <w:pStyle w:val="ListParagraph"/>
              <w:spacing w:before="120"/>
            </w:pPr>
          </w:p>
          <w:p w:rsidRPr="003C11B1" w:rsidR="003C11B1" w:rsidP="003C11B1" w:rsidRDefault="003C11B1" w14:paraId="2182CF31" w14:textId="77777777">
            <w:pPr>
              <w:pStyle w:val="ListParagraph"/>
              <w:spacing w:before="120"/>
            </w:pPr>
          </w:p>
          <w:p w:rsidRPr="003C11B1" w:rsidR="003C11B1" w:rsidP="003C11B1" w:rsidRDefault="003C11B1" w14:paraId="38ABD8C5" w14:textId="77777777">
            <w:pPr>
              <w:spacing w:before="120"/>
            </w:pPr>
          </w:p>
          <w:p w:rsidRPr="00336649" w:rsidR="00336649" w:rsidP="003C11B1" w:rsidRDefault="00336649" w14:paraId="51FCC30B" w14:textId="40B69CD8">
            <w:pPr>
              <w:pStyle w:val="ListParagraph"/>
              <w:numPr>
                <w:ilvl w:val="0"/>
                <w:numId w:val="14"/>
              </w:numPr>
              <w:spacing w:before="120"/>
            </w:pPr>
            <w:r w:rsidRPr="00336649">
              <w:t>Ex. TURN-1E at 16-17.</w:t>
            </w:r>
          </w:p>
          <w:p w:rsidR="00FB5810" w:rsidP="00312BD3" w:rsidRDefault="00FB5810" w14:paraId="35503AF3" w14:textId="77777777">
            <w:pPr>
              <w:spacing w:before="120"/>
            </w:pPr>
          </w:p>
          <w:p w:rsidR="002A0B72" w:rsidP="00312BD3" w:rsidRDefault="002A0B72" w14:paraId="2806F846" w14:textId="77777777">
            <w:pPr>
              <w:spacing w:before="120"/>
            </w:pPr>
          </w:p>
          <w:p w:rsidR="002A0B72" w:rsidP="00312BD3" w:rsidRDefault="002A0B72" w14:paraId="7E8EDAFA" w14:textId="77777777">
            <w:pPr>
              <w:spacing w:before="120"/>
            </w:pPr>
          </w:p>
          <w:p w:rsidR="002A0B72" w:rsidP="00312BD3" w:rsidRDefault="002A0B72" w14:paraId="72621CCB" w14:textId="77777777">
            <w:pPr>
              <w:spacing w:before="120"/>
            </w:pPr>
          </w:p>
          <w:p w:rsidR="002A0B72" w:rsidP="00312BD3" w:rsidRDefault="002A0B72" w14:paraId="0ACCD6A3" w14:textId="77777777">
            <w:pPr>
              <w:spacing w:before="120"/>
            </w:pPr>
          </w:p>
          <w:p w:rsidR="002A0B72" w:rsidP="00312BD3" w:rsidRDefault="002A0B72" w14:paraId="5AF949AB" w14:textId="77777777">
            <w:pPr>
              <w:spacing w:before="120"/>
            </w:pPr>
          </w:p>
          <w:p w:rsidR="002A0B72" w:rsidP="00312BD3" w:rsidRDefault="002A0B72" w14:paraId="1E78ECC4" w14:textId="77777777">
            <w:pPr>
              <w:spacing w:before="120"/>
            </w:pPr>
          </w:p>
          <w:p w:rsidR="002A0B72" w:rsidP="00312BD3" w:rsidRDefault="002A0B72" w14:paraId="7FEF7361" w14:textId="77777777">
            <w:pPr>
              <w:spacing w:before="120"/>
            </w:pPr>
          </w:p>
          <w:p w:rsidR="002A0B72" w:rsidP="00312BD3" w:rsidRDefault="002A0B72" w14:paraId="10F860D6" w14:textId="77777777">
            <w:pPr>
              <w:spacing w:before="120"/>
            </w:pPr>
          </w:p>
          <w:p w:rsidRPr="003C11B1" w:rsidR="002A0B72" w:rsidP="002A0B72" w:rsidRDefault="002A0B72" w14:paraId="23A7B807" w14:textId="6959AB62">
            <w:pPr>
              <w:pStyle w:val="ListParagraph"/>
              <w:numPr>
                <w:ilvl w:val="0"/>
                <w:numId w:val="14"/>
              </w:numPr>
              <w:spacing w:before="120"/>
            </w:pPr>
            <w:r w:rsidRPr="003C11B1">
              <w:rPr>
                <w:bCs/>
                <w:color w:val="000000"/>
              </w:rPr>
              <w:t>D.25-09-006, p</w:t>
            </w:r>
            <w:r>
              <w:rPr>
                <w:bCs/>
                <w:color w:val="000000"/>
              </w:rPr>
              <w:t>p. 14-15.</w:t>
            </w:r>
          </w:p>
          <w:p w:rsidR="002A0B72" w:rsidP="00312BD3" w:rsidRDefault="002A0B72" w14:paraId="7DF095B9" w14:textId="37F8FFEE">
            <w:pPr>
              <w:spacing w:before="120"/>
            </w:pPr>
          </w:p>
        </w:tc>
        <w:tc>
          <w:tcPr>
            <w:tcW w:w="1710" w:type="dxa"/>
          </w:tcPr>
          <w:p w:rsidRPr="003349DE" w:rsidR="00FB5810" w:rsidP="00A47EB7" w:rsidRDefault="00B44F58" w14:paraId="11ACD637" w14:textId="39B2DF89">
            <w:pPr>
              <w:spacing w:before="120"/>
              <w:rPr>
                <w:color w:val="000000"/>
              </w:rPr>
            </w:pPr>
            <w:r>
              <w:rPr>
                <w:color w:val="000000"/>
              </w:rPr>
              <w:lastRenderedPageBreak/>
              <w:t>Verified</w:t>
            </w:r>
          </w:p>
        </w:tc>
      </w:tr>
      <w:tr w:rsidRPr="003349DE" w:rsidR="004C77FF" w:rsidTr="00725F0A" w14:paraId="2654FA38" w14:textId="77777777">
        <w:tc>
          <w:tcPr>
            <w:tcW w:w="4675" w:type="dxa"/>
          </w:tcPr>
          <w:p w:rsidR="004C77FF" w:rsidP="00FB5810" w:rsidRDefault="00EA3B80" w14:paraId="55D54A67" w14:textId="77777777">
            <w:pPr>
              <w:spacing w:before="120"/>
              <w:rPr>
                <w:b/>
                <w:bCs/>
                <w:color w:val="000000"/>
                <w:u w:val="single"/>
              </w:rPr>
            </w:pPr>
            <w:r>
              <w:rPr>
                <w:b/>
                <w:bCs/>
                <w:color w:val="000000"/>
                <w:u w:val="single"/>
              </w:rPr>
              <w:t xml:space="preserve">3. </w:t>
            </w:r>
            <w:r w:rsidRPr="006F2D0B" w:rsidR="006F2D0B">
              <w:rPr>
                <w:b/>
                <w:bCs/>
                <w:color w:val="000000"/>
                <w:u w:val="single"/>
              </w:rPr>
              <w:t>Marginal Commodity Costs</w:t>
            </w:r>
          </w:p>
          <w:p w:rsidRPr="00803321" w:rsidR="005F472B" w:rsidP="005F472B" w:rsidRDefault="006F2D0B" w14:paraId="45BF6F26" w14:textId="77777777">
            <w:pPr>
              <w:rPr>
                <w:rFonts w:asciiTheme="majorBidi" w:hAnsiTheme="majorBidi" w:cstheme="majorBidi"/>
                <w:color w:val="000000"/>
              </w:rPr>
            </w:pPr>
            <w:r w:rsidRPr="00065864">
              <w:rPr>
                <w:rFonts w:asciiTheme="majorBidi" w:hAnsiTheme="majorBidi" w:cstheme="majorBidi"/>
                <w:color w:val="000000"/>
              </w:rPr>
              <w:t xml:space="preserve">Another aspect of the marginal cost settlement was </w:t>
            </w:r>
            <w:r w:rsidRPr="00065864" w:rsidR="004D2A54">
              <w:rPr>
                <w:rFonts w:asciiTheme="majorBidi" w:hAnsiTheme="majorBidi" w:cstheme="majorBidi"/>
                <w:color w:val="000000"/>
              </w:rPr>
              <w:t>adopting values for marginal commodity costs</w:t>
            </w:r>
            <w:r w:rsidRPr="00065864" w:rsidR="00A45ACC">
              <w:rPr>
                <w:rFonts w:asciiTheme="majorBidi" w:hAnsiTheme="majorBidi" w:cstheme="majorBidi"/>
                <w:color w:val="000000"/>
              </w:rPr>
              <w:t xml:space="preserve">, </w:t>
            </w:r>
            <w:r w:rsidRPr="00065864" w:rsidR="005F472B">
              <w:rPr>
                <w:rFonts w:asciiTheme="majorBidi" w:hAnsiTheme="majorBidi" w:cstheme="majorBidi"/>
                <w:color w:val="000000"/>
              </w:rPr>
              <w:t xml:space="preserve">which </w:t>
            </w:r>
            <w:r w:rsidRPr="00803321" w:rsidR="005F472B">
              <w:rPr>
                <w:rFonts w:asciiTheme="majorBidi" w:hAnsiTheme="majorBidi" w:cstheme="majorBidi"/>
                <w:color w:val="000000"/>
              </w:rPr>
              <w:t>include marginal energy cost (MECs), that is</w:t>
            </w:r>
          </w:p>
          <w:p w:rsidRPr="00803321" w:rsidR="005F472B" w:rsidP="005F472B" w:rsidRDefault="005F472B" w14:paraId="5C17D61A" w14:textId="77777777">
            <w:pPr>
              <w:rPr>
                <w:rFonts w:asciiTheme="majorBidi" w:hAnsiTheme="majorBidi" w:cstheme="majorBidi"/>
                <w:color w:val="000000"/>
              </w:rPr>
            </w:pPr>
            <w:r w:rsidRPr="00803321">
              <w:rPr>
                <w:rFonts w:asciiTheme="majorBidi" w:hAnsiTheme="majorBidi" w:cstheme="majorBidi"/>
                <w:color w:val="000000"/>
              </w:rPr>
              <w:t>the cost to provide an incremental unit of electricity consumption, and marginal</w:t>
            </w:r>
          </w:p>
          <w:p w:rsidRPr="00803321" w:rsidR="005F472B" w:rsidP="005F472B" w:rsidRDefault="005F472B" w14:paraId="197D805C" w14:textId="77777777">
            <w:pPr>
              <w:rPr>
                <w:rFonts w:asciiTheme="majorBidi" w:hAnsiTheme="majorBidi" w:cstheme="majorBidi"/>
                <w:color w:val="000000"/>
              </w:rPr>
            </w:pPr>
            <w:r w:rsidRPr="00803321">
              <w:rPr>
                <w:rFonts w:asciiTheme="majorBidi" w:hAnsiTheme="majorBidi" w:cstheme="majorBidi"/>
                <w:color w:val="000000"/>
              </w:rPr>
              <w:t>generation capacity cost (MGCC), or the cost to provide an incremental unit of</w:t>
            </w:r>
          </w:p>
          <w:p w:rsidRPr="00065864" w:rsidR="00FA5F6E" w:rsidP="005F472B" w:rsidRDefault="005F472B" w14:paraId="478B1B48" w14:textId="77777777">
            <w:pPr>
              <w:rPr>
                <w:rFonts w:asciiTheme="majorBidi" w:hAnsiTheme="majorBidi" w:cstheme="majorBidi"/>
                <w:color w:val="000000"/>
              </w:rPr>
            </w:pPr>
            <w:r w:rsidRPr="00803321">
              <w:rPr>
                <w:rFonts w:asciiTheme="majorBidi" w:hAnsiTheme="majorBidi" w:cstheme="majorBidi"/>
                <w:color w:val="000000"/>
              </w:rPr>
              <w:t>generation capacity or power.</w:t>
            </w:r>
            <w:r w:rsidRPr="00065864" w:rsidR="003353D1">
              <w:rPr>
                <w:rFonts w:asciiTheme="majorBidi" w:hAnsiTheme="majorBidi" w:cstheme="majorBidi"/>
                <w:color w:val="000000"/>
              </w:rPr>
              <w:t xml:space="preserve"> </w:t>
            </w:r>
            <w:r w:rsidRPr="00065864" w:rsidR="00AE1A1D">
              <w:rPr>
                <w:rFonts w:asciiTheme="majorBidi" w:hAnsiTheme="majorBidi" w:cstheme="majorBidi"/>
                <w:color w:val="000000"/>
              </w:rPr>
              <w:t>Regarding MECs,</w:t>
            </w:r>
            <w:r w:rsidRPr="00065864" w:rsidR="003E2B08">
              <w:rPr>
                <w:rFonts w:asciiTheme="majorBidi" w:hAnsiTheme="majorBidi" w:cstheme="majorBidi"/>
                <w:color w:val="000000"/>
              </w:rPr>
              <w:t xml:space="preserve"> TURN proposed </w:t>
            </w:r>
            <w:r w:rsidRPr="00DA23AB" w:rsidR="003E2B08">
              <w:rPr>
                <w:rFonts w:asciiTheme="majorBidi" w:hAnsiTheme="majorBidi" w:cstheme="majorBidi"/>
                <w:color w:val="000000"/>
              </w:rPr>
              <w:t>us</w:t>
            </w:r>
            <w:r w:rsidRPr="00065864" w:rsidR="00F322F8">
              <w:rPr>
                <w:rFonts w:asciiTheme="majorBidi" w:hAnsiTheme="majorBidi" w:cstheme="majorBidi"/>
                <w:color w:val="000000"/>
              </w:rPr>
              <w:t>ing</w:t>
            </w:r>
            <w:r w:rsidRPr="00DA23AB" w:rsidR="003E2B08">
              <w:rPr>
                <w:rFonts w:asciiTheme="majorBidi" w:hAnsiTheme="majorBidi" w:cstheme="majorBidi"/>
                <w:color w:val="000000"/>
              </w:rPr>
              <w:t xml:space="preserve"> an updated RPS adder, and</w:t>
            </w:r>
            <w:r w:rsidRPr="00065864" w:rsidR="00F322F8">
              <w:rPr>
                <w:rFonts w:asciiTheme="majorBidi" w:hAnsiTheme="majorBidi" w:cstheme="majorBidi"/>
                <w:color w:val="000000"/>
              </w:rPr>
              <w:t xml:space="preserve"> also</w:t>
            </w:r>
            <w:r w:rsidRPr="00065864" w:rsidR="003E2B08">
              <w:rPr>
                <w:rFonts w:asciiTheme="majorBidi" w:hAnsiTheme="majorBidi" w:cstheme="majorBidi"/>
                <w:color w:val="000000"/>
              </w:rPr>
              <w:t xml:space="preserve"> </w:t>
            </w:r>
            <w:r w:rsidRPr="00DA23AB" w:rsidR="003E2B08">
              <w:rPr>
                <w:rFonts w:asciiTheme="majorBidi" w:hAnsiTheme="majorBidi" w:cstheme="majorBidi"/>
                <w:color w:val="000000"/>
              </w:rPr>
              <w:t>that the MEC should include an ancillary services adder.</w:t>
            </w:r>
            <w:r w:rsidRPr="00065864" w:rsidR="00A20349">
              <w:rPr>
                <w:rFonts w:asciiTheme="majorBidi" w:hAnsiTheme="majorBidi" w:cstheme="majorBidi"/>
                <w:color w:val="000000"/>
              </w:rPr>
              <w:t xml:space="preserve"> </w:t>
            </w:r>
          </w:p>
          <w:p w:rsidRPr="00065864" w:rsidR="00FA5F6E" w:rsidP="005F472B" w:rsidRDefault="00FA5F6E" w14:paraId="793F3103" w14:textId="77777777">
            <w:pPr>
              <w:rPr>
                <w:rFonts w:asciiTheme="majorBidi" w:hAnsiTheme="majorBidi" w:cstheme="majorBidi"/>
                <w:color w:val="000000"/>
              </w:rPr>
            </w:pPr>
          </w:p>
          <w:p w:rsidRPr="00065864" w:rsidR="006F2D0B" w:rsidP="00FB5810" w:rsidRDefault="00A20349" w14:paraId="3C0C94F7" w14:textId="197476E2">
            <w:pPr>
              <w:spacing w:before="120"/>
              <w:rPr>
                <w:rFonts w:asciiTheme="majorBidi" w:hAnsiTheme="majorBidi" w:cstheme="majorBidi"/>
              </w:rPr>
            </w:pPr>
            <w:r w:rsidRPr="00065864">
              <w:rPr>
                <w:rFonts w:asciiTheme="majorBidi" w:hAnsiTheme="majorBidi" w:cstheme="majorBidi"/>
                <w:color w:val="000000"/>
              </w:rPr>
              <w:t xml:space="preserve">Regarding MGCCs, </w:t>
            </w:r>
            <w:r w:rsidRPr="00065864" w:rsidR="00125E6E">
              <w:rPr>
                <w:rFonts w:asciiTheme="majorBidi" w:hAnsiTheme="majorBidi" w:cstheme="majorBidi"/>
              </w:rPr>
              <w:t xml:space="preserve">TURN’s proposed a higher Peak </w:t>
            </w:r>
            <w:r w:rsidRPr="00065864" w:rsidR="00F165DD">
              <w:rPr>
                <w:rFonts w:asciiTheme="majorBidi" w:hAnsiTheme="majorBidi" w:cstheme="majorBidi"/>
              </w:rPr>
              <w:t>MGCC</w:t>
            </w:r>
            <w:r w:rsidRPr="00065864" w:rsidR="00EC55F3">
              <w:rPr>
                <w:rFonts w:asciiTheme="majorBidi" w:hAnsiTheme="majorBidi" w:cstheme="majorBidi"/>
              </w:rPr>
              <w:t xml:space="preserve"> </w:t>
            </w:r>
            <w:r w:rsidRPr="00065864" w:rsidR="00125E6E">
              <w:rPr>
                <w:rFonts w:asciiTheme="majorBidi" w:hAnsiTheme="majorBidi" w:cstheme="majorBidi"/>
              </w:rPr>
              <w:t xml:space="preserve">than SDG&amp;E on the basis </w:t>
            </w:r>
            <w:r w:rsidRPr="00065864" w:rsidR="00125E6E">
              <w:rPr>
                <w:rFonts w:asciiTheme="majorBidi" w:hAnsiTheme="majorBidi" w:cstheme="majorBidi"/>
              </w:rPr>
              <w:lastRenderedPageBreak/>
              <w:t>of the average of six years of new-battery-cost forecasts using the most current IRP RESOLVE model, which was moderated by TURN’s proposed modification of SDG&amp;E’s estimate of the Effective Load Carrying Capability (ELCC),</w:t>
            </w:r>
            <w:r w:rsidRPr="00065864" w:rsidR="00F165DD">
              <w:rPr>
                <w:rFonts w:asciiTheme="majorBidi" w:hAnsiTheme="majorBidi" w:cstheme="majorBidi"/>
              </w:rPr>
              <w:t xml:space="preserve"> </w:t>
            </w:r>
            <w:r w:rsidRPr="00065864" w:rsidR="00125E6E">
              <w:rPr>
                <w:rFonts w:asciiTheme="majorBidi" w:hAnsiTheme="majorBidi" w:cstheme="majorBidi"/>
              </w:rPr>
              <w:t>which resulted in higher battery-related capital costs</w:t>
            </w:r>
            <w:r w:rsidRPr="00065864" w:rsidR="00F165DD">
              <w:rPr>
                <w:rFonts w:asciiTheme="majorBidi" w:hAnsiTheme="majorBidi" w:cstheme="majorBidi"/>
              </w:rPr>
              <w:t>.</w:t>
            </w:r>
          </w:p>
          <w:p w:rsidRPr="00065864" w:rsidR="00BD52C9" w:rsidP="00FB5810" w:rsidRDefault="00BD52C9" w14:paraId="2DBE7D21" w14:textId="77777777">
            <w:pPr>
              <w:spacing w:before="120"/>
              <w:rPr>
                <w:rStyle w:val="normaltextrun"/>
                <w:rFonts w:asciiTheme="majorBidi" w:hAnsiTheme="majorBidi" w:eastAsiaTheme="majorEastAsia" w:cstheme="majorBidi"/>
              </w:rPr>
            </w:pPr>
          </w:p>
          <w:p w:rsidRPr="00065864" w:rsidR="00BD52C9" w:rsidP="00FB5810" w:rsidRDefault="00BD52C9" w14:paraId="247B1B63" w14:textId="491782F7">
            <w:pPr>
              <w:spacing w:before="120"/>
              <w:rPr>
                <w:rStyle w:val="normaltextrun"/>
                <w:rFonts w:asciiTheme="majorBidi" w:hAnsiTheme="majorBidi" w:eastAsiaTheme="majorEastAsia" w:cstheme="majorBidi"/>
              </w:rPr>
            </w:pPr>
            <w:r w:rsidRPr="00065864">
              <w:rPr>
                <w:rStyle w:val="normaltextrun"/>
                <w:rFonts w:asciiTheme="majorBidi" w:hAnsiTheme="majorBidi" w:eastAsiaTheme="majorEastAsia" w:cstheme="majorBidi"/>
              </w:rPr>
              <w:t>The settlement agreement adopted a compromise position, whereby SDG&amp;E will update marginal distribution demand costs and marginal distribution customer costs based on the 2024 marginal cost study, and maintain marginal commodity costs (marginal energy costs and marginal generation capacity costs), based on the 2019 marginal cost study, for all customer classes, for purposes of electric rate design.</w:t>
            </w:r>
            <w:r w:rsidRPr="00065864" w:rsidR="00605DAA">
              <w:rPr>
                <w:rStyle w:val="normaltextrun"/>
                <w:rFonts w:asciiTheme="majorBidi" w:hAnsiTheme="majorBidi" w:eastAsiaTheme="majorEastAsia" w:cstheme="majorBidi"/>
              </w:rPr>
              <w:t xml:space="preserve"> It also included a provision based on TURN and Cal Advocates’ proposals requiring SDG&amp;E to update marginal commodity costs for purposes of future dynamic rate proposals, which will help ensure that dynamic rates are cost-based and rely on updated marginal costs.</w:t>
            </w:r>
          </w:p>
          <w:p w:rsidRPr="00065864" w:rsidR="00121A9B" w:rsidP="00FB5810" w:rsidRDefault="00121A9B" w14:paraId="223E3123" w14:textId="77777777">
            <w:pPr>
              <w:spacing w:before="120"/>
              <w:rPr>
                <w:rStyle w:val="normaltextrun"/>
                <w:rFonts w:asciiTheme="majorBidi" w:hAnsiTheme="majorBidi" w:eastAsiaTheme="majorEastAsia" w:cstheme="majorBidi"/>
              </w:rPr>
            </w:pPr>
          </w:p>
          <w:p w:rsidRPr="00430A89" w:rsidR="006F2D0B" w:rsidP="00430A89" w:rsidRDefault="00121A9B" w14:paraId="547E2227" w14:textId="6EB8FC63">
            <w:pPr>
              <w:pStyle w:val="p1"/>
              <w:rPr>
                <w:rFonts w:asciiTheme="majorBidi" w:hAnsiTheme="majorBidi" w:cstheme="majorBidi"/>
                <w:sz w:val="24"/>
                <w:szCs w:val="24"/>
              </w:rPr>
            </w:pPr>
            <w:r w:rsidRPr="00065864">
              <w:rPr>
                <w:rStyle w:val="normaltextrun"/>
                <w:rFonts w:asciiTheme="majorBidi" w:hAnsiTheme="majorBidi" w:eastAsiaTheme="majorEastAsia" w:cstheme="majorBidi"/>
                <w:sz w:val="24"/>
                <w:szCs w:val="24"/>
              </w:rPr>
              <w:t xml:space="preserve">Decision 25-09-006 </w:t>
            </w:r>
            <w:r w:rsidRPr="00065864">
              <w:rPr>
                <w:rFonts w:asciiTheme="majorBidi" w:hAnsiTheme="majorBidi" w:cstheme="majorBidi"/>
                <w:sz w:val="24"/>
                <w:szCs w:val="24"/>
              </w:rPr>
              <w:t>adopted the Marginal Cost Settlement Agreement terms that resolve issues concerning MECs and MGCCs “because it is reasonable in light of the whole record, consistent with the law, and in the public interest.”</w:t>
            </w:r>
            <w:r w:rsidRPr="00065864" w:rsidR="00706775">
              <w:rPr>
                <w:rFonts w:asciiTheme="majorBidi" w:hAnsiTheme="majorBidi" w:cstheme="majorBidi"/>
                <w:sz w:val="24"/>
                <w:szCs w:val="24"/>
              </w:rPr>
              <w:t xml:space="preserve"> It noted that the settlement</w:t>
            </w:r>
            <w:r w:rsidR="00486833">
              <w:rPr>
                <w:rFonts w:asciiTheme="majorBidi" w:hAnsiTheme="majorBidi" w:cstheme="majorBidi"/>
                <w:sz w:val="24"/>
                <w:szCs w:val="24"/>
              </w:rPr>
              <w:t>’</w:t>
            </w:r>
            <w:r w:rsidRPr="00065864" w:rsidR="00706775">
              <w:rPr>
                <w:rFonts w:asciiTheme="majorBidi" w:hAnsiTheme="majorBidi" w:cstheme="majorBidi"/>
                <w:sz w:val="24"/>
                <w:szCs w:val="24"/>
              </w:rPr>
              <w:t xml:space="preserve">s MGCC value </w:t>
            </w:r>
            <w:r w:rsidRPr="00065864" w:rsidR="00B72A26">
              <w:rPr>
                <w:rFonts w:asciiTheme="majorBidi" w:hAnsiTheme="majorBidi" w:cstheme="majorBidi"/>
                <w:sz w:val="24"/>
                <w:szCs w:val="24"/>
              </w:rPr>
              <w:t xml:space="preserve">“strikes a fair balance between MGCC </w:t>
            </w:r>
            <w:r w:rsidRPr="00B72A26" w:rsidR="00B72A26">
              <w:rPr>
                <w:rFonts w:asciiTheme="majorBidi" w:hAnsiTheme="majorBidi" w:cstheme="majorBidi"/>
                <w:sz w:val="24"/>
                <w:szCs w:val="24"/>
              </w:rPr>
              <w:t>proposals put forward by SDG&amp;E, Cal Advocates, TURN, and SEIA.</w:t>
            </w:r>
            <w:r w:rsidRPr="00065864" w:rsidR="00B72A26">
              <w:rPr>
                <w:rFonts w:asciiTheme="majorBidi" w:hAnsiTheme="majorBidi" w:cstheme="majorBidi"/>
                <w:sz w:val="24"/>
                <w:szCs w:val="24"/>
              </w:rPr>
              <w:t xml:space="preserve">” It also reiterated the importance of updating </w:t>
            </w:r>
            <w:r w:rsidRPr="00065864" w:rsidR="00065864">
              <w:rPr>
                <w:rFonts w:asciiTheme="majorBidi" w:hAnsiTheme="majorBidi" w:cstheme="majorBidi"/>
                <w:sz w:val="24"/>
                <w:szCs w:val="24"/>
              </w:rPr>
              <w:t>MEC and MGCC for the purpose of future dynamic rate proposals.</w:t>
            </w:r>
          </w:p>
        </w:tc>
        <w:tc>
          <w:tcPr>
            <w:tcW w:w="2970" w:type="dxa"/>
          </w:tcPr>
          <w:p w:rsidR="004C77FF" w:rsidP="00FB5810" w:rsidRDefault="004C77FF" w14:paraId="6A67D2FF" w14:textId="77777777">
            <w:pPr>
              <w:spacing w:before="120"/>
            </w:pPr>
          </w:p>
          <w:p w:rsidRPr="00486833" w:rsidR="00FA5F6E" w:rsidP="00486833" w:rsidRDefault="00FA5F6E" w14:paraId="0D3B1B68" w14:textId="77777777">
            <w:pPr>
              <w:pStyle w:val="ListParagraph"/>
              <w:numPr>
                <w:ilvl w:val="0"/>
                <w:numId w:val="15"/>
              </w:numPr>
              <w:spacing w:before="120"/>
              <w:rPr>
                <w:rFonts w:asciiTheme="majorBidi" w:hAnsiTheme="majorBidi" w:cstheme="majorBidi"/>
              </w:rPr>
            </w:pPr>
            <w:r w:rsidRPr="00486833">
              <w:rPr>
                <w:rFonts w:asciiTheme="majorBidi" w:hAnsiTheme="majorBidi" w:cstheme="majorBidi"/>
              </w:rPr>
              <w:t>Ex. TURN-1E, p. 31.</w:t>
            </w:r>
          </w:p>
          <w:p w:rsidRPr="00065864" w:rsidR="00FA5F6E" w:rsidP="00FB5810" w:rsidRDefault="00FA5F6E" w14:paraId="55648CCC" w14:textId="77777777">
            <w:pPr>
              <w:spacing w:before="120"/>
              <w:rPr>
                <w:rFonts w:asciiTheme="majorBidi" w:hAnsiTheme="majorBidi" w:cstheme="majorBidi"/>
              </w:rPr>
            </w:pPr>
          </w:p>
          <w:p w:rsidRPr="00065864" w:rsidR="00FA5F6E" w:rsidP="00FB5810" w:rsidRDefault="00FA5F6E" w14:paraId="0E50291B" w14:textId="77777777">
            <w:pPr>
              <w:spacing w:before="120"/>
              <w:rPr>
                <w:rFonts w:asciiTheme="majorBidi" w:hAnsiTheme="majorBidi" w:cstheme="majorBidi"/>
              </w:rPr>
            </w:pPr>
          </w:p>
          <w:p w:rsidRPr="00065864" w:rsidR="00EC55F3" w:rsidP="00FB5810" w:rsidRDefault="00EC55F3" w14:paraId="71FDF0AF" w14:textId="77777777">
            <w:pPr>
              <w:spacing w:before="120"/>
              <w:rPr>
                <w:rFonts w:asciiTheme="majorBidi" w:hAnsiTheme="majorBidi" w:cstheme="majorBidi"/>
              </w:rPr>
            </w:pPr>
          </w:p>
          <w:p w:rsidRPr="00065864" w:rsidR="00EC55F3" w:rsidP="00FB5810" w:rsidRDefault="00EC55F3" w14:paraId="548053E7" w14:textId="77777777">
            <w:pPr>
              <w:spacing w:before="120"/>
              <w:rPr>
                <w:rFonts w:asciiTheme="majorBidi" w:hAnsiTheme="majorBidi" w:cstheme="majorBidi"/>
              </w:rPr>
            </w:pPr>
          </w:p>
          <w:p w:rsidRPr="00065864" w:rsidR="00EC55F3" w:rsidP="00FB5810" w:rsidRDefault="00EC55F3" w14:paraId="0B36DD59" w14:textId="77777777">
            <w:pPr>
              <w:spacing w:before="120"/>
              <w:rPr>
                <w:rFonts w:asciiTheme="majorBidi" w:hAnsiTheme="majorBidi" w:cstheme="majorBidi"/>
              </w:rPr>
            </w:pPr>
          </w:p>
          <w:p w:rsidRPr="00065864" w:rsidR="00EC55F3" w:rsidP="00FB5810" w:rsidRDefault="00EC55F3" w14:paraId="15E3D1A9" w14:textId="77777777">
            <w:pPr>
              <w:spacing w:before="120"/>
              <w:rPr>
                <w:rFonts w:asciiTheme="majorBidi" w:hAnsiTheme="majorBidi" w:cstheme="majorBidi"/>
              </w:rPr>
            </w:pPr>
          </w:p>
          <w:p w:rsidRPr="00065864" w:rsidR="00EC55F3" w:rsidP="00FB5810" w:rsidRDefault="00EC55F3" w14:paraId="6F110C88" w14:textId="77777777">
            <w:pPr>
              <w:spacing w:before="120"/>
              <w:rPr>
                <w:rFonts w:asciiTheme="majorBidi" w:hAnsiTheme="majorBidi" w:cstheme="majorBidi"/>
              </w:rPr>
            </w:pPr>
          </w:p>
          <w:p w:rsidRPr="00065864" w:rsidR="00EC55F3" w:rsidP="00FB5810" w:rsidRDefault="00EC55F3" w14:paraId="27874B41" w14:textId="77777777">
            <w:pPr>
              <w:spacing w:before="120"/>
              <w:rPr>
                <w:rFonts w:asciiTheme="majorBidi" w:hAnsiTheme="majorBidi" w:cstheme="majorBidi"/>
              </w:rPr>
            </w:pPr>
          </w:p>
          <w:p w:rsidRPr="00486833" w:rsidR="00EC55F3" w:rsidP="00486833" w:rsidRDefault="00EC55F3" w14:paraId="0C5EB7E3" w14:textId="538DA009">
            <w:pPr>
              <w:pStyle w:val="ListParagraph"/>
              <w:numPr>
                <w:ilvl w:val="0"/>
                <w:numId w:val="15"/>
              </w:numPr>
              <w:spacing w:before="120"/>
              <w:rPr>
                <w:rFonts w:asciiTheme="majorBidi" w:hAnsiTheme="majorBidi" w:cstheme="majorBidi"/>
              </w:rPr>
            </w:pPr>
            <w:r w:rsidRPr="00486833">
              <w:rPr>
                <w:rFonts w:asciiTheme="majorBidi" w:hAnsiTheme="majorBidi" w:cstheme="majorBidi"/>
              </w:rPr>
              <w:lastRenderedPageBreak/>
              <w:t xml:space="preserve">Ex. TURN-1E, pp. 13-19 &amp; </w:t>
            </w:r>
            <w:r w:rsidRPr="00486833" w:rsidR="00AE5B98">
              <w:rPr>
                <w:rFonts w:asciiTheme="majorBidi" w:hAnsiTheme="majorBidi" w:cstheme="majorBidi"/>
              </w:rPr>
              <w:t xml:space="preserve">21-27. </w:t>
            </w:r>
          </w:p>
          <w:p w:rsidRPr="00065864" w:rsidR="00EC55F3" w:rsidP="00FB5810" w:rsidRDefault="00EC55F3" w14:paraId="296A4972" w14:textId="77777777">
            <w:pPr>
              <w:spacing w:before="120"/>
              <w:rPr>
                <w:rFonts w:asciiTheme="majorBidi" w:hAnsiTheme="majorBidi" w:cstheme="majorBidi"/>
              </w:rPr>
            </w:pPr>
          </w:p>
          <w:p w:rsidRPr="00065864" w:rsidR="00616C53" w:rsidP="00FB5810" w:rsidRDefault="00616C53" w14:paraId="5689F8A9" w14:textId="77777777">
            <w:pPr>
              <w:spacing w:before="120"/>
              <w:rPr>
                <w:rFonts w:asciiTheme="majorBidi" w:hAnsiTheme="majorBidi" w:cstheme="majorBidi"/>
              </w:rPr>
            </w:pPr>
          </w:p>
          <w:p w:rsidRPr="00065864" w:rsidR="00616C53" w:rsidP="00FB5810" w:rsidRDefault="00616C53" w14:paraId="79419E23" w14:textId="77777777">
            <w:pPr>
              <w:spacing w:before="120"/>
              <w:rPr>
                <w:rFonts w:asciiTheme="majorBidi" w:hAnsiTheme="majorBidi" w:cstheme="majorBidi"/>
              </w:rPr>
            </w:pPr>
          </w:p>
          <w:p w:rsidRPr="00065864" w:rsidR="00616C53" w:rsidP="00FB5810" w:rsidRDefault="00616C53" w14:paraId="2E801980" w14:textId="77777777">
            <w:pPr>
              <w:spacing w:before="120"/>
              <w:rPr>
                <w:rFonts w:asciiTheme="majorBidi" w:hAnsiTheme="majorBidi" w:cstheme="majorBidi"/>
              </w:rPr>
            </w:pPr>
          </w:p>
          <w:p w:rsidRPr="00065864" w:rsidR="00616C53" w:rsidP="00FB5810" w:rsidRDefault="00616C53" w14:paraId="6E243BC1" w14:textId="77777777">
            <w:pPr>
              <w:spacing w:before="120"/>
              <w:rPr>
                <w:rFonts w:asciiTheme="majorBidi" w:hAnsiTheme="majorBidi" w:cstheme="majorBidi"/>
              </w:rPr>
            </w:pPr>
          </w:p>
          <w:p w:rsidRPr="00065864" w:rsidR="00616C53" w:rsidP="00FB5810" w:rsidRDefault="00616C53" w14:paraId="71C75F4F" w14:textId="77777777">
            <w:pPr>
              <w:spacing w:before="120"/>
              <w:rPr>
                <w:rFonts w:asciiTheme="majorBidi" w:hAnsiTheme="majorBidi" w:cstheme="majorBidi"/>
              </w:rPr>
            </w:pPr>
          </w:p>
          <w:p w:rsidRPr="00065864" w:rsidR="00616C53" w:rsidP="00FB5810" w:rsidRDefault="00616C53" w14:paraId="0ABCC3A2" w14:textId="77777777">
            <w:pPr>
              <w:spacing w:before="120"/>
              <w:rPr>
                <w:rFonts w:asciiTheme="majorBidi" w:hAnsiTheme="majorBidi" w:cstheme="majorBidi"/>
              </w:rPr>
            </w:pPr>
          </w:p>
          <w:p w:rsidRPr="00065864" w:rsidR="00616C53" w:rsidP="00FB5810" w:rsidRDefault="00616C53" w14:paraId="3D9960A0" w14:textId="77777777">
            <w:pPr>
              <w:spacing w:before="120"/>
              <w:rPr>
                <w:rFonts w:asciiTheme="majorBidi" w:hAnsiTheme="majorBidi" w:cstheme="majorBidi"/>
              </w:rPr>
            </w:pPr>
          </w:p>
          <w:p w:rsidRPr="00065864" w:rsidR="00616C53" w:rsidP="00486833" w:rsidRDefault="00616C53" w14:paraId="7B5D042E" w14:textId="01398F69">
            <w:pPr>
              <w:pStyle w:val="p1"/>
              <w:numPr>
                <w:ilvl w:val="0"/>
                <w:numId w:val="15"/>
              </w:numPr>
              <w:rPr>
                <w:rFonts w:asciiTheme="majorBidi" w:hAnsiTheme="majorBidi" w:cstheme="majorBidi"/>
                <w:sz w:val="24"/>
                <w:szCs w:val="24"/>
              </w:rPr>
            </w:pPr>
            <w:r w:rsidRPr="00065864">
              <w:rPr>
                <w:rFonts w:asciiTheme="majorBidi" w:hAnsiTheme="majorBidi" w:cstheme="majorBidi"/>
                <w:sz w:val="24"/>
                <w:szCs w:val="24"/>
              </w:rPr>
              <w:t xml:space="preserve">Marginal Cost Settlement Agreement, pp. </w:t>
            </w:r>
            <w:r w:rsidRPr="00065864" w:rsidR="002D3724">
              <w:rPr>
                <w:rFonts w:asciiTheme="majorBidi" w:hAnsiTheme="majorBidi" w:cstheme="majorBidi"/>
                <w:sz w:val="24"/>
                <w:szCs w:val="24"/>
              </w:rPr>
              <w:t xml:space="preserve">14-15. </w:t>
            </w:r>
          </w:p>
          <w:p w:rsidRPr="00065864" w:rsidR="00616C53" w:rsidP="00FB5810" w:rsidRDefault="00616C53" w14:paraId="172FD81D" w14:textId="77777777">
            <w:pPr>
              <w:spacing w:before="120"/>
              <w:rPr>
                <w:rFonts w:asciiTheme="majorBidi" w:hAnsiTheme="majorBidi" w:cstheme="majorBidi"/>
              </w:rPr>
            </w:pPr>
          </w:p>
          <w:p w:rsidRPr="00065864" w:rsidR="00121A9B" w:rsidP="00FB5810" w:rsidRDefault="00121A9B" w14:paraId="2A8A50AC" w14:textId="77777777">
            <w:pPr>
              <w:spacing w:before="120"/>
              <w:rPr>
                <w:rFonts w:asciiTheme="majorBidi" w:hAnsiTheme="majorBidi" w:cstheme="majorBidi"/>
              </w:rPr>
            </w:pPr>
          </w:p>
          <w:p w:rsidRPr="00065864" w:rsidR="00121A9B" w:rsidP="00FB5810" w:rsidRDefault="00121A9B" w14:paraId="65BE4684" w14:textId="77777777">
            <w:pPr>
              <w:spacing w:before="120"/>
              <w:rPr>
                <w:rFonts w:asciiTheme="majorBidi" w:hAnsiTheme="majorBidi" w:cstheme="majorBidi"/>
              </w:rPr>
            </w:pPr>
          </w:p>
          <w:p w:rsidRPr="00065864" w:rsidR="00121A9B" w:rsidP="00FB5810" w:rsidRDefault="00121A9B" w14:paraId="650164C7" w14:textId="77777777">
            <w:pPr>
              <w:spacing w:before="120"/>
              <w:rPr>
                <w:rFonts w:asciiTheme="majorBidi" w:hAnsiTheme="majorBidi" w:cstheme="majorBidi"/>
              </w:rPr>
            </w:pPr>
          </w:p>
          <w:p w:rsidRPr="00065864" w:rsidR="00121A9B" w:rsidP="00FB5810" w:rsidRDefault="00121A9B" w14:paraId="41DD54D0" w14:textId="77777777">
            <w:pPr>
              <w:spacing w:before="120"/>
              <w:rPr>
                <w:rFonts w:asciiTheme="majorBidi" w:hAnsiTheme="majorBidi" w:cstheme="majorBidi"/>
              </w:rPr>
            </w:pPr>
          </w:p>
          <w:p w:rsidRPr="00065864" w:rsidR="00121A9B" w:rsidP="00FB5810" w:rsidRDefault="00121A9B" w14:paraId="4EC538FB" w14:textId="77777777">
            <w:pPr>
              <w:spacing w:before="120"/>
              <w:rPr>
                <w:rFonts w:asciiTheme="majorBidi" w:hAnsiTheme="majorBidi" w:cstheme="majorBidi"/>
              </w:rPr>
            </w:pPr>
          </w:p>
          <w:p w:rsidRPr="00065864" w:rsidR="00121A9B" w:rsidP="00FB5810" w:rsidRDefault="00121A9B" w14:paraId="375D3269" w14:textId="77777777">
            <w:pPr>
              <w:spacing w:before="120"/>
              <w:rPr>
                <w:rFonts w:asciiTheme="majorBidi" w:hAnsiTheme="majorBidi" w:cstheme="majorBidi"/>
              </w:rPr>
            </w:pPr>
          </w:p>
          <w:p w:rsidRPr="00065864" w:rsidR="00121A9B" w:rsidP="00FB5810" w:rsidRDefault="00121A9B" w14:paraId="44FD0CE9" w14:textId="77777777">
            <w:pPr>
              <w:spacing w:before="120"/>
              <w:rPr>
                <w:rFonts w:asciiTheme="majorBidi" w:hAnsiTheme="majorBidi" w:cstheme="majorBidi"/>
              </w:rPr>
            </w:pPr>
          </w:p>
          <w:p w:rsidRPr="00065864" w:rsidR="00121A9B" w:rsidP="00FB5810" w:rsidRDefault="00121A9B" w14:paraId="041EBB15" w14:textId="77777777">
            <w:pPr>
              <w:spacing w:before="120"/>
              <w:rPr>
                <w:rFonts w:asciiTheme="majorBidi" w:hAnsiTheme="majorBidi" w:cstheme="majorBidi"/>
              </w:rPr>
            </w:pPr>
          </w:p>
          <w:p w:rsidRPr="00065864" w:rsidR="00121A9B" w:rsidP="00FB5810" w:rsidRDefault="00121A9B" w14:paraId="3D0FF046" w14:textId="77777777">
            <w:pPr>
              <w:spacing w:before="120"/>
              <w:rPr>
                <w:rFonts w:asciiTheme="majorBidi" w:hAnsiTheme="majorBidi" w:cstheme="majorBidi"/>
              </w:rPr>
            </w:pPr>
          </w:p>
          <w:p w:rsidRPr="00065864" w:rsidR="00121A9B" w:rsidP="00FB5810" w:rsidRDefault="00121A9B" w14:paraId="2B919D62" w14:textId="77777777">
            <w:pPr>
              <w:spacing w:before="120"/>
              <w:rPr>
                <w:rFonts w:asciiTheme="majorBidi" w:hAnsiTheme="majorBidi" w:cstheme="majorBidi"/>
              </w:rPr>
            </w:pPr>
          </w:p>
          <w:p w:rsidRPr="00486833" w:rsidR="00121A9B" w:rsidP="00486833" w:rsidRDefault="00121A9B" w14:paraId="18033935" w14:textId="77777777">
            <w:pPr>
              <w:pStyle w:val="ListParagraph"/>
              <w:numPr>
                <w:ilvl w:val="0"/>
                <w:numId w:val="15"/>
              </w:numPr>
              <w:spacing w:before="120"/>
              <w:rPr>
                <w:rFonts w:asciiTheme="majorBidi" w:hAnsiTheme="majorBidi" w:cstheme="majorBidi"/>
              </w:rPr>
            </w:pPr>
            <w:r w:rsidRPr="00486833">
              <w:rPr>
                <w:rFonts w:asciiTheme="majorBidi" w:hAnsiTheme="majorBidi" w:cstheme="majorBidi"/>
              </w:rPr>
              <w:t xml:space="preserve">D.25-09-006, p. 24. </w:t>
            </w:r>
          </w:p>
          <w:p w:rsidRPr="00065864" w:rsidR="00065864" w:rsidP="00FB5810" w:rsidRDefault="00065864" w14:paraId="4804256B" w14:textId="77777777">
            <w:pPr>
              <w:spacing w:before="120"/>
              <w:rPr>
                <w:rFonts w:asciiTheme="majorBidi" w:hAnsiTheme="majorBidi" w:cstheme="majorBidi"/>
              </w:rPr>
            </w:pPr>
          </w:p>
          <w:p w:rsidR="00065864" w:rsidP="00486833" w:rsidRDefault="00065864" w14:paraId="05F119DF" w14:textId="42953E21">
            <w:pPr>
              <w:pStyle w:val="ListParagraph"/>
              <w:numPr>
                <w:ilvl w:val="0"/>
                <w:numId w:val="15"/>
              </w:numPr>
              <w:spacing w:before="120"/>
            </w:pPr>
            <w:r w:rsidRPr="00486833">
              <w:rPr>
                <w:rFonts w:asciiTheme="majorBidi" w:hAnsiTheme="majorBidi" w:cstheme="majorBidi"/>
              </w:rPr>
              <w:t>D.25-09-006, p</w:t>
            </w:r>
            <w:r w:rsidR="0078739E">
              <w:rPr>
                <w:rFonts w:asciiTheme="majorBidi" w:hAnsiTheme="majorBidi" w:cstheme="majorBidi"/>
              </w:rPr>
              <w:t>p</w:t>
            </w:r>
            <w:r w:rsidRPr="00486833">
              <w:rPr>
                <w:rFonts w:asciiTheme="majorBidi" w:hAnsiTheme="majorBidi" w:cstheme="majorBidi"/>
              </w:rPr>
              <w:t>. 25-26.</w:t>
            </w:r>
          </w:p>
        </w:tc>
        <w:tc>
          <w:tcPr>
            <w:tcW w:w="1710" w:type="dxa"/>
          </w:tcPr>
          <w:p w:rsidRPr="003349DE" w:rsidR="004C77FF" w:rsidP="00A47EB7" w:rsidRDefault="00E35630" w14:paraId="0D7A427A" w14:textId="0B8AA99D">
            <w:pPr>
              <w:spacing w:before="120"/>
              <w:rPr>
                <w:color w:val="000000"/>
              </w:rPr>
            </w:pPr>
            <w:r>
              <w:rPr>
                <w:color w:val="000000"/>
              </w:rPr>
              <w:lastRenderedPageBreak/>
              <w:t>Verified</w:t>
            </w:r>
          </w:p>
        </w:tc>
      </w:tr>
      <w:tr w:rsidRPr="003349DE" w:rsidR="0027207D" w:rsidTr="00725F0A" w14:paraId="7DFE8A13" w14:textId="77777777">
        <w:tc>
          <w:tcPr>
            <w:tcW w:w="4675" w:type="dxa"/>
          </w:tcPr>
          <w:p w:rsidR="0027207D" w:rsidP="00FB5810" w:rsidRDefault="004C77FF" w14:paraId="26F5037C" w14:textId="716F8D98">
            <w:pPr>
              <w:spacing w:before="120"/>
              <w:rPr>
                <w:b/>
                <w:bCs/>
                <w:color w:val="000000"/>
                <w:u w:val="single"/>
              </w:rPr>
            </w:pPr>
            <w:r>
              <w:rPr>
                <w:b/>
                <w:bCs/>
                <w:color w:val="000000"/>
                <w:u w:val="single"/>
              </w:rPr>
              <w:t>4</w:t>
            </w:r>
            <w:r w:rsidR="0027207D">
              <w:rPr>
                <w:b/>
                <w:bCs/>
                <w:color w:val="000000"/>
                <w:u w:val="single"/>
              </w:rPr>
              <w:t xml:space="preserve">. </w:t>
            </w:r>
            <w:r w:rsidRPr="0027207D" w:rsidR="0027207D">
              <w:rPr>
                <w:b/>
                <w:bCs/>
                <w:color w:val="000000"/>
                <w:u w:val="single"/>
              </w:rPr>
              <w:t>Medical Baseline Cost Recovery Through the Public Purpose Program (PPP)</w:t>
            </w:r>
          </w:p>
          <w:p w:rsidR="0027207D" w:rsidP="00FB5810" w:rsidRDefault="0027207D" w14:paraId="269A6206" w14:textId="77777777">
            <w:pPr>
              <w:spacing w:before="120"/>
              <w:rPr>
                <w:color w:val="000000"/>
              </w:rPr>
            </w:pPr>
            <w:r w:rsidRPr="0027207D">
              <w:rPr>
                <w:color w:val="000000"/>
              </w:rPr>
              <w:t xml:space="preserve">SDG&amp;E noted that Medical Baseline Program costs were currently recovered through the distribution rate component and did not </w:t>
            </w:r>
            <w:r w:rsidRPr="0027207D">
              <w:rPr>
                <w:color w:val="000000"/>
              </w:rPr>
              <w:lastRenderedPageBreak/>
              <w:t xml:space="preserve">propose to recover these costs through the Public Purpose Program (PPP) surcharge. </w:t>
            </w:r>
          </w:p>
          <w:p w:rsidR="0027207D" w:rsidP="00FB5810" w:rsidRDefault="0027207D" w14:paraId="5E03E72E" w14:textId="77777777">
            <w:pPr>
              <w:spacing w:before="120"/>
              <w:rPr>
                <w:color w:val="000000"/>
              </w:rPr>
            </w:pPr>
          </w:p>
          <w:p w:rsidR="0027207D" w:rsidP="00FB5810" w:rsidRDefault="0027207D" w14:paraId="5105EEF5" w14:textId="5B75AAF1">
            <w:pPr>
              <w:spacing w:before="120"/>
              <w:rPr>
                <w:color w:val="000000"/>
              </w:rPr>
            </w:pPr>
            <w:r w:rsidRPr="0027207D">
              <w:rPr>
                <w:color w:val="000000"/>
              </w:rPr>
              <w:t xml:space="preserve">TURN proposed recovering Medical Baseline Program costs through the PPP surcharge using an equal-cents-per-kWh allocator, explaining that PPP-based recovery would more fairly distribute the costs of a state-mandated program designed to serve the public interest. </w:t>
            </w:r>
            <w:r w:rsidR="00486833">
              <w:rPr>
                <w:color w:val="000000"/>
              </w:rPr>
              <w:t xml:space="preserve">In rebuttal testimony, </w:t>
            </w:r>
            <w:r w:rsidRPr="0027207D">
              <w:rPr>
                <w:color w:val="000000"/>
              </w:rPr>
              <w:t>SDG&amp;E supported TURN’s proposal</w:t>
            </w:r>
            <w:r>
              <w:rPr>
                <w:color w:val="000000"/>
              </w:rPr>
              <w:t xml:space="preserve">, </w:t>
            </w:r>
            <w:r w:rsidRPr="0027207D">
              <w:rPr>
                <w:color w:val="000000"/>
              </w:rPr>
              <w:t>recommending two modifications: using the Energy Savings Assistance Program allocator because the Medical Baseline Program is not a low-income program, and establishing a balancing account to track Medical Baseline Program costs.</w:t>
            </w:r>
          </w:p>
          <w:p w:rsidR="0027207D" w:rsidP="00FB5810" w:rsidRDefault="0027207D" w14:paraId="67BB8056" w14:textId="77777777">
            <w:pPr>
              <w:spacing w:before="120"/>
              <w:rPr>
                <w:color w:val="000000"/>
              </w:rPr>
            </w:pPr>
          </w:p>
          <w:p w:rsidR="0027207D" w:rsidP="00FB5810" w:rsidRDefault="0027207D" w14:paraId="4379E4B6" w14:textId="77777777">
            <w:pPr>
              <w:spacing w:before="120"/>
              <w:rPr>
                <w:color w:val="000000"/>
              </w:rPr>
            </w:pPr>
            <w:r w:rsidRPr="0027207D">
              <w:rPr>
                <w:color w:val="000000"/>
              </w:rPr>
              <w:t>The Commission adopted the Partial Settlement Agreement provisions incorporating TURN’s PPP cost-recovery proposal. The Commission found it reasonable to establish a Medical Baseline Program Balancing Account and to recover Medical Baseline Program discount costs through the PPP rate component using an equal-cents-per-kWh allocator, with the exception of the Street Lighting class.</w:t>
            </w:r>
            <w:r>
              <w:rPr>
                <w:color w:val="000000"/>
              </w:rPr>
              <w:t xml:space="preserve"> </w:t>
            </w:r>
            <w:r w:rsidRPr="0027207D">
              <w:rPr>
                <w:color w:val="000000"/>
              </w:rPr>
              <w:t>The Commission concluded that PPP-based recovery aligned with the purpose of the Medical Baseline Program and the intent of the Public Purpose Program, adopting the cost-tracking and cost-recovery structure developed from TURN’s proposal.</w:t>
            </w:r>
          </w:p>
          <w:p w:rsidRPr="0027207D" w:rsidR="001E4A9D" w:rsidP="00FB5810" w:rsidRDefault="001E4A9D" w14:paraId="35077011" w14:textId="3A4E1E20">
            <w:pPr>
              <w:spacing w:before="120"/>
              <w:rPr>
                <w:color w:val="000000"/>
              </w:rPr>
            </w:pPr>
          </w:p>
        </w:tc>
        <w:tc>
          <w:tcPr>
            <w:tcW w:w="2970" w:type="dxa"/>
          </w:tcPr>
          <w:p w:rsidR="0027207D" w:rsidP="00FB5810" w:rsidRDefault="0027207D" w14:paraId="7526EF41" w14:textId="77777777">
            <w:pPr>
              <w:spacing w:before="120"/>
            </w:pPr>
          </w:p>
          <w:p w:rsidR="00D47A33" w:rsidP="00FB5810" w:rsidRDefault="00D47A33" w14:paraId="5DC3909F" w14:textId="77777777">
            <w:pPr>
              <w:spacing w:before="120"/>
            </w:pPr>
          </w:p>
          <w:p w:rsidR="00D47A33" w:rsidP="00FB5810" w:rsidRDefault="00D47A33" w14:paraId="5BFD6C37" w14:textId="77777777">
            <w:pPr>
              <w:spacing w:before="120"/>
            </w:pPr>
          </w:p>
          <w:p w:rsidR="00D47A33" w:rsidP="00FB5810" w:rsidRDefault="00D47A33" w14:paraId="7C56D58A" w14:textId="77777777">
            <w:pPr>
              <w:spacing w:before="120"/>
            </w:pPr>
          </w:p>
          <w:p w:rsidR="00D47A33" w:rsidP="00FB5810" w:rsidRDefault="00D47A33" w14:paraId="1DD459C4" w14:textId="77777777">
            <w:pPr>
              <w:spacing w:before="120"/>
            </w:pPr>
          </w:p>
          <w:p w:rsidR="00D47A33" w:rsidP="00FB5810" w:rsidRDefault="00D47A33" w14:paraId="52929879" w14:textId="77777777">
            <w:pPr>
              <w:spacing w:before="120"/>
            </w:pPr>
          </w:p>
          <w:p w:rsidR="00D47A33" w:rsidP="00FB5810" w:rsidRDefault="00D47A33" w14:paraId="0924C693" w14:textId="77777777">
            <w:pPr>
              <w:spacing w:before="120"/>
            </w:pPr>
          </w:p>
          <w:p w:rsidR="00D47A33" w:rsidP="00FB5810" w:rsidRDefault="00D47A33" w14:paraId="2BF1575C" w14:textId="77777777">
            <w:pPr>
              <w:spacing w:before="120"/>
            </w:pPr>
          </w:p>
          <w:p w:rsidR="00D47A33" w:rsidP="00D47A33" w:rsidRDefault="00D47A33" w14:paraId="736D3DC5" w14:textId="77777777">
            <w:pPr>
              <w:pStyle w:val="ListParagraph"/>
              <w:numPr>
                <w:ilvl w:val="0"/>
                <w:numId w:val="16"/>
              </w:numPr>
              <w:spacing w:before="120"/>
            </w:pPr>
            <w:r w:rsidRPr="00D47A33">
              <w:t>Ex. TURN-1E</w:t>
            </w:r>
            <w:r>
              <w:t xml:space="preserve">, p. </w:t>
            </w:r>
            <w:r w:rsidRPr="00D47A33">
              <w:t>36</w:t>
            </w:r>
            <w:r w:rsidR="009007DF">
              <w:t>.</w:t>
            </w:r>
          </w:p>
          <w:p w:rsidR="009007DF" w:rsidP="009007DF" w:rsidRDefault="009007DF" w14:paraId="0D096F94" w14:textId="77777777">
            <w:pPr>
              <w:spacing w:before="120"/>
            </w:pPr>
          </w:p>
          <w:p w:rsidR="009007DF" w:rsidP="009007DF" w:rsidRDefault="009007DF" w14:paraId="28971F4B" w14:textId="77777777">
            <w:pPr>
              <w:spacing w:before="120"/>
            </w:pPr>
          </w:p>
          <w:p w:rsidR="009007DF" w:rsidP="009007DF" w:rsidRDefault="009007DF" w14:paraId="1360E23C" w14:textId="77777777">
            <w:pPr>
              <w:spacing w:before="120"/>
            </w:pPr>
          </w:p>
          <w:p w:rsidR="009007DF" w:rsidP="009007DF" w:rsidRDefault="009007DF" w14:paraId="061BAEC1" w14:textId="77777777">
            <w:pPr>
              <w:spacing w:before="120"/>
            </w:pPr>
          </w:p>
          <w:p w:rsidR="009007DF" w:rsidP="009007DF" w:rsidRDefault="009007DF" w14:paraId="315352F4" w14:textId="77777777">
            <w:pPr>
              <w:spacing w:before="120"/>
            </w:pPr>
          </w:p>
          <w:p w:rsidR="009007DF" w:rsidP="009007DF" w:rsidRDefault="009007DF" w14:paraId="3E4E1E26" w14:textId="77777777">
            <w:pPr>
              <w:spacing w:before="120"/>
            </w:pPr>
          </w:p>
          <w:p w:rsidR="009007DF" w:rsidP="009007DF" w:rsidRDefault="009007DF" w14:paraId="2A0863BD" w14:textId="77777777">
            <w:pPr>
              <w:spacing w:before="120"/>
            </w:pPr>
          </w:p>
          <w:p w:rsidR="009007DF" w:rsidP="009007DF" w:rsidRDefault="009007DF" w14:paraId="1FD76A63" w14:textId="77777777">
            <w:pPr>
              <w:spacing w:before="120"/>
            </w:pPr>
          </w:p>
          <w:p w:rsidR="009007DF" w:rsidP="009007DF" w:rsidRDefault="009007DF" w14:paraId="2CE0DCCE" w14:textId="77777777">
            <w:pPr>
              <w:spacing w:before="120"/>
            </w:pPr>
          </w:p>
          <w:p w:rsidR="009007DF" w:rsidP="009007DF" w:rsidRDefault="009007DF" w14:paraId="127A2078" w14:textId="77777777">
            <w:pPr>
              <w:spacing w:before="120"/>
            </w:pPr>
          </w:p>
          <w:p w:rsidR="0078739E" w:rsidP="0078739E" w:rsidRDefault="0078739E" w14:paraId="79631A22" w14:textId="13DB87E1">
            <w:pPr>
              <w:pStyle w:val="ListParagraph"/>
              <w:numPr>
                <w:ilvl w:val="0"/>
                <w:numId w:val="16"/>
              </w:numPr>
              <w:spacing w:before="120"/>
            </w:pPr>
            <w:r w:rsidRPr="0078739E">
              <w:rPr>
                <w:rFonts w:asciiTheme="majorBidi" w:hAnsiTheme="majorBidi" w:cstheme="majorBidi"/>
              </w:rPr>
              <w:t xml:space="preserve">D.25-09-006, pp. </w:t>
            </w:r>
            <w:r>
              <w:rPr>
                <w:rFonts w:asciiTheme="majorBidi" w:hAnsiTheme="majorBidi" w:cstheme="majorBidi"/>
              </w:rPr>
              <w:t>43</w:t>
            </w:r>
            <w:r w:rsidRPr="0078739E">
              <w:rPr>
                <w:rFonts w:asciiTheme="majorBidi" w:hAnsiTheme="majorBidi" w:cstheme="majorBidi"/>
              </w:rPr>
              <w:t>-</w:t>
            </w:r>
            <w:r>
              <w:rPr>
                <w:rFonts w:asciiTheme="majorBidi" w:hAnsiTheme="majorBidi" w:cstheme="majorBidi"/>
              </w:rPr>
              <w:t xml:space="preserve">44. </w:t>
            </w:r>
          </w:p>
        </w:tc>
        <w:tc>
          <w:tcPr>
            <w:tcW w:w="1710" w:type="dxa"/>
          </w:tcPr>
          <w:p w:rsidRPr="003349DE" w:rsidR="0027207D" w:rsidP="00A47EB7" w:rsidRDefault="00877166" w14:paraId="69EE8203" w14:textId="59D0888A">
            <w:pPr>
              <w:spacing w:before="120"/>
              <w:rPr>
                <w:color w:val="000000"/>
              </w:rPr>
            </w:pPr>
            <w:r>
              <w:rPr>
                <w:color w:val="000000"/>
              </w:rPr>
              <w:lastRenderedPageBreak/>
              <w:t>Verified</w:t>
            </w:r>
          </w:p>
        </w:tc>
      </w:tr>
      <w:tr w:rsidRPr="003349DE" w:rsidR="001E4A9D" w:rsidTr="00725F0A" w14:paraId="08C20F53" w14:textId="77777777">
        <w:tc>
          <w:tcPr>
            <w:tcW w:w="4675" w:type="dxa"/>
          </w:tcPr>
          <w:p w:rsidR="001E4A9D" w:rsidP="00FB5810" w:rsidRDefault="004C77FF" w14:paraId="665E3D06" w14:textId="6127B117">
            <w:pPr>
              <w:spacing w:before="120"/>
              <w:rPr>
                <w:b/>
                <w:bCs/>
                <w:color w:val="000000"/>
                <w:u w:val="single"/>
              </w:rPr>
            </w:pPr>
            <w:r>
              <w:rPr>
                <w:b/>
                <w:bCs/>
                <w:color w:val="000000"/>
                <w:u w:val="single"/>
              </w:rPr>
              <w:t>5</w:t>
            </w:r>
            <w:r w:rsidR="001E4A9D">
              <w:rPr>
                <w:b/>
                <w:bCs/>
                <w:color w:val="000000"/>
                <w:u w:val="single"/>
              </w:rPr>
              <w:t>. Wildfire-Related Costs Cost Allocation</w:t>
            </w:r>
          </w:p>
          <w:p w:rsidRPr="008D57CD" w:rsidR="008D57CD" w:rsidP="00EA51EB" w:rsidRDefault="001E4A9D" w14:paraId="1AB2CB63" w14:textId="1703796C">
            <w:pPr>
              <w:rPr>
                <w:rFonts w:asciiTheme="majorBidi" w:hAnsiTheme="majorBidi" w:cstheme="majorBidi"/>
                <w:color w:val="000000"/>
              </w:rPr>
            </w:pPr>
            <w:r w:rsidRPr="00EA51EB">
              <w:rPr>
                <w:rFonts w:asciiTheme="majorBidi" w:hAnsiTheme="majorBidi" w:cstheme="majorBidi"/>
                <w:color w:val="000000"/>
              </w:rPr>
              <w:t>W</w:t>
            </w:r>
            <w:r w:rsidRPr="001E4A9D">
              <w:rPr>
                <w:rFonts w:asciiTheme="majorBidi" w:hAnsiTheme="majorBidi" w:cstheme="majorBidi"/>
                <w:color w:val="000000"/>
              </w:rPr>
              <w:t>ildfire-related costs are currently recovered through distribution</w:t>
            </w:r>
            <w:r w:rsidRPr="00EA51EB">
              <w:rPr>
                <w:rFonts w:asciiTheme="majorBidi" w:hAnsiTheme="majorBidi" w:cstheme="majorBidi"/>
                <w:color w:val="000000"/>
              </w:rPr>
              <w:t xml:space="preserve"> r</w:t>
            </w:r>
            <w:r w:rsidRPr="001E4A9D">
              <w:rPr>
                <w:rFonts w:asciiTheme="majorBidi" w:hAnsiTheme="majorBidi" w:cstheme="majorBidi"/>
                <w:color w:val="000000"/>
              </w:rPr>
              <w:t>evenues based on the EPMC methodology. In opening testimony, SDG&amp;E</w:t>
            </w:r>
            <w:r w:rsidRPr="00EA51EB">
              <w:rPr>
                <w:rFonts w:asciiTheme="majorBidi" w:hAnsiTheme="majorBidi" w:cstheme="majorBidi"/>
                <w:color w:val="000000"/>
              </w:rPr>
              <w:t xml:space="preserve"> </w:t>
            </w:r>
            <w:r w:rsidRPr="001E4A9D">
              <w:rPr>
                <w:rFonts w:asciiTheme="majorBidi" w:hAnsiTheme="majorBidi" w:cstheme="majorBidi"/>
                <w:color w:val="000000"/>
              </w:rPr>
              <w:t>proposes to continue using this methodology to collect wildfire-related costs.</w:t>
            </w:r>
            <w:r w:rsidRPr="00EA51EB">
              <w:rPr>
                <w:rFonts w:asciiTheme="majorBidi" w:hAnsiTheme="majorBidi" w:cstheme="majorBidi"/>
                <w:color w:val="000000"/>
              </w:rPr>
              <w:t xml:space="preserve"> TURN proposed that an equal cents per kilowatt-hour </w:t>
            </w:r>
            <w:r w:rsidRPr="001E4A9D">
              <w:rPr>
                <w:rFonts w:asciiTheme="majorBidi" w:hAnsiTheme="majorBidi" w:cstheme="majorBidi"/>
                <w:color w:val="000000"/>
              </w:rPr>
              <w:t xml:space="preserve">methodology should be used to collect wildfire-related costs because it </w:t>
            </w:r>
            <w:r w:rsidRPr="001E4A9D">
              <w:rPr>
                <w:rFonts w:asciiTheme="majorBidi" w:hAnsiTheme="majorBidi" w:cstheme="majorBidi"/>
                <w:color w:val="000000"/>
              </w:rPr>
              <w:lastRenderedPageBreak/>
              <w:t xml:space="preserve">assigns these costs to all customer classes </w:t>
            </w:r>
            <w:r w:rsidRPr="00EA51EB">
              <w:rPr>
                <w:rFonts w:asciiTheme="majorBidi" w:hAnsiTheme="majorBidi" w:cstheme="majorBidi"/>
                <w:color w:val="000000"/>
              </w:rPr>
              <w:t xml:space="preserve">more fairly instead of disproportionately burdening the residential customer class. </w:t>
            </w:r>
            <w:r w:rsidRPr="00EA51EB" w:rsidR="00E232D8">
              <w:rPr>
                <w:rFonts w:asciiTheme="majorBidi" w:hAnsiTheme="majorBidi" w:cstheme="majorBidi"/>
                <w:color w:val="000000"/>
              </w:rPr>
              <w:t xml:space="preserve">In response to TURN and Cal Advocates’ concerns, </w:t>
            </w:r>
            <w:r w:rsidRPr="009A7F9D" w:rsidR="00E232D8">
              <w:rPr>
                <w:rFonts w:asciiTheme="majorBidi" w:hAnsiTheme="majorBidi" w:cstheme="majorBidi"/>
                <w:color w:val="000000"/>
              </w:rPr>
              <w:t>SDG&amp;E propose</w:t>
            </w:r>
            <w:r w:rsidR="00520AAE">
              <w:rPr>
                <w:rFonts w:asciiTheme="majorBidi" w:hAnsiTheme="majorBidi" w:cstheme="majorBidi"/>
                <w:color w:val="000000"/>
              </w:rPr>
              <w:t>d the</w:t>
            </w:r>
            <w:r w:rsidRPr="009A7F9D" w:rsidR="00E232D8">
              <w:rPr>
                <w:rFonts w:asciiTheme="majorBidi" w:hAnsiTheme="majorBidi" w:cstheme="majorBidi"/>
                <w:color w:val="000000"/>
              </w:rPr>
              <w:t xml:space="preserve"> use of the equal percentage of total</w:t>
            </w:r>
            <w:r w:rsidRPr="00EA51EB" w:rsidR="00E232D8">
              <w:rPr>
                <w:rFonts w:asciiTheme="majorBidi" w:hAnsiTheme="majorBidi" w:cstheme="majorBidi"/>
                <w:color w:val="000000"/>
              </w:rPr>
              <w:t xml:space="preserve"> r</w:t>
            </w:r>
            <w:r w:rsidRPr="009A7F9D" w:rsidR="00E232D8">
              <w:rPr>
                <w:rFonts w:asciiTheme="majorBidi" w:hAnsiTheme="majorBidi" w:cstheme="majorBidi"/>
                <w:color w:val="000000"/>
              </w:rPr>
              <w:t>evenues (EPTR) methodology for non-securitized wildfire-related costs</w:t>
            </w:r>
            <w:r w:rsidRPr="00EA51EB" w:rsidR="00E232D8">
              <w:rPr>
                <w:rFonts w:asciiTheme="majorBidi" w:hAnsiTheme="majorBidi" w:cstheme="majorBidi"/>
                <w:color w:val="000000"/>
              </w:rPr>
              <w:t xml:space="preserve"> as it spread the costs more evenly to all customer classes than the EPMC method. T</w:t>
            </w:r>
            <w:r w:rsidRPr="007D02F6" w:rsidR="00E232D8">
              <w:rPr>
                <w:rFonts w:asciiTheme="majorBidi" w:hAnsiTheme="majorBidi" w:cstheme="majorBidi"/>
                <w:color w:val="000000"/>
              </w:rPr>
              <w:t>he Partial Settlement Agreement provides for an EPTR Methodology</w:t>
            </w:r>
            <w:r w:rsidRPr="00EA51EB" w:rsidR="00E232D8">
              <w:rPr>
                <w:rFonts w:asciiTheme="majorBidi" w:hAnsiTheme="majorBidi" w:cstheme="majorBidi"/>
                <w:color w:val="000000"/>
              </w:rPr>
              <w:t xml:space="preserve"> </w:t>
            </w:r>
            <w:r w:rsidRPr="007D02F6" w:rsidR="00E232D8">
              <w:rPr>
                <w:rFonts w:asciiTheme="majorBidi" w:hAnsiTheme="majorBidi" w:cstheme="majorBidi"/>
                <w:color w:val="000000"/>
              </w:rPr>
              <w:t>which will allocate non-securitized wildfire-related revenue requirements</w:t>
            </w:r>
            <w:r w:rsidR="00EA51EB">
              <w:rPr>
                <w:rFonts w:asciiTheme="majorBidi" w:hAnsiTheme="majorBidi" w:cstheme="majorBidi"/>
                <w:color w:val="000000"/>
              </w:rPr>
              <w:t xml:space="preserve"> </w:t>
            </w:r>
            <w:r w:rsidRPr="007D02F6" w:rsidR="00E232D8">
              <w:rPr>
                <w:rFonts w:asciiTheme="majorBidi" w:hAnsiTheme="majorBidi" w:cstheme="majorBidi"/>
                <w:color w:val="000000"/>
              </w:rPr>
              <w:t>annually to all SDG&amp;E customer classes with distribution rate design and</w:t>
            </w:r>
            <w:r w:rsidRPr="00EA51EB" w:rsidR="00E232D8">
              <w:rPr>
                <w:rFonts w:asciiTheme="majorBidi" w:hAnsiTheme="majorBidi" w:cstheme="majorBidi"/>
                <w:color w:val="000000"/>
              </w:rPr>
              <w:t xml:space="preserve"> </w:t>
            </w:r>
            <w:r w:rsidRPr="007D02F6" w:rsidR="00E232D8">
              <w:rPr>
                <w:rFonts w:asciiTheme="majorBidi" w:hAnsiTheme="majorBidi" w:cstheme="majorBidi"/>
                <w:color w:val="000000"/>
              </w:rPr>
              <w:t>allocations based on the present total revenue</w:t>
            </w:r>
            <w:r w:rsidRPr="00EA51EB" w:rsidR="00E232D8">
              <w:rPr>
                <w:rFonts w:asciiTheme="majorBidi" w:hAnsiTheme="majorBidi" w:cstheme="majorBidi"/>
                <w:color w:val="000000"/>
              </w:rPr>
              <w:t xml:space="preserve">. TURN also investigated which memorandum and balancing accounts this treatment should apply to and </w:t>
            </w:r>
            <w:r w:rsidR="00520AAE">
              <w:rPr>
                <w:rFonts w:asciiTheme="majorBidi" w:hAnsiTheme="majorBidi" w:cstheme="majorBidi"/>
                <w:color w:val="000000"/>
              </w:rPr>
              <w:t xml:space="preserve">primarily </w:t>
            </w:r>
            <w:r w:rsidRPr="00EA51EB" w:rsidR="00E232D8">
              <w:rPr>
                <w:rFonts w:asciiTheme="majorBidi" w:hAnsiTheme="majorBidi" w:cstheme="majorBidi"/>
                <w:color w:val="000000"/>
              </w:rPr>
              <w:t xml:space="preserve">due to TURN’s participation in settlement negotiations, all </w:t>
            </w:r>
            <w:r w:rsidRPr="00EA51EB" w:rsidR="008D57CD">
              <w:rPr>
                <w:rFonts w:asciiTheme="majorBidi" w:hAnsiTheme="majorBidi" w:cstheme="majorBidi"/>
                <w:color w:val="000000"/>
              </w:rPr>
              <w:t xml:space="preserve">non-securitized </w:t>
            </w:r>
            <w:r w:rsidRPr="00EA51EB" w:rsidR="00E232D8">
              <w:rPr>
                <w:rFonts w:asciiTheme="majorBidi" w:hAnsiTheme="majorBidi" w:cstheme="majorBidi"/>
                <w:color w:val="000000"/>
              </w:rPr>
              <w:t xml:space="preserve">wildfire-related accounts are subject to this treatment. </w:t>
            </w:r>
            <w:r w:rsidRPr="00EA51EB" w:rsidR="008D57CD">
              <w:rPr>
                <w:rFonts w:asciiTheme="majorBidi" w:hAnsiTheme="majorBidi" w:cstheme="majorBidi"/>
                <w:color w:val="000000"/>
              </w:rPr>
              <w:t>SDG&amp;E also agreed to apply the EPTR methodology to any future non-securitized</w:t>
            </w:r>
            <w:r w:rsidR="00EA51EB">
              <w:rPr>
                <w:rFonts w:asciiTheme="majorBidi" w:hAnsiTheme="majorBidi" w:cstheme="majorBidi"/>
                <w:color w:val="000000"/>
              </w:rPr>
              <w:t xml:space="preserve"> </w:t>
            </w:r>
            <w:r w:rsidRPr="008D57CD" w:rsidR="008D57CD">
              <w:rPr>
                <w:rFonts w:asciiTheme="majorBidi" w:hAnsiTheme="majorBidi" w:cstheme="majorBidi"/>
                <w:color w:val="000000"/>
              </w:rPr>
              <w:t>wildfire-related and vegetation management-related accounts</w:t>
            </w:r>
            <w:r w:rsidRPr="00EA51EB" w:rsidR="008D57CD">
              <w:rPr>
                <w:rFonts w:asciiTheme="majorBidi" w:hAnsiTheme="majorBidi" w:cstheme="majorBidi"/>
                <w:color w:val="000000"/>
              </w:rPr>
              <w:t>. Decision 25-09-006 found this to be reasonable and approved this aspect of the settlement. This will benefit residential ratepayers by reducing the allocation to the residential class’ of wildfire and vegetation related costs.</w:t>
            </w:r>
          </w:p>
          <w:p w:rsidRPr="00EA51EB" w:rsidR="001E4A9D" w:rsidP="00E232D8" w:rsidRDefault="001E4A9D" w14:paraId="2B2DC65C" w14:textId="58314B53">
            <w:pPr>
              <w:rPr>
                <w:rFonts w:asciiTheme="majorBidi" w:hAnsiTheme="majorBidi" w:cstheme="majorBidi"/>
                <w:color w:val="000000"/>
              </w:rPr>
            </w:pPr>
          </w:p>
          <w:p w:rsidRPr="001E4A9D" w:rsidR="008175CD" w:rsidP="001E4A9D" w:rsidRDefault="008175CD" w14:paraId="185B61B2" w14:textId="77777777">
            <w:pPr>
              <w:spacing w:before="120"/>
              <w:rPr>
                <w:color w:val="000000"/>
              </w:rPr>
            </w:pPr>
          </w:p>
          <w:p w:rsidRPr="001E4A9D" w:rsidR="001E4A9D" w:rsidP="001E4A9D" w:rsidRDefault="001E4A9D" w14:paraId="161F7B62" w14:textId="77777777">
            <w:pPr>
              <w:spacing w:before="120"/>
              <w:rPr>
                <w:color w:val="000000"/>
              </w:rPr>
            </w:pPr>
          </w:p>
          <w:p w:rsidRPr="001E4A9D" w:rsidR="001E4A9D" w:rsidP="00FB5810" w:rsidRDefault="001E4A9D" w14:paraId="23171E81" w14:textId="1FA6E4C4">
            <w:pPr>
              <w:spacing w:before="120"/>
              <w:rPr>
                <w:color w:val="000000"/>
              </w:rPr>
            </w:pPr>
          </w:p>
        </w:tc>
        <w:tc>
          <w:tcPr>
            <w:tcW w:w="2970" w:type="dxa"/>
          </w:tcPr>
          <w:p w:rsidR="001E4A9D" w:rsidP="00FB5810" w:rsidRDefault="001E4A9D" w14:paraId="056A581F" w14:textId="77777777">
            <w:pPr>
              <w:spacing w:before="120"/>
            </w:pPr>
          </w:p>
          <w:p w:rsidR="001E4A9D" w:rsidP="00FB5810" w:rsidRDefault="001E4A9D" w14:paraId="7113DC46" w14:textId="77777777">
            <w:pPr>
              <w:spacing w:before="120"/>
            </w:pPr>
          </w:p>
          <w:p w:rsidR="001E4A9D" w:rsidP="00FB5810" w:rsidRDefault="001E4A9D" w14:paraId="054ABD16" w14:textId="77777777">
            <w:pPr>
              <w:spacing w:before="120"/>
            </w:pPr>
          </w:p>
          <w:p w:rsidR="001E4A9D" w:rsidP="00FB5810" w:rsidRDefault="001E4A9D" w14:paraId="26818678" w14:textId="77777777">
            <w:pPr>
              <w:spacing w:before="120"/>
            </w:pPr>
          </w:p>
          <w:p w:rsidR="001E4A9D" w:rsidP="00FB5810" w:rsidRDefault="001E4A9D" w14:paraId="5A649AFA" w14:textId="77777777">
            <w:pPr>
              <w:spacing w:before="120"/>
            </w:pPr>
          </w:p>
          <w:p w:rsidRPr="001E4A9D" w:rsidR="001E4A9D" w:rsidP="001E4A9D" w:rsidRDefault="001E4A9D" w14:paraId="609A3C97" w14:textId="2F24AC3C">
            <w:pPr>
              <w:pStyle w:val="p1"/>
              <w:numPr>
                <w:ilvl w:val="0"/>
                <w:numId w:val="11"/>
              </w:numPr>
              <w:rPr>
                <w:rFonts w:asciiTheme="majorBidi" w:hAnsiTheme="majorBidi" w:cstheme="majorBidi"/>
                <w:sz w:val="24"/>
                <w:szCs w:val="24"/>
              </w:rPr>
            </w:pPr>
            <w:r w:rsidRPr="001E4A9D">
              <w:rPr>
                <w:rFonts w:asciiTheme="majorBidi" w:hAnsiTheme="majorBidi" w:cstheme="majorBidi"/>
                <w:sz w:val="24"/>
                <w:szCs w:val="24"/>
              </w:rPr>
              <w:t>Ex. TURN-2 (TURN Rebuttal</w:t>
            </w:r>
            <w:r w:rsidR="008175CD">
              <w:rPr>
                <w:rFonts w:asciiTheme="majorBidi" w:hAnsiTheme="majorBidi" w:cstheme="majorBidi"/>
                <w:sz w:val="24"/>
                <w:szCs w:val="24"/>
              </w:rPr>
              <w:t xml:space="preserve"> </w:t>
            </w:r>
            <w:r w:rsidRPr="001E4A9D">
              <w:rPr>
                <w:rFonts w:asciiTheme="majorBidi" w:hAnsiTheme="majorBidi" w:cstheme="majorBidi"/>
                <w:sz w:val="24"/>
                <w:szCs w:val="24"/>
              </w:rPr>
              <w:lastRenderedPageBreak/>
              <w:t>Testimony), pp. 35-36.</w:t>
            </w:r>
          </w:p>
          <w:p w:rsidRPr="0075635A" w:rsidR="001E4A9D" w:rsidP="001E4A9D" w:rsidRDefault="001E4A9D" w14:paraId="1813498B" w14:textId="77777777">
            <w:pPr>
              <w:rPr>
                <w:rFonts w:ascii="Helvetica" w:hAnsi="Helvetica"/>
                <w:color w:val="000000"/>
                <w:sz w:val="20"/>
                <w:szCs w:val="20"/>
              </w:rPr>
            </w:pPr>
          </w:p>
          <w:p w:rsidR="008D57CD" w:rsidP="008D57CD" w:rsidRDefault="008D57CD" w14:paraId="1061F7E0" w14:textId="69535B96">
            <w:pPr>
              <w:pStyle w:val="ListParagraph"/>
              <w:spacing w:before="120"/>
            </w:pPr>
          </w:p>
          <w:p w:rsidR="008D57CD" w:rsidP="008D57CD" w:rsidRDefault="008D57CD" w14:paraId="542BCAEA" w14:textId="77777777">
            <w:pPr>
              <w:spacing w:before="120"/>
              <w:ind w:left="360"/>
            </w:pPr>
          </w:p>
          <w:p w:rsidR="008D57CD" w:rsidP="008D57CD" w:rsidRDefault="00E232D8" w14:paraId="687AAA24" w14:textId="49222AA1">
            <w:pPr>
              <w:pStyle w:val="ListParagraph"/>
              <w:numPr>
                <w:ilvl w:val="0"/>
                <w:numId w:val="11"/>
              </w:numPr>
              <w:spacing w:before="120"/>
            </w:pPr>
            <w:r w:rsidRPr="00E232D8">
              <w:t>Partial Settlement Agreement</w:t>
            </w:r>
            <w:r>
              <w:t xml:space="preserve">, p. </w:t>
            </w:r>
            <w:r w:rsidRPr="00E232D8">
              <w:t>17.</w:t>
            </w:r>
          </w:p>
          <w:p w:rsidR="008D57CD" w:rsidP="008D57CD" w:rsidRDefault="008D57CD" w14:paraId="578907DA" w14:textId="77777777">
            <w:pPr>
              <w:spacing w:before="120"/>
            </w:pPr>
          </w:p>
          <w:p w:rsidR="008D57CD" w:rsidP="008D57CD" w:rsidRDefault="008D57CD" w14:paraId="468D0DF8" w14:textId="77777777">
            <w:pPr>
              <w:spacing w:before="120"/>
            </w:pPr>
          </w:p>
          <w:p w:rsidR="008D57CD" w:rsidP="008D57CD" w:rsidRDefault="008D57CD" w14:paraId="233CED77" w14:textId="77777777">
            <w:pPr>
              <w:spacing w:before="120"/>
            </w:pPr>
          </w:p>
          <w:p w:rsidR="000F10ED" w:rsidP="008D57CD" w:rsidRDefault="000F10ED" w14:paraId="639F2236" w14:textId="77777777">
            <w:pPr>
              <w:spacing w:before="120"/>
            </w:pPr>
          </w:p>
          <w:p w:rsidR="008D57CD" w:rsidP="008D57CD" w:rsidRDefault="008D57CD" w14:paraId="76FC25E3" w14:textId="77777777">
            <w:pPr>
              <w:spacing w:before="120"/>
            </w:pPr>
          </w:p>
          <w:p w:rsidRPr="008D57CD" w:rsidR="008D57CD" w:rsidP="008D57CD" w:rsidRDefault="008D57CD" w14:paraId="6E1A83F6" w14:textId="2DC80DF1">
            <w:pPr>
              <w:pStyle w:val="ListParagraph"/>
              <w:numPr>
                <w:ilvl w:val="0"/>
                <w:numId w:val="11"/>
              </w:numPr>
              <w:spacing w:before="120"/>
            </w:pPr>
            <w:r w:rsidRPr="009552CA">
              <w:rPr>
                <w:bCs/>
                <w:color w:val="000000"/>
              </w:rPr>
              <w:t>D.25-09-006,</w:t>
            </w:r>
            <w:r>
              <w:rPr>
                <w:bCs/>
                <w:color w:val="000000"/>
              </w:rPr>
              <w:t xml:space="preserve"> p. 51.</w:t>
            </w:r>
          </w:p>
          <w:p w:rsidR="008D57CD" w:rsidP="008D57CD" w:rsidRDefault="008D57CD" w14:paraId="75E0C034" w14:textId="77777777">
            <w:pPr>
              <w:spacing w:before="120"/>
            </w:pPr>
          </w:p>
          <w:p w:rsidR="008D57CD" w:rsidP="008D57CD" w:rsidRDefault="008D57CD" w14:paraId="3B73D427" w14:textId="77777777">
            <w:pPr>
              <w:spacing w:before="120"/>
            </w:pPr>
          </w:p>
          <w:p w:rsidRPr="008D57CD" w:rsidR="008D57CD" w:rsidP="008D57CD" w:rsidRDefault="008D57CD" w14:paraId="16658922" w14:textId="77777777">
            <w:pPr>
              <w:spacing w:before="120"/>
            </w:pPr>
          </w:p>
          <w:p w:rsidRPr="008D57CD" w:rsidR="008D57CD" w:rsidP="008D57CD" w:rsidRDefault="008D57CD" w14:paraId="6B372DED" w14:textId="540DAB83">
            <w:pPr>
              <w:pStyle w:val="ListParagraph"/>
              <w:numPr>
                <w:ilvl w:val="0"/>
                <w:numId w:val="11"/>
              </w:numPr>
              <w:spacing w:before="120"/>
            </w:pPr>
            <w:r w:rsidRPr="009552CA">
              <w:rPr>
                <w:bCs/>
                <w:color w:val="000000"/>
              </w:rPr>
              <w:t>D.25-09-006,</w:t>
            </w:r>
            <w:r>
              <w:rPr>
                <w:bCs/>
                <w:color w:val="000000"/>
              </w:rPr>
              <w:t xml:space="preserve"> p. 51 &amp; 88, COL 24 &amp; 25.</w:t>
            </w:r>
          </w:p>
          <w:p w:rsidRPr="00E232D8" w:rsidR="008D57CD" w:rsidP="008D57CD" w:rsidRDefault="008D57CD" w14:paraId="66B200E4" w14:textId="77777777">
            <w:pPr>
              <w:pStyle w:val="ListParagraph"/>
              <w:spacing w:before="120"/>
            </w:pPr>
          </w:p>
          <w:p w:rsidR="001E4A9D" w:rsidP="00FB5810" w:rsidRDefault="001E4A9D" w14:paraId="48FA0BB6" w14:textId="77777777">
            <w:pPr>
              <w:spacing w:before="120"/>
            </w:pPr>
          </w:p>
        </w:tc>
        <w:tc>
          <w:tcPr>
            <w:tcW w:w="1710" w:type="dxa"/>
          </w:tcPr>
          <w:p w:rsidRPr="003349DE" w:rsidR="001E4A9D" w:rsidP="00A47EB7" w:rsidRDefault="006A30A2" w14:paraId="3BA01E95" w14:textId="4CBDA7E5">
            <w:pPr>
              <w:spacing w:before="120"/>
              <w:rPr>
                <w:color w:val="000000"/>
              </w:rPr>
            </w:pPr>
            <w:r>
              <w:rPr>
                <w:color w:val="000000"/>
              </w:rPr>
              <w:lastRenderedPageBreak/>
              <w:t>Verified</w:t>
            </w:r>
          </w:p>
        </w:tc>
      </w:tr>
      <w:tr w:rsidRPr="003349DE" w:rsidR="00717AFE" w:rsidTr="00725F0A" w14:paraId="05ADA99A" w14:textId="77777777">
        <w:tc>
          <w:tcPr>
            <w:tcW w:w="4675" w:type="dxa"/>
          </w:tcPr>
          <w:p w:rsidR="00717AFE" w:rsidP="00FB5810" w:rsidRDefault="00717AFE" w14:paraId="04CDB796" w14:textId="77777777">
            <w:pPr>
              <w:spacing w:before="120"/>
              <w:rPr>
                <w:b/>
                <w:bCs/>
                <w:color w:val="000000"/>
                <w:u w:val="single"/>
              </w:rPr>
            </w:pPr>
            <w:r>
              <w:rPr>
                <w:b/>
                <w:bCs/>
                <w:color w:val="000000"/>
                <w:u w:val="single"/>
              </w:rPr>
              <w:t xml:space="preserve">6. Revenue Allocation </w:t>
            </w:r>
          </w:p>
          <w:p w:rsidR="004D11CF" w:rsidP="004D11CF" w:rsidRDefault="004D11CF" w14:paraId="6FFF755F" w14:textId="77777777">
            <w:pPr>
              <w:autoSpaceDE w:val="0"/>
              <w:autoSpaceDN w:val="0"/>
              <w:adjustRightInd w:val="0"/>
              <w:rPr>
                <w:rFonts w:eastAsiaTheme="minorHAnsi"/>
                <w:lang w:eastAsia="en-US"/>
                <w14:ligatures w14:val="standardContextual"/>
              </w:rPr>
            </w:pPr>
            <w:r>
              <w:rPr>
                <w:rFonts w:eastAsiaTheme="minorHAnsi"/>
                <w:lang w:eastAsia="en-US"/>
                <w14:ligatures w14:val="standardContextual"/>
              </w:rPr>
              <w:t>SDG&amp;E proposed to maintain System Average Percent Change (SAPC) for revenue</w:t>
            </w:r>
          </w:p>
          <w:p w:rsidR="00717AFE" w:rsidP="004D11CF" w:rsidRDefault="004D11CF" w14:paraId="687BE15D" w14:textId="77777777">
            <w:pPr>
              <w:autoSpaceDE w:val="0"/>
              <w:autoSpaceDN w:val="0"/>
              <w:adjustRightInd w:val="0"/>
              <w:rPr>
                <w:rFonts w:eastAsiaTheme="minorHAnsi"/>
                <w:lang w:eastAsia="en-US"/>
                <w14:ligatures w14:val="standardContextual"/>
              </w:rPr>
            </w:pPr>
            <w:r>
              <w:rPr>
                <w:rFonts w:eastAsiaTheme="minorHAnsi"/>
                <w:lang w:eastAsia="en-US"/>
                <w14:ligatures w14:val="standardContextual"/>
              </w:rPr>
              <w:t>allocations for the Distribution, Demand Response, Commodity, Competition Transition Charges (CTC), and Local Generation Charge (LGC) rate components with updates made to accommodate the proposed Medium Commercial customer class.</w:t>
            </w:r>
          </w:p>
          <w:p w:rsidR="004D11CF" w:rsidP="004D11CF" w:rsidRDefault="004D11CF" w14:paraId="4D276200" w14:textId="77777777">
            <w:pPr>
              <w:autoSpaceDE w:val="0"/>
              <w:autoSpaceDN w:val="0"/>
              <w:adjustRightInd w:val="0"/>
              <w:rPr>
                <w:rFonts w:eastAsiaTheme="minorHAnsi"/>
                <w:lang w:eastAsia="en-US"/>
                <w14:ligatures w14:val="standardContextual"/>
              </w:rPr>
            </w:pPr>
          </w:p>
          <w:p w:rsidR="00755010" w:rsidP="00755010" w:rsidRDefault="00755010" w14:paraId="41501866" w14:textId="77777777">
            <w:pPr>
              <w:autoSpaceDE w:val="0"/>
              <w:autoSpaceDN w:val="0"/>
              <w:adjustRightInd w:val="0"/>
              <w:rPr>
                <w:rFonts w:eastAsiaTheme="minorHAnsi"/>
                <w:lang w:eastAsia="en-US"/>
                <w14:ligatures w14:val="standardContextual"/>
              </w:rPr>
            </w:pPr>
            <w:r>
              <w:rPr>
                <w:rFonts w:eastAsiaTheme="minorHAnsi"/>
                <w:lang w:eastAsia="en-US"/>
                <w14:ligatures w14:val="standardContextual"/>
              </w:rPr>
              <w:lastRenderedPageBreak/>
              <w:t>TURN did not oppose SDG&amp;E’s proposal to continue adjusting revenue allocations on an</w:t>
            </w:r>
          </w:p>
          <w:p w:rsidR="0052669D" w:rsidP="0052669D" w:rsidRDefault="00755010" w14:paraId="1F504677" w14:textId="41FD4C85">
            <w:pPr>
              <w:autoSpaceDE w:val="0"/>
              <w:autoSpaceDN w:val="0"/>
              <w:adjustRightInd w:val="0"/>
              <w:rPr>
                <w:rFonts w:eastAsiaTheme="minorHAnsi"/>
                <w:lang w:eastAsia="en-US"/>
                <w14:ligatures w14:val="standardContextual"/>
              </w:rPr>
            </w:pPr>
            <w:r>
              <w:rPr>
                <w:rFonts w:eastAsiaTheme="minorHAnsi"/>
                <w:lang w:eastAsia="en-US"/>
                <w14:ligatures w14:val="standardContextual"/>
              </w:rPr>
              <w:t>annual basis using the SAPC method in furtherance of the goal of rate stability.</w:t>
            </w:r>
            <w:r>
              <w:rPr>
                <w:rFonts w:eastAsiaTheme="minorHAnsi"/>
                <w:sz w:val="16"/>
                <w:szCs w:val="16"/>
                <w:lang w:eastAsia="en-US"/>
                <w14:ligatures w14:val="standardContextual"/>
              </w:rPr>
              <w:t xml:space="preserve"> </w:t>
            </w:r>
            <w:r w:rsidR="0052669D">
              <w:rPr>
                <w:rFonts w:eastAsiaTheme="minorHAnsi"/>
                <w:lang w:eastAsia="en-US"/>
                <w14:ligatures w14:val="standardContextual"/>
              </w:rPr>
              <w:t xml:space="preserve">In the event the Commission declined to adopt the SAPC method, TURN made an alternative </w:t>
            </w:r>
            <w:r>
              <w:rPr>
                <w:rFonts w:eastAsiaTheme="minorHAnsi"/>
                <w:lang w:eastAsia="en-US"/>
                <w14:ligatures w14:val="standardContextual"/>
              </w:rPr>
              <w:t>recommend</w:t>
            </w:r>
            <w:r w:rsidR="0052669D">
              <w:rPr>
                <w:rFonts w:eastAsiaTheme="minorHAnsi"/>
                <w:lang w:eastAsia="en-US"/>
                <w14:ligatures w14:val="standardContextual"/>
              </w:rPr>
              <w:t xml:space="preserve">ation to </w:t>
            </w:r>
            <w:r>
              <w:rPr>
                <w:rFonts w:eastAsiaTheme="minorHAnsi"/>
                <w:lang w:eastAsia="en-US"/>
                <w14:ligatures w14:val="standardContextual"/>
              </w:rPr>
              <w:t xml:space="preserve">adopt </w:t>
            </w:r>
            <w:r w:rsidR="0052669D">
              <w:rPr>
                <w:rFonts w:eastAsiaTheme="minorHAnsi"/>
                <w:lang w:eastAsia="en-US"/>
                <w14:ligatures w14:val="standardContextual"/>
              </w:rPr>
              <w:t xml:space="preserve">the Commission’s </w:t>
            </w:r>
            <w:r>
              <w:rPr>
                <w:rFonts w:eastAsiaTheme="minorHAnsi"/>
                <w:lang w:eastAsia="en-US"/>
                <w14:ligatures w14:val="standardContextual"/>
              </w:rPr>
              <w:t>traditional revenue allocation method, the Equal</w:t>
            </w:r>
            <w:r w:rsidR="0052669D">
              <w:rPr>
                <w:rFonts w:eastAsiaTheme="minorHAnsi"/>
                <w:lang w:eastAsia="en-US"/>
                <w14:ligatures w14:val="standardContextual"/>
              </w:rPr>
              <w:t xml:space="preserve"> </w:t>
            </w:r>
            <w:r>
              <w:rPr>
                <w:rFonts w:eastAsiaTheme="minorHAnsi"/>
                <w:lang w:eastAsia="en-US"/>
                <w14:ligatures w14:val="standardContextual"/>
              </w:rPr>
              <w:t>Percentage of Marginal Cost (EPMC) method with revenue allocation based on TURN’s</w:t>
            </w:r>
            <w:r w:rsidR="0052669D">
              <w:rPr>
                <w:rFonts w:eastAsiaTheme="minorHAnsi"/>
                <w:lang w:eastAsia="en-US"/>
                <w14:ligatures w14:val="standardContextual"/>
              </w:rPr>
              <w:t xml:space="preserve"> </w:t>
            </w:r>
            <w:r>
              <w:rPr>
                <w:rFonts w:eastAsiaTheme="minorHAnsi"/>
                <w:lang w:eastAsia="en-US"/>
                <w14:ligatures w14:val="standardContextual"/>
              </w:rPr>
              <w:t>proposed marginal cost studies</w:t>
            </w:r>
            <w:r w:rsidR="0052669D">
              <w:rPr>
                <w:rFonts w:eastAsiaTheme="minorHAnsi"/>
                <w:lang w:eastAsia="en-US"/>
                <w14:ligatures w14:val="standardContextual"/>
              </w:rPr>
              <w:t>.</w:t>
            </w:r>
          </w:p>
          <w:p w:rsidR="007E1A2F" w:rsidP="0052669D" w:rsidRDefault="007E1A2F" w14:paraId="1B28CBA6" w14:textId="77777777">
            <w:pPr>
              <w:autoSpaceDE w:val="0"/>
              <w:autoSpaceDN w:val="0"/>
              <w:adjustRightInd w:val="0"/>
              <w:rPr>
                <w:rFonts w:eastAsiaTheme="minorHAnsi"/>
                <w:lang w:eastAsia="en-US"/>
                <w14:ligatures w14:val="standardContextual"/>
              </w:rPr>
            </w:pPr>
          </w:p>
          <w:p w:rsidR="0052669D" w:rsidP="000F10ED" w:rsidRDefault="007E1A2F" w14:paraId="469C1272" w14:textId="4A8D71D7">
            <w:pPr>
              <w:autoSpaceDE w:val="0"/>
              <w:autoSpaceDN w:val="0"/>
              <w:adjustRightInd w:val="0"/>
              <w:rPr>
                <w:rFonts w:eastAsiaTheme="minorHAnsi"/>
                <w:lang w:eastAsia="en-US"/>
                <w14:ligatures w14:val="standardContextual"/>
              </w:rPr>
            </w:pPr>
            <w:r>
              <w:rPr>
                <w:rFonts w:eastAsiaTheme="minorHAnsi"/>
                <w:lang w:eastAsia="en-US"/>
                <w14:ligatures w14:val="standardContextual"/>
              </w:rPr>
              <w:t xml:space="preserve">The Partial Settlement Agreement </w:t>
            </w:r>
            <w:r w:rsidRPr="007E1A2F">
              <w:rPr>
                <w:rFonts w:eastAsiaTheme="minorHAnsi"/>
                <w:lang w:eastAsia="en-US"/>
                <w14:ligatures w14:val="standardContextual"/>
              </w:rPr>
              <w:t>adjust</w:t>
            </w:r>
            <w:r w:rsidR="00C458FC">
              <w:rPr>
                <w:rFonts w:eastAsiaTheme="minorHAnsi"/>
                <w:lang w:eastAsia="en-US"/>
                <w14:ligatures w14:val="standardContextual"/>
              </w:rPr>
              <w:t>s</w:t>
            </w:r>
            <w:r w:rsidRPr="007E1A2F">
              <w:rPr>
                <w:rFonts w:eastAsiaTheme="minorHAnsi"/>
                <w:lang w:eastAsia="en-US"/>
                <w14:ligatures w14:val="standardContextual"/>
              </w:rPr>
              <w:t xml:space="preserve"> the commodity allocations according to the Commission-approved SAPC methodology</w:t>
            </w:r>
            <w:r w:rsidR="00C458FC">
              <w:rPr>
                <w:rFonts w:eastAsiaTheme="minorHAnsi"/>
                <w:lang w:eastAsia="en-US"/>
                <w14:ligatures w14:val="standardContextual"/>
              </w:rPr>
              <w:t xml:space="preserve">. </w:t>
            </w:r>
            <w:r w:rsidR="00E56E18">
              <w:rPr>
                <w:rFonts w:eastAsiaTheme="minorHAnsi"/>
                <w:lang w:eastAsia="en-US"/>
                <w14:ligatures w14:val="standardContextual"/>
              </w:rPr>
              <w:t>The Commission adopted this provision and determined it was reasonable to</w:t>
            </w:r>
            <w:r w:rsidRPr="00E56E18" w:rsidR="00E56E18">
              <w:rPr>
                <w:rFonts w:eastAsiaTheme="minorHAnsi"/>
                <w:lang w:eastAsia="en-US"/>
                <w14:ligatures w14:val="standardContextual"/>
              </w:rPr>
              <w:t xml:space="preserve"> levelize rate changes</w:t>
            </w:r>
            <w:r w:rsidR="00E56E18">
              <w:rPr>
                <w:rFonts w:eastAsiaTheme="minorHAnsi"/>
                <w:lang w:eastAsia="en-US"/>
                <w14:ligatures w14:val="standardContextual"/>
              </w:rPr>
              <w:t>.</w:t>
            </w:r>
          </w:p>
          <w:p w:rsidR="000F10ED" w:rsidP="000F10ED" w:rsidRDefault="000F10ED" w14:paraId="71686660" w14:textId="77777777">
            <w:pPr>
              <w:autoSpaceDE w:val="0"/>
              <w:autoSpaceDN w:val="0"/>
              <w:adjustRightInd w:val="0"/>
              <w:rPr>
                <w:rFonts w:eastAsiaTheme="minorHAnsi"/>
                <w:lang w:eastAsia="en-US"/>
                <w14:ligatures w14:val="standardContextual"/>
              </w:rPr>
            </w:pPr>
          </w:p>
          <w:p w:rsidRPr="004D11CF" w:rsidR="000F10ED" w:rsidP="005871CB" w:rsidRDefault="005871CB" w14:paraId="395D47A8" w14:textId="6C3A6329">
            <w:pPr>
              <w:autoSpaceDE w:val="0"/>
              <w:autoSpaceDN w:val="0"/>
              <w:adjustRightInd w:val="0"/>
              <w:rPr>
                <w:rFonts w:eastAsiaTheme="minorHAnsi"/>
                <w:lang w:eastAsia="en-US"/>
                <w14:ligatures w14:val="standardContextual"/>
              </w:rPr>
            </w:pPr>
            <w:r>
              <w:rPr>
                <w:rFonts w:eastAsiaTheme="minorHAnsi"/>
                <w:lang w:eastAsia="en-US"/>
                <w14:ligatures w14:val="standardContextual"/>
              </w:rPr>
              <w:t xml:space="preserve">Settling parties declined to incorporate SDG&amp;E’s proposal to use SAPC to allocate distribution revenue and instead relied on capped marginal costs to move distribution costs partially toward cost basis. While several parties recommended distribution marginal costs as alternatives, the Partial Settlement Agreement ultimately </w:t>
            </w:r>
            <w:r w:rsidRPr="007E1A2F">
              <w:rPr>
                <w:rFonts w:eastAsiaTheme="minorHAnsi"/>
                <w:lang w:eastAsia="en-US"/>
                <w14:ligatures w14:val="standardContextual"/>
              </w:rPr>
              <w:t>adjust</w:t>
            </w:r>
            <w:r>
              <w:rPr>
                <w:rFonts w:eastAsiaTheme="minorHAnsi"/>
                <w:lang w:eastAsia="en-US"/>
                <w14:ligatures w14:val="standardContextual"/>
              </w:rPr>
              <w:t>ed</w:t>
            </w:r>
            <w:r w:rsidRPr="007E1A2F">
              <w:rPr>
                <w:rFonts w:eastAsiaTheme="minorHAnsi"/>
                <w:lang w:eastAsia="en-US"/>
                <w14:ligatures w14:val="standardContextual"/>
              </w:rPr>
              <w:t xml:space="preserve"> the </w:t>
            </w:r>
            <w:r>
              <w:rPr>
                <w:rFonts w:eastAsiaTheme="minorHAnsi"/>
                <w:lang w:eastAsia="en-US"/>
                <w14:ligatures w14:val="standardContextual"/>
              </w:rPr>
              <w:t>distribution revenue allocations on the basis of the capped average of TURN- and SDG&amp;E-generated, distribution marginal-cost values.</w:t>
            </w:r>
          </w:p>
          <w:p w:rsidRPr="004D11CF" w:rsidR="004D11CF" w:rsidP="00755010" w:rsidRDefault="004D11CF" w14:paraId="750DB312" w14:textId="261483EB">
            <w:pPr>
              <w:autoSpaceDE w:val="0"/>
              <w:autoSpaceDN w:val="0"/>
              <w:adjustRightInd w:val="0"/>
              <w:rPr>
                <w:rFonts w:eastAsiaTheme="minorHAnsi"/>
                <w:lang w:eastAsia="en-US"/>
                <w14:ligatures w14:val="standardContextual"/>
              </w:rPr>
            </w:pPr>
          </w:p>
        </w:tc>
        <w:tc>
          <w:tcPr>
            <w:tcW w:w="2970" w:type="dxa"/>
          </w:tcPr>
          <w:p w:rsidR="00717AFE" w:rsidP="00FB5810" w:rsidRDefault="00717AFE" w14:paraId="6A72ED11" w14:textId="77777777">
            <w:pPr>
              <w:spacing w:before="120"/>
            </w:pPr>
          </w:p>
          <w:p w:rsidR="00BA68D5" w:rsidP="00FB5810" w:rsidRDefault="00BA68D5" w14:paraId="7D2EBDE2" w14:textId="77777777">
            <w:pPr>
              <w:spacing w:before="120"/>
            </w:pPr>
          </w:p>
          <w:p w:rsidR="00BA68D5" w:rsidP="00FB5810" w:rsidRDefault="00BA68D5" w14:paraId="3DD8B250" w14:textId="77777777">
            <w:pPr>
              <w:spacing w:before="120"/>
            </w:pPr>
          </w:p>
          <w:p w:rsidR="00BA68D5" w:rsidP="00FB5810" w:rsidRDefault="00BA68D5" w14:paraId="7808F7CF" w14:textId="77777777">
            <w:pPr>
              <w:spacing w:before="120"/>
            </w:pPr>
          </w:p>
          <w:p w:rsidR="00BA68D5" w:rsidP="00FB5810" w:rsidRDefault="00BA68D5" w14:paraId="25C4C90E" w14:textId="77777777">
            <w:pPr>
              <w:spacing w:before="120"/>
            </w:pPr>
          </w:p>
          <w:p w:rsidR="00BA68D5" w:rsidP="00FB5810" w:rsidRDefault="00BA68D5" w14:paraId="09BCA6F6" w14:textId="77777777">
            <w:pPr>
              <w:spacing w:before="120"/>
            </w:pPr>
          </w:p>
          <w:p w:rsidR="00BA68D5" w:rsidP="00FB5810" w:rsidRDefault="00BA68D5" w14:paraId="1D37F646" w14:textId="77777777">
            <w:pPr>
              <w:spacing w:before="120"/>
            </w:pPr>
          </w:p>
          <w:p w:rsidR="00BA68D5" w:rsidP="00FB5810" w:rsidRDefault="00BA68D5" w14:paraId="2FD7059E" w14:textId="77777777">
            <w:pPr>
              <w:spacing w:before="120"/>
            </w:pPr>
          </w:p>
          <w:p w:rsidR="00BA68D5" w:rsidP="00FB5810" w:rsidRDefault="00BA68D5" w14:paraId="6B53A011" w14:textId="77777777">
            <w:pPr>
              <w:spacing w:before="120"/>
            </w:pPr>
          </w:p>
          <w:p w:rsidR="00BA68D5" w:rsidP="00BA68D5" w:rsidRDefault="00BA68D5" w14:paraId="6CB2A90D" w14:textId="77777777">
            <w:pPr>
              <w:pStyle w:val="ListParagraph"/>
              <w:numPr>
                <w:ilvl w:val="0"/>
                <w:numId w:val="17"/>
              </w:numPr>
              <w:spacing w:before="120"/>
            </w:pPr>
            <w:r w:rsidRPr="00BA68D5">
              <w:t>Ex. TURN-1E</w:t>
            </w:r>
            <w:r>
              <w:t xml:space="preserve">, p. </w:t>
            </w:r>
            <w:r w:rsidRPr="00BA68D5">
              <w:t>35.</w:t>
            </w:r>
          </w:p>
          <w:p w:rsidR="00BA68D5" w:rsidP="00BA68D5" w:rsidRDefault="00BA68D5" w14:paraId="5E91E9DE" w14:textId="77777777">
            <w:pPr>
              <w:spacing w:before="120"/>
            </w:pPr>
          </w:p>
          <w:p w:rsidR="00BA68D5" w:rsidP="00BA68D5" w:rsidRDefault="00BA68D5" w14:paraId="24952A4B" w14:textId="77777777">
            <w:pPr>
              <w:spacing w:before="120"/>
            </w:pPr>
          </w:p>
          <w:p w:rsidR="00E56E18" w:rsidP="00BA68D5" w:rsidRDefault="00E56E18" w14:paraId="30C8874D" w14:textId="77777777">
            <w:pPr>
              <w:spacing w:before="120"/>
            </w:pPr>
          </w:p>
          <w:p w:rsidR="00E56E18" w:rsidP="00BA68D5" w:rsidRDefault="00E56E18" w14:paraId="222AA682" w14:textId="77777777">
            <w:pPr>
              <w:spacing w:before="120"/>
            </w:pPr>
          </w:p>
          <w:p w:rsidR="00E56E18" w:rsidP="00BA68D5" w:rsidRDefault="00E56E18" w14:paraId="66AE3773" w14:textId="77777777">
            <w:pPr>
              <w:spacing w:before="120"/>
            </w:pPr>
          </w:p>
          <w:p w:rsidR="00E56E18" w:rsidP="00BA68D5" w:rsidRDefault="00E56E18" w14:paraId="345D5A82" w14:textId="77777777">
            <w:pPr>
              <w:spacing w:before="120"/>
            </w:pPr>
          </w:p>
          <w:p w:rsidRPr="00DA3187" w:rsidR="00DA3187" w:rsidP="00DA3187" w:rsidRDefault="00DA3187" w14:paraId="2F273ECA" w14:textId="08E0A170">
            <w:pPr>
              <w:pStyle w:val="ListParagraph"/>
              <w:numPr>
                <w:ilvl w:val="0"/>
                <w:numId w:val="17"/>
              </w:numPr>
              <w:spacing w:before="120"/>
            </w:pPr>
            <w:r w:rsidRPr="00DA3187">
              <w:t>Partial Settlement Agreement</w:t>
            </w:r>
            <w:r>
              <w:t>, p.</w:t>
            </w:r>
            <w:r w:rsidRPr="00DA3187">
              <w:t xml:space="preserve"> B-11.</w:t>
            </w:r>
          </w:p>
          <w:p w:rsidRPr="00DA3187" w:rsidR="00DA3187" w:rsidP="00DA3187" w:rsidRDefault="00DA3187" w14:paraId="0F72EC5B" w14:textId="77777777">
            <w:pPr>
              <w:pStyle w:val="ListParagraph"/>
              <w:spacing w:before="120"/>
            </w:pPr>
          </w:p>
          <w:p w:rsidRPr="002C1863" w:rsidR="00E56E18" w:rsidP="00E56E18" w:rsidRDefault="00DA3187" w14:paraId="14895CB4" w14:textId="77777777">
            <w:pPr>
              <w:pStyle w:val="ListParagraph"/>
              <w:numPr>
                <w:ilvl w:val="0"/>
                <w:numId w:val="17"/>
              </w:numPr>
              <w:spacing w:before="120"/>
            </w:pPr>
            <w:r w:rsidRPr="009552CA">
              <w:rPr>
                <w:bCs/>
                <w:color w:val="000000"/>
              </w:rPr>
              <w:t>D.25-09-006,</w:t>
            </w:r>
            <w:r>
              <w:rPr>
                <w:bCs/>
                <w:color w:val="000000"/>
              </w:rPr>
              <w:t xml:space="preserve"> p. 49.</w:t>
            </w:r>
          </w:p>
          <w:p w:rsidR="002C1863" w:rsidP="002C1863" w:rsidRDefault="002C1863" w14:paraId="09659678" w14:textId="77777777">
            <w:pPr>
              <w:spacing w:before="120"/>
            </w:pPr>
          </w:p>
          <w:p w:rsidR="002C1863" w:rsidP="002C1863" w:rsidRDefault="002C1863" w14:paraId="4C204F30" w14:textId="77777777">
            <w:pPr>
              <w:spacing w:before="120"/>
            </w:pPr>
          </w:p>
          <w:p w:rsidR="002C1863" w:rsidP="002C1863" w:rsidRDefault="002C1863" w14:paraId="299B9DDF" w14:textId="0E8ABB35">
            <w:pPr>
              <w:pStyle w:val="ListParagraph"/>
              <w:numPr>
                <w:ilvl w:val="0"/>
                <w:numId w:val="17"/>
              </w:numPr>
              <w:spacing w:before="120"/>
            </w:pPr>
            <w:r w:rsidRPr="00DA3187">
              <w:t>Partial Settlement Agreement</w:t>
            </w:r>
            <w:r>
              <w:t>, p. 26.</w:t>
            </w:r>
          </w:p>
        </w:tc>
        <w:tc>
          <w:tcPr>
            <w:tcW w:w="1710" w:type="dxa"/>
          </w:tcPr>
          <w:p w:rsidRPr="003349DE" w:rsidR="00717AFE" w:rsidP="00A47EB7" w:rsidRDefault="00445A09" w14:paraId="52042FE1" w14:textId="2E99A7C3">
            <w:pPr>
              <w:spacing w:before="120"/>
              <w:rPr>
                <w:color w:val="000000"/>
              </w:rPr>
            </w:pPr>
            <w:r>
              <w:rPr>
                <w:color w:val="000000"/>
              </w:rPr>
              <w:lastRenderedPageBreak/>
              <w:t>Verified</w:t>
            </w:r>
          </w:p>
        </w:tc>
      </w:tr>
      <w:tr w:rsidRPr="003349DE" w:rsidR="00717AFE" w:rsidTr="00725F0A" w14:paraId="0A129B66" w14:textId="77777777">
        <w:trPr>
          <w:trHeight w:val="1079"/>
        </w:trPr>
        <w:tc>
          <w:tcPr>
            <w:tcW w:w="4675" w:type="dxa"/>
          </w:tcPr>
          <w:p w:rsidR="00717AFE" w:rsidP="00FB5810" w:rsidRDefault="00717AFE" w14:paraId="4AF2C514" w14:textId="77777777">
            <w:pPr>
              <w:spacing w:before="120"/>
              <w:rPr>
                <w:b/>
                <w:bCs/>
                <w:color w:val="000000"/>
                <w:u w:val="single"/>
              </w:rPr>
            </w:pPr>
            <w:r>
              <w:rPr>
                <w:b/>
                <w:bCs/>
                <w:color w:val="000000"/>
                <w:u w:val="single"/>
              </w:rPr>
              <w:t>7. Medical Baseline Discount Reform</w:t>
            </w:r>
          </w:p>
          <w:p w:rsidR="00BC6D8A" w:rsidP="00FB5810" w:rsidRDefault="00DA0D22" w14:paraId="4EF7C2B4" w14:textId="77777777">
            <w:pPr>
              <w:spacing w:before="120"/>
              <w:rPr>
                <w:color w:val="000000"/>
              </w:rPr>
            </w:pPr>
            <w:r w:rsidRPr="00DA0D22">
              <w:rPr>
                <w:color w:val="000000"/>
              </w:rPr>
              <w:t xml:space="preserve">SDG&amp;E’s </w:t>
            </w:r>
            <w:r>
              <w:rPr>
                <w:color w:val="000000"/>
              </w:rPr>
              <w:t xml:space="preserve">medical baseline program was </w:t>
            </w:r>
            <w:r w:rsidR="00E85C57">
              <w:rPr>
                <w:color w:val="000000"/>
              </w:rPr>
              <w:t xml:space="preserve">structured differently than the other investor owned electric </w:t>
            </w:r>
            <w:r w:rsidR="00ED1485">
              <w:rPr>
                <w:color w:val="000000"/>
              </w:rPr>
              <w:t>utilities</w:t>
            </w:r>
            <w:r w:rsidR="00E85C57">
              <w:rPr>
                <w:color w:val="000000"/>
              </w:rPr>
              <w:t xml:space="preserve"> in that it provided both a rate discount and a higher baseline allowance</w:t>
            </w:r>
            <w:r w:rsidR="00744F08">
              <w:rPr>
                <w:color w:val="000000"/>
              </w:rPr>
              <w:t xml:space="preserve">, which </w:t>
            </w:r>
            <w:r w:rsidR="00ED1485">
              <w:rPr>
                <w:color w:val="000000"/>
              </w:rPr>
              <w:t>resulted in different discount levels based on which rate the customer is on</w:t>
            </w:r>
            <w:r w:rsidR="00EB40B1">
              <w:rPr>
                <w:color w:val="000000"/>
              </w:rPr>
              <w:t xml:space="preserve"> and a significantly higher total subsidy</w:t>
            </w:r>
            <w:r w:rsidR="00681CEF">
              <w:rPr>
                <w:color w:val="000000"/>
              </w:rPr>
              <w:t xml:space="preserve"> than the other utilities. </w:t>
            </w:r>
            <w:r w:rsidR="00E93590">
              <w:rPr>
                <w:color w:val="000000"/>
              </w:rPr>
              <w:t xml:space="preserve">TURN recommended modifying the discount </w:t>
            </w:r>
            <w:r w:rsidR="00F402F3">
              <w:rPr>
                <w:color w:val="000000"/>
              </w:rPr>
              <w:t xml:space="preserve">so the discounts provided would be harmonized for </w:t>
            </w:r>
            <w:r w:rsidR="00AD41DD">
              <w:rPr>
                <w:color w:val="000000"/>
              </w:rPr>
              <w:t>customers on tiered and non-tiered rates</w:t>
            </w:r>
            <w:r w:rsidR="000D036D">
              <w:rPr>
                <w:color w:val="000000"/>
              </w:rPr>
              <w:t xml:space="preserve"> and </w:t>
            </w:r>
            <w:r w:rsidR="000D036D">
              <w:rPr>
                <w:color w:val="000000"/>
              </w:rPr>
              <w:lastRenderedPageBreak/>
              <w:t>to reduce impacts on other residential customers.</w:t>
            </w:r>
          </w:p>
          <w:p w:rsidR="000D036D" w:rsidP="00FB5810" w:rsidRDefault="000D036D" w14:paraId="08E8D5E5" w14:textId="77777777">
            <w:pPr>
              <w:spacing w:before="120"/>
              <w:rPr>
                <w:color w:val="000000"/>
              </w:rPr>
            </w:pPr>
          </w:p>
          <w:p w:rsidR="003B4116" w:rsidP="003B4116" w:rsidRDefault="000D036D" w14:paraId="24AD65E1" w14:textId="06199C20">
            <w:pPr>
              <w:spacing w:before="100" w:beforeAutospacing="1" w:after="100" w:afterAutospacing="1"/>
            </w:pPr>
            <w:r>
              <w:rPr>
                <w:color w:val="000000"/>
              </w:rPr>
              <w:t xml:space="preserve">The Medical Baseline </w:t>
            </w:r>
            <w:r w:rsidR="00E50FF7">
              <w:rPr>
                <w:color w:val="000000"/>
              </w:rPr>
              <w:t>(MB) S</w:t>
            </w:r>
            <w:r>
              <w:rPr>
                <w:color w:val="000000"/>
              </w:rPr>
              <w:t xml:space="preserve">ettlement </w:t>
            </w:r>
            <w:r w:rsidR="00523026">
              <w:rPr>
                <w:color w:val="000000"/>
              </w:rPr>
              <w:t xml:space="preserve">adopted Cal Advocates proposal which TURN supported. In settlement negotiations, </w:t>
            </w:r>
            <w:r w:rsidR="003B4116">
              <w:t>TURN advocated for enhanced data tracking and reporting measures which were ultimately adopted and will help the Commission evaluate the impact of the MB discount change on CARE and non-CARE MB customers</w:t>
            </w:r>
            <w:r w:rsidR="00E50FF7">
              <w:t>.</w:t>
            </w:r>
          </w:p>
          <w:p w:rsidR="00A63AC2" w:rsidP="000A00B8" w:rsidRDefault="00A63AC2" w14:paraId="056A8773" w14:textId="6CD7483C">
            <w:pPr>
              <w:spacing w:before="100" w:beforeAutospacing="1" w:after="100" w:afterAutospacing="1"/>
            </w:pPr>
            <w:r>
              <w:t xml:space="preserve">The Commission adopted the </w:t>
            </w:r>
            <w:r w:rsidR="000A00B8">
              <w:t>MB Settlement because it enables all SDG&amp;E Medical Baseline customers enrolled on untiered rates to receive a Medical Baseline Discount, aligns SDG&amp;E’s Medical Baseline Discount in the range of effective Medical Baseline Discounts offered by PG&amp;E and SCE, reduces the cost shift to SDG&amp;E’s non-Medical Baseline customers, and will be implemented during four-year glidepath to minimize rate impacts.</w:t>
            </w:r>
          </w:p>
          <w:p w:rsidR="00E50FF7" w:rsidP="003B4116" w:rsidRDefault="00E50FF7" w14:paraId="6FC585EA" w14:textId="77777777">
            <w:pPr>
              <w:spacing w:before="100" w:beforeAutospacing="1" w:after="100" w:afterAutospacing="1"/>
            </w:pPr>
          </w:p>
          <w:p w:rsidRPr="00DA0D22" w:rsidR="000D036D" w:rsidP="00FB5810" w:rsidRDefault="000D036D" w14:paraId="18E79540" w14:textId="2B2A3AB6">
            <w:pPr>
              <w:spacing w:before="120"/>
              <w:rPr>
                <w:color w:val="000000"/>
              </w:rPr>
            </w:pPr>
          </w:p>
        </w:tc>
        <w:tc>
          <w:tcPr>
            <w:tcW w:w="2970" w:type="dxa"/>
          </w:tcPr>
          <w:p w:rsidR="00717AFE" w:rsidP="00FB5810" w:rsidRDefault="00717AFE" w14:paraId="27A5C063" w14:textId="77777777">
            <w:pPr>
              <w:spacing w:before="120"/>
            </w:pPr>
          </w:p>
          <w:p w:rsidR="00625CB5" w:rsidP="00FB5810" w:rsidRDefault="00625CB5" w14:paraId="4F828A3B" w14:textId="77777777">
            <w:pPr>
              <w:spacing w:before="120"/>
            </w:pPr>
          </w:p>
          <w:p w:rsidR="00625CB5" w:rsidP="00FB5810" w:rsidRDefault="00625CB5" w14:paraId="70EC1014" w14:textId="77777777">
            <w:pPr>
              <w:spacing w:before="120"/>
            </w:pPr>
          </w:p>
          <w:p w:rsidR="00625CB5" w:rsidP="00625CB5" w:rsidRDefault="00625CB5" w14:paraId="74058E3C" w14:textId="7F136C12">
            <w:pPr>
              <w:pStyle w:val="FootnoteText"/>
              <w:numPr>
                <w:ilvl w:val="0"/>
                <w:numId w:val="19"/>
              </w:numPr>
            </w:pPr>
            <w:r>
              <w:t>Exhibit TURN-1E. p. 41.</w:t>
            </w:r>
          </w:p>
          <w:p w:rsidR="00E50FF7" w:rsidP="00E50FF7" w:rsidRDefault="00E50FF7" w14:paraId="24145422" w14:textId="77777777">
            <w:pPr>
              <w:pStyle w:val="FootnoteText"/>
            </w:pPr>
          </w:p>
          <w:p w:rsidR="00E50FF7" w:rsidP="00E50FF7" w:rsidRDefault="00E50FF7" w14:paraId="170A0654" w14:textId="77777777">
            <w:pPr>
              <w:pStyle w:val="FootnoteText"/>
            </w:pPr>
          </w:p>
          <w:p w:rsidR="00E50FF7" w:rsidP="00E50FF7" w:rsidRDefault="00E50FF7" w14:paraId="2CA49004" w14:textId="77777777">
            <w:pPr>
              <w:pStyle w:val="FootnoteText"/>
            </w:pPr>
          </w:p>
          <w:p w:rsidR="00E50FF7" w:rsidP="00E50FF7" w:rsidRDefault="00E50FF7" w14:paraId="653C57D6" w14:textId="77777777">
            <w:pPr>
              <w:pStyle w:val="FootnoteText"/>
            </w:pPr>
          </w:p>
          <w:p w:rsidR="00E50FF7" w:rsidP="00E50FF7" w:rsidRDefault="00E50FF7" w14:paraId="198CB5CD" w14:textId="77777777">
            <w:pPr>
              <w:pStyle w:val="FootnoteText"/>
            </w:pPr>
          </w:p>
          <w:p w:rsidR="00E50FF7" w:rsidP="00E50FF7" w:rsidRDefault="00E50FF7" w14:paraId="6855F38D" w14:textId="77777777">
            <w:pPr>
              <w:pStyle w:val="FootnoteText"/>
            </w:pPr>
          </w:p>
          <w:p w:rsidR="00E50FF7" w:rsidP="00E50FF7" w:rsidRDefault="00E50FF7" w14:paraId="307A9B3E" w14:textId="77777777">
            <w:pPr>
              <w:pStyle w:val="FootnoteText"/>
            </w:pPr>
          </w:p>
          <w:p w:rsidR="00E50FF7" w:rsidP="00E50FF7" w:rsidRDefault="00E50FF7" w14:paraId="7261E8C9" w14:textId="77777777">
            <w:pPr>
              <w:pStyle w:val="FootnoteText"/>
            </w:pPr>
          </w:p>
          <w:p w:rsidR="00E50FF7" w:rsidP="00E50FF7" w:rsidRDefault="00E50FF7" w14:paraId="0E9AD1CE" w14:textId="77777777">
            <w:pPr>
              <w:pStyle w:val="FootnoteText"/>
            </w:pPr>
          </w:p>
          <w:p w:rsidRPr="000A00B8" w:rsidR="00E50FF7" w:rsidP="00E50FF7" w:rsidRDefault="00E50FF7" w14:paraId="7A3945BA" w14:textId="130AA2BC">
            <w:pPr>
              <w:pStyle w:val="ListParagraph"/>
              <w:numPr>
                <w:ilvl w:val="0"/>
                <w:numId w:val="18"/>
              </w:numPr>
              <w:spacing w:before="120"/>
            </w:pPr>
            <w:r w:rsidRPr="00E50FF7">
              <w:t>Medical Baseline Settlement Agreement</w:t>
            </w:r>
            <w:r>
              <w:t>, pp.</w:t>
            </w:r>
            <w:r w:rsidRPr="00E50FF7">
              <w:t xml:space="preserve"> 7-9</w:t>
            </w:r>
            <w:r w:rsidR="00BB22CD">
              <w:t xml:space="preserve"> &amp; </w:t>
            </w:r>
            <w:r w:rsidRPr="009552CA" w:rsidR="00BB22CD">
              <w:rPr>
                <w:bCs/>
                <w:color w:val="000000"/>
              </w:rPr>
              <w:t>D.25-09-006,</w:t>
            </w:r>
            <w:r w:rsidR="00BB22CD">
              <w:rPr>
                <w:bCs/>
                <w:color w:val="000000"/>
              </w:rPr>
              <w:t xml:space="preserve"> p. 60.</w:t>
            </w:r>
          </w:p>
          <w:p w:rsidR="000A00B8" w:rsidP="000A00B8" w:rsidRDefault="000A00B8" w14:paraId="4F306ABD" w14:textId="77777777">
            <w:pPr>
              <w:spacing w:before="120"/>
            </w:pPr>
          </w:p>
          <w:p w:rsidR="000A00B8" w:rsidP="000A00B8" w:rsidRDefault="000A00B8" w14:paraId="563ABFBC" w14:textId="77777777">
            <w:pPr>
              <w:spacing w:before="120"/>
            </w:pPr>
          </w:p>
          <w:p w:rsidR="000A00B8" w:rsidP="000A00B8" w:rsidRDefault="000A00B8" w14:paraId="22A1852B" w14:textId="77777777">
            <w:pPr>
              <w:spacing w:before="120"/>
            </w:pPr>
          </w:p>
          <w:p w:rsidR="000A00B8" w:rsidP="000A00B8" w:rsidRDefault="000A00B8" w14:paraId="740F688B" w14:textId="77777777">
            <w:pPr>
              <w:spacing w:before="120"/>
            </w:pPr>
          </w:p>
          <w:p w:rsidRPr="00E50FF7" w:rsidR="000A00B8" w:rsidP="000A00B8" w:rsidRDefault="000A00B8" w14:paraId="12D31BE6" w14:textId="77777777">
            <w:pPr>
              <w:spacing w:before="120"/>
            </w:pPr>
          </w:p>
          <w:p w:rsidR="00625CB5" w:rsidP="000A00B8" w:rsidRDefault="000A00B8" w14:paraId="075584C1" w14:textId="2B682A90">
            <w:pPr>
              <w:pStyle w:val="ListParagraph"/>
              <w:numPr>
                <w:ilvl w:val="0"/>
                <w:numId w:val="18"/>
              </w:numPr>
              <w:spacing w:before="120"/>
            </w:pPr>
            <w:r w:rsidRPr="009552CA">
              <w:rPr>
                <w:bCs/>
                <w:color w:val="000000"/>
              </w:rPr>
              <w:t>D.25-09-006,</w:t>
            </w:r>
            <w:r>
              <w:rPr>
                <w:bCs/>
                <w:color w:val="000000"/>
              </w:rPr>
              <w:t xml:space="preserve"> p. 60 &amp; </w:t>
            </w:r>
            <w:r w:rsidR="00AF1E5F">
              <w:rPr>
                <w:bCs/>
                <w:color w:val="000000"/>
              </w:rPr>
              <w:t>p.89 COL 27.</w:t>
            </w:r>
          </w:p>
        </w:tc>
        <w:tc>
          <w:tcPr>
            <w:tcW w:w="1710" w:type="dxa"/>
          </w:tcPr>
          <w:p w:rsidRPr="003349DE" w:rsidR="00717AFE" w:rsidP="00A47EB7" w:rsidRDefault="009E671B" w14:paraId="76D2A50B" w14:textId="3DCD41D8">
            <w:pPr>
              <w:spacing w:before="120"/>
              <w:rPr>
                <w:color w:val="000000"/>
              </w:rPr>
            </w:pPr>
            <w:r>
              <w:rPr>
                <w:color w:val="000000"/>
              </w:rPr>
              <w:lastRenderedPageBreak/>
              <w:t>Verified</w:t>
            </w:r>
          </w:p>
        </w:tc>
      </w:tr>
    </w:tbl>
    <w:p w:rsidR="00625B30" w:rsidRDefault="00625B30" w14:paraId="6DAC5D2E" w14:textId="77777777"/>
    <w:p w:rsidR="00625B30" w:rsidP="00C86F48" w:rsidRDefault="00625B30" w14:paraId="47A7A716" w14:textId="415CF369">
      <w:pPr>
        <w:keepNext/>
        <w:numPr>
          <w:ilvl w:val="0"/>
          <w:numId w:val="2"/>
        </w:numPr>
        <w:contextualSpacing/>
        <w:rPr>
          <w:b/>
          <w:color w:val="000000"/>
        </w:rPr>
      </w:pPr>
      <w:r w:rsidRPr="007F620E">
        <w:rPr>
          <w:b/>
          <w:color w:val="000000"/>
        </w:rPr>
        <w:t xml:space="preserve">Duplication of Effort (§ 1801.3(f) and § </w:t>
      </w:r>
      <w:r>
        <w:rPr>
          <w:b/>
          <w:color w:val="000000"/>
        </w:rPr>
        <w:t>1802.5):</w:t>
      </w:r>
    </w:p>
    <w:p w:rsidRPr="00625B30" w:rsidR="00C86F48" w:rsidP="00C86F48" w:rsidRDefault="00C86F48" w14:paraId="388E2FC4" w14:textId="77777777">
      <w:pPr>
        <w:keepNext/>
        <w:ind w:left="360"/>
        <w:contextualSpacing/>
        <w:rPr>
          <w:b/>
          <w:color w:val="000000"/>
        </w:rPr>
      </w:pP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6048"/>
        <w:gridCol w:w="1710"/>
        <w:gridCol w:w="1597"/>
      </w:tblGrid>
      <w:tr w:rsidRPr="007F620E" w:rsidR="00625B30" w:rsidTr="00725F0A" w14:paraId="5289BD89" w14:textId="77777777">
        <w:tc>
          <w:tcPr>
            <w:tcW w:w="6048" w:type="dxa"/>
            <w:shd w:val="clear" w:color="auto" w:fill="D9D9D9" w:themeFill="background1" w:themeFillShade="D9"/>
          </w:tcPr>
          <w:p w:rsidRPr="007F620E" w:rsidR="00625B30" w:rsidP="00625B30" w:rsidRDefault="00625B30" w14:paraId="003FE68B" w14:textId="77777777">
            <w:pPr>
              <w:keepNext/>
              <w:keepLines/>
              <w:rPr>
                <w:color w:val="000000"/>
              </w:rPr>
            </w:pPr>
          </w:p>
        </w:tc>
        <w:tc>
          <w:tcPr>
            <w:tcW w:w="1710" w:type="dxa"/>
            <w:tcBorders>
              <w:bottom w:val="single" w:color="auto" w:sz="4" w:space="0"/>
            </w:tcBorders>
            <w:shd w:val="clear" w:color="auto" w:fill="D9D9D9" w:themeFill="background1" w:themeFillShade="D9"/>
          </w:tcPr>
          <w:p w:rsidRPr="007F620E" w:rsidR="00625B30" w:rsidP="00625B30" w:rsidRDefault="00625B30" w14:paraId="2E7C1F0A" w14:textId="77777777">
            <w:pPr>
              <w:keepNext/>
              <w:keepLines/>
              <w:jc w:val="center"/>
              <w:rPr>
                <w:b/>
                <w:color w:val="000000"/>
              </w:rPr>
            </w:pPr>
            <w:r w:rsidRPr="007F620E">
              <w:rPr>
                <w:b/>
                <w:color w:val="000000"/>
              </w:rPr>
              <w:t>Intervenor’s Assertion</w:t>
            </w:r>
          </w:p>
        </w:tc>
        <w:tc>
          <w:tcPr>
            <w:tcW w:w="1597" w:type="dxa"/>
            <w:shd w:val="clear" w:color="auto" w:fill="D9D9D9" w:themeFill="background1" w:themeFillShade="D9"/>
          </w:tcPr>
          <w:p w:rsidRPr="007F620E" w:rsidR="00625B30" w:rsidP="00625B30" w:rsidRDefault="00625B30" w14:paraId="6ABF937B" w14:textId="77777777">
            <w:pPr>
              <w:keepNext/>
              <w:keepLines/>
              <w:jc w:val="center"/>
              <w:rPr>
                <w:b/>
                <w:color w:val="000000"/>
              </w:rPr>
            </w:pPr>
            <w:r w:rsidRPr="007F620E">
              <w:rPr>
                <w:b/>
                <w:color w:val="000000"/>
              </w:rPr>
              <w:t>CPUC Discussion</w:t>
            </w:r>
          </w:p>
        </w:tc>
      </w:tr>
      <w:tr w:rsidRPr="007F620E" w:rsidR="00625B30" w:rsidTr="00725F0A" w14:paraId="0398D72D" w14:textId="77777777">
        <w:tc>
          <w:tcPr>
            <w:tcW w:w="6048" w:type="dxa"/>
          </w:tcPr>
          <w:p w:rsidRPr="007F620E" w:rsidR="00625B30" w:rsidP="00625B30" w:rsidRDefault="00625B30" w14:paraId="0939012C" w14:textId="49D7A078">
            <w:pPr>
              <w:keepLines/>
              <w:ind w:left="360" w:hanging="360"/>
              <w:rPr>
                <w:b/>
                <w:color w:val="000000"/>
              </w:rPr>
            </w:pPr>
            <w:r w:rsidRPr="007F620E">
              <w:rPr>
                <w:b/>
                <w:color w:val="000000"/>
              </w:rPr>
              <w:t>a.</w:t>
            </w:r>
            <w:r w:rsidRPr="007F620E">
              <w:rPr>
                <w:b/>
                <w:color w:val="000000"/>
              </w:rPr>
              <w:tab/>
            </w:r>
            <w:r w:rsidRPr="007F620E">
              <w:rPr>
                <w:b/>
              </w:rPr>
              <w:t xml:space="preserve">Was </w:t>
            </w:r>
            <w:r w:rsidRPr="009E48E4">
              <w:rPr>
                <w:b/>
              </w:rPr>
              <w:t xml:space="preserve">the </w:t>
            </w:r>
            <w:r w:rsidRPr="009E48E4">
              <w:rPr>
                <w:b/>
                <w:color w:val="000000"/>
                <w:sz w:val="22"/>
                <w:szCs w:val="22"/>
              </w:rPr>
              <w:t>Public Advocate</w:t>
            </w:r>
            <w:r>
              <w:rPr>
                <w:b/>
                <w:color w:val="000000"/>
                <w:sz w:val="22"/>
                <w:szCs w:val="22"/>
              </w:rPr>
              <w:t>’</w:t>
            </w:r>
            <w:r w:rsidRPr="009E48E4">
              <w:rPr>
                <w:b/>
                <w:color w:val="000000"/>
                <w:sz w:val="22"/>
                <w:szCs w:val="22"/>
              </w:rPr>
              <w:t>s Office of the Public Utilities Commission</w:t>
            </w:r>
            <w:r w:rsidRPr="009E48E4">
              <w:rPr>
                <w:b/>
              </w:rPr>
              <w:t xml:space="preserve"> </w:t>
            </w:r>
            <w:r w:rsidRPr="00B55D78">
              <w:rPr>
                <w:b/>
                <w:color w:val="000000"/>
                <w:sz w:val="22"/>
                <w:szCs w:val="22"/>
              </w:rPr>
              <w:t>(Cal Advocates</w:t>
            </w:r>
            <w:r w:rsidRPr="007F620E">
              <w:rPr>
                <w:b/>
              </w:rPr>
              <w:t>) a party to the proceeding</w:t>
            </w:r>
            <w:r w:rsidRPr="007F620E">
              <w:rPr>
                <w:b/>
                <w:color w:val="000000"/>
              </w:rPr>
              <w:t>?</w:t>
            </w:r>
          </w:p>
        </w:tc>
        <w:tc>
          <w:tcPr>
            <w:tcW w:w="1710" w:type="dxa"/>
          </w:tcPr>
          <w:p w:rsidRPr="00E25078" w:rsidR="00625B30" w:rsidP="00625B30" w:rsidRDefault="00625B30" w14:paraId="6AEEA4A3" w14:textId="77777777">
            <w:pPr>
              <w:keepNext/>
              <w:keepLines/>
              <w:rPr>
                <w:color w:val="000000"/>
              </w:rPr>
            </w:pPr>
            <w:r>
              <w:rPr>
                <w:color w:val="000000"/>
              </w:rPr>
              <w:t>Yes.</w:t>
            </w:r>
          </w:p>
        </w:tc>
        <w:tc>
          <w:tcPr>
            <w:tcW w:w="1597" w:type="dxa"/>
          </w:tcPr>
          <w:p w:rsidRPr="00E25078" w:rsidR="00625B30" w:rsidP="00625B30" w:rsidRDefault="008140FA" w14:paraId="602EEF22" w14:textId="5DEB2047">
            <w:pPr>
              <w:keepNext/>
              <w:keepLines/>
              <w:rPr>
                <w:color w:val="000000"/>
              </w:rPr>
            </w:pPr>
            <w:r>
              <w:rPr>
                <w:color w:val="000000"/>
              </w:rPr>
              <w:t>Verified</w:t>
            </w:r>
          </w:p>
        </w:tc>
      </w:tr>
      <w:tr w:rsidRPr="007F620E" w:rsidR="00625B30" w:rsidTr="00725F0A" w14:paraId="14CDEB43" w14:textId="77777777">
        <w:tc>
          <w:tcPr>
            <w:tcW w:w="6048" w:type="dxa"/>
          </w:tcPr>
          <w:p w:rsidRPr="007F620E" w:rsidR="00625B30" w:rsidP="00625B30" w:rsidRDefault="00625B30" w14:paraId="19839B70" w14:textId="77777777">
            <w:pPr>
              <w:tabs>
                <w:tab w:val="left" w:pos="360"/>
              </w:tabs>
              <w:ind w:left="360" w:hanging="360"/>
              <w:rPr>
                <w:b/>
                <w:color w:val="000000"/>
              </w:rPr>
            </w:pPr>
            <w:r w:rsidRPr="007F620E">
              <w:rPr>
                <w:b/>
                <w:color w:val="000000"/>
              </w:rPr>
              <w:t>b.</w:t>
            </w:r>
            <w:r w:rsidRPr="007F620E">
              <w:rPr>
                <w:b/>
                <w:color w:val="000000"/>
              </w:rPr>
              <w:tab/>
              <w:t xml:space="preserve">Were there other parties to the proceeding with positions similar to yours? </w:t>
            </w:r>
          </w:p>
        </w:tc>
        <w:tc>
          <w:tcPr>
            <w:tcW w:w="1710" w:type="dxa"/>
          </w:tcPr>
          <w:p w:rsidRPr="00E25078" w:rsidR="00625B30" w:rsidP="00625B30" w:rsidRDefault="009552CA" w14:paraId="68EED31A" w14:textId="64732DDA">
            <w:pPr>
              <w:rPr>
                <w:color w:val="000000"/>
              </w:rPr>
            </w:pPr>
            <w:r>
              <w:rPr>
                <w:color w:val="000000"/>
              </w:rPr>
              <w:t>Yes.</w:t>
            </w:r>
          </w:p>
        </w:tc>
        <w:tc>
          <w:tcPr>
            <w:tcW w:w="1597" w:type="dxa"/>
          </w:tcPr>
          <w:p w:rsidRPr="00E25078" w:rsidR="00625B30" w:rsidP="00625B30" w:rsidRDefault="008140FA" w14:paraId="2D258E39" w14:textId="446EAF09">
            <w:pPr>
              <w:rPr>
                <w:color w:val="000000"/>
              </w:rPr>
            </w:pPr>
            <w:r>
              <w:rPr>
                <w:color w:val="000000"/>
              </w:rPr>
              <w:t>Verified</w:t>
            </w:r>
          </w:p>
        </w:tc>
      </w:tr>
      <w:tr w:rsidRPr="007F620E" w:rsidR="00625B30" w:rsidTr="00725F0A" w14:paraId="09B667B4" w14:textId="77777777">
        <w:tc>
          <w:tcPr>
            <w:tcW w:w="7758" w:type="dxa"/>
            <w:gridSpan w:val="2"/>
          </w:tcPr>
          <w:p w:rsidRPr="00E25078" w:rsidR="00625B30" w:rsidP="00625B30" w:rsidRDefault="00625B30" w14:paraId="3AC738EA" w14:textId="26777164">
            <w:pPr>
              <w:ind w:left="360" w:hanging="360"/>
              <w:rPr>
                <w:color w:val="000000"/>
              </w:rPr>
            </w:pPr>
            <w:r w:rsidRPr="00E25078">
              <w:rPr>
                <w:b/>
                <w:color w:val="000000"/>
              </w:rPr>
              <w:t>c.</w:t>
            </w:r>
            <w:r w:rsidRPr="00E25078">
              <w:rPr>
                <w:b/>
                <w:color w:val="000000"/>
              </w:rPr>
              <w:tab/>
              <w:t>If so, provide name of other parties:</w:t>
            </w:r>
            <w:r w:rsidRPr="00E25078">
              <w:rPr>
                <w:color w:val="000000"/>
              </w:rPr>
              <w:t xml:space="preserve"> </w:t>
            </w:r>
            <w:r w:rsidR="009552CA">
              <w:rPr>
                <w:color w:val="000000"/>
              </w:rPr>
              <w:t>S</w:t>
            </w:r>
            <w:r w:rsidR="001E4A9D">
              <w:rPr>
                <w:color w:val="000000"/>
              </w:rPr>
              <w:t>BUA &amp; UCAN (for some issues)</w:t>
            </w:r>
          </w:p>
          <w:p w:rsidRPr="00E25078" w:rsidR="00625B30" w:rsidP="00F148AA" w:rsidRDefault="00625B30" w14:paraId="1A8496F9" w14:textId="77777777">
            <w:pPr>
              <w:ind w:left="360" w:hanging="360"/>
              <w:rPr>
                <w:color w:val="000000"/>
              </w:rPr>
            </w:pPr>
          </w:p>
        </w:tc>
        <w:tc>
          <w:tcPr>
            <w:tcW w:w="1597" w:type="dxa"/>
          </w:tcPr>
          <w:p w:rsidRPr="00E25078" w:rsidR="00625B30" w:rsidP="00625B30" w:rsidRDefault="008140FA" w14:paraId="6BA08FB8" w14:textId="0AD6A8CD">
            <w:pPr>
              <w:rPr>
                <w:color w:val="000000"/>
              </w:rPr>
            </w:pPr>
            <w:r>
              <w:rPr>
                <w:color w:val="000000"/>
              </w:rPr>
              <w:t>Noted</w:t>
            </w:r>
          </w:p>
        </w:tc>
      </w:tr>
      <w:tr w:rsidRPr="007F620E" w:rsidR="00625B30" w:rsidTr="00725F0A" w14:paraId="69B28CF2" w14:textId="77777777">
        <w:tc>
          <w:tcPr>
            <w:tcW w:w="7758" w:type="dxa"/>
            <w:gridSpan w:val="2"/>
          </w:tcPr>
          <w:p w:rsidRPr="00F909C9" w:rsidR="003912DD" w:rsidP="00590F82" w:rsidRDefault="00625B30" w14:paraId="58FDBF8C" w14:textId="7FD34B69">
            <w:pPr>
              <w:tabs>
                <w:tab w:val="left" w:pos="360"/>
              </w:tabs>
              <w:rPr>
                <w:color w:val="000000"/>
              </w:rPr>
            </w:pPr>
            <w:r w:rsidRPr="00E25078">
              <w:rPr>
                <w:b/>
                <w:color w:val="000000"/>
              </w:rPr>
              <w:t>d.</w:t>
            </w:r>
            <w:r w:rsidRPr="00E25078">
              <w:rPr>
                <w:b/>
                <w:color w:val="000000"/>
              </w:rPr>
              <w:tab/>
              <w:t>Intervenor’s claim of non-duplication:</w:t>
            </w:r>
            <w:r w:rsidRPr="00E25078">
              <w:rPr>
                <w:color w:val="000000"/>
              </w:rPr>
              <w:t xml:space="preserve"> </w:t>
            </w:r>
            <w:r w:rsidRPr="00F909C9" w:rsidR="00F148AA">
              <w:t>TURN coordinated with Cal Advocates</w:t>
            </w:r>
            <w:r w:rsidRPr="00F909C9" w:rsidR="00E12638">
              <w:t xml:space="preserve">, SBUA and UCAN </w:t>
            </w:r>
            <w:r w:rsidRPr="00F909C9" w:rsidR="00F148AA">
              <w:t xml:space="preserve">throughout the proceeding to avoid duplicative efforts. </w:t>
            </w:r>
            <w:r w:rsidRPr="00F909C9" w:rsidR="005C2051">
              <w:t xml:space="preserve">While </w:t>
            </w:r>
            <w:r w:rsidRPr="00F909C9" w:rsidR="005B490C">
              <w:t xml:space="preserve">each party opposed various aspects of SDG&amp;E’s </w:t>
            </w:r>
            <w:r w:rsidRPr="00F909C9" w:rsidR="00590F82">
              <w:t>proposals</w:t>
            </w:r>
            <w:r w:rsidRPr="00F909C9" w:rsidR="005C2051">
              <w:t xml:space="preserve">, TURN presented </w:t>
            </w:r>
            <w:r w:rsidRPr="00F909C9" w:rsidR="00590F82">
              <w:t>unique analysis and many unique positions</w:t>
            </w:r>
            <w:r w:rsidRPr="00F909C9" w:rsidR="005C2051">
              <w:t xml:space="preserve">. </w:t>
            </w:r>
          </w:p>
          <w:p w:rsidR="00F909C9" w:rsidP="00E232D8" w:rsidRDefault="00F909C9" w14:paraId="71C0499F" w14:textId="77777777">
            <w:pPr>
              <w:tabs>
                <w:tab w:val="left" w:pos="360"/>
              </w:tabs>
              <w:rPr>
                <w:color w:val="000000"/>
              </w:rPr>
            </w:pPr>
          </w:p>
          <w:p w:rsidR="00E232D8" w:rsidP="00F909C9" w:rsidRDefault="00F909C9" w14:paraId="65E995EC" w14:textId="37FF3F63">
            <w:pPr>
              <w:tabs>
                <w:tab w:val="left" w:pos="360"/>
              </w:tabs>
              <w:rPr>
                <w:color w:val="000000"/>
              </w:rPr>
            </w:pPr>
            <w:r>
              <w:rPr>
                <w:color w:val="000000"/>
              </w:rPr>
              <w:t xml:space="preserve">For example, </w:t>
            </w:r>
            <w:r w:rsidRPr="00E232D8" w:rsidR="00E232D8">
              <w:rPr>
                <w:color w:val="000000"/>
              </w:rPr>
              <w:t>TURN &amp; Cal Advocates propose</w:t>
            </w:r>
            <w:r w:rsidR="0045781A">
              <w:rPr>
                <w:color w:val="000000"/>
              </w:rPr>
              <w:t>d</w:t>
            </w:r>
            <w:r w:rsidRPr="00E232D8" w:rsidR="00E232D8">
              <w:rPr>
                <w:color w:val="000000"/>
              </w:rPr>
              <w:t xml:space="preserve"> that an equal cents per kilowatt-hour</w:t>
            </w:r>
            <w:r>
              <w:rPr>
                <w:color w:val="000000"/>
              </w:rPr>
              <w:t xml:space="preserve"> </w:t>
            </w:r>
            <w:r w:rsidRPr="00E232D8" w:rsidR="00E232D8">
              <w:rPr>
                <w:color w:val="000000"/>
              </w:rPr>
              <w:t>methodology should be used to collect wildfire-related costs because it assigns these costs to all customer classes that benefit from reduced life and property</w:t>
            </w:r>
            <w:r w:rsidRPr="00F909C9" w:rsidR="00E232D8">
              <w:rPr>
                <w:color w:val="000000"/>
              </w:rPr>
              <w:t xml:space="preserve"> </w:t>
            </w:r>
            <w:r w:rsidRPr="0075635A" w:rsidR="00E232D8">
              <w:rPr>
                <w:color w:val="000000"/>
              </w:rPr>
              <w:t>risks and reduced greenhouse gas emissions</w:t>
            </w:r>
            <w:r w:rsidRPr="00F909C9" w:rsidR="00590F82">
              <w:rPr>
                <w:color w:val="000000"/>
              </w:rPr>
              <w:t>. TURN advocated strongly for this proposal in settlement negotiations and for the inclusion all non-securitized wildfire-related costs.</w:t>
            </w:r>
          </w:p>
          <w:p w:rsidR="001808C4" w:rsidP="00F909C9" w:rsidRDefault="001808C4" w14:paraId="037868DE" w14:textId="77777777">
            <w:pPr>
              <w:tabs>
                <w:tab w:val="left" w:pos="360"/>
              </w:tabs>
              <w:rPr>
                <w:color w:val="000000"/>
              </w:rPr>
            </w:pPr>
          </w:p>
          <w:p w:rsidRPr="00F909C9" w:rsidR="001808C4" w:rsidP="001808C4" w:rsidRDefault="00EF0405" w14:paraId="013D1BF4" w14:textId="61A7790E">
            <w:pPr>
              <w:tabs>
                <w:tab w:val="left" w:pos="360"/>
              </w:tabs>
              <w:rPr>
                <w:color w:val="000000"/>
              </w:rPr>
            </w:pPr>
            <w:r>
              <w:rPr>
                <w:color w:val="000000"/>
              </w:rPr>
              <w:t>For the partial settlement, t</w:t>
            </w:r>
            <w:r w:rsidR="001808C4">
              <w:rPr>
                <w:color w:val="000000"/>
              </w:rPr>
              <w:t>he Settling parties declined to adopt SDG&amp;E’s litigation position that the Commission adopt SAPC</w:t>
            </w:r>
            <w:r>
              <w:rPr>
                <w:color w:val="000000"/>
              </w:rPr>
              <w:t xml:space="preserve"> methodology</w:t>
            </w:r>
            <w:r w:rsidR="001808C4">
              <w:rPr>
                <w:color w:val="000000"/>
              </w:rPr>
              <w:t xml:space="preserve"> for cost allocation and instead elected to include TURN’s marginal-cost values, to the exclusion of several other intervenor values, for the purposes of moving the distribution allocation toward cost basis.</w:t>
            </w:r>
          </w:p>
          <w:p w:rsidRPr="00F909C9" w:rsidR="00590F82" w:rsidP="00E232D8" w:rsidRDefault="00590F82" w14:paraId="6E4B8778" w14:textId="77777777">
            <w:pPr>
              <w:tabs>
                <w:tab w:val="left" w:pos="360"/>
              </w:tabs>
              <w:rPr>
                <w:color w:val="000000"/>
              </w:rPr>
            </w:pPr>
          </w:p>
          <w:p w:rsidR="00590F82" w:rsidP="00F909C9" w:rsidRDefault="00590F82" w14:paraId="217EB614" w14:textId="4B748116">
            <w:pPr>
              <w:tabs>
                <w:tab w:val="left" w:pos="360"/>
              </w:tabs>
              <w:rPr>
                <w:color w:val="000000"/>
              </w:rPr>
            </w:pPr>
            <w:r w:rsidRPr="00F909C9">
              <w:t xml:space="preserve">TURN and Cal Advocates were the only intervenors to join the medical baseline settlement and the Commission relied on TURN’s analysis in finding that the settlement was reasonable in order to reduce impacts to other residential customers and to </w:t>
            </w:r>
            <w:r w:rsidRPr="00F909C9" w:rsidR="00F909C9">
              <w:t>harmonize the discounts regardless of the rate schedule the MB customer chooses.</w:t>
            </w:r>
            <w:r w:rsidR="00F909C9">
              <w:t xml:space="preserve"> </w:t>
            </w:r>
          </w:p>
          <w:p w:rsidRPr="00DA4419" w:rsidR="00E232D8" w:rsidP="00E232D8" w:rsidRDefault="00E232D8" w14:paraId="5E0EE7DD" w14:textId="77777777">
            <w:pPr>
              <w:tabs>
                <w:tab w:val="left" w:pos="360"/>
              </w:tabs>
              <w:rPr>
                <w:color w:val="000000"/>
              </w:rPr>
            </w:pPr>
          </w:p>
          <w:p w:rsidRPr="00DA4419" w:rsidR="003912DD" w:rsidP="003912DD" w:rsidRDefault="003912DD" w14:paraId="19AA38E6" w14:textId="7C09B021">
            <w:pPr>
              <w:autoSpaceDE w:val="0"/>
              <w:autoSpaceDN w:val="0"/>
              <w:adjustRightInd w:val="0"/>
            </w:pPr>
            <w:r w:rsidRPr="00DA4419">
              <w:t>The Commission should find that TURN’s participation was efficiently coordinated with the participation of Cal Advocates</w:t>
            </w:r>
            <w:r w:rsidR="005C2051">
              <w:t xml:space="preserve"> </w:t>
            </w:r>
            <w:r w:rsidR="00F909C9">
              <w:t xml:space="preserve">and other intervenors </w:t>
            </w:r>
            <w:r w:rsidRPr="00DA4419">
              <w:t xml:space="preserve">so as to avoid undue duplication and to ensure that to the extent duplication occurred, it served to supplement, complement, or contribute to the showing of the other intervenor.  And consistent with such a finding, the Commission should determine that all of TURN’s work is compensable consistent with the conditions set forth in Section 1802.5. </w:t>
            </w:r>
          </w:p>
          <w:p w:rsidRPr="00E25078" w:rsidR="00625B30" w:rsidP="00F909C9" w:rsidRDefault="00625B30" w14:paraId="6951DA0D" w14:textId="77777777">
            <w:pPr>
              <w:tabs>
                <w:tab w:val="left" w:pos="360"/>
              </w:tabs>
              <w:ind w:left="360" w:hanging="21"/>
              <w:rPr>
                <w:color w:val="000000"/>
              </w:rPr>
            </w:pPr>
          </w:p>
        </w:tc>
        <w:tc>
          <w:tcPr>
            <w:tcW w:w="1597" w:type="dxa"/>
          </w:tcPr>
          <w:p w:rsidRPr="00E25078" w:rsidR="00625B30" w:rsidP="00A47EB7" w:rsidRDefault="008140FA" w14:paraId="0427108C" w14:textId="0AA03814">
            <w:pPr>
              <w:tabs>
                <w:tab w:val="left" w:pos="360"/>
              </w:tabs>
              <w:ind w:left="360" w:hanging="360"/>
              <w:rPr>
                <w:color w:val="000000"/>
              </w:rPr>
            </w:pPr>
            <w:r>
              <w:rPr>
                <w:color w:val="000000"/>
              </w:rPr>
              <w:lastRenderedPageBreak/>
              <w:t xml:space="preserve">Noted </w:t>
            </w:r>
          </w:p>
        </w:tc>
      </w:tr>
    </w:tbl>
    <w:p w:rsidR="000D7CEC" w:rsidP="000D7CEC" w:rsidRDefault="000D7CEC" w14:paraId="357273D0" w14:textId="77777777">
      <w:pPr>
        <w:keepNext/>
        <w:tabs>
          <w:tab w:val="left" w:pos="1260"/>
        </w:tabs>
        <w:rPr>
          <w:b/>
          <w:color w:val="000000"/>
        </w:rPr>
      </w:pPr>
    </w:p>
    <w:p w:rsidR="00625B30" w:rsidP="000E59DC" w:rsidRDefault="00625B30" w14:paraId="1814927E" w14:textId="5552034F">
      <w:pPr>
        <w:keepNext/>
        <w:tabs>
          <w:tab w:val="left" w:pos="1260"/>
        </w:tabs>
        <w:jc w:val="center"/>
        <w:rPr>
          <w:b/>
          <w:color w:val="000000"/>
        </w:rPr>
      </w:pPr>
      <w:r w:rsidRPr="007F620E">
        <w:rPr>
          <w:b/>
          <w:color w:val="000000"/>
        </w:rPr>
        <w:t>PART III:</w:t>
      </w:r>
      <w:r>
        <w:rPr>
          <w:b/>
          <w:color w:val="000000"/>
        </w:rPr>
        <w:t xml:space="preserve">  </w:t>
      </w:r>
      <w:r w:rsidRPr="007F620E">
        <w:rPr>
          <w:b/>
          <w:color w:val="000000"/>
        </w:rPr>
        <w:t>REASONABLENESS OF REQUESTED COMPENSATION</w:t>
      </w:r>
    </w:p>
    <w:p w:rsidRPr="007F620E" w:rsidR="000E59DC" w:rsidP="000E59DC" w:rsidRDefault="000E59DC" w14:paraId="40FC116C" w14:textId="77777777">
      <w:pPr>
        <w:keepNext/>
        <w:tabs>
          <w:tab w:val="left" w:pos="1260"/>
        </w:tabs>
        <w:jc w:val="center"/>
        <w:rPr>
          <w:b/>
          <w:color w:val="000000"/>
        </w:rPr>
      </w:pPr>
    </w:p>
    <w:p w:rsidRPr="00F25DB3" w:rsidR="000E59DC" w:rsidP="00F25DB3" w:rsidRDefault="00625B30" w14:paraId="40488152" w14:textId="32F90800">
      <w:pPr>
        <w:pStyle w:val="ListParagraph"/>
        <w:numPr>
          <w:ilvl w:val="0"/>
          <w:numId w:val="7"/>
        </w:numPr>
      </w:pPr>
      <w:r w:rsidRPr="00625B30">
        <w:rPr>
          <w:b/>
          <w:color w:val="000000"/>
        </w:rPr>
        <w:t>General Claim of Reasonableness (§ 1801 and § 1806):</w:t>
      </w:r>
    </w:p>
    <w:p w:rsidR="00F25DB3" w:rsidP="00F25DB3" w:rsidRDefault="00F25DB3" w14:paraId="2C2D2CEE" w14:textId="77777777">
      <w:pPr>
        <w:pStyle w:val="ListParagraph"/>
      </w:pP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488"/>
        <w:gridCol w:w="1867"/>
      </w:tblGrid>
      <w:tr w:rsidRPr="003349DE" w:rsidR="00B80E2F" w:rsidTr="00725F0A" w14:paraId="328DF00F" w14:textId="77777777">
        <w:tc>
          <w:tcPr>
            <w:tcW w:w="7488" w:type="dxa"/>
            <w:tcBorders>
              <w:bottom w:val="single" w:color="auto" w:sz="4" w:space="0"/>
            </w:tcBorders>
            <w:shd w:val="clear" w:color="auto" w:fill="D9D9D9" w:themeFill="background1" w:themeFillShade="D9"/>
          </w:tcPr>
          <w:p w:rsidRPr="003349DE" w:rsidR="00B80E2F" w:rsidP="00A47EB7" w:rsidRDefault="00B80E2F" w14:paraId="549819DE" w14:textId="77777777">
            <w:pPr>
              <w:rPr>
                <w:b/>
                <w:color w:val="000000"/>
              </w:rPr>
            </w:pPr>
          </w:p>
        </w:tc>
        <w:tc>
          <w:tcPr>
            <w:tcW w:w="1867" w:type="dxa"/>
            <w:shd w:val="clear" w:color="auto" w:fill="D9D9D9" w:themeFill="background1" w:themeFillShade="D9"/>
          </w:tcPr>
          <w:p w:rsidRPr="003349DE" w:rsidR="00B80E2F" w:rsidP="00A47EB7" w:rsidRDefault="00B80E2F" w14:paraId="6A254326" w14:textId="77777777">
            <w:pPr>
              <w:spacing w:before="120"/>
              <w:rPr>
                <w:color w:val="000000"/>
              </w:rPr>
            </w:pPr>
            <w:r w:rsidRPr="003349DE">
              <w:rPr>
                <w:b/>
                <w:color w:val="000000"/>
              </w:rPr>
              <w:t>CPUC Discussion</w:t>
            </w:r>
          </w:p>
        </w:tc>
      </w:tr>
      <w:tr w:rsidRPr="003349DE" w:rsidR="00B80E2F" w:rsidTr="00725F0A" w14:paraId="6EB05F49" w14:textId="77777777">
        <w:tc>
          <w:tcPr>
            <w:tcW w:w="7488" w:type="dxa"/>
            <w:tcBorders>
              <w:bottom w:val="single" w:color="auto" w:sz="4" w:space="0"/>
            </w:tcBorders>
          </w:tcPr>
          <w:p w:rsidRPr="003349DE" w:rsidR="00B80E2F" w:rsidP="00A47EB7" w:rsidRDefault="00B80E2F" w14:paraId="0A3F2E78" w14:textId="77777777">
            <w:pPr>
              <w:rPr>
                <w:color w:val="000000"/>
              </w:rPr>
            </w:pPr>
            <w:r w:rsidRPr="003349DE">
              <w:rPr>
                <w:b/>
                <w:color w:val="000000"/>
              </w:rPr>
              <w:t>a. Intervenor’s claim of cost reasonableness:</w:t>
            </w:r>
            <w:r w:rsidRPr="003349DE">
              <w:rPr>
                <w:color w:val="000000"/>
              </w:rPr>
              <w:t xml:space="preserve"> </w:t>
            </w:r>
          </w:p>
          <w:p w:rsidR="00B80E2F" w:rsidP="00A47EB7" w:rsidRDefault="00B80E2F" w14:paraId="34E65BDB" w14:textId="77777777">
            <w:pPr>
              <w:spacing w:before="120"/>
            </w:pPr>
          </w:p>
          <w:p w:rsidRPr="00173EF6" w:rsidR="00B80E2F" w:rsidP="00A47EB7" w:rsidRDefault="00B80E2F" w14:paraId="045EA51F" w14:textId="77777777">
            <w:pPr>
              <w:rPr>
                <w:color w:val="000000"/>
              </w:rPr>
            </w:pPr>
            <w:r w:rsidRPr="00173EF6">
              <w:rPr>
                <w:color w:val="000000"/>
              </w:rPr>
              <w:t>TURN’s request for intervenor compensation seeks an award of</w:t>
            </w:r>
          </w:p>
          <w:p w:rsidRPr="00173EF6" w:rsidR="00B80E2F" w:rsidP="00A47EB7" w:rsidRDefault="00B80E2F" w14:paraId="3DF15175" w14:textId="287B124F">
            <w:pPr>
              <w:rPr>
                <w:color w:val="000000"/>
              </w:rPr>
            </w:pPr>
            <w:r w:rsidRPr="006F5D5D">
              <w:rPr>
                <w:color w:val="000000"/>
              </w:rPr>
              <w:t>approximately $</w:t>
            </w:r>
            <w:r w:rsidR="00404668">
              <w:rPr>
                <w:color w:val="000000"/>
              </w:rPr>
              <w:t>1</w:t>
            </w:r>
            <w:r w:rsidR="009552CA">
              <w:rPr>
                <w:color w:val="000000"/>
              </w:rPr>
              <w:t>88</w:t>
            </w:r>
            <w:r w:rsidRPr="006F5D5D">
              <w:rPr>
                <w:color w:val="000000"/>
              </w:rPr>
              <w:t>,</w:t>
            </w:r>
            <w:r w:rsidR="00461905">
              <w:rPr>
                <w:color w:val="000000"/>
              </w:rPr>
              <w:t>000</w:t>
            </w:r>
            <w:r w:rsidRPr="006F5D5D">
              <w:rPr>
                <w:color w:val="000000"/>
              </w:rPr>
              <w:t xml:space="preserve"> as</w:t>
            </w:r>
            <w:r w:rsidRPr="00A56B4A">
              <w:rPr>
                <w:color w:val="000000"/>
              </w:rPr>
              <w:t xml:space="preserve"> the reasonable</w:t>
            </w:r>
            <w:r w:rsidRPr="00173EF6">
              <w:rPr>
                <w:color w:val="000000"/>
              </w:rPr>
              <w:t xml:space="preserve"> cost of our participation in </w:t>
            </w:r>
          </w:p>
          <w:p w:rsidRPr="00173EF6" w:rsidR="00B80E2F" w:rsidP="00A47EB7" w:rsidRDefault="00B80E2F" w14:paraId="6DCEBC02" w14:textId="77777777">
            <w:pPr>
              <w:rPr>
                <w:color w:val="000000"/>
              </w:rPr>
            </w:pPr>
            <w:r w:rsidRPr="00173EF6">
              <w:rPr>
                <w:color w:val="000000"/>
              </w:rPr>
              <w:t xml:space="preserve">this proceeding. </w:t>
            </w:r>
            <w:r>
              <w:rPr>
                <w:color w:val="000000"/>
              </w:rPr>
              <w:t xml:space="preserve"> </w:t>
            </w:r>
            <w:r w:rsidRPr="00173EF6">
              <w:rPr>
                <w:color w:val="000000"/>
              </w:rPr>
              <w:t>TU</w:t>
            </w:r>
            <w:r>
              <w:rPr>
                <w:color w:val="000000"/>
              </w:rPr>
              <w:t xml:space="preserve">RN submits that these costs are </w:t>
            </w:r>
            <w:r w:rsidRPr="00173EF6">
              <w:rPr>
                <w:color w:val="000000"/>
              </w:rPr>
              <w:t>reasonable in light of the importance of the issues TURN addressed</w:t>
            </w:r>
            <w:r>
              <w:rPr>
                <w:color w:val="000000"/>
              </w:rPr>
              <w:t>.</w:t>
            </w:r>
          </w:p>
          <w:p w:rsidR="00B80E2F" w:rsidP="00A47EB7" w:rsidRDefault="00B80E2F" w14:paraId="2F0F9602" w14:textId="77777777">
            <w:pPr>
              <w:rPr>
                <w:color w:val="000000"/>
              </w:rPr>
            </w:pPr>
          </w:p>
          <w:p w:rsidR="00155235" w:rsidP="00BA658E" w:rsidRDefault="00155235" w14:paraId="5D18BFBC" w14:textId="58257BAC">
            <w:r w:rsidRPr="00155235">
              <w:rPr>
                <w:color w:val="000000"/>
              </w:rPr>
              <w:t>D.</w:t>
            </w:r>
            <w:r w:rsidRPr="009552CA" w:rsidR="009552CA">
              <w:rPr>
                <w:color w:val="000000"/>
              </w:rPr>
              <w:t>25-09-006</w:t>
            </w:r>
            <w:r w:rsidR="009552CA">
              <w:rPr>
                <w:color w:val="000000"/>
              </w:rPr>
              <w:t xml:space="preserve"> </w:t>
            </w:r>
            <w:r w:rsidRPr="00ED0681">
              <w:rPr>
                <w:color w:val="000000"/>
              </w:rPr>
              <w:t xml:space="preserve">addressed </w:t>
            </w:r>
            <w:r w:rsidRPr="00ED0681" w:rsidR="00ED0681">
              <w:rPr>
                <w:color w:val="000000"/>
              </w:rPr>
              <w:t>three</w:t>
            </w:r>
            <w:r w:rsidR="00ED0681">
              <w:rPr>
                <w:color w:val="000000"/>
              </w:rPr>
              <w:t xml:space="preserve"> </w:t>
            </w:r>
            <w:r w:rsidR="00ED0681">
              <w:t xml:space="preserve">different settlements that collectively resolved all rate design, revenue allocation and marginal cost issues for SDG&amp;E’s 2024 GRC. </w:t>
            </w:r>
            <w:r w:rsidR="00CD12CE">
              <w:t xml:space="preserve">TURN actively participated in multiple settlement </w:t>
            </w:r>
            <w:r w:rsidR="00CD12CE">
              <w:lastRenderedPageBreak/>
              <w:t xml:space="preserve">negotiations that resulted in </w:t>
            </w:r>
            <w:r w:rsidR="00B05C78">
              <w:t xml:space="preserve">more equitable </w:t>
            </w:r>
            <w:r w:rsidR="00A13F66">
              <w:t xml:space="preserve">rate design and cost allocation terms. </w:t>
            </w:r>
            <w:r w:rsidRPr="00BA658E" w:rsidR="00BA658E">
              <w:t>TURN’s</w:t>
            </w:r>
            <w:r w:rsidR="00BA658E">
              <w:t xml:space="preserve"> </w:t>
            </w:r>
            <w:r w:rsidRPr="00BA658E" w:rsidR="00BA658E">
              <w:t>participation led to meaningful benefits for residential ratepayers. TURN</w:t>
            </w:r>
            <w:r w:rsidR="00BA658E">
              <w:t xml:space="preserve"> </w:t>
            </w:r>
            <w:r w:rsidRPr="00BA658E" w:rsidR="00BA658E">
              <w:t>played a crucial role in helping to achieve a marginal cost/revenue</w:t>
            </w:r>
            <w:r w:rsidR="00BA658E">
              <w:t xml:space="preserve"> </w:t>
            </w:r>
            <w:r w:rsidRPr="00BA658E" w:rsidR="00BA658E">
              <w:t>allocation settlement that confers substantial economic benefits upon</w:t>
            </w:r>
            <w:r w:rsidR="00BA658E">
              <w:t xml:space="preserve"> </w:t>
            </w:r>
            <w:r w:rsidRPr="00BA658E" w:rsidR="00BA658E">
              <w:t>residential customers.</w:t>
            </w:r>
            <w:r w:rsidR="00BA658E">
              <w:t xml:space="preserve"> </w:t>
            </w:r>
            <w:r w:rsidR="00EC7E39">
              <w:t xml:space="preserve">For example, the adoption of TURN’s </w:t>
            </w:r>
            <w:r w:rsidR="00E72AA9">
              <w:t xml:space="preserve">distribution marginal costs for revenue allocation and </w:t>
            </w:r>
            <w:r w:rsidR="00EC7E39">
              <w:t xml:space="preserve">proposal to allocate all wildfire related costs </w:t>
            </w:r>
            <w:r w:rsidR="00985D6C">
              <w:t xml:space="preserve">more equally across all customer classes will significantly reduce the burden of those costs on residential ratepayers as compared to the previous allocation using the distribution rate allocator. </w:t>
            </w:r>
            <w:r w:rsidR="00BA658E">
              <w:t xml:space="preserve">TURN’s proposal to have the medical baseline program costs recovered through the </w:t>
            </w:r>
            <w:r w:rsidR="00087B46">
              <w:t>public purpose program</w:t>
            </w:r>
            <w:r w:rsidR="00751A06">
              <w:t xml:space="preserve"> (PPP)</w:t>
            </w:r>
            <w:r w:rsidR="00087B46">
              <w:t xml:space="preserve"> charge that was adopted in the partial settlement will also reduce</w:t>
            </w:r>
            <w:r w:rsidR="00751A06">
              <w:t>s</w:t>
            </w:r>
            <w:r w:rsidR="00087B46">
              <w:t xml:space="preserve"> the amount of costs allocated to residential customers.</w:t>
            </w:r>
          </w:p>
          <w:p w:rsidR="00BA658E" w:rsidP="00BA658E" w:rsidRDefault="00BA658E" w14:paraId="7C75B8C4" w14:textId="77777777"/>
          <w:p w:rsidRPr="00FD59FC" w:rsidR="00B80E2F" w:rsidP="00FD59FC" w:rsidRDefault="00BA658E" w14:paraId="34D71B9D" w14:textId="6A16280B">
            <w:pPr>
              <w:spacing w:before="100" w:beforeAutospacing="1" w:after="100" w:afterAutospacing="1"/>
            </w:pPr>
            <w:r>
              <w:t xml:space="preserve">TURN also played a key role in negotiating the medical baseline </w:t>
            </w:r>
            <w:r w:rsidR="00CF112D">
              <w:t xml:space="preserve">(MB) </w:t>
            </w:r>
            <w:r>
              <w:t>settlement</w:t>
            </w:r>
            <w:r w:rsidR="00CF112D">
              <w:t>,</w:t>
            </w:r>
            <w:r>
              <w:t xml:space="preserve"> which </w:t>
            </w:r>
            <w:r w:rsidR="00E70486">
              <w:t>resulted in</w:t>
            </w:r>
            <w:r w:rsidRPr="00657E86" w:rsidR="00E70486">
              <w:t xml:space="preserve"> rate and discount stability for </w:t>
            </w:r>
            <w:r w:rsidR="00E70486">
              <w:t xml:space="preserve">MB </w:t>
            </w:r>
            <w:r w:rsidRPr="00657E86" w:rsidR="00E70486">
              <w:t>customers</w:t>
            </w:r>
            <w:r w:rsidR="00E70486">
              <w:t xml:space="preserve"> and reduction of the overall subsidy for the MB Discount, which is significantly higher than the subsidies paid by either PG&amp;E or SCE</w:t>
            </w:r>
            <w:r w:rsidR="00CF112D">
              <w:t>’s ratepayers</w:t>
            </w:r>
            <w:r w:rsidR="00E70486">
              <w:t xml:space="preserve">.  The </w:t>
            </w:r>
            <w:r w:rsidR="00FD59FC">
              <w:t>enhanced data tracking and reporting measures TURN advocated for, and which were included in the settlement, will help the Commission evaluate the impact of the MB discount change on CARE and non-CARE MB customers</w:t>
            </w:r>
            <w:r w:rsidR="00CF112D">
              <w:t>.</w:t>
            </w:r>
          </w:p>
          <w:p w:rsidRPr="00DA70DD" w:rsidR="00B80E2F" w:rsidP="00A47EB7" w:rsidRDefault="00B80E2F" w14:paraId="3B4B1FFD" w14:textId="77777777">
            <w:pPr>
              <w:rPr>
                <w:color w:val="000000"/>
              </w:rPr>
            </w:pPr>
            <w:r w:rsidRPr="00DA70DD">
              <w:rPr>
                <w:color w:val="000000"/>
              </w:rPr>
              <w:t>For these reasons, the Commission should find that TURN's efforts have</w:t>
            </w:r>
          </w:p>
          <w:p w:rsidR="00B80E2F" w:rsidP="00A47EB7" w:rsidRDefault="00B80E2F" w14:paraId="4C171177" w14:textId="77777777">
            <w:pPr>
              <w:rPr>
                <w:color w:val="000000"/>
              </w:rPr>
            </w:pPr>
            <w:r w:rsidRPr="00DA70DD">
              <w:rPr>
                <w:color w:val="000000"/>
              </w:rPr>
              <w:t>been productive and the requested amount of compensation is reasonable in light of the benefits achieved through those efforts.</w:t>
            </w:r>
          </w:p>
          <w:p w:rsidR="00B80E2F" w:rsidP="00A47EB7" w:rsidRDefault="00B80E2F" w14:paraId="2C05D2EE" w14:textId="77777777">
            <w:pPr>
              <w:rPr>
                <w:color w:val="000000"/>
              </w:rPr>
            </w:pPr>
          </w:p>
          <w:p w:rsidRPr="003349DE" w:rsidR="00B80E2F" w:rsidP="00A47EB7" w:rsidRDefault="00B80E2F" w14:paraId="7679BFFC" w14:textId="77777777">
            <w:pPr>
              <w:rPr>
                <w:color w:val="000000"/>
              </w:rPr>
            </w:pPr>
          </w:p>
        </w:tc>
        <w:tc>
          <w:tcPr>
            <w:tcW w:w="1867" w:type="dxa"/>
          </w:tcPr>
          <w:p w:rsidRPr="003349DE" w:rsidR="00B80E2F" w:rsidP="00A47EB7" w:rsidRDefault="00EC79F7" w14:paraId="37C72A59" w14:textId="67CB991E">
            <w:pPr>
              <w:spacing w:before="120"/>
              <w:rPr>
                <w:color w:val="000000"/>
              </w:rPr>
            </w:pPr>
            <w:r>
              <w:rPr>
                <w:color w:val="000000"/>
              </w:rPr>
              <w:lastRenderedPageBreak/>
              <w:t>Noted</w:t>
            </w:r>
          </w:p>
        </w:tc>
      </w:tr>
      <w:tr w:rsidRPr="003349DE" w:rsidR="00B80E2F" w:rsidTr="00725F0A" w14:paraId="2D088171" w14:textId="77777777">
        <w:tc>
          <w:tcPr>
            <w:tcW w:w="7488" w:type="dxa"/>
          </w:tcPr>
          <w:p w:rsidRPr="003349DE" w:rsidR="00B80E2F" w:rsidP="00A47EB7" w:rsidRDefault="00B80E2F" w14:paraId="7F44743E" w14:textId="77777777">
            <w:pPr>
              <w:rPr>
                <w:color w:val="000000"/>
              </w:rPr>
            </w:pPr>
            <w:r w:rsidRPr="00080A79">
              <w:rPr>
                <w:b/>
                <w:color w:val="000000"/>
              </w:rPr>
              <w:t>b. Reasonableness of hours claimed:</w:t>
            </w:r>
            <w:r w:rsidRPr="003349DE">
              <w:rPr>
                <w:color w:val="000000"/>
              </w:rPr>
              <w:t xml:space="preserve"> </w:t>
            </w:r>
          </w:p>
          <w:p w:rsidRPr="003349DE" w:rsidR="00B80E2F" w:rsidP="00A47EB7" w:rsidRDefault="00B80E2F" w14:paraId="002C7121" w14:textId="77777777">
            <w:pPr>
              <w:rPr>
                <w:color w:val="000000"/>
              </w:rPr>
            </w:pPr>
          </w:p>
          <w:p w:rsidR="00B80E2F" w:rsidP="00A47EB7" w:rsidRDefault="00B80E2F" w14:paraId="43FCA32E" w14:textId="2E0D4EFA">
            <w:pPr>
              <w:rPr>
                <w:color w:val="000000"/>
              </w:rPr>
            </w:pPr>
            <w:r w:rsidRPr="0055737E">
              <w:rPr>
                <w:color w:val="000000"/>
              </w:rPr>
              <w:t xml:space="preserve">This Request for Compensation includes </w:t>
            </w:r>
            <w:r>
              <w:rPr>
                <w:color w:val="000000"/>
              </w:rPr>
              <w:t>around</w:t>
            </w:r>
            <w:r w:rsidRPr="0055737E">
              <w:rPr>
                <w:color w:val="000000"/>
              </w:rPr>
              <w:t xml:space="preserve"> </w:t>
            </w:r>
            <w:r w:rsidR="00A333D5">
              <w:rPr>
                <w:color w:val="000000"/>
              </w:rPr>
              <w:t>437</w:t>
            </w:r>
            <w:r w:rsidRPr="0055737E">
              <w:rPr>
                <w:color w:val="000000"/>
              </w:rPr>
              <w:t xml:space="preserve"> hours of</w:t>
            </w:r>
            <w:r>
              <w:rPr>
                <w:color w:val="000000"/>
              </w:rPr>
              <w:t xml:space="preserve"> </w:t>
            </w:r>
            <w:r w:rsidRPr="0055737E">
              <w:rPr>
                <w:color w:val="000000"/>
              </w:rPr>
              <w:t>TURN’s attorney</w:t>
            </w:r>
            <w:r w:rsidR="001D366B">
              <w:rPr>
                <w:color w:val="000000"/>
              </w:rPr>
              <w:t xml:space="preserve"> and expert</w:t>
            </w:r>
            <w:r w:rsidRPr="0055737E">
              <w:rPr>
                <w:color w:val="000000"/>
              </w:rPr>
              <w:t xml:space="preserve"> time, the equivalent of </w:t>
            </w:r>
            <w:r>
              <w:rPr>
                <w:color w:val="000000"/>
              </w:rPr>
              <w:t xml:space="preserve">about </w:t>
            </w:r>
            <w:r w:rsidR="00A333D5">
              <w:rPr>
                <w:color w:val="000000"/>
              </w:rPr>
              <w:t>11</w:t>
            </w:r>
            <w:r w:rsidR="009E52D8">
              <w:rPr>
                <w:color w:val="000000"/>
              </w:rPr>
              <w:t xml:space="preserve"> weeks</w:t>
            </w:r>
            <w:r w:rsidRPr="0055737E">
              <w:rPr>
                <w:color w:val="000000"/>
              </w:rPr>
              <w:t xml:space="preserve"> of full-time work for an individual attorney.</w:t>
            </w:r>
            <w:r w:rsidR="00824278">
              <w:rPr>
                <w:color w:val="000000"/>
              </w:rPr>
              <w:t xml:space="preserve"> TURN notes that this proceeding took over 2.5 years to resolve. </w:t>
            </w:r>
            <w:r w:rsidRPr="0055737E">
              <w:rPr>
                <w:color w:val="000000"/>
              </w:rPr>
              <w:t xml:space="preserve">TURN’s efforts reflected herein resulted in </w:t>
            </w:r>
            <w:r>
              <w:rPr>
                <w:color w:val="000000"/>
              </w:rPr>
              <w:t>significant</w:t>
            </w:r>
            <w:r w:rsidRPr="0055737E">
              <w:rPr>
                <w:color w:val="000000"/>
              </w:rPr>
              <w:t xml:space="preserve"> contributions to </w:t>
            </w:r>
            <w:r w:rsidRPr="00A333D5" w:rsidR="00A333D5">
              <w:rPr>
                <w:color w:val="000000"/>
              </w:rPr>
              <w:t>D.25-09-006</w:t>
            </w:r>
            <w:r w:rsidRPr="0055737E">
              <w:rPr>
                <w:color w:val="000000"/>
              </w:rPr>
              <w:t>, detailed above, and encompass the preparation of</w:t>
            </w:r>
            <w:r w:rsidR="00DF074E">
              <w:rPr>
                <w:color w:val="000000"/>
              </w:rPr>
              <w:t xml:space="preserve"> testimony, rebuttal testimony,</w:t>
            </w:r>
            <w:r>
              <w:rPr>
                <w:color w:val="000000"/>
              </w:rPr>
              <w:t xml:space="preserve"> comments and other filings </w:t>
            </w:r>
            <w:r w:rsidRPr="0055737E">
              <w:rPr>
                <w:color w:val="000000"/>
              </w:rPr>
              <w:t>by TURN</w:t>
            </w:r>
            <w:r>
              <w:rPr>
                <w:color w:val="000000"/>
              </w:rPr>
              <w:t xml:space="preserve">.  </w:t>
            </w:r>
          </w:p>
          <w:p w:rsidR="00B80E2F" w:rsidP="00A47EB7" w:rsidRDefault="00B80E2F" w14:paraId="4E0CEB49" w14:textId="77777777">
            <w:pPr>
              <w:autoSpaceDE w:val="0"/>
              <w:autoSpaceDN w:val="0"/>
              <w:adjustRightInd w:val="0"/>
            </w:pPr>
          </w:p>
          <w:p w:rsidR="001226E7" w:rsidP="00EC7E39" w:rsidRDefault="00B80E2F" w14:paraId="3B0B488C" w14:textId="038640C8">
            <w:pPr>
              <w:autoSpaceDE w:val="0"/>
              <w:autoSpaceDN w:val="0"/>
              <w:adjustRightInd w:val="0"/>
              <w:rPr>
                <w:color w:val="000000"/>
              </w:rPr>
            </w:pPr>
            <w:r w:rsidRPr="003349DE">
              <w:t xml:space="preserve">TURN assigned </w:t>
            </w:r>
            <w:r>
              <w:t xml:space="preserve">this proceeding to </w:t>
            </w:r>
            <w:r w:rsidR="00A333D5">
              <w:t xml:space="preserve">Assistant Managing </w:t>
            </w:r>
            <w:r>
              <w:t xml:space="preserve">Attorney </w:t>
            </w:r>
            <w:r w:rsidR="00A333D5">
              <w:t>Elise Torres</w:t>
            </w:r>
            <w:r>
              <w:t xml:space="preserve">.  </w:t>
            </w:r>
            <w:r w:rsidRPr="00D6023D">
              <w:rPr>
                <w:color w:val="000000"/>
              </w:rPr>
              <w:t>This request for</w:t>
            </w:r>
            <w:r>
              <w:rPr>
                <w:color w:val="000000"/>
              </w:rPr>
              <w:t xml:space="preserve"> </w:t>
            </w:r>
            <w:r w:rsidRPr="00D6023D">
              <w:rPr>
                <w:color w:val="000000"/>
              </w:rPr>
              <w:t xml:space="preserve">compensation includes approximately </w:t>
            </w:r>
            <w:r w:rsidR="00A333D5">
              <w:rPr>
                <w:color w:val="000000"/>
              </w:rPr>
              <w:t>217</w:t>
            </w:r>
            <w:r w:rsidRPr="0055737E">
              <w:rPr>
                <w:color w:val="000000"/>
              </w:rPr>
              <w:t xml:space="preserve"> hours of </w:t>
            </w:r>
            <w:r w:rsidR="00A333D5">
              <w:rPr>
                <w:color w:val="000000"/>
              </w:rPr>
              <w:t>Ms. Torres’</w:t>
            </w:r>
            <w:r>
              <w:rPr>
                <w:color w:val="000000"/>
              </w:rPr>
              <w:t xml:space="preserve"> time</w:t>
            </w:r>
            <w:r w:rsidR="001226E7">
              <w:rPr>
                <w:color w:val="000000"/>
              </w:rPr>
              <w:t xml:space="preserve">. </w:t>
            </w:r>
            <w:r w:rsidRPr="00DE32BA" w:rsidR="00312570">
              <w:t>Consistent with her primary role as TURN’s attorney,</w:t>
            </w:r>
            <w:r w:rsidR="00312570">
              <w:t xml:space="preserve"> Ms. Torres</w:t>
            </w:r>
            <w:r w:rsidRPr="00DE32BA" w:rsidR="00312570">
              <w:t xml:space="preserve"> represented TURN in interactions with the Commission and other parties,</w:t>
            </w:r>
            <w:r w:rsidR="00312570">
              <w:t xml:space="preserve"> i</w:t>
            </w:r>
            <w:r w:rsidRPr="00DE32BA" w:rsidR="00312570">
              <w:t>ncluding at status conferences</w:t>
            </w:r>
            <w:r w:rsidR="00D0572C">
              <w:t xml:space="preserve"> </w:t>
            </w:r>
            <w:r w:rsidRPr="00DE32BA" w:rsidR="00312570">
              <w:t>and various</w:t>
            </w:r>
            <w:r w:rsidR="00312570">
              <w:t xml:space="preserve"> </w:t>
            </w:r>
            <w:r w:rsidRPr="00DE32BA" w:rsidR="00312570">
              <w:t>meet and confers required by the ALJs</w:t>
            </w:r>
            <w:r w:rsidR="00312570">
              <w:t xml:space="preserve">. </w:t>
            </w:r>
            <w:r w:rsidRPr="00DE32BA" w:rsidR="00312570">
              <w:t>Ms. Torres took primary responsibility for drafting TURN’s</w:t>
            </w:r>
            <w:r w:rsidR="00312570">
              <w:t xml:space="preserve"> protest to SDG&amp;E’s application and </w:t>
            </w:r>
            <w:r w:rsidR="00281869">
              <w:t xml:space="preserve">portions of all three </w:t>
            </w:r>
            <w:r w:rsidR="00281869">
              <w:lastRenderedPageBreak/>
              <w:t xml:space="preserve">settlement agreements. </w:t>
            </w:r>
            <w:r w:rsidR="002E19C8">
              <w:t>Ms. Torres also oversaw Mr. Jones’ work on discovery</w:t>
            </w:r>
            <w:r w:rsidR="00173281">
              <w:t xml:space="preserve"> and the development of his testimonies. </w:t>
            </w:r>
          </w:p>
          <w:p w:rsidRPr="001226E7" w:rsidR="001226E7" w:rsidP="00EC7E39" w:rsidRDefault="001226E7" w14:paraId="646E8AE1" w14:textId="77777777">
            <w:pPr>
              <w:autoSpaceDE w:val="0"/>
              <w:autoSpaceDN w:val="0"/>
              <w:adjustRightInd w:val="0"/>
              <w:rPr>
                <w:color w:val="000000"/>
              </w:rPr>
            </w:pPr>
          </w:p>
          <w:p w:rsidRPr="001226E7" w:rsidR="001226E7" w:rsidP="001226E7" w:rsidRDefault="001226E7" w14:paraId="2DEB28AF" w14:textId="77777777">
            <w:pPr>
              <w:pStyle w:val="p1"/>
              <w:rPr>
                <w:sz w:val="24"/>
                <w:szCs w:val="24"/>
              </w:rPr>
            </w:pPr>
            <w:r w:rsidRPr="001226E7">
              <w:rPr>
                <w:sz w:val="24"/>
                <w:szCs w:val="24"/>
              </w:rPr>
              <w:t>Given the complexity of the issues presented in Phase 2 of a GRC, TURN</w:t>
            </w:r>
          </w:p>
          <w:p w:rsidR="001226E7" w:rsidP="00C0790A" w:rsidRDefault="001226E7" w14:paraId="1AFA1B0B" w14:textId="6DFF4B82">
            <w:pPr>
              <w:pStyle w:val="p1"/>
              <w:rPr>
                <w:sz w:val="24"/>
                <w:szCs w:val="24"/>
              </w:rPr>
            </w:pPr>
            <w:r w:rsidRPr="001226E7">
              <w:rPr>
                <w:sz w:val="24"/>
                <w:szCs w:val="24"/>
              </w:rPr>
              <w:t xml:space="preserve">retained the services of </w:t>
            </w:r>
            <w:r w:rsidR="00C0790A">
              <w:rPr>
                <w:sz w:val="24"/>
                <w:szCs w:val="24"/>
              </w:rPr>
              <w:t>Garrick Jones</w:t>
            </w:r>
            <w:r w:rsidRPr="001226E7">
              <w:rPr>
                <w:sz w:val="24"/>
                <w:szCs w:val="24"/>
              </w:rPr>
              <w:t xml:space="preserve"> to prepar</w:t>
            </w:r>
            <w:r w:rsidR="00C0790A">
              <w:rPr>
                <w:sz w:val="24"/>
                <w:szCs w:val="24"/>
              </w:rPr>
              <w:t>e</w:t>
            </w:r>
            <w:r w:rsidRPr="001226E7">
              <w:rPr>
                <w:sz w:val="24"/>
                <w:szCs w:val="24"/>
              </w:rPr>
              <w:t xml:space="preserve"> </w:t>
            </w:r>
            <w:r w:rsidR="00C0790A">
              <w:rPr>
                <w:sz w:val="24"/>
                <w:szCs w:val="24"/>
              </w:rPr>
              <w:t>t</w:t>
            </w:r>
            <w:r w:rsidRPr="001226E7">
              <w:rPr>
                <w:sz w:val="24"/>
                <w:szCs w:val="24"/>
              </w:rPr>
              <w:t>estimony on a wide range of issues. M</w:t>
            </w:r>
            <w:r w:rsidR="0051091D">
              <w:rPr>
                <w:sz w:val="24"/>
                <w:szCs w:val="24"/>
              </w:rPr>
              <w:t>r. Jones</w:t>
            </w:r>
            <w:r w:rsidRPr="001226E7">
              <w:rPr>
                <w:sz w:val="24"/>
                <w:szCs w:val="24"/>
              </w:rPr>
              <w:t xml:space="preserve"> has extensive</w:t>
            </w:r>
            <w:r w:rsidR="00C0790A">
              <w:rPr>
                <w:sz w:val="24"/>
                <w:szCs w:val="24"/>
              </w:rPr>
              <w:t xml:space="preserve"> </w:t>
            </w:r>
            <w:r w:rsidRPr="001226E7">
              <w:rPr>
                <w:sz w:val="24"/>
                <w:szCs w:val="24"/>
              </w:rPr>
              <w:t>experience in related utility proceedings and was able to effectively</w:t>
            </w:r>
            <w:r w:rsidR="00C0790A">
              <w:rPr>
                <w:sz w:val="24"/>
                <w:szCs w:val="24"/>
              </w:rPr>
              <w:t xml:space="preserve"> </w:t>
            </w:r>
            <w:r w:rsidRPr="001226E7">
              <w:rPr>
                <w:sz w:val="24"/>
                <w:szCs w:val="24"/>
              </w:rPr>
              <w:t>analyze very challenging data</w:t>
            </w:r>
            <w:r w:rsidR="00527BCE">
              <w:rPr>
                <w:sz w:val="24"/>
                <w:szCs w:val="24"/>
              </w:rPr>
              <w:t xml:space="preserve"> and a plethora of issues</w:t>
            </w:r>
            <w:r w:rsidRPr="001226E7">
              <w:rPr>
                <w:sz w:val="24"/>
                <w:szCs w:val="24"/>
              </w:rPr>
              <w:t xml:space="preserve">. TURN relied heavily on </w:t>
            </w:r>
            <w:r w:rsidR="006C2E11">
              <w:rPr>
                <w:sz w:val="24"/>
                <w:szCs w:val="24"/>
              </w:rPr>
              <w:t>Mr. Jones</w:t>
            </w:r>
            <w:r w:rsidR="00C0790A">
              <w:rPr>
                <w:sz w:val="24"/>
                <w:szCs w:val="24"/>
              </w:rPr>
              <w:t xml:space="preserve"> </w:t>
            </w:r>
            <w:r w:rsidRPr="001226E7">
              <w:rPr>
                <w:sz w:val="24"/>
                <w:szCs w:val="24"/>
              </w:rPr>
              <w:t xml:space="preserve">in this proceeding. </w:t>
            </w:r>
            <w:r w:rsidR="006C2E11">
              <w:rPr>
                <w:sz w:val="24"/>
                <w:szCs w:val="24"/>
              </w:rPr>
              <w:t xml:space="preserve">He </w:t>
            </w:r>
            <w:r w:rsidRPr="001226E7">
              <w:rPr>
                <w:sz w:val="24"/>
                <w:szCs w:val="24"/>
              </w:rPr>
              <w:t>assisted TURN with reviewing SDG&amp;E’s</w:t>
            </w:r>
            <w:r w:rsidR="00C0790A">
              <w:rPr>
                <w:sz w:val="24"/>
                <w:szCs w:val="24"/>
              </w:rPr>
              <w:t xml:space="preserve"> a</w:t>
            </w:r>
            <w:r w:rsidRPr="001226E7">
              <w:rPr>
                <w:sz w:val="24"/>
                <w:szCs w:val="24"/>
              </w:rPr>
              <w:t>pplication, and prepared testimony on Marginal Costs, Revenue</w:t>
            </w:r>
            <w:r w:rsidR="00C0790A">
              <w:rPr>
                <w:sz w:val="24"/>
                <w:szCs w:val="24"/>
              </w:rPr>
              <w:t xml:space="preserve"> </w:t>
            </w:r>
            <w:r w:rsidRPr="001226E7">
              <w:rPr>
                <w:sz w:val="24"/>
                <w:szCs w:val="24"/>
              </w:rPr>
              <w:t xml:space="preserve">Allocation, </w:t>
            </w:r>
            <w:r w:rsidR="006C2E11">
              <w:rPr>
                <w:sz w:val="24"/>
                <w:szCs w:val="24"/>
              </w:rPr>
              <w:t xml:space="preserve">SDG&amp;E’s rate design proposals </w:t>
            </w:r>
            <w:r w:rsidRPr="001226E7">
              <w:rPr>
                <w:sz w:val="24"/>
                <w:szCs w:val="24"/>
              </w:rPr>
              <w:t>and other issues</w:t>
            </w:r>
            <w:r w:rsidR="003740BE">
              <w:rPr>
                <w:sz w:val="24"/>
                <w:szCs w:val="24"/>
              </w:rPr>
              <w:t xml:space="preserve"> and rebuttal testimony responding to a number of issues raised by other parties.</w:t>
            </w:r>
          </w:p>
          <w:p w:rsidRPr="001226E7" w:rsidR="00C0790A" w:rsidP="00C0790A" w:rsidRDefault="00C0790A" w14:paraId="6B4689A1" w14:textId="77777777">
            <w:pPr>
              <w:pStyle w:val="p1"/>
              <w:rPr>
                <w:sz w:val="24"/>
                <w:szCs w:val="24"/>
              </w:rPr>
            </w:pPr>
          </w:p>
          <w:p w:rsidRPr="001226E7" w:rsidR="001226E7" w:rsidP="001226E7" w:rsidRDefault="001226E7" w14:paraId="07EC46D2" w14:textId="1159899D">
            <w:pPr>
              <w:pStyle w:val="p1"/>
              <w:rPr>
                <w:sz w:val="24"/>
                <w:szCs w:val="24"/>
              </w:rPr>
            </w:pPr>
            <w:r w:rsidRPr="001226E7">
              <w:rPr>
                <w:sz w:val="24"/>
                <w:szCs w:val="24"/>
              </w:rPr>
              <w:t xml:space="preserve">TURN devoted substantial time to settlement negotiations on </w:t>
            </w:r>
            <w:r w:rsidR="00527BCE">
              <w:rPr>
                <w:sz w:val="24"/>
                <w:szCs w:val="24"/>
              </w:rPr>
              <w:t>m</w:t>
            </w:r>
            <w:r w:rsidRPr="001226E7">
              <w:rPr>
                <w:sz w:val="24"/>
                <w:szCs w:val="24"/>
              </w:rPr>
              <w:t>arginal</w:t>
            </w:r>
          </w:p>
          <w:p w:rsidRPr="001226E7" w:rsidR="00B80E2F" w:rsidP="00354F05" w:rsidRDefault="00527BCE" w14:paraId="22F6ADBB" w14:textId="06F2122B">
            <w:pPr>
              <w:pStyle w:val="p1"/>
              <w:rPr>
                <w:sz w:val="24"/>
                <w:szCs w:val="24"/>
              </w:rPr>
            </w:pPr>
            <w:r>
              <w:rPr>
                <w:sz w:val="24"/>
                <w:szCs w:val="24"/>
              </w:rPr>
              <w:t>c</w:t>
            </w:r>
            <w:r w:rsidRPr="001226E7" w:rsidR="001226E7">
              <w:rPr>
                <w:sz w:val="24"/>
                <w:szCs w:val="24"/>
              </w:rPr>
              <w:t>ost</w:t>
            </w:r>
            <w:r>
              <w:rPr>
                <w:sz w:val="24"/>
                <w:szCs w:val="24"/>
              </w:rPr>
              <w:t>s</w:t>
            </w:r>
            <w:r w:rsidRPr="001226E7" w:rsidR="001226E7">
              <w:rPr>
                <w:sz w:val="24"/>
                <w:szCs w:val="24"/>
              </w:rPr>
              <w:t xml:space="preserve"> and </w:t>
            </w:r>
            <w:r>
              <w:rPr>
                <w:sz w:val="24"/>
                <w:szCs w:val="24"/>
              </w:rPr>
              <w:t>r</w:t>
            </w:r>
            <w:r w:rsidRPr="001226E7" w:rsidR="001226E7">
              <w:rPr>
                <w:sz w:val="24"/>
                <w:szCs w:val="24"/>
              </w:rPr>
              <w:t xml:space="preserve">evenue </w:t>
            </w:r>
            <w:r>
              <w:rPr>
                <w:sz w:val="24"/>
                <w:szCs w:val="24"/>
              </w:rPr>
              <w:t>a</w:t>
            </w:r>
            <w:r w:rsidRPr="001226E7" w:rsidR="001226E7">
              <w:rPr>
                <w:sz w:val="24"/>
                <w:szCs w:val="24"/>
              </w:rPr>
              <w:t xml:space="preserve">llocation, sales forecast, </w:t>
            </w:r>
            <w:r w:rsidR="00C0790A">
              <w:rPr>
                <w:sz w:val="24"/>
                <w:szCs w:val="24"/>
              </w:rPr>
              <w:t xml:space="preserve">rate design proposals and </w:t>
            </w:r>
            <w:r w:rsidR="0051091D">
              <w:rPr>
                <w:sz w:val="24"/>
                <w:szCs w:val="24"/>
              </w:rPr>
              <w:t>the medical baseline discount</w:t>
            </w:r>
            <w:r w:rsidRPr="001226E7" w:rsidR="001226E7">
              <w:rPr>
                <w:sz w:val="24"/>
                <w:szCs w:val="24"/>
              </w:rPr>
              <w:t xml:space="preserve">. </w:t>
            </w:r>
            <w:r w:rsidR="0051091D">
              <w:rPr>
                <w:sz w:val="24"/>
                <w:szCs w:val="24"/>
              </w:rPr>
              <w:t xml:space="preserve">Generally Ms. Torres represented TURN in settlement negotiations, but Mr. Jones also participated actively in the marginal cost settlement and revenue allocation settlement negotiations given the technical nature of the discussions. </w:t>
            </w:r>
            <w:r w:rsidRPr="001226E7" w:rsidR="001226E7">
              <w:rPr>
                <w:sz w:val="24"/>
                <w:szCs w:val="24"/>
              </w:rPr>
              <w:t>Given TURN’s</w:t>
            </w:r>
            <w:r w:rsidR="0051091D">
              <w:rPr>
                <w:sz w:val="24"/>
                <w:szCs w:val="24"/>
              </w:rPr>
              <w:t xml:space="preserve"> s</w:t>
            </w:r>
            <w:r w:rsidRPr="001226E7" w:rsidR="001226E7">
              <w:rPr>
                <w:sz w:val="24"/>
                <w:szCs w:val="24"/>
              </w:rPr>
              <w:t>ubstantial contributions in this proceeding, as well as the role played by</w:t>
            </w:r>
            <w:r w:rsidR="0051091D">
              <w:rPr>
                <w:sz w:val="24"/>
                <w:szCs w:val="24"/>
              </w:rPr>
              <w:t xml:space="preserve"> </w:t>
            </w:r>
            <w:r w:rsidRPr="001226E7" w:rsidR="001226E7">
              <w:rPr>
                <w:sz w:val="24"/>
                <w:szCs w:val="24"/>
              </w:rPr>
              <w:t>TURN’s staff and expert consultant during settlement negotiations, the</w:t>
            </w:r>
            <w:r w:rsidR="0051091D">
              <w:rPr>
                <w:sz w:val="24"/>
                <w:szCs w:val="24"/>
              </w:rPr>
              <w:t xml:space="preserve"> </w:t>
            </w:r>
            <w:r w:rsidRPr="001226E7" w:rsidR="001226E7">
              <w:rPr>
                <w:sz w:val="24"/>
                <w:szCs w:val="24"/>
              </w:rPr>
              <w:t>Commission should find that the number of hours claimed by TURN is</w:t>
            </w:r>
            <w:r w:rsidR="00A00D30">
              <w:rPr>
                <w:sz w:val="24"/>
                <w:szCs w:val="24"/>
              </w:rPr>
              <w:t xml:space="preserve"> </w:t>
            </w:r>
            <w:r w:rsidRPr="001226E7" w:rsidR="001226E7">
              <w:rPr>
                <w:sz w:val="24"/>
                <w:szCs w:val="24"/>
              </w:rPr>
              <w:t>reasonable.</w:t>
            </w:r>
          </w:p>
          <w:p w:rsidR="001226E7" w:rsidP="00A47EB7" w:rsidRDefault="001226E7" w14:paraId="11997B37" w14:textId="77777777">
            <w:pPr>
              <w:autoSpaceDE w:val="0"/>
              <w:autoSpaceDN w:val="0"/>
              <w:adjustRightInd w:val="0"/>
            </w:pPr>
          </w:p>
          <w:p w:rsidRPr="006C2E11" w:rsidR="001226E7" w:rsidP="00A47EB7" w:rsidRDefault="0077730D" w14:paraId="776B30A9" w14:textId="47B36958">
            <w:pPr>
              <w:autoSpaceDE w:val="0"/>
              <w:autoSpaceDN w:val="0"/>
              <w:adjustRightInd w:val="0"/>
              <w:rPr>
                <w:highlight w:val="yellow"/>
              </w:rPr>
            </w:pPr>
            <w:r w:rsidRPr="009943BD">
              <w:t>This request also includes limited time</w:t>
            </w:r>
            <w:r>
              <w:t xml:space="preserve"> (</w:t>
            </w:r>
            <w:r w:rsidR="00410401">
              <w:t>5.2</w:t>
            </w:r>
            <w:r>
              <w:t>5 hours)</w:t>
            </w:r>
            <w:r w:rsidRPr="009943BD">
              <w:t xml:space="preserve"> for TURN </w:t>
            </w:r>
            <w:r>
              <w:t xml:space="preserve">General Counsel </w:t>
            </w:r>
            <w:r w:rsidRPr="00410401">
              <w:t xml:space="preserve">Robert </w:t>
            </w:r>
            <w:r w:rsidRPr="00410401" w:rsidR="001226E7">
              <w:t>Finklestein</w:t>
            </w:r>
            <w:r w:rsidRPr="00410401">
              <w:t xml:space="preserve"> who represented TURN at the PHC because Ms. Torres was unavailable</w:t>
            </w:r>
            <w:r w:rsidR="00354F05">
              <w:t>,</w:t>
            </w:r>
            <w:r w:rsidRPr="00410401">
              <w:t xml:space="preserve"> and advised Ms. Torres on </w:t>
            </w:r>
            <w:r w:rsidRPr="00410401" w:rsidR="00E155B6">
              <w:t xml:space="preserve">the specifics of </w:t>
            </w:r>
            <w:r w:rsidR="00354F05">
              <w:t xml:space="preserve">TURN’s </w:t>
            </w:r>
            <w:r w:rsidRPr="00410401" w:rsidR="00E155B6">
              <w:t>wildfire related costs cost recovery proposal terms in the settlement</w:t>
            </w:r>
            <w:r w:rsidRPr="00410401" w:rsidR="004851BD">
              <w:t xml:space="preserve"> as he has represented TURN in many wildfire cost recovery proceedings. </w:t>
            </w:r>
          </w:p>
          <w:p w:rsidRPr="006C2E11" w:rsidR="006C4D08" w:rsidP="00A47EB7" w:rsidRDefault="006C4D08" w14:paraId="3BEE0C56" w14:textId="77777777">
            <w:pPr>
              <w:autoSpaceDE w:val="0"/>
              <w:autoSpaceDN w:val="0"/>
              <w:adjustRightInd w:val="0"/>
              <w:rPr>
                <w:highlight w:val="yellow"/>
              </w:rPr>
            </w:pPr>
          </w:p>
          <w:p w:rsidR="00944A6C" w:rsidP="00944A6C" w:rsidRDefault="00944A6C" w14:paraId="28906878" w14:textId="7D66A4FA">
            <w:pPr>
              <w:pStyle w:val="p1"/>
              <w:rPr>
                <w:sz w:val="24"/>
                <w:szCs w:val="24"/>
              </w:rPr>
            </w:pPr>
            <w:r w:rsidRPr="00C561E9">
              <w:rPr>
                <w:sz w:val="24"/>
                <w:szCs w:val="24"/>
              </w:rPr>
              <w:t xml:space="preserve">This request also includes limited time </w:t>
            </w:r>
            <w:r>
              <w:rPr>
                <w:sz w:val="24"/>
                <w:szCs w:val="24"/>
              </w:rPr>
              <w:t xml:space="preserve">(3 hours) </w:t>
            </w:r>
            <w:r w:rsidRPr="00C561E9">
              <w:rPr>
                <w:sz w:val="24"/>
                <w:szCs w:val="24"/>
              </w:rPr>
              <w:t>for TURN</w:t>
            </w:r>
            <w:r>
              <w:rPr>
                <w:sz w:val="24"/>
                <w:szCs w:val="24"/>
              </w:rPr>
              <w:t xml:space="preserve"> paralegal, Reina Yanagiba</w:t>
            </w:r>
            <w:r w:rsidRPr="00C561E9">
              <w:rPr>
                <w:sz w:val="24"/>
                <w:szCs w:val="24"/>
              </w:rPr>
              <w:t xml:space="preserve"> who</w:t>
            </w:r>
            <w:r>
              <w:rPr>
                <w:sz w:val="24"/>
                <w:szCs w:val="24"/>
              </w:rPr>
              <w:t xml:space="preserve"> assisted TURN’s attorney and expert with discovery. </w:t>
            </w:r>
          </w:p>
          <w:p w:rsidR="0015032A" w:rsidP="00944A6C" w:rsidRDefault="0015032A" w14:paraId="01919FB9" w14:textId="77777777">
            <w:pPr>
              <w:pStyle w:val="p1"/>
              <w:rPr>
                <w:sz w:val="24"/>
                <w:szCs w:val="24"/>
              </w:rPr>
            </w:pPr>
          </w:p>
          <w:p w:rsidR="0015032A" w:rsidP="0015032A" w:rsidRDefault="0015032A" w14:paraId="56358E27" w14:textId="25553746">
            <w:pPr>
              <w:pStyle w:val="p1"/>
              <w:rPr>
                <w:sz w:val="24"/>
                <w:szCs w:val="24"/>
              </w:rPr>
            </w:pPr>
            <w:r w:rsidRPr="0015032A">
              <w:rPr>
                <w:sz w:val="24"/>
                <w:szCs w:val="24"/>
              </w:rPr>
              <w:t xml:space="preserve">TURN is also requesting compensation for </w:t>
            </w:r>
            <w:r w:rsidR="009C38C7">
              <w:rPr>
                <w:sz w:val="24"/>
                <w:szCs w:val="24"/>
              </w:rPr>
              <w:t>17</w:t>
            </w:r>
            <w:r w:rsidR="00265C49">
              <w:rPr>
                <w:sz w:val="24"/>
                <w:szCs w:val="24"/>
              </w:rPr>
              <w:t xml:space="preserve"> </w:t>
            </w:r>
            <w:r w:rsidRPr="0015032A">
              <w:rPr>
                <w:sz w:val="24"/>
                <w:szCs w:val="24"/>
              </w:rPr>
              <w:t xml:space="preserve">hours of intervenor compensation-related efforts associated with preparation of this request for compensation, primarily by Ms. Torres. </w:t>
            </w:r>
            <w:r w:rsidR="009C38C7">
              <w:rPr>
                <w:sz w:val="24"/>
                <w:szCs w:val="24"/>
              </w:rPr>
              <w:t>3</w:t>
            </w:r>
            <w:r w:rsidRPr="0015032A">
              <w:rPr>
                <w:sz w:val="24"/>
                <w:szCs w:val="24"/>
              </w:rPr>
              <w:t xml:space="preserve"> or the total hours are for Ms. Yanagiba’s drafting of Parts I and IV of the request for compensation. Ms. </w:t>
            </w:r>
            <w:r w:rsidR="009C38C7">
              <w:rPr>
                <w:sz w:val="24"/>
                <w:szCs w:val="24"/>
              </w:rPr>
              <w:t>Torres also</w:t>
            </w:r>
            <w:r w:rsidRPr="0015032A">
              <w:rPr>
                <w:sz w:val="24"/>
                <w:szCs w:val="24"/>
              </w:rPr>
              <w:t xml:space="preserve"> drafted TURN’s notice of intent to claim compensation (NOI)</w:t>
            </w:r>
            <w:r w:rsidR="009C38C7">
              <w:rPr>
                <w:sz w:val="24"/>
                <w:szCs w:val="24"/>
              </w:rPr>
              <w:t>.</w:t>
            </w:r>
          </w:p>
          <w:p w:rsidR="001226E7" w:rsidP="00A47EB7" w:rsidRDefault="001226E7" w14:paraId="5C0B189B" w14:textId="77777777">
            <w:pPr>
              <w:autoSpaceDE w:val="0"/>
              <w:autoSpaceDN w:val="0"/>
              <w:adjustRightInd w:val="0"/>
            </w:pPr>
          </w:p>
          <w:p w:rsidR="00B80E2F" w:rsidP="00A47EB7" w:rsidRDefault="00B80E2F" w14:paraId="106C8D5C" w14:textId="779F242D">
            <w:pPr>
              <w:rPr>
                <w:color w:val="000000"/>
              </w:rPr>
            </w:pPr>
            <w:r w:rsidRPr="001C6763">
              <w:rPr>
                <w:color w:val="000000"/>
              </w:rPr>
              <w:t xml:space="preserve">TURN suggests that the Commission should find that the number of issues addressed </w:t>
            </w:r>
            <w:r>
              <w:rPr>
                <w:color w:val="000000"/>
              </w:rPr>
              <w:t>by TURN in this proceeding</w:t>
            </w:r>
            <w:r w:rsidRPr="001C6763">
              <w:rPr>
                <w:color w:val="000000"/>
              </w:rPr>
              <w:t>, the time necessary for preparing various</w:t>
            </w:r>
            <w:r>
              <w:rPr>
                <w:color w:val="000000"/>
              </w:rPr>
              <w:t xml:space="preserve"> </w:t>
            </w:r>
            <w:r w:rsidRPr="001C6763">
              <w:rPr>
                <w:color w:val="000000"/>
              </w:rPr>
              <w:t>pleadings</w:t>
            </w:r>
            <w:r>
              <w:rPr>
                <w:color w:val="000000"/>
              </w:rPr>
              <w:t xml:space="preserve"> and testimonies, and the time required by evidentiary hearings </w:t>
            </w:r>
            <w:r w:rsidRPr="001C6763">
              <w:rPr>
                <w:color w:val="000000"/>
              </w:rPr>
              <w:t xml:space="preserve">warrant finding that the hours spent were reasonable. </w:t>
            </w:r>
            <w:r>
              <w:rPr>
                <w:color w:val="000000"/>
              </w:rPr>
              <w:t xml:space="preserve"> </w:t>
            </w:r>
            <w:r w:rsidRPr="00D6023D">
              <w:rPr>
                <w:color w:val="000000"/>
              </w:rPr>
              <w:t>However, should the Commission believe that</w:t>
            </w:r>
            <w:r>
              <w:rPr>
                <w:color w:val="000000"/>
              </w:rPr>
              <w:t xml:space="preserve"> </w:t>
            </w:r>
            <w:r w:rsidRPr="00D6023D">
              <w:rPr>
                <w:color w:val="000000"/>
              </w:rPr>
              <w:t>more information is needed or that a different approach to discussing the</w:t>
            </w:r>
            <w:r>
              <w:rPr>
                <w:color w:val="000000"/>
              </w:rPr>
              <w:t xml:space="preserve"> </w:t>
            </w:r>
            <w:r w:rsidRPr="00D6023D">
              <w:rPr>
                <w:color w:val="000000"/>
              </w:rPr>
              <w:t xml:space="preserve">reasonableness of the requested hours </w:t>
            </w:r>
            <w:r w:rsidRPr="00D6023D">
              <w:rPr>
                <w:color w:val="000000"/>
              </w:rPr>
              <w:lastRenderedPageBreak/>
              <w:t>is warranted here, TURN requests</w:t>
            </w:r>
            <w:r>
              <w:rPr>
                <w:color w:val="000000"/>
              </w:rPr>
              <w:t xml:space="preserve"> </w:t>
            </w:r>
            <w:r w:rsidRPr="00D6023D">
              <w:rPr>
                <w:color w:val="000000"/>
              </w:rPr>
              <w:t>the opportunity to supplement this section of the request.</w:t>
            </w:r>
          </w:p>
          <w:p w:rsidRPr="003349DE" w:rsidR="00B80E2F" w:rsidP="00A47EB7" w:rsidRDefault="00B80E2F" w14:paraId="2F77ABA2" w14:textId="77777777">
            <w:pPr>
              <w:rPr>
                <w:color w:val="000000"/>
              </w:rPr>
            </w:pPr>
          </w:p>
        </w:tc>
        <w:tc>
          <w:tcPr>
            <w:tcW w:w="1867" w:type="dxa"/>
          </w:tcPr>
          <w:p w:rsidRPr="003349DE" w:rsidR="00B80E2F" w:rsidP="00A47EB7" w:rsidRDefault="00EC79F7" w14:paraId="1D003BF2" w14:textId="2B71EB76">
            <w:pPr>
              <w:spacing w:before="120"/>
              <w:rPr>
                <w:color w:val="000000"/>
              </w:rPr>
            </w:pPr>
            <w:r>
              <w:rPr>
                <w:color w:val="000000"/>
              </w:rPr>
              <w:lastRenderedPageBreak/>
              <w:t>Noted</w:t>
            </w:r>
          </w:p>
        </w:tc>
      </w:tr>
      <w:tr w:rsidRPr="007F3D00" w:rsidR="00B80E2F" w:rsidTr="00725F0A" w14:paraId="5E9C8D11" w14:textId="77777777">
        <w:tc>
          <w:tcPr>
            <w:tcW w:w="7488" w:type="dxa"/>
          </w:tcPr>
          <w:p w:rsidRPr="007F3D00" w:rsidR="00B80E2F" w:rsidP="00A47EB7" w:rsidRDefault="00B80E2F" w14:paraId="3A5A8D50" w14:textId="77777777">
            <w:pPr>
              <w:rPr>
                <w:color w:val="000000"/>
              </w:rPr>
            </w:pPr>
            <w:r w:rsidRPr="007F3D00">
              <w:rPr>
                <w:b/>
                <w:color w:val="000000"/>
              </w:rPr>
              <w:lastRenderedPageBreak/>
              <w:t>c. Allocation of hours by issue:</w:t>
            </w:r>
            <w:r w:rsidRPr="007F3D00">
              <w:rPr>
                <w:color w:val="000000"/>
              </w:rPr>
              <w:t xml:space="preserve"> </w:t>
            </w:r>
          </w:p>
          <w:p w:rsidR="00B80E2F" w:rsidP="00A47EB7" w:rsidRDefault="00B80E2F" w14:paraId="3EEC17EB" w14:textId="12182CFD">
            <w:pPr>
              <w:tabs>
                <w:tab w:val="left" w:pos="1260"/>
              </w:tabs>
              <w:spacing w:before="120"/>
              <w:rPr>
                <w:color w:val="000000"/>
              </w:rPr>
            </w:pPr>
            <w:r w:rsidRPr="007F3D00">
              <w:rPr>
                <w:color w:val="000000"/>
              </w:rPr>
              <w:t xml:space="preserve">TURN has allocated all of our attorney and expert time by issue area or activity, as is evident on our attached timesheets (Attachment 2) and in Attachment </w:t>
            </w:r>
            <w:r>
              <w:rPr>
                <w:color w:val="000000"/>
              </w:rPr>
              <w:t>3</w:t>
            </w:r>
            <w:r w:rsidRPr="007F3D00">
              <w:rPr>
                <w:color w:val="000000"/>
              </w:rPr>
              <w:t xml:space="preserve">, which shows the allocation of TURN’s time included in this request by attorney or expert and issue / activity area.  The following codes relate to specific substantive issue and activity areas addressed by TURN. </w:t>
            </w:r>
          </w:p>
          <w:p w:rsidR="00CD2E77" w:rsidP="00A47EB7" w:rsidRDefault="00CD2E77" w14:paraId="6C493830" w14:textId="77777777">
            <w:pPr>
              <w:tabs>
                <w:tab w:val="left" w:pos="1260"/>
              </w:tabs>
              <w:spacing w:before="120"/>
              <w:rPr>
                <w:color w:val="000000"/>
              </w:rPr>
            </w:pPr>
          </w:p>
          <w:tbl>
            <w:tblPr>
              <w:tblW w:w="7780" w:type="dxa"/>
              <w:tblLayout w:type="fixed"/>
              <w:tblLook w:val="04A0" w:firstRow="1" w:lastRow="0" w:firstColumn="1" w:lastColumn="0" w:noHBand="0" w:noVBand="1"/>
            </w:tblPr>
            <w:tblGrid>
              <w:gridCol w:w="1596"/>
              <w:gridCol w:w="3693"/>
              <w:gridCol w:w="2491"/>
            </w:tblGrid>
            <w:tr w:rsidR="004F64A7" w:rsidTr="009030AE" w14:paraId="6A0862C8" w14:textId="77777777">
              <w:trPr>
                <w:trHeight w:val="624"/>
              </w:trPr>
              <w:tc>
                <w:tcPr>
                  <w:tcW w:w="1596" w:type="dxa"/>
                  <w:tcBorders>
                    <w:top w:val="single" w:color="auto" w:sz="4" w:space="0"/>
                    <w:left w:val="single" w:color="auto" w:sz="4" w:space="0"/>
                    <w:bottom w:val="single" w:color="auto" w:sz="4" w:space="0"/>
                    <w:right w:val="single" w:color="auto" w:sz="4" w:space="0"/>
                  </w:tcBorders>
                  <w:noWrap/>
                  <w:vAlign w:val="bottom"/>
                  <w:hideMark/>
                </w:tcPr>
                <w:p w:rsidR="004F64A7" w:rsidP="004F64A7" w:rsidRDefault="004F64A7" w14:paraId="5D9A3D0D" w14:textId="77777777">
                  <w:pPr>
                    <w:jc w:val="center"/>
                    <w:rPr>
                      <w:b/>
                      <w:bCs/>
                      <w:color w:val="000000"/>
                      <w:lang w:eastAsia="zh-TW"/>
                    </w:rPr>
                  </w:pPr>
                  <w:r>
                    <w:rPr>
                      <w:b/>
                      <w:bCs/>
                      <w:color w:val="000000"/>
                    </w:rPr>
                    <w:t>Code</w:t>
                  </w:r>
                </w:p>
              </w:tc>
              <w:tc>
                <w:tcPr>
                  <w:tcW w:w="3693" w:type="dxa"/>
                  <w:tcBorders>
                    <w:top w:val="single" w:color="auto" w:sz="4" w:space="0"/>
                    <w:left w:val="nil"/>
                    <w:bottom w:val="single" w:color="auto" w:sz="4" w:space="0"/>
                    <w:right w:val="single" w:color="auto" w:sz="4" w:space="0"/>
                  </w:tcBorders>
                  <w:noWrap/>
                  <w:vAlign w:val="bottom"/>
                  <w:hideMark/>
                </w:tcPr>
                <w:p w:rsidR="004F64A7" w:rsidP="004F64A7" w:rsidRDefault="004F64A7" w14:paraId="0124F86A" w14:textId="77777777">
                  <w:pPr>
                    <w:jc w:val="center"/>
                    <w:rPr>
                      <w:b/>
                      <w:bCs/>
                      <w:color w:val="000000"/>
                    </w:rPr>
                  </w:pPr>
                  <w:r>
                    <w:rPr>
                      <w:b/>
                      <w:bCs/>
                      <w:color w:val="000000"/>
                    </w:rPr>
                    <w:t>Description</w:t>
                  </w:r>
                </w:p>
              </w:tc>
              <w:tc>
                <w:tcPr>
                  <w:tcW w:w="2491" w:type="dxa"/>
                  <w:tcBorders>
                    <w:top w:val="single" w:color="auto" w:sz="4" w:space="0"/>
                    <w:left w:val="nil"/>
                    <w:bottom w:val="single" w:color="auto" w:sz="4" w:space="0"/>
                    <w:right w:val="single" w:color="auto" w:sz="4" w:space="0"/>
                  </w:tcBorders>
                  <w:vAlign w:val="bottom"/>
                  <w:hideMark/>
                </w:tcPr>
                <w:p w:rsidR="004F64A7" w:rsidP="004F64A7" w:rsidRDefault="004F64A7" w14:paraId="025AA213" w14:textId="77777777">
                  <w:pPr>
                    <w:jc w:val="center"/>
                    <w:rPr>
                      <w:b/>
                      <w:bCs/>
                      <w:color w:val="000000"/>
                    </w:rPr>
                  </w:pPr>
                  <w:r>
                    <w:rPr>
                      <w:b/>
                      <w:bCs/>
                      <w:color w:val="000000"/>
                    </w:rPr>
                    <w:t>Allocation</w:t>
                  </w:r>
                  <w:r>
                    <w:rPr>
                      <w:b/>
                      <w:bCs/>
                      <w:color w:val="000000"/>
                    </w:rPr>
                    <w:br/>
                    <w:t>of Time</w:t>
                  </w:r>
                </w:p>
              </w:tc>
            </w:tr>
            <w:tr w:rsidR="00BE764E" w:rsidTr="009030AE" w14:paraId="1BCCD8D1" w14:textId="77777777">
              <w:trPr>
                <w:trHeight w:val="624"/>
              </w:trPr>
              <w:tc>
                <w:tcPr>
                  <w:tcW w:w="1596" w:type="dxa"/>
                  <w:tcBorders>
                    <w:top w:val="nil"/>
                    <w:left w:val="single" w:color="auto" w:sz="4" w:space="0"/>
                    <w:bottom w:val="single" w:color="auto" w:sz="4" w:space="0"/>
                    <w:right w:val="single" w:color="auto" w:sz="4" w:space="0"/>
                  </w:tcBorders>
                  <w:vAlign w:val="center"/>
                  <w:hideMark/>
                </w:tcPr>
                <w:p w:rsidR="00BE764E" w:rsidP="00BE764E" w:rsidRDefault="00BE764E" w14:paraId="5EC27A9E" w14:textId="0EA6D5D1">
                  <w:pPr>
                    <w:jc w:val="center"/>
                    <w:rPr>
                      <w:color w:val="000000"/>
                    </w:rPr>
                  </w:pPr>
                  <w:r>
                    <w:t>Comm. MC</w:t>
                  </w:r>
                </w:p>
              </w:tc>
              <w:tc>
                <w:tcPr>
                  <w:tcW w:w="3693" w:type="dxa"/>
                  <w:tcBorders>
                    <w:top w:val="nil"/>
                    <w:left w:val="nil"/>
                    <w:bottom w:val="single" w:color="auto" w:sz="4" w:space="0"/>
                    <w:right w:val="single" w:color="auto" w:sz="4" w:space="0"/>
                  </w:tcBorders>
                  <w:hideMark/>
                </w:tcPr>
                <w:p w:rsidR="00BE764E" w:rsidP="00BE764E" w:rsidRDefault="00BE764E" w14:paraId="65E6D677" w14:textId="05CF228E">
                  <w:pPr>
                    <w:rPr>
                      <w:color w:val="000000"/>
                    </w:rPr>
                  </w:pPr>
                  <w:r>
                    <w:rPr>
                      <w:color w:val="000000"/>
                    </w:rPr>
                    <w:t xml:space="preserve">Work related to evaluating SDG&amp;E's testimony regarding </w:t>
                  </w:r>
                  <w:r w:rsidR="00F01E4E">
                    <w:rPr>
                      <w:color w:val="000000"/>
                    </w:rPr>
                    <w:t>m</w:t>
                  </w:r>
                  <w:r>
                    <w:rPr>
                      <w:color w:val="000000"/>
                    </w:rPr>
                    <w:t xml:space="preserve">arginal </w:t>
                  </w:r>
                  <w:r w:rsidR="00F01E4E">
                    <w:rPr>
                      <w:color w:val="000000"/>
                    </w:rPr>
                    <w:t>c</w:t>
                  </w:r>
                  <w:r>
                    <w:rPr>
                      <w:color w:val="000000"/>
                    </w:rPr>
                    <w:t>ommodity costs</w:t>
                  </w:r>
                  <w:r w:rsidR="00F01E4E">
                    <w:rPr>
                      <w:color w:val="000000"/>
                    </w:rPr>
                    <w:t xml:space="preserve">: </w:t>
                  </w:r>
                  <w:r>
                    <w:rPr>
                      <w:color w:val="000000"/>
                    </w:rPr>
                    <w:t xml:space="preserve">marginal energy costs (MEC) &amp; </w:t>
                  </w:r>
                  <w:r w:rsidR="00935348">
                    <w:rPr>
                      <w:color w:val="000000"/>
                    </w:rPr>
                    <w:t>marginal</w:t>
                  </w:r>
                  <w:r>
                    <w:rPr>
                      <w:color w:val="000000"/>
                    </w:rPr>
                    <w:t xml:space="preserve"> gen capacity costs (MGCC), reviewing other parties' testimonies on these issues and researching and drafting TURN's testimony and rebuttal testimony addressing these issues</w:t>
                  </w:r>
                </w:p>
              </w:tc>
              <w:tc>
                <w:tcPr>
                  <w:tcW w:w="2491" w:type="dxa"/>
                  <w:tcBorders>
                    <w:top w:val="nil"/>
                    <w:left w:val="nil"/>
                    <w:bottom w:val="single" w:color="auto" w:sz="4" w:space="0"/>
                    <w:right w:val="single" w:color="auto" w:sz="4" w:space="0"/>
                  </w:tcBorders>
                  <w:vAlign w:val="bottom"/>
                  <w:hideMark/>
                </w:tcPr>
                <w:p w:rsidRPr="009C65CA" w:rsidR="00BE764E" w:rsidP="00BE764E" w:rsidRDefault="00BE764E" w14:paraId="63BE6F9D" w14:textId="3ABE784A">
                  <w:pPr>
                    <w:jc w:val="center"/>
                    <w:rPr>
                      <w:color w:val="000000"/>
                    </w:rPr>
                  </w:pPr>
                  <w:r>
                    <w:rPr>
                      <w:color w:val="000000"/>
                    </w:rPr>
                    <w:t>23.</w:t>
                  </w:r>
                  <w:r w:rsidR="00BC1BB2">
                    <w:rPr>
                      <w:color w:val="000000"/>
                    </w:rPr>
                    <w:t>14</w:t>
                  </w:r>
                  <w:r>
                    <w:rPr>
                      <w:color w:val="000000"/>
                    </w:rPr>
                    <w:t>%</w:t>
                  </w:r>
                </w:p>
              </w:tc>
            </w:tr>
            <w:tr w:rsidR="00BE764E" w:rsidTr="009030AE" w14:paraId="5E91097C" w14:textId="77777777">
              <w:trPr>
                <w:trHeight w:val="624"/>
              </w:trPr>
              <w:tc>
                <w:tcPr>
                  <w:tcW w:w="1596" w:type="dxa"/>
                  <w:tcBorders>
                    <w:top w:val="nil"/>
                    <w:left w:val="single" w:color="auto" w:sz="4" w:space="0"/>
                    <w:bottom w:val="single" w:color="auto" w:sz="4" w:space="0"/>
                    <w:right w:val="single" w:color="auto" w:sz="4" w:space="0"/>
                  </w:tcBorders>
                  <w:vAlign w:val="center"/>
                  <w:hideMark/>
                </w:tcPr>
                <w:p w:rsidR="00BE764E" w:rsidP="00BE764E" w:rsidRDefault="00BE764E" w14:paraId="1CA68A4B" w14:textId="55ED5457">
                  <w:pPr>
                    <w:jc w:val="center"/>
                    <w:rPr>
                      <w:color w:val="000000"/>
                    </w:rPr>
                  </w:pPr>
                  <w:r>
                    <w:t>Proc</w:t>
                  </w:r>
                </w:p>
              </w:tc>
              <w:tc>
                <w:tcPr>
                  <w:tcW w:w="3693" w:type="dxa"/>
                  <w:tcBorders>
                    <w:top w:val="nil"/>
                    <w:left w:val="nil"/>
                    <w:bottom w:val="single" w:color="auto" w:sz="4" w:space="0"/>
                    <w:right w:val="single" w:color="auto" w:sz="4" w:space="0"/>
                  </w:tcBorders>
                  <w:hideMark/>
                </w:tcPr>
                <w:p w:rsidR="00BE764E" w:rsidP="00BE764E" w:rsidRDefault="00BE764E" w14:paraId="3C1413D9" w14:textId="26EB4292">
                  <w:pPr>
                    <w:rPr>
                      <w:color w:val="000000"/>
                    </w:rPr>
                  </w:pPr>
                  <w:r>
                    <w:rPr>
                      <w:color w:val="000000"/>
                    </w:rPr>
                    <w:t>Procedural work required by ALJs, including meet and confers, status conferences, PHCs, reviewing &amp; analyzing ALJ Rulings</w:t>
                  </w:r>
                </w:p>
              </w:tc>
              <w:tc>
                <w:tcPr>
                  <w:tcW w:w="2491" w:type="dxa"/>
                  <w:tcBorders>
                    <w:top w:val="nil"/>
                    <w:left w:val="nil"/>
                    <w:bottom w:val="single" w:color="auto" w:sz="4" w:space="0"/>
                    <w:right w:val="single" w:color="auto" w:sz="4" w:space="0"/>
                  </w:tcBorders>
                  <w:vAlign w:val="bottom"/>
                  <w:hideMark/>
                </w:tcPr>
                <w:p w:rsidRPr="009C65CA" w:rsidR="00BE764E" w:rsidP="00BE764E" w:rsidRDefault="00BE764E" w14:paraId="694A32F0" w14:textId="15A8E929">
                  <w:pPr>
                    <w:jc w:val="center"/>
                    <w:rPr>
                      <w:color w:val="000000"/>
                    </w:rPr>
                  </w:pPr>
                  <w:r>
                    <w:rPr>
                      <w:color w:val="000000"/>
                    </w:rPr>
                    <w:t>3.14%</w:t>
                  </w:r>
                </w:p>
              </w:tc>
            </w:tr>
            <w:tr w:rsidR="00BE764E" w:rsidTr="009030AE" w14:paraId="484B509F" w14:textId="77777777">
              <w:trPr>
                <w:trHeight w:val="936"/>
              </w:trPr>
              <w:tc>
                <w:tcPr>
                  <w:tcW w:w="1596" w:type="dxa"/>
                  <w:tcBorders>
                    <w:top w:val="nil"/>
                    <w:left w:val="single" w:color="auto" w:sz="4" w:space="0"/>
                    <w:bottom w:val="single" w:color="auto" w:sz="4" w:space="0"/>
                    <w:right w:val="single" w:color="auto" w:sz="4" w:space="0"/>
                  </w:tcBorders>
                  <w:vAlign w:val="center"/>
                  <w:hideMark/>
                </w:tcPr>
                <w:p w:rsidR="00BE764E" w:rsidP="00BE764E" w:rsidRDefault="00BE764E" w14:paraId="3954C336" w14:textId="4D33CE51">
                  <w:pPr>
                    <w:jc w:val="center"/>
                    <w:rPr>
                      <w:color w:val="000000"/>
                    </w:rPr>
                  </w:pPr>
                  <w:r>
                    <w:t>Coord</w:t>
                  </w:r>
                </w:p>
              </w:tc>
              <w:tc>
                <w:tcPr>
                  <w:tcW w:w="3693" w:type="dxa"/>
                  <w:tcBorders>
                    <w:top w:val="nil"/>
                    <w:left w:val="nil"/>
                    <w:bottom w:val="single" w:color="auto" w:sz="4" w:space="0"/>
                    <w:right w:val="single" w:color="auto" w:sz="4" w:space="0"/>
                  </w:tcBorders>
                  <w:hideMark/>
                </w:tcPr>
                <w:p w:rsidR="00BE764E" w:rsidP="00BE764E" w:rsidRDefault="00BE764E" w14:paraId="03D1BA26" w14:textId="072F6A41">
                  <w:pPr>
                    <w:rPr>
                      <w:color w:val="000000"/>
                    </w:rPr>
                  </w:pPr>
                  <w:r>
                    <w:rPr>
                      <w:color w:val="000000"/>
                    </w:rPr>
                    <w:t>Work related to external coordination with other parties to inform TURN's efficient and effective participation that was not specific to one of the major issue areas addressed by TURN</w:t>
                  </w:r>
                </w:p>
              </w:tc>
              <w:tc>
                <w:tcPr>
                  <w:tcW w:w="2491" w:type="dxa"/>
                  <w:tcBorders>
                    <w:top w:val="nil"/>
                    <w:left w:val="nil"/>
                    <w:bottom w:val="single" w:color="auto" w:sz="4" w:space="0"/>
                    <w:right w:val="single" w:color="auto" w:sz="4" w:space="0"/>
                  </w:tcBorders>
                  <w:vAlign w:val="bottom"/>
                  <w:hideMark/>
                </w:tcPr>
                <w:p w:rsidRPr="009C65CA" w:rsidR="00BE764E" w:rsidP="00BE764E" w:rsidRDefault="00BE764E" w14:paraId="1FDEFAE1" w14:textId="3A4F6064">
                  <w:pPr>
                    <w:jc w:val="center"/>
                    <w:rPr>
                      <w:color w:val="000000"/>
                    </w:rPr>
                  </w:pPr>
                  <w:r>
                    <w:rPr>
                      <w:color w:val="000000"/>
                    </w:rPr>
                    <w:t>2.69%</w:t>
                  </w:r>
                </w:p>
              </w:tc>
            </w:tr>
            <w:tr w:rsidR="00BE764E" w:rsidTr="009030AE" w14:paraId="0A7C4E40" w14:textId="77777777">
              <w:trPr>
                <w:trHeight w:val="624"/>
              </w:trPr>
              <w:tc>
                <w:tcPr>
                  <w:tcW w:w="1596" w:type="dxa"/>
                  <w:tcBorders>
                    <w:top w:val="nil"/>
                    <w:left w:val="single" w:color="auto" w:sz="4" w:space="0"/>
                    <w:bottom w:val="single" w:color="auto" w:sz="4" w:space="0"/>
                    <w:right w:val="single" w:color="auto" w:sz="4" w:space="0"/>
                  </w:tcBorders>
                  <w:vAlign w:val="center"/>
                  <w:hideMark/>
                </w:tcPr>
                <w:p w:rsidR="00BE764E" w:rsidP="00BE764E" w:rsidRDefault="00BE764E" w14:paraId="0C60B729" w14:textId="15ED3AE7">
                  <w:pPr>
                    <w:jc w:val="center"/>
                    <w:rPr>
                      <w:color w:val="000000"/>
                    </w:rPr>
                  </w:pPr>
                  <w:r>
                    <w:t>Disc</w:t>
                  </w:r>
                </w:p>
              </w:tc>
              <w:tc>
                <w:tcPr>
                  <w:tcW w:w="3693" w:type="dxa"/>
                  <w:tcBorders>
                    <w:top w:val="nil"/>
                    <w:left w:val="nil"/>
                    <w:bottom w:val="single" w:color="auto" w:sz="4" w:space="0"/>
                    <w:right w:val="single" w:color="auto" w:sz="4" w:space="0"/>
                  </w:tcBorders>
                  <w:hideMark/>
                </w:tcPr>
                <w:p w:rsidR="00BE764E" w:rsidP="00BE764E" w:rsidRDefault="00BE764E" w14:paraId="755F59BC" w14:textId="74ADDE6C">
                  <w:pPr>
                    <w:rPr>
                      <w:color w:val="000000"/>
                    </w:rPr>
                  </w:pPr>
                  <w:r>
                    <w:rPr>
                      <w:color w:val="000000"/>
                    </w:rPr>
                    <w:t>Work related to discovery, including researching and drafting data requests regarding SDG&amp;E's &amp; other parties' testimonies &amp; SDG&amp;E's supplemental testimony and researching and drafting responses to SDG&amp;E's data requests regarding TURN's testimony</w:t>
                  </w:r>
                </w:p>
              </w:tc>
              <w:tc>
                <w:tcPr>
                  <w:tcW w:w="2491" w:type="dxa"/>
                  <w:tcBorders>
                    <w:top w:val="nil"/>
                    <w:left w:val="nil"/>
                    <w:bottom w:val="single" w:color="auto" w:sz="4" w:space="0"/>
                    <w:right w:val="single" w:color="auto" w:sz="4" w:space="0"/>
                  </w:tcBorders>
                  <w:vAlign w:val="bottom"/>
                  <w:hideMark/>
                </w:tcPr>
                <w:p w:rsidRPr="009C65CA" w:rsidR="00BE764E" w:rsidP="00BE764E" w:rsidRDefault="00BE764E" w14:paraId="66028A30" w14:textId="550EA0A2">
                  <w:pPr>
                    <w:jc w:val="center"/>
                    <w:rPr>
                      <w:color w:val="000000"/>
                    </w:rPr>
                  </w:pPr>
                  <w:r>
                    <w:rPr>
                      <w:color w:val="000000"/>
                    </w:rPr>
                    <w:t>6.</w:t>
                  </w:r>
                  <w:r w:rsidR="00BC1BB2">
                    <w:rPr>
                      <w:color w:val="000000"/>
                    </w:rPr>
                    <w:t>63</w:t>
                  </w:r>
                  <w:r>
                    <w:rPr>
                      <w:color w:val="000000"/>
                    </w:rPr>
                    <w:t>%</w:t>
                  </w:r>
                </w:p>
              </w:tc>
            </w:tr>
            <w:tr w:rsidR="00BE764E" w:rsidTr="009030AE" w14:paraId="7EBF0104" w14:textId="77777777">
              <w:trPr>
                <w:trHeight w:val="624"/>
              </w:trPr>
              <w:tc>
                <w:tcPr>
                  <w:tcW w:w="1596" w:type="dxa"/>
                  <w:tcBorders>
                    <w:top w:val="nil"/>
                    <w:left w:val="single" w:color="auto" w:sz="4" w:space="0"/>
                    <w:bottom w:val="single" w:color="auto" w:sz="4" w:space="0"/>
                    <w:right w:val="single" w:color="auto" w:sz="4" w:space="0"/>
                  </w:tcBorders>
                  <w:vAlign w:val="center"/>
                  <w:hideMark/>
                </w:tcPr>
                <w:p w:rsidR="00BE764E" w:rsidP="00BE764E" w:rsidRDefault="00BE764E" w14:paraId="5DD2958F" w14:textId="199BA53C">
                  <w:pPr>
                    <w:jc w:val="center"/>
                    <w:rPr>
                      <w:color w:val="000000"/>
                    </w:rPr>
                  </w:pPr>
                  <w:r>
                    <w:t>GP</w:t>
                  </w:r>
                </w:p>
              </w:tc>
              <w:tc>
                <w:tcPr>
                  <w:tcW w:w="3693" w:type="dxa"/>
                  <w:tcBorders>
                    <w:top w:val="nil"/>
                    <w:left w:val="nil"/>
                    <w:bottom w:val="single" w:color="auto" w:sz="4" w:space="0"/>
                    <w:right w:val="single" w:color="auto" w:sz="4" w:space="0"/>
                  </w:tcBorders>
                  <w:hideMark/>
                </w:tcPr>
                <w:p w:rsidR="00BE764E" w:rsidP="00BE764E" w:rsidRDefault="00BE764E" w14:paraId="72C08482" w14:textId="4D7F856E">
                  <w:pPr>
                    <w:rPr>
                      <w:color w:val="000000"/>
                    </w:rPr>
                  </w:pPr>
                  <w:r>
                    <w:rPr>
                      <w:color w:val="000000"/>
                    </w:rPr>
                    <w:t xml:space="preserve">General participation related to the proceeding, such as reviewing SDG&amp;E’s application, party testimonies, researching and </w:t>
                  </w:r>
                  <w:r>
                    <w:rPr>
                      <w:color w:val="000000"/>
                    </w:rPr>
                    <w:lastRenderedPageBreak/>
                    <w:t>drafting the protest</w:t>
                  </w:r>
                  <w:r w:rsidR="00F01E4E">
                    <w:rPr>
                      <w:color w:val="000000"/>
                    </w:rPr>
                    <w:t>, r</w:t>
                  </w:r>
                  <w:r>
                    <w:rPr>
                      <w:color w:val="000000"/>
                    </w:rPr>
                    <w:t>eviewing &amp; analyzing other parties' protests &amp; reviewing and analyzing PD</w:t>
                  </w:r>
                </w:p>
              </w:tc>
              <w:tc>
                <w:tcPr>
                  <w:tcW w:w="2491" w:type="dxa"/>
                  <w:tcBorders>
                    <w:top w:val="nil"/>
                    <w:left w:val="nil"/>
                    <w:bottom w:val="single" w:color="auto" w:sz="4" w:space="0"/>
                    <w:right w:val="single" w:color="auto" w:sz="4" w:space="0"/>
                  </w:tcBorders>
                  <w:vAlign w:val="bottom"/>
                  <w:hideMark/>
                </w:tcPr>
                <w:p w:rsidRPr="009C65CA" w:rsidR="00BE764E" w:rsidP="00BE764E" w:rsidRDefault="00BE764E" w14:paraId="5EA86F34" w14:textId="34F5321F">
                  <w:pPr>
                    <w:jc w:val="center"/>
                    <w:rPr>
                      <w:color w:val="000000"/>
                    </w:rPr>
                  </w:pPr>
                  <w:r>
                    <w:rPr>
                      <w:color w:val="000000"/>
                    </w:rPr>
                    <w:lastRenderedPageBreak/>
                    <w:t>5.59%</w:t>
                  </w:r>
                </w:p>
              </w:tc>
            </w:tr>
            <w:tr w:rsidR="00BE764E" w:rsidTr="009030AE" w14:paraId="5F3DFC5D" w14:textId="77777777">
              <w:trPr>
                <w:trHeight w:val="648"/>
              </w:trPr>
              <w:tc>
                <w:tcPr>
                  <w:tcW w:w="1596" w:type="dxa"/>
                  <w:tcBorders>
                    <w:top w:val="nil"/>
                    <w:left w:val="single" w:color="auto" w:sz="4" w:space="0"/>
                    <w:bottom w:val="single" w:color="auto" w:sz="4" w:space="0"/>
                    <w:right w:val="single" w:color="auto" w:sz="4" w:space="0"/>
                  </w:tcBorders>
                  <w:vAlign w:val="center"/>
                  <w:hideMark/>
                </w:tcPr>
                <w:p w:rsidR="00BE764E" w:rsidP="00BE764E" w:rsidRDefault="00BE764E" w14:paraId="00970293" w14:textId="6DAF0A6A">
                  <w:pPr>
                    <w:jc w:val="center"/>
                    <w:rPr>
                      <w:color w:val="000000"/>
                    </w:rPr>
                  </w:pPr>
                  <w:r>
                    <w:t>MB</w:t>
                  </w:r>
                </w:p>
              </w:tc>
              <w:tc>
                <w:tcPr>
                  <w:tcW w:w="3693" w:type="dxa"/>
                  <w:tcBorders>
                    <w:top w:val="nil"/>
                    <w:left w:val="nil"/>
                    <w:bottom w:val="single" w:color="auto" w:sz="4" w:space="0"/>
                    <w:right w:val="single" w:color="auto" w:sz="4" w:space="0"/>
                  </w:tcBorders>
                  <w:hideMark/>
                </w:tcPr>
                <w:p w:rsidR="00BE764E" w:rsidP="00BE764E" w:rsidRDefault="00BE764E" w14:paraId="3C4A684A" w14:textId="40E602F5">
                  <w:pPr>
                    <w:rPr>
                      <w:color w:val="000000"/>
                    </w:rPr>
                  </w:pPr>
                  <w:r>
                    <w:rPr>
                      <w:color w:val="000000"/>
                    </w:rPr>
                    <w:t>Work related to reviewing SDG&amp;E's Med</w:t>
                  </w:r>
                  <w:r w:rsidR="00F01E4E">
                    <w:rPr>
                      <w:color w:val="000000"/>
                    </w:rPr>
                    <w:t>ical</w:t>
                  </w:r>
                  <w:r>
                    <w:rPr>
                      <w:color w:val="000000"/>
                    </w:rPr>
                    <w:t xml:space="preserve"> Baseline</w:t>
                  </w:r>
                  <w:r w:rsidR="00F01E4E">
                    <w:rPr>
                      <w:color w:val="000000"/>
                    </w:rPr>
                    <w:t xml:space="preserve"> program</w:t>
                  </w:r>
                  <w:r>
                    <w:rPr>
                      <w:color w:val="000000"/>
                    </w:rPr>
                    <w:t xml:space="preserve"> change proposal, other parties' testimonies on the issue and researching and drafting TURN's testimony on the issue</w:t>
                  </w:r>
                </w:p>
              </w:tc>
              <w:tc>
                <w:tcPr>
                  <w:tcW w:w="2491" w:type="dxa"/>
                  <w:tcBorders>
                    <w:top w:val="nil"/>
                    <w:left w:val="nil"/>
                    <w:bottom w:val="single" w:color="auto" w:sz="4" w:space="0"/>
                    <w:right w:val="single" w:color="auto" w:sz="4" w:space="0"/>
                  </w:tcBorders>
                  <w:vAlign w:val="bottom"/>
                  <w:hideMark/>
                </w:tcPr>
                <w:p w:rsidRPr="009C65CA" w:rsidR="00BE764E" w:rsidP="00BE764E" w:rsidRDefault="00BE764E" w14:paraId="0D8FC324" w14:textId="516B5354">
                  <w:pPr>
                    <w:jc w:val="center"/>
                    <w:rPr>
                      <w:color w:val="000000"/>
                    </w:rPr>
                  </w:pPr>
                  <w:r>
                    <w:rPr>
                      <w:color w:val="000000"/>
                    </w:rPr>
                    <w:t>3.63%</w:t>
                  </w:r>
                </w:p>
              </w:tc>
            </w:tr>
            <w:tr w:rsidR="00BE764E" w:rsidTr="009030AE" w14:paraId="7AA04CD1" w14:textId="77777777">
              <w:trPr>
                <w:trHeight w:val="624"/>
              </w:trPr>
              <w:tc>
                <w:tcPr>
                  <w:tcW w:w="1596" w:type="dxa"/>
                  <w:tcBorders>
                    <w:top w:val="nil"/>
                    <w:left w:val="single" w:color="auto" w:sz="4" w:space="0"/>
                    <w:bottom w:val="single" w:color="auto" w:sz="4" w:space="0"/>
                    <w:right w:val="single" w:color="auto" w:sz="4" w:space="0"/>
                  </w:tcBorders>
                  <w:vAlign w:val="center"/>
                </w:tcPr>
                <w:p w:rsidR="00BE764E" w:rsidP="00BE764E" w:rsidRDefault="00BE764E" w14:paraId="13EFA335" w14:textId="1D68AEBC">
                  <w:pPr>
                    <w:jc w:val="center"/>
                    <w:rPr>
                      <w:color w:val="000000"/>
                    </w:rPr>
                  </w:pPr>
                  <w:r>
                    <w:t>MDCC</w:t>
                  </w:r>
                </w:p>
              </w:tc>
              <w:tc>
                <w:tcPr>
                  <w:tcW w:w="3693" w:type="dxa"/>
                  <w:tcBorders>
                    <w:top w:val="nil"/>
                    <w:left w:val="nil"/>
                    <w:bottom w:val="single" w:color="auto" w:sz="4" w:space="0"/>
                    <w:right w:val="single" w:color="auto" w:sz="4" w:space="0"/>
                  </w:tcBorders>
                </w:tcPr>
                <w:p w:rsidR="00BE764E" w:rsidP="00BE764E" w:rsidRDefault="00BE764E" w14:paraId="6B54DDC0" w14:textId="30504142">
                  <w:pPr>
                    <w:rPr>
                      <w:color w:val="000000"/>
                    </w:rPr>
                  </w:pPr>
                  <w:r>
                    <w:rPr>
                      <w:color w:val="000000"/>
                    </w:rPr>
                    <w:t>Work related to evaluating SDG&amp;E's testimony regarding Marginal Dist</w:t>
                  </w:r>
                  <w:r w:rsidR="00F01E4E">
                    <w:rPr>
                      <w:color w:val="000000"/>
                    </w:rPr>
                    <w:t>ribution</w:t>
                  </w:r>
                  <w:r>
                    <w:rPr>
                      <w:color w:val="000000"/>
                    </w:rPr>
                    <w:t xml:space="preserve"> Customer Costs, reviewing other parties' testimonies on these issues and researching and drafting TURN's testimony and rebuttal testimony addressing this issue</w:t>
                  </w:r>
                </w:p>
              </w:tc>
              <w:tc>
                <w:tcPr>
                  <w:tcW w:w="2491" w:type="dxa"/>
                  <w:tcBorders>
                    <w:top w:val="nil"/>
                    <w:left w:val="nil"/>
                    <w:bottom w:val="single" w:color="auto" w:sz="4" w:space="0"/>
                    <w:right w:val="single" w:color="auto" w:sz="4" w:space="0"/>
                  </w:tcBorders>
                  <w:vAlign w:val="bottom"/>
                </w:tcPr>
                <w:p w:rsidRPr="009C65CA" w:rsidR="00BE764E" w:rsidP="00BE764E" w:rsidRDefault="00BE764E" w14:paraId="31CC031D" w14:textId="3E67A036">
                  <w:pPr>
                    <w:jc w:val="center"/>
                    <w:rPr>
                      <w:color w:val="000000"/>
                    </w:rPr>
                  </w:pPr>
                  <w:r>
                    <w:rPr>
                      <w:color w:val="000000"/>
                    </w:rPr>
                    <w:t>12.52%</w:t>
                  </w:r>
                </w:p>
              </w:tc>
            </w:tr>
            <w:tr w:rsidR="00BE764E" w:rsidTr="009030AE" w14:paraId="2E3CFA52" w14:textId="77777777">
              <w:trPr>
                <w:trHeight w:val="624"/>
              </w:trPr>
              <w:tc>
                <w:tcPr>
                  <w:tcW w:w="1596" w:type="dxa"/>
                  <w:tcBorders>
                    <w:top w:val="nil"/>
                    <w:left w:val="single" w:color="auto" w:sz="4" w:space="0"/>
                    <w:bottom w:val="single" w:color="auto" w:sz="4" w:space="0"/>
                    <w:right w:val="single" w:color="auto" w:sz="4" w:space="0"/>
                  </w:tcBorders>
                  <w:vAlign w:val="center"/>
                </w:tcPr>
                <w:p w:rsidR="00BE764E" w:rsidP="00BE764E" w:rsidRDefault="00BE764E" w14:paraId="2A73AF5D" w14:textId="287A07A4">
                  <w:pPr>
                    <w:jc w:val="center"/>
                    <w:rPr>
                      <w:color w:val="000000"/>
                    </w:rPr>
                  </w:pPr>
                  <w:r>
                    <w:t>MDDC</w:t>
                  </w:r>
                </w:p>
              </w:tc>
              <w:tc>
                <w:tcPr>
                  <w:tcW w:w="3693" w:type="dxa"/>
                  <w:tcBorders>
                    <w:top w:val="nil"/>
                    <w:left w:val="nil"/>
                    <w:bottom w:val="single" w:color="auto" w:sz="4" w:space="0"/>
                    <w:right w:val="single" w:color="auto" w:sz="4" w:space="0"/>
                  </w:tcBorders>
                </w:tcPr>
                <w:p w:rsidR="00BE764E" w:rsidP="00BE764E" w:rsidRDefault="00BE764E" w14:paraId="331B5069" w14:textId="395261C1">
                  <w:pPr>
                    <w:rPr>
                      <w:color w:val="000000"/>
                    </w:rPr>
                  </w:pPr>
                  <w:r>
                    <w:rPr>
                      <w:color w:val="000000"/>
                    </w:rPr>
                    <w:t>Work related to evaluating SDG&amp;E's testimony regarding Marginal Dist</w:t>
                  </w:r>
                  <w:r w:rsidR="00F01E4E">
                    <w:rPr>
                      <w:color w:val="000000"/>
                    </w:rPr>
                    <w:t xml:space="preserve">ribution </w:t>
                  </w:r>
                  <w:r>
                    <w:rPr>
                      <w:color w:val="000000"/>
                    </w:rPr>
                    <w:t>Demand Costs, reviewing other parties' testimonies on these issues and researching and drafting TURN's testimony and rebuttal testimony addressing this issue</w:t>
                  </w:r>
                </w:p>
              </w:tc>
              <w:tc>
                <w:tcPr>
                  <w:tcW w:w="2491" w:type="dxa"/>
                  <w:tcBorders>
                    <w:top w:val="nil"/>
                    <w:left w:val="nil"/>
                    <w:bottom w:val="single" w:color="auto" w:sz="4" w:space="0"/>
                    <w:right w:val="single" w:color="auto" w:sz="4" w:space="0"/>
                  </w:tcBorders>
                  <w:vAlign w:val="bottom"/>
                </w:tcPr>
                <w:p w:rsidRPr="009C65CA" w:rsidR="00BE764E" w:rsidP="00BE764E" w:rsidRDefault="00BE764E" w14:paraId="39E8ACE1" w14:textId="1DD27310">
                  <w:pPr>
                    <w:jc w:val="center"/>
                    <w:rPr>
                      <w:color w:val="000000"/>
                    </w:rPr>
                  </w:pPr>
                  <w:r>
                    <w:rPr>
                      <w:color w:val="000000"/>
                    </w:rPr>
                    <w:t>6.84%</w:t>
                  </w:r>
                </w:p>
              </w:tc>
            </w:tr>
            <w:tr w:rsidR="00BE764E" w:rsidTr="009030AE" w14:paraId="1F665D50" w14:textId="77777777">
              <w:trPr>
                <w:trHeight w:val="624"/>
              </w:trPr>
              <w:tc>
                <w:tcPr>
                  <w:tcW w:w="1596" w:type="dxa"/>
                  <w:tcBorders>
                    <w:top w:val="nil"/>
                    <w:left w:val="single" w:color="auto" w:sz="4" w:space="0"/>
                    <w:bottom w:val="single" w:color="auto" w:sz="4" w:space="0"/>
                    <w:right w:val="single" w:color="auto" w:sz="4" w:space="0"/>
                  </w:tcBorders>
                  <w:vAlign w:val="center"/>
                </w:tcPr>
                <w:p w:rsidR="00BE764E" w:rsidP="00BE764E" w:rsidRDefault="00BE764E" w14:paraId="25AABAB2" w14:textId="2D94F079">
                  <w:pPr>
                    <w:jc w:val="center"/>
                    <w:rPr>
                      <w:color w:val="000000"/>
                    </w:rPr>
                  </w:pPr>
                  <w:r>
                    <w:t>RA</w:t>
                  </w:r>
                </w:p>
              </w:tc>
              <w:tc>
                <w:tcPr>
                  <w:tcW w:w="3693" w:type="dxa"/>
                  <w:tcBorders>
                    <w:top w:val="nil"/>
                    <w:left w:val="nil"/>
                    <w:bottom w:val="single" w:color="auto" w:sz="4" w:space="0"/>
                    <w:right w:val="single" w:color="auto" w:sz="4" w:space="0"/>
                  </w:tcBorders>
                </w:tcPr>
                <w:p w:rsidR="00BE764E" w:rsidP="00BE764E" w:rsidRDefault="00BE764E" w14:paraId="21C90C11" w14:textId="46B71727">
                  <w:pPr>
                    <w:rPr>
                      <w:color w:val="000000"/>
                    </w:rPr>
                  </w:pPr>
                  <w:r>
                    <w:rPr>
                      <w:color w:val="000000"/>
                    </w:rPr>
                    <w:t>Work related to evaluating SDG&amp;E's Rev</w:t>
                  </w:r>
                  <w:r w:rsidR="00D33A9B">
                    <w:rPr>
                      <w:color w:val="000000"/>
                    </w:rPr>
                    <w:t>enue</w:t>
                  </w:r>
                  <w:r>
                    <w:rPr>
                      <w:color w:val="000000"/>
                    </w:rPr>
                    <w:t xml:space="preserve"> Allocation proposals and other party testimonies and researching and drafting TURN's testimony and rebuttal testimony addressing this issue</w:t>
                  </w:r>
                </w:p>
              </w:tc>
              <w:tc>
                <w:tcPr>
                  <w:tcW w:w="2491" w:type="dxa"/>
                  <w:tcBorders>
                    <w:top w:val="nil"/>
                    <w:left w:val="nil"/>
                    <w:bottom w:val="single" w:color="auto" w:sz="4" w:space="0"/>
                    <w:right w:val="single" w:color="auto" w:sz="4" w:space="0"/>
                  </w:tcBorders>
                  <w:vAlign w:val="bottom"/>
                </w:tcPr>
                <w:p w:rsidRPr="009C65CA" w:rsidR="00BE764E" w:rsidP="00BE764E" w:rsidRDefault="00BE764E" w14:paraId="38E0B401" w14:textId="5DEEA15B">
                  <w:pPr>
                    <w:jc w:val="center"/>
                    <w:rPr>
                      <w:color w:val="000000"/>
                    </w:rPr>
                  </w:pPr>
                  <w:r>
                    <w:rPr>
                      <w:color w:val="000000"/>
                    </w:rPr>
                    <w:t>6.25%</w:t>
                  </w:r>
                </w:p>
              </w:tc>
            </w:tr>
            <w:tr w:rsidR="00BE764E" w:rsidTr="009030AE" w14:paraId="7CA06F06" w14:textId="77777777">
              <w:trPr>
                <w:trHeight w:val="624"/>
              </w:trPr>
              <w:tc>
                <w:tcPr>
                  <w:tcW w:w="1596" w:type="dxa"/>
                  <w:tcBorders>
                    <w:top w:val="nil"/>
                    <w:left w:val="single" w:color="auto" w:sz="4" w:space="0"/>
                    <w:bottom w:val="single" w:color="auto" w:sz="4" w:space="0"/>
                    <w:right w:val="single" w:color="auto" w:sz="4" w:space="0"/>
                  </w:tcBorders>
                  <w:vAlign w:val="center"/>
                </w:tcPr>
                <w:p w:rsidR="00BE764E" w:rsidP="00BE764E" w:rsidRDefault="00BE764E" w14:paraId="2503B7E9" w14:textId="26B118D8">
                  <w:pPr>
                    <w:jc w:val="center"/>
                    <w:rPr>
                      <w:color w:val="000000"/>
                    </w:rPr>
                  </w:pPr>
                  <w:r>
                    <w:t>RD</w:t>
                  </w:r>
                </w:p>
              </w:tc>
              <w:tc>
                <w:tcPr>
                  <w:tcW w:w="3693" w:type="dxa"/>
                  <w:tcBorders>
                    <w:top w:val="nil"/>
                    <w:left w:val="nil"/>
                    <w:bottom w:val="single" w:color="auto" w:sz="4" w:space="0"/>
                    <w:right w:val="single" w:color="auto" w:sz="4" w:space="0"/>
                  </w:tcBorders>
                </w:tcPr>
                <w:p w:rsidR="00BE764E" w:rsidP="00BE764E" w:rsidRDefault="00BE764E" w14:paraId="1AB31A9F" w14:textId="5AFEC6D8">
                  <w:pPr>
                    <w:rPr>
                      <w:color w:val="000000"/>
                    </w:rPr>
                  </w:pPr>
                  <w:r>
                    <w:rPr>
                      <w:color w:val="000000"/>
                    </w:rPr>
                    <w:t>Work related to evaluating SDG&amp;E's testimony regarding rate design, including TOU differential changes and its schedule VGI and public GIR rate design change proposal, reviewing other parties' testimonies on these issues and researching and drafting TURN's testimony and rebuttal testimony addressing these issues</w:t>
                  </w:r>
                </w:p>
              </w:tc>
              <w:tc>
                <w:tcPr>
                  <w:tcW w:w="2491" w:type="dxa"/>
                  <w:tcBorders>
                    <w:top w:val="nil"/>
                    <w:left w:val="nil"/>
                    <w:bottom w:val="single" w:color="auto" w:sz="4" w:space="0"/>
                    <w:right w:val="single" w:color="auto" w:sz="4" w:space="0"/>
                  </w:tcBorders>
                  <w:vAlign w:val="bottom"/>
                </w:tcPr>
                <w:p w:rsidRPr="009C65CA" w:rsidR="00BE764E" w:rsidP="00BE764E" w:rsidRDefault="00BE764E" w14:paraId="64110958" w14:textId="377A654E">
                  <w:pPr>
                    <w:jc w:val="center"/>
                    <w:rPr>
                      <w:color w:val="000000"/>
                    </w:rPr>
                  </w:pPr>
                  <w:r>
                    <w:rPr>
                      <w:color w:val="000000"/>
                    </w:rPr>
                    <w:t>1.99%</w:t>
                  </w:r>
                </w:p>
              </w:tc>
            </w:tr>
            <w:tr w:rsidR="00BE764E" w:rsidTr="009030AE" w14:paraId="4CE33A7E" w14:textId="77777777">
              <w:trPr>
                <w:trHeight w:val="624"/>
              </w:trPr>
              <w:tc>
                <w:tcPr>
                  <w:tcW w:w="1596" w:type="dxa"/>
                  <w:tcBorders>
                    <w:top w:val="nil"/>
                    <w:left w:val="single" w:color="auto" w:sz="4" w:space="0"/>
                    <w:bottom w:val="single" w:color="auto" w:sz="4" w:space="0"/>
                    <w:right w:val="single" w:color="auto" w:sz="4" w:space="0"/>
                  </w:tcBorders>
                  <w:vAlign w:val="center"/>
                </w:tcPr>
                <w:p w:rsidR="00BE764E" w:rsidP="00BE764E" w:rsidRDefault="00BE764E" w14:paraId="408E3F75" w14:textId="6D8D30FB">
                  <w:pPr>
                    <w:jc w:val="center"/>
                    <w:rPr>
                      <w:color w:val="000000"/>
                    </w:rPr>
                  </w:pPr>
                  <w:r>
                    <w:t>Sett</w:t>
                  </w:r>
                </w:p>
              </w:tc>
              <w:tc>
                <w:tcPr>
                  <w:tcW w:w="3693" w:type="dxa"/>
                  <w:tcBorders>
                    <w:top w:val="nil"/>
                    <w:left w:val="nil"/>
                    <w:bottom w:val="single" w:color="auto" w:sz="4" w:space="0"/>
                    <w:right w:val="single" w:color="auto" w:sz="4" w:space="0"/>
                  </w:tcBorders>
                </w:tcPr>
                <w:p w:rsidR="00BE764E" w:rsidP="00BE764E" w:rsidRDefault="00D33A9B" w14:paraId="2C253AB4" w14:textId="7D21863C">
                  <w:pPr>
                    <w:rPr>
                      <w:color w:val="000000"/>
                    </w:rPr>
                  </w:pPr>
                  <w:r>
                    <w:rPr>
                      <w:color w:val="000000"/>
                    </w:rPr>
                    <w:t>G</w:t>
                  </w:r>
                  <w:r w:rsidR="00BE764E">
                    <w:rPr>
                      <w:color w:val="000000"/>
                    </w:rPr>
                    <w:t xml:space="preserve">eneral work on the settlement including participating in initial settlement meetings before the need for separate issue specific </w:t>
                  </w:r>
                  <w:r w:rsidR="00BE764E">
                    <w:rPr>
                      <w:color w:val="000000"/>
                    </w:rPr>
                    <w:lastRenderedPageBreak/>
                    <w:t>settlements</w:t>
                  </w:r>
                  <w:r>
                    <w:rPr>
                      <w:color w:val="000000"/>
                    </w:rPr>
                    <w:t xml:space="preserve"> </w:t>
                  </w:r>
                  <w:r w:rsidR="00BE764E">
                    <w:rPr>
                      <w:color w:val="000000"/>
                    </w:rPr>
                    <w:t>became evident, settlement meetings addressing multiple issues, participation in the settlement conference and reviewing &amp; revising joint settlement filings</w:t>
                  </w:r>
                  <w:r>
                    <w:rPr>
                      <w:color w:val="000000"/>
                    </w:rPr>
                    <w:t>,</w:t>
                  </w:r>
                  <w:r w:rsidR="00BE764E">
                    <w:rPr>
                      <w:color w:val="000000"/>
                    </w:rPr>
                    <w:t xml:space="preserve"> not specifically related to certain issues</w:t>
                  </w:r>
                </w:p>
              </w:tc>
              <w:tc>
                <w:tcPr>
                  <w:tcW w:w="2491" w:type="dxa"/>
                  <w:tcBorders>
                    <w:top w:val="nil"/>
                    <w:left w:val="nil"/>
                    <w:bottom w:val="single" w:color="auto" w:sz="4" w:space="0"/>
                    <w:right w:val="single" w:color="auto" w:sz="4" w:space="0"/>
                  </w:tcBorders>
                  <w:vAlign w:val="bottom"/>
                </w:tcPr>
                <w:p w:rsidRPr="009C65CA" w:rsidR="00BE764E" w:rsidP="00BE764E" w:rsidRDefault="00BE764E" w14:paraId="2B49E502" w14:textId="1092FB3B">
                  <w:pPr>
                    <w:jc w:val="center"/>
                    <w:rPr>
                      <w:color w:val="000000"/>
                    </w:rPr>
                  </w:pPr>
                  <w:r>
                    <w:rPr>
                      <w:color w:val="000000"/>
                    </w:rPr>
                    <w:lastRenderedPageBreak/>
                    <w:t>8.08%</w:t>
                  </w:r>
                </w:p>
              </w:tc>
            </w:tr>
            <w:tr w:rsidR="00BE764E" w:rsidTr="009030AE" w14:paraId="619FBCCA" w14:textId="77777777">
              <w:trPr>
                <w:trHeight w:val="624"/>
              </w:trPr>
              <w:tc>
                <w:tcPr>
                  <w:tcW w:w="1596" w:type="dxa"/>
                  <w:tcBorders>
                    <w:top w:val="nil"/>
                    <w:left w:val="single" w:color="auto" w:sz="4" w:space="0"/>
                    <w:bottom w:val="single" w:color="auto" w:sz="4" w:space="0"/>
                    <w:right w:val="single" w:color="auto" w:sz="4" w:space="0"/>
                  </w:tcBorders>
                  <w:vAlign w:val="center"/>
                </w:tcPr>
                <w:p w:rsidR="00BE764E" w:rsidP="00BE764E" w:rsidRDefault="00BE764E" w14:paraId="06D566F3" w14:textId="71BCAFA4">
                  <w:pPr>
                    <w:jc w:val="center"/>
                    <w:rPr>
                      <w:color w:val="000000"/>
                    </w:rPr>
                  </w:pPr>
                  <w:r>
                    <w:t>Sett (RD)</w:t>
                  </w:r>
                </w:p>
              </w:tc>
              <w:tc>
                <w:tcPr>
                  <w:tcW w:w="3693" w:type="dxa"/>
                  <w:tcBorders>
                    <w:top w:val="nil"/>
                    <w:left w:val="nil"/>
                    <w:bottom w:val="single" w:color="auto" w:sz="4" w:space="0"/>
                    <w:right w:val="single" w:color="auto" w:sz="4" w:space="0"/>
                  </w:tcBorders>
                </w:tcPr>
                <w:p w:rsidR="00BE764E" w:rsidP="00BE764E" w:rsidRDefault="00705AB0" w14:paraId="43DB3BF0" w14:textId="7F67CE94">
                  <w:pPr>
                    <w:rPr>
                      <w:color w:val="000000"/>
                    </w:rPr>
                  </w:pPr>
                  <w:r>
                    <w:rPr>
                      <w:color w:val="000000"/>
                    </w:rPr>
                    <w:t>W</w:t>
                  </w:r>
                  <w:r w:rsidR="00BE764E">
                    <w:rPr>
                      <w:color w:val="000000"/>
                    </w:rPr>
                    <w:t xml:space="preserve">ork on the partial settlement regarding rate design issues and </w:t>
                  </w:r>
                  <w:r>
                    <w:rPr>
                      <w:color w:val="000000"/>
                    </w:rPr>
                    <w:t xml:space="preserve">drafting </w:t>
                  </w:r>
                  <w:r w:rsidR="00BE764E">
                    <w:rPr>
                      <w:color w:val="000000"/>
                    </w:rPr>
                    <w:t>reply comments on the settlement</w:t>
                  </w:r>
                </w:p>
              </w:tc>
              <w:tc>
                <w:tcPr>
                  <w:tcW w:w="2491" w:type="dxa"/>
                  <w:tcBorders>
                    <w:top w:val="nil"/>
                    <w:left w:val="nil"/>
                    <w:bottom w:val="single" w:color="auto" w:sz="4" w:space="0"/>
                    <w:right w:val="single" w:color="auto" w:sz="4" w:space="0"/>
                  </w:tcBorders>
                  <w:vAlign w:val="bottom"/>
                </w:tcPr>
                <w:p w:rsidRPr="009C65CA" w:rsidR="00BE764E" w:rsidP="00BE764E" w:rsidRDefault="00BE764E" w14:paraId="4C9740DA" w14:textId="366BDEDF">
                  <w:pPr>
                    <w:jc w:val="center"/>
                    <w:rPr>
                      <w:color w:val="000000"/>
                    </w:rPr>
                  </w:pPr>
                  <w:r>
                    <w:rPr>
                      <w:color w:val="000000"/>
                    </w:rPr>
                    <w:t>1.39%</w:t>
                  </w:r>
                </w:p>
              </w:tc>
            </w:tr>
            <w:tr w:rsidR="00BE764E" w:rsidTr="009030AE" w14:paraId="311804D7" w14:textId="77777777">
              <w:trPr>
                <w:trHeight w:val="624"/>
              </w:trPr>
              <w:tc>
                <w:tcPr>
                  <w:tcW w:w="1596" w:type="dxa"/>
                  <w:tcBorders>
                    <w:top w:val="nil"/>
                    <w:left w:val="single" w:color="auto" w:sz="4" w:space="0"/>
                    <w:bottom w:val="single" w:color="auto" w:sz="4" w:space="0"/>
                    <w:right w:val="single" w:color="auto" w:sz="4" w:space="0"/>
                  </w:tcBorders>
                  <w:vAlign w:val="center"/>
                </w:tcPr>
                <w:p w:rsidR="00BE764E" w:rsidP="00BE764E" w:rsidRDefault="00BE764E" w14:paraId="55F6B773" w14:textId="6351D951">
                  <w:pPr>
                    <w:jc w:val="center"/>
                    <w:rPr>
                      <w:color w:val="000000"/>
                    </w:rPr>
                  </w:pPr>
                  <w:r>
                    <w:t>Sett (MB)</w:t>
                  </w:r>
                </w:p>
              </w:tc>
              <w:tc>
                <w:tcPr>
                  <w:tcW w:w="3693" w:type="dxa"/>
                  <w:tcBorders>
                    <w:top w:val="nil"/>
                    <w:left w:val="nil"/>
                    <w:bottom w:val="single" w:color="auto" w:sz="4" w:space="0"/>
                    <w:right w:val="single" w:color="auto" w:sz="4" w:space="0"/>
                  </w:tcBorders>
                </w:tcPr>
                <w:p w:rsidR="00BE764E" w:rsidP="00BE764E" w:rsidRDefault="00705AB0" w14:paraId="74E8A299" w14:textId="37D24D88">
                  <w:pPr>
                    <w:rPr>
                      <w:color w:val="000000"/>
                    </w:rPr>
                  </w:pPr>
                  <w:r>
                    <w:rPr>
                      <w:color w:val="000000"/>
                    </w:rPr>
                    <w:t>W</w:t>
                  </w:r>
                  <w:r w:rsidR="00BE764E">
                    <w:rPr>
                      <w:color w:val="000000"/>
                    </w:rPr>
                    <w:t xml:space="preserve">ork on the medical baseline partial settlement and </w:t>
                  </w:r>
                  <w:r>
                    <w:rPr>
                      <w:color w:val="000000"/>
                    </w:rPr>
                    <w:t>drafting j</w:t>
                  </w:r>
                  <w:r w:rsidR="00BE764E">
                    <w:rPr>
                      <w:color w:val="000000"/>
                    </w:rPr>
                    <w:t>oint reply comments on the settlement</w:t>
                  </w:r>
                </w:p>
              </w:tc>
              <w:tc>
                <w:tcPr>
                  <w:tcW w:w="2491" w:type="dxa"/>
                  <w:tcBorders>
                    <w:top w:val="nil"/>
                    <w:left w:val="nil"/>
                    <w:bottom w:val="single" w:color="auto" w:sz="4" w:space="0"/>
                    <w:right w:val="single" w:color="auto" w:sz="4" w:space="0"/>
                  </w:tcBorders>
                  <w:vAlign w:val="bottom"/>
                </w:tcPr>
                <w:p w:rsidRPr="009C65CA" w:rsidR="00BE764E" w:rsidP="00BE764E" w:rsidRDefault="00BE764E" w14:paraId="1BB2B009" w14:textId="79D2199F">
                  <w:pPr>
                    <w:jc w:val="center"/>
                    <w:rPr>
                      <w:color w:val="000000"/>
                    </w:rPr>
                  </w:pPr>
                  <w:r>
                    <w:rPr>
                      <w:color w:val="000000"/>
                    </w:rPr>
                    <w:t>6.14%</w:t>
                  </w:r>
                </w:p>
              </w:tc>
            </w:tr>
            <w:tr w:rsidR="00BE764E" w:rsidTr="009030AE" w14:paraId="42D20DA5" w14:textId="77777777">
              <w:trPr>
                <w:trHeight w:val="624"/>
              </w:trPr>
              <w:tc>
                <w:tcPr>
                  <w:tcW w:w="1596" w:type="dxa"/>
                  <w:tcBorders>
                    <w:top w:val="nil"/>
                    <w:left w:val="single" w:color="auto" w:sz="4" w:space="0"/>
                    <w:bottom w:val="single" w:color="auto" w:sz="4" w:space="0"/>
                    <w:right w:val="single" w:color="auto" w:sz="4" w:space="0"/>
                  </w:tcBorders>
                  <w:vAlign w:val="center"/>
                </w:tcPr>
                <w:p w:rsidR="00BE764E" w:rsidP="00BE764E" w:rsidRDefault="00BE764E" w14:paraId="7AB34272" w14:textId="0C2DD26A">
                  <w:pPr>
                    <w:jc w:val="center"/>
                    <w:rPr>
                      <w:color w:val="000000"/>
                    </w:rPr>
                  </w:pPr>
                  <w:r>
                    <w:t>Sett (MC)</w:t>
                  </w:r>
                </w:p>
              </w:tc>
              <w:tc>
                <w:tcPr>
                  <w:tcW w:w="3693" w:type="dxa"/>
                  <w:tcBorders>
                    <w:top w:val="nil"/>
                    <w:left w:val="nil"/>
                    <w:bottom w:val="single" w:color="auto" w:sz="4" w:space="0"/>
                    <w:right w:val="single" w:color="auto" w:sz="4" w:space="0"/>
                  </w:tcBorders>
                </w:tcPr>
                <w:p w:rsidR="00BE764E" w:rsidP="00BE764E" w:rsidRDefault="00705AB0" w14:paraId="4A091277" w14:textId="5CF08CDE">
                  <w:pPr>
                    <w:rPr>
                      <w:color w:val="000000"/>
                    </w:rPr>
                  </w:pPr>
                  <w:r>
                    <w:rPr>
                      <w:color w:val="000000"/>
                    </w:rPr>
                    <w:t>Ge</w:t>
                  </w:r>
                  <w:r w:rsidR="00BE764E">
                    <w:rPr>
                      <w:color w:val="000000"/>
                    </w:rPr>
                    <w:t>neral work on all Marg. Cost settlement issues, including  Marginal Dist. Demand Costs, Marginal commodity costs &amp; Marginal Dist. Customer Costs and</w:t>
                  </w:r>
                  <w:r>
                    <w:rPr>
                      <w:color w:val="000000"/>
                    </w:rPr>
                    <w:t xml:space="preserve"> drafting</w:t>
                  </w:r>
                  <w:r w:rsidR="00BE764E">
                    <w:rPr>
                      <w:color w:val="000000"/>
                    </w:rPr>
                    <w:t xml:space="preserve"> </w:t>
                  </w:r>
                  <w:r>
                    <w:rPr>
                      <w:color w:val="000000"/>
                    </w:rPr>
                    <w:t xml:space="preserve">joint </w:t>
                  </w:r>
                  <w:r w:rsidR="00BE764E">
                    <w:rPr>
                      <w:color w:val="000000"/>
                    </w:rPr>
                    <w:t>reply comments on the settlement</w:t>
                  </w:r>
                </w:p>
              </w:tc>
              <w:tc>
                <w:tcPr>
                  <w:tcW w:w="2491" w:type="dxa"/>
                  <w:tcBorders>
                    <w:top w:val="nil"/>
                    <w:left w:val="nil"/>
                    <w:bottom w:val="single" w:color="auto" w:sz="4" w:space="0"/>
                    <w:right w:val="single" w:color="auto" w:sz="4" w:space="0"/>
                  </w:tcBorders>
                  <w:vAlign w:val="bottom"/>
                </w:tcPr>
                <w:p w:rsidRPr="009C65CA" w:rsidR="00BE764E" w:rsidP="00BE764E" w:rsidRDefault="00BE764E" w14:paraId="59162D3B" w14:textId="0C227349">
                  <w:pPr>
                    <w:jc w:val="center"/>
                    <w:rPr>
                      <w:color w:val="000000"/>
                    </w:rPr>
                  </w:pPr>
                  <w:r>
                    <w:rPr>
                      <w:color w:val="000000"/>
                    </w:rPr>
                    <w:t>3.5</w:t>
                  </w:r>
                  <w:r w:rsidR="005A4081">
                    <w:rPr>
                      <w:color w:val="000000"/>
                    </w:rPr>
                    <w:t>8</w:t>
                  </w:r>
                  <w:r>
                    <w:rPr>
                      <w:color w:val="000000"/>
                    </w:rPr>
                    <w:t>%</w:t>
                  </w:r>
                </w:p>
              </w:tc>
            </w:tr>
            <w:tr w:rsidR="00BE764E" w:rsidTr="009030AE" w14:paraId="4376DFBA" w14:textId="77777777">
              <w:trPr>
                <w:trHeight w:val="624"/>
              </w:trPr>
              <w:tc>
                <w:tcPr>
                  <w:tcW w:w="1596" w:type="dxa"/>
                  <w:tcBorders>
                    <w:top w:val="nil"/>
                    <w:left w:val="single" w:color="auto" w:sz="4" w:space="0"/>
                    <w:bottom w:val="single" w:color="auto" w:sz="4" w:space="0"/>
                    <w:right w:val="single" w:color="auto" w:sz="4" w:space="0"/>
                  </w:tcBorders>
                  <w:vAlign w:val="center"/>
                  <w:hideMark/>
                </w:tcPr>
                <w:p w:rsidR="00BE764E" w:rsidP="00BE764E" w:rsidRDefault="00BE764E" w14:paraId="68077624" w14:textId="086647B1">
                  <w:pPr>
                    <w:jc w:val="center"/>
                    <w:rPr>
                      <w:color w:val="000000"/>
                    </w:rPr>
                  </w:pPr>
                  <w:r>
                    <w:t>Sett (RA)</w:t>
                  </w:r>
                </w:p>
              </w:tc>
              <w:tc>
                <w:tcPr>
                  <w:tcW w:w="3693" w:type="dxa"/>
                  <w:tcBorders>
                    <w:top w:val="nil"/>
                    <w:left w:val="nil"/>
                    <w:bottom w:val="single" w:color="auto" w:sz="4" w:space="0"/>
                    <w:right w:val="single" w:color="auto" w:sz="4" w:space="0"/>
                  </w:tcBorders>
                  <w:hideMark/>
                </w:tcPr>
                <w:p w:rsidR="00BE764E" w:rsidP="00BE764E" w:rsidRDefault="00705AB0" w14:paraId="014C34AC" w14:textId="2F38C616">
                  <w:pPr>
                    <w:rPr>
                      <w:color w:val="000000"/>
                    </w:rPr>
                  </w:pPr>
                  <w:r>
                    <w:rPr>
                      <w:color w:val="000000"/>
                    </w:rPr>
                    <w:t>Wo</w:t>
                  </w:r>
                  <w:r w:rsidR="00BE764E">
                    <w:rPr>
                      <w:color w:val="000000"/>
                    </w:rPr>
                    <w:t>rk on the partial settlement regarding rev. allocation, including the allocation of wildfire mitigation costs</w:t>
                  </w:r>
                  <w:r>
                    <w:rPr>
                      <w:color w:val="000000"/>
                    </w:rPr>
                    <w:t>,</w:t>
                  </w:r>
                  <w:r w:rsidR="00BE764E">
                    <w:rPr>
                      <w:color w:val="000000"/>
                    </w:rPr>
                    <w:t xml:space="preserve"> and</w:t>
                  </w:r>
                  <w:r>
                    <w:rPr>
                      <w:color w:val="000000"/>
                    </w:rPr>
                    <w:t xml:space="preserve"> drafting</w:t>
                  </w:r>
                  <w:r w:rsidR="00BE764E">
                    <w:rPr>
                      <w:color w:val="000000"/>
                    </w:rPr>
                    <w:t xml:space="preserve"> reply comments on the settlement</w:t>
                  </w:r>
                </w:p>
              </w:tc>
              <w:tc>
                <w:tcPr>
                  <w:tcW w:w="2491" w:type="dxa"/>
                  <w:tcBorders>
                    <w:top w:val="nil"/>
                    <w:left w:val="nil"/>
                    <w:bottom w:val="single" w:color="auto" w:sz="4" w:space="0"/>
                    <w:right w:val="single" w:color="auto" w:sz="4" w:space="0"/>
                  </w:tcBorders>
                  <w:vAlign w:val="bottom"/>
                  <w:hideMark/>
                </w:tcPr>
                <w:p w:rsidRPr="009C65CA" w:rsidR="00BE764E" w:rsidP="00BE764E" w:rsidRDefault="00BE764E" w14:paraId="638D6C0B" w14:textId="2B3ED877">
                  <w:pPr>
                    <w:jc w:val="center"/>
                    <w:rPr>
                      <w:color w:val="000000"/>
                    </w:rPr>
                  </w:pPr>
                  <w:r>
                    <w:rPr>
                      <w:color w:val="000000"/>
                    </w:rPr>
                    <w:t>8.40%</w:t>
                  </w:r>
                </w:p>
              </w:tc>
            </w:tr>
          </w:tbl>
          <w:p w:rsidRPr="007F3D00" w:rsidR="00B80E2F" w:rsidP="00A47EB7" w:rsidRDefault="00B80E2F" w14:paraId="6BF54B09" w14:textId="77777777">
            <w:pPr>
              <w:tabs>
                <w:tab w:val="left" w:pos="1260"/>
              </w:tabs>
              <w:spacing w:before="120"/>
              <w:rPr>
                <w:color w:val="000000"/>
              </w:rPr>
            </w:pPr>
          </w:p>
        </w:tc>
        <w:tc>
          <w:tcPr>
            <w:tcW w:w="1867" w:type="dxa"/>
          </w:tcPr>
          <w:p w:rsidRPr="007F3D00" w:rsidR="00B80E2F" w:rsidP="00A47EB7" w:rsidRDefault="00EC79F7" w14:paraId="3C4C8524" w14:textId="18AECA7B">
            <w:pPr>
              <w:spacing w:before="120"/>
              <w:rPr>
                <w:color w:val="000000"/>
              </w:rPr>
            </w:pPr>
            <w:r>
              <w:rPr>
                <w:color w:val="000000"/>
              </w:rPr>
              <w:lastRenderedPageBreak/>
              <w:t xml:space="preserve">Noted, totals </w:t>
            </w:r>
            <w:r w:rsidR="00AF57F6">
              <w:rPr>
                <w:color w:val="000000"/>
              </w:rPr>
              <w:t>100%</w:t>
            </w:r>
          </w:p>
        </w:tc>
      </w:tr>
    </w:tbl>
    <w:p w:rsidR="00625B30" w:rsidP="000E59DC" w:rsidRDefault="00625B30" w14:paraId="49CCDC12" w14:textId="77777777">
      <w:pPr>
        <w:contextualSpacing/>
      </w:pPr>
    </w:p>
    <w:p w:rsidRPr="00625B30" w:rsidR="00625B30" w:rsidP="00AB2F28" w:rsidRDefault="00625B30" w14:paraId="3E08D4A7" w14:textId="13495D3D">
      <w:pPr>
        <w:pStyle w:val="ListParagraph"/>
        <w:keepNext/>
        <w:numPr>
          <w:ilvl w:val="0"/>
          <w:numId w:val="7"/>
        </w:numPr>
        <w:spacing w:before="120" w:after="240"/>
        <w:rPr>
          <w:b/>
          <w:color w:val="000000"/>
        </w:rPr>
      </w:pPr>
      <w:r w:rsidRPr="00625B30">
        <w:rPr>
          <w:b/>
          <w:color w:val="000000"/>
        </w:rPr>
        <w:t>Specific Claim:*</w:t>
      </w:r>
    </w:p>
    <w:tbl>
      <w:tblPr>
        <w:tblW w:w="11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45"/>
        <w:gridCol w:w="965"/>
        <w:gridCol w:w="382"/>
        <w:gridCol w:w="543"/>
        <w:gridCol w:w="1080"/>
        <w:gridCol w:w="286"/>
        <w:gridCol w:w="1154"/>
        <w:gridCol w:w="1137"/>
        <w:gridCol w:w="286"/>
        <w:gridCol w:w="955"/>
        <w:gridCol w:w="1146"/>
        <w:gridCol w:w="1881"/>
      </w:tblGrid>
      <w:tr w:rsidRPr="007F620E" w:rsidR="00625B30" w:rsidTr="00A47EB7" w14:paraId="492CE97E" w14:textId="77777777">
        <w:trPr>
          <w:tblHeader/>
          <w:jc w:val="center"/>
        </w:trPr>
        <w:tc>
          <w:tcPr>
            <w:tcW w:w="7178" w:type="dxa"/>
            <w:gridSpan w:val="9"/>
            <w:tcBorders>
              <w:bottom w:val="single" w:color="auto" w:sz="4" w:space="0"/>
              <w:right w:val="single" w:color="auto" w:sz="24" w:space="0"/>
            </w:tcBorders>
          </w:tcPr>
          <w:p w:rsidRPr="007F620E" w:rsidR="00625B30" w:rsidP="00625B30" w:rsidRDefault="00625B30" w14:paraId="09235B0D" w14:textId="77777777">
            <w:pPr>
              <w:keepNext/>
              <w:keepLines/>
              <w:spacing w:before="60" w:after="60"/>
              <w:jc w:val="center"/>
              <w:rPr>
                <w:b/>
                <w:smallCaps/>
                <w:color w:val="000000"/>
              </w:rPr>
            </w:pPr>
            <w:r w:rsidRPr="007F620E">
              <w:rPr>
                <w:b/>
                <w:smallCaps/>
                <w:color w:val="000000"/>
              </w:rPr>
              <w:t>Claimed</w:t>
            </w:r>
          </w:p>
        </w:tc>
        <w:tc>
          <w:tcPr>
            <w:tcW w:w="3982" w:type="dxa"/>
            <w:gridSpan w:val="3"/>
            <w:tcBorders>
              <w:left w:val="single" w:color="auto" w:sz="24" w:space="0"/>
              <w:bottom w:val="single" w:color="auto" w:sz="4" w:space="0"/>
            </w:tcBorders>
          </w:tcPr>
          <w:p w:rsidRPr="007F620E" w:rsidR="00625B30" w:rsidP="00625B30" w:rsidRDefault="00625B30" w14:paraId="2C68BD24" w14:textId="77777777">
            <w:pPr>
              <w:keepNext/>
              <w:keepLines/>
              <w:spacing w:before="60" w:after="60"/>
              <w:jc w:val="center"/>
              <w:rPr>
                <w:b/>
                <w:smallCaps/>
                <w:color w:val="000000"/>
              </w:rPr>
            </w:pPr>
            <w:r w:rsidRPr="007F620E">
              <w:rPr>
                <w:b/>
                <w:smallCaps/>
                <w:color w:val="000000"/>
              </w:rPr>
              <w:t>CPUC Award</w:t>
            </w:r>
          </w:p>
        </w:tc>
      </w:tr>
      <w:tr w:rsidRPr="007F620E" w:rsidR="00625B30" w:rsidTr="00A47EB7" w14:paraId="1C6AD318"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E6E6E6"/>
          </w:tcPr>
          <w:p w:rsidRPr="007F620E" w:rsidR="00625B30" w:rsidP="00625B30" w:rsidRDefault="00625B30" w14:paraId="5B065153" w14:textId="77777777">
            <w:pPr>
              <w:keepNext/>
              <w:keepLines/>
              <w:spacing w:before="60" w:after="60"/>
              <w:jc w:val="center"/>
              <w:rPr>
                <w:b/>
              </w:rPr>
            </w:pPr>
            <w:r w:rsidRPr="007F620E">
              <w:rPr>
                <w:b/>
              </w:rPr>
              <w:t>ATTORNEY, EXPERT, AND ADVOCATE FEES</w:t>
            </w:r>
          </w:p>
        </w:tc>
      </w:tr>
      <w:tr w:rsidRPr="00260518" w:rsidR="00625B30" w:rsidTr="001D366B" w14:paraId="7383E4C0" w14:textId="77777777">
        <w:trPr>
          <w:jc w:val="center"/>
        </w:trPr>
        <w:tc>
          <w:tcPr>
            <w:tcW w:w="1345" w:type="dxa"/>
            <w:tcBorders>
              <w:top w:val="single" w:color="auto" w:sz="4" w:space="0"/>
              <w:bottom w:val="single" w:color="auto" w:sz="4" w:space="0"/>
            </w:tcBorders>
            <w:vAlign w:val="bottom"/>
          </w:tcPr>
          <w:p w:rsidRPr="00260518" w:rsidR="00625B30" w:rsidP="00625B30" w:rsidRDefault="00625B30" w14:paraId="4930EF73" w14:textId="77777777">
            <w:pPr>
              <w:keepNext/>
              <w:keepLines/>
              <w:spacing w:before="60" w:after="60"/>
              <w:jc w:val="center"/>
              <w:rPr>
                <w:b/>
                <w:color w:val="000000"/>
                <w:sz w:val="22"/>
                <w:szCs w:val="22"/>
              </w:rPr>
            </w:pPr>
            <w:r w:rsidRPr="00260518">
              <w:rPr>
                <w:b/>
                <w:color w:val="000000"/>
                <w:sz w:val="22"/>
                <w:szCs w:val="22"/>
              </w:rPr>
              <w:t>Item</w:t>
            </w:r>
          </w:p>
        </w:tc>
        <w:tc>
          <w:tcPr>
            <w:tcW w:w="965" w:type="dxa"/>
            <w:tcBorders>
              <w:top w:val="single" w:color="auto" w:sz="4" w:space="0"/>
              <w:bottom w:val="single" w:color="auto" w:sz="4" w:space="0"/>
            </w:tcBorders>
            <w:vAlign w:val="bottom"/>
          </w:tcPr>
          <w:p w:rsidRPr="00260518" w:rsidR="00625B30" w:rsidP="00625B30" w:rsidRDefault="00625B30" w14:paraId="755EDD4D" w14:textId="77777777">
            <w:pPr>
              <w:keepNext/>
              <w:keepLines/>
              <w:spacing w:before="60" w:after="60"/>
              <w:jc w:val="center"/>
              <w:rPr>
                <w:b/>
                <w:color w:val="000000"/>
                <w:sz w:val="22"/>
                <w:szCs w:val="22"/>
              </w:rPr>
            </w:pPr>
            <w:r w:rsidRPr="00260518">
              <w:rPr>
                <w:b/>
                <w:color w:val="000000"/>
                <w:sz w:val="22"/>
                <w:szCs w:val="22"/>
              </w:rPr>
              <w:t>Year</w:t>
            </w:r>
          </w:p>
        </w:tc>
        <w:tc>
          <w:tcPr>
            <w:tcW w:w="925" w:type="dxa"/>
            <w:gridSpan w:val="2"/>
            <w:tcBorders>
              <w:top w:val="single" w:color="auto" w:sz="4" w:space="0"/>
              <w:bottom w:val="single" w:color="auto" w:sz="4" w:space="0"/>
            </w:tcBorders>
            <w:vAlign w:val="bottom"/>
          </w:tcPr>
          <w:p w:rsidRPr="00260518" w:rsidR="00625B30" w:rsidP="00625B30" w:rsidRDefault="00625B30" w14:paraId="535CBA99" w14:textId="77777777">
            <w:pPr>
              <w:keepNext/>
              <w:keepLines/>
              <w:spacing w:before="60" w:after="60"/>
              <w:jc w:val="center"/>
              <w:rPr>
                <w:b/>
                <w:color w:val="000000"/>
                <w:sz w:val="22"/>
                <w:szCs w:val="22"/>
              </w:rPr>
            </w:pPr>
            <w:r w:rsidRPr="00260518">
              <w:rPr>
                <w:b/>
                <w:color w:val="000000"/>
                <w:sz w:val="22"/>
                <w:szCs w:val="22"/>
              </w:rPr>
              <w:t>Hours</w:t>
            </w:r>
          </w:p>
        </w:tc>
        <w:tc>
          <w:tcPr>
            <w:tcW w:w="1080" w:type="dxa"/>
            <w:tcBorders>
              <w:top w:val="single" w:color="auto" w:sz="4" w:space="0"/>
              <w:bottom w:val="single" w:color="auto" w:sz="4" w:space="0"/>
            </w:tcBorders>
            <w:vAlign w:val="bottom"/>
          </w:tcPr>
          <w:p w:rsidRPr="00260518" w:rsidR="00625B30" w:rsidP="00625B30" w:rsidRDefault="00625B30" w14:paraId="276F6184" w14:textId="77777777">
            <w:pPr>
              <w:keepNext/>
              <w:keepLines/>
              <w:spacing w:before="60" w:after="60"/>
              <w:jc w:val="center"/>
              <w:rPr>
                <w:b/>
                <w:color w:val="000000"/>
                <w:sz w:val="22"/>
                <w:szCs w:val="22"/>
              </w:rPr>
            </w:pPr>
            <w:r w:rsidRPr="00260518">
              <w:rPr>
                <w:b/>
                <w:color w:val="000000"/>
                <w:sz w:val="22"/>
                <w:szCs w:val="22"/>
              </w:rPr>
              <w:t>Rate $</w:t>
            </w:r>
          </w:p>
        </w:tc>
        <w:tc>
          <w:tcPr>
            <w:tcW w:w="1440" w:type="dxa"/>
            <w:gridSpan w:val="2"/>
            <w:tcBorders>
              <w:top w:val="single" w:color="auto" w:sz="4" w:space="0"/>
              <w:bottom w:val="single" w:color="auto" w:sz="4" w:space="0"/>
              <w:right w:val="single" w:color="auto" w:sz="4" w:space="0"/>
            </w:tcBorders>
            <w:vAlign w:val="bottom"/>
          </w:tcPr>
          <w:p w:rsidRPr="00260518" w:rsidR="00625B30" w:rsidP="00625B30" w:rsidRDefault="00625B30" w14:paraId="76FCC7F0" w14:textId="77777777">
            <w:pPr>
              <w:keepNext/>
              <w:keepLines/>
              <w:spacing w:before="60" w:after="60"/>
              <w:jc w:val="center"/>
              <w:rPr>
                <w:b/>
                <w:color w:val="000000"/>
                <w:sz w:val="22"/>
                <w:szCs w:val="22"/>
              </w:rPr>
            </w:pPr>
            <w:r w:rsidRPr="00260518">
              <w:rPr>
                <w:b/>
                <w:color w:val="000000"/>
                <w:sz w:val="22"/>
                <w:szCs w:val="22"/>
              </w:rPr>
              <w:t>Basis for Rate*</w:t>
            </w:r>
          </w:p>
        </w:tc>
        <w:tc>
          <w:tcPr>
            <w:tcW w:w="1423" w:type="dxa"/>
            <w:gridSpan w:val="2"/>
            <w:tcBorders>
              <w:top w:val="single" w:color="auto" w:sz="4" w:space="0"/>
              <w:left w:val="single" w:color="auto" w:sz="4" w:space="0"/>
              <w:bottom w:val="single" w:color="auto" w:sz="4" w:space="0"/>
              <w:right w:val="single" w:color="auto" w:sz="24" w:space="0"/>
            </w:tcBorders>
            <w:vAlign w:val="bottom"/>
          </w:tcPr>
          <w:p w:rsidRPr="00260518" w:rsidR="00625B30" w:rsidP="00625B30" w:rsidRDefault="00625B30" w14:paraId="5A8F2ADC" w14:textId="77777777">
            <w:pPr>
              <w:keepNext/>
              <w:keepLines/>
              <w:spacing w:before="60" w:after="60"/>
              <w:jc w:val="center"/>
              <w:rPr>
                <w:b/>
                <w:color w:val="000000"/>
                <w:sz w:val="22"/>
                <w:szCs w:val="22"/>
              </w:rPr>
            </w:pPr>
            <w:r w:rsidRPr="00260518">
              <w:rPr>
                <w:b/>
                <w:color w:val="000000"/>
                <w:sz w:val="22"/>
                <w:szCs w:val="22"/>
              </w:rPr>
              <w:t>Total $</w:t>
            </w:r>
          </w:p>
        </w:tc>
        <w:tc>
          <w:tcPr>
            <w:tcW w:w="955" w:type="dxa"/>
            <w:tcBorders>
              <w:top w:val="single" w:color="auto" w:sz="4" w:space="0"/>
              <w:left w:val="single" w:color="auto" w:sz="4" w:space="0"/>
            </w:tcBorders>
            <w:vAlign w:val="bottom"/>
          </w:tcPr>
          <w:p w:rsidRPr="00260518" w:rsidR="00625B30" w:rsidP="00625B30" w:rsidRDefault="00625B30" w14:paraId="416C30AF" w14:textId="77777777">
            <w:pPr>
              <w:keepNext/>
              <w:keepLines/>
              <w:spacing w:before="60" w:after="60"/>
              <w:jc w:val="center"/>
              <w:rPr>
                <w:b/>
                <w:color w:val="000000"/>
                <w:sz w:val="22"/>
                <w:szCs w:val="22"/>
              </w:rPr>
            </w:pPr>
            <w:r w:rsidRPr="00260518">
              <w:rPr>
                <w:b/>
                <w:color w:val="000000"/>
                <w:sz w:val="22"/>
                <w:szCs w:val="22"/>
              </w:rPr>
              <w:t>Hours</w:t>
            </w:r>
          </w:p>
        </w:tc>
        <w:tc>
          <w:tcPr>
            <w:tcW w:w="1146" w:type="dxa"/>
            <w:tcBorders>
              <w:top w:val="single" w:color="auto" w:sz="4" w:space="0"/>
            </w:tcBorders>
            <w:vAlign w:val="bottom"/>
          </w:tcPr>
          <w:p w:rsidRPr="00260518" w:rsidR="00625B30" w:rsidP="00625B30" w:rsidRDefault="00625B30" w14:paraId="6E947F97" w14:textId="77777777">
            <w:pPr>
              <w:keepNext/>
              <w:keepLines/>
              <w:spacing w:before="60" w:after="60"/>
              <w:jc w:val="center"/>
              <w:rPr>
                <w:b/>
                <w:color w:val="000000"/>
                <w:sz w:val="22"/>
                <w:szCs w:val="22"/>
              </w:rPr>
            </w:pPr>
            <w:r w:rsidRPr="00260518">
              <w:rPr>
                <w:b/>
                <w:color w:val="000000"/>
                <w:sz w:val="22"/>
                <w:szCs w:val="22"/>
              </w:rPr>
              <w:t>Rate $</w:t>
            </w:r>
          </w:p>
        </w:tc>
        <w:tc>
          <w:tcPr>
            <w:tcW w:w="1881" w:type="dxa"/>
            <w:tcBorders>
              <w:top w:val="single" w:color="auto" w:sz="4" w:space="0"/>
            </w:tcBorders>
            <w:vAlign w:val="bottom"/>
          </w:tcPr>
          <w:p w:rsidRPr="00260518" w:rsidR="00625B30" w:rsidP="00625B30" w:rsidRDefault="00625B30" w14:paraId="51EFB1C6" w14:textId="77777777">
            <w:pPr>
              <w:keepNext/>
              <w:keepLines/>
              <w:spacing w:before="60" w:after="60"/>
              <w:jc w:val="center"/>
              <w:rPr>
                <w:b/>
                <w:color w:val="000000"/>
                <w:sz w:val="22"/>
                <w:szCs w:val="22"/>
              </w:rPr>
            </w:pPr>
            <w:r w:rsidRPr="00260518">
              <w:rPr>
                <w:b/>
                <w:color w:val="000000"/>
                <w:sz w:val="22"/>
                <w:szCs w:val="22"/>
              </w:rPr>
              <w:t>Total $</w:t>
            </w:r>
          </w:p>
        </w:tc>
      </w:tr>
      <w:tr w:rsidRPr="007F620E" w:rsidR="00116554" w:rsidTr="00D46CE8" w14:paraId="16E12E1D" w14:textId="77777777">
        <w:trPr>
          <w:jc w:val="center"/>
        </w:trPr>
        <w:tc>
          <w:tcPr>
            <w:tcW w:w="1345" w:type="dxa"/>
          </w:tcPr>
          <w:p w:rsidRPr="00116554" w:rsidR="00116554" w:rsidP="00116554" w:rsidRDefault="00116554" w14:paraId="25EB8234" w14:textId="430577FA">
            <w:pPr>
              <w:spacing w:before="240"/>
              <w:rPr>
                <w:color w:val="000000"/>
              </w:rPr>
            </w:pPr>
            <w:r w:rsidRPr="00116554">
              <w:rPr>
                <w:color w:val="000000"/>
              </w:rPr>
              <w:t>Elise Torres, TURN Attorney</w:t>
            </w:r>
          </w:p>
        </w:tc>
        <w:tc>
          <w:tcPr>
            <w:tcW w:w="965" w:type="dxa"/>
          </w:tcPr>
          <w:p w:rsidRPr="00116554" w:rsidR="00116554" w:rsidP="00116554" w:rsidRDefault="00116554" w14:paraId="56EEC04F" w14:textId="67752CEA">
            <w:pPr>
              <w:spacing w:before="240"/>
              <w:rPr>
                <w:color w:val="000000"/>
              </w:rPr>
            </w:pPr>
            <w:r w:rsidRPr="00116554">
              <w:rPr>
                <w:color w:val="000000"/>
              </w:rPr>
              <w:t>2023</w:t>
            </w:r>
          </w:p>
        </w:tc>
        <w:tc>
          <w:tcPr>
            <w:tcW w:w="925" w:type="dxa"/>
            <w:gridSpan w:val="2"/>
          </w:tcPr>
          <w:p w:rsidRPr="00116554" w:rsidR="00116554" w:rsidP="00116554" w:rsidRDefault="00116554" w14:paraId="2054721D" w14:textId="0980C084">
            <w:pPr>
              <w:spacing w:before="240"/>
              <w:rPr>
                <w:color w:val="000000"/>
              </w:rPr>
            </w:pPr>
            <w:r w:rsidRPr="00116554">
              <w:rPr>
                <w:color w:val="000000"/>
              </w:rPr>
              <w:t xml:space="preserve">68.75 </w:t>
            </w:r>
          </w:p>
        </w:tc>
        <w:tc>
          <w:tcPr>
            <w:tcW w:w="1080" w:type="dxa"/>
          </w:tcPr>
          <w:p w:rsidRPr="00116554" w:rsidR="00116554" w:rsidP="00116554" w:rsidRDefault="00116554" w14:paraId="62AA8D16" w14:textId="28C424B7">
            <w:pPr>
              <w:spacing w:before="240"/>
              <w:rPr>
                <w:color w:val="000000"/>
              </w:rPr>
            </w:pPr>
            <w:r w:rsidRPr="00116554">
              <w:rPr>
                <w:color w:val="000000"/>
              </w:rPr>
              <w:t>$510.00</w:t>
            </w:r>
          </w:p>
        </w:tc>
        <w:tc>
          <w:tcPr>
            <w:tcW w:w="1440" w:type="dxa"/>
            <w:gridSpan w:val="2"/>
            <w:tcBorders>
              <w:right w:val="single" w:color="auto" w:sz="4" w:space="0"/>
            </w:tcBorders>
          </w:tcPr>
          <w:p w:rsidRPr="00116554" w:rsidR="00116554" w:rsidP="00116554" w:rsidRDefault="00116554" w14:paraId="43F37AEE" w14:textId="1F42B282">
            <w:pPr>
              <w:spacing w:before="240"/>
              <w:rPr>
                <w:color w:val="000000"/>
              </w:rPr>
            </w:pPr>
            <w:r w:rsidRPr="00116554">
              <w:rPr>
                <w:color w:val="000000"/>
              </w:rPr>
              <w:t>D.24-01-045</w:t>
            </w:r>
          </w:p>
        </w:tc>
        <w:tc>
          <w:tcPr>
            <w:tcW w:w="1423" w:type="dxa"/>
            <w:gridSpan w:val="2"/>
            <w:tcBorders>
              <w:top w:val="single" w:color="auto" w:sz="4" w:space="0"/>
              <w:left w:val="single" w:color="auto" w:sz="4" w:space="0"/>
              <w:bottom w:val="single" w:color="auto" w:sz="4" w:space="0"/>
              <w:right w:val="single" w:color="auto" w:sz="24" w:space="0"/>
            </w:tcBorders>
          </w:tcPr>
          <w:p w:rsidRPr="00116554" w:rsidR="00116554" w:rsidP="00116554" w:rsidRDefault="00116554" w14:paraId="6EBFD28D" w14:textId="0AA80AA0">
            <w:pPr>
              <w:spacing w:before="240"/>
              <w:rPr>
                <w:color w:val="000000"/>
              </w:rPr>
            </w:pPr>
            <w:r w:rsidRPr="00116554">
              <w:rPr>
                <w:color w:val="000000"/>
              </w:rPr>
              <w:t xml:space="preserve">$35,062.50 </w:t>
            </w:r>
          </w:p>
        </w:tc>
        <w:tc>
          <w:tcPr>
            <w:tcW w:w="955" w:type="dxa"/>
            <w:tcBorders>
              <w:left w:val="single" w:color="auto" w:sz="4" w:space="0"/>
            </w:tcBorders>
          </w:tcPr>
          <w:p w:rsidRPr="007F620E" w:rsidR="00116554" w:rsidP="00116554" w:rsidRDefault="00DC0497" w14:paraId="4FFD601C" w14:textId="4C75A96D">
            <w:pPr>
              <w:spacing w:before="240"/>
              <w:jc w:val="center"/>
              <w:rPr>
                <w:color w:val="000000"/>
              </w:rPr>
            </w:pPr>
            <w:r w:rsidRPr="00116554">
              <w:rPr>
                <w:color w:val="000000"/>
              </w:rPr>
              <w:t xml:space="preserve">68.75 </w:t>
            </w:r>
          </w:p>
        </w:tc>
        <w:tc>
          <w:tcPr>
            <w:tcW w:w="1146" w:type="dxa"/>
          </w:tcPr>
          <w:p w:rsidRPr="007F620E" w:rsidR="00116554" w:rsidP="00116554" w:rsidRDefault="00835542" w14:paraId="465CF9CC" w14:textId="4C5DED58">
            <w:pPr>
              <w:spacing w:before="240"/>
              <w:jc w:val="right"/>
              <w:rPr>
                <w:color w:val="000000"/>
              </w:rPr>
            </w:pPr>
            <w:r>
              <w:rPr>
                <w:color w:val="000000"/>
              </w:rPr>
              <w:t>$510</w:t>
            </w:r>
            <w:r w:rsidR="00924A1A">
              <w:rPr>
                <w:color w:val="000000"/>
              </w:rPr>
              <w:t>.00</w:t>
            </w:r>
            <w:r>
              <w:rPr>
                <w:color w:val="000000"/>
              </w:rPr>
              <w:t xml:space="preserve"> [1]</w:t>
            </w:r>
          </w:p>
        </w:tc>
        <w:tc>
          <w:tcPr>
            <w:tcW w:w="1881" w:type="dxa"/>
          </w:tcPr>
          <w:p w:rsidRPr="007F620E" w:rsidR="001B6A9B" w:rsidP="001B6A9B" w:rsidRDefault="001B6A9B" w14:paraId="77E7E8F6" w14:textId="0F1E4446">
            <w:pPr>
              <w:spacing w:before="240"/>
              <w:jc w:val="right"/>
              <w:rPr>
                <w:color w:val="000000"/>
              </w:rPr>
            </w:pPr>
            <w:r>
              <w:rPr>
                <w:color w:val="000000"/>
              </w:rPr>
              <w:t>$</w:t>
            </w:r>
            <w:r w:rsidRPr="00116554" w:rsidR="00DC0497">
              <w:rPr>
                <w:color w:val="000000"/>
              </w:rPr>
              <w:t>35,062.50</w:t>
            </w:r>
          </w:p>
        </w:tc>
      </w:tr>
      <w:tr w:rsidRPr="007F620E" w:rsidR="00116554" w:rsidTr="00D46CE8" w14:paraId="0DB0F52D" w14:textId="77777777">
        <w:trPr>
          <w:jc w:val="center"/>
        </w:trPr>
        <w:tc>
          <w:tcPr>
            <w:tcW w:w="1345" w:type="dxa"/>
          </w:tcPr>
          <w:p w:rsidRPr="00116554" w:rsidR="00116554" w:rsidP="00116554" w:rsidRDefault="00116554" w14:paraId="57B2D50B" w14:textId="37D89991">
            <w:pPr>
              <w:spacing w:before="240"/>
              <w:rPr>
                <w:color w:val="000000"/>
              </w:rPr>
            </w:pPr>
            <w:r w:rsidRPr="00116554">
              <w:rPr>
                <w:color w:val="000000"/>
              </w:rPr>
              <w:t>Elise Torres, TURN Attorney</w:t>
            </w:r>
          </w:p>
        </w:tc>
        <w:tc>
          <w:tcPr>
            <w:tcW w:w="965" w:type="dxa"/>
          </w:tcPr>
          <w:p w:rsidRPr="00116554" w:rsidR="00116554" w:rsidP="00116554" w:rsidRDefault="00116554" w14:paraId="02A3DDEB" w14:textId="03488C23">
            <w:pPr>
              <w:spacing w:before="240"/>
              <w:rPr>
                <w:color w:val="000000"/>
              </w:rPr>
            </w:pPr>
            <w:r w:rsidRPr="00116554">
              <w:rPr>
                <w:color w:val="000000"/>
              </w:rPr>
              <w:t>2024</w:t>
            </w:r>
          </w:p>
        </w:tc>
        <w:tc>
          <w:tcPr>
            <w:tcW w:w="925" w:type="dxa"/>
            <w:gridSpan w:val="2"/>
          </w:tcPr>
          <w:p w:rsidRPr="00116554" w:rsidR="00116554" w:rsidP="00116554" w:rsidRDefault="00116554" w14:paraId="63852875" w14:textId="2B664F23">
            <w:pPr>
              <w:spacing w:before="240"/>
              <w:rPr>
                <w:color w:val="000000"/>
              </w:rPr>
            </w:pPr>
            <w:r w:rsidRPr="00116554">
              <w:rPr>
                <w:color w:val="000000"/>
              </w:rPr>
              <w:t xml:space="preserve">146.25 </w:t>
            </w:r>
          </w:p>
        </w:tc>
        <w:tc>
          <w:tcPr>
            <w:tcW w:w="1080" w:type="dxa"/>
          </w:tcPr>
          <w:p w:rsidRPr="00116554" w:rsidR="00116554" w:rsidP="00116554" w:rsidRDefault="00116554" w14:paraId="066DF12B" w14:textId="39312C20">
            <w:pPr>
              <w:spacing w:before="240"/>
              <w:rPr>
                <w:color w:val="000000"/>
              </w:rPr>
            </w:pPr>
            <w:r w:rsidRPr="00116554">
              <w:rPr>
                <w:color w:val="000000"/>
              </w:rPr>
              <w:t>$555.00</w:t>
            </w:r>
          </w:p>
        </w:tc>
        <w:tc>
          <w:tcPr>
            <w:tcW w:w="1440" w:type="dxa"/>
            <w:gridSpan w:val="2"/>
            <w:tcBorders>
              <w:right w:val="single" w:color="auto" w:sz="4" w:space="0"/>
            </w:tcBorders>
          </w:tcPr>
          <w:p w:rsidRPr="00116554" w:rsidR="00116554" w:rsidP="00116554" w:rsidRDefault="00116554" w14:paraId="42C9AEE0" w14:textId="1931177D">
            <w:pPr>
              <w:spacing w:before="240"/>
              <w:rPr>
                <w:color w:val="000000"/>
              </w:rPr>
            </w:pPr>
            <w:r w:rsidRPr="00116554">
              <w:rPr>
                <w:color w:val="000000"/>
              </w:rPr>
              <w:t>D.25-03-022</w:t>
            </w:r>
          </w:p>
        </w:tc>
        <w:tc>
          <w:tcPr>
            <w:tcW w:w="1423" w:type="dxa"/>
            <w:gridSpan w:val="2"/>
            <w:tcBorders>
              <w:top w:val="single" w:color="auto" w:sz="4" w:space="0"/>
              <w:left w:val="single" w:color="auto" w:sz="4" w:space="0"/>
              <w:bottom w:val="single" w:color="auto" w:sz="4" w:space="0"/>
              <w:right w:val="single" w:color="auto" w:sz="24" w:space="0"/>
            </w:tcBorders>
          </w:tcPr>
          <w:p w:rsidRPr="00116554" w:rsidR="00116554" w:rsidP="00116554" w:rsidRDefault="00116554" w14:paraId="4E46A050" w14:textId="6BAC5D16">
            <w:pPr>
              <w:spacing w:before="240"/>
              <w:rPr>
                <w:color w:val="000000"/>
              </w:rPr>
            </w:pPr>
            <w:r w:rsidRPr="00116554">
              <w:rPr>
                <w:color w:val="000000"/>
              </w:rPr>
              <w:t xml:space="preserve"> $ 81,168.75 </w:t>
            </w:r>
          </w:p>
        </w:tc>
        <w:tc>
          <w:tcPr>
            <w:tcW w:w="955" w:type="dxa"/>
            <w:tcBorders>
              <w:left w:val="single" w:color="auto" w:sz="4" w:space="0"/>
            </w:tcBorders>
          </w:tcPr>
          <w:p w:rsidRPr="007F620E" w:rsidR="00116554" w:rsidP="00116554" w:rsidRDefault="00DC0497" w14:paraId="06810E35" w14:textId="39A3791C">
            <w:pPr>
              <w:spacing w:before="240"/>
              <w:jc w:val="center"/>
              <w:rPr>
                <w:color w:val="000000"/>
              </w:rPr>
            </w:pPr>
            <w:r w:rsidRPr="00116554">
              <w:rPr>
                <w:color w:val="000000"/>
              </w:rPr>
              <w:t xml:space="preserve">146.25 </w:t>
            </w:r>
          </w:p>
        </w:tc>
        <w:tc>
          <w:tcPr>
            <w:tcW w:w="1146" w:type="dxa"/>
          </w:tcPr>
          <w:p w:rsidRPr="007F620E" w:rsidR="00116554" w:rsidP="00116554" w:rsidRDefault="00835542" w14:paraId="200AC55F" w14:textId="33689AC1">
            <w:pPr>
              <w:spacing w:before="240"/>
              <w:jc w:val="right"/>
              <w:rPr>
                <w:color w:val="000000"/>
              </w:rPr>
            </w:pPr>
            <w:r>
              <w:rPr>
                <w:color w:val="000000"/>
              </w:rPr>
              <w:t>$555</w:t>
            </w:r>
            <w:r w:rsidR="00924A1A">
              <w:rPr>
                <w:color w:val="000000"/>
              </w:rPr>
              <w:t>.00</w:t>
            </w:r>
            <w:r>
              <w:rPr>
                <w:color w:val="000000"/>
              </w:rPr>
              <w:t xml:space="preserve"> [1]</w:t>
            </w:r>
          </w:p>
        </w:tc>
        <w:tc>
          <w:tcPr>
            <w:tcW w:w="1881" w:type="dxa"/>
          </w:tcPr>
          <w:p w:rsidRPr="007F620E" w:rsidR="00116554" w:rsidP="00116554" w:rsidRDefault="00AE50B1" w14:paraId="5842973D" w14:textId="7AD1A017">
            <w:pPr>
              <w:spacing w:before="240"/>
              <w:jc w:val="right"/>
              <w:rPr>
                <w:color w:val="000000"/>
              </w:rPr>
            </w:pPr>
            <w:r>
              <w:rPr>
                <w:color w:val="000000"/>
              </w:rPr>
              <w:t>$</w:t>
            </w:r>
            <w:r w:rsidRPr="00116554" w:rsidR="00DC0497">
              <w:rPr>
                <w:color w:val="000000"/>
              </w:rPr>
              <w:t>81,168.75</w:t>
            </w:r>
          </w:p>
        </w:tc>
      </w:tr>
      <w:tr w:rsidRPr="007F620E" w:rsidR="00116554" w:rsidTr="00D46CE8" w14:paraId="6EA8AF38" w14:textId="77777777">
        <w:trPr>
          <w:jc w:val="center"/>
        </w:trPr>
        <w:tc>
          <w:tcPr>
            <w:tcW w:w="1345" w:type="dxa"/>
          </w:tcPr>
          <w:p w:rsidRPr="00116554" w:rsidR="00116554" w:rsidP="00116554" w:rsidRDefault="00116554" w14:paraId="3F0508E7" w14:textId="1BFDEB32">
            <w:pPr>
              <w:spacing w:before="240"/>
              <w:rPr>
                <w:color w:val="000000"/>
              </w:rPr>
            </w:pPr>
            <w:r w:rsidRPr="00116554">
              <w:rPr>
                <w:color w:val="000000"/>
              </w:rPr>
              <w:lastRenderedPageBreak/>
              <w:t>Elise Torres, TURN Attorney</w:t>
            </w:r>
          </w:p>
        </w:tc>
        <w:tc>
          <w:tcPr>
            <w:tcW w:w="965" w:type="dxa"/>
          </w:tcPr>
          <w:p w:rsidRPr="00116554" w:rsidR="00116554" w:rsidP="00116554" w:rsidRDefault="00116554" w14:paraId="3F33592A" w14:textId="35DFFDC9">
            <w:pPr>
              <w:spacing w:before="240"/>
              <w:rPr>
                <w:color w:val="000000"/>
              </w:rPr>
            </w:pPr>
            <w:r w:rsidRPr="00116554">
              <w:rPr>
                <w:color w:val="000000"/>
              </w:rPr>
              <w:t>2025</w:t>
            </w:r>
          </w:p>
        </w:tc>
        <w:tc>
          <w:tcPr>
            <w:tcW w:w="925" w:type="dxa"/>
            <w:gridSpan w:val="2"/>
          </w:tcPr>
          <w:p w:rsidRPr="00116554" w:rsidR="00116554" w:rsidP="00116554" w:rsidRDefault="00116554" w14:paraId="2FF07288" w14:textId="0EF6BAA0">
            <w:pPr>
              <w:spacing w:before="240"/>
              <w:rPr>
                <w:color w:val="000000"/>
              </w:rPr>
            </w:pPr>
            <w:r w:rsidRPr="00116554">
              <w:rPr>
                <w:color w:val="000000"/>
              </w:rPr>
              <w:t xml:space="preserve">2.25 </w:t>
            </w:r>
          </w:p>
        </w:tc>
        <w:tc>
          <w:tcPr>
            <w:tcW w:w="1080" w:type="dxa"/>
          </w:tcPr>
          <w:p w:rsidRPr="00116554" w:rsidR="00116554" w:rsidP="00116554" w:rsidRDefault="00116554" w14:paraId="36668FD1" w14:textId="1C5ECCC0">
            <w:pPr>
              <w:spacing w:before="240"/>
              <w:rPr>
                <w:color w:val="000000"/>
              </w:rPr>
            </w:pPr>
            <w:r w:rsidRPr="00116554">
              <w:rPr>
                <w:color w:val="000000"/>
              </w:rPr>
              <w:t>$600.00</w:t>
            </w:r>
          </w:p>
        </w:tc>
        <w:tc>
          <w:tcPr>
            <w:tcW w:w="1440" w:type="dxa"/>
            <w:gridSpan w:val="2"/>
            <w:tcBorders>
              <w:right w:val="single" w:color="auto" w:sz="4" w:space="0"/>
            </w:tcBorders>
          </w:tcPr>
          <w:p w:rsidRPr="00116554" w:rsidR="00116554" w:rsidP="00116554" w:rsidRDefault="00116554" w14:paraId="17A8188C" w14:textId="56947F14">
            <w:pPr>
              <w:spacing w:before="240"/>
              <w:rPr>
                <w:color w:val="000000"/>
              </w:rPr>
            </w:pPr>
            <w:r w:rsidRPr="00116554">
              <w:rPr>
                <w:color w:val="000000"/>
              </w:rPr>
              <w:t>Res. ALJ-393, 2024 rate plus 3.46% COLA and additional  increase for move to Attorney - Level IV experience tier</w:t>
            </w:r>
            <w:r w:rsidR="002C7087">
              <w:rPr>
                <w:color w:val="000000"/>
              </w:rPr>
              <w:t>. See Comment 1</w:t>
            </w:r>
          </w:p>
        </w:tc>
        <w:tc>
          <w:tcPr>
            <w:tcW w:w="1423" w:type="dxa"/>
            <w:gridSpan w:val="2"/>
            <w:tcBorders>
              <w:top w:val="single" w:color="auto" w:sz="4" w:space="0"/>
              <w:left w:val="single" w:color="auto" w:sz="4" w:space="0"/>
              <w:bottom w:val="single" w:color="auto" w:sz="4" w:space="0"/>
              <w:right w:val="single" w:color="auto" w:sz="24" w:space="0"/>
            </w:tcBorders>
          </w:tcPr>
          <w:p w:rsidRPr="00116554" w:rsidR="00116554" w:rsidP="00116554" w:rsidRDefault="00116554" w14:paraId="26C2819C" w14:textId="4E7C0157">
            <w:pPr>
              <w:spacing w:before="240"/>
              <w:rPr>
                <w:color w:val="000000"/>
              </w:rPr>
            </w:pPr>
            <w:r w:rsidRPr="00116554">
              <w:rPr>
                <w:color w:val="000000"/>
              </w:rPr>
              <w:t xml:space="preserve"> $1,350.00 </w:t>
            </w:r>
          </w:p>
        </w:tc>
        <w:tc>
          <w:tcPr>
            <w:tcW w:w="955" w:type="dxa"/>
            <w:tcBorders>
              <w:left w:val="single" w:color="auto" w:sz="4" w:space="0"/>
            </w:tcBorders>
          </w:tcPr>
          <w:p w:rsidRPr="007F620E" w:rsidR="00116554" w:rsidP="00116554" w:rsidRDefault="00B62A80" w14:paraId="0EF313D8" w14:textId="71983488">
            <w:pPr>
              <w:spacing w:before="240"/>
              <w:jc w:val="center"/>
              <w:rPr>
                <w:color w:val="000000"/>
              </w:rPr>
            </w:pPr>
            <w:r>
              <w:rPr>
                <w:color w:val="000000"/>
              </w:rPr>
              <w:t>2.25</w:t>
            </w:r>
          </w:p>
        </w:tc>
        <w:tc>
          <w:tcPr>
            <w:tcW w:w="1146" w:type="dxa"/>
          </w:tcPr>
          <w:p w:rsidRPr="007F620E" w:rsidR="00116554" w:rsidP="00116554" w:rsidRDefault="00835542" w14:paraId="1E4CF49A" w14:textId="1DCF3EBD">
            <w:pPr>
              <w:spacing w:before="240"/>
              <w:jc w:val="right"/>
              <w:rPr>
                <w:color w:val="000000"/>
              </w:rPr>
            </w:pPr>
            <w:r>
              <w:rPr>
                <w:color w:val="000000"/>
              </w:rPr>
              <w:t>$</w:t>
            </w:r>
            <w:r w:rsidR="00C03782">
              <w:rPr>
                <w:color w:val="000000"/>
              </w:rPr>
              <w:t>600</w:t>
            </w:r>
            <w:r w:rsidR="00924A1A">
              <w:rPr>
                <w:color w:val="000000"/>
              </w:rPr>
              <w:t>.00 [1]</w:t>
            </w:r>
          </w:p>
        </w:tc>
        <w:tc>
          <w:tcPr>
            <w:tcW w:w="1881" w:type="dxa"/>
          </w:tcPr>
          <w:p w:rsidRPr="007F620E" w:rsidR="00116554" w:rsidP="00116554" w:rsidRDefault="00AE50B1" w14:paraId="09507517" w14:textId="2C289E45">
            <w:pPr>
              <w:spacing w:before="240"/>
              <w:jc w:val="right"/>
              <w:rPr>
                <w:color w:val="000000"/>
              </w:rPr>
            </w:pPr>
            <w:r>
              <w:rPr>
                <w:color w:val="000000"/>
              </w:rPr>
              <w:t>$1,3</w:t>
            </w:r>
            <w:r w:rsidR="00C03782">
              <w:rPr>
                <w:color w:val="000000"/>
              </w:rPr>
              <w:t>50</w:t>
            </w:r>
            <w:r>
              <w:rPr>
                <w:color w:val="000000"/>
              </w:rPr>
              <w:t>.00</w:t>
            </w:r>
          </w:p>
        </w:tc>
      </w:tr>
      <w:tr w:rsidRPr="007F620E" w:rsidR="00116554" w:rsidTr="00D46CE8" w14:paraId="0EEED71B" w14:textId="77777777">
        <w:trPr>
          <w:jc w:val="center"/>
        </w:trPr>
        <w:tc>
          <w:tcPr>
            <w:tcW w:w="1345" w:type="dxa"/>
          </w:tcPr>
          <w:p w:rsidRPr="00116554" w:rsidR="00116554" w:rsidP="00116554" w:rsidRDefault="00116554" w14:paraId="7ED4A37B" w14:textId="66CD89F5">
            <w:pPr>
              <w:spacing w:before="240"/>
              <w:rPr>
                <w:color w:val="000000"/>
              </w:rPr>
            </w:pPr>
            <w:r w:rsidRPr="00116554">
              <w:rPr>
                <w:color w:val="000000"/>
              </w:rPr>
              <w:t>Garrick Jones, InfraSMART Energy, LLC</w:t>
            </w:r>
          </w:p>
        </w:tc>
        <w:tc>
          <w:tcPr>
            <w:tcW w:w="965" w:type="dxa"/>
          </w:tcPr>
          <w:p w:rsidRPr="00116554" w:rsidR="00116554" w:rsidP="00116554" w:rsidRDefault="00116554" w14:paraId="3E909B9F" w14:textId="08E259CB">
            <w:pPr>
              <w:spacing w:before="240"/>
              <w:rPr>
                <w:color w:val="000000"/>
              </w:rPr>
            </w:pPr>
            <w:r w:rsidRPr="00116554">
              <w:rPr>
                <w:color w:val="000000"/>
              </w:rPr>
              <w:t>2023</w:t>
            </w:r>
          </w:p>
        </w:tc>
        <w:tc>
          <w:tcPr>
            <w:tcW w:w="925" w:type="dxa"/>
            <w:gridSpan w:val="2"/>
          </w:tcPr>
          <w:p w:rsidRPr="00116554" w:rsidR="00116554" w:rsidP="00116554" w:rsidRDefault="00116554" w14:paraId="4CAEF901" w14:textId="2A62357D">
            <w:pPr>
              <w:spacing w:before="240"/>
              <w:rPr>
                <w:color w:val="000000"/>
              </w:rPr>
            </w:pPr>
            <w:r w:rsidRPr="00116554">
              <w:rPr>
                <w:color w:val="000000"/>
              </w:rPr>
              <w:t xml:space="preserve">110.81 </w:t>
            </w:r>
          </w:p>
        </w:tc>
        <w:tc>
          <w:tcPr>
            <w:tcW w:w="1080" w:type="dxa"/>
          </w:tcPr>
          <w:p w:rsidRPr="00116554" w:rsidR="00116554" w:rsidP="00116554" w:rsidRDefault="00116554" w14:paraId="6F9377D2" w14:textId="03664A15">
            <w:pPr>
              <w:spacing w:before="240"/>
              <w:rPr>
                <w:color w:val="000000"/>
              </w:rPr>
            </w:pPr>
            <w:r w:rsidRPr="00116554">
              <w:rPr>
                <w:color w:val="000000"/>
              </w:rPr>
              <w:t>$285.00</w:t>
            </w:r>
          </w:p>
        </w:tc>
        <w:tc>
          <w:tcPr>
            <w:tcW w:w="1440" w:type="dxa"/>
            <w:gridSpan w:val="2"/>
            <w:tcBorders>
              <w:right w:val="single" w:color="auto" w:sz="4" w:space="0"/>
            </w:tcBorders>
          </w:tcPr>
          <w:p w:rsidRPr="008C404B" w:rsidR="00116554" w:rsidP="00116554" w:rsidRDefault="003401A4" w14:paraId="0768B90A" w14:textId="4DAD37E1">
            <w:pPr>
              <w:spacing w:before="240"/>
              <w:rPr>
                <w:color w:val="000000"/>
              </w:rPr>
            </w:pPr>
            <w:r w:rsidRPr="008C404B">
              <w:rPr>
                <w:color w:val="000000"/>
              </w:rPr>
              <w:t>D.24</w:t>
            </w:r>
            <w:r w:rsidRPr="008C404B" w:rsidR="000D2788">
              <w:rPr>
                <w:color w:val="000000"/>
              </w:rPr>
              <w:t>-10-025</w:t>
            </w:r>
            <w:r w:rsidR="00507362">
              <w:rPr>
                <w:color w:val="000000"/>
              </w:rPr>
              <w:t>,</w:t>
            </w:r>
            <w:r w:rsidRPr="008C404B" w:rsidR="008C404B">
              <w:rPr>
                <w:color w:val="000000"/>
              </w:rPr>
              <w:t xml:space="preserve"> </w:t>
            </w:r>
            <w:r w:rsidRPr="008C404B" w:rsidR="008C404B">
              <w:t>See Comment 2.</w:t>
            </w:r>
          </w:p>
        </w:tc>
        <w:tc>
          <w:tcPr>
            <w:tcW w:w="1423" w:type="dxa"/>
            <w:gridSpan w:val="2"/>
            <w:tcBorders>
              <w:top w:val="single" w:color="auto" w:sz="4" w:space="0"/>
              <w:left w:val="single" w:color="auto" w:sz="4" w:space="0"/>
              <w:bottom w:val="single" w:color="auto" w:sz="4" w:space="0"/>
              <w:right w:val="single" w:color="auto" w:sz="24" w:space="0"/>
            </w:tcBorders>
          </w:tcPr>
          <w:p w:rsidRPr="00116554" w:rsidR="00116554" w:rsidP="00116554" w:rsidRDefault="00116554" w14:paraId="578F70F3" w14:textId="064C3343">
            <w:pPr>
              <w:spacing w:before="240"/>
              <w:rPr>
                <w:color w:val="000000"/>
              </w:rPr>
            </w:pPr>
            <w:r w:rsidRPr="00116554">
              <w:rPr>
                <w:color w:val="000000"/>
              </w:rPr>
              <w:t xml:space="preserve"> $31,580.57 </w:t>
            </w:r>
          </w:p>
        </w:tc>
        <w:tc>
          <w:tcPr>
            <w:tcW w:w="955" w:type="dxa"/>
            <w:tcBorders>
              <w:left w:val="single" w:color="auto" w:sz="4" w:space="0"/>
            </w:tcBorders>
          </w:tcPr>
          <w:p w:rsidRPr="007F620E" w:rsidR="00116554" w:rsidP="00116554" w:rsidRDefault="00B62A80" w14:paraId="34ECFC96" w14:textId="24B91856">
            <w:pPr>
              <w:spacing w:before="240"/>
              <w:jc w:val="center"/>
              <w:rPr>
                <w:color w:val="000000"/>
              </w:rPr>
            </w:pPr>
            <w:r>
              <w:rPr>
                <w:color w:val="000000"/>
              </w:rPr>
              <w:t>110.81</w:t>
            </w:r>
          </w:p>
        </w:tc>
        <w:tc>
          <w:tcPr>
            <w:tcW w:w="1146" w:type="dxa"/>
          </w:tcPr>
          <w:p w:rsidRPr="007F620E" w:rsidR="00116554" w:rsidP="00116554" w:rsidRDefault="00924A1A" w14:paraId="02A2C5F6" w14:textId="097D4F90">
            <w:pPr>
              <w:spacing w:before="240"/>
              <w:jc w:val="right"/>
              <w:rPr>
                <w:color w:val="000000"/>
              </w:rPr>
            </w:pPr>
            <w:r>
              <w:rPr>
                <w:color w:val="000000"/>
              </w:rPr>
              <w:t>$285.00 [2]</w:t>
            </w:r>
          </w:p>
        </w:tc>
        <w:tc>
          <w:tcPr>
            <w:tcW w:w="1881" w:type="dxa"/>
          </w:tcPr>
          <w:p w:rsidRPr="007F620E" w:rsidR="00116554" w:rsidP="00116554" w:rsidRDefault="00CA7C16" w14:paraId="39911C13" w14:textId="3AC3BC80">
            <w:pPr>
              <w:spacing w:before="240"/>
              <w:jc w:val="right"/>
              <w:rPr>
                <w:color w:val="000000"/>
              </w:rPr>
            </w:pPr>
            <w:r>
              <w:rPr>
                <w:color w:val="000000"/>
              </w:rPr>
              <w:t>$31,580.85</w:t>
            </w:r>
          </w:p>
        </w:tc>
      </w:tr>
      <w:tr w:rsidRPr="007F620E" w:rsidR="00116554" w:rsidTr="00D46CE8" w14:paraId="02007E8B" w14:textId="77777777">
        <w:trPr>
          <w:jc w:val="center"/>
        </w:trPr>
        <w:tc>
          <w:tcPr>
            <w:tcW w:w="1345" w:type="dxa"/>
          </w:tcPr>
          <w:p w:rsidRPr="00116554" w:rsidR="00116554" w:rsidP="00116554" w:rsidRDefault="00116554" w14:paraId="603D0961" w14:textId="2FC0A31D">
            <w:pPr>
              <w:spacing w:before="240"/>
              <w:rPr>
                <w:color w:val="000000"/>
              </w:rPr>
            </w:pPr>
            <w:r w:rsidRPr="00116554">
              <w:rPr>
                <w:color w:val="000000"/>
              </w:rPr>
              <w:t>Garrick Jones, InfraSMART Energy, LLC</w:t>
            </w:r>
          </w:p>
        </w:tc>
        <w:tc>
          <w:tcPr>
            <w:tcW w:w="965" w:type="dxa"/>
          </w:tcPr>
          <w:p w:rsidRPr="00116554" w:rsidR="00116554" w:rsidP="00116554" w:rsidRDefault="00116554" w14:paraId="209DAD66" w14:textId="517178A4">
            <w:pPr>
              <w:spacing w:before="240"/>
              <w:rPr>
                <w:color w:val="000000"/>
              </w:rPr>
            </w:pPr>
            <w:r w:rsidRPr="00116554">
              <w:rPr>
                <w:color w:val="000000"/>
              </w:rPr>
              <w:t>2024</w:t>
            </w:r>
          </w:p>
        </w:tc>
        <w:tc>
          <w:tcPr>
            <w:tcW w:w="925" w:type="dxa"/>
            <w:gridSpan w:val="2"/>
          </w:tcPr>
          <w:p w:rsidRPr="00116554" w:rsidR="00116554" w:rsidP="00116554" w:rsidRDefault="00116554" w14:paraId="5C11EFC1" w14:textId="14AABA14">
            <w:pPr>
              <w:spacing w:before="240"/>
              <w:rPr>
                <w:color w:val="000000"/>
              </w:rPr>
            </w:pPr>
            <w:r w:rsidRPr="00116554">
              <w:rPr>
                <w:color w:val="000000"/>
              </w:rPr>
              <w:t xml:space="preserve">101.30 </w:t>
            </w:r>
          </w:p>
        </w:tc>
        <w:tc>
          <w:tcPr>
            <w:tcW w:w="1080" w:type="dxa"/>
          </w:tcPr>
          <w:p w:rsidRPr="00116554" w:rsidR="00116554" w:rsidP="00116554" w:rsidRDefault="00116554" w14:paraId="3727A6D1" w14:textId="0291D73B">
            <w:pPr>
              <w:spacing w:before="240"/>
              <w:rPr>
                <w:color w:val="000000"/>
              </w:rPr>
            </w:pPr>
            <w:r w:rsidRPr="00116554">
              <w:rPr>
                <w:color w:val="000000"/>
              </w:rPr>
              <w:t>$295.00</w:t>
            </w:r>
          </w:p>
        </w:tc>
        <w:tc>
          <w:tcPr>
            <w:tcW w:w="1440" w:type="dxa"/>
            <w:gridSpan w:val="2"/>
            <w:tcBorders>
              <w:right w:val="single" w:color="auto" w:sz="4" w:space="0"/>
            </w:tcBorders>
          </w:tcPr>
          <w:p w:rsidR="000D2788" w:rsidP="008C404B" w:rsidRDefault="000D2788" w14:paraId="09F36A5F" w14:textId="4EC11DD2">
            <w:pPr>
              <w:rPr>
                <w:lang w:eastAsia="zh-CN"/>
              </w:rPr>
            </w:pPr>
            <w:r>
              <w:t>Res. ALJ-393, 2023 Rate plus 4.07% COLA</w:t>
            </w:r>
            <w:r w:rsidR="00507362">
              <w:t>.</w:t>
            </w:r>
            <w:r>
              <w:t xml:space="preserve"> See Comment 3.</w:t>
            </w:r>
          </w:p>
          <w:p w:rsidRPr="00116554" w:rsidR="00116554" w:rsidP="008C404B" w:rsidRDefault="00116554" w14:paraId="07376264" w14:textId="7E69783F">
            <w:pPr>
              <w:spacing w:before="240"/>
              <w:rPr>
                <w:color w:val="000000"/>
                <w:highlight w:val="yellow"/>
              </w:rPr>
            </w:pPr>
          </w:p>
        </w:tc>
        <w:tc>
          <w:tcPr>
            <w:tcW w:w="1423" w:type="dxa"/>
            <w:gridSpan w:val="2"/>
            <w:tcBorders>
              <w:top w:val="single" w:color="auto" w:sz="4" w:space="0"/>
              <w:left w:val="single" w:color="auto" w:sz="4" w:space="0"/>
              <w:bottom w:val="single" w:color="auto" w:sz="4" w:space="0"/>
              <w:right w:val="single" w:color="auto" w:sz="24" w:space="0"/>
            </w:tcBorders>
          </w:tcPr>
          <w:p w:rsidRPr="00116554" w:rsidR="00116554" w:rsidP="00116554" w:rsidRDefault="00116554" w14:paraId="72C64E39" w14:textId="5B2EB8D3">
            <w:pPr>
              <w:spacing w:before="240"/>
              <w:rPr>
                <w:color w:val="000000"/>
              </w:rPr>
            </w:pPr>
            <w:r w:rsidRPr="00116554">
              <w:rPr>
                <w:color w:val="000000"/>
              </w:rPr>
              <w:t xml:space="preserve"> </w:t>
            </w:r>
            <w:r>
              <w:rPr>
                <w:color w:val="000000"/>
              </w:rPr>
              <w:t>$</w:t>
            </w:r>
            <w:r w:rsidRPr="00116554">
              <w:rPr>
                <w:color w:val="000000"/>
              </w:rPr>
              <w:t xml:space="preserve">29,883.50 </w:t>
            </w:r>
          </w:p>
        </w:tc>
        <w:tc>
          <w:tcPr>
            <w:tcW w:w="955" w:type="dxa"/>
            <w:tcBorders>
              <w:left w:val="single" w:color="auto" w:sz="4" w:space="0"/>
            </w:tcBorders>
          </w:tcPr>
          <w:p w:rsidRPr="007F620E" w:rsidR="00116554" w:rsidP="00116554" w:rsidRDefault="00B62A80" w14:paraId="3CB3CDE1" w14:textId="7D2BA8CE">
            <w:pPr>
              <w:spacing w:before="240"/>
              <w:jc w:val="center"/>
              <w:rPr>
                <w:color w:val="000000"/>
              </w:rPr>
            </w:pPr>
            <w:r>
              <w:rPr>
                <w:color w:val="000000"/>
              </w:rPr>
              <w:t>101.30</w:t>
            </w:r>
          </w:p>
        </w:tc>
        <w:tc>
          <w:tcPr>
            <w:tcW w:w="1146" w:type="dxa"/>
          </w:tcPr>
          <w:p w:rsidRPr="007F620E" w:rsidR="00116554" w:rsidP="00116554" w:rsidRDefault="00924A1A" w14:paraId="58EDFD3D" w14:textId="01074CFC">
            <w:pPr>
              <w:spacing w:before="240"/>
              <w:jc w:val="right"/>
              <w:rPr>
                <w:color w:val="000000"/>
              </w:rPr>
            </w:pPr>
            <w:r>
              <w:rPr>
                <w:color w:val="000000"/>
              </w:rPr>
              <w:t>$295.00 [2]</w:t>
            </w:r>
          </w:p>
        </w:tc>
        <w:tc>
          <w:tcPr>
            <w:tcW w:w="1881" w:type="dxa"/>
          </w:tcPr>
          <w:p w:rsidRPr="007F620E" w:rsidR="00116554" w:rsidP="00116554" w:rsidRDefault="00CA7C16" w14:paraId="3D18F875" w14:textId="455ABBCF">
            <w:pPr>
              <w:spacing w:before="240"/>
              <w:jc w:val="right"/>
              <w:rPr>
                <w:color w:val="000000"/>
              </w:rPr>
            </w:pPr>
            <w:r>
              <w:rPr>
                <w:color w:val="000000"/>
              </w:rPr>
              <w:t>$29,883.50</w:t>
            </w:r>
          </w:p>
        </w:tc>
      </w:tr>
      <w:tr w:rsidRPr="007F620E" w:rsidR="00116554" w:rsidTr="00D46CE8" w14:paraId="24466959" w14:textId="77777777">
        <w:trPr>
          <w:jc w:val="center"/>
        </w:trPr>
        <w:tc>
          <w:tcPr>
            <w:tcW w:w="1345" w:type="dxa"/>
          </w:tcPr>
          <w:p w:rsidRPr="00116554" w:rsidR="00116554" w:rsidP="00116554" w:rsidRDefault="00116554" w14:paraId="1C207E0F" w14:textId="24BDD82D">
            <w:pPr>
              <w:spacing w:before="240"/>
              <w:rPr>
                <w:color w:val="000000"/>
              </w:rPr>
            </w:pPr>
            <w:r w:rsidRPr="00116554">
              <w:rPr>
                <w:color w:val="000000"/>
              </w:rPr>
              <w:t>Reina Yanagiba, TURN Legal Assistant</w:t>
            </w:r>
          </w:p>
        </w:tc>
        <w:tc>
          <w:tcPr>
            <w:tcW w:w="965" w:type="dxa"/>
          </w:tcPr>
          <w:p w:rsidRPr="00116554" w:rsidR="00116554" w:rsidP="00116554" w:rsidRDefault="00116554" w14:paraId="2590CC69" w14:textId="221B0EB1">
            <w:pPr>
              <w:spacing w:before="240"/>
              <w:rPr>
                <w:color w:val="000000"/>
              </w:rPr>
            </w:pPr>
            <w:r w:rsidRPr="00116554">
              <w:rPr>
                <w:color w:val="000000"/>
              </w:rPr>
              <w:t>2023</w:t>
            </w:r>
          </w:p>
        </w:tc>
        <w:tc>
          <w:tcPr>
            <w:tcW w:w="925" w:type="dxa"/>
            <w:gridSpan w:val="2"/>
          </w:tcPr>
          <w:p w:rsidRPr="00116554" w:rsidR="00116554" w:rsidP="00116554" w:rsidRDefault="00116554" w14:paraId="3EFE8C25" w14:textId="74B1578C">
            <w:pPr>
              <w:spacing w:before="240"/>
              <w:rPr>
                <w:color w:val="000000"/>
              </w:rPr>
            </w:pPr>
            <w:r w:rsidRPr="00116554">
              <w:rPr>
                <w:color w:val="000000"/>
              </w:rPr>
              <w:t xml:space="preserve">2.75 </w:t>
            </w:r>
          </w:p>
        </w:tc>
        <w:tc>
          <w:tcPr>
            <w:tcW w:w="1080" w:type="dxa"/>
          </w:tcPr>
          <w:p w:rsidRPr="00116554" w:rsidR="00116554" w:rsidP="00116554" w:rsidRDefault="00116554" w14:paraId="46534387" w14:textId="7E576CBF">
            <w:pPr>
              <w:spacing w:before="240"/>
              <w:rPr>
                <w:color w:val="000000"/>
              </w:rPr>
            </w:pPr>
            <w:r w:rsidRPr="00116554">
              <w:rPr>
                <w:color w:val="000000"/>
              </w:rPr>
              <w:t>$95.00</w:t>
            </w:r>
          </w:p>
        </w:tc>
        <w:tc>
          <w:tcPr>
            <w:tcW w:w="1440" w:type="dxa"/>
            <w:gridSpan w:val="2"/>
            <w:tcBorders>
              <w:right w:val="single" w:color="auto" w:sz="4" w:space="0"/>
            </w:tcBorders>
          </w:tcPr>
          <w:p w:rsidRPr="00116554" w:rsidR="00116554" w:rsidP="00116554" w:rsidRDefault="00116554" w14:paraId="035274F4" w14:textId="7AF3C87B">
            <w:pPr>
              <w:spacing w:before="240"/>
              <w:rPr>
                <w:color w:val="000000"/>
              </w:rPr>
            </w:pPr>
            <w:r w:rsidRPr="00116554">
              <w:rPr>
                <w:color w:val="000000"/>
              </w:rPr>
              <w:t>D.24-04-030</w:t>
            </w:r>
          </w:p>
        </w:tc>
        <w:tc>
          <w:tcPr>
            <w:tcW w:w="1423" w:type="dxa"/>
            <w:gridSpan w:val="2"/>
            <w:tcBorders>
              <w:top w:val="single" w:color="auto" w:sz="4" w:space="0"/>
              <w:left w:val="single" w:color="auto" w:sz="4" w:space="0"/>
              <w:bottom w:val="single" w:color="auto" w:sz="4" w:space="0"/>
              <w:right w:val="single" w:color="auto" w:sz="24" w:space="0"/>
            </w:tcBorders>
          </w:tcPr>
          <w:p w:rsidRPr="00116554" w:rsidR="00116554" w:rsidP="00116554" w:rsidRDefault="00116554" w14:paraId="0D5D5F21" w14:textId="2A755703">
            <w:pPr>
              <w:spacing w:before="240"/>
              <w:rPr>
                <w:color w:val="000000"/>
              </w:rPr>
            </w:pPr>
            <w:r w:rsidRPr="00116554">
              <w:rPr>
                <w:color w:val="000000"/>
              </w:rPr>
              <w:t xml:space="preserve"> $261.25 </w:t>
            </w:r>
          </w:p>
        </w:tc>
        <w:tc>
          <w:tcPr>
            <w:tcW w:w="955" w:type="dxa"/>
            <w:tcBorders>
              <w:left w:val="single" w:color="auto" w:sz="4" w:space="0"/>
            </w:tcBorders>
          </w:tcPr>
          <w:p w:rsidRPr="007F620E" w:rsidR="00116554" w:rsidP="00116554" w:rsidRDefault="00B62A80" w14:paraId="52172817" w14:textId="730363CA">
            <w:pPr>
              <w:spacing w:before="240"/>
              <w:jc w:val="center"/>
              <w:rPr>
                <w:color w:val="000000"/>
              </w:rPr>
            </w:pPr>
            <w:r>
              <w:rPr>
                <w:color w:val="000000"/>
              </w:rPr>
              <w:t>2.75</w:t>
            </w:r>
          </w:p>
        </w:tc>
        <w:tc>
          <w:tcPr>
            <w:tcW w:w="1146" w:type="dxa"/>
          </w:tcPr>
          <w:p w:rsidRPr="007F620E" w:rsidR="00116554" w:rsidP="00116554" w:rsidRDefault="00924A1A" w14:paraId="5D69E68D" w14:textId="5C19B41D">
            <w:pPr>
              <w:spacing w:before="240"/>
              <w:jc w:val="right"/>
              <w:rPr>
                <w:color w:val="000000"/>
              </w:rPr>
            </w:pPr>
            <w:r>
              <w:rPr>
                <w:color w:val="000000"/>
              </w:rPr>
              <w:t>$95.00 [3]</w:t>
            </w:r>
          </w:p>
        </w:tc>
        <w:tc>
          <w:tcPr>
            <w:tcW w:w="1881" w:type="dxa"/>
          </w:tcPr>
          <w:p w:rsidR="00116554" w:rsidP="00116554" w:rsidRDefault="00116554" w14:paraId="72CBA2A5" w14:textId="77777777">
            <w:pPr>
              <w:spacing w:before="240"/>
              <w:jc w:val="right"/>
              <w:rPr>
                <w:color w:val="000000"/>
              </w:rPr>
            </w:pPr>
          </w:p>
          <w:p w:rsidRPr="00CA7C16" w:rsidR="00CA7C16" w:rsidP="00711DFE" w:rsidRDefault="00CA7C16" w14:paraId="42BE9427" w14:textId="04185C58">
            <w:pPr>
              <w:jc w:val="right"/>
            </w:pPr>
            <w:r>
              <w:t>$261.25</w:t>
            </w:r>
          </w:p>
        </w:tc>
      </w:tr>
      <w:tr w:rsidRPr="007F620E" w:rsidR="00116554" w:rsidTr="00D46CE8" w14:paraId="4A785D80" w14:textId="77777777">
        <w:trPr>
          <w:jc w:val="center"/>
        </w:trPr>
        <w:tc>
          <w:tcPr>
            <w:tcW w:w="1345" w:type="dxa"/>
          </w:tcPr>
          <w:p w:rsidRPr="00116554" w:rsidR="00116554" w:rsidP="00116554" w:rsidRDefault="00116554" w14:paraId="3DD7D59F" w14:textId="5C654F8E">
            <w:pPr>
              <w:spacing w:before="240"/>
              <w:rPr>
                <w:color w:val="000000"/>
              </w:rPr>
            </w:pPr>
            <w:r w:rsidRPr="00116554">
              <w:rPr>
                <w:color w:val="000000"/>
              </w:rPr>
              <w:t>Reina Yanagiba, TURN Legal Assistant</w:t>
            </w:r>
          </w:p>
        </w:tc>
        <w:tc>
          <w:tcPr>
            <w:tcW w:w="965" w:type="dxa"/>
          </w:tcPr>
          <w:p w:rsidRPr="00116554" w:rsidR="00116554" w:rsidP="00116554" w:rsidRDefault="00116554" w14:paraId="1C2AF906" w14:textId="35A9E01D">
            <w:pPr>
              <w:spacing w:before="240"/>
              <w:rPr>
                <w:color w:val="000000"/>
              </w:rPr>
            </w:pPr>
            <w:r w:rsidRPr="00116554">
              <w:rPr>
                <w:color w:val="000000"/>
              </w:rPr>
              <w:t>2024</w:t>
            </w:r>
          </w:p>
        </w:tc>
        <w:tc>
          <w:tcPr>
            <w:tcW w:w="925" w:type="dxa"/>
            <w:gridSpan w:val="2"/>
          </w:tcPr>
          <w:p w:rsidRPr="00116554" w:rsidR="00116554" w:rsidP="00116554" w:rsidRDefault="00116554" w14:paraId="37A020DD" w14:textId="52787E3C">
            <w:pPr>
              <w:spacing w:before="240"/>
              <w:rPr>
                <w:color w:val="000000"/>
              </w:rPr>
            </w:pPr>
            <w:r w:rsidRPr="00116554">
              <w:rPr>
                <w:color w:val="000000"/>
              </w:rPr>
              <w:t xml:space="preserve">0.25 </w:t>
            </w:r>
          </w:p>
        </w:tc>
        <w:tc>
          <w:tcPr>
            <w:tcW w:w="1080" w:type="dxa"/>
          </w:tcPr>
          <w:p w:rsidRPr="00116554" w:rsidR="00116554" w:rsidP="00116554" w:rsidRDefault="00116554" w14:paraId="15199548" w14:textId="2B3C5667">
            <w:pPr>
              <w:spacing w:before="240"/>
              <w:rPr>
                <w:color w:val="000000"/>
              </w:rPr>
            </w:pPr>
            <w:r w:rsidRPr="00116554">
              <w:rPr>
                <w:color w:val="000000"/>
              </w:rPr>
              <w:t>$100.00</w:t>
            </w:r>
          </w:p>
        </w:tc>
        <w:tc>
          <w:tcPr>
            <w:tcW w:w="1440" w:type="dxa"/>
            <w:gridSpan w:val="2"/>
            <w:tcBorders>
              <w:right w:val="single" w:color="auto" w:sz="4" w:space="0"/>
            </w:tcBorders>
          </w:tcPr>
          <w:p w:rsidRPr="00116554" w:rsidR="00116554" w:rsidP="00116554" w:rsidRDefault="00116554" w14:paraId="11809A37" w14:textId="44CB695C">
            <w:pPr>
              <w:spacing w:before="240"/>
              <w:rPr>
                <w:color w:val="000000"/>
              </w:rPr>
            </w:pPr>
            <w:r w:rsidRPr="00116554">
              <w:rPr>
                <w:color w:val="000000"/>
              </w:rPr>
              <w:t>D.24-06-021</w:t>
            </w:r>
          </w:p>
        </w:tc>
        <w:tc>
          <w:tcPr>
            <w:tcW w:w="1423" w:type="dxa"/>
            <w:gridSpan w:val="2"/>
            <w:tcBorders>
              <w:top w:val="single" w:color="auto" w:sz="4" w:space="0"/>
              <w:left w:val="single" w:color="auto" w:sz="4" w:space="0"/>
              <w:bottom w:val="single" w:color="auto" w:sz="4" w:space="0"/>
              <w:right w:val="single" w:color="auto" w:sz="24" w:space="0"/>
            </w:tcBorders>
          </w:tcPr>
          <w:p w:rsidRPr="00116554" w:rsidR="00116554" w:rsidP="00116554" w:rsidRDefault="00116554" w14:paraId="0DA8E628" w14:textId="7297D831">
            <w:pPr>
              <w:spacing w:before="240"/>
              <w:rPr>
                <w:color w:val="000000"/>
              </w:rPr>
            </w:pPr>
            <w:r w:rsidRPr="00116554">
              <w:rPr>
                <w:color w:val="000000"/>
              </w:rPr>
              <w:t xml:space="preserve"> $25.00 </w:t>
            </w:r>
          </w:p>
        </w:tc>
        <w:tc>
          <w:tcPr>
            <w:tcW w:w="955" w:type="dxa"/>
            <w:tcBorders>
              <w:left w:val="single" w:color="auto" w:sz="4" w:space="0"/>
            </w:tcBorders>
          </w:tcPr>
          <w:p w:rsidRPr="007F620E" w:rsidR="00116554" w:rsidP="00116554" w:rsidRDefault="00B62A80" w14:paraId="23924C86" w14:textId="60C0A69A">
            <w:pPr>
              <w:spacing w:before="240"/>
              <w:jc w:val="center"/>
              <w:rPr>
                <w:color w:val="000000"/>
              </w:rPr>
            </w:pPr>
            <w:r>
              <w:rPr>
                <w:color w:val="000000"/>
              </w:rPr>
              <w:t>0.25</w:t>
            </w:r>
          </w:p>
        </w:tc>
        <w:tc>
          <w:tcPr>
            <w:tcW w:w="1146" w:type="dxa"/>
          </w:tcPr>
          <w:p w:rsidRPr="007F620E" w:rsidR="00116554" w:rsidP="00116554" w:rsidRDefault="00924A1A" w14:paraId="3E8E68CD" w14:textId="2CD4A0DC">
            <w:pPr>
              <w:spacing w:before="240"/>
              <w:jc w:val="right"/>
              <w:rPr>
                <w:color w:val="000000"/>
              </w:rPr>
            </w:pPr>
            <w:r>
              <w:rPr>
                <w:color w:val="000000"/>
              </w:rPr>
              <w:t>$100.00 [3]</w:t>
            </w:r>
          </w:p>
        </w:tc>
        <w:tc>
          <w:tcPr>
            <w:tcW w:w="1881" w:type="dxa"/>
          </w:tcPr>
          <w:p w:rsidRPr="007F620E" w:rsidR="00116554" w:rsidP="00116554" w:rsidRDefault="00CD2EEE" w14:paraId="78575C2F" w14:textId="753FD82C">
            <w:pPr>
              <w:spacing w:before="240"/>
              <w:jc w:val="right"/>
              <w:rPr>
                <w:color w:val="000000"/>
              </w:rPr>
            </w:pPr>
            <w:r>
              <w:rPr>
                <w:color w:val="000000"/>
              </w:rPr>
              <w:t>$25.00</w:t>
            </w:r>
          </w:p>
        </w:tc>
      </w:tr>
      <w:tr w:rsidRPr="007F620E" w:rsidR="00116554" w:rsidTr="00D46CE8" w14:paraId="0CB07021" w14:textId="77777777">
        <w:trPr>
          <w:jc w:val="center"/>
        </w:trPr>
        <w:tc>
          <w:tcPr>
            <w:tcW w:w="1345" w:type="dxa"/>
          </w:tcPr>
          <w:p w:rsidRPr="00116554" w:rsidR="00116554" w:rsidP="00116554" w:rsidRDefault="00116554" w14:paraId="465D8E7A" w14:textId="70FC6F51">
            <w:pPr>
              <w:spacing w:before="240"/>
              <w:rPr>
                <w:color w:val="000000"/>
              </w:rPr>
            </w:pPr>
            <w:r w:rsidRPr="00116554">
              <w:rPr>
                <w:color w:val="000000"/>
              </w:rPr>
              <w:t>Robert Finkelstein, TURN General Counsel</w:t>
            </w:r>
          </w:p>
        </w:tc>
        <w:tc>
          <w:tcPr>
            <w:tcW w:w="965" w:type="dxa"/>
          </w:tcPr>
          <w:p w:rsidRPr="00116554" w:rsidR="00116554" w:rsidP="00116554" w:rsidRDefault="00116554" w14:paraId="0E2FA668" w14:textId="1F476EFD">
            <w:pPr>
              <w:spacing w:before="240"/>
              <w:rPr>
                <w:color w:val="000000"/>
              </w:rPr>
            </w:pPr>
            <w:r w:rsidRPr="00116554">
              <w:rPr>
                <w:color w:val="000000"/>
              </w:rPr>
              <w:t>2023</w:t>
            </w:r>
          </w:p>
        </w:tc>
        <w:tc>
          <w:tcPr>
            <w:tcW w:w="925" w:type="dxa"/>
            <w:gridSpan w:val="2"/>
          </w:tcPr>
          <w:p w:rsidRPr="00116554" w:rsidR="00116554" w:rsidP="00116554" w:rsidRDefault="00116554" w14:paraId="550F8D37" w14:textId="738F9EAF">
            <w:pPr>
              <w:spacing w:before="240"/>
              <w:rPr>
                <w:color w:val="000000"/>
              </w:rPr>
            </w:pPr>
            <w:r w:rsidRPr="00116554">
              <w:rPr>
                <w:color w:val="000000"/>
              </w:rPr>
              <w:t xml:space="preserve">3.25 </w:t>
            </w:r>
          </w:p>
        </w:tc>
        <w:tc>
          <w:tcPr>
            <w:tcW w:w="1080" w:type="dxa"/>
          </w:tcPr>
          <w:p w:rsidRPr="00116554" w:rsidR="00116554" w:rsidP="00116554" w:rsidRDefault="00116554" w14:paraId="50A961FA" w14:textId="5E993D4E">
            <w:pPr>
              <w:spacing w:before="240"/>
              <w:rPr>
                <w:color w:val="000000"/>
              </w:rPr>
            </w:pPr>
            <w:r w:rsidRPr="00116554">
              <w:rPr>
                <w:color w:val="000000"/>
              </w:rPr>
              <w:t>$840.00</w:t>
            </w:r>
          </w:p>
        </w:tc>
        <w:tc>
          <w:tcPr>
            <w:tcW w:w="1440" w:type="dxa"/>
            <w:gridSpan w:val="2"/>
            <w:tcBorders>
              <w:right w:val="single" w:color="auto" w:sz="4" w:space="0"/>
            </w:tcBorders>
          </w:tcPr>
          <w:p w:rsidRPr="00116554" w:rsidR="00116554" w:rsidP="00116554" w:rsidRDefault="00116554" w14:paraId="0D209C59" w14:textId="37D1C9F4">
            <w:pPr>
              <w:spacing w:before="240"/>
              <w:rPr>
                <w:color w:val="000000"/>
              </w:rPr>
            </w:pPr>
            <w:r w:rsidRPr="00116554">
              <w:rPr>
                <w:color w:val="000000"/>
              </w:rPr>
              <w:t>D.24-02-040</w:t>
            </w:r>
          </w:p>
        </w:tc>
        <w:tc>
          <w:tcPr>
            <w:tcW w:w="1423" w:type="dxa"/>
            <w:gridSpan w:val="2"/>
            <w:tcBorders>
              <w:top w:val="single" w:color="auto" w:sz="4" w:space="0"/>
              <w:left w:val="single" w:color="auto" w:sz="4" w:space="0"/>
              <w:bottom w:val="single" w:color="auto" w:sz="4" w:space="0"/>
              <w:right w:val="single" w:color="auto" w:sz="24" w:space="0"/>
            </w:tcBorders>
          </w:tcPr>
          <w:p w:rsidRPr="00116554" w:rsidR="00116554" w:rsidP="00116554" w:rsidRDefault="00116554" w14:paraId="371AC4B8" w14:textId="464DC24B">
            <w:pPr>
              <w:spacing w:before="240"/>
              <w:rPr>
                <w:color w:val="000000"/>
              </w:rPr>
            </w:pPr>
            <w:r w:rsidRPr="00116554">
              <w:rPr>
                <w:color w:val="000000"/>
              </w:rPr>
              <w:t xml:space="preserve"> $2,730.00 </w:t>
            </w:r>
          </w:p>
        </w:tc>
        <w:tc>
          <w:tcPr>
            <w:tcW w:w="955" w:type="dxa"/>
            <w:tcBorders>
              <w:left w:val="single" w:color="auto" w:sz="4" w:space="0"/>
            </w:tcBorders>
          </w:tcPr>
          <w:p w:rsidRPr="007F620E" w:rsidR="00116554" w:rsidP="00116554" w:rsidRDefault="00B62A80" w14:paraId="18F99E23" w14:textId="221C2679">
            <w:pPr>
              <w:spacing w:before="240"/>
              <w:jc w:val="center"/>
              <w:rPr>
                <w:color w:val="000000"/>
              </w:rPr>
            </w:pPr>
            <w:r>
              <w:rPr>
                <w:color w:val="000000"/>
              </w:rPr>
              <w:t>3.25</w:t>
            </w:r>
          </w:p>
        </w:tc>
        <w:tc>
          <w:tcPr>
            <w:tcW w:w="1146" w:type="dxa"/>
          </w:tcPr>
          <w:p w:rsidRPr="007F620E" w:rsidR="00116554" w:rsidP="00116554" w:rsidRDefault="00924A1A" w14:paraId="3B346FA5" w14:textId="52C10937">
            <w:pPr>
              <w:spacing w:before="240"/>
              <w:jc w:val="right"/>
              <w:rPr>
                <w:color w:val="000000"/>
              </w:rPr>
            </w:pPr>
            <w:r>
              <w:rPr>
                <w:color w:val="000000"/>
              </w:rPr>
              <w:t>$</w:t>
            </w:r>
            <w:r w:rsidR="00467576">
              <w:rPr>
                <w:color w:val="000000"/>
              </w:rPr>
              <w:t>840.00 [4]</w:t>
            </w:r>
          </w:p>
        </w:tc>
        <w:tc>
          <w:tcPr>
            <w:tcW w:w="1881" w:type="dxa"/>
          </w:tcPr>
          <w:p w:rsidRPr="007F620E" w:rsidR="00116554" w:rsidP="00116554" w:rsidRDefault="00CD2EEE" w14:paraId="65ABD8FE" w14:textId="56BCD2A2">
            <w:pPr>
              <w:spacing w:before="240"/>
              <w:jc w:val="right"/>
              <w:rPr>
                <w:color w:val="000000"/>
              </w:rPr>
            </w:pPr>
            <w:r>
              <w:rPr>
                <w:color w:val="000000"/>
              </w:rPr>
              <w:t>$2,730.00</w:t>
            </w:r>
          </w:p>
        </w:tc>
      </w:tr>
      <w:tr w:rsidRPr="007F620E" w:rsidR="00116554" w:rsidTr="00D46CE8" w14:paraId="0BF84921" w14:textId="77777777">
        <w:trPr>
          <w:jc w:val="center"/>
        </w:trPr>
        <w:tc>
          <w:tcPr>
            <w:tcW w:w="1345" w:type="dxa"/>
          </w:tcPr>
          <w:p w:rsidRPr="00116554" w:rsidR="00116554" w:rsidP="00116554" w:rsidRDefault="00116554" w14:paraId="58BA760B" w14:textId="75F7211E">
            <w:pPr>
              <w:spacing w:before="240"/>
              <w:rPr>
                <w:color w:val="000000"/>
              </w:rPr>
            </w:pPr>
            <w:r w:rsidRPr="00116554">
              <w:rPr>
                <w:color w:val="000000"/>
              </w:rPr>
              <w:lastRenderedPageBreak/>
              <w:t>Robert Finkelstein, TURN General Counsel</w:t>
            </w:r>
          </w:p>
        </w:tc>
        <w:tc>
          <w:tcPr>
            <w:tcW w:w="965" w:type="dxa"/>
          </w:tcPr>
          <w:p w:rsidRPr="00116554" w:rsidR="00116554" w:rsidP="00116554" w:rsidRDefault="00116554" w14:paraId="044F74C4" w14:textId="3919554C">
            <w:pPr>
              <w:spacing w:before="240"/>
              <w:rPr>
                <w:color w:val="000000"/>
              </w:rPr>
            </w:pPr>
            <w:r w:rsidRPr="00116554">
              <w:rPr>
                <w:color w:val="000000"/>
              </w:rPr>
              <w:t>2024</w:t>
            </w:r>
          </w:p>
        </w:tc>
        <w:tc>
          <w:tcPr>
            <w:tcW w:w="925" w:type="dxa"/>
            <w:gridSpan w:val="2"/>
          </w:tcPr>
          <w:p w:rsidRPr="00116554" w:rsidR="00116554" w:rsidP="00116554" w:rsidRDefault="00116554" w14:paraId="773F44D6" w14:textId="67C78613">
            <w:pPr>
              <w:spacing w:before="240"/>
              <w:rPr>
                <w:color w:val="000000"/>
              </w:rPr>
            </w:pPr>
            <w:r w:rsidRPr="00116554">
              <w:rPr>
                <w:color w:val="000000"/>
              </w:rPr>
              <w:t xml:space="preserve">2.00 </w:t>
            </w:r>
          </w:p>
        </w:tc>
        <w:tc>
          <w:tcPr>
            <w:tcW w:w="1080" w:type="dxa"/>
          </w:tcPr>
          <w:p w:rsidRPr="00116554" w:rsidR="00116554" w:rsidP="00116554" w:rsidRDefault="00116554" w14:paraId="5140CA71" w14:textId="2738318C">
            <w:pPr>
              <w:spacing w:before="240"/>
              <w:rPr>
                <w:color w:val="000000"/>
              </w:rPr>
            </w:pPr>
            <w:r w:rsidRPr="00116554">
              <w:rPr>
                <w:color w:val="000000"/>
              </w:rPr>
              <w:t>$875.00</w:t>
            </w:r>
          </w:p>
        </w:tc>
        <w:tc>
          <w:tcPr>
            <w:tcW w:w="1440" w:type="dxa"/>
            <w:gridSpan w:val="2"/>
            <w:tcBorders>
              <w:right w:val="single" w:color="auto" w:sz="4" w:space="0"/>
            </w:tcBorders>
          </w:tcPr>
          <w:p w:rsidRPr="00116554" w:rsidR="00116554" w:rsidP="00116554" w:rsidRDefault="00116554" w14:paraId="3DA31EE7" w14:textId="4D17CC9B">
            <w:pPr>
              <w:spacing w:before="240"/>
              <w:rPr>
                <w:color w:val="000000"/>
              </w:rPr>
            </w:pPr>
            <w:r w:rsidRPr="00116554">
              <w:rPr>
                <w:color w:val="000000"/>
              </w:rPr>
              <w:t>D.24-07-033</w:t>
            </w:r>
          </w:p>
        </w:tc>
        <w:tc>
          <w:tcPr>
            <w:tcW w:w="1423" w:type="dxa"/>
            <w:gridSpan w:val="2"/>
            <w:tcBorders>
              <w:top w:val="single" w:color="auto" w:sz="4" w:space="0"/>
              <w:left w:val="single" w:color="auto" w:sz="4" w:space="0"/>
              <w:bottom w:val="single" w:color="auto" w:sz="4" w:space="0"/>
              <w:right w:val="single" w:color="auto" w:sz="24" w:space="0"/>
            </w:tcBorders>
          </w:tcPr>
          <w:p w:rsidRPr="00116554" w:rsidR="00116554" w:rsidP="00116554" w:rsidRDefault="00116554" w14:paraId="35E55331" w14:textId="30237FB4">
            <w:pPr>
              <w:spacing w:before="240"/>
              <w:rPr>
                <w:color w:val="000000"/>
              </w:rPr>
            </w:pPr>
            <w:r w:rsidRPr="00116554">
              <w:rPr>
                <w:color w:val="000000"/>
              </w:rPr>
              <w:t xml:space="preserve"> $1,750.00 </w:t>
            </w:r>
          </w:p>
        </w:tc>
        <w:tc>
          <w:tcPr>
            <w:tcW w:w="955" w:type="dxa"/>
            <w:tcBorders>
              <w:left w:val="single" w:color="auto" w:sz="4" w:space="0"/>
            </w:tcBorders>
          </w:tcPr>
          <w:p w:rsidRPr="007F620E" w:rsidR="00116554" w:rsidP="00116554" w:rsidRDefault="00B62A80" w14:paraId="39B55F62" w14:textId="1E0C2DE6">
            <w:pPr>
              <w:spacing w:before="240"/>
              <w:jc w:val="center"/>
              <w:rPr>
                <w:color w:val="000000"/>
              </w:rPr>
            </w:pPr>
            <w:r>
              <w:rPr>
                <w:color w:val="000000"/>
              </w:rPr>
              <w:t>2.00</w:t>
            </w:r>
          </w:p>
        </w:tc>
        <w:tc>
          <w:tcPr>
            <w:tcW w:w="1146" w:type="dxa"/>
          </w:tcPr>
          <w:p w:rsidRPr="007F620E" w:rsidR="00116554" w:rsidP="00116554" w:rsidRDefault="00467576" w14:paraId="7E19119B" w14:textId="2349575A">
            <w:pPr>
              <w:spacing w:before="240"/>
              <w:jc w:val="right"/>
              <w:rPr>
                <w:color w:val="000000"/>
              </w:rPr>
            </w:pPr>
            <w:r>
              <w:rPr>
                <w:color w:val="000000"/>
              </w:rPr>
              <w:t>$875.00 [3]</w:t>
            </w:r>
          </w:p>
        </w:tc>
        <w:tc>
          <w:tcPr>
            <w:tcW w:w="1881" w:type="dxa"/>
          </w:tcPr>
          <w:p w:rsidR="00116554" w:rsidP="00116554" w:rsidRDefault="00CD2EEE" w14:paraId="2CD3B5C3" w14:textId="58E042C4">
            <w:pPr>
              <w:spacing w:before="240"/>
              <w:jc w:val="right"/>
              <w:rPr>
                <w:color w:val="000000"/>
              </w:rPr>
            </w:pPr>
            <w:r>
              <w:rPr>
                <w:color w:val="000000"/>
              </w:rPr>
              <w:t>$1,750.00</w:t>
            </w:r>
          </w:p>
          <w:p w:rsidRPr="00CD2EEE" w:rsidR="00CD2EEE" w:rsidP="00CD2EEE" w:rsidRDefault="00CD2EEE" w14:paraId="22C573CD" w14:textId="50F0D03B">
            <w:pPr>
              <w:tabs>
                <w:tab w:val="left" w:pos="1507"/>
              </w:tabs>
            </w:pPr>
            <w:r>
              <w:tab/>
            </w:r>
          </w:p>
        </w:tc>
      </w:tr>
      <w:tr w:rsidRPr="007F620E" w:rsidR="00625B30" w:rsidTr="00A47EB7" w14:paraId="2C59CE5E" w14:textId="77777777">
        <w:trPr>
          <w:jc w:val="center"/>
        </w:trPr>
        <w:tc>
          <w:tcPr>
            <w:tcW w:w="7178" w:type="dxa"/>
            <w:gridSpan w:val="9"/>
            <w:tcBorders>
              <w:bottom w:val="single" w:color="auto" w:sz="4" w:space="0"/>
              <w:right w:val="single" w:color="auto" w:sz="24" w:space="0"/>
            </w:tcBorders>
            <w:vAlign w:val="bottom"/>
          </w:tcPr>
          <w:p w:rsidRPr="00374FD1" w:rsidR="00625B30" w:rsidP="00625B30" w:rsidRDefault="00625B30" w14:paraId="4F1A3FAB" w14:textId="303191FD">
            <w:pPr>
              <w:tabs>
                <w:tab w:val="left" w:pos="957"/>
              </w:tabs>
              <w:spacing w:before="60" w:after="60"/>
              <w:ind w:right="162"/>
              <w:jc w:val="right"/>
              <w:rPr>
                <w:b/>
                <w:i/>
                <w:color w:val="000000"/>
              </w:rPr>
            </w:pPr>
            <w:r w:rsidRPr="007F620E">
              <w:rPr>
                <w:b/>
                <w:i/>
                <w:color w:val="000000"/>
              </w:rPr>
              <w:t xml:space="preserve">Subtotal: </w:t>
            </w:r>
            <w:r w:rsidRPr="00116554" w:rsidR="00116554">
              <w:rPr>
                <w:b/>
                <w:i/>
                <w:color w:val="000000"/>
              </w:rPr>
              <w:t>$183,811.57</w:t>
            </w:r>
          </w:p>
        </w:tc>
        <w:tc>
          <w:tcPr>
            <w:tcW w:w="3982" w:type="dxa"/>
            <w:gridSpan w:val="3"/>
            <w:tcBorders>
              <w:left w:val="single" w:color="auto" w:sz="24" w:space="0"/>
              <w:bottom w:val="single" w:color="auto" w:sz="4" w:space="0"/>
            </w:tcBorders>
            <w:vAlign w:val="bottom"/>
          </w:tcPr>
          <w:p w:rsidRPr="007F620E" w:rsidR="00625B30" w:rsidP="00625B30" w:rsidRDefault="00625B30" w14:paraId="3D09644E" w14:textId="03AD5124">
            <w:pPr>
              <w:tabs>
                <w:tab w:val="left" w:pos="957"/>
              </w:tabs>
              <w:spacing w:before="60" w:after="60"/>
              <w:ind w:right="162"/>
              <w:jc w:val="right"/>
              <w:rPr>
                <w:color w:val="000000"/>
              </w:rPr>
            </w:pPr>
            <w:r w:rsidRPr="007F620E">
              <w:rPr>
                <w:b/>
                <w:i/>
                <w:color w:val="000000"/>
              </w:rPr>
              <w:t xml:space="preserve">Subtotal: </w:t>
            </w:r>
            <w:r w:rsidRPr="007F620E">
              <w:rPr>
                <w:b/>
                <w:color w:val="000000"/>
              </w:rPr>
              <w:t>$</w:t>
            </w:r>
            <w:r w:rsidRPr="00116554" w:rsidR="00DC0497">
              <w:rPr>
                <w:b/>
                <w:i/>
                <w:color w:val="000000"/>
              </w:rPr>
              <w:t>183,811.57</w:t>
            </w:r>
          </w:p>
        </w:tc>
      </w:tr>
      <w:tr w:rsidRPr="007F620E" w:rsidR="00625B30" w:rsidTr="00A47EB7" w14:paraId="09A7632E"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E6E6E6"/>
          </w:tcPr>
          <w:p w:rsidRPr="007F620E" w:rsidR="00625B30" w:rsidP="00625B30" w:rsidRDefault="00625B30" w14:paraId="1AF02425" w14:textId="77777777">
            <w:pPr>
              <w:keepNext/>
              <w:spacing w:before="60" w:after="60"/>
              <w:jc w:val="center"/>
              <w:rPr>
                <w:color w:val="000000"/>
              </w:rPr>
            </w:pPr>
            <w:r w:rsidRPr="007F620E">
              <w:rPr>
                <w:b/>
                <w:color w:val="000000"/>
              </w:rPr>
              <w:t xml:space="preserve">INTERVENOR COMPENSATION CLAIM PREPARATION </w:t>
            </w:r>
            <w:r w:rsidRPr="007F620E">
              <w:rPr>
                <w:b/>
                <w:smallCaps/>
                <w:color w:val="000000"/>
              </w:rPr>
              <w:t xml:space="preserve"> **</w:t>
            </w:r>
          </w:p>
        </w:tc>
      </w:tr>
      <w:tr w:rsidRPr="00260518" w:rsidR="00625B30" w:rsidTr="001D366B" w14:paraId="1907DE32" w14:textId="77777777">
        <w:trPr>
          <w:jc w:val="center"/>
        </w:trPr>
        <w:tc>
          <w:tcPr>
            <w:tcW w:w="1345" w:type="dxa"/>
            <w:tcBorders>
              <w:top w:val="single" w:color="auto" w:sz="4" w:space="0"/>
              <w:bottom w:val="single" w:color="auto" w:sz="4" w:space="0"/>
            </w:tcBorders>
            <w:vAlign w:val="bottom"/>
          </w:tcPr>
          <w:p w:rsidRPr="00260518" w:rsidR="00625B30" w:rsidP="00625B30" w:rsidRDefault="00625B30" w14:paraId="759496FA" w14:textId="77777777">
            <w:pPr>
              <w:keepNext/>
              <w:spacing w:before="60" w:after="60"/>
              <w:jc w:val="center"/>
              <w:rPr>
                <w:b/>
                <w:color w:val="000000"/>
                <w:sz w:val="22"/>
                <w:szCs w:val="22"/>
              </w:rPr>
            </w:pPr>
            <w:r w:rsidRPr="00260518">
              <w:rPr>
                <w:b/>
                <w:color w:val="000000"/>
                <w:sz w:val="22"/>
                <w:szCs w:val="22"/>
              </w:rPr>
              <w:t>Item</w:t>
            </w:r>
          </w:p>
        </w:tc>
        <w:tc>
          <w:tcPr>
            <w:tcW w:w="965" w:type="dxa"/>
            <w:tcBorders>
              <w:top w:val="single" w:color="auto" w:sz="4" w:space="0"/>
              <w:bottom w:val="single" w:color="auto" w:sz="4" w:space="0"/>
            </w:tcBorders>
            <w:vAlign w:val="bottom"/>
          </w:tcPr>
          <w:p w:rsidRPr="00260518" w:rsidR="00625B30" w:rsidP="00625B30" w:rsidRDefault="00625B30" w14:paraId="6070E8A8" w14:textId="77777777">
            <w:pPr>
              <w:keepNext/>
              <w:spacing w:before="60" w:after="60"/>
              <w:jc w:val="center"/>
              <w:rPr>
                <w:b/>
                <w:color w:val="000000"/>
                <w:sz w:val="22"/>
                <w:szCs w:val="22"/>
              </w:rPr>
            </w:pPr>
            <w:r w:rsidRPr="00260518">
              <w:rPr>
                <w:b/>
                <w:color w:val="000000"/>
                <w:sz w:val="22"/>
                <w:szCs w:val="22"/>
              </w:rPr>
              <w:t>Year</w:t>
            </w:r>
          </w:p>
        </w:tc>
        <w:tc>
          <w:tcPr>
            <w:tcW w:w="925" w:type="dxa"/>
            <w:gridSpan w:val="2"/>
            <w:tcBorders>
              <w:top w:val="single" w:color="auto" w:sz="4" w:space="0"/>
              <w:bottom w:val="single" w:color="auto" w:sz="4" w:space="0"/>
            </w:tcBorders>
            <w:vAlign w:val="bottom"/>
          </w:tcPr>
          <w:p w:rsidRPr="00260518" w:rsidR="00625B30" w:rsidP="00625B30" w:rsidRDefault="00625B30" w14:paraId="669A6E30" w14:textId="77777777">
            <w:pPr>
              <w:keepNext/>
              <w:spacing w:before="60" w:after="60"/>
              <w:jc w:val="center"/>
              <w:rPr>
                <w:b/>
                <w:color w:val="000000"/>
                <w:sz w:val="22"/>
                <w:szCs w:val="22"/>
              </w:rPr>
            </w:pPr>
            <w:r w:rsidRPr="00260518">
              <w:rPr>
                <w:b/>
                <w:color w:val="000000"/>
                <w:sz w:val="22"/>
                <w:szCs w:val="22"/>
              </w:rPr>
              <w:t>Hours</w:t>
            </w:r>
          </w:p>
        </w:tc>
        <w:tc>
          <w:tcPr>
            <w:tcW w:w="1080" w:type="dxa"/>
            <w:tcBorders>
              <w:top w:val="single" w:color="auto" w:sz="4" w:space="0"/>
              <w:bottom w:val="single" w:color="auto" w:sz="4" w:space="0"/>
            </w:tcBorders>
            <w:vAlign w:val="bottom"/>
          </w:tcPr>
          <w:p w:rsidRPr="00260518" w:rsidR="00625B30" w:rsidP="00625B30" w:rsidRDefault="00625B30" w14:paraId="4D821CA0" w14:textId="77777777">
            <w:pPr>
              <w:keepNext/>
              <w:spacing w:before="60" w:after="60"/>
              <w:jc w:val="center"/>
              <w:rPr>
                <w:b/>
                <w:color w:val="000000"/>
                <w:sz w:val="22"/>
                <w:szCs w:val="22"/>
              </w:rPr>
            </w:pPr>
            <w:r w:rsidRPr="00260518">
              <w:rPr>
                <w:b/>
                <w:color w:val="000000"/>
                <w:sz w:val="22"/>
                <w:szCs w:val="22"/>
              </w:rPr>
              <w:t>Rate $</w:t>
            </w:r>
          </w:p>
        </w:tc>
        <w:tc>
          <w:tcPr>
            <w:tcW w:w="1440" w:type="dxa"/>
            <w:gridSpan w:val="2"/>
            <w:tcBorders>
              <w:top w:val="single" w:color="auto" w:sz="4" w:space="0"/>
              <w:bottom w:val="single" w:color="auto" w:sz="4" w:space="0"/>
              <w:right w:val="single" w:color="auto" w:sz="4" w:space="0"/>
            </w:tcBorders>
            <w:vAlign w:val="bottom"/>
          </w:tcPr>
          <w:p w:rsidRPr="00260518" w:rsidR="00625B30" w:rsidP="00625B30" w:rsidRDefault="00625B30" w14:paraId="13910344" w14:textId="77777777">
            <w:pPr>
              <w:keepNext/>
              <w:spacing w:before="60" w:after="60"/>
              <w:jc w:val="center"/>
              <w:rPr>
                <w:b/>
                <w:color w:val="000000"/>
                <w:sz w:val="22"/>
                <w:szCs w:val="22"/>
              </w:rPr>
            </w:pPr>
            <w:r w:rsidRPr="00260518">
              <w:rPr>
                <w:b/>
                <w:color w:val="000000"/>
                <w:sz w:val="22"/>
                <w:szCs w:val="22"/>
              </w:rPr>
              <w:t>Basis for Rate*</w:t>
            </w:r>
          </w:p>
        </w:tc>
        <w:tc>
          <w:tcPr>
            <w:tcW w:w="1423" w:type="dxa"/>
            <w:gridSpan w:val="2"/>
            <w:tcBorders>
              <w:top w:val="single" w:color="auto" w:sz="4" w:space="0"/>
              <w:left w:val="single" w:color="auto" w:sz="4" w:space="0"/>
              <w:bottom w:val="single" w:color="auto" w:sz="4" w:space="0"/>
              <w:right w:val="single" w:color="auto" w:sz="24" w:space="0"/>
            </w:tcBorders>
            <w:vAlign w:val="bottom"/>
          </w:tcPr>
          <w:p w:rsidRPr="00260518" w:rsidR="00625B30" w:rsidP="00625B30" w:rsidRDefault="00625B30" w14:paraId="3D36F2B6" w14:textId="77777777">
            <w:pPr>
              <w:keepNext/>
              <w:spacing w:before="60" w:after="60"/>
              <w:jc w:val="center"/>
              <w:rPr>
                <w:b/>
                <w:color w:val="000000"/>
                <w:sz w:val="22"/>
                <w:szCs w:val="22"/>
              </w:rPr>
            </w:pPr>
            <w:r w:rsidRPr="00260518">
              <w:rPr>
                <w:b/>
                <w:color w:val="000000"/>
                <w:sz w:val="22"/>
                <w:szCs w:val="22"/>
              </w:rPr>
              <w:t>Total $</w:t>
            </w:r>
          </w:p>
        </w:tc>
        <w:tc>
          <w:tcPr>
            <w:tcW w:w="955" w:type="dxa"/>
            <w:tcBorders>
              <w:top w:val="single" w:color="auto" w:sz="4" w:space="0"/>
              <w:left w:val="single" w:color="auto" w:sz="4" w:space="0"/>
            </w:tcBorders>
            <w:vAlign w:val="bottom"/>
          </w:tcPr>
          <w:p w:rsidRPr="00260518" w:rsidR="00625B30" w:rsidP="00625B30" w:rsidRDefault="00625B30" w14:paraId="000A1400" w14:textId="77777777">
            <w:pPr>
              <w:keepNext/>
              <w:spacing w:before="60" w:after="60"/>
              <w:jc w:val="center"/>
              <w:rPr>
                <w:b/>
                <w:color w:val="000000"/>
                <w:sz w:val="22"/>
                <w:szCs w:val="22"/>
              </w:rPr>
            </w:pPr>
            <w:r w:rsidRPr="00260518">
              <w:rPr>
                <w:b/>
                <w:color w:val="000000"/>
                <w:sz w:val="22"/>
                <w:szCs w:val="22"/>
              </w:rPr>
              <w:t>Hours</w:t>
            </w:r>
          </w:p>
        </w:tc>
        <w:tc>
          <w:tcPr>
            <w:tcW w:w="1146" w:type="dxa"/>
            <w:tcBorders>
              <w:top w:val="single" w:color="auto" w:sz="4" w:space="0"/>
            </w:tcBorders>
            <w:vAlign w:val="bottom"/>
          </w:tcPr>
          <w:p w:rsidRPr="00260518" w:rsidR="00625B30" w:rsidP="00625B30" w:rsidRDefault="00625B30" w14:paraId="1DADFC59" w14:textId="77777777">
            <w:pPr>
              <w:keepNext/>
              <w:spacing w:before="60" w:after="60"/>
              <w:jc w:val="center"/>
              <w:rPr>
                <w:b/>
                <w:color w:val="000000"/>
                <w:sz w:val="22"/>
                <w:szCs w:val="22"/>
              </w:rPr>
            </w:pPr>
            <w:r w:rsidRPr="00260518">
              <w:rPr>
                <w:b/>
                <w:color w:val="000000"/>
                <w:sz w:val="22"/>
                <w:szCs w:val="22"/>
              </w:rPr>
              <w:t xml:space="preserve">Rate </w:t>
            </w:r>
            <w:r>
              <w:rPr>
                <w:b/>
                <w:color w:val="000000"/>
                <w:sz w:val="22"/>
                <w:szCs w:val="22"/>
              </w:rPr>
              <w:t>$</w:t>
            </w:r>
          </w:p>
        </w:tc>
        <w:tc>
          <w:tcPr>
            <w:tcW w:w="1881" w:type="dxa"/>
            <w:tcBorders>
              <w:top w:val="single" w:color="auto" w:sz="4" w:space="0"/>
            </w:tcBorders>
            <w:vAlign w:val="bottom"/>
          </w:tcPr>
          <w:p w:rsidRPr="00260518" w:rsidR="00625B30" w:rsidP="00625B30" w:rsidRDefault="00625B30" w14:paraId="36B6AC97" w14:textId="77777777">
            <w:pPr>
              <w:keepNext/>
              <w:spacing w:before="60" w:after="60"/>
              <w:jc w:val="center"/>
              <w:rPr>
                <w:b/>
                <w:color w:val="000000"/>
                <w:sz w:val="22"/>
                <w:szCs w:val="22"/>
              </w:rPr>
            </w:pPr>
            <w:r w:rsidRPr="00260518">
              <w:rPr>
                <w:b/>
                <w:color w:val="000000"/>
                <w:sz w:val="22"/>
                <w:szCs w:val="22"/>
              </w:rPr>
              <w:t>Total $</w:t>
            </w:r>
          </w:p>
        </w:tc>
      </w:tr>
      <w:tr w:rsidRPr="007F620E" w:rsidR="00116554" w:rsidTr="00D46CE8" w14:paraId="480E051E" w14:textId="77777777">
        <w:trPr>
          <w:jc w:val="center"/>
        </w:trPr>
        <w:tc>
          <w:tcPr>
            <w:tcW w:w="1345" w:type="dxa"/>
          </w:tcPr>
          <w:p w:rsidRPr="00116554" w:rsidR="00116554" w:rsidP="00116554" w:rsidRDefault="00116554" w14:paraId="5DE3E6A0" w14:textId="26944301">
            <w:pPr>
              <w:spacing w:before="60" w:after="60"/>
              <w:rPr>
                <w:color w:val="000000"/>
                <w:sz w:val="22"/>
                <w:szCs w:val="22"/>
              </w:rPr>
            </w:pPr>
            <w:r w:rsidRPr="00116554">
              <w:rPr>
                <w:color w:val="000000"/>
              </w:rPr>
              <w:t>Elise Torres, TURN Attorney</w:t>
            </w:r>
          </w:p>
        </w:tc>
        <w:tc>
          <w:tcPr>
            <w:tcW w:w="965" w:type="dxa"/>
          </w:tcPr>
          <w:p w:rsidRPr="00116554" w:rsidR="00116554" w:rsidP="00116554" w:rsidRDefault="00116554" w14:paraId="0B136663" w14:textId="140D185C">
            <w:pPr>
              <w:spacing w:before="60" w:after="60"/>
              <w:rPr>
                <w:color w:val="000000"/>
                <w:sz w:val="22"/>
                <w:szCs w:val="22"/>
              </w:rPr>
            </w:pPr>
            <w:r w:rsidRPr="00116554">
              <w:rPr>
                <w:color w:val="000000"/>
              </w:rPr>
              <w:t>2023</w:t>
            </w:r>
          </w:p>
        </w:tc>
        <w:tc>
          <w:tcPr>
            <w:tcW w:w="925" w:type="dxa"/>
            <w:gridSpan w:val="2"/>
          </w:tcPr>
          <w:p w:rsidRPr="00116554" w:rsidR="00116554" w:rsidP="00116554" w:rsidRDefault="00116554" w14:paraId="024BAAC7" w14:textId="059D4983">
            <w:pPr>
              <w:spacing w:before="60" w:after="60"/>
              <w:rPr>
                <w:color w:val="000000"/>
                <w:sz w:val="22"/>
                <w:szCs w:val="22"/>
              </w:rPr>
            </w:pPr>
            <w:r w:rsidRPr="00116554">
              <w:rPr>
                <w:color w:val="000000"/>
              </w:rPr>
              <w:t xml:space="preserve">1.00 </w:t>
            </w:r>
          </w:p>
        </w:tc>
        <w:tc>
          <w:tcPr>
            <w:tcW w:w="1080" w:type="dxa"/>
          </w:tcPr>
          <w:p w:rsidRPr="00116554" w:rsidR="00116554" w:rsidP="00116554" w:rsidRDefault="00116554" w14:paraId="2BE33A5C" w14:textId="25ACF005">
            <w:pPr>
              <w:spacing w:before="60" w:after="60"/>
              <w:rPr>
                <w:color w:val="000000"/>
                <w:sz w:val="22"/>
                <w:szCs w:val="22"/>
              </w:rPr>
            </w:pPr>
            <w:r w:rsidRPr="00116554">
              <w:rPr>
                <w:color w:val="000000"/>
              </w:rPr>
              <w:t>$255.00</w:t>
            </w:r>
          </w:p>
        </w:tc>
        <w:tc>
          <w:tcPr>
            <w:tcW w:w="1440" w:type="dxa"/>
            <w:gridSpan w:val="2"/>
            <w:tcBorders>
              <w:right w:val="single" w:color="auto" w:sz="4" w:space="0"/>
            </w:tcBorders>
          </w:tcPr>
          <w:p w:rsidRPr="00116554" w:rsidR="00116554" w:rsidP="00116554" w:rsidRDefault="00116554" w14:paraId="47429964" w14:textId="4429F632">
            <w:pPr>
              <w:spacing w:before="60" w:after="60"/>
              <w:rPr>
                <w:color w:val="000000"/>
                <w:sz w:val="22"/>
                <w:szCs w:val="22"/>
              </w:rPr>
            </w:pPr>
            <w:r w:rsidRPr="00116554">
              <w:rPr>
                <w:color w:val="000000"/>
              </w:rPr>
              <w:t>50% of 2023 Hourly Rate</w:t>
            </w:r>
          </w:p>
        </w:tc>
        <w:tc>
          <w:tcPr>
            <w:tcW w:w="1423" w:type="dxa"/>
            <w:gridSpan w:val="2"/>
            <w:tcBorders>
              <w:top w:val="single" w:color="auto" w:sz="4" w:space="0"/>
              <w:left w:val="single" w:color="auto" w:sz="4" w:space="0"/>
              <w:bottom w:val="single" w:color="auto" w:sz="4" w:space="0"/>
              <w:right w:val="single" w:color="auto" w:sz="24" w:space="0"/>
            </w:tcBorders>
          </w:tcPr>
          <w:p w:rsidRPr="00116554" w:rsidR="00116554" w:rsidP="00116554" w:rsidRDefault="00116554" w14:paraId="6103641F" w14:textId="38ACA03E">
            <w:pPr>
              <w:spacing w:before="60" w:after="60"/>
              <w:rPr>
                <w:color w:val="000000"/>
                <w:sz w:val="22"/>
                <w:szCs w:val="22"/>
              </w:rPr>
            </w:pPr>
            <w:r w:rsidRPr="00116554">
              <w:rPr>
                <w:color w:val="000000"/>
              </w:rPr>
              <w:t xml:space="preserve"> $255.00 </w:t>
            </w:r>
          </w:p>
        </w:tc>
        <w:tc>
          <w:tcPr>
            <w:tcW w:w="955" w:type="dxa"/>
            <w:tcBorders>
              <w:left w:val="single" w:color="auto" w:sz="4" w:space="0"/>
              <w:right w:val="single" w:color="auto" w:sz="4" w:space="0"/>
            </w:tcBorders>
          </w:tcPr>
          <w:p w:rsidRPr="007F620E" w:rsidR="00116554" w:rsidP="00116554" w:rsidRDefault="00B62A80" w14:paraId="5A24EE73" w14:textId="710F54A3">
            <w:pPr>
              <w:spacing w:before="60" w:after="60"/>
              <w:rPr>
                <w:color w:val="000000"/>
              </w:rPr>
            </w:pPr>
            <w:r>
              <w:rPr>
                <w:color w:val="000000"/>
              </w:rPr>
              <w:t>1.00</w:t>
            </w:r>
          </w:p>
        </w:tc>
        <w:tc>
          <w:tcPr>
            <w:tcW w:w="1146" w:type="dxa"/>
            <w:tcBorders>
              <w:left w:val="single" w:color="auto" w:sz="4" w:space="0"/>
            </w:tcBorders>
          </w:tcPr>
          <w:p w:rsidRPr="007F620E" w:rsidR="00116554" w:rsidP="00116554" w:rsidRDefault="00467576" w14:paraId="55DC8EEA" w14:textId="0BA70537">
            <w:pPr>
              <w:spacing w:before="60" w:after="60"/>
              <w:jc w:val="right"/>
              <w:rPr>
                <w:color w:val="000000"/>
              </w:rPr>
            </w:pPr>
            <w:r>
              <w:rPr>
                <w:color w:val="000000"/>
              </w:rPr>
              <w:t>$</w:t>
            </w:r>
            <w:r w:rsidR="00332F38">
              <w:rPr>
                <w:color w:val="000000"/>
              </w:rPr>
              <w:t>255.00 [1]</w:t>
            </w:r>
          </w:p>
        </w:tc>
        <w:tc>
          <w:tcPr>
            <w:tcW w:w="1881" w:type="dxa"/>
          </w:tcPr>
          <w:p w:rsidRPr="007F620E" w:rsidR="00116554" w:rsidP="00116554" w:rsidRDefault="00925809" w14:paraId="09637862" w14:textId="5D6D3011">
            <w:pPr>
              <w:spacing w:before="60" w:after="60"/>
              <w:jc w:val="right"/>
              <w:rPr>
                <w:color w:val="000000"/>
              </w:rPr>
            </w:pPr>
            <w:r>
              <w:rPr>
                <w:color w:val="000000"/>
              </w:rPr>
              <w:t>$255.00</w:t>
            </w:r>
          </w:p>
        </w:tc>
      </w:tr>
      <w:tr w:rsidRPr="007F620E" w:rsidR="00116554" w:rsidTr="00D46CE8" w14:paraId="1BBFB342" w14:textId="77777777">
        <w:trPr>
          <w:jc w:val="center"/>
        </w:trPr>
        <w:tc>
          <w:tcPr>
            <w:tcW w:w="1345" w:type="dxa"/>
          </w:tcPr>
          <w:p w:rsidRPr="00116554" w:rsidR="00116554" w:rsidP="00116554" w:rsidRDefault="00116554" w14:paraId="5CD681C1" w14:textId="710AF61E">
            <w:pPr>
              <w:spacing w:before="60" w:after="60"/>
              <w:rPr>
                <w:color w:val="000000"/>
                <w:sz w:val="22"/>
                <w:szCs w:val="22"/>
              </w:rPr>
            </w:pPr>
            <w:r w:rsidRPr="00116554">
              <w:rPr>
                <w:color w:val="000000"/>
              </w:rPr>
              <w:t>Elise Torres, TURN Attorney</w:t>
            </w:r>
          </w:p>
        </w:tc>
        <w:tc>
          <w:tcPr>
            <w:tcW w:w="965" w:type="dxa"/>
          </w:tcPr>
          <w:p w:rsidRPr="00116554" w:rsidR="00116554" w:rsidP="00116554" w:rsidRDefault="00116554" w14:paraId="2C3CA61A" w14:textId="6AD2B389">
            <w:pPr>
              <w:spacing w:before="60" w:after="60"/>
              <w:rPr>
                <w:color w:val="000000"/>
                <w:sz w:val="22"/>
                <w:szCs w:val="22"/>
              </w:rPr>
            </w:pPr>
            <w:r w:rsidRPr="00116554">
              <w:rPr>
                <w:color w:val="000000"/>
              </w:rPr>
              <w:t>2024</w:t>
            </w:r>
          </w:p>
        </w:tc>
        <w:tc>
          <w:tcPr>
            <w:tcW w:w="925" w:type="dxa"/>
            <w:gridSpan w:val="2"/>
          </w:tcPr>
          <w:p w:rsidRPr="00116554" w:rsidR="00116554" w:rsidP="00116554" w:rsidRDefault="00116554" w14:paraId="2DBCF6E2" w14:textId="7E19DC89">
            <w:pPr>
              <w:spacing w:before="60" w:after="60"/>
              <w:rPr>
                <w:color w:val="000000"/>
                <w:sz w:val="22"/>
                <w:szCs w:val="22"/>
              </w:rPr>
            </w:pPr>
            <w:r w:rsidRPr="00116554">
              <w:rPr>
                <w:color w:val="000000"/>
              </w:rPr>
              <w:t xml:space="preserve">0.25 </w:t>
            </w:r>
          </w:p>
        </w:tc>
        <w:tc>
          <w:tcPr>
            <w:tcW w:w="1080" w:type="dxa"/>
          </w:tcPr>
          <w:p w:rsidRPr="00116554" w:rsidR="00116554" w:rsidP="00116554" w:rsidRDefault="00116554" w14:paraId="455801DC" w14:textId="49CD4F89">
            <w:pPr>
              <w:spacing w:before="60" w:after="60"/>
              <w:rPr>
                <w:color w:val="000000"/>
                <w:sz w:val="22"/>
                <w:szCs w:val="22"/>
              </w:rPr>
            </w:pPr>
            <w:r w:rsidRPr="00116554">
              <w:rPr>
                <w:color w:val="000000"/>
              </w:rPr>
              <w:t>$277.50</w:t>
            </w:r>
          </w:p>
        </w:tc>
        <w:tc>
          <w:tcPr>
            <w:tcW w:w="1440" w:type="dxa"/>
            <w:gridSpan w:val="2"/>
            <w:tcBorders>
              <w:right w:val="single" w:color="auto" w:sz="4" w:space="0"/>
            </w:tcBorders>
          </w:tcPr>
          <w:p w:rsidRPr="00116554" w:rsidR="00116554" w:rsidP="00116554" w:rsidRDefault="00116554" w14:paraId="5C4C32E1" w14:textId="6058E00B">
            <w:pPr>
              <w:spacing w:before="60" w:after="60"/>
              <w:rPr>
                <w:color w:val="000000"/>
                <w:sz w:val="22"/>
                <w:szCs w:val="22"/>
              </w:rPr>
            </w:pPr>
            <w:r w:rsidRPr="00116554">
              <w:rPr>
                <w:color w:val="000000"/>
              </w:rPr>
              <w:t>50% of 2024 Hourly Rate</w:t>
            </w:r>
          </w:p>
        </w:tc>
        <w:tc>
          <w:tcPr>
            <w:tcW w:w="1423" w:type="dxa"/>
            <w:gridSpan w:val="2"/>
            <w:tcBorders>
              <w:top w:val="single" w:color="auto" w:sz="4" w:space="0"/>
              <w:left w:val="single" w:color="auto" w:sz="4" w:space="0"/>
              <w:bottom w:val="single" w:color="auto" w:sz="4" w:space="0"/>
              <w:right w:val="single" w:color="auto" w:sz="24" w:space="0"/>
            </w:tcBorders>
          </w:tcPr>
          <w:p w:rsidRPr="00116554" w:rsidR="00116554" w:rsidP="00116554" w:rsidRDefault="00116554" w14:paraId="7248D965" w14:textId="787842EE">
            <w:pPr>
              <w:spacing w:before="60" w:after="60"/>
              <w:rPr>
                <w:color w:val="000000"/>
                <w:sz w:val="22"/>
                <w:szCs w:val="22"/>
              </w:rPr>
            </w:pPr>
            <w:r w:rsidRPr="00116554">
              <w:rPr>
                <w:color w:val="000000"/>
              </w:rPr>
              <w:t xml:space="preserve"> $69.38 </w:t>
            </w:r>
          </w:p>
        </w:tc>
        <w:tc>
          <w:tcPr>
            <w:tcW w:w="955" w:type="dxa"/>
            <w:tcBorders>
              <w:left w:val="single" w:color="auto" w:sz="4" w:space="0"/>
              <w:right w:val="single" w:color="auto" w:sz="4" w:space="0"/>
            </w:tcBorders>
          </w:tcPr>
          <w:p w:rsidRPr="007F620E" w:rsidR="00116554" w:rsidP="00116554" w:rsidRDefault="00B62A80" w14:paraId="6FC8FAF7" w14:textId="74BDD07D">
            <w:pPr>
              <w:spacing w:before="60" w:after="60"/>
              <w:rPr>
                <w:color w:val="000000"/>
              </w:rPr>
            </w:pPr>
            <w:r>
              <w:rPr>
                <w:color w:val="000000"/>
              </w:rPr>
              <w:t>0.25</w:t>
            </w:r>
          </w:p>
        </w:tc>
        <w:tc>
          <w:tcPr>
            <w:tcW w:w="1146" w:type="dxa"/>
            <w:tcBorders>
              <w:left w:val="single" w:color="auto" w:sz="4" w:space="0"/>
            </w:tcBorders>
          </w:tcPr>
          <w:p w:rsidRPr="007F620E" w:rsidR="00116554" w:rsidP="00116554" w:rsidRDefault="00332F38" w14:paraId="0C50B890" w14:textId="03C9A97F">
            <w:pPr>
              <w:spacing w:before="60" w:after="60"/>
              <w:jc w:val="right"/>
              <w:rPr>
                <w:color w:val="000000"/>
              </w:rPr>
            </w:pPr>
            <w:r>
              <w:rPr>
                <w:color w:val="000000"/>
              </w:rPr>
              <w:t>$</w:t>
            </w:r>
            <w:r w:rsidR="00B67DB9">
              <w:rPr>
                <w:color w:val="000000"/>
              </w:rPr>
              <w:t>277.50 [1]</w:t>
            </w:r>
          </w:p>
        </w:tc>
        <w:tc>
          <w:tcPr>
            <w:tcW w:w="1881" w:type="dxa"/>
          </w:tcPr>
          <w:p w:rsidRPr="007F620E" w:rsidR="00116554" w:rsidP="00116554" w:rsidRDefault="00D81EF5" w14:paraId="0FC53645" w14:textId="2CFF25FC">
            <w:pPr>
              <w:spacing w:before="60" w:after="60"/>
              <w:jc w:val="right"/>
              <w:rPr>
                <w:color w:val="000000"/>
              </w:rPr>
            </w:pPr>
            <w:r>
              <w:rPr>
                <w:color w:val="000000"/>
              </w:rPr>
              <w:t>$69.38</w:t>
            </w:r>
          </w:p>
        </w:tc>
      </w:tr>
      <w:tr w:rsidRPr="007F620E" w:rsidR="00116554" w:rsidTr="00D46CE8" w14:paraId="44D2B319" w14:textId="77777777">
        <w:trPr>
          <w:jc w:val="center"/>
        </w:trPr>
        <w:tc>
          <w:tcPr>
            <w:tcW w:w="1345" w:type="dxa"/>
          </w:tcPr>
          <w:p w:rsidRPr="00116554" w:rsidR="00116554" w:rsidP="00116554" w:rsidRDefault="00116554" w14:paraId="083489C8" w14:textId="3051CD62">
            <w:pPr>
              <w:spacing w:before="60" w:after="60"/>
              <w:rPr>
                <w:color w:val="000000"/>
              </w:rPr>
            </w:pPr>
            <w:r w:rsidRPr="00116554">
              <w:rPr>
                <w:color w:val="000000"/>
              </w:rPr>
              <w:t>Elise Torres, TURN Attorney</w:t>
            </w:r>
          </w:p>
        </w:tc>
        <w:tc>
          <w:tcPr>
            <w:tcW w:w="965" w:type="dxa"/>
          </w:tcPr>
          <w:p w:rsidRPr="00116554" w:rsidR="00116554" w:rsidP="00116554" w:rsidRDefault="00116554" w14:paraId="62967E78" w14:textId="4D40FF71">
            <w:pPr>
              <w:spacing w:before="60" w:after="60"/>
              <w:rPr>
                <w:color w:val="000000"/>
              </w:rPr>
            </w:pPr>
            <w:r w:rsidRPr="00116554">
              <w:rPr>
                <w:color w:val="000000"/>
              </w:rPr>
              <w:t>2025</w:t>
            </w:r>
          </w:p>
        </w:tc>
        <w:tc>
          <w:tcPr>
            <w:tcW w:w="925" w:type="dxa"/>
            <w:gridSpan w:val="2"/>
          </w:tcPr>
          <w:p w:rsidRPr="00116554" w:rsidR="00116554" w:rsidP="00116554" w:rsidRDefault="00116554" w14:paraId="427EA001" w14:textId="412E6B95">
            <w:pPr>
              <w:spacing w:before="60" w:after="60"/>
              <w:rPr>
                <w:color w:val="000000"/>
              </w:rPr>
            </w:pPr>
            <w:r w:rsidRPr="00116554">
              <w:rPr>
                <w:color w:val="000000"/>
              </w:rPr>
              <w:t xml:space="preserve">12.75 </w:t>
            </w:r>
          </w:p>
        </w:tc>
        <w:tc>
          <w:tcPr>
            <w:tcW w:w="1080" w:type="dxa"/>
          </w:tcPr>
          <w:p w:rsidRPr="00116554" w:rsidR="00116554" w:rsidP="00116554" w:rsidRDefault="00116554" w14:paraId="0ECD1B1C" w14:textId="48FB58F8">
            <w:pPr>
              <w:spacing w:before="60" w:after="60"/>
              <w:rPr>
                <w:color w:val="000000"/>
              </w:rPr>
            </w:pPr>
            <w:r w:rsidRPr="00116554">
              <w:rPr>
                <w:color w:val="000000"/>
              </w:rPr>
              <w:t>$300.00</w:t>
            </w:r>
          </w:p>
        </w:tc>
        <w:tc>
          <w:tcPr>
            <w:tcW w:w="1440" w:type="dxa"/>
            <w:gridSpan w:val="2"/>
            <w:tcBorders>
              <w:right w:val="single" w:color="auto" w:sz="4" w:space="0"/>
            </w:tcBorders>
          </w:tcPr>
          <w:p w:rsidRPr="00116554" w:rsidR="00116554" w:rsidP="00116554" w:rsidRDefault="00116554" w14:paraId="6D95C55B" w14:textId="6D9107B2">
            <w:pPr>
              <w:spacing w:before="60" w:after="60"/>
              <w:rPr>
                <w:color w:val="000000"/>
              </w:rPr>
            </w:pPr>
            <w:r w:rsidRPr="00116554">
              <w:rPr>
                <w:color w:val="000000"/>
              </w:rPr>
              <w:t>50% of 2025 Hourly Rate</w:t>
            </w:r>
          </w:p>
        </w:tc>
        <w:tc>
          <w:tcPr>
            <w:tcW w:w="1423" w:type="dxa"/>
            <w:gridSpan w:val="2"/>
            <w:tcBorders>
              <w:top w:val="single" w:color="auto" w:sz="4" w:space="0"/>
              <w:left w:val="single" w:color="auto" w:sz="4" w:space="0"/>
              <w:bottom w:val="single" w:color="auto" w:sz="4" w:space="0"/>
              <w:right w:val="single" w:color="auto" w:sz="24" w:space="0"/>
            </w:tcBorders>
          </w:tcPr>
          <w:p w:rsidRPr="00116554" w:rsidR="00116554" w:rsidP="00116554" w:rsidRDefault="00116554" w14:paraId="25C11924" w14:textId="73E7FC7E">
            <w:pPr>
              <w:spacing w:before="60" w:after="60"/>
              <w:rPr>
                <w:color w:val="000000"/>
              </w:rPr>
            </w:pPr>
            <w:r w:rsidRPr="00116554">
              <w:rPr>
                <w:color w:val="000000"/>
              </w:rPr>
              <w:t xml:space="preserve"> $3,825.00 </w:t>
            </w:r>
          </w:p>
        </w:tc>
        <w:tc>
          <w:tcPr>
            <w:tcW w:w="955" w:type="dxa"/>
            <w:tcBorders>
              <w:left w:val="single" w:color="auto" w:sz="4" w:space="0"/>
              <w:right w:val="single" w:color="auto" w:sz="4" w:space="0"/>
            </w:tcBorders>
          </w:tcPr>
          <w:p w:rsidRPr="007F620E" w:rsidR="00116554" w:rsidP="00116554" w:rsidRDefault="00B62A80" w14:paraId="7BEE2EE6" w14:textId="3A36533C">
            <w:pPr>
              <w:spacing w:before="60" w:after="60"/>
              <w:rPr>
                <w:color w:val="000000"/>
              </w:rPr>
            </w:pPr>
            <w:r>
              <w:rPr>
                <w:color w:val="000000"/>
              </w:rPr>
              <w:t>12.75</w:t>
            </w:r>
          </w:p>
        </w:tc>
        <w:tc>
          <w:tcPr>
            <w:tcW w:w="1146" w:type="dxa"/>
            <w:tcBorders>
              <w:left w:val="single" w:color="auto" w:sz="4" w:space="0"/>
            </w:tcBorders>
          </w:tcPr>
          <w:p w:rsidRPr="007F620E" w:rsidR="00116554" w:rsidP="00116554" w:rsidRDefault="00B67DB9" w14:paraId="7B8A2FED" w14:textId="5D6B326E">
            <w:pPr>
              <w:spacing w:before="60" w:after="60"/>
              <w:jc w:val="right"/>
              <w:rPr>
                <w:color w:val="000000"/>
              </w:rPr>
            </w:pPr>
            <w:r>
              <w:rPr>
                <w:color w:val="000000"/>
              </w:rPr>
              <w:t>$</w:t>
            </w:r>
            <w:r w:rsidR="000C283E">
              <w:rPr>
                <w:color w:val="000000"/>
              </w:rPr>
              <w:t>300.00</w:t>
            </w:r>
            <w:r>
              <w:rPr>
                <w:color w:val="000000"/>
              </w:rPr>
              <w:t xml:space="preserve"> [1]</w:t>
            </w:r>
          </w:p>
        </w:tc>
        <w:tc>
          <w:tcPr>
            <w:tcW w:w="1881" w:type="dxa"/>
          </w:tcPr>
          <w:p w:rsidRPr="007F620E" w:rsidR="00116554" w:rsidP="00116554" w:rsidRDefault="00D81EF5" w14:paraId="7F5D9965" w14:textId="19FE911B">
            <w:pPr>
              <w:spacing w:before="60" w:after="60"/>
              <w:jc w:val="right"/>
              <w:rPr>
                <w:color w:val="000000"/>
              </w:rPr>
            </w:pPr>
            <w:r>
              <w:rPr>
                <w:color w:val="000000"/>
              </w:rPr>
              <w:t>$3,</w:t>
            </w:r>
            <w:r w:rsidR="000C283E">
              <w:rPr>
                <w:color w:val="000000"/>
              </w:rPr>
              <w:t>825.00</w:t>
            </w:r>
          </w:p>
        </w:tc>
      </w:tr>
      <w:tr w:rsidRPr="007F620E" w:rsidR="00116554" w:rsidTr="00D46CE8" w14:paraId="0A21068A" w14:textId="77777777">
        <w:trPr>
          <w:jc w:val="center"/>
        </w:trPr>
        <w:tc>
          <w:tcPr>
            <w:tcW w:w="1345" w:type="dxa"/>
          </w:tcPr>
          <w:p w:rsidRPr="00116554" w:rsidR="00116554" w:rsidP="00116554" w:rsidRDefault="00116554" w14:paraId="7F35C6E2" w14:textId="1EA1EF0D">
            <w:pPr>
              <w:spacing w:before="60" w:after="60"/>
              <w:rPr>
                <w:color w:val="000000"/>
                <w:sz w:val="22"/>
                <w:szCs w:val="22"/>
              </w:rPr>
            </w:pPr>
            <w:r w:rsidRPr="00116554">
              <w:rPr>
                <w:color w:val="000000"/>
              </w:rPr>
              <w:t>Reina Yanagiba, TURN Legal Assistant</w:t>
            </w:r>
          </w:p>
        </w:tc>
        <w:tc>
          <w:tcPr>
            <w:tcW w:w="965" w:type="dxa"/>
          </w:tcPr>
          <w:p w:rsidRPr="00116554" w:rsidR="00116554" w:rsidP="00116554" w:rsidRDefault="00116554" w14:paraId="4D1BD931" w14:textId="095477AD">
            <w:pPr>
              <w:spacing w:before="60" w:after="60"/>
              <w:rPr>
                <w:color w:val="000000"/>
                <w:sz w:val="22"/>
                <w:szCs w:val="22"/>
              </w:rPr>
            </w:pPr>
            <w:r w:rsidRPr="00116554">
              <w:rPr>
                <w:color w:val="000000"/>
              </w:rPr>
              <w:t>2025</w:t>
            </w:r>
          </w:p>
        </w:tc>
        <w:tc>
          <w:tcPr>
            <w:tcW w:w="925" w:type="dxa"/>
            <w:gridSpan w:val="2"/>
          </w:tcPr>
          <w:p w:rsidRPr="00116554" w:rsidR="00116554" w:rsidP="00116554" w:rsidRDefault="00116554" w14:paraId="406807D7" w14:textId="2CE1F7B1">
            <w:pPr>
              <w:spacing w:before="60" w:after="60"/>
              <w:rPr>
                <w:color w:val="000000"/>
                <w:sz w:val="22"/>
                <w:szCs w:val="22"/>
              </w:rPr>
            </w:pPr>
            <w:r w:rsidRPr="00116554">
              <w:rPr>
                <w:color w:val="000000"/>
              </w:rPr>
              <w:t xml:space="preserve">3.00 </w:t>
            </w:r>
          </w:p>
        </w:tc>
        <w:tc>
          <w:tcPr>
            <w:tcW w:w="1080" w:type="dxa"/>
          </w:tcPr>
          <w:p w:rsidRPr="00116554" w:rsidR="00116554" w:rsidP="00116554" w:rsidRDefault="00116554" w14:paraId="7201912E" w14:textId="04F51419">
            <w:pPr>
              <w:spacing w:before="60" w:after="60"/>
              <w:rPr>
                <w:color w:val="000000"/>
                <w:sz w:val="22"/>
                <w:szCs w:val="22"/>
              </w:rPr>
            </w:pPr>
            <w:r w:rsidRPr="00116554">
              <w:rPr>
                <w:color w:val="000000"/>
              </w:rPr>
              <w:t>$62.50</w:t>
            </w:r>
          </w:p>
        </w:tc>
        <w:tc>
          <w:tcPr>
            <w:tcW w:w="1440" w:type="dxa"/>
            <w:gridSpan w:val="2"/>
            <w:tcBorders>
              <w:right w:val="single" w:color="auto" w:sz="4" w:space="0"/>
            </w:tcBorders>
          </w:tcPr>
          <w:p w:rsidRPr="00116554" w:rsidR="00116554" w:rsidP="00116554" w:rsidRDefault="00116554" w14:paraId="412B75E4" w14:textId="1EABDAFB">
            <w:pPr>
              <w:spacing w:before="60" w:after="60"/>
              <w:rPr>
                <w:color w:val="000000"/>
                <w:sz w:val="22"/>
                <w:szCs w:val="22"/>
              </w:rPr>
            </w:pPr>
            <w:r w:rsidRPr="00116554">
              <w:rPr>
                <w:color w:val="000000"/>
              </w:rPr>
              <w:t>50% of 2025 Hourly Rate</w:t>
            </w:r>
          </w:p>
        </w:tc>
        <w:tc>
          <w:tcPr>
            <w:tcW w:w="1423" w:type="dxa"/>
            <w:gridSpan w:val="2"/>
            <w:tcBorders>
              <w:top w:val="single" w:color="auto" w:sz="4" w:space="0"/>
              <w:left w:val="single" w:color="auto" w:sz="4" w:space="0"/>
              <w:bottom w:val="single" w:color="auto" w:sz="4" w:space="0"/>
              <w:right w:val="single" w:color="auto" w:sz="24" w:space="0"/>
            </w:tcBorders>
          </w:tcPr>
          <w:p w:rsidRPr="00116554" w:rsidR="00116554" w:rsidP="00116554" w:rsidRDefault="00116554" w14:paraId="3B568020" w14:textId="25CE5AA5">
            <w:pPr>
              <w:spacing w:before="60" w:after="60"/>
              <w:rPr>
                <w:color w:val="000000"/>
                <w:sz w:val="22"/>
                <w:szCs w:val="22"/>
              </w:rPr>
            </w:pPr>
            <w:r w:rsidRPr="00116554">
              <w:rPr>
                <w:color w:val="000000"/>
              </w:rPr>
              <w:t xml:space="preserve"> $187.50 </w:t>
            </w:r>
          </w:p>
        </w:tc>
        <w:tc>
          <w:tcPr>
            <w:tcW w:w="955" w:type="dxa"/>
            <w:tcBorders>
              <w:left w:val="single" w:color="auto" w:sz="4" w:space="0"/>
              <w:right w:val="single" w:color="auto" w:sz="4" w:space="0"/>
            </w:tcBorders>
          </w:tcPr>
          <w:p w:rsidRPr="007F620E" w:rsidR="00116554" w:rsidP="00116554" w:rsidRDefault="00B62A80" w14:paraId="007E0C5E" w14:textId="2AF7B6F6">
            <w:pPr>
              <w:spacing w:before="60" w:after="60"/>
              <w:rPr>
                <w:color w:val="000000"/>
              </w:rPr>
            </w:pPr>
            <w:r>
              <w:rPr>
                <w:color w:val="000000"/>
              </w:rPr>
              <w:t>3.00</w:t>
            </w:r>
          </w:p>
        </w:tc>
        <w:tc>
          <w:tcPr>
            <w:tcW w:w="1146" w:type="dxa"/>
            <w:tcBorders>
              <w:left w:val="single" w:color="auto" w:sz="4" w:space="0"/>
            </w:tcBorders>
          </w:tcPr>
          <w:p w:rsidRPr="007F620E" w:rsidR="00116554" w:rsidP="00116554" w:rsidRDefault="00B67DB9" w14:paraId="7EAD2339" w14:textId="5062A0CB">
            <w:pPr>
              <w:spacing w:before="60" w:after="60"/>
              <w:jc w:val="right"/>
              <w:rPr>
                <w:color w:val="000000"/>
              </w:rPr>
            </w:pPr>
            <w:r>
              <w:rPr>
                <w:color w:val="000000"/>
              </w:rPr>
              <w:t>$62.50 [</w:t>
            </w:r>
            <w:r w:rsidR="00B72070">
              <w:rPr>
                <w:color w:val="000000"/>
              </w:rPr>
              <w:t>3]</w:t>
            </w:r>
          </w:p>
        </w:tc>
        <w:tc>
          <w:tcPr>
            <w:tcW w:w="1881" w:type="dxa"/>
          </w:tcPr>
          <w:p w:rsidRPr="007F620E" w:rsidR="00116554" w:rsidP="00116554" w:rsidRDefault="00D81EF5" w14:paraId="532D40F0" w14:textId="64A71A0F">
            <w:pPr>
              <w:spacing w:before="60" w:after="60"/>
              <w:jc w:val="right"/>
              <w:rPr>
                <w:color w:val="000000"/>
              </w:rPr>
            </w:pPr>
            <w:r>
              <w:rPr>
                <w:color w:val="000000"/>
              </w:rPr>
              <w:t>$187.50</w:t>
            </w:r>
          </w:p>
        </w:tc>
      </w:tr>
      <w:tr w:rsidRPr="00FE3BAE" w:rsidR="001002B1" w:rsidTr="004D1F0C" w14:paraId="24103A36" w14:textId="77777777">
        <w:trPr>
          <w:jc w:val="center"/>
        </w:trPr>
        <w:tc>
          <w:tcPr>
            <w:tcW w:w="7178" w:type="dxa"/>
            <w:gridSpan w:val="9"/>
            <w:tcBorders>
              <w:top w:val="single" w:color="auto" w:sz="4" w:space="0"/>
              <w:bottom w:val="single" w:color="auto" w:sz="4" w:space="0"/>
              <w:right w:val="single" w:color="auto" w:sz="24" w:space="0"/>
            </w:tcBorders>
            <w:vAlign w:val="bottom"/>
          </w:tcPr>
          <w:p w:rsidRPr="00374FD1" w:rsidR="001002B1" w:rsidP="00625B30" w:rsidRDefault="001002B1" w14:paraId="7A75BDA5" w14:textId="77777777">
            <w:pPr>
              <w:tabs>
                <w:tab w:val="left" w:pos="957"/>
              </w:tabs>
              <w:spacing w:before="60" w:after="60"/>
              <w:ind w:right="72"/>
              <w:jc w:val="right"/>
              <w:rPr>
                <w:b/>
                <w:i/>
                <w:color w:val="000000"/>
              </w:rPr>
            </w:pPr>
          </w:p>
        </w:tc>
        <w:tc>
          <w:tcPr>
            <w:tcW w:w="3982" w:type="dxa"/>
            <w:gridSpan w:val="3"/>
            <w:tcBorders>
              <w:left w:val="single" w:color="auto" w:sz="24" w:space="0"/>
            </w:tcBorders>
            <w:vAlign w:val="bottom"/>
          </w:tcPr>
          <w:p w:rsidRPr="00374FD1" w:rsidR="001002B1" w:rsidP="00625B30" w:rsidRDefault="004D1F0C" w14:paraId="11F94D1E" w14:textId="6E2E4556">
            <w:pPr>
              <w:tabs>
                <w:tab w:val="left" w:pos="957"/>
              </w:tabs>
              <w:spacing w:before="60" w:after="60"/>
              <w:ind w:right="72"/>
              <w:jc w:val="right"/>
              <w:rPr>
                <w:b/>
                <w:i/>
                <w:color w:val="000000"/>
              </w:rPr>
            </w:pPr>
            <w:r>
              <w:rPr>
                <w:b/>
                <w:i/>
                <w:color w:val="000000"/>
              </w:rPr>
              <w:t>Subtotal</w:t>
            </w:r>
            <w:r w:rsidR="001002B1">
              <w:rPr>
                <w:b/>
                <w:i/>
                <w:color w:val="000000"/>
              </w:rPr>
              <w:t>: $4,</w:t>
            </w:r>
            <w:r w:rsidR="000C283E">
              <w:rPr>
                <w:b/>
                <w:i/>
                <w:color w:val="000000"/>
              </w:rPr>
              <w:t>336.88</w:t>
            </w:r>
          </w:p>
        </w:tc>
      </w:tr>
      <w:tr w:rsidRPr="00FE3BAE" w:rsidR="00625B30" w:rsidTr="00A47EB7" w14:paraId="75C517AB" w14:textId="77777777">
        <w:trPr>
          <w:jc w:val="center"/>
        </w:trPr>
        <w:tc>
          <w:tcPr>
            <w:tcW w:w="7178" w:type="dxa"/>
            <w:gridSpan w:val="9"/>
            <w:tcBorders>
              <w:top w:val="single" w:color="auto" w:sz="4" w:space="0"/>
              <w:bottom w:val="single" w:color="auto" w:sz="4" w:space="0"/>
              <w:right w:val="single" w:color="auto" w:sz="24" w:space="0"/>
            </w:tcBorders>
            <w:shd w:val="clear" w:color="auto" w:fill="E6E6E6"/>
            <w:vAlign w:val="bottom"/>
          </w:tcPr>
          <w:p w:rsidRPr="00FE3BAE" w:rsidR="00625B30" w:rsidP="00625B30" w:rsidRDefault="00625B30" w14:paraId="48F9E637" w14:textId="3FB8C6F5">
            <w:pPr>
              <w:tabs>
                <w:tab w:val="left" w:pos="957"/>
              </w:tabs>
              <w:spacing w:before="60" w:after="60"/>
              <w:ind w:right="72"/>
              <w:jc w:val="right"/>
              <w:rPr>
                <w:b/>
                <w:color w:val="000000"/>
              </w:rPr>
            </w:pPr>
            <w:r w:rsidRPr="00374FD1">
              <w:rPr>
                <w:b/>
                <w:i/>
                <w:color w:val="000000"/>
              </w:rPr>
              <w:t>TOTAL REQUEST</w:t>
            </w:r>
            <w:r w:rsidRPr="00B05ABD">
              <w:rPr>
                <w:b/>
                <w:i/>
                <w:color w:val="000000"/>
              </w:rPr>
              <w:t xml:space="preserve">: </w:t>
            </w:r>
            <w:r w:rsidRPr="00116554" w:rsidR="00116554">
              <w:rPr>
                <w:b/>
                <w:i/>
                <w:color w:val="000000"/>
              </w:rPr>
              <w:t>$188,148.44</w:t>
            </w:r>
          </w:p>
        </w:tc>
        <w:tc>
          <w:tcPr>
            <w:tcW w:w="3982" w:type="dxa"/>
            <w:gridSpan w:val="3"/>
            <w:tcBorders>
              <w:left w:val="single" w:color="auto" w:sz="24" w:space="0"/>
            </w:tcBorders>
            <w:shd w:val="clear" w:color="auto" w:fill="E6E6E6"/>
            <w:vAlign w:val="bottom"/>
          </w:tcPr>
          <w:p w:rsidRPr="00FE3BAE" w:rsidR="00625B30" w:rsidP="00625B30" w:rsidRDefault="00625B30" w14:paraId="36019530" w14:textId="5C666ACF">
            <w:pPr>
              <w:tabs>
                <w:tab w:val="left" w:pos="957"/>
              </w:tabs>
              <w:spacing w:before="60" w:after="60"/>
              <w:ind w:right="72"/>
              <w:jc w:val="right"/>
              <w:rPr>
                <w:b/>
                <w:color w:val="000000"/>
              </w:rPr>
            </w:pPr>
            <w:r w:rsidRPr="00374FD1">
              <w:rPr>
                <w:b/>
                <w:i/>
                <w:color w:val="000000"/>
              </w:rPr>
              <w:t>TOTAL AWARD: $</w:t>
            </w:r>
            <w:r w:rsidRPr="00116554" w:rsidR="00DC0497">
              <w:rPr>
                <w:b/>
                <w:i/>
                <w:color w:val="000000"/>
              </w:rPr>
              <w:t>188,148.44</w:t>
            </w:r>
          </w:p>
        </w:tc>
      </w:tr>
      <w:tr w:rsidRPr="007F620E" w:rsidR="00625B30" w:rsidTr="00A47EB7" w14:paraId="752C4918" w14:textId="77777777">
        <w:trPr>
          <w:jc w:val="center"/>
        </w:trPr>
        <w:tc>
          <w:tcPr>
            <w:tcW w:w="11160" w:type="dxa"/>
            <w:gridSpan w:val="12"/>
            <w:tcBorders>
              <w:top w:val="single" w:color="auto" w:sz="4" w:space="0"/>
              <w:bottom w:val="single" w:color="auto" w:sz="4" w:space="0"/>
            </w:tcBorders>
          </w:tcPr>
          <w:p w:rsidRPr="007F620E" w:rsidR="00625B30" w:rsidP="00625B30" w:rsidRDefault="00625B30" w14:paraId="2529F508" w14:textId="77777777">
            <w:pPr>
              <w:spacing w:before="60" w:after="60"/>
              <w:rPr>
                <w:color w:val="000000"/>
              </w:rPr>
            </w:pPr>
            <w:r w:rsidRPr="007F620E">
              <w:rPr>
                <w:color w:val="000000"/>
              </w:rPr>
              <w:t xml:space="preserve">  *We remind all intervenors that Commission staff may audit </w:t>
            </w:r>
            <w:r>
              <w:t>the records and books of the intervenors to the extent necessary to verify the basis for the award (§1804(d)).  I</w:t>
            </w:r>
            <w:r w:rsidRPr="007F620E">
              <w:rPr>
                <w:color w:val="000000"/>
              </w:rPr>
              <w:t xml:space="preserve">ntervenors must make and retain adequate accounting and other documentation to support all claims for intervenor compensation.  Intervenor’s records should identify specific issues for which it seeks compensation, the actual time spent by each employee or consultant, the applicable hourly rates, fees paid to consultants and any other costs for which compensation was claimed.  The records pertaining to an award of compensation shall be retained for at least three years from the date of the final decision making the award. </w:t>
            </w:r>
          </w:p>
          <w:p w:rsidRPr="007F620E" w:rsidR="00625B30" w:rsidP="00625B30" w:rsidRDefault="00625B30" w14:paraId="55A9FBC3" w14:textId="77777777">
            <w:pPr>
              <w:spacing w:before="60" w:after="60"/>
              <w:rPr>
                <w:color w:val="000000"/>
              </w:rPr>
            </w:pPr>
            <w:r w:rsidRPr="007F620E">
              <w:rPr>
                <w:color w:val="000000"/>
              </w:rPr>
              <w:t xml:space="preserve">**Travel and Reasonable Claim preparation time </w:t>
            </w:r>
            <w:r>
              <w:rPr>
                <w:color w:val="000000"/>
              </w:rPr>
              <w:t xml:space="preserve">are </w:t>
            </w:r>
            <w:r w:rsidRPr="007F620E">
              <w:rPr>
                <w:color w:val="000000"/>
              </w:rPr>
              <w:t>typically compensated at ½ of preparer’s normal hourly rate</w:t>
            </w:r>
            <w:r w:rsidRPr="007F620E" w:rsidDel="00D075B1">
              <w:rPr>
                <w:color w:val="000000"/>
              </w:rPr>
              <w:t xml:space="preserve"> </w:t>
            </w:r>
          </w:p>
        </w:tc>
      </w:tr>
      <w:tr w:rsidRPr="007F620E" w:rsidR="00625B30" w:rsidTr="00A47EB7" w14:paraId="0E1E87BF"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F620E" w:rsidR="00625B30" w:rsidP="00625B30" w:rsidRDefault="00625B30" w14:paraId="3EFD1514" w14:textId="77777777">
            <w:pPr>
              <w:keepNext/>
              <w:spacing w:before="60" w:after="60"/>
              <w:jc w:val="center"/>
              <w:rPr>
                <w:b/>
                <w:smallCaps/>
                <w:color w:val="000000"/>
              </w:rPr>
            </w:pPr>
            <w:r w:rsidRPr="007F620E">
              <w:rPr>
                <w:b/>
                <w:smallCaps/>
                <w:color w:val="000000"/>
              </w:rPr>
              <w:lastRenderedPageBreak/>
              <w:t>ATTORNEY INFORMATION</w:t>
            </w:r>
          </w:p>
        </w:tc>
      </w:tr>
      <w:tr w:rsidRPr="00C16981" w:rsidR="00625B30" w:rsidTr="00A47EB7" w14:paraId="44CA80FE" w14:textId="77777777">
        <w:trPr>
          <w:trHeight w:val="173"/>
          <w:jc w:val="center"/>
        </w:trPr>
        <w:tc>
          <w:tcPr>
            <w:tcW w:w="2692" w:type="dxa"/>
            <w:gridSpan w:val="3"/>
            <w:tcBorders>
              <w:top w:val="single" w:color="auto" w:sz="4" w:space="0"/>
              <w:bottom w:val="single" w:color="auto" w:sz="4" w:space="0"/>
            </w:tcBorders>
            <w:shd w:val="clear" w:color="auto" w:fill="FFFFFF"/>
            <w:vAlign w:val="bottom"/>
          </w:tcPr>
          <w:p w:rsidRPr="00C16981" w:rsidR="00625B30" w:rsidP="00625B30" w:rsidRDefault="00625B30" w14:paraId="444A57F1" w14:textId="77777777">
            <w:pPr>
              <w:keepNext/>
              <w:keepLines/>
              <w:spacing w:before="60" w:after="60"/>
              <w:jc w:val="center"/>
              <w:rPr>
                <w:b/>
                <w:color w:val="000000"/>
                <w:sz w:val="22"/>
                <w:szCs w:val="22"/>
              </w:rPr>
            </w:pPr>
            <w:r w:rsidRPr="00C16981">
              <w:rPr>
                <w:b/>
                <w:sz w:val="22"/>
                <w:szCs w:val="22"/>
              </w:rPr>
              <w:t>Attorney</w:t>
            </w:r>
          </w:p>
        </w:tc>
        <w:tc>
          <w:tcPr>
            <w:tcW w:w="1909" w:type="dxa"/>
            <w:gridSpan w:val="3"/>
            <w:tcBorders>
              <w:top w:val="single" w:color="auto" w:sz="4" w:space="0"/>
              <w:bottom w:val="single" w:color="auto" w:sz="4" w:space="0"/>
            </w:tcBorders>
            <w:shd w:val="clear" w:color="auto" w:fill="FFFFFF"/>
            <w:vAlign w:val="bottom"/>
          </w:tcPr>
          <w:p w:rsidRPr="00C16981" w:rsidR="00625B30" w:rsidP="00625B30" w:rsidRDefault="00625B30" w14:paraId="731CA32C" w14:textId="77777777">
            <w:pPr>
              <w:keepNext/>
              <w:keepLines/>
              <w:spacing w:before="60" w:after="60"/>
              <w:jc w:val="center"/>
              <w:rPr>
                <w:b/>
                <w:color w:val="000000"/>
                <w:sz w:val="22"/>
                <w:szCs w:val="22"/>
              </w:rPr>
            </w:pPr>
            <w:r w:rsidRPr="00C16981">
              <w:rPr>
                <w:b/>
                <w:sz w:val="22"/>
                <w:szCs w:val="22"/>
              </w:rPr>
              <w:t>Date Admitted to CA BAR</w:t>
            </w:r>
            <w:r w:rsidRPr="00C16981">
              <w:rPr>
                <w:rStyle w:val="FootnoteReference"/>
                <w:rFonts w:eastAsiaTheme="majorEastAsia"/>
                <w:b/>
                <w:sz w:val="22"/>
                <w:szCs w:val="22"/>
              </w:rPr>
              <w:footnoteReference w:id="4"/>
            </w:r>
          </w:p>
        </w:tc>
        <w:tc>
          <w:tcPr>
            <w:tcW w:w="2291" w:type="dxa"/>
            <w:gridSpan w:val="2"/>
            <w:tcBorders>
              <w:top w:val="single" w:color="auto" w:sz="4" w:space="0"/>
              <w:bottom w:val="single" w:color="auto" w:sz="4" w:space="0"/>
            </w:tcBorders>
            <w:shd w:val="clear" w:color="auto" w:fill="FFFFFF"/>
            <w:vAlign w:val="bottom"/>
          </w:tcPr>
          <w:p w:rsidRPr="00C16981" w:rsidR="00625B30" w:rsidP="00625B30" w:rsidRDefault="00625B30" w14:paraId="2CACBB08" w14:textId="77777777">
            <w:pPr>
              <w:keepNext/>
              <w:keepLines/>
              <w:spacing w:before="60" w:after="60"/>
              <w:jc w:val="center"/>
              <w:rPr>
                <w:b/>
                <w:color w:val="000000"/>
                <w:sz w:val="22"/>
                <w:szCs w:val="22"/>
              </w:rPr>
            </w:pPr>
            <w:r w:rsidRPr="00C16981">
              <w:rPr>
                <w:b/>
                <w:sz w:val="22"/>
                <w:szCs w:val="22"/>
              </w:rPr>
              <w:t>Member Number</w:t>
            </w:r>
          </w:p>
        </w:tc>
        <w:tc>
          <w:tcPr>
            <w:tcW w:w="4268" w:type="dxa"/>
            <w:gridSpan w:val="4"/>
            <w:tcBorders>
              <w:top w:val="single" w:color="auto" w:sz="4" w:space="0"/>
              <w:bottom w:val="single" w:color="auto" w:sz="4" w:space="0"/>
            </w:tcBorders>
            <w:shd w:val="clear" w:color="auto" w:fill="FFFFFF"/>
            <w:vAlign w:val="bottom"/>
          </w:tcPr>
          <w:p w:rsidRPr="00C16981" w:rsidR="00625B30" w:rsidP="00625B30" w:rsidRDefault="00625B30" w14:paraId="798FF8E5" w14:textId="77777777">
            <w:pPr>
              <w:keepNext/>
              <w:keepLines/>
              <w:spacing w:before="60" w:after="60"/>
              <w:jc w:val="center"/>
              <w:rPr>
                <w:b/>
                <w:sz w:val="22"/>
                <w:szCs w:val="22"/>
              </w:rPr>
            </w:pPr>
            <w:r w:rsidRPr="00C16981">
              <w:rPr>
                <w:b/>
                <w:sz w:val="22"/>
                <w:szCs w:val="22"/>
              </w:rPr>
              <w:t>Actions Affecting Eligibility (Yes/No?)</w:t>
            </w:r>
          </w:p>
          <w:p w:rsidRPr="00C16981" w:rsidR="00625B30" w:rsidP="00625B30" w:rsidRDefault="00625B30" w14:paraId="234C64FA" w14:textId="77777777">
            <w:pPr>
              <w:keepNext/>
              <w:keepLines/>
              <w:spacing w:before="60" w:after="60"/>
              <w:jc w:val="center"/>
              <w:rPr>
                <w:b/>
                <w:color w:val="000000"/>
                <w:sz w:val="22"/>
                <w:szCs w:val="22"/>
              </w:rPr>
            </w:pPr>
            <w:r w:rsidRPr="00C16981">
              <w:rPr>
                <w:b/>
                <w:sz w:val="22"/>
                <w:szCs w:val="22"/>
              </w:rPr>
              <w:t>If “Yes”, attach explanation</w:t>
            </w:r>
          </w:p>
        </w:tc>
      </w:tr>
      <w:tr w:rsidRPr="007F620E" w:rsidR="00263356" w:rsidTr="00D46CE8" w14:paraId="167FCEB6" w14:textId="77777777">
        <w:trPr>
          <w:trHeight w:val="172"/>
          <w:jc w:val="center"/>
        </w:trPr>
        <w:tc>
          <w:tcPr>
            <w:tcW w:w="2692" w:type="dxa"/>
            <w:gridSpan w:val="3"/>
            <w:tcBorders>
              <w:top w:val="single" w:color="auto" w:sz="4" w:space="0"/>
              <w:bottom w:val="single" w:color="auto" w:sz="4" w:space="0"/>
            </w:tcBorders>
          </w:tcPr>
          <w:p w:rsidR="00263356" w:rsidP="00263356" w:rsidRDefault="00263356" w14:paraId="351480FA" w14:textId="4FCDFE37">
            <w:pPr>
              <w:keepLines/>
              <w:spacing w:before="60" w:after="60"/>
              <w:jc w:val="center"/>
              <w:rPr>
                <w:color w:val="000000"/>
              </w:rPr>
            </w:pPr>
            <w:r>
              <w:rPr>
                <w:color w:val="000000"/>
              </w:rPr>
              <w:t>Elise Torres</w:t>
            </w:r>
          </w:p>
        </w:tc>
        <w:tc>
          <w:tcPr>
            <w:tcW w:w="1909" w:type="dxa"/>
            <w:gridSpan w:val="3"/>
            <w:tcBorders>
              <w:top w:val="single" w:color="auto" w:sz="4" w:space="0"/>
              <w:bottom w:val="single" w:color="auto" w:sz="4" w:space="0"/>
            </w:tcBorders>
            <w:vAlign w:val="bottom"/>
          </w:tcPr>
          <w:p w:rsidRPr="00301393" w:rsidR="00263356" w:rsidP="00263356" w:rsidRDefault="00263356" w14:paraId="6EA4C32C" w14:textId="537898D4">
            <w:pPr>
              <w:keepLines/>
              <w:spacing w:before="60" w:after="60"/>
              <w:jc w:val="center"/>
              <w:rPr>
                <w:color w:val="000000"/>
              </w:rPr>
            </w:pPr>
            <w:r w:rsidRPr="00263356">
              <w:rPr>
                <w:color w:val="000000"/>
              </w:rPr>
              <w:t>December 2011</w:t>
            </w:r>
          </w:p>
        </w:tc>
        <w:tc>
          <w:tcPr>
            <w:tcW w:w="2291" w:type="dxa"/>
            <w:gridSpan w:val="2"/>
            <w:tcBorders>
              <w:top w:val="single" w:color="auto" w:sz="4" w:space="0"/>
              <w:bottom w:val="single" w:color="auto" w:sz="4" w:space="0"/>
            </w:tcBorders>
            <w:vAlign w:val="bottom"/>
          </w:tcPr>
          <w:p w:rsidRPr="00301393" w:rsidR="00263356" w:rsidP="00263356" w:rsidRDefault="00263356" w14:paraId="41E06359" w14:textId="16EBDCA2">
            <w:pPr>
              <w:keepLines/>
              <w:spacing w:before="60" w:after="60"/>
              <w:jc w:val="center"/>
              <w:rPr>
                <w:color w:val="000000"/>
              </w:rPr>
            </w:pPr>
            <w:r w:rsidRPr="00263356">
              <w:rPr>
                <w:color w:val="000000"/>
              </w:rPr>
              <w:t>280443</w:t>
            </w:r>
          </w:p>
        </w:tc>
        <w:tc>
          <w:tcPr>
            <w:tcW w:w="4268" w:type="dxa"/>
            <w:gridSpan w:val="4"/>
            <w:tcBorders>
              <w:top w:val="single" w:color="auto" w:sz="4" w:space="0"/>
              <w:bottom w:val="single" w:color="auto" w:sz="4" w:space="0"/>
            </w:tcBorders>
            <w:vAlign w:val="bottom"/>
          </w:tcPr>
          <w:p w:rsidR="00263356" w:rsidP="00263356" w:rsidRDefault="00263356" w14:paraId="58502A9E" w14:textId="3CA12F43">
            <w:pPr>
              <w:keepLines/>
              <w:spacing w:before="60" w:after="60"/>
              <w:jc w:val="center"/>
              <w:rPr>
                <w:color w:val="000000"/>
              </w:rPr>
            </w:pPr>
            <w:r w:rsidRPr="00263356">
              <w:rPr>
                <w:color w:val="000000"/>
              </w:rPr>
              <w:t>No</w:t>
            </w:r>
          </w:p>
        </w:tc>
      </w:tr>
      <w:tr w:rsidRPr="007F620E" w:rsidR="00625B30" w:rsidTr="00D46CE8" w14:paraId="168D4714" w14:textId="77777777">
        <w:trPr>
          <w:trHeight w:val="172"/>
          <w:jc w:val="center"/>
        </w:trPr>
        <w:tc>
          <w:tcPr>
            <w:tcW w:w="2692" w:type="dxa"/>
            <w:gridSpan w:val="3"/>
            <w:tcBorders>
              <w:top w:val="single" w:color="auto" w:sz="4" w:space="0"/>
              <w:bottom w:val="single" w:color="auto" w:sz="4" w:space="0"/>
            </w:tcBorders>
          </w:tcPr>
          <w:p w:rsidRPr="007F620E" w:rsidR="00625B30" w:rsidP="00A47EB7" w:rsidRDefault="00625B30" w14:paraId="669E319D" w14:textId="77777777">
            <w:pPr>
              <w:spacing w:before="60" w:after="60"/>
              <w:jc w:val="center"/>
              <w:rPr>
                <w:color w:val="000000"/>
              </w:rPr>
            </w:pPr>
            <w:r>
              <w:rPr>
                <w:color w:val="000000"/>
              </w:rPr>
              <w:t>Robert Finkelstein</w:t>
            </w:r>
          </w:p>
        </w:tc>
        <w:tc>
          <w:tcPr>
            <w:tcW w:w="1909" w:type="dxa"/>
            <w:gridSpan w:val="3"/>
            <w:tcBorders>
              <w:top w:val="single" w:color="auto" w:sz="4" w:space="0"/>
              <w:bottom w:val="single" w:color="auto" w:sz="4" w:space="0"/>
            </w:tcBorders>
          </w:tcPr>
          <w:p w:rsidRPr="00301393" w:rsidR="00625B30" w:rsidP="00A47EB7" w:rsidRDefault="00625B30" w14:paraId="5DE2360A" w14:textId="77777777">
            <w:pPr>
              <w:spacing w:before="60" w:after="60"/>
              <w:jc w:val="center"/>
              <w:rPr>
                <w:color w:val="000000"/>
              </w:rPr>
            </w:pPr>
            <w:r w:rsidRPr="00301393">
              <w:rPr>
                <w:color w:val="000000"/>
              </w:rPr>
              <w:t>June 1990</w:t>
            </w:r>
          </w:p>
        </w:tc>
        <w:tc>
          <w:tcPr>
            <w:tcW w:w="2291" w:type="dxa"/>
            <w:gridSpan w:val="2"/>
            <w:tcBorders>
              <w:top w:val="single" w:color="auto" w:sz="4" w:space="0"/>
              <w:bottom w:val="single" w:color="auto" w:sz="4" w:space="0"/>
            </w:tcBorders>
          </w:tcPr>
          <w:p w:rsidRPr="00301393" w:rsidR="00625B30" w:rsidP="00A47EB7" w:rsidRDefault="00625B30" w14:paraId="4A400DF3" w14:textId="77777777">
            <w:pPr>
              <w:spacing w:before="60" w:after="60"/>
              <w:jc w:val="center"/>
              <w:rPr>
                <w:color w:val="000000"/>
              </w:rPr>
            </w:pPr>
            <w:r w:rsidRPr="00301393">
              <w:rPr>
                <w:color w:val="000000"/>
              </w:rPr>
              <w:t>146391</w:t>
            </w:r>
          </w:p>
        </w:tc>
        <w:tc>
          <w:tcPr>
            <w:tcW w:w="4268" w:type="dxa"/>
            <w:gridSpan w:val="4"/>
            <w:tcBorders>
              <w:top w:val="single" w:color="auto" w:sz="4" w:space="0"/>
              <w:bottom w:val="single" w:color="auto" w:sz="4" w:space="0"/>
            </w:tcBorders>
          </w:tcPr>
          <w:p w:rsidRPr="007F620E" w:rsidR="00625B30" w:rsidP="00A47EB7" w:rsidRDefault="00625B30" w14:paraId="166407D5" w14:textId="77777777">
            <w:pPr>
              <w:spacing w:before="60" w:after="60"/>
              <w:jc w:val="center"/>
              <w:rPr>
                <w:color w:val="000000"/>
              </w:rPr>
            </w:pPr>
            <w:r>
              <w:rPr>
                <w:color w:val="000000"/>
              </w:rPr>
              <w:t>No</w:t>
            </w:r>
          </w:p>
        </w:tc>
      </w:tr>
    </w:tbl>
    <w:p w:rsidR="00625B30" w:rsidP="00625B30" w:rsidRDefault="001B03DC" w14:paraId="0F67090A" w14:textId="45B63EB0">
      <w:pPr>
        <w:rPr>
          <w:b/>
          <w:color w:val="000000"/>
        </w:rPr>
      </w:pPr>
      <w:r>
        <w:rPr>
          <w:b/>
          <w:color w:val="000000"/>
        </w:rPr>
        <w:t xml:space="preserve"> </w:t>
      </w:r>
    </w:p>
    <w:p w:rsidRPr="00625B30" w:rsidR="00625B30" w:rsidP="00D46CE8" w:rsidRDefault="00625B30" w14:paraId="7239164A" w14:textId="12D09CEE">
      <w:pPr>
        <w:pStyle w:val="ListParagraph"/>
        <w:keepNext/>
        <w:numPr>
          <w:ilvl w:val="0"/>
          <w:numId w:val="7"/>
        </w:numPr>
        <w:rPr>
          <w:b/>
          <w:color w:val="000000"/>
        </w:rPr>
      </w:pPr>
      <w:r w:rsidRPr="00625B30">
        <w:rPr>
          <w:b/>
          <w:color w:val="000000"/>
        </w:rPr>
        <w:t>Attachments</w:t>
      </w:r>
      <w:r w:rsidRPr="00625B30">
        <w:rPr>
          <w:b/>
        </w:rPr>
        <w:t xml:space="preserve"> Documenting Specific Claim and Comments on Part III</w:t>
      </w:r>
      <w:r w:rsidR="008D27EC">
        <w:rPr>
          <w:rStyle w:val="FootnoteReference"/>
          <w:b/>
        </w:rPr>
        <w:footnoteReference w:id="5"/>
      </w:r>
      <w:r w:rsidRPr="00625B30">
        <w:rPr>
          <w:b/>
        </w:rPr>
        <w:t>:</w:t>
      </w:r>
    </w:p>
    <w:p w:rsidRPr="00625B30" w:rsidR="00625B30" w:rsidP="008D27EC" w:rsidRDefault="00625B30" w14:paraId="7E93547F" w14:textId="4EC0EA27">
      <w:pPr>
        <w:rPr>
          <w:b/>
          <w:i/>
          <w:color w:val="000000"/>
          <w:u w:val="single"/>
        </w:rPr>
      </w:pPr>
    </w:p>
    <w:tbl>
      <w:tblPr>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795"/>
        <w:gridCol w:w="7650"/>
      </w:tblGrid>
      <w:tr w:rsidRPr="007F620E" w:rsidR="00625B30" w:rsidTr="00725F0A" w14:paraId="1D1D972E" w14:textId="77777777">
        <w:trPr>
          <w:tblHeader/>
        </w:trPr>
        <w:tc>
          <w:tcPr>
            <w:tcW w:w="1795" w:type="dxa"/>
            <w:shd w:val="clear" w:color="auto" w:fill="D9D9D9" w:themeFill="background1" w:themeFillShade="D9"/>
            <w:vAlign w:val="bottom"/>
          </w:tcPr>
          <w:p w:rsidRPr="007F620E" w:rsidR="00625B30" w:rsidP="00625B30" w:rsidRDefault="00625B30" w14:paraId="272B427F" w14:textId="77777777">
            <w:pPr>
              <w:tabs>
                <w:tab w:val="left" w:pos="1260"/>
              </w:tabs>
              <w:jc w:val="center"/>
              <w:rPr>
                <w:b/>
                <w:color w:val="000000"/>
              </w:rPr>
            </w:pPr>
            <w:r w:rsidRPr="007F620E">
              <w:rPr>
                <w:b/>
                <w:color w:val="000000"/>
              </w:rPr>
              <w:t>Attachment or Comment  #</w:t>
            </w:r>
          </w:p>
        </w:tc>
        <w:tc>
          <w:tcPr>
            <w:tcW w:w="7650" w:type="dxa"/>
            <w:tcBorders>
              <w:bottom w:val="single" w:color="auto" w:sz="4" w:space="0"/>
            </w:tcBorders>
            <w:shd w:val="clear" w:color="auto" w:fill="D9D9D9" w:themeFill="background1" w:themeFillShade="D9"/>
            <w:vAlign w:val="bottom"/>
          </w:tcPr>
          <w:p w:rsidRPr="007F620E" w:rsidR="00625B30" w:rsidP="00625B30" w:rsidRDefault="00625B30" w14:paraId="41A2C99E" w14:textId="77777777">
            <w:pPr>
              <w:tabs>
                <w:tab w:val="left" w:pos="1260"/>
              </w:tabs>
              <w:jc w:val="center"/>
              <w:rPr>
                <w:b/>
                <w:color w:val="000000"/>
              </w:rPr>
            </w:pPr>
            <w:r w:rsidRPr="007F620E">
              <w:rPr>
                <w:b/>
                <w:color w:val="000000"/>
              </w:rPr>
              <w:t>Description/Comment</w:t>
            </w:r>
          </w:p>
        </w:tc>
      </w:tr>
      <w:tr w:rsidRPr="001C0DD1" w:rsidR="00625B30" w:rsidTr="00725F0A" w14:paraId="511D5E65" w14:textId="77777777">
        <w:tc>
          <w:tcPr>
            <w:tcW w:w="1795" w:type="dxa"/>
            <w:tcBorders>
              <w:bottom w:val="single" w:color="auto" w:sz="4" w:space="0"/>
            </w:tcBorders>
          </w:tcPr>
          <w:p w:rsidRPr="007F620E" w:rsidR="00625B30" w:rsidP="00625B30" w:rsidRDefault="00625B30" w14:paraId="133D7EF4" w14:textId="77777777">
            <w:pPr>
              <w:tabs>
                <w:tab w:val="left" w:pos="1260"/>
              </w:tabs>
              <w:rPr>
                <w:color w:val="000000"/>
              </w:rPr>
            </w:pPr>
            <w:r>
              <w:rPr>
                <w:color w:val="000000"/>
              </w:rPr>
              <w:t xml:space="preserve">Attachment </w:t>
            </w:r>
            <w:r w:rsidRPr="007F620E">
              <w:rPr>
                <w:color w:val="000000"/>
              </w:rPr>
              <w:t>1</w:t>
            </w:r>
          </w:p>
        </w:tc>
        <w:tc>
          <w:tcPr>
            <w:tcW w:w="7650" w:type="dxa"/>
            <w:tcBorders>
              <w:bottom w:val="single" w:color="auto" w:sz="4" w:space="0"/>
            </w:tcBorders>
          </w:tcPr>
          <w:p w:rsidRPr="001C0DD1" w:rsidR="00625B30" w:rsidP="00625B30" w:rsidRDefault="00625B30" w14:paraId="393C15CE" w14:textId="77777777">
            <w:pPr>
              <w:tabs>
                <w:tab w:val="left" w:pos="1260"/>
              </w:tabs>
              <w:rPr>
                <w:color w:val="000000"/>
              </w:rPr>
            </w:pPr>
            <w:r w:rsidRPr="001C0DD1">
              <w:rPr>
                <w:color w:val="000000"/>
              </w:rPr>
              <w:t>Certificate of Service</w:t>
            </w:r>
          </w:p>
        </w:tc>
      </w:tr>
      <w:tr w:rsidRPr="007F620E" w:rsidR="00625B30" w:rsidTr="00725F0A" w14:paraId="2F2DE0C1" w14:textId="77777777">
        <w:tc>
          <w:tcPr>
            <w:tcW w:w="1795" w:type="dxa"/>
          </w:tcPr>
          <w:p w:rsidRPr="007F620E" w:rsidR="00625B30" w:rsidP="00625B30" w:rsidRDefault="00625B30" w14:paraId="6EBB2B5F" w14:textId="77777777">
            <w:pPr>
              <w:tabs>
                <w:tab w:val="left" w:pos="1260"/>
              </w:tabs>
              <w:rPr>
                <w:color w:val="000000"/>
              </w:rPr>
            </w:pPr>
            <w:r>
              <w:rPr>
                <w:color w:val="000000"/>
              </w:rPr>
              <w:t>Attachment 2</w:t>
            </w:r>
          </w:p>
        </w:tc>
        <w:tc>
          <w:tcPr>
            <w:tcW w:w="7650" w:type="dxa"/>
          </w:tcPr>
          <w:p w:rsidRPr="007F620E" w:rsidR="00625B30" w:rsidP="00625B30" w:rsidRDefault="00625B30" w14:paraId="1D7BBDD2" w14:textId="77777777">
            <w:pPr>
              <w:tabs>
                <w:tab w:val="left" w:pos="1260"/>
              </w:tabs>
              <w:rPr>
                <w:b/>
                <w:color w:val="000000"/>
              </w:rPr>
            </w:pPr>
            <w:r>
              <w:rPr>
                <w:bCs/>
                <w:color w:val="000000"/>
              </w:rPr>
              <w:t>Timesheets for TURN Attorneys/Experts</w:t>
            </w:r>
          </w:p>
        </w:tc>
      </w:tr>
      <w:tr w:rsidRPr="007F620E" w:rsidR="00625B30" w:rsidTr="00725F0A" w14:paraId="2D89A3DF" w14:textId="77777777">
        <w:tc>
          <w:tcPr>
            <w:tcW w:w="1795" w:type="dxa"/>
          </w:tcPr>
          <w:p w:rsidR="00625B30" w:rsidP="00625B30" w:rsidRDefault="00625B30" w14:paraId="0E142030" w14:textId="77777777">
            <w:pPr>
              <w:tabs>
                <w:tab w:val="left" w:pos="1260"/>
              </w:tabs>
              <w:rPr>
                <w:color w:val="000000"/>
              </w:rPr>
            </w:pPr>
            <w:r>
              <w:rPr>
                <w:color w:val="000000"/>
              </w:rPr>
              <w:t>Attachment 3</w:t>
            </w:r>
          </w:p>
        </w:tc>
        <w:tc>
          <w:tcPr>
            <w:tcW w:w="7650" w:type="dxa"/>
          </w:tcPr>
          <w:p w:rsidRPr="007F620E" w:rsidR="00625B30" w:rsidP="00625B30" w:rsidRDefault="00625B30" w14:paraId="35237D46" w14:textId="77777777">
            <w:pPr>
              <w:tabs>
                <w:tab w:val="left" w:pos="1260"/>
              </w:tabs>
              <w:rPr>
                <w:b/>
                <w:color w:val="000000"/>
              </w:rPr>
            </w:pPr>
            <w:r>
              <w:rPr>
                <w:bCs/>
                <w:color w:val="000000"/>
              </w:rPr>
              <w:t>TURN hours allocated by issue</w:t>
            </w:r>
          </w:p>
        </w:tc>
      </w:tr>
      <w:tr w:rsidRPr="007F620E" w:rsidR="00044826" w:rsidTr="00725F0A" w14:paraId="15CDBA9E" w14:textId="77777777">
        <w:tc>
          <w:tcPr>
            <w:tcW w:w="1795" w:type="dxa"/>
          </w:tcPr>
          <w:p w:rsidR="00044826" w:rsidP="00625B30" w:rsidRDefault="00AF77F6" w14:paraId="1C0637E5" w14:textId="4669DACF">
            <w:pPr>
              <w:tabs>
                <w:tab w:val="left" w:pos="1260"/>
              </w:tabs>
              <w:rPr>
                <w:color w:val="000000"/>
              </w:rPr>
            </w:pPr>
            <w:r>
              <w:rPr>
                <w:color w:val="000000"/>
              </w:rPr>
              <w:t>Attachment 4</w:t>
            </w:r>
          </w:p>
        </w:tc>
        <w:tc>
          <w:tcPr>
            <w:tcW w:w="7650" w:type="dxa"/>
          </w:tcPr>
          <w:p w:rsidR="00044826" w:rsidP="00EA0046" w:rsidRDefault="009F785C" w14:paraId="359AFC4C" w14:textId="1878C2DA">
            <w:pPr>
              <w:tabs>
                <w:tab w:val="left" w:pos="1260"/>
              </w:tabs>
              <w:rPr>
                <w:bCs/>
                <w:color w:val="000000"/>
              </w:rPr>
            </w:pPr>
            <w:r>
              <w:rPr>
                <w:bCs/>
                <w:color w:val="000000"/>
              </w:rPr>
              <w:t>Documentation of</w:t>
            </w:r>
            <w:r w:rsidRPr="00EA0046" w:rsidR="00EA0046">
              <w:rPr>
                <w:bCs/>
                <w:color w:val="000000"/>
              </w:rPr>
              <w:t xml:space="preserve"> Consultant Garrick Jones' 2023 and 2024 Hourly Rate</w:t>
            </w:r>
            <w:r w:rsidR="00EA0046">
              <w:rPr>
                <w:bCs/>
                <w:color w:val="000000"/>
              </w:rPr>
              <w:t xml:space="preserve"> </w:t>
            </w:r>
          </w:p>
        </w:tc>
      </w:tr>
      <w:tr w:rsidRPr="006B5CF2" w:rsidR="00625B30" w:rsidTr="00725F0A" w14:paraId="244F5BEA" w14:textId="77777777">
        <w:tc>
          <w:tcPr>
            <w:tcW w:w="1795" w:type="dxa"/>
          </w:tcPr>
          <w:p w:rsidR="00625B30" w:rsidP="00625B30" w:rsidRDefault="00625B30" w14:paraId="1DB55FE4" w14:textId="77777777">
            <w:pPr>
              <w:tabs>
                <w:tab w:val="left" w:pos="1260"/>
              </w:tabs>
              <w:rPr>
                <w:color w:val="000000"/>
              </w:rPr>
            </w:pPr>
            <w:r>
              <w:rPr>
                <w:color w:val="000000"/>
              </w:rPr>
              <w:t>Comment #1</w:t>
            </w:r>
          </w:p>
        </w:tc>
        <w:tc>
          <w:tcPr>
            <w:tcW w:w="7650" w:type="dxa"/>
          </w:tcPr>
          <w:p w:rsidRPr="00507362" w:rsidR="00A8374C" w:rsidP="00A8374C" w:rsidRDefault="00A8374C" w14:paraId="30325D06" w14:textId="77777777">
            <w:pPr>
              <w:pStyle w:val="NormalWeb"/>
              <w:rPr>
                <w:rFonts w:asciiTheme="majorBidi" w:hAnsiTheme="majorBidi" w:cstheme="majorBidi"/>
                <w:b/>
                <w:bCs/>
                <w:color w:val="000000"/>
              </w:rPr>
            </w:pPr>
            <w:r w:rsidRPr="00507362">
              <w:rPr>
                <w:rFonts w:asciiTheme="majorBidi" w:hAnsiTheme="majorBidi" w:cstheme="majorBidi"/>
                <w:b/>
                <w:bCs/>
                <w:color w:val="000000"/>
              </w:rPr>
              <w:t>2025 Rate for Elise Torres</w:t>
            </w:r>
            <w:r w:rsidRPr="00507362">
              <w:rPr>
                <w:rStyle w:val="apple-converted-space"/>
                <w:rFonts w:asciiTheme="majorBidi" w:hAnsiTheme="majorBidi" w:eastAsiaTheme="majorEastAsia" w:cstheme="majorBidi"/>
                <w:b/>
                <w:bCs/>
                <w:color w:val="000000"/>
              </w:rPr>
              <w:t> </w:t>
            </w:r>
          </w:p>
          <w:p w:rsidRPr="00507362" w:rsidR="00A8374C" w:rsidP="00725F0A" w:rsidRDefault="00A8374C" w14:paraId="172781AE" w14:textId="77777777">
            <w:pPr>
              <w:pStyle w:val="NormalWeb"/>
              <w:ind w:right="-104"/>
              <w:rPr>
                <w:rFonts w:asciiTheme="majorBidi" w:hAnsiTheme="majorBidi" w:cstheme="majorBidi"/>
                <w:color w:val="000000"/>
              </w:rPr>
            </w:pPr>
            <w:r w:rsidRPr="00507362">
              <w:rPr>
                <w:rFonts w:asciiTheme="majorBidi" w:hAnsiTheme="majorBidi" w:cstheme="majorBidi"/>
                <w:color w:val="000000"/>
              </w:rPr>
              <w:t>For Ms. Torres's work in 2025, TURN requests that the Commission adjust her 2024 rate of $555, authorized in D.25-03-022, in two regards: (1) by applying the annual escalation adjustment authorized by Resolution ALJ-393, 3.46%; and (2) further adjusting Ms. Torres's hourly rate by 5% to recognize her move from Attorney - Level III (5-10 years) to Attorney - Level IV (10-15 years). In D.08-04-010, the Commission recognized moving to a higher experience tier as one of the circumstances that qualifies an intervenor representative for a rate increase, apart from annual COLA adjustments and "step" increases. (D.08-04-010, p. 8). The requested rate adjustment for Ms. Torres’s change in experience tier is consistent with the Commission’s adoption of a similar adjustment in setting TURN Attorney David Cheng’s 2024 hourly rate in D.24-07-030. (D.24-07-030, p. 11).</w:t>
            </w:r>
            <w:r w:rsidRPr="00507362">
              <w:rPr>
                <w:rStyle w:val="apple-converted-space"/>
                <w:rFonts w:asciiTheme="majorBidi" w:hAnsiTheme="majorBidi" w:eastAsiaTheme="majorEastAsia" w:cstheme="majorBidi"/>
                <w:color w:val="000000"/>
              </w:rPr>
              <w:t> </w:t>
            </w:r>
          </w:p>
          <w:p w:rsidRPr="00507362" w:rsidR="00A8374C" w:rsidP="00A8374C" w:rsidRDefault="00A8374C" w14:paraId="61A6A329" w14:textId="77777777">
            <w:pPr>
              <w:pStyle w:val="NormalWeb"/>
              <w:rPr>
                <w:rFonts w:asciiTheme="majorBidi" w:hAnsiTheme="majorBidi" w:cstheme="majorBidi"/>
                <w:color w:val="000000"/>
              </w:rPr>
            </w:pPr>
            <w:r w:rsidRPr="00507362">
              <w:rPr>
                <w:rFonts w:asciiTheme="majorBidi" w:hAnsiTheme="majorBidi" w:cstheme="majorBidi"/>
                <w:color w:val="000000"/>
              </w:rPr>
              <w:t xml:space="preserve">Ms. Torres was admitted to the CA bar in December 2011. In D.21-12-049, which authorized the first rate for Ms. Torres pursuant to Resolution ALJ-393, the Commission recognized that Ms. Torres had worked in utility regulation for 9 years and practiced as an attorney for 7 ½ years in setting her 2021 rate in the Attorney – Level III labor role. (D.21-12-049, p. 25). By 2025, Ms. Torres has four more years of experience, putting her squarely in the Attorney – Level IV labor role, with 11 ½ years practicing law and 13 ½ </w:t>
            </w:r>
            <w:r w:rsidRPr="00507362">
              <w:rPr>
                <w:rFonts w:asciiTheme="majorBidi" w:hAnsiTheme="majorBidi" w:cstheme="majorBidi"/>
                <w:color w:val="000000"/>
              </w:rPr>
              <w:lastRenderedPageBreak/>
              <w:t>years of directly relevant experience working in utility regulation. TURN has not previously requested a rate that recognizes this change in Ms. Torres’ experience. Consistent with prior decisions, the Commission should continue to recognize that “professional experience gained by a practitioner … while employed in a role other than an attorney can nonetheless confer directly relevant skills and expertise which warrant consideration in determining hourly rates for purposes of the Intervenor Compensation Program.” (D.24-07-030, p. 11, citing D.19-04-035, p. 13).</w:t>
            </w:r>
            <w:r w:rsidRPr="00507362">
              <w:rPr>
                <w:rStyle w:val="apple-converted-space"/>
                <w:rFonts w:asciiTheme="majorBidi" w:hAnsiTheme="majorBidi" w:eastAsiaTheme="majorEastAsia" w:cstheme="majorBidi"/>
                <w:color w:val="000000"/>
              </w:rPr>
              <w:t> </w:t>
            </w:r>
          </w:p>
          <w:p w:rsidRPr="00507362" w:rsidR="00625B30" w:rsidP="00A8374C" w:rsidRDefault="00A8374C" w14:paraId="02196BF6" w14:textId="5247A691">
            <w:pPr>
              <w:pStyle w:val="NormalWeb"/>
              <w:rPr>
                <w:rFonts w:asciiTheme="majorBidi" w:hAnsiTheme="majorBidi" w:cstheme="majorBidi"/>
                <w:color w:val="000000"/>
              </w:rPr>
            </w:pPr>
            <w:r w:rsidRPr="00507362">
              <w:rPr>
                <w:rFonts w:asciiTheme="majorBidi" w:hAnsiTheme="majorBidi" w:cstheme="majorBidi"/>
                <w:color w:val="000000"/>
              </w:rPr>
              <w:t>TURN accordingly requests a 2025 rate for Ms. Torres of $600. Calculation: $555 x [1.0346 (COLA) + 0.05 (move to higher tier)] = $601.95, rounded to $600.</w:t>
            </w:r>
          </w:p>
        </w:tc>
      </w:tr>
      <w:tr w:rsidRPr="006C7167" w:rsidR="00DE01B6" w:rsidTr="00725F0A" w14:paraId="0CFF1FED" w14:textId="77777777">
        <w:tc>
          <w:tcPr>
            <w:tcW w:w="1795" w:type="dxa"/>
          </w:tcPr>
          <w:p w:rsidR="00DE01B6" w:rsidP="00DE01B6" w:rsidRDefault="00DE01B6" w14:paraId="1385E58C" w14:textId="77777777">
            <w:pPr>
              <w:tabs>
                <w:tab w:val="left" w:pos="1260"/>
              </w:tabs>
              <w:rPr>
                <w:color w:val="000000"/>
              </w:rPr>
            </w:pPr>
            <w:r>
              <w:rPr>
                <w:color w:val="000000"/>
              </w:rPr>
              <w:lastRenderedPageBreak/>
              <w:t>Comment #2</w:t>
            </w:r>
          </w:p>
        </w:tc>
        <w:tc>
          <w:tcPr>
            <w:tcW w:w="7650" w:type="dxa"/>
          </w:tcPr>
          <w:p w:rsidRPr="002E74FB" w:rsidR="00DE01B6" w:rsidP="00DE01B6" w:rsidRDefault="00DE01B6" w14:paraId="7873AA4C" w14:textId="77777777">
            <w:pPr>
              <w:rPr>
                <w:b/>
                <w:bCs/>
              </w:rPr>
            </w:pPr>
            <w:r w:rsidRPr="002E74FB">
              <w:rPr>
                <w:b/>
                <w:bCs/>
              </w:rPr>
              <w:t xml:space="preserve">2023 Hourly Rate for </w:t>
            </w:r>
            <w:r>
              <w:rPr>
                <w:b/>
                <w:bCs/>
              </w:rPr>
              <w:t>Garrick Jones, InfraSMART Energy, Inc.</w:t>
            </w:r>
          </w:p>
          <w:p w:rsidR="00DE01B6" w:rsidP="00DE01B6" w:rsidRDefault="00DE01B6" w14:paraId="08592A03" w14:textId="77777777"/>
          <w:p w:rsidR="00DE01B6" w:rsidP="00DE01B6" w:rsidRDefault="00DE01B6" w14:paraId="5FAD6711" w14:textId="77777777">
            <w:r>
              <w:t>TURN requests an hourly rate of $285 for consultant Garrick Jones’s 2023 work in this proceeding.  This is the rate charged by Mr. Jones to TURN in 2023.  This rate is also consistent with the rate previously approved by the Commission in D.24-10-026 for Mr. Jones’s work in 2023 in the PG&amp;E TY 2023 GRC.</w:t>
            </w:r>
          </w:p>
          <w:p w:rsidRPr="006C7167" w:rsidR="00DE01B6" w:rsidP="00DE01B6" w:rsidRDefault="00DE01B6" w14:paraId="681BC91C" w14:textId="0352FE4D">
            <w:pPr>
              <w:rPr>
                <w:b/>
                <w:color w:val="000000"/>
                <w:u w:val="single"/>
              </w:rPr>
            </w:pPr>
          </w:p>
        </w:tc>
      </w:tr>
      <w:tr w:rsidRPr="003D30FA" w:rsidR="00DE01B6" w:rsidTr="00725F0A" w14:paraId="5084EB2A" w14:textId="77777777">
        <w:tc>
          <w:tcPr>
            <w:tcW w:w="1795" w:type="dxa"/>
          </w:tcPr>
          <w:p w:rsidR="00DE01B6" w:rsidP="00DE01B6" w:rsidRDefault="00DE01B6" w14:paraId="32787807" w14:textId="77777777">
            <w:pPr>
              <w:tabs>
                <w:tab w:val="left" w:pos="1260"/>
              </w:tabs>
              <w:rPr>
                <w:color w:val="000000"/>
              </w:rPr>
            </w:pPr>
            <w:r>
              <w:rPr>
                <w:color w:val="000000"/>
              </w:rPr>
              <w:t>Comment #3</w:t>
            </w:r>
          </w:p>
        </w:tc>
        <w:tc>
          <w:tcPr>
            <w:tcW w:w="7650" w:type="dxa"/>
          </w:tcPr>
          <w:p w:rsidRPr="002E74FB" w:rsidR="00DE01B6" w:rsidP="00DE01B6" w:rsidRDefault="00DE01B6" w14:paraId="36DD6DE9" w14:textId="77777777">
            <w:pPr>
              <w:rPr>
                <w:b/>
                <w:bCs/>
              </w:rPr>
            </w:pPr>
            <w:r w:rsidRPr="002E74FB">
              <w:rPr>
                <w:b/>
                <w:bCs/>
              </w:rPr>
              <w:t>202</w:t>
            </w:r>
            <w:r>
              <w:rPr>
                <w:b/>
                <w:bCs/>
              </w:rPr>
              <w:t>4</w:t>
            </w:r>
            <w:r w:rsidRPr="002E74FB">
              <w:rPr>
                <w:b/>
                <w:bCs/>
              </w:rPr>
              <w:t xml:space="preserve"> Hourly Rate for </w:t>
            </w:r>
            <w:r>
              <w:rPr>
                <w:b/>
                <w:bCs/>
              </w:rPr>
              <w:t>Garrick Jones, InfraSMART Energy, Inc.</w:t>
            </w:r>
          </w:p>
          <w:p w:rsidR="00DE01B6" w:rsidP="00DE01B6" w:rsidRDefault="00DE01B6" w14:paraId="67CE4A60" w14:textId="77777777"/>
          <w:p w:rsidRPr="003D30FA" w:rsidR="00DE01B6" w:rsidP="00DE01B6" w:rsidRDefault="00DE01B6" w14:paraId="6D50D193" w14:textId="700830B2">
            <w:pPr>
              <w:tabs>
                <w:tab w:val="left" w:pos="1260"/>
              </w:tabs>
              <w:rPr>
                <w:bCs/>
                <w:color w:val="000000"/>
              </w:rPr>
            </w:pPr>
            <w:r>
              <w:t xml:space="preserve">TURN requests an hourly rate of $295 for consultant Garrick Jones’s 2024 work in this proceeding.  This is the rate charged by Mr. Jones to TURN in 2024.  This rate is also consistent with the rate previously approved by the Commission in D.24-10-026 for Mr. Jones’s work in 2023, $285, adjusted by the Commission’s 2024 escalation rate of 4.07% (Res. ALJ-393) and rounded to the nearest $5 increment [$285 * 1.0407 = $296.60, rounds down to $295].  </w:t>
            </w:r>
          </w:p>
        </w:tc>
      </w:tr>
    </w:tbl>
    <w:p w:rsidR="00625B30" w:rsidP="00625B30" w:rsidRDefault="00625B30" w14:paraId="24C9F141" w14:textId="77777777"/>
    <w:p w:rsidRPr="004D1F0C" w:rsidR="00625B30" w:rsidP="004D1F0C" w:rsidRDefault="00625B30" w14:paraId="75E64BE4" w14:textId="1AB5CC00">
      <w:pPr>
        <w:pStyle w:val="ListParagraph"/>
        <w:keepNext/>
        <w:numPr>
          <w:ilvl w:val="0"/>
          <w:numId w:val="7"/>
        </w:numPr>
        <w:rPr>
          <w:b/>
          <w:color w:val="000000"/>
        </w:rPr>
      </w:pPr>
      <w:r w:rsidRPr="004D1F0C">
        <w:rPr>
          <w:b/>
          <w:color w:val="000000"/>
        </w:rPr>
        <w:t>CPUC Comments, Disallowances, and Adjustments</w:t>
      </w:r>
    </w:p>
    <w:p w:rsidRPr="00625B30" w:rsidR="00D46CE8" w:rsidP="00D46CE8" w:rsidRDefault="00D46CE8" w14:paraId="1273D211" w14:textId="77777777">
      <w:pPr>
        <w:keepNext/>
        <w:ind w:left="360"/>
        <w:rPr>
          <w:b/>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603"/>
        <w:gridCol w:w="7757"/>
      </w:tblGrid>
      <w:tr w:rsidRPr="007F620E" w:rsidR="00625B30" w:rsidTr="009A211D" w14:paraId="59CFEA0C" w14:textId="77777777">
        <w:trPr>
          <w:tblHeader/>
        </w:trPr>
        <w:tc>
          <w:tcPr>
            <w:tcW w:w="1603" w:type="dxa"/>
            <w:shd w:val="pct12" w:color="auto" w:fill="auto"/>
          </w:tcPr>
          <w:p w:rsidRPr="007F620E" w:rsidR="00625B30" w:rsidP="00A47EB7" w:rsidRDefault="00625B30" w14:paraId="6DD51BEB" w14:textId="77777777">
            <w:pPr>
              <w:tabs>
                <w:tab w:val="left" w:pos="1440"/>
              </w:tabs>
              <w:jc w:val="center"/>
              <w:rPr>
                <w:b/>
                <w:color w:val="000000"/>
              </w:rPr>
            </w:pPr>
            <w:r w:rsidRPr="007F620E">
              <w:rPr>
                <w:b/>
                <w:color w:val="000000"/>
              </w:rPr>
              <w:t>Item</w:t>
            </w:r>
          </w:p>
        </w:tc>
        <w:tc>
          <w:tcPr>
            <w:tcW w:w="7757" w:type="dxa"/>
            <w:shd w:val="pct12" w:color="auto" w:fill="auto"/>
          </w:tcPr>
          <w:p w:rsidRPr="007F620E" w:rsidR="00625B30" w:rsidP="00A47EB7" w:rsidRDefault="00625B30" w14:paraId="239D04DA" w14:textId="77777777">
            <w:pPr>
              <w:tabs>
                <w:tab w:val="left" w:pos="1440"/>
              </w:tabs>
              <w:jc w:val="center"/>
              <w:rPr>
                <w:b/>
                <w:color w:val="000000"/>
              </w:rPr>
            </w:pPr>
            <w:r w:rsidRPr="007F620E">
              <w:rPr>
                <w:b/>
                <w:color w:val="000000"/>
              </w:rPr>
              <w:t>Reason</w:t>
            </w:r>
          </w:p>
        </w:tc>
      </w:tr>
      <w:tr w:rsidRPr="007F620E" w:rsidR="00625B30" w:rsidTr="009A211D" w14:paraId="2C987839" w14:textId="77777777">
        <w:tc>
          <w:tcPr>
            <w:tcW w:w="1603" w:type="dxa"/>
          </w:tcPr>
          <w:p w:rsidRPr="007F620E" w:rsidR="00625B30" w:rsidP="00A47EB7" w:rsidRDefault="004A42D8" w14:paraId="1852B9CF" w14:textId="0A98E819">
            <w:pPr>
              <w:tabs>
                <w:tab w:val="left" w:pos="1440"/>
              </w:tabs>
              <w:rPr>
                <w:color w:val="000000"/>
              </w:rPr>
            </w:pPr>
            <w:r>
              <w:rPr>
                <w:color w:val="000000"/>
              </w:rPr>
              <w:t>[1] Elise Torres</w:t>
            </w:r>
            <w:r w:rsidR="00DC0497">
              <w:rPr>
                <w:color w:val="000000"/>
              </w:rPr>
              <w:t>’</w:t>
            </w:r>
            <w:r>
              <w:rPr>
                <w:color w:val="000000"/>
              </w:rPr>
              <w:t xml:space="preserve"> (Torres) 2023, 2024, and 2025 Hourly Rates </w:t>
            </w:r>
            <w:r w:rsidR="0053712E">
              <w:rPr>
                <w:color w:val="000000"/>
              </w:rPr>
              <w:t>&amp; Intervenor Compensation Rates</w:t>
            </w:r>
          </w:p>
        </w:tc>
        <w:tc>
          <w:tcPr>
            <w:tcW w:w="7757" w:type="dxa"/>
          </w:tcPr>
          <w:p w:rsidR="00D203D9" w:rsidP="00D203D9" w:rsidRDefault="005B399C" w14:paraId="599525CB" w14:textId="1A885B95">
            <w:pPr>
              <w:tabs>
                <w:tab w:val="left" w:pos="1440"/>
              </w:tabs>
              <w:rPr>
                <w:color w:val="000000"/>
              </w:rPr>
            </w:pPr>
            <w:r>
              <w:rPr>
                <w:color w:val="000000"/>
              </w:rPr>
              <w:t>D</w:t>
            </w:r>
            <w:r w:rsidR="00435F50">
              <w:rPr>
                <w:color w:val="000000"/>
              </w:rPr>
              <w:t>.24-01-045 approved a</w:t>
            </w:r>
            <w:r w:rsidR="00E33E95">
              <w:rPr>
                <w:color w:val="000000"/>
              </w:rPr>
              <w:t xml:space="preserve"> 2023</w:t>
            </w:r>
            <w:r w:rsidR="00435F50">
              <w:rPr>
                <w:color w:val="000000"/>
              </w:rPr>
              <w:t xml:space="preserve"> rate </w:t>
            </w:r>
            <w:r w:rsidR="00E33E95">
              <w:rPr>
                <w:color w:val="000000"/>
              </w:rPr>
              <w:t>of $510</w:t>
            </w:r>
            <w:r w:rsidR="00C03782">
              <w:rPr>
                <w:color w:val="000000"/>
              </w:rPr>
              <w:t>.00</w:t>
            </w:r>
            <w:r w:rsidR="00E33E95">
              <w:rPr>
                <w:color w:val="000000"/>
              </w:rPr>
              <w:t xml:space="preserve"> for Torres. </w:t>
            </w:r>
            <w:r w:rsidR="00D203D9">
              <w:rPr>
                <w:color w:val="000000"/>
              </w:rPr>
              <w:t xml:space="preserve">As Intervenor Compensation Claim Preparation hours are </w:t>
            </w:r>
            <w:r w:rsidRPr="007F620E" w:rsidR="00D203D9">
              <w:rPr>
                <w:color w:val="000000"/>
              </w:rPr>
              <w:t xml:space="preserve">compensated at </w:t>
            </w:r>
            <w:r w:rsidR="00D203D9">
              <w:rPr>
                <w:color w:val="000000"/>
              </w:rPr>
              <w:t xml:space="preserve">½ </w:t>
            </w:r>
            <w:r w:rsidRPr="007F620E" w:rsidR="00D203D9">
              <w:rPr>
                <w:color w:val="000000"/>
              </w:rPr>
              <w:t>preparer’s normal hourly rate</w:t>
            </w:r>
            <w:r w:rsidR="00D203D9">
              <w:rPr>
                <w:color w:val="000000"/>
              </w:rPr>
              <w:t xml:space="preserve">, we apply the rate of $255 for Torres. </w:t>
            </w:r>
          </w:p>
          <w:p w:rsidR="00D203D9" w:rsidP="00D203D9" w:rsidRDefault="00E33E95" w14:paraId="2835FB4F" w14:textId="00DCDC3F">
            <w:pPr>
              <w:tabs>
                <w:tab w:val="left" w:pos="1440"/>
              </w:tabs>
              <w:spacing w:before="120"/>
              <w:rPr>
                <w:color w:val="000000"/>
              </w:rPr>
            </w:pPr>
            <w:r>
              <w:rPr>
                <w:color w:val="000000"/>
              </w:rPr>
              <w:t>D.25-03-022 approved a 2024 rate of $555</w:t>
            </w:r>
            <w:r w:rsidR="00C03782">
              <w:rPr>
                <w:color w:val="000000"/>
              </w:rPr>
              <w:t>.00</w:t>
            </w:r>
            <w:r>
              <w:rPr>
                <w:color w:val="000000"/>
              </w:rPr>
              <w:t xml:space="preserve"> for Torres.</w:t>
            </w:r>
            <w:r w:rsidR="00D203D9">
              <w:rPr>
                <w:color w:val="000000"/>
              </w:rPr>
              <w:t xml:space="preserve"> As Intervenor Compensation Claim Preparation hours are </w:t>
            </w:r>
            <w:r w:rsidRPr="007F620E" w:rsidR="00D203D9">
              <w:rPr>
                <w:color w:val="000000"/>
              </w:rPr>
              <w:t xml:space="preserve">compensated at </w:t>
            </w:r>
            <w:r w:rsidR="00D203D9">
              <w:rPr>
                <w:color w:val="000000"/>
              </w:rPr>
              <w:t xml:space="preserve">½ </w:t>
            </w:r>
            <w:r w:rsidRPr="007F620E" w:rsidR="00D203D9">
              <w:rPr>
                <w:color w:val="000000"/>
              </w:rPr>
              <w:t>preparer’s normal hourly rate</w:t>
            </w:r>
            <w:r w:rsidR="00D203D9">
              <w:rPr>
                <w:color w:val="000000"/>
              </w:rPr>
              <w:t xml:space="preserve">, we apply the rate of $277.50 for Torres. </w:t>
            </w:r>
          </w:p>
          <w:p w:rsidRPr="007F620E" w:rsidR="00D203D9" w:rsidP="005802C0" w:rsidRDefault="00C03782" w14:paraId="38AEFFCF" w14:textId="08028F4E">
            <w:pPr>
              <w:tabs>
                <w:tab w:val="left" w:pos="1440"/>
              </w:tabs>
              <w:spacing w:before="120"/>
              <w:rPr>
                <w:color w:val="000000"/>
              </w:rPr>
            </w:pPr>
            <w:r>
              <w:rPr>
                <w:color w:val="000000"/>
              </w:rPr>
              <w:lastRenderedPageBreak/>
              <w:t>D.26-04-043 approved a 2025 rate of $600.00 for Torres.</w:t>
            </w:r>
            <w:r w:rsidR="00D203D9">
              <w:rPr>
                <w:color w:val="000000"/>
              </w:rPr>
              <w:t xml:space="preserve"> As Intervenor Compensation Claim Preparation hours are </w:t>
            </w:r>
            <w:r w:rsidRPr="007F620E" w:rsidR="00D203D9">
              <w:rPr>
                <w:color w:val="000000"/>
              </w:rPr>
              <w:t xml:space="preserve">compensated at </w:t>
            </w:r>
            <w:r w:rsidR="00D203D9">
              <w:rPr>
                <w:color w:val="000000"/>
              </w:rPr>
              <w:t xml:space="preserve">½ </w:t>
            </w:r>
            <w:r w:rsidRPr="007F620E" w:rsidR="00D203D9">
              <w:rPr>
                <w:color w:val="000000"/>
              </w:rPr>
              <w:t>preparer’s normal hourly rate</w:t>
            </w:r>
            <w:r w:rsidR="00D203D9">
              <w:rPr>
                <w:color w:val="000000"/>
              </w:rPr>
              <w:t>, we apply the rate of $</w:t>
            </w:r>
            <w:r>
              <w:rPr>
                <w:color w:val="000000"/>
              </w:rPr>
              <w:t>300.00</w:t>
            </w:r>
            <w:r w:rsidR="00D203D9">
              <w:rPr>
                <w:color w:val="000000"/>
              </w:rPr>
              <w:t xml:space="preserve"> for Torres. </w:t>
            </w:r>
          </w:p>
        </w:tc>
      </w:tr>
      <w:tr w:rsidRPr="007F620E" w:rsidR="00625B30" w:rsidTr="009A211D" w14:paraId="50F08B3B" w14:textId="77777777">
        <w:tc>
          <w:tcPr>
            <w:tcW w:w="1603" w:type="dxa"/>
          </w:tcPr>
          <w:p w:rsidRPr="007F620E" w:rsidR="00625B30" w:rsidP="00A47EB7" w:rsidRDefault="005802C0" w14:paraId="7048FC3E" w14:textId="2BC85B33">
            <w:pPr>
              <w:tabs>
                <w:tab w:val="left" w:pos="1440"/>
              </w:tabs>
              <w:rPr>
                <w:color w:val="000000"/>
              </w:rPr>
            </w:pPr>
            <w:r>
              <w:rPr>
                <w:color w:val="000000"/>
              </w:rPr>
              <w:lastRenderedPageBreak/>
              <w:t>[2] Garrick Jones</w:t>
            </w:r>
            <w:r w:rsidR="00DC0497">
              <w:rPr>
                <w:color w:val="000000"/>
              </w:rPr>
              <w:t>’</w:t>
            </w:r>
            <w:r>
              <w:rPr>
                <w:color w:val="000000"/>
              </w:rPr>
              <w:t xml:space="preserve"> (Jones) 2023 and 2024 Hourly Rates </w:t>
            </w:r>
          </w:p>
        </w:tc>
        <w:tc>
          <w:tcPr>
            <w:tcW w:w="7757" w:type="dxa"/>
          </w:tcPr>
          <w:p w:rsidR="009A211D" w:rsidP="009A211D" w:rsidRDefault="009A211D" w14:paraId="1DB722D6" w14:textId="6B1785B9">
            <w:pPr>
              <w:tabs>
                <w:tab w:val="left" w:pos="1440"/>
              </w:tabs>
            </w:pPr>
            <w:r>
              <w:t>TURN requests a rate of $285</w:t>
            </w:r>
            <w:r w:rsidR="000C283E">
              <w:t>.00</w:t>
            </w:r>
            <w:r>
              <w:t xml:space="preserve"> in 2023 and a rate of $295</w:t>
            </w:r>
            <w:r w:rsidR="000C283E">
              <w:t>.00</w:t>
            </w:r>
            <w:r>
              <w:t xml:space="preserve"> in 2024 for Jones. Jones’ resume and information provided by TURN in this claim </w:t>
            </w:r>
            <w:r w:rsidR="00DC0497">
              <w:t xml:space="preserve">confirms that </w:t>
            </w:r>
            <w:r>
              <w:t xml:space="preserve">he is a consultant. Hourly rates claimed for consultants must be the same rates paid to consultants for work performed in the proceeding pursuant to Resolution ALJ-235 at 4. Per the IComp Program Guide at 24, the Commission may audit the records and books of the intervenors to the extent necessary to verify the basis for the award (§ 1804(d)). </w:t>
            </w:r>
          </w:p>
          <w:p w:rsidR="009A211D" w:rsidP="009A211D" w:rsidRDefault="009A211D" w14:paraId="250AB881" w14:textId="77777777"/>
          <w:p w:rsidR="003F1940" w:rsidP="009A211D" w:rsidRDefault="009A211D" w14:paraId="08E4E551" w14:textId="1C1B1C46">
            <w:r>
              <w:t>TURN has provided invoices for Jones’ consulting services for this proceeding and has confirmed that Jones was paid $285</w:t>
            </w:r>
            <w:r w:rsidR="000C283E">
              <w:t>.00</w:t>
            </w:r>
            <w:r>
              <w:t xml:space="preserve"> per hour in 2023, and $295</w:t>
            </w:r>
            <w:r w:rsidR="000C283E">
              <w:t>.00</w:t>
            </w:r>
            <w:r>
              <w:t xml:space="preserve"> per hour in 2024. We therefore approve the 2023 rate of $285</w:t>
            </w:r>
            <w:r w:rsidR="000C283E">
              <w:t>.00</w:t>
            </w:r>
            <w:r>
              <w:t xml:space="preserve"> and the 2024 rate of $295</w:t>
            </w:r>
            <w:r w:rsidR="000C283E">
              <w:t>.00</w:t>
            </w:r>
            <w:r>
              <w:t xml:space="preserve"> for Jones here.</w:t>
            </w:r>
          </w:p>
          <w:p w:rsidR="003F1940" w:rsidP="00D94CE8" w:rsidRDefault="003F1940" w14:paraId="1D8627F8" w14:textId="77777777"/>
          <w:p w:rsidRPr="001A0A15" w:rsidR="00D94CE8" w:rsidP="00D94CE8" w:rsidRDefault="00D94CE8" w14:paraId="4FCB3E1F" w14:textId="11298ABB">
            <w:r w:rsidRPr="001A0A15">
              <w:t>The award determined herein for the consultant’s contribution in this proceeding shall be paid in full to the consultant, and no portion of this part of the award shall be kept by the intervenor. Additionally, the rates approved here are specific to work in this proceeding and the contract terms between the consultant and intervenor, as they are established in accordance with the Commission’s policy on consultant compensation.</w:t>
            </w:r>
          </w:p>
          <w:p w:rsidRPr="007F620E" w:rsidR="00625B30" w:rsidP="008D3741" w:rsidRDefault="00625B30" w14:paraId="3B01D90D" w14:textId="10F6EA82">
            <w:pPr>
              <w:rPr>
                <w:color w:val="000000"/>
              </w:rPr>
            </w:pPr>
          </w:p>
        </w:tc>
      </w:tr>
      <w:tr w:rsidRPr="007F620E" w:rsidR="009A211D" w:rsidTr="009A211D" w14:paraId="04FA78D1" w14:textId="77777777">
        <w:tc>
          <w:tcPr>
            <w:tcW w:w="1603" w:type="dxa"/>
          </w:tcPr>
          <w:p w:rsidR="009A211D" w:rsidP="00A47EB7" w:rsidRDefault="009A211D" w14:paraId="45CD64A2" w14:textId="1235D560">
            <w:pPr>
              <w:tabs>
                <w:tab w:val="left" w:pos="1440"/>
              </w:tabs>
              <w:rPr>
                <w:color w:val="000000"/>
              </w:rPr>
            </w:pPr>
            <w:r>
              <w:rPr>
                <w:color w:val="000000"/>
              </w:rPr>
              <w:t>[3] Reina Yanagi</w:t>
            </w:r>
            <w:r w:rsidR="00545E3F">
              <w:rPr>
                <w:color w:val="000000"/>
              </w:rPr>
              <w:t>ba</w:t>
            </w:r>
            <w:r w:rsidR="00DC0497">
              <w:rPr>
                <w:color w:val="000000"/>
              </w:rPr>
              <w:t>’s</w:t>
            </w:r>
            <w:r w:rsidR="00545E3F">
              <w:rPr>
                <w:color w:val="000000"/>
              </w:rPr>
              <w:t xml:space="preserve"> (Yanagiba) 2023 and 2024 Hourly Rates and 2025 Intervenor Compensation Rate</w:t>
            </w:r>
          </w:p>
        </w:tc>
        <w:tc>
          <w:tcPr>
            <w:tcW w:w="7757" w:type="dxa"/>
          </w:tcPr>
          <w:p w:rsidR="00C13A34" w:rsidP="00C13A34" w:rsidRDefault="00C13A34" w14:paraId="76DC91BC" w14:textId="352DD709">
            <w:pPr>
              <w:tabs>
                <w:tab w:val="left" w:pos="1440"/>
              </w:tabs>
              <w:rPr>
                <w:color w:val="000000"/>
              </w:rPr>
            </w:pPr>
            <w:r>
              <w:rPr>
                <w:color w:val="000000"/>
              </w:rPr>
              <w:t>D.24-04-030 approved a 2023 hourly rate of $95</w:t>
            </w:r>
            <w:r w:rsidR="000C283E">
              <w:rPr>
                <w:color w:val="000000"/>
              </w:rPr>
              <w:t>.00</w:t>
            </w:r>
            <w:r>
              <w:rPr>
                <w:color w:val="000000"/>
              </w:rPr>
              <w:t xml:space="preserve"> for Yanagiba.</w:t>
            </w:r>
          </w:p>
          <w:p w:rsidR="00C13A34" w:rsidP="00C13A34" w:rsidRDefault="00C13A34" w14:paraId="56B67ED7" w14:textId="273C99AF">
            <w:pPr>
              <w:tabs>
                <w:tab w:val="left" w:pos="1440"/>
              </w:tabs>
              <w:spacing w:before="120"/>
              <w:rPr>
                <w:color w:val="000000"/>
              </w:rPr>
            </w:pPr>
            <w:r>
              <w:rPr>
                <w:color w:val="000000"/>
              </w:rPr>
              <w:t>D.24-06-021 approved a 2024 hourly rate of $100</w:t>
            </w:r>
            <w:r w:rsidR="000C283E">
              <w:rPr>
                <w:color w:val="000000"/>
              </w:rPr>
              <w:t>.00</w:t>
            </w:r>
            <w:r>
              <w:rPr>
                <w:color w:val="000000"/>
              </w:rPr>
              <w:t xml:space="preserve"> for Yanagiba.</w:t>
            </w:r>
          </w:p>
          <w:p w:rsidR="008B73D6" w:rsidP="008B73D6" w:rsidRDefault="008B73D6" w14:paraId="0840AE66" w14:textId="77777777">
            <w:pPr>
              <w:tabs>
                <w:tab w:val="left" w:pos="1440"/>
              </w:tabs>
              <w:spacing w:after="100" w:afterAutospacing="1"/>
              <w:contextualSpacing/>
              <w:rPr>
                <w:color w:val="000000"/>
              </w:rPr>
            </w:pPr>
          </w:p>
          <w:p w:rsidR="009A211D" w:rsidP="00C13A34" w:rsidRDefault="00C03782" w14:paraId="739A63FB" w14:textId="53AFF530">
            <w:pPr>
              <w:tabs>
                <w:tab w:val="left" w:pos="1440"/>
              </w:tabs>
            </w:pPr>
            <w:r>
              <w:rPr>
                <w:color w:val="000000"/>
              </w:rPr>
              <w:t>D.26-03-040 approved a 2025 hourly rate of $125</w:t>
            </w:r>
            <w:r w:rsidR="000C283E">
              <w:rPr>
                <w:color w:val="000000"/>
              </w:rPr>
              <w:t>.00</w:t>
            </w:r>
            <w:r>
              <w:rPr>
                <w:color w:val="000000"/>
              </w:rPr>
              <w:t xml:space="preserve"> for Yanagiba, </w:t>
            </w:r>
            <w:r w:rsidR="00C13A34">
              <w:rPr>
                <w:color w:val="000000"/>
              </w:rPr>
              <w:t xml:space="preserve">As Intervenor Compensation Claim Preparation hours are </w:t>
            </w:r>
            <w:r w:rsidRPr="007F620E" w:rsidR="00C13A34">
              <w:rPr>
                <w:color w:val="000000"/>
              </w:rPr>
              <w:t xml:space="preserve">compensated at </w:t>
            </w:r>
            <w:r w:rsidR="00C13A34">
              <w:rPr>
                <w:color w:val="000000"/>
              </w:rPr>
              <w:t xml:space="preserve">½ </w:t>
            </w:r>
            <w:r w:rsidRPr="007F620E" w:rsidR="00C13A34">
              <w:rPr>
                <w:color w:val="000000"/>
              </w:rPr>
              <w:t>preparer’s normal hourly rate</w:t>
            </w:r>
            <w:r w:rsidR="00C13A34">
              <w:rPr>
                <w:color w:val="000000"/>
              </w:rPr>
              <w:t>, we apply the rate of $62.50 for Yanagiba.</w:t>
            </w:r>
          </w:p>
        </w:tc>
      </w:tr>
      <w:tr w:rsidRPr="007F620E" w:rsidR="002A3B53" w:rsidTr="009A211D" w14:paraId="28FD73E8" w14:textId="77777777">
        <w:tc>
          <w:tcPr>
            <w:tcW w:w="1603" w:type="dxa"/>
          </w:tcPr>
          <w:p w:rsidR="002A3B53" w:rsidP="00A47EB7" w:rsidRDefault="002A3B53" w14:paraId="0692AF0E" w14:textId="69060FAA">
            <w:pPr>
              <w:tabs>
                <w:tab w:val="left" w:pos="1440"/>
              </w:tabs>
              <w:rPr>
                <w:color w:val="000000"/>
              </w:rPr>
            </w:pPr>
            <w:r>
              <w:rPr>
                <w:color w:val="000000"/>
              </w:rPr>
              <w:t>[4] Robert Finkelstein</w:t>
            </w:r>
            <w:r w:rsidR="00DC0497">
              <w:rPr>
                <w:color w:val="000000"/>
              </w:rPr>
              <w:t>’s</w:t>
            </w:r>
            <w:r>
              <w:rPr>
                <w:color w:val="000000"/>
              </w:rPr>
              <w:t xml:space="preserve"> </w:t>
            </w:r>
            <w:r w:rsidR="00C33F05">
              <w:rPr>
                <w:color w:val="000000"/>
              </w:rPr>
              <w:t>(Finkelstein) 2023 and 2024 Hourly Rat</w:t>
            </w:r>
            <w:r w:rsidR="00DB2BDF">
              <w:rPr>
                <w:color w:val="000000"/>
              </w:rPr>
              <w:t>es</w:t>
            </w:r>
          </w:p>
        </w:tc>
        <w:tc>
          <w:tcPr>
            <w:tcW w:w="7757" w:type="dxa"/>
          </w:tcPr>
          <w:p w:rsidR="00DB2BDF" w:rsidP="00DB2BDF" w:rsidRDefault="00DB2BDF" w14:paraId="1F522EC0" w14:textId="44380FF0">
            <w:pPr>
              <w:tabs>
                <w:tab w:val="left" w:pos="1440"/>
              </w:tabs>
              <w:rPr>
                <w:color w:val="000000"/>
              </w:rPr>
            </w:pPr>
            <w:r>
              <w:rPr>
                <w:color w:val="000000"/>
              </w:rPr>
              <w:t>D.24-03-036 approved a 2023 hourly rate of $840</w:t>
            </w:r>
            <w:r w:rsidR="000C283E">
              <w:rPr>
                <w:color w:val="000000"/>
              </w:rPr>
              <w:t>.00</w:t>
            </w:r>
            <w:r>
              <w:rPr>
                <w:color w:val="000000"/>
              </w:rPr>
              <w:t xml:space="preserve"> for Finkelstein.</w:t>
            </w:r>
          </w:p>
          <w:p w:rsidR="00DB2BDF" w:rsidP="00DB2BDF" w:rsidRDefault="00DB2BDF" w14:paraId="559D748C" w14:textId="77777777">
            <w:pPr>
              <w:tabs>
                <w:tab w:val="left" w:pos="1440"/>
              </w:tabs>
              <w:rPr>
                <w:color w:val="000000"/>
              </w:rPr>
            </w:pPr>
          </w:p>
          <w:p w:rsidR="002A3B53" w:rsidP="00DB2BDF" w:rsidRDefault="00DB2BDF" w14:paraId="44526BC6" w14:textId="72DD91AA">
            <w:pPr>
              <w:tabs>
                <w:tab w:val="left" w:pos="1440"/>
              </w:tabs>
              <w:rPr>
                <w:color w:val="000000"/>
              </w:rPr>
            </w:pPr>
            <w:r>
              <w:rPr>
                <w:color w:val="000000"/>
              </w:rPr>
              <w:t>D.</w:t>
            </w:r>
            <w:r w:rsidR="000C283E">
              <w:rPr>
                <w:color w:val="000000"/>
              </w:rPr>
              <w:t>26-02-022</w:t>
            </w:r>
            <w:r>
              <w:rPr>
                <w:color w:val="000000"/>
              </w:rPr>
              <w:t xml:space="preserve"> approved a 2024 hourly rate of $875</w:t>
            </w:r>
            <w:r w:rsidR="000C283E">
              <w:rPr>
                <w:color w:val="000000"/>
              </w:rPr>
              <w:t>.00</w:t>
            </w:r>
            <w:r>
              <w:rPr>
                <w:color w:val="000000"/>
              </w:rPr>
              <w:t xml:space="preserve"> for Finkelstein.</w:t>
            </w:r>
          </w:p>
        </w:tc>
      </w:tr>
    </w:tbl>
    <w:p w:rsidRPr="007F620E" w:rsidR="00ED55FC" w:rsidP="00D46CE8" w:rsidRDefault="00ED55FC" w14:paraId="7D44E1A1" w14:textId="679DB961">
      <w:pPr>
        <w:keepNext/>
        <w:tabs>
          <w:tab w:val="left" w:pos="1260"/>
        </w:tabs>
        <w:jc w:val="center"/>
        <w:rPr>
          <w:b/>
          <w:color w:val="000000"/>
        </w:rPr>
      </w:pPr>
      <w:r w:rsidRPr="007F620E">
        <w:rPr>
          <w:b/>
          <w:color w:val="000000"/>
        </w:rPr>
        <w:lastRenderedPageBreak/>
        <w:t>PART IV:</w:t>
      </w:r>
      <w:r>
        <w:rPr>
          <w:b/>
          <w:color w:val="000000"/>
        </w:rPr>
        <w:t xml:space="preserve">  </w:t>
      </w:r>
      <w:r w:rsidRPr="007F620E">
        <w:rPr>
          <w:b/>
          <w:color w:val="000000"/>
        </w:rPr>
        <w:t>OPPOSITIONS AND COMMENTS</w:t>
      </w:r>
    </w:p>
    <w:p w:rsidR="00ED55FC" w:rsidP="00ED55FC" w:rsidRDefault="00ED55FC" w14:paraId="5690C7A9" w14:textId="77777777">
      <w:pPr>
        <w:keepNext/>
        <w:tabs>
          <w:tab w:val="left" w:pos="1260"/>
        </w:tabs>
        <w:ind w:left="1267" w:hanging="1267"/>
        <w:jc w:val="center"/>
        <w:rPr>
          <w:b/>
          <w:color w:val="000000"/>
        </w:rPr>
      </w:pPr>
      <w:r w:rsidRPr="007F620E">
        <w:rPr>
          <w:b/>
          <w:color w:val="000000"/>
        </w:rPr>
        <w:t>Within 30 days after service of this Claim, Commission Staff</w:t>
      </w:r>
    </w:p>
    <w:p w:rsidRPr="007F620E" w:rsidR="00ED55FC" w:rsidP="00ED55FC" w:rsidRDefault="00ED55FC" w14:paraId="0B488713" w14:textId="77777777">
      <w:pPr>
        <w:keepNext/>
        <w:tabs>
          <w:tab w:val="left" w:pos="1260"/>
        </w:tabs>
        <w:spacing w:after="240"/>
        <w:ind w:left="1267" w:hanging="1267"/>
        <w:jc w:val="center"/>
        <w:rPr>
          <w:b/>
          <w:color w:val="000000"/>
        </w:rPr>
      </w:pPr>
      <w:r>
        <w:rPr>
          <w:b/>
          <w:color w:val="000000"/>
        </w:rPr>
        <w:t xml:space="preserve"> </w:t>
      </w:r>
      <w:r w:rsidRPr="007F620E">
        <w:rPr>
          <w:b/>
          <w:color w:val="000000"/>
        </w:rPr>
        <w:t>or any other party may file a response to the Claim (</w:t>
      </w:r>
      <w:r w:rsidRPr="007F620E">
        <w:rPr>
          <w:b/>
          <w:i/>
          <w:color w:val="000000"/>
        </w:rPr>
        <w:t>see</w:t>
      </w:r>
      <w:r w:rsidRPr="007F620E">
        <w:rPr>
          <w:b/>
          <w:color w:val="000000"/>
        </w:rPr>
        <w:t xml:space="preserve"> § 1804(c))</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6"/>
        <w:gridCol w:w="2024"/>
      </w:tblGrid>
      <w:tr w:rsidRPr="007F620E" w:rsidR="00ED55FC" w:rsidTr="00A47EB7" w14:paraId="60184680" w14:textId="77777777">
        <w:tc>
          <w:tcPr>
            <w:tcW w:w="7336" w:type="dxa"/>
          </w:tcPr>
          <w:p w:rsidRPr="007F620E" w:rsidR="00ED55FC" w:rsidP="00A47EB7" w:rsidRDefault="00ED55FC" w14:paraId="078B581B" w14:textId="77777777">
            <w:pPr>
              <w:ind w:left="360" w:hanging="360"/>
              <w:rPr>
                <w:color w:val="000000"/>
              </w:rPr>
            </w:pPr>
            <w:r w:rsidRPr="007F620E">
              <w:rPr>
                <w:b/>
                <w:color w:val="000000"/>
              </w:rPr>
              <w:t>A.</w:t>
            </w:r>
            <w:r>
              <w:rPr>
                <w:b/>
                <w:color w:val="000000"/>
              </w:rPr>
              <w:tab/>
            </w:r>
            <w:r w:rsidRPr="007F620E">
              <w:rPr>
                <w:b/>
                <w:color w:val="000000"/>
              </w:rPr>
              <w:t>Opposition:  Did any party oppose the Claim?</w:t>
            </w:r>
          </w:p>
        </w:tc>
        <w:tc>
          <w:tcPr>
            <w:tcW w:w="2024" w:type="dxa"/>
          </w:tcPr>
          <w:p w:rsidRPr="007F620E" w:rsidR="00ED55FC" w:rsidP="00A47EB7" w:rsidRDefault="005E269B" w14:paraId="07BFB1E5" w14:textId="78D52A08">
            <w:pPr>
              <w:rPr>
                <w:color w:val="000000"/>
              </w:rPr>
            </w:pPr>
            <w:r>
              <w:rPr>
                <w:color w:val="000000"/>
              </w:rPr>
              <w:t>No</w:t>
            </w:r>
          </w:p>
        </w:tc>
      </w:tr>
    </w:tbl>
    <w:p w:rsidRPr="007F620E" w:rsidR="00ED55FC" w:rsidP="00ED55FC" w:rsidRDefault="00ED55FC" w14:paraId="631BE426" w14:textId="77777777">
      <w:pPr>
        <w:tabs>
          <w:tab w:val="left" w:pos="1260"/>
        </w:tabs>
        <w:spacing w:before="60"/>
        <w:ind w:left="1267" w:hanging="1267"/>
        <w:jc w:val="center"/>
        <w:rPr>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1"/>
        <w:gridCol w:w="2029"/>
      </w:tblGrid>
      <w:tr w:rsidRPr="007F620E" w:rsidR="00ED55FC" w:rsidTr="00A47EB7" w14:paraId="478AE9AB" w14:textId="77777777">
        <w:tc>
          <w:tcPr>
            <w:tcW w:w="7488" w:type="dxa"/>
          </w:tcPr>
          <w:p w:rsidRPr="007F620E" w:rsidR="00ED55FC" w:rsidP="00A47EB7" w:rsidRDefault="00ED55FC" w14:paraId="4CB08777" w14:textId="77777777">
            <w:pPr>
              <w:ind w:left="360" w:hanging="360"/>
              <w:rPr>
                <w:color w:val="000000"/>
              </w:rPr>
            </w:pPr>
            <w:r w:rsidRPr="007F620E">
              <w:rPr>
                <w:b/>
                <w:color w:val="000000"/>
              </w:rPr>
              <w:t>B.</w:t>
            </w:r>
            <w:r>
              <w:rPr>
                <w:b/>
                <w:color w:val="000000"/>
              </w:rPr>
              <w:tab/>
            </w:r>
            <w:r w:rsidRPr="007F620E">
              <w:rPr>
                <w:b/>
                <w:color w:val="000000"/>
              </w:rPr>
              <w:t>Comment Period:  Was the 30-day comment period waived (</w:t>
            </w:r>
            <w:r w:rsidRPr="007F620E">
              <w:rPr>
                <w:b/>
                <w:i/>
                <w:color w:val="000000"/>
              </w:rPr>
              <w:t>see</w:t>
            </w:r>
            <w:r>
              <w:rPr>
                <w:b/>
                <w:color w:val="000000"/>
              </w:rPr>
              <w:t> </w:t>
            </w:r>
            <w:r w:rsidRPr="007F620E">
              <w:rPr>
                <w:b/>
                <w:color w:val="000000"/>
              </w:rPr>
              <w:t>Rule 14.6(c)(6))?</w:t>
            </w:r>
          </w:p>
        </w:tc>
        <w:tc>
          <w:tcPr>
            <w:tcW w:w="2070" w:type="dxa"/>
          </w:tcPr>
          <w:p w:rsidRPr="007F620E" w:rsidR="00ED55FC" w:rsidP="00A47EB7" w:rsidRDefault="00204AAD" w14:paraId="2B49C157" w14:textId="225D1269">
            <w:pPr>
              <w:keepNext/>
              <w:keepLines/>
              <w:spacing w:after="240"/>
              <w:rPr>
                <w:color w:val="000000"/>
              </w:rPr>
            </w:pPr>
            <w:r>
              <w:rPr>
                <w:color w:val="000000"/>
              </w:rPr>
              <w:t>Yes</w:t>
            </w:r>
          </w:p>
        </w:tc>
      </w:tr>
    </w:tbl>
    <w:p w:rsidR="00ED55FC" w:rsidP="00204AAD" w:rsidRDefault="00ED55FC" w14:paraId="22BAD8AD" w14:textId="77777777">
      <w:pPr>
        <w:contextualSpacing/>
      </w:pPr>
    </w:p>
    <w:p w:rsidRPr="007F620E" w:rsidR="00ED55FC" w:rsidP="00D46CE8" w:rsidRDefault="00ED55FC" w14:paraId="0AD40334" w14:textId="77777777">
      <w:pPr>
        <w:keepNext/>
        <w:spacing w:after="240"/>
        <w:jc w:val="center"/>
        <w:rPr>
          <w:b/>
          <w:color w:val="000000"/>
          <w:u w:val="single"/>
        </w:rPr>
      </w:pPr>
      <w:r w:rsidRPr="007F620E">
        <w:rPr>
          <w:b/>
          <w:color w:val="000000"/>
          <w:u w:val="single"/>
        </w:rPr>
        <w:t>FINDINGS OF FACT</w:t>
      </w:r>
    </w:p>
    <w:p w:rsidRPr="00D46CE8" w:rsidR="00ED55FC" w:rsidP="00ED55FC" w:rsidRDefault="00ED55FC" w14:paraId="028B9333" w14:textId="378BBE7B">
      <w:pPr>
        <w:numPr>
          <w:ilvl w:val="0"/>
          <w:numId w:val="8"/>
        </w:numPr>
        <w:tabs>
          <w:tab w:val="num" w:pos="540"/>
        </w:tabs>
        <w:ind w:left="540" w:hanging="540"/>
      </w:pPr>
      <w:r w:rsidRPr="00D46CE8">
        <w:t>The Utility Reform Network has made a substantial contribution to</w:t>
      </w:r>
      <w:r w:rsidRPr="00D46CE8" w:rsidR="00981856">
        <w:t xml:space="preserve"> </w:t>
      </w:r>
      <w:r w:rsidRPr="00D46CE8" w:rsidR="001D366B">
        <w:t>D.</w:t>
      </w:r>
      <w:r w:rsidRPr="00D46CE8" w:rsidR="00C44414">
        <w:t>25-09-006</w:t>
      </w:r>
      <w:r w:rsidRPr="00D46CE8">
        <w:t>.</w:t>
      </w:r>
    </w:p>
    <w:p w:rsidRPr="007F620E" w:rsidR="00ED55FC" w:rsidP="00ED55FC" w:rsidRDefault="00ED55FC" w14:paraId="3F9AAC92" w14:textId="375A3B56">
      <w:pPr>
        <w:numPr>
          <w:ilvl w:val="0"/>
          <w:numId w:val="8"/>
        </w:numPr>
        <w:tabs>
          <w:tab w:val="num" w:pos="540"/>
        </w:tabs>
        <w:spacing w:before="240"/>
      </w:pPr>
      <w:r w:rsidRPr="007F620E">
        <w:t xml:space="preserve">The requested hourly rates </w:t>
      </w:r>
      <w:r w:rsidRPr="00D46CE8">
        <w:t>for The Utility Reform Network’s</w:t>
      </w:r>
      <w:r w:rsidRPr="007F620E">
        <w:t xml:space="preserve"> representatives,</w:t>
      </w:r>
      <w:r>
        <w:t xml:space="preserve"> </w:t>
      </w:r>
      <w:r w:rsidRPr="007F620E">
        <w:t>as adjusted herein, are comparable to market rates paid to experts and advocates having comparable training and experience and offering similar services.</w:t>
      </w:r>
    </w:p>
    <w:p w:rsidRPr="007F620E" w:rsidR="00ED55FC" w:rsidP="00ED55FC" w:rsidRDefault="00ED55FC" w14:paraId="2BDB3ADA" w14:textId="7EC2A89B">
      <w:pPr>
        <w:numPr>
          <w:ilvl w:val="0"/>
          <w:numId w:val="8"/>
        </w:numPr>
        <w:tabs>
          <w:tab w:val="num" w:pos="540"/>
        </w:tabs>
        <w:spacing w:before="240"/>
      </w:pPr>
      <w:r w:rsidRPr="007F620E">
        <w:t>The claimed costs and expenses,</w:t>
      </w:r>
      <w:r>
        <w:t xml:space="preserve"> </w:t>
      </w:r>
      <w:r w:rsidRPr="007F620E">
        <w:t xml:space="preserve">as adjusted herein, are reasonable and commensurate with the work performed. </w:t>
      </w:r>
    </w:p>
    <w:p w:rsidRPr="007F620E" w:rsidR="00ED55FC" w:rsidP="00ED55FC" w:rsidRDefault="00ED55FC" w14:paraId="146D9790" w14:textId="3C766BC5">
      <w:pPr>
        <w:numPr>
          <w:ilvl w:val="0"/>
          <w:numId w:val="8"/>
        </w:numPr>
        <w:tabs>
          <w:tab w:val="num" w:pos="540"/>
        </w:tabs>
        <w:spacing w:before="240"/>
      </w:pPr>
      <w:r w:rsidRPr="007F620E">
        <w:t xml:space="preserve">The total of reasonable compensation is </w:t>
      </w:r>
      <w:r w:rsidRPr="000C283E" w:rsidR="000C283E">
        <w:rPr>
          <w:bCs/>
          <w:color w:val="000000"/>
        </w:rPr>
        <w:t>$</w:t>
      </w:r>
      <w:r w:rsidRPr="00DC0497" w:rsidR="00DC0497">
        <w:rPr>
          <w:color w:val="000000"/>
        </w:rPr>
        <w:t>188,148.44</w:t>
      </w:r>
      <w:r w:rsidRPr="007F620E">
        <w:t>.</w:t>
      </w:r>
    </w:p>
    <w:p w:rsidRPr="007F620E" w:rsidR="00ED55FC" w:rsidP="00ED55FC" w:rsidRDefault="00ED55FC" w14:paraId="4B5C2509" w14:textId="77777777">
      <w:pPr>
        <w:keepNext/>
        <w:spacing w:before="480" w:after="240"/>
        <w:jc w:val="center"/>
        <w:rPr>
          <w:b/>
          <w:color w:val="000000"/>
          <w:u w:val="single"/>
        </w:rPr>
      </w:pPr>
      <w:r w:rsidRPr="007F620E">
        <w:rPr>
          <w:b/>
          <w:color w:val="000000"/>
          <w:u w:val="single"/>
        </w:rPr>
        <w:t>CONCLUSION OF LAW</w:t>
      </w:r>
    </w:p>
    <w:p w:rsidRPr="007F620E" w:rsidR="00ED55FC" w:rsidP="00ED55FC" w:rsidRDefault="00ED55FC" w14:paraId="2905AD2D" w14:textId="26EA8F19">
      <w:pPr>
        <w:numPr>
          <w:ilvl w:val="0"/>
          <w:numId w:val="10"/>
        </w:numPr>
        <w:spacing w:before="240"/>
        <w:rPr>
          <w:color w:val="000000"/>
        </w:rPr>
      </w:pPr>
      <w:r w:rsidRPr="00575494">
        <w:t>The</w:t>
      </w:r>
      <w:r w:rsidRPr="007F620E">
        <w:rPr>
          <w:color w:val="000000"/>
        </w:rPr>
        <w:t xml:space="preserve"> Claim, with any adjustment set forth above, satisfies all requirements of Pub. Util. Code §§ 1801-1812.</w:t>
      </w:r>
    </w:p>
    <w:p w:rsidRPr="007F620E" w:rsidR="00ED55FC" w:rsidP="00ED55FC" w:rsidRDefault="00ED55FC" w14:paraId="59D16832" w14:textId="77777777">
      <w:pPr>
        <w:keepNext/>
        <w:spacing w:before="480" w:after="240"/>
        <w:jc w:val="center"/>
        <w:rPr>
          <w:b/>
          <w:color w:val="000000"/>
          <w:u w:val="single"/>
        </w:rPr>
      </w:pPr>
      <w:r w:rsidRPr="007F620E">
        <w:rPr>
          <w:b/>
          <w:color w:val="000000"/>
          <w:u w:val="single"/>
        </w:rPr>
        <w:t>ORDER</w:t>
      </w:r>
    </w:p>
    <w:p w:rsidRPr="007F620E" w:rsidR="00ED55FC" w:rsidP="00ED55FC" w:rsidRDefault="00ED55FC" w14:paraId="51971FA1" w14:textId="353ADC06">
      <w:pPr>
        <w:keepNext/>
        <w:numPr>
          <w:ilvl w:val="0"/>
          <w:numId w:val="9"/>
        </w:numPr>
        <w:tabs>
          <w:tab w:val="clear" w:pos="900"/>
          <w:tab w:val="num" w:pos="540"/>
        </w:tabs>
        <w:ind w:left="547" w:hanging="547"/>
        <w:rPr>
          <w:color w:val="000000"/>
        </w:rPr>
      </w:pPr>
      <w:r w:rsidRPr="00D46CE8">
        <w:t>The Utility Reform Network</w:t>
      </w:r>
      <w:r w:rsidRPr="0022302F">
        <w:t xml:space="preserve"> </w:t>
      </w:r>
      <w:r>
        <w:t>is</w:t>
      </w:r>
      <w:r w:rsidRPr="00FE3BAE">
        <w:t xml:space="preserve"> </w:t>
      </w:r>
      <w:r w:rsidRPr="00FE3BAE">
        <w:rPr>
          <w:color w:val="000000"/>
        </w:rPr>
        <w:t xml:space="preserve">awarded </w:t>
      </w:r>
      <w:r w:rsidRPr="000C283E" w:rsidR="000C283E">
        <w:rPr>
          <w:bCs/>
          <w:color w:val="000000"/>
        </w:rPr>
        <w:t>$</w:t>
      </w:r>
      <w:r w:rsidRPr="00DC0497" w:rsidR="00DC0497">
        <w:rPr>
          <w:color w:val="000000"/>
        </w:rPr>
        <w:t>188,148.44</w:t>
      </w:r>
      <w:r w:rsidRPr="007F620E">
        <w:rPr>
          <w:color w:val="000000"/>
        </w:rPr>
        <w:t>.</w:t>
      </w:r>
    </w:p>
    <w:p w:rsidR="004D1F0C" w:rsidP="00ED55FC" w:rsidRDefault="003E5DEE" w14:paraId="305CD051" w14:textId="77777777">
      <w:pPr>
        <w:keepNext/>
        <w:keepLines/>
        <w:numPr>
          <w:ilvl w:val="0"/>
          <w:numId w:val="9"/>
        </w:numPr>
        <w:tabs>
          <w:tab w:val="clear" w:pos="900"/>
          <w:tab w:val="num" w:pos="540"/>
        </w:tabs>
        <w:spacing w:before="240"/>
        <w:ind w:left="547" w:hanging="547"/>
      </w:pPr>
      <w:r w:rsidRPr="003E5DEE">
        <w:t xml:space="preserve">Within 30 days of the effective date of this decision, </w:t>
      </w:r>
      <w:r w:rsidRPr="000C09B1">
        <w:t xml:space="preserve">San Diego Gas </w:t>
      </w:r>
      <w:r w:rsidR="004D1F0C">
        <w:t>&amp;</w:t>
      </w:r>
      <w:r w:rsidRPr="000C09B1">
        <w:t xml:space="preserve"> Electric Company</w:t>
      </w:r>
      <w:r w:rsidRPr="003E5DEE">
        <w:t xml:space="preserve"> shall pay The Utility Reform Network the total award. Payment of the award shall include compound interest at the rate earned on prime, three-month non-financial commercial paper as reported in Federal Reserve Statistical Release H.15, beginning </w:t>
      </w:r>
      <w:r w:rsidR="00522A27">
        <w:t xml:space="preserve">February </w:t>
      </w:r>
      <w:r w:rsidR="00A4510C">
        <w:t>3</w:t>
      </w:r>
      <w:r w:rsidRPr="003E5DEE">
        <w:t>, 202</w:t>
      </w:r>
      <w:r w:rsidR="00522A27">
        <w:t>6</w:t>
      </w:r>
      <w:r w:rsidRPr="003E5DEE">
        <w:t>, the 75</w:t>
      </w:r>
      <w:r w:rsidRPr="004D1F0C">
        <w:rPr>
          <w:vertAlign w:val="superscript"/>
        </w:rPr>
        <w:t>th</w:t>
      </w:r>
      <w:r w:rsidR="004D1F0C">
        <w:t xml:space="preserve"> </w:t>
      </w:r>
      <w:r w:rsidRPr="003E5DEE">
        <w:t xml:space="preserve">day after the filing of The Utility Reform Network’s request, and continuing until full payment is made. </w:t>
      </w:r>
    </w:p>
    <w:p w:rsidRPr="007F620E" w:rsidR="00ED55FC" w:rsidP="00ED55FC" w:rsidRDefault="00ED55FC" w14:paraId="367C5935" w14:textId="6E5790D9">
      <w:pPr>
        <w:keepNext/>
        <w:keepLines/>
        <w:numPr>
          <w:ilvl w:val="0"/>
          <w:numId w:val="9"/>
        </w:numPr>
        <w:tabs>
          <w:tab w:val="clear" w:pos="900"/>
          <w:tab w:val="num" w:pos="540"/>
        </w:tabs>
        <w:spacing w:before="240"/>
        <w:ind w:left="547" w:hanging="547"/>
      </w:pPr>
      <w:r w:rsidRPr="007F620E">
        <w:t>The comment period for today’s decision is waived.</w:t>
      </w:r>
    </w:p>
    <w:p w:rsidR="004E3CB2" w:rsidRDefault="004E3CB2" w14:paraId="5D54EC84" w14:textId="77777777">
      <w:pPr>
        <w:rPr>
          <w:color w:val="000000"/>
        </w:rPr>
      </w:pPr>
      <w:r>
        <w:rPr>
          <w:color w:val="000000"/>
        </w:rPr>
        <w:br w:type="page"/>
      </w:r>
    </w:p>
    <w:p w:rsidRPr="007F620E" w:rsidR="00ED55FC" w:rsidP="00ED55FC" w:rsidRDefault="00ED55FC" w14:paraId="5B77129B" w14:textId="1AF25288">
      <w:pPr>
        <w:keepNext/>
        <w:keepLines/>
        <w:spacing w:before="240"/>
        <w:ind w:left="547"/>
        <w:rPr>
          <w:color w:val="000000"/>
        </w:rPr>
      </w:pPr>
      <w:r w:rsidRPr="007F620E">
        <w:rPr>
          <w:color w:val="000000"/>
        </w:rPr>
        <w:lastRenderedPageBreak/>
        <w:t>This decision is effective today.</w:t>
      </w:r>
    </w:p>
    <w:p w:rsidR="00ED55FC" w:rsidP="00725F0A" w:rsidRDefault="00ED55FC" w14:paraId="0211A1AC" w14:textId="36AF3BD5">
      <w:pPr>
        <w:spacing w:before="240"/>
        <w:ind w:left="547"/>
        <w:rPr>
          <w:color w:val="000000"/>
        </w:rPr>
      </w:pPr>
      <w:r w:rsidRPr="007F620E">
        <w:rPr>
          <w:color w:val="000000"/>
        </w:rPr>
        <w:t xml:space="preserve">Dated </w:t>
      </w:r>
      <w:r w:rsidR="004E3CB2">
        <w:rPr>
          <w:color w:val="000000"/>
        </w:rPr>
        <w:t>July 2, 2026,</w:t>
      </w:r>
      <w:r w:rsidRPr="007F620E">
        <w:rPr>
          <w:color w:val="000000"/>
        </w:rPr>
        <w:t xml:space="preserve"> at </w:t>
      </w:r>
      <w:r w:rsidRPr="00725F0A" w:rsidR="00725F0A">
        <w:rPr>
          <w:color w:val="000000"/>
        </w:rPr>
        <w:t>Fort Bragg</w:t>
      </w:r>
      <w:r w:rsidRPr="007F620E">
        <w:rPr>
          <w:color w:val="000000"/>
        </w:rPr>
        <w:t>, California.</w:t>
      </w:r>
    </w:p>
    <w:p w:rsidR="00F76F08" w:rsidP="00725F0A" w:rsidRDefault="00F76F08" w14:paraId="460EAAF0" w14:textId="77777777">
      <w:pPr>
        <w:spacing w:before="240"/>
        <w:ind w:left="547"/>
        <w:rPr>
          <w:color w:val="000000"/>
        </w:rPr>
      </w:pPr>
    </w:p>
    <w:p w:rsidRPr="004E3CB2" w:rsidR="004E3CB2" w:rsidP="002A21C5" w:rsidRDefault="004E3CB2" w14:paraId="79F7B4A2" w14:textId="77777777">
      <w:pPr>
        <w:pStyle w:val="paragraph"/>
        <w:spacing w:before="0" w:beforeAutospacing="0" w:after="0" w:afterAutospacing="0"/>
        <w:ind w:left="3600" w:firstLine="720"/>
        <w:jc w:val="both"/>
        <w:textAlignment w:val="baseline"/>
      </w:pPr>
      <w:r w:rsidRPr="004E3CB2">
        <w:rPr>
          <w:rStyle w:val="normaltextrun"/>
        </w:rPr>
        <w:t>JOHN REYNOLDS</w:t>
      </w:r>
      <w:r w:rsidRPr="004E3CB2">
        <w:rPr>
          <w:rStyle w:val="eop"/>
        </w:rPr>
        <w:t> </w:t>
      </w:r>
    </w:p>
    <w:p w:rsidRPr="004E3CB2" w:rsidR="004E3CB2" w:rsidP="004E3CB2" w:rsidRDefault="004E3CB2" w14:paraId="2ED996E6" w14:textId="77777777">
      <w:pPr>
        <w:pStyle w:val="paragraph"/>
        <w:spacing w:before="0" w:beforeAutospacing="0" w:after="0" w:afterAutospacing="0"/>
        <w:ind w:left="720" w:firstLine="4320"/>
        <w:jc w:val="both"/>
        <w:textAlignment w:val="baseline"/>
      </w:pPr>
      <w:r w:rsidRPr="004E3CB2">
        <w:rPr>
          <w:rStyle w:val="normaltextrun"/>
        </w:rPr>
        <w:t>                       President</w:t>
      </w:r>
      <w:r w:rsidRPr="004E3CB2">
        <w:rPr>
          <w:rStyle w:val="eop"/>
        </w:rPr>
        <w:t> </w:t>
      </w:r>
    </w:p>
    <w:p w:rsidRPr="004E3CB2" w:rsidR="004E3CB2" w:rsidP="004E3CB2" w:rsidRDefault="004E3CB2" w14:paraId="6C7ECCB2" w14:textId="77777777">
      <w:pPr>
        <w:pStyle w:val="paragraph"/>
        <w:spacing w:before="0" w:beforeAutospacing="0" w:after="0" w:afterAutospacing="0"/>
        <w:ind w:left="3600" w:firstLine="720"/>
        <w:jc w:val="both"/>
        <w:textAlignment w:val="baseline"/>
      </w:pPr>
      <w:r w:rsidRPr="004E3CB2">
        <w:rPr>
          <w:rStyle w:val="normaltextrun"/>
        </w:rPr>
        <w:t>DARCIE L. HOUCK</w:t>
      </w:r>
      <w:r w:rsidRPr="004E3CB2">
        <w:rPr>
          <w:rStyle w:val="eop"/>
        </w:rPr>
        <w:t> </w:t>
      </w:r>
    </w:p>
    <w:p w:rsidRPr="004E3CB2" w:rsidR="004E3CB2" w:rsidP="004E3CB2" w:rsidRDefault="004E3CB2" w14:paraId="577FAC05" w14:textId="77777777">
      <w:pPr>
        <w:pStyle w:val="paragraph"/>
        <w:spacing w:before="0" w:beforeAutospacing="0" w:after="0" w:afterAutospacing="0"/>
        <w:ind w:left="3600" w:firstLine="720"/>
        <w:jc w:val="both"/>
        <w:textAlignment w:val="baseline"/>
      </w:pPr>
      <w:r w:rsidRPr="004E3CB2">
        <w:rPr>
          <w:rStyle w:val="normaltextrun"/>
          <w:color w:val="000000"/>
        </w:rPr>
        <w:t>KAREN DOUGLAS</w:t>
      </w:r>
      <w:r w:rsidRPr="004E3CB2">
        <w:rPr>
          <w:rStyle w:val="eop"/>
          <w:color w:val="000000"/>
        </w:rPr>
        <w:t> </w:t>
      </w:r>
    </w:p>
    <w:p w:rsidRPr="004E3CB2" w:rsidR="004E3CB2" w:rsidP="004E3CB2" w:rsidRDefault="004E3CB2" w14:paraId="3C37A904" w14:textId="77777777">
      <w:pPr>
        <w:pStyle w:val="paragraph"/>
        <w:spacing w:before="0" w:beforeAutospacing="0" w:after="0" w:afterAutospacing="0"/>
        <w:ind w:left="4320" w:firstLine="720"/>
        <w:jc w:val="both"/>
        <w:textAlignment w:val="baseline"/>
      </w:pPr>
      <w:r w:rsidRPr="004E3CB2">
        <w:rPr>
          <w:rStyle w:val="normaltextrun"/>
        </w:rPr>
        <w:t>            Commissioners</w:t>
      </w:r>
      <w:r w:rsidRPr="004E3CB2">
        <w:rPr>
          <w:rStyle w:val="eop"/>
        </w:rPr>
        <w:t> </w:t>
      </w:r>
    </w:p>
    <w:p w:rsidRPr="004E3CB2" w:rsidR="004E3CB2" w:rsidP="004E3CB2" w:rsidRDefault="004E3CB2" w14:paraId="3E5BCDA7" w14:textId="77777777">
      <w:pPr>
        <w:pStyle w:val="paragraph"/>
        <w:spacing w:before="0" w:beforeAutospacing="0" w:after="0" w:afterAutospacing="0"/>
        <w:ind w:firstLine="720"/>
        <w:textAlignment w:val="baseline"/>
      </w:pPr>
      <w:r w:rsidRPr="004E3CB2">
        <w:rPr>
          <w:rStyle w:val="eop"/>
        </w:rPr>
        <w:t> </w:t>
      </w:r>
    </w:p>
    <w:p w:rsidRPr="004E3CB2" w:rsidR="004E3CB2" w:rsidP="004E3CB2" w:rsidRDefault="004E3CB2" w14:paraId="62ED5948" w14:textId="443F34B4">
      <w:pPr>
        <w:pStyle w:val="paragraph"/>
        <w:spacing w:before="0" w:beforeAutospacing="0" w:after="0" w:afterAutospacing="0"/>
        <w:ind w:left="4380"/>
        <w:textAlignment w:val="baseline"/>
      </w:pPr>
      <w:r w:rsidRPr="004E3CB2">
        <w:rPr>
          <w:rStyle w:val="normaltextrun"/>
        </w:rPr>
        <w:t>Commissioner Matthew Baker recused himself from this agenda item and was not part of the quorum in its consideration.</w:t>
      </w:r>
      <w:r w:rsidRPr="004E3CB2">
        <w:rPr>
          <w:rStyle w:val="eop"/>
        </w:rPr>
        <w:t> </w:t>
      </w:r>
      <w:r w:rsidR="00F76F08">
        <w:rPr>
          <w:rStyle w:val="eop"/>
        </w:rPr>
        <w:br/>
      </w:r>
      <w:r w:rsidR="00F76F08">
        <w:rPr>
          <w:rStyle w:val="eop"/>
        </w:rPr>
        <w:br/>
      </w:r>
      <w:r w:rsidRPr="004E3CB2">
        <w:rPr>
          <w:rStyle w:val="eop"/>
        </w:rPr>
        <w:t>Commissioner Christine Harada being absent did not participate in the vote of this item.</w:t>
      </w:r>
    </w:p>
    <w:p w:rsidRPr="004E3CB2" w:rsidR="004E3CB2" w:rsidP="00725F0A" w:rsidRDefault="004E3CB2" w14:paraId="2A1FBD69" w14:textId="77777777">
      <w:pPr>
        <w:spacing w:before="240"/>
        <w:ind w:left="547"/>
        <w:rPr>
          <w:color w:val="000000"/>
        </w:rPr>
      </w:pPr>
    </w:p>
    <w:p w:rsidR="00ED55FC" w:rsidP="00625B30" w:rsidRDefault="00ED55FC" w14:paraId="13464BBB" w14:textId="5A8A3D48"/>
    <w:p w:rsidR="00ED55FC" w:rsidRDefault="00ED55FC" w14:paraId="045DE773" w14:textId="77777777">
      <w:r>
        <w:br w:type="page"/>
      </w:r>
    </w:p>
    <w:p w:rsidRPr="00B803D5" w:rsidR="00ED55FC" w:rsidP="00ED55FC" w:rsidRDefault="00ED55FC" w14:paraId="2184E21F" w14:textId="77777777">
      <w:pPr>
        <w:pStyle w:val="standard"/>
        <w:ind w:firstLine="0"/>
        <w:jc w:val="center"/>
        <w:rPr>
          <w:rFonts w:ascii="Times New Roman" w:hAnsi="Times New Roman"/>
          <w:b/>
          <w:szCs w:val="26"/>
        </w:rPr>
      </w:pPr>
      <w:r w:rsidRPr="00B803D5">
        <w:rPr>
          <w:rFonts w:ascii="Times New Roman" w:hAnsi="Times New Roman"/>
          <w:b/>
          <w:szCs w:val="26"/>
        </w:rPr>
        <w:lastRenderedPageBreak/>
        <w:t>APPENDIX</w:t>
      </w:r>
    </w:p>
    <w:p w:rsidRPr="00F7579D" w:rsidR="00ED55FC" w:rsidP="00ED55FC" w:rsidRDefault="00ED55FC" w14:paraId="01E393B6" w14:textId="10B8328D">
      <w:pPr>
        <w:pStyle w:val="standard"/>
        <w:ind w:firstLine="0"/>
        <w:jc w:val="center"/>
        <w:rPr>
          <w:rFonts w:ascii="Times New Roman" w:hAnsi="Times New Roman"/>
          <w:b/>
          <w:bCs/>
        </w:rPr>
      </w:pPr>
      <w:r w:rsidRPr="00F7579D">
        <w:rPr>
          <w:rFonts w:ascii="Times New Roman" w:hAnsi="Times New Roman"/>
          <w:b/>
          <w:bCs/>
          <w:sz w:val="28"/>
          <w:szCs w:val="28"/>
        </w:rPr>
        <w:t>Compensation Decision Summary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905"/>
        <w:gridCol w:w="3767"/>
        <w:gridCol w:w="2497"/>
        <w:gridCol w:w="1271"/>
      </w:tblGrid>
      <w:tr w:rsidRPr="00B803D5" w:rsidR="00ED55FC" w:rsidTr="00D46CE8" w14:paraId="4CD9F53F"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ED55FC" w:rsidP="00A47EB7" w:rsidRDefault="00ED55FC" w14:paraId="12A6556F" w14:textId="77777777">
            <w:pPr>
              <w:rPr>
                <w:b/>
                <w:bCs/>
              </w:rPr>
            </w:pPr>
            <w:r w:rsidRPr="00F7579D">
              <w:rPr>
                <w:b/>
                <w:bCs/>
              </w:rPr>
              <w:t>Compensation Decision:</w:t>
            </w:r>
          </w:p>
        </w:tc>
        <w:tc>
          <w:tcPr>
            <w:tcW w:w="3735" w:type="dxa"/>
            <w:tcBorders>
              <w:top w:val="single" w:color="auto" w:sz="4" w:space="0"/>
              <w:left w:val="single" w:color="auto" w:sz="4" w:space="0"/>
              <w:bottom w:val="single" w:color="auto" w:sz="4" w:space="0"/>
              <w:right w:val="single" w:color="auto" w:sz="4" w:space="0"/>
            </w:tcBorders>
          </w:tcPr>
          <w:p w:rsidRPr="00B803D5" w:rsidR="00ED55FC" w:rsidP="00A47EB7" w:rsidRDefault="00ED55FC" w14:paraId="12282C2A" w14:textId="77777777"/>
        </w:tc>
        <w:tc>
          <w:tcPr>
            <w:tcW w:w="2475" w:type="dxa"/>
            <w:tcBorders>
              <w:top w:val="single" w:color="auto" w:sz="4" w:space="0"/>
              <w:left w:val="single" w:color="auto" w:sz="4" w:space="0"/>
              <w:bottom w:val="single" w:color="auto" w:sz="4" w:space="0"/>
              <w:right w:val="single" w:color="auto" w:sz="4" w:space="0"/>
            </w:tcBorders>
            <w:hideMark/>
          </w:tcPr>
          <w:p w:rsidRPr="006B0BC7" w:rsidR="00ED55FC" w:rsidP="00A47EB7" w:rsidRDefault="00ED55FC" w14:paraId="2A331183" w14:textId="77777777">
            <w:pPr>
              <w:rPr>
                <w:b/>
                <w:bCs/>
              </w:rPr>
            </w:pPr>
            <w:r w:rsidRPr="006B0BC7">
              <w:rPr>
                <w:b/>
                <w:bCs/>
              </w:rPr>
              <w:t xml:space="preserve">Modifies Decision? </w:t>
            </w:r>
          </w:p>
        </w:tc>
        <w:tc>
          <w:tcPr>
            <w:tcW w:w="1260" w:type="dxa"/>
            <w:tcBorders>
              <w:top w:val="single" w:color="auto" w:sz="4" w:space="0"/>
              <w:left w:val="single" w:color="auto" w:sz="4" w:space="0"/>
              <w:bottom w:val="single" w:color="auto" w:sz="4" w:space="0"/>
              <w:right w:val="single" w:color="auto" w:sz="4" w:space="0"/>
            </w:tcBorders>
          </w:tcPr>
          <w:p w:rsidRPr="00B803D5" w:rsidR="00ED55FC" w:rsidP="00A47EB7" w:rsidRDefault="00204AAD" w14:paraId="0433A8A8" w14:textId="6775CA91">
            <w:pPr>
              <w:jc w:val="center"/>
            </w:pPr>
            <w:r>
              <w:t>No</w:t>
            </w:r>
          </w:p>
        </w:tc>
      </w:tr>
      <w:tr w:rsidRPr="00B803D5" w:rsidR="00ED55FC" w:rsidTr="00D46CE8" w14:paraId="7FE7989B"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ED55FC" w:rsidP="00A47EB7" w:rsidRDefault="00ED55FC" w14:paraId="60A23EE9" w14:textId="77777777">
            <w:pPr>
              <w:rPr>
                <w:b/>
                <w:bCs/>
              </w:rPr>
            </w:pPr>
            <w:r w:rsidRPr="00F7579D">
              <w:rPr>
                <w:b/>
                <w:bCs/>
              </w:rPr>
              <w:t>Contribution Decision(s):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ED55FC" w:rsidP="00A47EB7" w:rsidRDefault="00D46CE8" w14:paraId="4B54665B" w14:textId="23157840">
            <w:r>
              <w:rPr>
                <w:bCs/>
                <w:color w:val="000000"/>
              </w:rPr>
              <w:t>D</w:t>
            </w:r>
            <w:r w:rsidRPr="00263356" w:rsidR="00263356">
              <w:rPr>
                <w:bCs/>
                <w:color w:val="000000"/>
              </w:rPr>
              <w:t>2509006</w:t>
            </w:r>
          </w:p>
        </w:tc>
      </w:tr>
      <w:tr w:rsidRPr="00B803D5" w:rsidR="00ED55FC" w:rsidTr="00D46CE8" w14:paraId="5958D725"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ED55FC" w:rsidP="00A47EB7" w:rsidRDefault="00ED55FC" w14:paraId="72D6738F" w14:textId="77777777">
            <w:pPr>
              <w:rPr>
                <w:b/>
                <w:bCs/>
              </w:rPr>
            </w:pPr>
            <w:r w:rsidRPr="00F7579D">
              <w:rPr>
                <w:b/>
                <w:bCs/>
              </w:rPr>
              <w:t>Proceeding(s):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ED55FC" w:rsidP="00A47EB7" w:rsidRDefault="001D366B" w14:paraId="281C1B87" w14:textId="03E3F69B">
            <w:r>
              <w:t>A</w:t>
            </w:r>
            <w:r w:rsidR="00263356">
              <w:t>2301008</w:t>
            </w:r>
          </w:p>
        </w:tc>
      </w:tr>
      <w:tr w:rsidRPr="00B803D5" w:rsidR="00ED55FC" w:rsidTr="00D46CE8" w14:paraId="418AFC8B"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ED55FC" w:rsidP="00A47EB7" w:rsidRDefault="00ED55FC" w14:paraId="40427CC2" w14:textId="77777777">
            <w:pPr>
              <w:rPr>
                <w:b/>
                <w:bCs/>
              </w:rPr>
            </w:pPr>
            <w:r w:rsidRPr="00F7579D">
              <w:rPr>
                <w:b/>
                <w:bCs/>
              </w:rPr>
              <w:t>Author:</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ED55FC" w:rsidP="00A47EB7" w:rsidRDefault="00523B63" w14:paraId="51B901E8" w14:textId="7E9E5FA4">
            <w:r>
              <w:t xml:space="preserve">ALJ </w:t>
            </w:r>
            <w:r w:rsidR="004109D8">
              <w:t>Marcelo Poirier</w:t>
            </w:r>
            <w:r w:rsidR="00D77A1A">
              <w:fldChar w:fldCharType="begin"/>
            </w:r>
            <w:r w:rsidR="00D77A1A">
              <w:instrText xml:space="preserve"> NOTEREF _Ref230853448 \f \h </w:instrText>
            </w:r>
            <w:r w:rsidR="00D77A1A">
              <w:fldChar w:fldCharType="separate"/>
            </w:r>
            <w:r w:rsidRPr="00D77A1A" w:rsidR="00D77A1A">
              <w:rPr>
                <w:rStyle w:val="FootnoteReference"/>
              </w:rPr>
              <w:t>2</w:t>
            </w:r>
            <w:r w:rsidR="00D77A1A">
              <w:fldChar w:fldCharType="end"/>
            </w:r>
          </w:p>
        </w:tc>
      </w:tr>
      <w:tr w:rsidRPr="00B803D5" w:rsidR="00ED55FC" w:rsidTr="00D46CE8" w14:paraId="5F4B4F0E" w14:textId="77777777">
        <w:trPr>
          <w:trHeight w:val="27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ED55FC" w:rsidP="00A47EB7" w:rsidRDefault="00ED55FC" w14:paraId="0C07437B" w14:textId="77777777">
            <w:pPr>
              <w:rPr>
                <w:b/>
                <w:bCs/>
              </w:rPr>
            </w:pPr>
            <w:r w:rsidRPr="00F7579D">
              <w:rPr>
                <w:b/>
                <w:bCs/>
              </w:rPr>
              <w:t>Payer(s):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ED55FC" w:rsidP="00A47EB7" w:rsidRDefault="000C09B1" w14:paraId="0DB47724" w14:textId="65B152CB">
            <w:r w:rsidRPr="000C09B1">
              <w:t xml:space="preserve">San Diego Gas </w:t>
            </w:r>
            <w:r w:rsidR="004D1F0C">
              <w:t>&amp;</w:t>
            </w:r>
            <w:r w:rsidRPr="000C09B1">
              <w:t xml:space="preserve"> Electric Company</w:t>
            </w:r>
          </w:p>
        </w:tc>
      </w:tr>
    </w:tbl>
    <w:p w:rsidRPr="00B803D5" w:rsidR="00ED55FC" w:rsidP="00AB2F28" w:rsidRDefault="00ED55FC" w14:paraId="6724C804" w14:textId="77777777">
      <w:pPr>
        <w:spacing w:before="240" w:after="240"/>
        <w:jc w:val="center"/>
        <w:rPr>
          <w:b/>
          <w:bCs/>
          <w:sz w:val="28"/>
          <w:szCs w:val="28"/>
        </w:rPr>
      </w:pPr>
      <w:r w:rsidRPr="00B803D5">
        <w:rPr>
          <w:b/>
          <w:bCs/>
          <w:sz w:val="28"/>
          <w:szCs w:val="28"/>
        </w:rPr>
        <w:t>Intervenor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063"/>
        <w:gridCol w:w="1458"/>
        <w:gridCol w:w="1430"/>
        <w:gridCol w:w="1587"/>
        <w:gridCol w:w="1404"/>
        <w:gridCol w:w="2498"/>
      </w:tblGrid>
      <w:tr w:rsidRPr="00B803D5" w:rsidR="00ED55FC" w:rsidTr="00D46CE8" w14:paraId="6798847C" w14:textId="77777777">
        <w:trPr>
          <w:jc w:val="center"/>
        </w:trPr>
        <w:tc>
          <w:tcPr>
            <w:tcW w:w="2043" w:type="dxa"/>
            <w:tcBorders>
              <w:top w:val="single" w:color="auto" w:sz="4" w:space="0"/>
              <w:left w:val="single" w:color="auto" w:sz="4" w:space="0"/>
              <w:bottom w:val="single" w:color="auto" w:sz="4" w:space="0"/>
              <w:right w:val="single" w:color="auto" w:sz="4" w:space="0"/>
            </w:tcBorders>
            <w:vAlign w:val="bottom"/>
            <w:hideMark/>
          </w:tcPr>
          <w:p w:rsidRPr="00B803D5" w:rsidR="00ED55FC" w:rsidP="00A47EB7" w:rsidRDefault="00ED55FC" w14:paraId="091A2BEE" w14:textId="77777777">
            <w:pPr>
              <w:jc w:val="center"/>
              <w:rPr>
                <w:b/>
                <w:bCs/>
              </w:rPr>
            </w:pPr>
            <w:r w:rsidRPr="00B803D5">
              <w:rPr>
                <w:b/>
                <w:bCs/>
              </w:rPr>
              <w:t>Intervenor</w:t>
            </w:r>
          </w:p>
        </w:tc>
        <w:tc>
          <w:tcPr>
            <w:tcW w:w="1444" w:type="dxa"/>
            <w:tcBorders>
              <w:top w:val="single" w:color="auto" w:sz="4" w:space="0"/>
              <w:left w:val="single" w:color="auto" w:sz="4" w:space="0"/>
              <w:bottom w:val="single" w:color="auto" w:sz="4" w:space="0"/>
              <w:right w:val="single" w:color="auto" w:sz="4" w:space="0"/>
            </w:tcBorders>
            <w:vAlign w:val="bottom"/>
            <w:hideMark/>
          </w:tcPr>
          <w:p w:rsidR="00ED55FC" w:rsidP="00A47EB7" w:rsidRDefault="00ED55FC" w14:paraId="4C140135" w14:textId="77777777">
            <w:pPr>
              <w:jc w:val="center"/>
              <w:rPr>
                <w:b/>
                <w:bCs/>
              </w:rPr>
            </w:pPr>
            <w:r w:rsidRPr="00B803D5">
              <w:rPr>
                <w:b/>
                <w:bCs/>
              </w:rPr>
              <w:t>Date</w:t>
            </w:r>
          </w:p>
          <w:p w:rsidRPr="00B803D5" w:rsidR="00ED55FC" w:rsidP="00A47EB7" w:rsidRDefault="00ED55FC" w14:paraId="367F2D7D" w14:textId="77777777">
            <w:pPr>
              <w:jc w:val="center"/>
              <w:rPr>
                <w:b/>
                <w:bCs/>
              </w:rPr>
            </w:pPr>
            <w:r w:rsidRPr="00B803D5">
              <w:rPr>
                <w:b/>
                <w:bCs/>
              </w:rPr>
              <w:t>Claim Filed</w:t>
            </w:r>
          </w:p>
        </w:tc>
        <w:tc>
          <w:tcPr>
            <w:tcW w:w="1405" w:type="dxa"/>
            <w:tcBorders>
              <w:top w:val="single" w:color="auto" w:sz="4" w:space="0"/>
              <w:left w:val="single" w:color="auto" w:sz="4" w:space="0"/>
              <w:bottom w:val="single" w:color="auto" w:sz="4" w:space="0"/>
              <w:right w:val="single" w:color="auto" w:sz="4" w:space="0"/>
            </w:tcBorders>
            <w:vAlign w:val="bottom"/>
            <w:hideMark/>
          </w:tcPr>
          <w:p w:rsidRPr="00B803D5" w:rsidR="00ED55FC" w:rsidP="00A47EB7" w:rsidRDefault="00ED55FC" w14:paraId="4800E914" w14:textId="77777777">
            <w:pPr>
              <w:jc w:val="center"/>
              <w:rPr>
                <w:b/>
                <w:bCs/>
              </w:rPr>
            </w:pPr>
            <w:r w:rsidRPr="00B803D5">
              <w:rPr>
                <w:b/>
                <w:bCs/>
              </w:rPr>
              <w:t>Amount Requested</w:t>
            </w:r>
          </w:p>
        </w:tc>
        <w:tc>
          <w:tcPr>
            <w:tcW w:w="1571" w:type="dxa"/>
            <w:tcBorders>
              <w:top w:val="single" w:color="auto" w:sz="4" w:space="0"/>
              <w:left w:val="single" w:color="auto" w:sz="4" w:space="0"/>
              <w:bottom w:val="single" w:color="auto" w:sz="4" w:space="0"/>
              <w:right w:val="single" w:color="auto" w:sz="4" w:space="0"/>
            </w:tcBorders>
            <w:vAlign w:val="bottom"/>
            <w:hideMark/>
          </w:tcPr>
          <w:p w:rsidRPr="00B803D5" w:rsidR="00ED55FC" w:rsidP="00A47EB7" w:rsidRDefault="00ED55FC" w14:paraId="65FA87D8" w14:textId="77777777">
            <w:pPr>
              <w:jc w:val="center"/>
              <w:rPr>
                <w:b/>
                <w:bCs/>
              </w:rPr>
            </w:pPr>
            <w:r w:rsidRPr="00B803D5">
              <w:rPr>
                <w:b/>
                <w:bCs/>
              </w:rPr>
              <w:t>Amount Awarded</w:t>
            </w:r>
          </w:p>
        </w:tc>
        <w:tc>
          <w:tcPr>
            <w:tcW w:w="1390" w:type="dxa"/>
            <w:tcBorders>
              <w:top w:val="single" w:color="auto" w:sz="4" w:space="0"/>
              <w:left w:val="single" w:color="auto" w:sz="4" w:space="0"/>
              <w:bottom w:val="single" w:color="auto" w:sz="4" w:space="0"/>
              <w:right w:val="single" w:color="auto" w:sz="4" w:space="0"/>
            </w:tcBorders>
            <w:vAlign w:val="bottom"/>
            <w:hideMark/>
          </w:tcPr>
          <w:p w:rsidRPr="00B803D5" w:rsidR="00ED55FC" w:rsidP="00A47EB7" w:rsidRDefault="00ED55FC" w14:paraId="573A52AB" w14:textId="77777777">
            <w:pPr>
              <w:jc w:val="center"/>
              <w:rPr>
                <w:b/>
                <w:bCs/>
              </w:rPr>
            </w:pPr>
            <w:r w:rsidRPr="00B803D5">
              <w:rPr>
                <w:b/>
                <w:bCs/>
              </w:rPr>
              <w:t>Multiplier?</w:t>
            </w:r>
          </w:p>
        </w:tc>
        <w:tc>
          <w:tcPr>
            <w:tcW w:w="2474" w:type="dxa"/>
            <w:tcBorders>
              <w:top w:val="single" w:color="auto" w:sz="4" w:space="0"/>
              <w:left w:val="single" w:color="auto" w:sz="4" w:space="0"/>
              <w:bottom w:val="single" w:color="auto" w:sz="4" w:space="0"/>
              <w:right w:val="single" w:color="auto" w:sz="4" w:space="0"/>
            </w:tcBorders>
            <w:vAlign w:val="bottom"/>
            <w:hideMark/>
          </w:tcPr>
          <w:p w:rsidRPr="00B803D5" w:rsidR="00ED55FC" w:rsidP="00A47EB7" w:rsidRDefault="00ED55FC" w14:paraId="738244DB" w14:textId="77777777">
            <w:pPr>
              <w:jc w:val="center"/>
              <w:rPr>
                <w:b/>
                <w:bCs/>
              </w:rPr>
            </w:pPr>
            <w:r w:rsidRPr="00B803D5">
              <w:rPr>
                <w:b/>
                <w:bCs/>
              </w:rPr>
              <w:t>Reason Change/Disallowance</w:t>
            </w:r>
          </w:p>
        </w:tc>
      </w:tr>
      <w:tr w:rsidRPr="00B803D5" w:rsidR="00ED55FC" w:rsidTr="00D46CE8" w14:paraId="0B2FEEB7" w14:textId="77777777">
        <w:trPr>
          <w:trHeight w:val="872"/>
          <w:jc w:val="center"/>
        </w:trPr>
        <w:tc>
          <w:tcPr>
            <w:tcW w:w="2043" w:type="dxa"/>
            <w:tcBorders>
              <w:top w:val="single" w:color="auto" w:sz="4" w:space="0"/>
              <w:left w:val="single" w:color="auto" w:sz="4" w:space="0"/>
              <w:bottom w:val="single" w:color="auto" w:sz="4" w:space="0"/>
              <w:right w:val="single" w:color="auto" w:sz="4" w:space="0"/>
            </w:tcBorders>
            <w:hideMark/>
          </w:tcPr>
          <w:p w:rsidRPr="00D46CE8" w:rsidR="00ED55FC" w:rsidP="00A47EB7" w:rsidRDefault="00ED55FC" w14:paraId="611F7DB5" w14:textId="77777777">
            <w:pPr>
              <w:jc w:val="center"/>
            </w:pPr>
            <w:r w:rsidRPr="00D46CE8">
              <w:t>The Utility Reform Network</w:t>
            </w:r>
          </w:p>
        </w:tc>
        <w:tc>
          <w:tcPr>
            <w:tcW w:w="1444" w:type="dxa"/>
            <w:tcBorders>
              <w:top w:val="single" w:color="auto" w:sz="4" w:space="0"/>
              <w:left w:val="single" w:color="auto" w:sz="4" w:space="0"/>
              <w:bottom w:val="single" w:color="auto" w:sz="4" w:space="0"/>
              <w:right w:val="single" w:color="auto" w:sz="4" w:space="0"/>
            </w:tcBorders>
            <w:hideMark/>
          </w:tcPr>
          <w:p w:rsidRPr="00B803D5" w:rsidR="00ED55FC" w:rsidP="00A47EB7" w:rsidRDefault="00263356" w14:paraId="102681D7" w14:textId="7AE29F69">
            <w:pPr>
              <w:jc w:val="center"/>
            </w:pPr>
            <w:r>
              <w:t>November 20</w:t>
            </w:r>
            <w:r w:rsidR="00CA0330">
              <w:t>, 2025</w:t>
            </w:r>
          </w:p>
        </w:tc>
        <w:tc>
          <w:tcPr>
            <w:tcW w:w="1405" w:type="dxa"/>
            <w:tcBorders>
              <w:top w:val="single" w:color="auto" w:sz="4" w:space="0"/>
              <w:left w:val="single" w:color="auto" w:sz="4" w:space="0"/>
              <w:bottom w:val="single" w:color="auto" w:sz="4" w:space="0"/>
              <w:right w:val="single" w:color="auto" w:sz="4" w:space="0"/>
            </w:tcBorders>
            <w:hideMark/>
          </w:tcPr>
          <w:p w:rsidRPr="00B803D5" w:rsidR="00ED55FC" w:rsidP="00A47EB7" w:rsidRDefault="00263356" w14:paraId="304FDCF7" w14:textId="635CFAFE">
            <w:pPr>
              <w:jc w:val="center"/>
            </w:pPr>
            <w:r w:rsidRPr="00263356">
              <w:t>$188,148.44</w:t>
            </w:r>
          </w:p>
        </w:tc>
        <w:tc>
          <w:tcPr>
            <w:tcW w:w="1571" w:type="dxa"/>
            <w:tcBorders>
              <w:top w:val="single" w:color="auto" w:sz="4" w:space="0"/>
              <w:left w:val="single" w:color="auto" w:sz="4" w:space="0"/>
              <w:bottom w:val="single" w:color="auto" w:sz="4" w:space="0"/>
              <w:right w:val="single" w:color="auto" w:sz="4" w:space="0"/>
            </w:tcBorders>
            <w:hideMark/>
          </w:tcPr>
          <w:p w:rsidRPr="00B803D5" w:rsidR="00ED55FC" w:rsidP="00A47EB7" w:rsidRDefault="000C283E" w14:paraId="02DCAAA1" w14:textId="4EFC1AD9">
            <w:pPr>
              <w:jc w:val="center"/>
            </w:pPr>
            <w:r w:rsidRPr="000C283E">
              <w:rPr>
                <w:bCs/>
                <w:color w:val="000000"/>
              </w:rPr>
              <w:t>$</w:t>
            </w:r>
            <w:r w:rsidRPr="00DC0497" w:rsidR="00DC0497">
              <w:rPr>
                <w:color w:val="000000"/>
              </w:rPr>
              <w:t>188,148.44</w:t>
            </w:r>
          </w:p>
        </w:tc>
        <w:tc>
          <w:tcPr>
            <w:tcW w:w="1390" w:type="dxa"/>
            <w:tcBorders>
              <w:top w:val="single" w:color="auto" w:sz="4" w:space="0"/>
              <w:left w:val="single" w:color="auto" w:sz="4" w:space="0"/>
              <w:bottom w:val="single" w:color="auto" w:sz="4" w:space="0"/>
              <w:right w:val="single" w:color="auto" w:sz="4" w:space="0"/>
            </w:tcBorders>
            <w:hideMark/>
          </w:tcPr>
          <w:p w:rsidRPr="00B803D5" w:rsidR="00ED55FC" w:rsidP="00A47EB7" w:rsidRDefault="00ED55FC" w14:paraId="668A8D1F" w14:textId="77777777">
            <w:pPr>
              <w:jc w:val="center"/>
            </w:pPr>
            <w:r w:rsidRPr="00B803D5">
              <w:t>N/A</w:t>
            </w:r>
          </w:p>
        </w:tc>
        <w:tc>
          <w:tcPr>
            <w:tcW w:w="2474" w:type="dxa"/>
            <w:tcBorders>
              <w:top w:val="single" w:color="auto" w:sz="4" w:space="0"/>
              <w:left w:val="single" w:color="auto" w:sz="4" w:space="0"/>
              <w:bottom w:val="single" w:color="auto" w:sz="4" w:space="0"/>
              <w:right w:val="single" w:color="auto" w:sz="4" w:space="0"/>
            </w:tcBorders>
            <w:hideMark/>
          </w:tcPr>
          <w:p w:rsidRPr="00B803D5" w:rsidR="00ED55FC" w:rsidP="00A47EB7" w:rsidRDefault="001B4706" w14:paraId="6C54C5AA" w14:textId="661F9753">
            <w:pPr>
              <w:jc w:val="center"/>
            </w:pPr>
            <w:r w:rsidRPr="00883206">
              <w:rPr>
                <w:i/>
                <w:iCs/>
              </w:rPr>
              <w:t>See</w:t>
            </w:r>
            <w:r w:rsidRPr="00883206">
              <w:t xml:space="preserve"> Part III.D CPUC Comments, Disallowances and Adjustments</w:t>
            </w:r>
          </w:p>
        </w:tc>
      </w:tr>
    </w:tbl>
    <w:p w:rsidR="00ED55FC" w:rsidP="00625B30" w:rsidRDefault="00ED55FC" w14:paraId="00DA876E" w14:textId="77777777"/>
    <w:p w:rsidR="00ED55FC" w:rsidP="00D46CE8" w:rsidRDefault="00ED55FC" w14:paraId="1E7567EB" w14:textId="77777777">
      <w:pPr>
        <w:contextualSpacing/>
        <w:jc w:val="center"/>
        <w:rPr>
          <w:b/>
          <w:bCs/>
          <w:sz w:val="28"/>
          <w:szCs w:val="28"/>
        </w:rPr>
      </w:pPr>
      <w:r w:rsidRPr="00B803D5">
        <w:rPr>
          <w:b/>
          <w:bCs/>
          <w:sz w:val="28"/>
          <w:szCs w:val="28"/>
        </w:rPr>
        <w:t>Hourly Fee Information</w:t>
      </w:r>
    </w:p>
    <w:p w:rsidRPr="00B803D5" w:rsidR="00D46CE8" w:rsidP="00D46CE8" w:rsidRDefault="00D46CE8" w14:paraId="698DAC3F" w14:textId="77777777">
      <w:pPr>
        <w:contextualSpacing/>
        <w:jc w:val="center"/>
        <w:rPr>
          <w:b/>
          <w:bCs/>
          <w:sz w:val="28"/>
          <w:szCs w:val="28"/>
        </w:rPr>
      </w:pP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1520"/>
        <w:gridCol w:w="1725"/>
        <w:gridCol w:w="2088"/>
        <w:gridCol w:w="1748"/>
        <w:gridCol w:w="1725"/>
        <w:gridCol w:w="1634"/>
      </w:tblGrid>
      <w:tr w:rsidRPr="00B803D5" w:rsidR="00ED55FC" w:rsidTr="00D46CE8" w14:paraId="05ED11F4"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vAlign w:val="bottom"/>
            <w:hideMark/>
          </w:tcPr>
          <w:p w:rsidRPr="00B803D5" w:rsidR="00ED55FC" w:rsidP="00A47EB7" w:rsidRDefault="00ED55FC" w14:paraId="192063C9" w14:textId="77777777">
            <w:pPr>
              <w:jc w:val="center"/>
              <w:rPr>
                <w:b/>
                <w:bCs/>
              </w:rPr>
            </w:pPr>
            <w:r w:rsidRPr="00B803D5">
              <w:rPr>
                <w:b/>
                <w:bCs/>
              </w:rPr>
              <w:t>First Name</w:t>
            </w:r>
          </w:p>
        </w:tc>
        <w:tc>
          <w:tcPr>
            <w:tcW w:w="1725" w:type="dxa"/>
            <w:tcBorders>
              <w:top w:val="single" w:color="auto" w:sz="4" w:space="0"/>
              <w:left w:val="single" w:color="auto" w:sz="4" w:space="0"/>
              <w:bottom w:val="single" w:color="auto" w:sz="4" w:space="0"/>
              <w:right w:val="single" w:color="auto" w:sz="4" w:space="0"/>
            </w:tcBorders>
            <w:vAlign w:val="bottom"/>
            <w:hideMark/>
          </w:tcPr>
          <w:p w:rsidRPr="00B803D5" w:rsidR="00ED55FC" w:rsidP="00A47EB7" w:rsidRDefault="00ED55FC" w14:paraId="0AA0DF74" w14:textId="77777777">
            <w:pPr>
              <w:jc w:val="center"/>
              <w:rPr>
                <w:b/>
                <w:bCs/>
              </w:rPr>
            </w:pPr>
            <w:r w:rsidRPr="00B803D5">
              <w:rPr>
                <w:b/>
                <w:bCs/>
              </w:rPr>
              <w:t>Last Name</w:t>
            </w:r>
          </w:p>
        </w:tc>
        <w:tc>
          <w:tcPr>
            <w:tcW w:w="2088" w:type="dxa"/>
            <w:tcBorders>
              <w:top w:val="single" w:color="auto" w:sz="4" w:space="0"/>
              <w:left w:val="single" w:color="auto" w:sz="4" w:space="0"/>
              <w:bottom w:val="single" w:color="auto" w:sz="4" w:space="0"/>
              <w:right w:val="single" w:color="auto" w:sz="4" w:space="0"/>
            </w:tcBorders>
            <w:vAlign w:val="bottom"/>
            <w:hideMark/>
          </w:tcPr>
          <w:p w:rsidRPr="00B803D5" w:rsidR="00ED55FC" w:rsidP="00A47EB7" w:rsidRDefault="00ED55FC" w14:paraId="58A918EA" w14:textId="77777777">
            <w:pPr>
              <w:ind w:left="12" w:firstLine="12"/>
              <w:jc w:val="center"/>
              <w:rPr>
                <w:b/>
                <w:bCs/>
              </w:rPr>
            </w:pPr>
            <w:r w:rsidRPr="00B803D5">
              <w:rPr>
                <w:b/>
                <w:bCs/>
              </w:rPr>
              <w:t>Attorney, Expert, or Advocate</w:t>
            </w:r>
          </w:p>
        </w:tc>
        <w:tc>
          <w:tcPr>
            <w:tcW w:w="1748" w:type="dxa"/>
            <w:tcBorders>
              <w:top w:val="single" w:color="auto" w:sz="4" w:space="0"/>
              <w:left w:val="single" w:color="auto" w:sz="4" w:space="0"/>
              <w:bottom w:val="single" w:color="auto" w:sz="4" w:space="0"/>
              <w:right w:val="single" w:color="auto" w:sz="4" w:space="0"/>
            </w:tcBorders>
            <w:vAlign w:val="bottom"/>
            <w:hideMark/>
          </w:tcPr>
          <w:p w:rsidR="00ED55FC" w:rsidP="00A47EB7" w:rsidRDefault="00ED55FC" w14:paraId="6A2DB68D" w14:textId="77777777">
            <w:pPr>
              <w:jc w:val="center"/>
              <w:rPr>
                <w:b/>
                <w:bCs/>
              </w:rPr>
            </w:pPr>
            <w:r w:rsidRPr="00B803D5">
              <w:rPr>
                <w:b/>
                <w:bCs/>
              </w:rPr>
              <w:t>Hourly</w:t>
            </w:r>
          </w:p>
          <w:p w:rsidRPr="00B803D5" w:rsidR="00ED55FC" w:rsidP="00A47EB7" w:rsidRDefault="00ED55FC" w14:paraId="76C12E7D" w14:textId="77777777">
            <w:pPr>
              <w:jc w:val="center"/>
              <w:rPr>
                <w:b/>
                <w:bCs/>
              </w:rPr>
            </w:pPr>
            <w:r w:rsidRPr="00B803D5">
              <w:rPr>
                <w:b/>
                <w:bCs/>
              </w:rPr>
              <w:t>Fee Requested</w:t>
            </w:r>
          </w:p>
        </w:tc>
        <w:tc>
          <w:tcPr>
            <w:tcW w:w="1725" w:type="dxa"/>
            <w:tcBorders>
              <w:top w:val="single" w:color="auto" w:sz="4" w:space="0"/>
              <w:left w:val="single" w:color="auto" w:sz="4" w:space="0"/>
              <w:bottom w:val="single" w:color="auto" w:sz="4" w:space="0"/>
              <w:right w:val="single" w:color="auto" w:sz="4" w:space="0"/>
            </w:tcBorders>
            <w:vAlign w:val="bottom"/>
            <w:hideMark/>
          </w:tcPr>
          <w:p w:rsidR="00ED55FC" w:rsidP="00A47EB7" w:rsidRDefault="00ED55FC" w14:paraId="6C21677F" w14:textId="77777777">
            <w:pPr>
              <w:jc w:val="center"/>
              <w:rPr>
                <w:b/>
                <w:bCs/>
              </w:rPr>
            </w:pPr>
            <w:r w:rsidRPr="00B803D5">
              <w:rPr>
                <w:b/>
                <w:bCs/>
              </w:rPr>
              <w:t>Year Hourly</w:t>
            </w:r>
          </w:p>
          <w:p w:rsidRPr="00B803D5" w:rsidR="00ED55FC" w:rsidP="00A47EB7" w:rsidRDefault="00ED55FC" w14:paraId="588C572A" w14:textId="77777777">
            <w:pPr>
              <w:jc w:val="center"/>
              <w:rPr>
                <w:b/>
                <w:bCs/>
              </w:rPr>
            </w:pPr>
            <w:r w:rsidRPr="00B803D5">
              <w:rPr>
                <w:b/>
                <w:bCs/>
              </w:rPr>
              <w:t>Fee Requested</w:t>
            </w:r>
          </w:p>
        </w:tc>
        <w:tc>
          <w:tcPr>
            <w:tcW w:w="1634" w:type="dxa"/>
            <w:tcBorders>
              <w:top w:val="single" w:color="auto" w:sz="4" w:space="0"/>
              <w:left w:val="single" w:color="auto" w:sz="4" w:space="0"/>
              <w:bottom w:val="single" w:color="auto" w:sz="4" w:space="0"/>
              <w:right w:val="single" w:color="auto" w:sz="4" w:space="0"/>
            </w:tcBorders>
            <w:vAlign w:val="bottom"/>
            <w:hideMark/>
          </w:tcPr>
          <w:p w:rsidR="00ED55FC" w:rsidP="00A47EB7" w:rsidRDefault="00ED55FC" w14:paraId="1AF8D2FB" w14:textId="77777777">
            <w:pPr>
              <w:jc w:val="center"/>
              <w:rPr>
                <w:b/>
                <w:bCs/>
              </w:rPr>
            </w:pPr>
            <w:r w:rsidRPr="00B803D5">
              <w:rPr>
                <w:b/>
                <w:bCs/>
              </w:rPr>
              <w:t>Hourly</w:t>
            </w:r>
          </w:p>
          <w:p w:rsidRPr="00B803D5" w:rsidR="00ED55FC" w:rsidP="00A47EB7" w:rsidRDefault="00ED55FC" w14:paraId="56C2B02A" w14:textId="77777777">
            <w:pPr>
              <w:jc w:val="center"/>
              <w:rPr>
                <w:b/>
                <w:bCs/>
              </w:rPr>
            </w:pPr>
            <w:r w:rsidRPr="00B803D5">
              <w:rPr>
                <w:b/>
                <w:bCs/>
              </w:rPr>
              <w:t>Fee Adopted</w:t>
            </w:r>
          </w:p>
        </w:tc>
      </w:tr>
      <w:tr w:rsidRPr="00B803D5" w:rsidR="00F64C24" w:rsidTr="00D46CE8" w14:paraId="71CC94F9"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D46CE8" w:rsidR="00F64C24" w:rsidP="00F64C24" w:rsidRDefault="00F64C24" w14:paraId="57CBB08B" w14:textId="1F98627B">
            <w:pPr>
              <w:jc w:val="center"/>
            </w:pPr>
            <w:r w:rsidRPr="00D46CE8">
              <w:t xml:space="preserve">Elise  </w:t>
            </w:r>
          </w:p>
        </w:tc>
        <w:tc>
          <w:tcPr>
            <w:tcW w:w="1725" w:type="dxa"/>
            <w:tcBorders>
              <w:top w:val="single" w:color="auto" w:sz="4" w:space="0"/>
              <w:left w:val="single" w:color="auto" w:sz="4" w:space="0"/>
              <w:bottom w:val="single" w:color="auto" w:sz="4" w:space="0"/>
              <w:right w:val="single" w:color="auto" w:sz="4" w:space="0"/>
            </w:tcBorders>
          </w:tcPr>
          <w:p w:rsidRPr="00D46CE8" w:rsidR="00F64C24" w:rsidP="00F64C24" w:rsidRDefault="00F64C24" w14:paraId="3C40AE12" w14:textId="0327C7EA">
            <w:pPr>
              <w:jc w:val="center"/>
            </w:pPr>
            <w:r w:rsidRPr="00D46CE8">
              <w:t>Torres</w:t>
            </w:r>
          </w:p>
        </w:tc>
        <w:tc>
          <w:tcPr>
            <w:tcW w:w="2088" w:type="dxa"/>
            <w:tcBorders>
              <w:top w:val="single" w:color="auto" w:sz="4" w:space="0"/>
              <w:left w:val="single" w:color="auto" w:sz="4" w:space="0"/>
              <w:bottom w:val="single" w:color="auto" w:sz="4" w:space="0"/>
              <w:right w:val="single" w:color="auto" w:sz="4" w:space="0"/>
            </w:tcBorders>
          </w:tcPr>
          <w:p w:rsidRPr="00D46CE8" w:rsidR="00F64C24" w:rsidP="00F64C24" w:rsidRDefault="00F64C24" w14:paraId="1862BFC2" w14:textId="77777777">
            <w:pPr>
              <w:jc w:val="center"/>
            </w:pPr>
            <w:r w:rsidRPr="00D46CE8">
              <w:t>Attorney</w:t>
            </w:r>
          </w:p>
        </w:tc>
        <w:tc>
          <w:tcPr>
            <w:tcW w:w="1748" w:type="dxa"/>
            <w:tcBorders>
              <w:top w:val="single" w:color="auto" w:sz="4" w:space="0"/>
              <w:left w:val="single" w:color="auto" w:sz="4" w:space="0"/>
              <w:bottom w:val="single" w:color="auto" w:sz="4" w:space="0"/>
              <w:right w:val="single" w:color="auto" w:sz="4" w:space="0"/>
            </w:tcBorders>
            <w:vAlign w:val="bottom"/>
          </w:tcPr>
          <w:p w:rsidRPr="00F64C24" w:rsidR="00F64C24" w:rsidP="00F64C24" w:rsidRDefault="00F64C24" w14:paraId="1F633970" w14:textId="3EBDDEF3">
            <w:pPr>
              <w:jc w:val="center"/>
              <w:rPr>
                <w:color w:val="000000"/>
              </w:rPr>
            </w:pPr>
            <w:r w:rsidRPr="00F64C24">
              <w:rPr>
                <w:color w:val="000000"/>
              </w:rPr>
              <w:t>$510</w:t>
            </w:r>
          </w:p>
        </w:tc>
        <w:tc>
          <w:tcPr>
            <w:tcW w:w="1725" w:type="dxa"/>
            <w:tcBorders>
              <w:top w:val="single" w:color="auto" w:sz="4" w:space="0"/>
              <w:left w:val="single" w:color="auto" w:sz="4" w:space="0"/>
              <w:bottom w:val="single" w:color="auto" w:sz="4" w:space="0"/>
              <w:right w:val="single" w:color="auto" w:sz="4" w:space="0"/>
            </w:tcBorders>
            <w:vAlign w:val="bottom"/>
          </w:tcPr>
          <w:p w:rsidRPr="00F64C24" w:rsidR="00F64C24" w:rsidP="00F64C24" w:rsidRDefault="00F64C24" w14:paraId="3C9F4DDC" w14:textId="72BE7681">
            <w:pPr>
              <w:jc w:val="center"/>
              <w:rPr>
                <w:color w:val="000000"/>
              </w:rPr>
            </w:pPr>
            <w:r w:rsidRPr="00F64C24">
              <w:rPr>
                <w:color w:val="000000"/>
              </w:rPr>
              <w:t>2023</w:t>
            </w:r>
          </w:p>
        </w:tc>
        <w:tc>
          <w:tcPr>
            <w:tcW w:w="1634" w:type="dxa"/>
            <w:tcBorders>
              <w:top w:val="single" w:color="auto" w:sz="4" w:space="0"/>
              <w:left w:val="single" w:color="auto" w:sz="4" w:space="0"/>
              <w:bottom w:val="single" w:color="auto" w:sz="4" w:space="0"/>
              <w:right w:val="single" w:color="auto" w:sz="4" w:space="0"/>
            </w:tcBorders>
          </w:tcPr>
          <w:p w:rsidRPr="00B803D5" w:rsidR="00F64C24" w:rsidP="00F64C24" w:rsidRDefault="00394044" w14:paraId="467AD866" w14:textId="2338BD48">
            <w:pPr>
              <w:jc w:val="center"/>
            </w:pPr>
            <w:r>
              <w:t>$510</w:t>
            </w:r>
          </w:p>
        </w:tc>
      </w:tr>
      <w:tr w:rsidRPr="00B803D5" w:rsidR="00F64C24" w:rsidTr="00D46CE8" w14:paraId="6A76F801"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D46CE8" w:rsidR="00F64C24" w:rsidP="00F64C24" w:rsidRDefault="00F64C24" w14:paraId="13422C85" w14:textId="63C64506">
            <w:pPr>
              <w:jc w:val="center"/>
            </w:pPr>
            <w:r w:rsidRPr="00D46CE8">
              <w:t xml:space="preserve">Elise  </w:t>
            </w:r>
          </w:p>
        </w:tc>
        <w:tc>
          <w:tcPr>
            <w:tcW w:w="1725" w:type="dxa"/>
            <w:tcBorders>
              <w:top w:val="single" w:color="auto" w:sz="4" w:space="0"/>
              <w:left w:val="single" w:color="auto" w:sz="4" w:space="0"/>
              <w:bottom w:val="single" w:color="auto" w:sz="4" w:space="0"/>
              <w:right w:val="single" w:color="auto" w:sz="4" w:space="0"/>
            </w:tcBorders>
          </w:tcPr>
          <w:p w:rsidRPr="00D46CE8" w:rsidR="00F64C24" w:rsidP="00F64C24" w:rsidRDefault="00F64C24" w14:paraId="6CB2AC7A" w14:textId="307F0C92">
            <w:pPr>
              <w:jc w:val="center"/>
            </w:pPr>
            <w:r w:rsidRPr="00D46CE8">
              <w:t>Torres</w:t>
            </w:r>
          </w:p>
        </w:tc>
        <w:tc>
          <w:tcPr>
            <w:tcW w:w="2088" w:type="dxa"/>
            <w:tcBorders>
              <w:top w:val="single" w:color="auto" w:sz="4" w:space="0"/>
              <w:left w:val="single" w:color="auto" w:sz="4" w:space="0"/>
              <w:bottom w:val="single" w:color="auto" w:sz="4" w:space="0"/>
              <w:right w:val="single" w:color="auto" w:sz="4" w:space="0"/>
            </w:tcBorders>
          </w:tcPr>
          <w:p w:rsidRPr="00D46CE8" w:rsidR="00F64C24" w:rsidP="00F64C24" w:rsidRDefault="00F64C24" w14:paraId="1D8FAD13" w14:textId="57694875">
            <w:pPr>
              <w:jc w:val="center"/>
            </w:pPr>
            <w:r w:rsidRPr="00D46CE8">
              <w:t>Attorney</w:t>
            </w:r>
          </w:p>
        </w:tc>
        <w:tc>
          <w:tcPr>
            <w:tcW w:w="1748" w:type="dxa"/>
            <w:tcBorders>
              <w:top w:val="single" w:color="auto" w:sz="4" w:space="0"/>
              <w:left w:val="single" w:color="auto" w:sz="4" w:space="0"/>
              <w:bottom w:val="single" w:color="auto" w:sz="4" w:space="0"/>
              <w:right w:val="single" w:color="auto" w:sz="4" w:space="0"/>
            </w:tcBorders>
            <w:vAlign w:val="bottom"/>
          </w:tcPr>
          <w:p w:rsidRPr="00F64C24" w:rsidR="00F64C24" w:rsidP="00F64C24" w:rsidRDefault="00F64C24" w14:paraId="2BEF62FB" w14:textId="68A807E9">
            <w:pPr>
              <w:jc w:val="center"/>
              <w:rPr>
                <w:color w:val="000000"/>
              </w:rPr>
            </w:pPr>
            <w:r w:rsidRPr="00F64C24">
              <w:rPr>
                <w:color w:val="000000"/>
              </w:rPr>
              <w:t>$555</w:t>
            </w:r>
          </w:p>
        </w:tc>
        <w:tc>
          <w:tcPr>
            <w:tcW w:w="1725" w:type="dxa"/>
            <w:tcBorders>
              <w:top w:val="single" w:color="auto" w:sz="4" w:space="0"/>
              <w:left w:val="single" w:color="auto" w:sz="4" w:space="0"/>
              <w:bottom w:val="single" w:color="auto" w:sz="4" w:space="0"/>
              <w:right w:val="single" w:color="auto" w:sz="4" w:space="0"/>
            </w:tcBorders>
            <w:vAlign w:val="bottom"/>
          </w:tcPr>
          <w:p w:rsidRPr="00F64C24" w:rsidR="00F64C24" w:rsidP="00F64C24" w:rsidRDefault="00F64C24" w14:paraId="19B5100D" w14:textId="7F5D18C8">
            <w:pPr>
              <w:jc w:val="center"/>
              <w:rPr>
                <w:color w:val="000000"/>
              </w:rPr>
            </w:pPr>
            <w:r w:rsidRPr="00F64C24">
              <w:rPr>
                <w:color w:val="000000"/>
              </w:rPr>
              <w:t>2024</w:t>
            </w:r>
          </w:p>
        </w:tc>
        <w:tc>
          <w:tcPr>
            <w:tcW w:w="1634" w:type="dxa"/>
            <w:tcBorders>
              <w:top w:val="single" w:color="auto" w:sz="4" w:space="0"/>
              <w:left w:val="single" w:color="auto" w:sz="4" w:space="0"/>
              <w:bottom w:val="single" w:color="auto" w:sz="4" w:space="0"/>
              <w:right w:val="single" w:color="auto" w:sz="4" w:space="0"/>
            </w:tcBorders>
          </w:tcPr>
          <w:p w:rsidRPr="00B803D5" w:rsidR="00F64C24" w:rsidP="00F64C24" w:rsidRDefault="00394044" w14:paraId="52358688" w14:textId="125AC6A4">
            <w:pPr>
              <w:jc w:val="center"/>
            </w:pPr>
            <w:r>
              <w:t>$</w:t>
            </w:r>
            <w:r w:rsidR="006A4F87">
              <w:t>555</w:t>
            </w:r>
          </w:p>
        </w:tc>
      </w:tr>
      <w:tr w:rsidRPr="00B803D5" w:rsidR="00F64C24" w:rsidTr="00D46CE8" w14:paraId="0659CA32"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D46CE8" w:rsidR="00F64C24" w:rsidP="00F64C24" w:rsidRDefault="00F64C24" w14:paraId="4A5499B2" w14:textId="4089F4B2">
            <w:pPr>
              <w:jc w:val="center"/>
            </w:pPr>
            <w:r w:rsidRPr="00D46CE8">
              <w:t xml:space="preserve">Elise  </w:t>
            </w:r>
          </w:p>
        </w:tc>
        <w:tc>
          <w:tcPr>
            <w:tcW w:w="1725" w:type="dxa"/>
            <w:tcBorders>
              <w:top w:val="single" w:color="auto" w:sz="4" w:space="0"/>
              <w:left w:val="single" w:color="auto" w:sz="4" w:space="0"/>
              <w:bottom w:val="single" w:color="auto" w:sz="4" w:space="0"/>
              <w:right w:val="single" w:color="auto" w:sz="4" w:space="0"/>
            </w:tcBorders>
          </w:tcPr>
          <w:p w:rsidRPr="00D46CE8" w:rsidR="00F64C24" w:rsidP="00F64C24" w:rsidRDefault="00F64C24" w14:paraId="2A991FB3" w14:textId="64FD2941">
            <w:pPr>
              <w:jc w:val="center"/>
            </w:pPr>
            <w:r w:rsidRPr="00D46CE8">
              <w:t>Torres</w:t>
            </w:r>
          </w:p>
        </w:tc>
        <w:tc>
          <w:tcPr>
            <w:tcW w:w="2088" w:type="dxa"/>
            <w:tcBorders>
              <w:top w:val="single" w:color="auto" w:sz="4" w:space="0"/>
              <w:left w:val="single" w:color="auto" w:sz="4" w:space="0"/>
              <w:bottom w:val="single" w:color="auto" w:sz="4" w:space="0"/>
              <w:right w:val="single" w:color="auto" w:sz="4" w:space="0"/>
            </w:tcBorders>
          </w:tcPr>
          <w:p w:rsidRPr="00D46CE8" w:rsidR="00F64C24" w:rsidP="00F64C24" w:rsidRDefault="00F64C24" w14:paraId="4F61EE4B" w14:textId="7778C341">
            <w:pPr>
              <w:jc w:val="center"/>
            </w:pPr>
            <w:r w:rsidRPr="00D46CE8">
              <w:t>Attorney</w:t>
            </w:r>
          </w:p>
        </w:tc>
        <w:tc>
          <w:tcPr>
            <w:tcW w:w="1748" w:type="dxa"/>
            <w:tcBorders>
              <w:top w:val="single" w:color="auto" w:sz="4" w:space="0"/>
              <w:left w:val="single" w:color="auto" w:sz="4" w:space="0"/>
              <w:bottom w:val="single" w:color="auto" w:sz="4" w:space="0"/>
              <w:right w:val="single" w:color="auto" w:sz="4" w:space="0"/>
            </w:tcBorders>
            <w:vAlign w:val="bottom"/>
          </w:tcPr>
          <w:p w:rsidRPr="007F26BF" w:rsidR="00F64C24" w:rsidP="00F64C24" w:rsidRDefault="00F64C24" w14:paraId="7AFF8C08" w14:textId="5E7CBDA0">
            <w:pPr>
              <w:jc w:val="center"/>
              <w:rPr>
                <w:color w:val="000000"/>
              </w:rPr>
            </w:pPr>
            <w:r w:rsidRPr="00F64C24">
              <w:rPr>
                <w:color w:val="000000"/>
              </w:rPr>
              <w:t>$600</w:t>
            </w:r>
          </w:p>
        </w:tc>
        <w:tc>
          <w:tcPr>
            <w:tcW w:w="1725" w:type="dxa"/>
            <w:tcBorders>
              <w:top w:val="single" w:color="auto" w:sz="4" w:space="0"/>
              <w:left w:val="single" w:color="auto" w:sz="4" w:space="0"/>
              <w:bottom w:val="single" w:color="auto" w:sz="4" w:space="0"/>
              <w:right w:val="single" w:color="auto" w:sz="4" w:space="0"/>
            </w:tcBorders>
            <w:vAlign w:val="bottom"/>
          </w:tcPr>
          <w:p w:rsidRPr="007F26BF" w:rsidR="00F64C24" w:rsidP="00F64C24" w:rsidRDefault="00F64C24" w14:paraId="38AC187A" w14:textId="7C3067D6">
            <w:pPr>
              <w:jc w:val="center"/>
              <w:rPr>
                <w:color w:val="000000"/>
              </w:rPr>
            </w:pPr>
            <w:r w:rsidRPr="00F64C24">
              <w:rPr>
                <w:color w:val="000000"/>
              </w:rPr>
              <w:t>2025</w:t>
            </w:r>
          </w:p>
        </w:tc>
        <w:tc>
          <w:tcPr>
            <w:tcW w:w="1634" w:type="dxa"/>
            <w:tcBorders>
              <w:top w:val="single" w:color="auto" w:sz="4" w:space="0"/>
              <w:left w:val="single" w:color="auto" w:sz="4" w:space="0"/>
              <w:bottom w:val="single" w:color="auto" w:sz="4" w:space="0"/>
              <w:right w:val="single" w:color="auto" w:sz="4" w:space="0"/>
            </w:tcBorders>
          </w:tcPr>
          <w:p w:rsidRPr="00B803D5" w:rsidR="00F64C24" w:rsidP="00F64C24" w:rsidRDefault="006A4F87" w14:paraId="3D33C6AE" w14:textId="22DACFE9">
            <w:pPr>
              <w:jc w:val="center"/>
            </w:pPr>
            <w:r>
              <w:t>$</w:t>
            </w:r>
            <w:r w:rsidR="00C03782">
              <w:t>600</w:t>
            </w:r>
          </w:p>
        </w:tc>
      </w:tr>
      <w:tr w:rsidRPr="00B803D5" w:rsidR="00F64C24" w:rsidTr="00D46CE8" w14:paraId="10D8891C"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D46CE8" w:rsidR="00F64C24" w:rsidP="00F64C24" w:rsidRDefault="00F64C24" w14:paraId="3FED7CFA" w14:textId="72D45F3D">
            <w:pPr>
              <w:jc w:val="center"/>
            </w:pPr>
            <w:r w:rsidRPr="00D46CE8">
              <w:t xml:space="preserve">Robert </w:t>
            </w:r>
          </w:p>
        </w:tc>
        <w:tc>
          <w:tcPr>
            <w:tcW w:w="1725" w:type="dxa"/>
            <w:tcBorders>
              <w:top w:val="single" w:color="auto" w:sz="4" w:space="0"/>
              <w:left w:val="single" w:color="auto" w:sz="4" w:space="0"/>
              <w:bottom w:val="single" w:color="auto" w:sz="4" w:space="0"/>
              <w:right w:val="single" w:color="auto" w:sz="4" w:space="0"/>
            </w:tcBorders>
          </w:tcPr>
          <w:p w:rsidRPr="00D46CE8" w:rsidR="00F64C24" w:rsidP="00F64C24" w:rsidRDefault="00F64C24" w14:paraId="14E05E76" w14:textId="0EDB327C">
            <w:pPr>
              <w:jc w:val="center"/>
            </w:pPr>
            <w:r w:rsidRPr="00D46CE8">
              <w:t>Finkelstein</w:t>
            </w:r>
          </w:p>
        </w:tc>
        <w:tc>
          <w:tcPr>
            <w:tcW w:w="2088" w:type="dxa"/>
            <w:tcBorders>
              <w:top w:val="single" w:color="auto" w:sz="4" w:space="0"/>
              <w:left w:val="single" w:color="auto" w:sz="4" w:space="0"/>
              <w:bottom w:val="single" w:color="auto" w:sz="4" w:space="0"/>
              <w:right w:val="single" w:color="auto" w:sz="4" w:space="0"/>
            </w:tcBorders>
          </w:tcPr>
          <w:p w:rsidRPr="00D46CE8" w:rsidR="00F64C24" w:rsidP="00F64C24" w:rsidRDefault="00F64C24" w14:paraId="7E948DF6" w14:textId="66D628FA">
            <w:pPr>
              <w:jc w:val="center"/>
            </w:pPr>
            <w:r w:rsidRPr="00D46CE8">
              <w:t>Attorney</w:t>
            </w:r>
          </w:p>
        </w:tc>
        <w:tc>
          <w:tcPr>
            <w:tcW w:w="1748" w:type="dxa"/>
            <w:tcBorders>
              <w:top w:val="single" w:color="auto" w:sz="4" w:space="0"/>
              <w:left w:val="single" w:color="auto" w:sz="4" w:space="0"/>
              <w:bottom w:val="single" w:color="auto" w:sz="4" w:space="0"/>
              <w:right w:val="single" w:color="auto" w:sz="4" w:space="0"/>
            </w:tcBorders>
          </w:tcPr>
          <w:p w:rsidRPr="007F26BF" w:rsidR="00F64C24" w:rsidP="00F64C24" w:rsidRDefault="00F64C24" w14:paraId="2416FFF1" w14:textId="566D4CE2">
            <w:pPr>
              <w:jc w:val="center"/>
              <w:rPr>
                <w:color w:val="000000"/>
              </w:rPr>
            </w:pPr>
            <w:r w:rsidRPr="007F26BF">
              <w:rPr>
                <w:color w:val="000000"/>
              </w:rPr>
              <w:t>$8</w:t>
            </w:r>
            <w:r>
              <w:rPr>
                <w:color w:val="000000"/>
              </w:rPr>
              <w:t>40</w:t>
            </w:r>
          </w:p>
        </w:tc>
        <w:tc>
          <w:tcPr>
            <w:tcW w:w="1725" w:type="dxa"/>
            <w:tcBorders>
              <w:top w:val="single" w:color="auto" w:sz="4" w:space="0"/>
              <w:left w:val="single" w:color="auto" w:sz="4" w:space="0"/>
              <w:bottom w:val="single" w:color="auto" w:sz="4" w:space="0"/>
              <w:right w:val="single" w:color="auto" w:sz="4" w:space="0"/>
            </w:tcBorders>
          </w:tcPr>
          <w:p w:rsidRPr="007F26BF" w:rsidR="00F64C24" w:rsidP="00F64C24" w:rsidRDefault="00F64C24" w14:paraId="216597D8" w14:textId="2AF403C7">
            <w:pPr>
              <w:jc w:val="center"/>
              <w:rPr>
                <w:color w:val="000000"/>
              </w:rPr>
            </w:pPr>
            <w:r w:rsidRPr="007F26BF">
              <w:rPr>
                <w:color w:val="000000"/>
              </w:rPr>
              <w:t>202</w:t>
            </w:r>
            <w:r>
              <w:rPr>
                <w:color w:val="000000"/>
              </w:rPr>
              <w:t>3</w:t>
            </w:r>
          </w:p>
        </w:tc>
        <w:tc>
          <w:tcPr>
            <w:tcW w:w="1634" w:type="dxa"/>
            <w:tcBorders>
              <w:top w:val="single" w:color="auto" w:sz="4" w:space="0"/>
              <w:left w:val="single" w:color="auto" w:sz="4" w:space="0"/>
              <w:bottom w:val="single" w:color="auto" w:sz="4" w:space="0"/>
              <w:right w:val="single" w:color="auto" w:sz="4" w:space="0"/>
            </w:tcBorders>
          </w:tcPr>
          <w:p w:rsidRPr="00B803D5" w:rsidR="00F64C24" w:rsidP="00F64C24" w:rsidRDefault="006A4F87" w14:paraId="517F0465" w14:textId="403688EA">
            <w:pPr>
              <w:jc w:val="center"/>
            </w:pPr>
            <w:r>
              <w:t>$840</w:t>
            </w:r>
          </w:p>
        </w:tc>
      </w:tr>
      <w:tr w:rsidRPr="00B803D5" w:rsidR="007F26BF" w:rsidTr="00D46CE8" w14:paraId="15A12332"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D46CE8" w:rsidR="007F26BF" w:rsidP="007F26BF" w:rsidRDefault="007F26BF" w14:paraId="3E80EF57" w14:textId="3607BE73">
            <w:pPr>
              <w:jc w:val="center"/>
            </w:pPr>
            <w:r w:rsidRPr="00D46CE8">
              <w:t xml:space="preserve">Robert </w:t>
            </w:r>
          </w:p>
        </w:tc>
        <w:tc>
          <w:tcPr>
            <w:tcW w:w="1725" w:type="dxa"/>
            <w:tcBorders>
              <w:top w:val="single" w:color="auto" w:sz="4" w:space="0"/>
              <w:left w:val="single" w:color="auto" w:sz="4" w:space="0"/>
              <w:bottom w:val="single" w:color="auto" w:sz="4" w:space="0"/>
              <w:right w:val="single" w:color="auto" w:sz="4" w:space="0"/>
            </w:tcBorders>
          </w:tcPr>
          <w:p w:rsidRPr="00D46CE8" w:rsidR="007F26BF" w:rsidP="007F26BF" w:rsidRDefault="007F26BF" w14:paraId="736AB7A4" w14:textId="62221279">
            <w:pPr>
              <w:jc w:val="center"/>
            </w:pPr>
            <w:r w:rsidRPr="00D46CE8">
              <w:t>Finkelstein</w:t>
            </w:r>
          </w:p>
        </w:tc>
        <w:tc>
          <w:tcPr>
            <w:tcW w:w="2088" w:type="dxa"/>
            <w:tcBorders>
              <w:top w:val="single" w:color="auto" w:sz="4" w:space="0"/>
              <w:left w:val="single" w:color="auto" w:sz="4" w:space="0"/>
              <w:bottom w:val="single" w:color="auto" w:sz="4" w:space="0"/>
              <w:right w:val="single" w:color="auto" w:sz="4" w:space="0"/>
            </w:tcBorders>
          </w:tcPr>
          <w:p w:rsidRPr="00D46CE8" w:rsidR="007F26BF" w:rsidP="007F26BF" w:rsidRDefault="007F26BF" w14:paraId="60140304" w14:textId="502B9DD9">
            <w:pPr>
              <w:jc w:val="center"/>
            </w:pPr>
            <w:r w:rsidRPr="00D46CE8">
              <w:t>Attorney</w:t>
            </w:r>
          </w:p>
        </w:tc>
        <w:tc>
          <w:tcPr>
            <w:tcW w:w="1748" w:type="dxa"/>
            <w:tcBorders>
              <w:top w:val="single" w:color="auto" w:sz="4" w:space="0"/>
              <w:left w:val="single" w:color="auto" w:sz="4" w:space="0"/>
              <w:bottom w:val="single" w:color="auto" w:sz="4" w:space="0"/>
              <w:right w:val="single" w:color="auto" w:sz="4" w:space="0"/>
            </w:tcBorders>
          </w:tcPr>
          <w:p w:rsidRPr="007F26BF" w:rsidR="007F26BF" w:rsidP="007F26BF" w:rsidRDefault="007F26BF" w14:paraId="7AC494C7" w14:textId="4FFECA14">
            <w:pPr>
              <w:jc w:val="center"/>
              <w:rPr>
                <w:color w:val="000000"/>
              </w:rPr>
            </w:pPr>
            <w:r w:rsidRPr="007F26BF">
              <w:rPr>
                <w:color w:val="000000"/>
              </w:rPr>
              <w:t>$875</w:t>
            </w:r>
          </w:p>
        </w:tc>
        <w:tc>
          <w:tcPr>
            <w:tcW w:w="1725" w:type="dxa"/>
            <w:tcBorders>
              <w:top w:val="single" w:color="auto" w:sz="4" w:space="0"/>
              <w:left w:val="single" w:color="auto" w:sz="4" w:space="0"/>
              <w:bottom w:val="single" w:color="auto" w:sz="4" w:space="0"/>
              <w:right w:val="single" w:color="auto" w:sz="4" w:space="0"/>
            </w:tcBorders>
          </w:tcPr>
          <w:p w:rsidRPr="007F26BF" w:rsidR="007F26BF" w:rsidP="007F26BF" w:rsidRDefault="007F26BF" w14:paraId="628C9ECF" w14:textId="684AB7C1">
            <w:pPr>
              <w:jc w:val="center"/>
              <w:rPr>
                <w:color w:val="000000"/>
              </w:rPr>
            </w:pPr>
            <w:r w:rsidRPr="007F26BF">
              <w:rPr>
                <w:color w:val="000000"/>
              </w:rPr>
              <w:t>2024</w:t>
            </w:r>
          </w:p>
        </w:tc>
        <w:tc>
          <w:tcPr>
            <w:tcW w:w="1634" w:type="dxa"/>
            <w:tcBorders>
              <w:top w:val="single" w:color="auto" w:sz="4" w:space="0"/>
              <w:left w:val="single" w:color="auto" w:sz="4" w:space="0"/>
              <w:bottom w:val="single" w:color="auto" w:sz="4" w:space="0"/>
              <w:right w:val="single" w:color="auto" w:sz="4" w:space="0"/>
            </w:tcBorders>
          </w:tcPr>
          <w:p w:rsidRPr="00B803D5" w:rsidR="007F26BF" w:rsidP="007F26BF" w:rsidRDefault="006A4F87" w14:paraId="47B5699A" w14:textId="477EB062">
            <w:pPr>
              <w:jc w:val="center"/>
            </w:pPr>
            <w:r>
              <w:t>$875</w:t>
            </w:r>
          </w:p>
        </w:tc>
      </w:tr>
      <w:tr w:rsidRPr="00B803D5" w:rsidR="00F64C24" w:rsidTr="00D46CE8" w14:paraId="1195732D"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D46CE8" w:rsidR="00F64C24" w:rsidP="00F64C24" w:rsidRDefault="00F64C24" w14:paraId="507BFF14" w14:textId="3875B914">
            <w:pPr>
              <w:jc w:val="center"/>
            </w:pPr>
            <w:r w:rsidRPr="00D46CE8">
              <w:t>Garrick</w:t>
            </w:r>
          </w:p>
        </w:tc>
        <w:tc>
          <w:tcPr>
            <w:tcW w:w="1725" w:type="dxa"/>
            <w:tcBorders>
              <w:top w:val="single" w:color="auto" w:sz="4" w:space="0"/>
              <w:left w:val="single" w:color="auto" w:sz="4" w:space="0"/>
              <w:bottom w:val="single" w:color="auto" w:sz="4" w:space="0"/>
              <w:right w:val="single" w:color="auto" w:sz="4" w:space="0"/>
            </w:tcBorders>
          </w:tcPr>
          <w:p w:rsidRPr="00D46CE8" w:rsidR="00F64C24" w:rsidP="00F64C24" w:rsidRDefault="00F64C24" w14:paraId="3FF58E63" w14:textId="46044177">
            <w:pPr>
              <w:jc w:val="center"/>
            </w:pPr>
            <w:r w:rsidRPr="00D46CE8">
              <w:t>Jones</w:t>
            </w:r>
          </w:p>
        </w:tc>
        <w:tc>
          <w:tcPr>
            <w:tcW w:w="2088" w:type="dxa"/>
            <w:tcBorders>
              <w:top w:val="single" w:color="auto" w:sz="4" w:space="0"/>
              <w:left w:val="single" w:color="auto" w:sz="4" w:space="0"/>
              <w:bottom w:val="single" w:color="auto" w:sz="4" w:space="0"/>
              <w:right w:val="single" w:color="auto" w:sz="4" w:space="0"/>
            </w:tcBorders>
          </w:tcPr>
          <w:p w:rsidRPr="00D46CE8" w:rsidR="00F64C24" w:rsidP="00F64C24" w:rsidRDefault="00F64C24" w14:paraId="4A6449ED" w14:textId="60FF5CC4">
            <w:pPr>
              <w:jc w:val="center"/>
            </w:pPr>
            <w:r w:rsidRPr="00D46CE8">
              <w:t>Consultant</w:t>
            </w:r>
          </w:p>
        </w:tc>
        <w:tc>
          <w:tcPr>
            <w:tcW w:w="1748" w:type="dxa"/>
            <w:tcBorders>
              <w:top w:val="single" w:color="auto" w:sz="4" w:space="0"/>
              <w:left w:val="single" w:color="auto" w:sz="4" w:space="0"/>
              <w:bottom w:val="single" w:color="auto" w:sz="4" w:space="0"/>
              <w:right w:val="single" w:color="auto" w:sz="4" w:space="0"/>
            </w:tcBorders>
          </w:tcPr>
          <w:p w:rsidRPr="007F26BF" w:rsidR="00F64C24" w:rsidP="00F64C24" w:rsidRDefault="00F64C24" w14:paraId="0474DA66" w14:textId="06C173EE">
            <w:pPr>
              <w:jc w:val="center"/>
              <w:rPr>
                <w:color w:val="000000"/>
              </w:rPr>
            </w:pPr>
            <w:r w:rsidRPr="007F26BF">
              <w:rPr>
                <w:color w:val="000000"/>
              </w:rPr>
              <w:t>$</w:t>
            </w:r>
            <w:r>
              <w:rPr>
                <w:color w:val="000000"/>
              </w:rPr>
              <w:t>285</w:t>
            </w:r>
          </w:p>
        </w:tc>
        <w:tc>
          <w:tcPr>
            <w:tcW w:w="1725" w:type="dxa"/>
            <w:tcBorders>
              <w:top w:val="single" w:color="auto" w:sz="4" w:space="0"/>
              <w:left w:val="single" w:color="auto" w:sz="4" w:space="0"/>
              <w:bottom w:val="single" w:color="auto" w:sz="4" w:space="0"/>
              <w:right w:val="single" w:color="auto" w:sz="4" w:space="0"/>
            </w:tcBorders>
            <w:vAlign w:val="bottom"/>
          </w:tcPr>
          <w:p w:rsidRPr="007F26BF" w:rsidR="00F64C24" w:rsidP="00F64C24" w:rsidRDefault="00F64C24" w14:paraId="11EB319B" w14:textId="2A8A4C75">
            <w:pPr>
              <w:jc w:val="center"/>
              <w:rPr>
                <w:color w:val="000000"/>
              </w:rPr>
            </w:pPr>
            <w:r w:rsidRPr="00F64C24">
              <w:rPr>
                <w:color w:val="000000"/>
              </w:rPr>
              <w:t>2023</w:t>
            </w:r>
          </w:p>
        </w:tc>
        <w:tc>
          <w:tcPr>
            <w:tcW w:w="1634" w:type="dxa"/>
            <w:tcBorders>
              <w:top w:val="single" w:color="auto" w:sz="4" w:space="0"/>
              <w:left w:val="single" w:color="auto" w:sz="4" w:space="0"/>
              <w:bottom w:val="single" w:color="auto" w:sz="4" w:space="0"/>
              <w:right w:val="single" w:color="auto" w:sz="4" w:space="0"/>
            </w:tcBorders>
          </w:tcPr>
          <w:p w:rsidRPr="00B803D5" w:rsidR="00F64C24" w:rsidP="00F64C24" w:rsidRDefault="006A4F87" w14:paraId="06DAC3C8" w14:textId="57C87BE5">
            <w:pPr>
              <w:jc w:val="center"/>
            </w:pPr>
            <w:r>
              <w:t>$285</w:t>
            </w:r>
          </w:p>
        </w:tc>
      </w:tr>
      <w:tr w:rsidRPr="00B803D5" w:rsidR="00F64C24" w:rsidTr="00D46CE8" w14:paraId="4D2D1C59"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D46CE8" w:rsidR="00F64C24" w:rsidP="00F64C24" w:rsidRDefault="00F64C24" w14:paraId="133DB9DF" w14:textId="5DEB3184">
            <w:pPr>
              <w:jc w:val="center"/>
            </w:pPr>
            <w:r w:rsidRPr="00D46CE8">
              <w:t>Garrick</w:t>
            </w:r>
          </w:p>
        </w:tc>
        <w:tc>
          <w:tcPr>
            <w:tcW w:w="1725" w:type="dxa"/>
            <w:tcBorders>
              <w:top w:val="single" w:color="auto" w:sz="4" w:space="0"/>
              <w:left w:val="single" w:color="auto" w:sz="4" w:space="0"/>
              <w:bottom w:val="single" w:color="auto" w:sz="4" w:space="0"/>
              <w:right w:val="single" w:color="auto" w:sz="4" w:space="0"/>
            </w:tcBorders>
          </w:tcPr>
          <w:p w:rsidRPr="00D46CE8" w:rsidR="00F64C24" w:rsidP="00F64C24" w:rsidRDefault="00F64C24" w14:paraId="42106B04" w14:textId="41CA24FD">
            <w:pPr>
              <w:jc w:val="center"/>
            </w:pPr>
            <w:r w:rsidRPr="00D46CE8">
              <w:t>Jones</w:t>
            </w:r>
          </w:p>
        </w:tc>
        <w:tc>
          <w:tcPr>
            <w:tcW w:w="2088" w:type="dxa"/>
            <w:tcBorders>
              <w:top w:val="single" w:color="auto" w:sz="4" w:space="0"/>
              <w:left w:val="single" w:color="auto" w:sz="4" w:space="0"/>
              <w:bottom w:val="single" w:color="auto" w:sz="4" w:space="0"/>
              <w:right w:val="single" w:color="auto" w:sz="4" w:space="0"/>
            </w:tcBorders>
          </w:tcPr>
          <w:p w:rsidRPr="00D46CE8" w:rsidR="00F64C24" w:rsidP="00F64C24" w:rsidRDefault="00F64C24" w14:paraId="0AE64B7A" w14:textId="4846765C">
            <w:pPr>
              <w:jc w:val="center"/>
            </w:pPr>
            <w:r w:rsidRPr="00D46CE8">
              <w:t>Consultant</w:t>
            </w:r>
          </w:p>
        </w:tc>
        <w:tc>
          <w:tcPr>
            <w:tcW w:w="1748" w:type="dxa"/>
            <w:tcBorders>
              <w:top w:val="single" w:color="auto" w:sz="4" w:space="0"/>
              <w:left w:val="single" w:color="auto" w:sz="4" w:space="0"/>
              <w:bottom w:val="single" w:color="auto" w:sz="4" w:space="0"/>
              <w:right w:val="single" w:color="auto" w:sz="4" w:space="0"/>
            </w:tcBorders>
          </w:tcPr>
          <w:p w:rsidRPr="00B803D5" w:rsidR="00F64C24" w:rsidP="00F64C24" w:rsidRDefault="00F64C24" w14:paraId="3FEA44B0" w14:textId="4D9C109E">
            <w:pPr>
              <w:jc w:val="center"/>
            </w:pPr>
            <w:r>
              <w:t>$295</w:t>
            </w:r>
          </w:p>
        </w:tc>
        <w:tc>
          <w:tcPr>
            <w:tcW w:w="1725" w:type="dxa"/>
            <w:tcBorders>
              <w:top w:val="single" w:color="auto" w:sz="4" w:space="0"/>
              <w:left w:val="single" w:color="auto" w:sz="4" w:space="0"/>
              <w:bottom w:val="single" w:color="auto" w:sz="4" w:space="0"/>
              <w:right w:val="single" w:color="auto" w:sz="4" w:space="0"/>
            </w:tcBorders>
            <w:vAlign w:val="bottom"/>
          </w:tcPr>
          <w:p w:rsidRPr="00B803D5" w:rsidR="00F64C24" w:rsidP="00F64C24" w:rsidRDefault="00F64C24" w14:paraId="1959E4B6" w14:textId="2A282140">
            <w:pPr>
              <w:jc w:val="center"/>
            </w:pPr>
            <w:r w:rsidRPr="00F64C24">
              <w:rPr>
                <w:color w:val="000000"/>
              </w:rPr>
              <w:t>2024</w:t>
            </w:r>
          </w:p>
        </w:tc>
        <w:tc>
          <w:tcPr>
            <w:tcW w:w="1634" w:type="dxa"/>
            <w:tcBorders>
              <w:top w:val="single" w:color="auto" w:sz="4" w:space="0"/>
              <w:left w:val="single" w:color="auto" w:sz="4" w:space="0"/>
              <w:bottom w:val="single" w:color="auto" w:sz="4" w:space="0"/>
              <w:right w:val="single" w:color="auto" w:sz="4" w:space="0"/>
            </w:tcBorders>
          </w:tcPr>
          <w:p w:rsidRPr="00B803D5" w:rsidR="00F64C24" w:rsidP="00F64C24" w:rsidRDefault="006A4F87" w14:paraId="28A7EC9D" w14:textId="50A9FE91">
            <w:pPr>
              <w:jc w:val="center"/>
            </w:pPr>
            <w:r>
              <w:t>$295</w:t>
            </w:r>
          </w:p>
        </w:tc>
      </w:tr>
      <w:tr w:rsidRPr="00B803D5" w:rsidR="00F64C24" w:rsidTr="00D46CE8" w14:paraId="5D1EF151"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D46CE8" w:rsidR="00F64C24" w:rsidP="00F64C24" w:rsidRDefault="00F64C24" w14:paraId="56A56FF3" w14:textId="312B8CA2">
            <w:pPr>
              <w:jc w:val="center"/>
            </w:pPr>
            <w:r w:rsidRPr="00D46CE8">
              <w:t>Reina</w:t>
            </w:r>
          </w:p>
        </w:tc>
        <w:tc>
          <w:tcPr>
            <w:tcW w:w="1725" w:type="dxa"/>
            <w:tcBorders>
              <w:top w:val="single" w:color="auto" w:sz="4" w:space="0"/>
              <w:left w:val="single" w:color="auto" w:sz="4" w:space="0"/>
              <w:bottom w:val="single" w:color="auto" w:sz="4" w:space="0"/>
              <w:right w:val="single" w:color="auto" w:sz="4" w:space="0"/>
            </w:tcBorders>
          </w:tcPr>
          <w:p w:rsidRPr="00D46CE8" w:rsidR="00F64C24" w:rsidP="00F64C24" w:rsidRDefault="00F64C24" w14:paraId="23C4B384" w14:textId="6EBEF1AC">
            <w:pPr>
              <w:jc w:val="center"/>
            </w:pPr>
            <w:r w:rsidRPr="00D46CE8">
              <w:t>Yanagiba</w:t>
            </w:r>
          </w:p>
        </w:tc>
        <w:tc>
          <w:tcPr>
            <w:tcW w:w="2088" w:type="dxa"/>
            <w:tcBorders>
              <w:top w:val="single" w:color="auto" w:sz="4" w:space="0"/>
              <w:left w:val="single" w:color="auto" w:sz="4" w:space="0"/>
              <w:bottom w:val="single" w:color="auto" w:sz="4" w:space="0"/>
              <w:right w:val="single" w:color="auto" w:sz="4" w:space="0"/>
            </w:tcBorders>
          </w:tcPr>
          <w:p w:rsidRPr="00D46CE8" w:rsidR="00F64C24" w:rsidP="00F64C24" w:rsidRDefault="00F64C24" w14:paraId="4C279A8E" w14:textId="046CF561">
            <w:pPr>
              <w:jc w:val="center"/>
            </w:pPr>
            <w:r w:rsidRPr="00D46CE8">
              <w:t>Legal Assistant</w:t>
            </w:r>
            <w:bookmarkStart w:name="_Ref224649120" w:id="6"/>
            <w:r w:rsidR="00E563D3">
              <w:rPr>
                <w:rStyle w:val="FootnoteReference"/>
              </w:rPr>
              <w:footnoteReference w:id="6"/>
            </w:r>
            <w:bookmarkEnd w:id="6"/>
          </w:p>
        </w:tc>
        <w:tc>
          <w:tcPr>
            <w:tcW w:w="1748" w:type="dxa"/>
            <w:tcBorders>
              <w:top w:val="single" w:color="auto" w:sz="4" w:space="0"/>
              <w:left w:val="single" w:color="auto" w:sz="4" w:space="0"/>
              <w:bottom w:val="single" w:color="auto" w:sz="4" w:space="0"/>
              <w:right w:val="single" w:color="auto" w:sz="4" w:space="0"/>
            </w:tcBorders>
          </w:tcPr>
          <w:p w:rsidRPr="00B803D5" w:rsidR="00F64C24" w:rsidP="00F64C24" w:rsidRDefault="00F64C24" w14:paraId="26611DFE" w14:textId="2A664585">
            <w:pPr>
              <w:jc w:val="center"/>
            </w:pPr>
            <w:r>
              <w:t>$95</w:t>
            </w:r>
          </w:p>
        </w:tc>
        <w:tc>
          <w:tcPr>
            <w:tcW w:w="1725" w:type="dxa"/>
            <w:tcBorders>
              <w:top w:val="single" w:color="auto" w:sz="4" w:space="0"/>
              <w:left w:val="single" w:color="auto" w:sz="4" w:space="0"/>
              <w:bottom w:val="single" w:color="auto" w:sz="4" w:space="0"/>
              <w:right w:val="single" w:color="auto" w:sz="4" w:space="0"/>
            </w:tcBorders>
            <w:vAlign w:val="bottom"/>
          </w:tcPr>
          <w:p w:rsidRPr="00B803D5" w:rsidR="00F64C24" w:rsidP="00F64C24" w:rsidRDefault="00F64C24" w14:paraId="76C85C08" w14:textId="121E8EE5">
            <w:pPr>
              <w:jc w:val="center"/>
            </w:pPr>
            <w:r w:rsidRPr="00F64C24">
              <w:rPr>
                <w:color w:val="000000"/>
              </w:rPr>
              <w:t>2023</w:t>
            </w:r>
          </w:p>
        </w:tc>
        <w:tc>
          <w:tcPr>
            <w:tcW w:w="1634" w:type="dxa"/>
            <w:tcBorders>
              <w:top w:val="single" w:color="auto" w:sz="4" w:space="0"/>
              <w:left w:val="single" w:color="auto" w:sz="4" w:space="0"/>
              <w:bottom w:val="single" w:color="auto" w:sz="4" w:space="0"/>
              <w:right w:val="single" w:color="auto" w:sz="4" w:space="0"/>
            </w:tcBorders>
          </w:tcPr>
          <w:p w:rsidRPr="00B803D5" w:rsidR="00F64C24" w:rsidP="00F64C24" w:rsidRDefault="006A4F87" w14:paraId="7F7F9909" w14:textId="5F46D3A5">
            <w:pPr>
              <w:jc w:val="center"/>
            </w:pPr>
            <w:r>
              <w:t>$95</w:t>
            </w:r>
          </w:p>
        </w:tc>
      </w:tr>
      <w:tr w:rsidRPr="00B803D5" w:rsidR="00F64C24" w:rsidTr="00D46CE8" w14:paraId="79538171"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D46CE8" w:rsidR="00F64C24" w:rsidP="00F64C24" w:rsidRDefault="00F64C24" w14:paraId="28A70684" w14:textId="0931D684">
            <w:pPr>
              <w:jc w:val="center"/>
            </w:pPr>
            <w:r w:rsidRPr="00D46CE8">
              <w:t>Reina</w:t>
            </w:r>
          </w:p>
        </w:tc>
        <w:tc>
          <w:tcPr>
            <w:tcW w:w="1725" w:type="dxa"/>
            <w:tcBorders>
              <w:top w:val="single" w:color="auto" w:sz="4" w:space="0"/>
              <w:left w:val="single" w:color="auto" w:sz="4" w:space="0"/>
              <w:bottom w:val="single" w:color="auto" w:sz="4" w:space="0"/>
              <w:right w:val="single" w:color="auto" w:sz="4" w:space="0"/>
            </w:tcBorders>
          </w:tcPr>
          <w:p w:rsidRPr="00D46CE8" w:rsidR="00F64C24" w:rsidP="00F64C24" w:rsidRDefault="00F64C24" w14:paraId="2AB1C84D" w14:textId="57FF4A5D">
            <w:pPr>
              <w:jc w:val="center"/>
            </w:pPr>
            <w:r w:rsidRPr="00D46CE8">
              <w:t>Yanagiba</w:t>
            </w:r>
          </w:p>
        </w:tc>
        <w:tc>
          <w:tcPr>
            <w:tcW w:w="2088" w:type="dxa"/>
            <w:tcBorders>
              <w:top w:val="single" w:color="auto" w:sz="4" w:space="0"/>
              <w:left w:val="single" w:color="auto" w:sz="4" w:space="0"/>
              <w:bottom w:val="single" w:color="auto" w:sz="4" w:space="0"/>
              <w:right w:val="single" w:color="auto" w:sz="4" w:space="0"/>
            </w:tcBorders>
          </w:tcPr>
          <w:p w:rsidRPr="00D46CE8" w:rsidR="00F64C24" w:rsidP="00F64C24" w:rsidRDefault="00F64C24" w14:paraId="015DFD5B" w14:textId="22F516F7">
            <w:pPr>
              <w:jc w:val="center"/>
            </w:pPr>
            <w:r w:rsidRPr="00D46CE8">
              <w:t>Legal Assistant</w:t>
            </w:r>
            <w:r w:rsidR="00D77A1A">
              <w:fldChar w:fldCharType="begin"/>
            </w:r>
            <w:r w:rsidR="00D77A1A">
              <w:instrText xml:space="preserve"> NOTEREF _Ref224649120 \f \h </w:instrText>
            </w:r>
            <w:r w:rsidR="00D77A1A">
              <w:fldChar w:fldCharType="separate"/>
            </w:r>
            <w:r w:rsidRPr="00D77A1A" w:rsidR="00D77A1A">
              <w:rPr>
                <w:rStyle w:val="FootnoteReference"/>
              </w:rPr>
              <w:t>6</w:t>
            </w:r>
            <w:r w:rsidR="00D77A1A">
              <w:fldChar w:fldCharType="end"/>
            </w:r>
          </w:p>
        </w:tc>
        <w:tc>
          <w:tcPr>
            <w:tcW w:w="1748" w:type="dxa"/>
            <w:tcBorders>
              <w:top w:val="single" w:color="auto" w:sz="4" w:space="0"/>
              <w:left w:val="single" w:color="auto" w:sz="4" w:space="0"/>
              <w:bottom w:val="single" w:color="auto" w:sz="4" w:space="0"/>
              <w:right w:val="single" w:color="auto" w:sz="4" w:space="0"/>
            </w:tcBorders>
          </w:tcPr>
          <w:p w:rsidR="00F64C24" w:rsidP="00F64C24" w:rsidRDefault="00F64C24" w14:paraId="0DCD3533" w14:textId="26A2DC14">
            <w:pPr>
              <w:jc w:val="center"/>
            </w:pPr>
            <w:r>
              <w:t>$100</w:t>
            </w:r>
          </w:p>
        </w:tc>
        <w:tc>
          <w:tcPr>
            <w:tcW w:w="1725" w:type="dxa"/>
            <w:tcBorders>
              <w:top w:val="single" w:color="auto" w:sz="4" w:space="0"/>
              <w:left w:val="single" w:color="auto" w:sz="4" w:space="0"/>
              <w:bottom w:val="single" w:color="auto" w:sz="4" w:space="0"/>
              <w:right w:val="single" w:color="auto" w:sz="4" w:space="0"/>
            </w:tcBorders>
            <w:vAlign w:val="bottom"/>
          </w:tcPr>
          <w:p w:rsidR="00F64C24" w:rsidP="00F64C24" w:rsidRDefault="00F64C24" w14:paraId="147E8E4B" w14:textId="395CB3EB">
            <w:pPr>
              <w:jc w:val="center"/>
            </w:pPr>
            <w:r w:rsidRPr="00F64C24">
              <w:rPr>
                <w:color w:val="000000"/>
              </w:rPr>
              <w:t>2024</w:t>
            </w:r>
          </w:p>
        </w:tc>
        <w:tc>
          <w:tcPr>
            <w:tcW w:w="1634" w:type="dxa"/>
            <w:tcBorders>
              <w:top w:val="single" w:color="auto" w:sz="4" w:space="0"/>
              <w:left w:val="single" w:color="auto" w:sz="4" w:space="0"/>
              <w:bottom w:val="single" w:color="auto" w:sz="4" w:space="0"/>
              <w:right w:val="single" w:color="auto" w:sz="4" w:space="0"/>
            </w:tcBorders>
          </w:tcPr>
          <w:p w:rsidRPr="00B803D5" w:rsidR="00F64C24" w:rsidP="00F64C24" w:rsidRDefault="006A4F87" w14:paraId="56258B07" w14:textId="3D190458">
            <w:pPr>
              <w:jc w:val="center"/>
            </w:pPr>
            <w:r>
              <w:t>$100</w:t>
            </w:r>
          </w:p>
        </w:tc>
      </w:tr>
      <w:tr w:rsidRPr="00B803D5" w:rsidR="00F64C24" w:rsidTr="00D46CE8" w14:paraId="0D897057"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D46CE8" w:rsidR="00F64C24" w:rsidP="00F64C24" w:rsidRDefault="00F64C24" w14:paraId="072F8D6A" w14:textId="2D961A5A">
            <w:pPr>
              <w:jc w:val="center"/>
            </w:pPr>
            <w:r w:rsidRPr="00D46CE8">
              <w:t>Reina</w:t>
            </w:r>
          </w:p>
        </w:tc>
        <w:tc>
          <w:tcPr>
            <w:tcW w:w="1725" w:type="dxa"/>
            <w:tcBorders>
              <w:top w:val="single" w:color="auto" w:sz="4" w:space="0"/>
              <w:left w:val="single" w:color="auto" w:sz="4" w:space="0"/>
              <w:bottom w:val="single" w:color="auto" w:sz="4" w:space="0"/>
              <w:right w:val="single" w:color="auto" w:sz="4" w:space="0"/>
            </w:tcBorders>
          </w:tcPr>
          <w:p w:rsidRPr="00D46CE8" w:rsidR="00F64C24" w:rsidP="00F64C24" w:rsidRDefault="00F64C24" w14:paraId="4650C3BF" w14:textId="727DB713">
            <w:pPr>
              <w:jc w:val="center"/>
            </w:pPr>
            <w:r w:rsidRPr="00D46CE8">
              <w:t>Yanagiba</w:t>
            </w:r>
          </w:p>
        </w:tc>
        <w:tc>
          <w:tcPr>
            <w:tcW w:w="2088" w:type="dxa"/>
            <w:tcBorders>
              <w:top w:val="single" w:color="auto" w:sz="4" w:space="0"/>
              <w:left w:val="single" w:color="auto" w:sz="4" w:space="0"/>
              <w:bottom w:val="single" w:color="auto" w:sz="4" w:space="0"/>
              <w:right w:val="single" w:color="auto" w:sz="4" w:space="0"/>
            </w:tcBorders>
          </w:tcPr>
          <w:p w:rsidRPr="00D46CE8" w:rsidR="00F64C24" w:rsidP="00F64C24" w:rsidRDefault="00F64C24" w14:paraId="23723E9F" w14:textId="4ED22C82">
            <w:pPr>
              <w:jc w:val="center"/>
            </w:pPr>
            <w:r w:rsidRPr="00D46CE8">
              <w:t>Legal Assistant</w:t>
            </w:r>
            <w:r w:rsidR="0040787C">
              <w:rPr>
                <w:rStyle w:val="FootnoteReference"/>
              </w:rPr>
              <w:footnoteReference w:id="7"/>
            </w:r>
          </w:p>
        </w:tc>
        <w:tc>
          <w:tcPr>
            <w:tcW w:w="1748" w:type="dxa"/>
            <w:tcBorders>
              <w:top w:val="single" w:color="auto" w:sz="4" w:space="0"/>
              <w:left w:val="single" w:color="auto" w:sz="4" w:space="0"/>
              <w:bottom w:val="single" w:color="auto" w:sz="4" w:space="0"/>
              <w:right w:val="single" w:color="auto" w:sz="4" w:space="0"/>
            </w:tcBorders>
          </w:tcPr>
          <w:p w:rsidRPr="00B803D5" w:rsidR="00F64C24" w:rsidP="00F64C24" w:rsidRDefault="00F64C24" w14:paraId="70D91122" w14:textId="04C4C4FF">
            <w:pPr>
              <w:jc w:val="center"/>
            </w:pPr>
            <w:r>
              <w:t>$125</w:t>
            </w:r>
          </w:p>
        </w:tc>
        <w:tc>
          <w:tcPr>
            <w:tcW w:w="1725" w:type="dxa"/>
            <w:tcBorders>
              <w:top w:val="single" w:color="auto" w:sz="4" w:space="0"/>
              <w:left w:val="single" w:color="auto" w:sz="4" w:space="0"/>
              <w:bottom w:val="single" w:color="auto" w:sz="4" w:space="0"/>
              <w:right w:val="single" w:color="auto" w:sz="4" w:space="0"/>
            </w:tcBorders>
            <w:vAlign w:val="bottom"/>
          </w:tcPr>
          <w:p w:rsidRPr="00B803D5" w:rsidR="00F64C24" w:rsidP="00F64C24" w:rsidRDefault="00F64C24" w14:paraId="5273281B" w14:textId="2500A14A">
            <w:pPr>
              <w:jc w:val="center"/>
            </w:pPr>
            <w:r w:rsidRPr="00F64C24">
              <w:rPr>
                <w:color w:val="000000"/>
              </w:rPr>
              <w:t>2025</w:t>
            </w:r>
          </w:p>
        </w:tc>
        <w:tc>
          <w:tcPr>
            <w:tcW w:w="1634" w:type="dxa"/>
            <w:tcBorders>
              <w:top w:val="single" w:color="auto" w:sz="4" w:space="0"/>
              <w:left w:val="single" w:color="auto" w:sz="4" w:space="0"/>
              <w:bottom w:val="single" w:color="auto" w:sz="4" w:space="0"/>
              <w:right w:val="single" w:color="auto" w:sz="4" w:space="0"/>
            </w:tcBorders>
          </w:tcPr>
          <w:p w:rsidRPr="00B803D5" w:rsidR="00F64C24" w:rsidP="00F64C24" w:rsidRDefault="006A4F87" w14:paraId="26D67D16" w14:textId="3C0E2CBC">
            <w:pPr>
              <w:jc w:val="center"/>
            </w:pPr>
            <w:r>
              <w:t>$125</w:t>
            </w:r>
          </w:p>
        </w:tc>
      </w:tr>
    </w:tbl>
    <w:p w:rsidR="00ED55FC" w:rsidP="00AB2F28" w:rsidRDefault="00ED55FC" w14:paraId="0968E9DF" w14:textId="5AC71B9D">
      <w:pPr>
        <w:jc w:val="center"/>
      </w:pPr>
      <w:r w:rsidRPr="00B803D5">
        <w:rPr>
          <w:b/>
        </w:rPr>
        <w:t xml:space="preserve">(END OF </w:t>
      </w:r>
      <w:r w:rsidRPr="00B803D5">
        <w:rPr>
          <w:b/>
          <w:szCs w:val="26"/>
        </w:rPr>
        <w:t>APPENDIX</w:t>
      </w:r>
      <w:r w:rsidRPr="00B803D5">
        <w:rPr>
          <w:b/>
        </w:rPr>
        <w:t>)</w:t>
      </w:r>
    </w:p>
    <w:sectPr w:rsidR="00ED55FC" w:rsidSect="001B7EA5">
      <w:headerReference w:type="default" r:id="rId12"/>
      <w:footerReference w:type="default" r:id="rId13"/>
      <w:footerReference w:type="first" r:id="rId14"/>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EBBDE0" w16cex:dateUtc="2026-07-03T1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9CD08A" w16cid:durableId="5AEBBD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291B2" w14:textId="77777777" w:rsidR="00DA5278" w:rsidRDefault="00DA5278" w:rsidP="00625B30">
      <w:r>
        <w:separator/>
      </w:r>
    </w:p>
  </w:endnote>
  <w:endnote w:type="continuationSeparator" w:id="0">
    <w:p w14:paraId="6DADF305" w14:textId="77777777" w:rsidR="00DA5278" w:rsidRDefault="00DA5278" w:rsidP="00625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Palatino">
    <w:altName w:val="Palatino Linotype"/>
    <w:charset w:val="4D"/>
    <w:family w:val="auto"/>
    <w:pitch w:val="variable"/>
    <w:sig w:usb0="A00002FF" w:usb1="7800205A" w:usb2="14600000" w:usb3="00000000" w:csb0="00000193" w:csb1="00000000"/>
  </w:font>
  <w:font w:name="Book Antiqua">
    <w:panose1 w:val="02040602050305030304"/>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49329"/>
      <w:docPartObj>
        <w:docPartGallery w:val="Page Numbers (Bottom of Page)"/>
        <w:docPartUnique/>
      </w:docPartObj>
    </w:sdtPr>
    <w:sdtEndPr>
      <w:rPr>
        <w:noProof/>
      </w:rPr>
    </w:sdtEndPr>
    <w:sdtContent>
      <w:p w14:paraId="15B63E93" w14:textId="6C33727B" w:rsidR="001B7EA5" w:rsidRDefault="001B7EA5" w:rsidP="001B7EA5">
        <w:pPr>
          <w:pStyle w:val="Footer"/>
        </w:pPr>
        <w:r>
          <w:tab/>
          <w:t>-</w:t>
        </w:r>
        <w:r>
          <w:fldChar w:fldCharType="begin"/>
        </w:r>
        <w:r>
          <w:instrText xml:space="preserve"> PAGE   \* MERGEFORMAT </w:instrText>
        </w:r>
        <w:r>
          <w:fldChar w:fldCharType="separate"/>
        </w:r>
        <w:r>
          <w:t>- 1 -</w:t>
        </w:r>
        <w:r>
          <w:rPr>
            <w:noProof/>
          </w:rPr>
          <w:fldChar w:fldCharType="end"/>
        </w:r>
        <w:r>
          <w:rPr>
            <w:noProof/>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5591337"/>
      <w:docPartObj>
        <w:docPartGallery w:val="Page Numbers (Bottom of Page)"/>
        <w:docPartUnique/>
      </w:docPartObj>
    </w:sdtPr>
    <w:sdtEndPr>
      <w:rPr>
        <w:noProof/>
      </w:rPr>
    </w:sdtEndPr>
    <w:sdtContent>
      <w:p w14:paraId="08F9EEBC" w14:textId="70875836" w:rsidR="001B7EA5" w:rsidRDefault="00056866" w:rsidP="001B7EA5">
        <w:pPr>
          <w:pStyle w:val="Footer"/>
        </w:pPr>
        <w:r w:rsidRPr="00056866">
          <w:rPr>
            <w:rFonts w:ascii="Book Antiqua" w:hAnsi="Book Antiqua"/>
            <w:sz w:val="16"/>
            <w:szCs w:val="16"/>
          </w:rPr>
          <w:t>610105315</w:t>
        </w:r>
        <w:r w:rsidR="001B7EA5">
          <w:tab/>
          <w:t>-</w:t>
        </w:r>
        <w:r w:rsidR="001B7EA5">
          <w:fldChar w:fldCharType="begin"/>
        </w:r>
        <w:r w:rsidR="001B7EA5">
          <w:instrText xml:space="preserve"> PAGE   \* MERGEFORMAT </w:instrText>
        </w:r>
        <w:r w:rsidR="001B7EA5">
          <w:fldChar w:fldCharType="separate"/>
        </w:r>
        <w:r w:rsidR="001B7EA5">
          <w:t>- 1 -</w:t>
        </w:r>
        <w:r w:rsidR="001B7EA5">
          <w:rPr>
            <w:noProof/>
          </w:rPr>
          <w:fldChar w:fldCharType="end"/>
        </w:r>
        <w:r w:rsidR="001B7EA5">
          <w:rPr>
            <w:noProof/>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E5A4F" w14:textId="77777777" w:rsidR="00DA5278" w:rsidRDefault="00DA5278" w:rsidP="00625B30">
      <w:r>
        <w:separator/>
      </w:r>
    </w:p>
  </w:footnote>
  <w:footnote w:type="continuationSeparator" w:id="0">
    <w:p w14:paraId="7C4ADC97" w14:textId="77777777" w:rsidR="00DA5278" w:rsidRDefault="00DA5278" w:rsidP="00625B30">
      <w:r>
        <w:continuationSeparator/>
      </w:r>
    </w:p>
  </w:footnote>
  <w:footnote w:id="1">
    <w:p w14:paraId="7A6DE1D1" w14:textId="4C7B1A00" w:rsidR="00D77A1A" w:rsidRPr="003B408F" w:rsidRDefault="00D77A1A" w:rsidP="00D77A1A">
      <w:pPr>
        <w:pStyle w:val="FootnoteText"/>
        <w:rPr>
          <w:lang w:val="en-ZW"/>
        </w:rPr>
      </w:pPr>
      <w:r>
        <w:rPr>
          <w:rStyle w:val="FootnoteReference"/>
        </w:rPr>
        <w:footnoteRef/>
      </w:r>
      <w:r>
        <w:t xml:space="preserve"> </w:t>
      </w:r>
      <w:r w:rsidRPr="00C03782">
        <w:rPr>
          <w:szCs w:val="22"/>
        </w:rPr>
        <w:t xml:space="preserve">Application 23-01-008 </w:t>
      </w:r>
      <w:r>
        <w:rPr>
          <w:szCs w:val="22"/>
        </w:rPr>
        <w:t>was</w:t>
      </w:r>
      <w:r w:rsidRPr="00C03782">
        <w:rPr>
          <w:szCs w:val="22"/>
        </w:rPr>
        <w:t xml:space="preserve"> reassigned </w:t>
      </w:r>
      <w:r>
        <w:rPr>
          <w:szCs w:val="22"/>
        </w:rPr>
        <w:t xml:space="preserve">to President John Reynolds on May 27, 2026. </w:t>
      </w:r>
    </w:p>
  </w:footnote>
  <w:footnote w:id="2">
    <w:p w14:paraId="2E8EC1BB" w14:textId="12FE5ADE" w:rsidR="00D77A1A" w:rsidRPr="00D77A1A" w:rsidRDefault="00D77A1A">
      <w:pPr>
        <w:pStyle w:val="FootnoteText"/>
        <w:rPr>
          <w:lang w:val="en-ZW"/>
        </w:rPr>
      </w:pPr>
      <w:r>
        <w:rPr>
          <w:rStyle w:val="FootnoteReference"/>
        </w:rPr>
        <w:footnoteRef/>
      </w:r>
      <w:r>
        <w:t xml:space="preserve"> </w:t>
      </w:r>
      <w:r w:rsidRPr="00C03782">
        <w:rPr>
          <w:szCs w:val="22"/>
        </w:rPr>
        <w:t xml:space="preserve">Application 23-01-008 </w:t>
      </w:r>
      <w:r>
        <w:rPr>
          <w:szCs w:val="22"/>
        </w:rPr>
        <w:t>was</w:t>
      </w:r>
      <w:r w:rsidRPr="00C03782">
        <w:rPr>
          <w:szCs w:val="22"/>
        </w:rPr>
        <w:t xml:space="preserve"> reassigned</w:t>
      </w:r>
      <w:r>
        <w:rPr>
          <w:szCs w:val="22"/>
        </w:rPr>
        <w:t xml:space="preserve"> from</w:t>
      </w:r>
      <w:r w:rsidRPr="00C03782">
        <w:rPr>
          <w:szCs w:val="22"/>
        </w:rPr>
        <w:t xml:space="preserve"> Administrative Law Judge (ALJ) Rajan Mutialu to Administrative Law Judge (ALJ) Marcelo Poirier</w:t>
      </w:r>
      <w:r>
        <w:rPr>
          <w:szCs w:val="22"/>
        </w:rPr>
        <w:t xml:space="preserve"> on April 9, 2026.</w:t>
      </w:r>
    </w:p>
  </w:footnote>
  <w:footnote w:id="3">
    <w:p w14:paraId="345C0878" w14:textId="77777777" w:rsidR="00625B30" w:rsidRDefault="00625B30" w:rsidP="00625B30">
      <w:pPr>
        <w:pStyle w:val="FootnoteText"/>
      </w:pPr>
      <w:r>
        <w:rPr>
          <w:rStyle w:val="FootnoteReference"/>
          <w:rFonts w:eastAsiaTheme="majorEastAsia"/>
        </w:rPr>
        <w:footnoteRef/>
      </w:r>
      <w:r>
        <w:t xml:space="preserve"> All statutory references are to California Public Utilities Code unless indicated otherwise.</w:t>
      </w:r>
    </w:p>
  </w:footnote>
  <w:footnote w:id="4">
    <w:p w14:paraId="44EC95CB" w14:textId="21A2D8D2" w:rsidR="00625B30" w:rsidRPr="00DE3A5D" w:rsidRDefault="00625B30" w:rsidP="00625B30">
      <w:pPr>
        <w:pStyle w:val="FootnoteText"/>
      </w:pPr>
      <w:r w:rsidRPr="00DE3A5D">
        <w:rPr>
          <w:rStyle w:val="FootnoteReference"/>
          <w:rFonts w:eastAsiaTheme="majorEastAsia"/>
          <w:sz w:val="20"/>
        </w:rPr>
        <w:footnoteRef/>
      </w:r>
      <w:r w:rsidRPr="00DE3A5D">
        <w:t xml:space="preserve"> This information may be </w:t>
      </w:r>
      <w:r w:rsidRPr="00DE3A5D">
        <w:rPr>
          <w:color w:val="000000"/>
        </w:rPr>
        <w:t>obtain</w:t>
      </w:r>
      <w:r>
        <w:rPr>
          <w:color w:val="000000"/>
        </w:rPr>
        <w:t xml:space="preserve">ed through the State Bar of California’s website at </w:t>
      </w:r>
      <w:hyperlink r:id="rId1" w:history="1">
        <w:r w:rsidR="004D1F0C">
          <w:rPr>
            <w:rStyle w:val="Hyperlink"/>
          </w:rPr>
          <w:t>https://apps.calbar.ca.gov/attorney/LicenseeSearch/QuickSearch.</w:t>
        </w:r>
      </w:hyperlink>
    </w:p>
  </w:footnote>
  <w:footnote w:id="5">
    <w:p w14:paraId="68210DFB" w14:textId="2BADA341" w:rsidR="008D27EC" w:rsidRPr="008D27EC" w:rsidRDefault="008D27EC">
      <w:pPr>
        <w:pStyle w:val="FootnoteText"/>
        <w:rPr>
          <w:lang w:val="en-ZW"/>
        </w:rPr>
      </w:pPr>
      <w:r>
        <w:rPr>
          <w:rStyle w:val="FootnoteReference"/>
        </w:rPr>
        <w:footnoteRef/>
      </w:r>
      <w:r>
        <w:t xml:space="preserve"> </w:t>
      </w:r>
      <w:r>
        <w:rPr>
          <w:lang w:val="en-ZW"/>
        </w:rPr>
        <w:t>Attachments not included in the final Decision.</w:t>
      </w:r>
    </w:p>
  </w:footnote>
  <w:footnote w:id="6">
    <w:p w14:paraId="630E3B77" w14:textId="355AD398" w:rsidR="00E563D3" w:rsidRPr="00E563D3" w:rsidRDefault="00E563D3">
      <w:pPr>
        <w:pStyle w:val="FootnoteText"/>
        <w:rPr>
          <w:lang w:val="en-ZW"/>
        </w:rPr>
      </w:pPr>
      <w:r>
        <w:rPr>
          <w:rStyle w:val="FootnoteReference"/>
        </w:rPr>
        <w:footnoteRef/>
      </w:r>
      <w:r>
        <w:t xml:space="preserve"> </w:t>
      </w:r>
      <w:r>
        <w:rPr>
          <w:lang w:val="en-ZW"/>
        </w:rPr>
        <w:t xml:space="preserve">Yanagiba is classified as a Paralegal </w:t>
      </w:r>
      <w:r w:rsidR="00A55166">
        <w:rPr>
          <w:lang w:val="en-ZW"/>
        </w:rPr>
        <w:t>I.</w:t>
      </w:r>
    </w:p>
  </w:footnote>
  <w:footnote w:id="7">
    <w:p w14:paraId="700253E9" w14:textId="6FE500A2" w:rsidR="0040787C" w:rsidRPr="0040787C" w:rsidRDefault="0040787C">
      <w:pPr>
        <w:pStyle w:val="FootnoteText"/>
        <w:rPr>
          <w:lang w:val="en-ZW"/>
        </w:rPr>
      </w:pPr>
      <w:r>
        <w:rPr>
          <w:rStyle w:val="FootnoteReference"/>
        </w:rPr>
        <w:footnoteRef/>
      </w:r>
      <w:r>
        <w:t xml:space="preserve"> </w:t>
      </w:r>
      <w:r>
        <w:rPr>
          <w:lang w:val="en-ZW"/>
        </w:rPr>
        <w:t>Yanagiba is classified as a Paralegal 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7174" w14:textId="2307948A" w:rsidR="001B7EA5" w:rsidRPr="007161CD" w:rsidRDefault="001B7EA5" w:rsidP="001B7EA5">
    <w:pPr>
      <w:pStyle w:val="Header"/>
      <w:rPr>
        <w:rFonts w:ascii="Arial" w:hAnsi="Arial" w:cs="Arial"/>
        <w:b/>
        <w:bCs/>
      </w:rPr>
    </w:pPr>
    <w:r>
      <w:t>A.23-01-008  ALJ/MPO/vhj</w:t>
    </w:r>
    <w:r>
      <w:tab/>
    </w:r>
    <w:r>
      <w:tab/>
    </w:r>
  </w:p>
  <w:p w14:paraId="7E0F2CF2" w14:textId="77777777" w:rsidR="001B7EA5" w:rsidRDefault="001B7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395"/>
    <w:multiLevelType w:val="hybridMultilevel"/>
    <w:tmpl w:val="82AEE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2577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1A69C7"/>
    <w:multiLevelType w:val="hybridMultilevel"/>
    <w:tmpl w:val="463C0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6347E4"/>
    <w:multiLevelType w:val="hybridMultilevel"/>
    <w:tmpl w:val="E6807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311408"/>
    <w:multiLevelType w:val="hybridMultilevel"/>
    <w:tmpl w:val="0652D32E"/>
    <w:lvl w:ilvl="0" w:tplc="63B8243A">
      <w:start w:val="1"/>
      <w:numFmt w:val="upp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C0F2C"/>
    <w:multiLevelType w:val="hybridMultilevel"/>
    <w:tmpl w:val="C0840C14"/>
    <w:lvl w:ilvl="0" w:tplc="7A269208">
      <w:start w:val="2023"/>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5178FA"/>
    <w:multiLevelType w:val="hybridMultilevel"/>
    <w:tmpl w:val="D8EEB7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52F0203"/>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C9546B"/>
    <w:multiLevelType w:val="hybridMultilevel"/>
    <w:tmpl w:val="CC60F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E45749"/>
    <w:multiLevelType w:val="hybridMultilevel"/>
    <w:tmpl w:val="A4328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2E60CD"/>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A153B6"/>
    <w:multiLevelType w:val="hybridMultilevel"/>
    <w:tmpl w:val="46102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384C34"/>
    <w:multiLevelType w:val="hybridMultilevel"/>
    <w:tmpl w:val="95CE8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9104FC"/>
    <w:multiLevelType w:val="hybridMultilevel"/>
    <w:tmpl w:val="AF42F70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568F6BF7"/>
    <w:multiLevelType w:val="hybridMultilevel"/>
    <w:tmpl w:val="59D24288"/>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2602FE"/>
    <w:multiLevelType w:val="hybridMultilevel"/>
    <w:tmpl w:val="83606A44"/>
    <w:lvl w:ilvl="0" w:tplc="4E7EBE5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AE3EFB"/>
    <w:multiLevelType w:val="hybridMultilevel"/>
    <w:tmpl w:val="DBF60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072B8B"/>
    <w:multiLevelType w:val="hybridMultilevel"/>
    <w:tmpl w:val="50680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FA1BC5"/>
    <w:multiLevelType w:val="hybridMultilevel"/>
    <w:tmpl w:val="6F769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235692"/>
    <w:multiLevelType w:val="hybridMultilevel"/>
    <w:tmpl w:val="C568ABA8"/>
    <w:lvl w:ilvl="0" w:tplc="FFFFFFFF">
      <w:start w:val="1"/>
      <w:numFmt w:val="upperLetter"/>
      <w:lvlText w:val="%1."/>
      <w:lvlJc w:val="left"/>
      <w:pPr>
        <w:ind w:left="720" w:hanging="360"/>
      </w:pPr>
      <w:rPr>
        <w:rFonts w:hint="default"/>
        <w:b/>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753109"/>
    <w:multiLevelType w:val="hybridMultilevel"/>
    <w:tmpl w:val="EC44B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8179A5"/>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17093550">
    <w:abstractNumId w:val="10"/>
  </w:num>
  <w:num w:numId="2" w16cid:durableId="842936081">
    <w:abstractNumId w:val="14"/>
  </w:num>
  <w:num w:numId="3" w16cid:durableId="1166047990">
    <w:abstractNumId w:val="0"/>
  </w:num>
  <w:num w:numId="4" w16cid:durableId="1920090715">
    <w:abstractNumId w:val="16"/>
  </w:num>
  <w:num w:numId="5" w16cid:durableId="584609159">
    <w:abstractNumId w:val="4"/>
  </w:num>
  <w:num w:numId="6" w16cid:durableId="1685205339">
    <w:abstractNumId w:val="1"/>
  </w:num>
  <w:num w:numId="7" w16cid:durableId="1858957422">
    <w:abstractNumId w:val="19"/>
  </w:num>
  <w:num w:numId="8" w16cid:durableId="2098595014">
    <w:abstractNumId w:val="21"/>
  </w:num>
  <w:num w:numId="9" w16cid:durableId="1312905431">
    <w:abstractNumId w:val="13"/>
  </w:num>
  <w:num w:numId="10" w16cid:durableId="789317941">
    <w:abstractNumId w:val="7"/>
  </w:num>
  <w:num w:numId="11" w16cid:durableId="1544946391">
    <w:abstractNumId w:val="20"/>
  </w:num>
  <w:num w:numId="12" w16cid:durableId="1434474485">
    <w:abstractNumId w:val="6"/>
  </w:num>
  <w:num w:numId="13" w16cid:durableId="519130479">
    <w:abstractNumId w:val="18"/>
  </w:num>
  <w:num w:numId="14" w16cid:durableId="1706900872">
    <w:abstractNumId w:val="8"/>
  </w:num>
  <w:num w:numId="15" w16cid:durableId="574514940">
    <w:abstractNumId w:val="3"/>
  </w:num>
  <w:num w:numId="16" w16cid:durableId="1532835148">
    <w:abstractNumId w:val="12"/>
  </w:num>
  <w:num w:numId="17" w16cid:durableId="363866695">
    <w:abstractNumId w:val="2"/>
  </w:num>
  <w:num w:numId="18" w16cid:durableId="1801682504">
    <w:abstractNumId w:val="17"/>
  </w:num>
  <w:num w:numId="19" w16cid:durableId="1858814244">
    <w:abstractNumId w:val="11"/>
  </w:num>
  <w:num w:numId="20" w16cid:durableId="1210411990">
    <w:abstractNumId w:val="9"/>
  </w:num>
  <w:num w:numId="21" w16cid:durableId="1830362792">
    <w:abstractNumId w:val="5"/>
  </w:num>
  <w:num w:numId="22" w16cid:durableId="10835740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B30"/>
    <w:rsid w:val="00002EFC"/>
    <w:rsid w:val="00007F42"/>
    <w:rsid w:val="00014E70"/>
    <w:rsid w:val="00016D30"/>
    <w:rsid w:val="00040516"/>
    <w:rsid w:val="000420A4"/>
    <w:rsid w:val="00042267"/>
    <w:rsid w:val="00044826"/>
    <w:rsid w:val="00056866"/>
    <w:rsid w:val="00063B65"/>
    <w:rsid w:val="00065864"/>
    <w:rsid w:val="00071DE9"/>
    <w:rsid w:val="00076376"/>
    <w:rsid w:val="00081441"/>
    <w:rsid w:val="000831B9"/>
    <w:rsid w:val="00087B46"/>
    <w:rsid w:val="000A00B8"/>
    <w:rsid w:val="000A7E81"/>
    <w:rsid w:val="000C09B1"/>
    <w:rsid w:val="000C283E"/>
    <w:rsid w:val="000C467F"/>
    <w:rsid w:val="000C472D"/>
    <w:rsid w:val="000C5C66"/>
    <w:rsid w:val="000C6BC7"/>
    <w:rsid w:val="000C72E6"/>
    <w:rsid w:val="000D036D"/>
    <w:rsid w:val="000D06F5"/>
    <w:rsid w:val="000D2788"/>
    <w:rsid w:val="000D7CEC"/>
    <w:rsid w:val="000D7F88"/>
    <w:rsid w:val="000E1CEA"/>
    <w:rsid w:val="000E3ADE"/>
    <w:rsid w:val="000E4915"/>
    <w:rsid w:val="000E59DC"/>
    <w:rsid w:val="000E607C"/>
    <w:rsid w:val="000F10ED"/>
    <w:rsid w:val="001002B1"/>
    <w:rsid w:val="0010659E"/>
    <w:rsid w:val="0011189B"/>
    <w:rsid w:val="001135A6"/>
    <w:rsid w:val="00116554"/>
    <w:rsid w:val="00121A9B"/>
    <w:rsid w:val="001226E7"/>
    <w:rsid w:val="00125C99"/>
    <w:rsid w:val="00125E6E"/>
    <w:rsid w:val="00135350"/>
    <w:rsid w:val="00136EF7"/>
    <w:rsid w:val="00137BA5"/>
    <w:rsid w:val="0015032A"/>
    <w:rsid w:val="00151352"/>
    <w:rsid w:val="00155235"/>
    <w:rsid w:val="00173281"/>
    <w:rsid w:val="00177E6B"/>
    <w:rsid w:val="001808C4"/>
    <w:rsid w:val="0018620B"/>
    <w:rsid w:val="001A1F04"/>
    <w:rsid w:val="001A27B7"/>
    <w:rsid w:val="001A39BD"/>
    <w:rsid w:val="001B03DC"/>
    <w:rsid w:val="001B4706"/>
    <w:rsid w:val="001B6A9B"/>
    <w:rsid w:val="001B7EA5"/>
    <w:rsid w:val="001C1A00"/>
    <w:rsid w:val="001D19CD"/>
    <w:rsid w:val="001D366B"/>
    <w:rsid w:val="001E2957"/>
    <w:rsid w:val="001E4818"/>
    <w:rsid w:val="001E4A9D"/>
    <w:rsid w:val="001E4B67"/>
    <w:rsid w:val="001E639F"/>
    <w:rsid w:val="001E75BC"/>
    <w:rsid w:val="001E7C78"/>
    <w:rsid w:val="001F466F"/>
    <w:rsid w:val="001F67FF"/>
    <w:rsid w:val="00204AAD"/>
    <w:rsid w:val="002124C1"/>
    <w:rsid w:val="00213F70"/>
    <w:rsid w:val="00241356"/>
    <w:rsid w:val="0026286D"/>
    <w:rsid w:val="00263356"/>
    <w:rsid w:val="00265471"/>
    <w:rsid w:val="00265C49"/>
    <w:rsid w:val="0027207D"/>
    <w:rsid w:val="00274E53"/>
    <w:rsid w:val="00281869"/>
    <w:rsid w:val="002850F2"/>
    <w:rsid w:val="002A0B72"/>
    <w:rsid w:val="002A21C5"/>
    <w:rsid w:val="002A2F43"/>
    <w:rsid w:val="002A3B53"/>
    <w:rsid w:val="002A5134"/>
    <w:rsid w:val="002B3AC3"/>
    <w:rsid w:val="002C1111"/>
    <w:rsid w:val="002C1863"/>
    <w:rsid w:val="002C39E3"/>
    <w:rsid w:val="002C7087"/>
    <w:rsid w:val="002D0643"/>
    <w:rsid w:val="002D26AA"/>
    <w:rsid w:val="002D3724"/>
    <w:rsid w:val="002E19C8"/>
    <w:rsid w:val="002F4A7C"/>
    <w:rsid w:val="003057E2"/>
    <w:rsid w:val="0031051D"/>
    <w:rsid w:val="00312570"/>
    <w:rsid w:val="00312BD3"/>
    <w:rsid w:val="00313327"/>
    <w:rsid w:val="00316658"/>
    <w:rsid w:val="00320D40"/>
    <w:rsid w:val="00332F38"/>
    <w:rsid w:val="003353D1"/>
    <w:rsid w:val="00336649"/>
    <w:rsid w:val="003401A4"/>
    <w:rsid w:val="00344543"/>
    <w:rsid w:val="00345885"/>
    <w:rsid w:val="00354F05"/>
    <w:rsid w:val="00364971"/>
    <w:rsid w:val="00365F49"/>
    <w:rsid w:val="00373BE1"/>
    <w:rsid w:val="003740BE"/>
    <w:rsid w:val="003764EC"/>
    <w:rsid w:val="00381161"/>
    <w:rsid w:val="00386474"/>
    <w:rsid w:val="00390153"/>
    <w:rsid w:val="003912DD"/>
    <w:rsid w:val="00392FEB"/>
    <w:rsid w:val="00394044"/>
    <w:rsid w:val="003B408F"/>
    <w:rsid w:val="003B4116"/>
    <w:rsid w:val="003C11B1"/>
    <w:rsid w:val="003D021F"/>
    <w:rsid w:val="003D69F8"/>
    <w:rsid w:val="003E2B08"/>
    <w:rsid w:val="003E5DEE"/>
    <w:rsid w:val="003F1940"/>
    <w:rsid w:val="003F7876"/>
    <w:rsid w:val="004026D9"/>
    <w:rsid w:val="00404668"/>
    <w:rsid w:val="00405634"/>
    <w:rsid w:val="0040787C"/>
    <w:rsid w:val="00410401"/>
    <w:rsid w:val="004109D8"/>
    <w:rsid w:val="00423845"/>
    <w:rsid w:val="004258ED"/>
    <w:rsid w:val="004305AB"/>
    <w:rsid w:val="00430A89"/>
    <w:rsid w:val="00433F32"/>
    <w:rsid w:val="00435F50"/>
    <w:rsid w:val="004447AD"/>
    <w:rsid w:val="00445A09"/>
    <w:rsid w:val="00454924"/>
    <w:rsid w:val="0045781A"/>
    <w:rsid w:val="00461905"/>
    <w:rsid w:val="00467576"/>
    <w:rsid w:val="004851BD"/>
    <w:rsid w:val="00486833"/>
    <w:rsid w:val="004911FF"/>
    <w:rsid w:val="004967D5"/>
    <w:rsid w:val="004A42D8"/>
    <w:rsid w:val="004B3C65"/>
    <w:rsid w:val="004B5A19"/>
    <w:rsid w:val="004C5FC4"/>
    <w:rsid w:val="004C77FF"/>
    <w:rsid w:val="004D06A6"/>
    <w:rsid w:val="004D11CF"/>
    <w:rsid w:val="004D1F0C"/>
    <w:rsid w:val="004D2A54"/>
    <w:rsid w:val="004D73E9"/>
    <w:rsid w:val="004E23B8"/>
    <w:rsid w:val="004E3CB2"/>
    <w:rsid w:val="004E7011"/>
    <w:rsid w:val="004F4C2A"/>
    <w:rsid w:val="004F64A7"/>
    <w:rsid w:val="00500E34"/>
    <w:rsid w:val="00507362"/>
    <w:rsid w:val="0051091D"/>
    <w:rsid w:val="005110BF"/>
    <w:rsid w:val="00514E35"/>
    <w:rsid w:val="005150E7"/>
    <w:rsid w:val="00520AAE"/>
    <w:rsid w:val="00522A27"/>
    <w:rsid w:val="00523026"/>
    <w:rsid w:val="005231B0"/>
    <w:rsid w:val="00523B63"/>
    <w:rsid w:val="00524030"/>
    <w:rsid w:val="0052669D"/>
    <w:rsid w:val="00527BCE"/>
    <w:rsid w:val="0053712E"/>
    <w:rsid w:val="00545648"/>
    <w:rsid w:val="00545E3F"/>
    <w:rsid w:val="00556653"/>
    <w:rsid w:val="00557C6C"/>
    <w:rsid w:val="005660A6"/>
    <w:rsid w:val="00577B0C"/>
    <w:rsid w:val="005802C0"/>
    <w:rsid w:val="00583D04"/>
    <w:rsid w:val="005871CB"/>
    <w:rsid w:val="00590F82"/>
    <w:rsid w:val="00597C55"/>
    <w:rsid w:val="005A1975"/>
    <w:rsid w:val="005A4081"/>
    <w:rsid w:val="005A647B"/>
    <w:rsid w:val="005B399C"/>
    <w:rsid w:val="005B490C"/>
    <w:rsid w:val="005C2051"/>
    <w:rsid w:val="005C763F"/>
    <w:rsid w:val="005D0973"/>
    <w:rsid w:val="005D569D"/>
    <w:rsid w:val="005E269B"/>
    <w:rsid w:val="005E26EC"/>
    <w:rsid w:val="005F093E"/>
    <w:rsid w:val="005F31E5"/>
    <w:rsid w:val="005F42E0"/>
    <w:rsid w:val="005F472B"/>
    <w:rsid w:val="00602D70"/>
    <w:rsid w:val="006037FF"/>
    <w:rsid w:val="00605DAA"/>
    <w:rsid w:val="00611579"/>
    <w:rsid w:val="00616C53"/>
    <w:rsid w:val="006203EE"/>
    <w:rsid w:val="00620C66"/>
    <w:rsid w:val="00625B30"/>
    <w:rsid w:val="00625CB5"/>
    <w:rsid w:val="00636533"/>
    <w:rsid w:val="00645782"/>
    <w:rsid w:val="00646E16"/>
    <w:rsid w:val="00650B97"/>
    <w:rsid w:val="00650D6E"/>
    <w:rsid w:val="00656FFE"/>
    <w:rsid w:val="0066071B"/>
    <w:rsid w:val="006633A0"/>
    <w:rsid w:val="00673D35"/>
    <w:rsid w:val="00680A79"/>
    <w:rsid w:val="00681CEF"/>
    <w:rsid w:val="006826A1"/>
    <w:rsid w:val="006A30A2"/>
    <w:rsid w:val="006A4F87"/>
    <w:rsid w:val="006B3047"/>
    <w:rsid w:val="006C2E11"/>
    <w:rsid w:val="006C4D08"/>
    <w:rsid w:val="006D1F02"/>
    <w:rsid w:val="006E4198"/>
    <w:rsid w:val="006F1939"/>
    <w:rsid w:val="006F2D0B"/>
    <w:rsid w:val="006F450B"/>
    <w:rsid w:val="006F5D5D"/>
    <w:rsid w:val="00705AB0"/>
    <w:rsid w:val="00706775"/>
    <w:rsid w:val="007069AE"/>
    <w:rsid w:val="00711DFE"/>
    <w:rsid w:val="00717AFE"/>
    <w:rsid w:val="00725F0A"/>
    <w:rsid w:val="00736B94"/>
    <w:rsid w:val="00743B84"/>
    <w:rsid w:val="00744F08"/>
    <w:rsid w:val="00751A06"/>
    <w:rsid w:val="00755010"/>
    <w:rsid w:val="00760202"/>
    <w:rsid w:val="00760475"/>
    <w:rsid w:val="007613E3"/>
    <w:rsid w:val="00767319"/>
    <w:rsid w:val="00772858"/>
    <w:rsid w:val="0077730D"/>
    <w:rsid w:val="00784991"/>
    <w:rsid w:val="007855A6"/>
    <w:rsid w:val="0078739E"/>
    <w:rsid w:val="007B4D2D"/>
    <w:rsid w:val="007C0579"/>
    <w:rsid w:val="007C60DD"/>
    <w:rsid w:val="007D4270"/>
    <w:rsid w:val="007E15A7"/>
    <w:rsid w:val="007E1A2F"/>
    <w:rsid w:val="007E293F"/>
    <w:rsid w:val="007F21E0"/>
    <w:rsid w:val="007F26BF"/>
    <w:rsid w:val="007F2A45"/>
    <w:rsid w:val="0080017F"/>
    <w:rsid w:val="008140FA"/>
    <w:rsid w:val="008175CD"/>
    <w:rsid w:val="00817C50"/>
    <w:rsid w:val="00821781"/>
    <w:rsid w:val="00824278"/>
    <w:rsid w:val="00824ABF"/>
    <w:rsid w:val="008315B5"/>
    <w:rsid w:val="00835542"/>
    <w:rsid w:val="00841C28"/>
    <w:rsid w:val="008539F7"/>
    <w:rsid w:val="008574F1"/>
    <w:rsid w:val="00866888"/>
    <w:rsid w:val="00867227"/>
    <w:rsid w:val="00876F36"/>
    <w:rsid w:val="00877166"/>
    <w:rsid w:val="008A19C8"/>
    <w:rsid w:val="008B0D22"/>
    <w:rsid w:val="008B73D6"/>
    <w:rsid w:val="008C3E1C"/>
    <w:rsid w:val="008C404B"/>
    <w:rsid w:val="008C4673"/>
    <w:rsid w:val="008C688D"/>
    <w:rsid w:val="008D27EC"/>
    <w:rsid w:val="008D3741"/>
    <w:rsid w:val="008D57CD"/>
    <w:rsid w:val="008F7111"/>
    <w:rsid w:val="009007DF"/>
    <w:rsid w:val="009030AE"/>
    <w:rsid w:val="0090492E"/>
    <w:rsid w:val="00915399"/>
    <w:rsid w:val="00922AB3"/>
    <w:rsid w:val="00924A1A"/>
    <w:rsid w:val="00925809"/>
    <w:rsid w:val="00926646"/>
    <w:rsid w:val="00927623"/>
    <w:rsid w:val="00935348"/>
    <w:rsid w:val="00941AD8"/>
    <w:rsid w:val="0094310E"/>
    <w:rsid w:val="00944A6C"/>
    <w:rsid w:val="009552CA"/>
    <w:rsid w:val="00965D26"/>
    <w:rsid w:val="00970FDD"/>
    <w:rsid w:val="00981856"/>
    <w:rsid w:val="00985D6C"/>
    <w:rsid w:val="00992B82"/>
    <w:rsid w:val="009A0DF6"/>
    <w:rsid w:val="009A211D"/>
    <w:rsid w:val="009A22EE"/>
    <w:rsid w:val="009A396B"/>
    <w:rsid w:val="009B7A68"/>
    <w:rsid w:val="009C38C7"/>
    <w:rsid w:val="009C65CA"/>
    <w:rsid w:val="009C76CB"/>
    <w:rsid w:val="009D1054"/>
    <w:rsid w:val="009D55EA"/>
    <w:rsid w:val="009E1C29"/>
    <w:rsid w:val="009E2B3C"/>
    <w:rsid w:val="009E401B"/>
    <w:rsid w:val="009E52D8"/>
    <w:rsid w:val="009E671B"/>
    <w:rsid w:val="009F7665"/>
    <w:rsid w:val="009F785C"/>
    <w:rsid w:val="00A00D30"/>
    <w:rsid w:val="00A04589"/>
    <w:rsid w:val="00A05653"/>
    <w:rsid w:val="00A07D63"/>
    <w:rsid w:val="00A13F66"/>
    <w:rsid w:val="00A144C4"/>
    <w:rsid w:val="00A20349"/>
    <w:rsid w:val="00A333D5"/>
    <w:rsid w:val="00A439CE"/>
    <w:rsid w:val="00A4510C"/>
    <w:rsid w:val="00A45ACC"/>
    <w:rsid w:val="00A47EB7"/>
    <w:rsid w:val="00A54C07"/>
    <w:rsid w:val="00A55166"/>
    <w:rsid w:val="00A60E06"/>
    <w:rsid w:val="00A63AC2"/>
    <w:rsid w:val="00A72B83"/>
    <w:rsid w:val="00A73CD3"/>
    <w:rsid w:val="00A8374C"/>
    <w:rsid w:val="00A90CE6"/>
    <w:rsid w:val="00A96E52"/>
    <w:rsid w:val="00AB2F28"/>
    <w:rsid w:val="00AB472A"/>
    <w:rsid w:val="00AB524F"/>
    <w:rsid w:val="00AC1367"/>
    <w:rsid w:val="00AD2218"/>
    <w:rsid w:val="00AD41DD"/>
    <w:rsid w:val="00AD47BE"/>
    <w:rsid w:val="00AD69D9"/>
    <w:rsid w:val="00AE1A1D"/>
    <w:rsid w:val="00AE3E48"/>
    <w:rsid w:val="00AE443B"/>
    <w:rsid w:val="00AE50B1"/>
    <w:rsid w:val="00AE5B98"/>
    <w:rsid w:val="00AE7DF0"/>
    <w:rsid w:val="00AF1C63"/>
    <w:rsid w:val="00AF1E5F"/>
    <w:rsid w:val="00AF57F6"/>
    <w:rsid w:val="00AF6320"/>
    <w:rsid w:val="00AF73DE"/>
    <w:rsid w:val="00AF77F6"/>
    <w:rsid w:val="00B0380F"/>
    <w:rsid w:val="00B0396B"/>
    <w:rsid w:val="00B05ABD"/>
    <w:rsid w:val="00B05C78"/>
    <w:rsid w:val="00B255EC"/>
    <w:rsid w:val="00B26D33"/>
    <w:rsid w:val="00B27DB6"/>
    <w:rsid w:val="00B44F58"/>
    <w:rsid w:val="00B514AB"/>
    <w:rsid w:val="00B61873"/>
    <w:rsid w:val="00B62A80"/>
    <w:rsid w:val="00B67DB9"/>
    <w:rsid w:val="00B72070"/>
    <w:rsid w:val="00B72A26"/>
    <w:rsid w:val="00B73798"/>
    <w:rsid w:val="00B80603"/>
    <w:rsid w:val="00B80E2F"/>
    <w:rsid w:val="00B828DC"/>
    <w:rsid w:val="00B871A4"/>
    <w:rsid w:val="00B915C2"/>
    <w:rsid w:val="00B91C94"/>
    <w:rsid w:val="00B970C9"/>
    <w:rsid w:val="00BA49B5"/>
    <w:rsid w:val="00BA658E"/>
    <w:rsid w:val="00BA68D5"/>
    <w:rsid w:val="00BA70F3"/>
    <w:rsid w:val="00BB22CD"/>
    <w:rsid w:val="00BB3AA0"/>
    <w:rsid w:val="00BB6EA1"/>
    <w:rsid w:val="00BC18A8"/>
    <w:rsid w:val="00BC1BB2"/>
    <w:rsid w:val="00BC382F"/>
    <w:rsid w:val="00BC3C11"/>
    <w:rsid w:val="00BC6D8A"/>
    <w:rsid w:val="00BD0330"/>
    <w:rsid w:val="00BD52C9"/>
    <w:rsid w:val="00BD7AE8"/>
    <w:rsid w:val="00BE764E"/>
    <w:rsid w:val="00BF6C03"/>
    <w:rsid w:val="00C03782"/>
    <w:rsid w:val="00C04011"/>
    <w:rsid w:val="00C0790A"/>
    <w:rsid w:val="00C13A34"/>
    <w:rsid w:val="00C14C70"/>
    <w:rsid w:val="00C15FBB"/>
    <w:rsid w:val="00C16173"/>
    <w:rsid w:val="00C335BE"/>
    <w:rsid w:val="00C33F05"/>
    <w:rsid w:val="00C4164D"/>
    <w:rsid w:val="00C4246B"/>
    <w:rsid w:val="00C44414"/>
    <w:rsid w:val="00C458FC"/>
    <w:rsid w:val="00C71BA5"/>
    <w:rsid w:val="00C776FA"/>
    <w:rsid w:val="00C86F48"/>
    <w:rsid w:val="00C94F44"/>
    <w:rsid w:val="00C963DA"/>
    <w:rsid w:val="00CA0330"/>
    <w:rsid w:val="00CA27C9"/>
    <w:rsid w:val="00CA7C16"/>
    <w:rsid w:val="00CB79DF"/>
    <w:rsid w:val="00CC27B2"/>
    <w:rsid w:val="00CC5B04"/>
    <w:rsid w:val="00CD12CE"/>
    <w:rsid w:val="00CD2E77"/>
    <w:rsid w:val="00CD2EEE"/>
    <w:rsid w:val="00CE2CB0"/>
    <w:rsid w:val="00CE4CDE"/>
    <w:rsid w:val="00CE539B"/>
    <w:rsid w:val="00CF112D"/>
    <w:rsid w:val="00CF7C11"/>
    <w:rsid w:val="00D0572C"/>
    <w:rsid w:val="00D07451"/>
    <w:rsid w:val="00D203D9"/>
    <w:rsid w:val="00D30178"/>
    <w:rsid w:val="00D320FC"/>
    <w:rsid w:val="00D33A9B"/>
    <w:rsid w:val="00D37634"/>
    <w:rsid w:val="00D37CD6"/>
    <w:rsid w:val="00D40A57"/>
    <w:rsid w:val="00D46CE8"/>
    <w:rsid w:val="00D47A33"/>
    <w:rsid w:val="00D643AF"/>
    <w:rsid w:val="00D72920"/>
    <w:rsid w:val="00D72931"/>
    <w:rsid w:val="00D751C0"/>
    <w:rsid w:val="00D77A1A"/>
    <w:rsid w:val="00D81EF5"/>
    <w:rsid w:val="00D92FE0"/>
    <w:rsid w:val="00D93AFD"/>
    <w:rsid w:val="00D94728"/>
    <w:rsid w:val="00D94CE8"/>
    <w:rsid w:val="00D970D8"/>
    <w:rsid w:val="00DA0D22"/>
    <w:rsid w:val="00DA1062"/>
    <w:rsid w:val="00DA3187"/>
    <w:rsid w:val="00DA5278"/>
    <w:rsid w:val="00DB2BDF"/>
    <w:rsid w:val="00DB7693"/>
    <w:rsid w:val="00DC0343"/>
    <w:rsid w:val="00DC0497"/>
    <w:rsid w:val="00DC2F8D"/>
    <w:rsid w:val="00DD3CFB"/>
    <w:rsid w:val="00DD43D1"/>
    <w:rsid w:val="00DD7146"/>
    <w:rsid w:val="00DE01B6"/>
    <w:rsid w:val="00DE5507"/>
    <w:rsid w:val="00DF074E"/>
    <w:rsid w:val="00E07763"/>
    <w:rsid w:val="00E11C67"/>
    <w:rsid w:val="00E12638"/>
    <w:rsid w:val="00E155B6"/>
    <w:rsid w:val="00E20B45"/>
    <w:rsid w:val="00E232D8"/>
    <w:rsid w:val="00E24D5E"/>
    <w:rsid w:val="00E33E95"/>
    <w:rsid w:val="00E35630"/>
    <w:rsid w:val="00E35756"/>
    <w:rsid w:val="00E42E7B"/>
    <w:rsid w:val="00E50E44"/>
    <w:rsid w:val="00E50FF7"/>
    <w:rsid w:val="00E563D3"/>
    <w:rsid w:val="00E56E18"/>
    <w:rsid w:val="00E62F87"/>
    <w:rsid w:val="00E64353"/>
    <w:rsid w:val="00E65543"/>
    <w:rsid w:val="00E70486"/>
    <w:rsid w:val="00E72AA9"/>
    <w:rsid w:val="00E8138A"/>
    <w:rsid w:val="00E85C57"/>
    <w:rsid w:val="00E8653E"/>
    <w:rsid w:val="00E93590"/>
    <w:rsid w:val="00EA0046"/>
    <w:rsid w:val="00EA146E"/>
    <w:rsid w:val="00EA1B05"/>
    <w:rsid w:val="00EA3B80"/>
    <w:rsid w:val="00EA51EB"/>
    <w:rsid w:val="00EB40B1"/>
    <w:rsid w:val="00EC18CA"/>
    <w:rsid w:val="00EC3A0E"/>
    <w:rsid w:val="00EC55F3"/>
    <w:rsid w:val="00EC577B"/>
    <w:rsid w:val="00EC79F7"/>
    <w:rsid w:val="00EC7E39"/>
    <w:rsid w:val="00ED0681"/>
    <w:rsid w:val="00ED1485"/>
    <w:rsid w:val="00ED55FC"/>
    <w:rsid w:val="00ED7F43"/>
    <w:rsid w:val="00EF0405"/>
    <w:rsid w:val="00EF17C7"/>
    <w:rsid w:val="00EF69DC"/>
    <w:rsid w:val="00F0170B"/>
    <w:rsid w:val="00F01E4E"/>
    <w:rsid w:val="00F11C44"/>
    <w:rsid w:val="00F139A7"/>
    <w:rsid w:val="00F148AA"/>
    <w:rsid w:val="00F151D4"/>
    <w:rsid w:val="00F165DD"/>
    <w:rsid w:val="00F23FC9"/>
    <w:rsid w:val="00F25DB3"/>
    <w:rsid w:val="00F322F8"/>
    <w:rsid w:val="00F402F3"/>
    <w:rsid w:val="00F434C5"/>
    <w:rsid w:val="00F52598"/>
    <w:rsid w:val="00F64C24"/>
    <w:rsid w:val="00F676E0"/>
    <w:rsid w:val="00F67D46"/>
    <w:rsid w:val="00F76F08"/>
    <w:rsid w:val="00F85A96"/>
    <w:rsid w:val="00F909C9"/>
    <w:rsid w:val="00F96DC2"/>
    <w:rsid w:val="00FA5F6E"/>
    <w:rsid w:val="00FB273A"/>
    <w:rsid w:val="00FB5810"/>
    <w:rsid w:val="00FC5753"/>
    <w:rsid w:val="00FC7723"/>
    <w:rsid w:val="00FD59FC"/>
    <w:rsid w:val="00FE673A"/>
    <w:rsid w:val="00FF07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24844"/>
  <w15:chartTrackingRefBased/>
  <w15:docId w15:val="{EDA106E2-5EE6-4BB9-AE12-B5F161BF7BD2}"/>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6BF"/>
    <w:rPr>
      <w:rFonts w:ascii="Times New Roman" w:eastAsia="Times New Roman" w:hAnsi="Times New Roman" w:cs="Times New Roman"/>
      <w:kern w:val="0"/>
      <w:lang w:eastAsia="ja-JP"/>
      <w14:ligatures w14:val="none"/>
    </w:rPr>
  </w:style>
  <w:style w:type="paragraph" w:styleId="Heading1">
    <w:name w:val="heading 1"/>
    <w:basedOn w:val="Normal"/>
    <w:next w:val="Normal"/>
    <w:link w:val="Heading1Char"/>
    <w:uiPriority w:val="9"/>
    <w:qFormat/>
    <w:rsid w:val="00625B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5B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5B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5B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5B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5B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B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B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B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B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5B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5B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5B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5B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5B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B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B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B30"/>
    <w:rPr>
      <w:rFonts w:eastAsiaTheme="majorEastAsia" w:cstheme="majorBidi"/>
      <w:color w:val="272727" w:themeColor="text1" w:themeTint="D8"/>
    </w:rPr>
  </w:style>
  <w:style w:type="paragraph" w:styleId="Title">
    <w:name w:val="Title"/>
    <w:basedOn w:val="Normal"/>
    <w:next w:val="Normal"/>
    <w:link w:val="TitleChar"/>
    <w:uiPriority w:val="10"/>
    <w:qFormat/>
    <w:rsid w:val="00625B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B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B3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B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B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5B30"/>
    <w:rPr>
      <w:i/>
      <w:iCs/>
      <w:color w:val="404040" w:themeColor="text1" w:themeTint="BF"/>
    </w:rPr>
  </w:style>
  <w:style w:type="paragraph" w:styleId="ListParagraph">
    <w:name w:val="List Paragraph"/>
    <w:basedOn w:val="Normal"/>
    <w:uiPriority w:val="34"/>
    <w:qFormat/>
    <w:rsid w:val="00625B30"/>
    <w:pPr>
      <w:ind w:left="720"/>
      <w:contextualSpacing/>
    </w:pPr>
  </w:style>
  <w:style w:type="character" w:styleId="IntenseEmphasis">
    <w:name w:val="Intense Emphasis"/>
    <w:basedOn w:val="DefaultParagraphFont"/>
    <w:uiPriority w:val="21"/>
    <w:qFormat/>
    <w:rsid w:val="00625B30"/>
    <w:rPr>
      <w:i/>
      <w:iCs/>
      <w:color w:val="0F4761" w:themeColor="accent1" w:themeShade="BF"/>
    </w:rPr>
  </w:style>
  <w:style w:type="paragraph" w:styleId="IntenseQuote">
    <w:name w:val="Intense Quote"/>
    <w:basedOn w:val="Normal"/>
    <w:next w:val="Normal"/>
    <w:link w:val="IntenseQuoteChar"/>
    <w:uiPriority w:val="30"/>
    <w:qFormat/>
    <w:rsid w:val="00625B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5B30"/>
    <w:rPr>
      <w:i/>
      <w:iCs/>
      <w:color w:val="0F4761" w:themeColor="accent1" w:themeShade="BF"/>
    </w:rPr>
  </w:style>
  <w:style w:type="character" w:styleId="IntenseReference">
    <w:name w:val="Intense Reference"/>
    <w:basedOn w:val="DefaultParagraphFont"/>
    <w:uiPriority w:val="32"/>
    <w:qFormat/>
    <w:rsid w:val="00625B30"/>
    <w:rPr>
      <w:b/>
      <w:bCs/>
      <w:smallCaps/>
      <w:color w:val="0F4761" w:themeColor="accent1" w:themeShade="BF"/>
      <w:spacing w:val="5"/>
    </w:rPr>
  </w:style>
  <w:style w:type="table" w:styleId="TableGrid">
    <w:name w:val="Table Grid"/>
    <w:basedOn w:val="TableNormal"/>
    <w:rsid w:val="00625B30"/>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ar">
    <w:name w:val="title bar"/>
    <w:basedOn w:val="Normal"/>
    <w:rsid w:val="00625B30"/>
    <w:pPr>
      <w:keepNext/>
      <w:suppressAutoHyphens/>
      <w:jc w:val="center"/>
    </w:pPr>
    <w:rPr>
      <w:rFonts w:ascii="Helvetica" w:hAnsi="Helvetica"/>
      <w:b/>
      <w:sz w:val="26"/>
      <w:szCs w:val="20"/>
    </w:rPr>
  </w:style>
  <w:style w:type="paragraph" w:styleId="Caption">
    <w:name w:val="caption"/>
    <w:basedOn w:val="Normal"/>
    <w:next w:val="Normal"/>
    <w:uiPriority w:val="35"/>
    <w:unhideWhenUsed/>
    <w:qFormat/>
    <w:rsid w:val="00625B30"/>
    <w:pPr>
      <w:spacing w:after="200"/>
    </w:pPr>
    <w:rPr>
      <w:i/>
      <w:iCs/>
      <w:color w:val="0E2841" w:themeColor="text2"/>
      <w:sz w:val="18"/>
      <w:szCs w:val="18"/>
    </w:r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Char,f,Car"/>
    <w:basedOn w:val="Normal"/>
    <w:link w:val="FootnoteTextChar"/>
    <w:uiPriority w:val="99"/>
    <w:qFormat/>
    <w:rsid w:val="00625B30"/>
    <w:pPr>
      <w:spacing w:after="120"/>
    </w:pPr>
    <w:rPr>
      <w:sz w:val="22"/>
      <w:szCs w:val="20"/>
    </w:r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Char Char,f Char"/>
    <w:basedOn w:val="DefaultParagraphFont"/>
    <w:link w:val="FootnoteText"/>
    <w:uiPriority w:val="99"/>
    <w:rsid w:val="00625B30"/>
    <w:rPr>
      <w:rFonts w:ascii="Times New Roman" w:eastAsia="Times New Roman" w:hAnsi="Times New Roman" w:cs="Times New Roman"/>
      <w:kern w:val="0"/>
      <w:sz w:val="22"/>
      <w:szCs w:val="20"/>
      <w14:ligatures w14:val="none"/>
    </w:rPr>
  </w:style>
  <w:style w:type="character" w:styleId="FootnoteReference">
    <w:name w:val="footnote reference"/>
    <w:aliases w:val="o,o + Times New Roman,fr,Style 3,o1,o2,o3,o4,o5,o6,o11,o21,o7,Style 12,(NECG) Footnote Reference,Appel note de bas de p,Style 124"/>
    <w:uiPriority w:val="99"/>
    <w:qFormat/>
    <w:rsid w:val="00625B30"/>
    <w:rPr>
      <w:vertAlign w:val="superscript"/>
    </w:rPr>
  </w:style>
  <w:style w:type="character" w:styleId="Hyperlink">
    <w:name w:val="Hyperlink"/>
    <w:rsid w:val="00625B30"/>
    <w:rPr>
      <w:color w:val="3754D4"/>
      <w:u w:val="single"/>
    </w:rPr>
  </w:style>
  <w:style w:type="character" w:customStyle="1" w:styleId="standardChar">
    <w:name w:val="standard Char"/>
    <w:link w:val="standard"/>
    <w:locked/>
    <w:rsid w:val="00ED55FC"/>
    <w:rPr>
      <w:rFonts w:ascii="Palatino" w:hAnsi="Palatino"/>
      <w:sz w:val="26"/>
    </w:rPr>
  </w:style>
  <w:style w:type="paragraph" w:customStyle="1" w:styleId="standard">
    <w:name w:val="standard"/>
    <w:basedOn w:val="Normal"/>
    <w:link w:val="standardChar"/>
    <w:rsid w:val="00ED55FC"/>
    <w:pPr>
      <w:spacing w:line="360" w:lineRule="auto"/>
      <w:ind w:firstLine="720"/>
    </w:pPr>
    <w:rPr>
      <w:rFonts w:ascii="Palatino" w:eastAsiaTheme="minorHAnsi" w:hAnsi="Palatino" w:cstheme="minorBidi"/>
      <w:kern w:val="2"/>
      <w:sz w:val="26"/>
      <w14:ligatures w14:val="standardContextual"/>
    </w:rPr>
  </w:style>
  <w:style w:type="paragraph" w:styleId="Header">
    <w:name w:val="header"/>
    <w:basedOn w:val="Normal"/>
    <w:link w:val="HeaderChar"/>
    <w:uiPriority w:val="99"/>
    <w:unhideWhenUsed/>
    <w:rsid w:val="00965D26"/>
    <w:pPr>
      <w:tabs>
        <w:tab w:val="center" w:pos="4680"/>
        <w:tab w:val="right" w:pos="9360"/>
      </w:tabs>
    </w:pPr>
  </w:style>
  <w:style w:type="character" w:customStyle="1" w:styleId="HeaderChar">
    <w:name w:val="Header Char"/>
    <w:basedOn w:val="DefaultParagraphFont"/>
    <w:link w:val="Header"/>
    <w:uiPriority w:val="99"/>
    <w:rsid w:val="00965D26"/>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965D26"/>
    <w:pPr>
      <w:tabs>
        <w:tab w:val="center" w:pos="4680"/>
        <w:tab w:val="right" w:pos="9360"/>
      </w:tabs>
    </w:pPr>
  </w:style>
  <w:style w:type="character" w:customStyle="1" w:styleId="FooterChar">
    <w:name w:val="Footer Char"/>
    <w:basedOn w:val="DefaultParagraphFont"/>
    <w:link w:val="Footer"/>
    <w:uiPriority w:val="99"/>
    <w:rsid w:val="00965D26"/>
    <w:rPr>
      <w:rFonts w:ascii="Times New Roman" w:eastAsia="Times New Roman" w:hAnsi="Times New Roman" w:cs="Times New Roman"/>
      <w:kern w:val="0"/>
      <w14:ligatures w14:val="none"/>
    </w:rPr>
  </w:style>
  <w:style w:type="paragraph" w:styleId="Revision">
    <w:name w:val="Revision"/>
    <w:hidden/>
    <w:uiPriority w:val="99"/>
    <w:semiHidden/>
    <w:rsid w:val="002B3AC3"/>
    <w:rPr>
      <w:rFonts w:ascii="Times New Roman" w:eastAsia="Times New Roman" w:hAnsi="Times New Roman" w:cs="Times New Roman"/>
      <w:kern w:val="0"/>
      <w:lang w:eastAsia="ja-JP"/>
      <w14:ligatures w14:val="none"/>
    </w:rPr>
  </w:style>
  <w:style w:type="paragraph" w:customStyle="1" w:styleId="p1">
    <w:name w:val="p1"/>
    <w:basedOn w:val="Normal"/>
    <w:rsid w:val="001E4A9D"/>
    <w:rPr>
      <w:color w:val="000000"/>
      <w:sz w:val="18"/>
      <w:szCs w:val="18"/>
      <w:lang w:eastAsia="zh-CN"/>
    </w:rPr>
  </w:style>
  <w:style w:type="character" w:customStyle="1" w:styleId="normaltextrun">
    <w:name w:val="normaltextrun"/>
    <w:basedOn w:val="DefaultParagraphFont"/>
    <w:rsid w:val="00BD52C9"/>
  </w:style>
  <w:style w:type="character" w:styleId="CommentReference">
    <w:name w:val="annotation reference"/>
    <w:basedOn w:val="DefaultParagraphFont"/>
    <w:uiPriority w:val="99"/>
    <w:semiHidden/>
    <w:unhideWhenUsed/>
    <w:rsid w:val="00A05653"/>
    <w:rPr>
      <w:sz w:val="16"/>
      <w:szCs w:val="16"/>
    </w:rPr>
  </w:style>
  <w:style w:type="paragraph" w:styleId="CommentText">
    <w:name w:val="annotation text"/>
    <w:basedOn w:val="Normal"/>
    <w:link w:val="CommentTextChar"/>
    <w:uiPriority w:val="99"/>
    <w:unhideWhenUsed/>
    <w:rsid w:val="00A05653"/>
    <w:rPr>
      <w:sz w:val="20"/>
      <w:szCs w:val="20"/>
    </w:rPr>
  </w:style>
  <w:style w:type="character" w:customStyle="1" w:styleId="CommentTextChar">
    <w:name w:val="Comment Text Char"/>
    <w:basedOn w:val="DefaultParagraphFont"/>
    <w:link w:val="CommentText"/>
    <w:uiPriority w:val="99"/>
    <w:rsid w:val="00A05653"/>
    <w:rPr>
      <w:rFonts w:ascii="Times New Roman" w:eastAsia="Times New Roman" w:hAnsi="Times New Roman" w:cs="Times New Roman"/>
      <w:kern w:val="0"/>
      <w:sz w:val="20"/>
      <w:szCs w:val="20"/>
      <w:lang w:eastAsia="ja-JP"/>
      <w14:ligatures w14:val="none"/>
    </w:rPr>
  </w:style>
  <w:style w:type="paragraph" w:styleId="CommentSubject">
    <w:name w:val="annotation subject"/>
    <w:basedOn w:val="CommentText"/>
    <w:next w:val="CommentText"/>
    <w:link w:val="CommentSubjectChar"/>
    <w:uiPriority w:val="99"/>
    <w:semiHidden/>
    <w:unhideWhenUsed/>
    <w:rsid w:val="00A05653"/>
    <w:rPr>
      <w:b/>
      <w:bCs/>
    </w:rPr>
  </w:style>
  <w:style w:type="character" w:customStyle="1" w:styleId="CommentSubjectChar">
    <w:name w:val="Comment Subject Char"/>
    <w:basedOn w:val="CommentTextChar"/>
    <w:link w:val="CommentSubject"/>
    <w:uiPriority w:val="99"/>
    <w:semiHidden/>
    <w:rsid w:val="00A05653"/>
    <w:rPr>
      <w:rFonts w:ascii="Times New Roman" w:eastAsia="Times New Roman" w:hAnsi="Times New Roman" w:cs="Times New Roman"/>
      <w:b/>
      <w:bCs/>
      <w:kern w:val="0"/>
      <w:sz w:val="20"/>
      <w:szCs w:val="20"/>
      <w:lang w:eastAsia="ja-JP"/>
      <w14:ligatures w14:val="none"/>
    </w:rPr>
  </w:style>
  <w:style w:type="paragraph" w:styleId="NormalWeb">
    <w:name w:val="Normal (Web)"/>
    <w:basedOn w:val="Normal"/>
    <w:uiPriority w:val="99"/>
    <w:unhideWhenUsed/>
    <w:rsid w:val="00A8374C"/>
    <w:pPr>
      <w:spacing w:before="100" w:beforeAutospacing="1" w:after="100" w:afterAutospacing="1"/>
    </w:pPr>
    <w:rPr>
      <w:lang w:eastAsia="zh-CN"/>
    </w:rPr>
  </w:style>
  <w:style w:type="character" w:customStyle="1" w:styleId="apple-converted-space">
    <w:name w:val="apple-converted-space"/>
    <w:basedOn w:val="DefaultParagraphFont"/>
    <w:rsid w:val="00A8374C"/>
  </w:style>
  <w:style w:type="paragraph" w:customStyle="1" w:styleId="paragraph">
    <w:name w:val="paragraph"/>
    <w:basedOn w:val="Normal"/>
    <w:rsid w:val="004E3CB2"/>
    <w:pPr>
      <w:spacing w:before="100" w:beforeAutospacing="1" w:after="100" w:afterAutospacing="1"/>
    </w:pPr>
    <w:rPr>
      <w:lang w:eastAsia="en-US"/>
    </w:rPr>
  </w:style>
  <w:style w:type="character" w:customStyle="1" w:styleId="eop">
    <w:name w:val="eop"/>
    <w:basedOn w:val="DefaultParagraphFont"/>
    <w:rsid w:val="004E3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microsoft.com/office/2018/08/relationships/commentsExtensible" Target="commentsExtensible.xml" Id="rId11" /><Relationship Type="http://schemas.openxmlformats.org/officeDocument/2006/relationships/webSettings" Target="webSettings.xml" Id="rId5" /><Relationship Type="http://schemas.openxmlformats.org/officeDocument/2006/relationships/fontTable" Target="fontTable.xml" Id="rId15" /><Relationship Type="http://schemas.microsoft.com/office/2016/09/relationships/commentsIds" Target="commentsIds.xml" Id="rId10" /><Relationship Type="http://schemas.openxmlformats.org/officeDocument/2006/relationships/settings" Target="settings.xml" Id="rId4"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apps.calbar.ca.gov/attorney/LicenseeSearch/Quick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FE16F-BFA9-4FE9-AE18-288829443BEB}">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23</ap:Pages>
  <ap:Words>5659</ap:Words>
  <ap:Characters>32262</ap:Characters>
  <ap:Application>Microsoft Office Word</ap:Application>
  <ap:DocSecurity>0</ap:DocSecurity>
  <ap:Lines>268</ap:Lines>
  <ap:Paragraphs>75</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37846</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2025-09-25T18:41:00Z</cp:lastPrinted>
  <dcterms:created xsi:type="dcterms:W3CDTF">2026-07-03T10:53:30Z</dcterms:created>
  <dcterms:modified xsi:type="dcterms:W3CDTF">2026-07-03T10:53:30Z</dcterms:modified>
</cp:coreProperties>
</file>