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7CE6" w:rsidR="003B7CE6" w:rsidP="0024748D" w:rsidRDefault="003B7CE6" w14:paraId="28BFBFF3" w14:textId="68501BC6">
      <w:pPr>
        <w:suppressAutoHyphens/>
        <w:rPr>
          <w:b/>
          <w:bCs/>
          <w:color w:val="000000"/>
        </w:rPr>
      </w:pPr>
      <w:r>
        <w:rPr>
          <w:color w:val="000000"/>
        </w:rPr>
        <w:t>ALJ/CS8/abb</w:t>
      </w:r>
      <w:r w:rsidR="0024748D">
        <w:rPr>
          <w:b/>
          <w:bCs/>
          <w:color w:val="000000"/>
          <w:sz w:val="28"/>
          <w:szCs w:val="28"/>
        </w:rPr>
        <w:tab/>
      </w:r>
      <w:r w:rsidR="0024748D">
        <w:rPr>
          <w:b/>
          <w:bCs/>
          <w:color w:val="000000"/>
          <w:sz w:val="28"/>
          <w:szCs w:val="28"/>
        </w:rPr>
        <w:tab/>
      </w:r>
      <w:r w:rsidR="0024748D">
        <w:rPr>
          <w:b/>
          <w:bCs/>
          <w:color w:val="000000"/>
          <w:sz w:val="28"/>
          <w:szCs w:val="28"/>
        </w:rPr>
        <w:tab/>
      </w:r>
      <w:r w:rsidR="0024748D">
        <w:rPr>
          <w:b/>
          <w:bCs/>
          <w:color w:val="000000"/>
          <w:sz w:val="28"/>
          <w:szCs w:val="28"/>
        </w:rPr>
        <w:tab/>
      </w:r>
      <w:r w:rsidR="0024748D">
        <w:rPr>
          <w:b/>
          <w:bCs/>
          <w:color w:val="000000"/>
          <w:sz w:val="28"/>
          <w:szCs w:val="28"/>
        </w:rPr>
        <w:tab/>
      </w:r>
      <w:r w:rsidR="0024748D">
        <w:rPr>
          <w:b/>
          <w:bCs/>
          <w:color w:val="000000"/>
          <w:sz w:val="28"/>
          <w:szCs w:val="28"/>
        </w:rPr>
        <w:tab/>
      </w:r>
      <w:r w:rsidR="0024748D">
        <w:rPr>
          <w:b/>
          <w:bCs/>
          <w:color w:val="000000"/>
          <w:sz w:val="28"/>
          <w:szCs w:val="28"/>
        </w:rPr>
        <w:tab/>
      </w:r>
      <w:r w:rsidR="0026654D">
        <w:rPr>
          <w:b/>
          <w:bCs/>
          <w:color w:val="000000"/>
          <w:sz w:val="28"/>
          <w:szCs w:val="28"/>
        </w:rPr>
        <w:t xml:space="preserve">        </w:t>
      </w:r>
      <w:r w:rsidR="0024748D">
        <w:rPr>
          <w:b/>
          <w:bCs/>
          <w:color w:val="000000"/>
          <w:sz w:val="28"/>
          <w:szCs w:val="28"/>
        </w:rPr>
        <w:t>Date of Issuance 7/</w:t>
      </w:r>
      <w:r w:rsidR="00E40E20">
        <w:rPr>
          <w:b/>
          <w:bCs/>
          <w:color w:val="000000"/>
          <w:sz w:val="28"/>
          <w:szCs w:val="28"/>
        </w:rPr>
        <w:t>3</w:t>
      </w:r>
      <w:r w:rsidR="0024748D">
        <w:rPr>
          <w:b/>
          <w:bCs/>
          <w:color w:val="000000"/>
          <w:sz w:val="28"/>
          <w:szCs w:val="28"/>
        </w:rPr>
        <w:t>/2026</w:t>
      </w:r>
    </w:p>
    <w:p w:rsidR="003B7CE6" w:rsidRDefault="003B7CE6" w14:paraId="4E76D30D" w14:textId="5F338ADE">
      <w:pPr>
        <w:suppressAutoHyphens/>
        <w:rPr>
          <w:color w:val="000000"/>
        </w:rPr>
      </w:pPr>
    </w:p>
    <w:p w:rsidR="003B7CE6" w:rsidRDefault="003B7CE6" w14:paraId="65C2F720" w14:textId="77777777">
      <w:pPr>
        <w:suppressAutoHyphens/>
        <w:rPr>
          <w:color w:val="000000"/>
        </w:rPr>
      </w:pPr>
    </w:p>
    <w:p w:rsidRPr="007F620E" w:rsidR="00A92D0B" w:rsidP="00332605" w:rsidRDefault="00A92D0B" w14:paraId="6D327C87" w14:textId="16249949">
      <w:pPr>
        <w:suppressAutoHyphens/>
        <w:rPr>
          <w:color w:val="000000"/>
        </w:rPr>
      </w:pPr>
      <w:r w:rsidRPr="007F620E">
        <w:rPr>
          <w:color w:val="000000"/>
        </w:rPr>
        <w:t>Decision</w:t>
      </w:r>
      <w:r w:rsidR="0024748D">
        <w:rPr>
          <w:color w:val="000000"/>
        </w:rPr>
        <w:t> </w:t>
      </w:r>
      <w:r w:rsidRPr="0024748D" w:rsidR="0024748D">
        <w:rPr>
          <w:color w:val="000000"/>
        </w:rPr>
        <w:t>26-07-021</w:t>
      </w:r>
      <w:r w:rsidR="0024748D">
        <w:rPr>
          <w:color w:val="000000"/>
        </w:rPr>
        <w:t>  Ju</w:t>
      </w:r>
      <w:r w:rsidR="00332605">
        <w:rPr>
          <w:color w:val="000000"/>
        </w:rPr>
        <w:t>ly</w:t>
      </w:r>
      <w:r w:rsidR="0024748D">
        <w:rPr>
          <w:color w:val="000000"/>
        </w:rPr>
        <w:t> 2, 2026</w:t>
      </w:r>
    </w:p>
    <w:p w:rsidRPr="007F620E" w:rsidR="00A92D0B" w:rsidP="003B7CE6" w:rsidRDefault="00A92D0B" w14:paraId="44E03231" w14:textId="77777777">
      <w:pPr>
        <w:pStyle w:val="titlebar"/>
        <w:jc w:val="left"/>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00A92D0B" w:rsidRDefault="00A92D0B" w14:paraId="564284CD" w14:textId="77777777">
      <w:pPr>
        <w:suppressAutoHyphens/>
        <w:rPr>
          <w:color w:val="000000"/>
        </w:rPr>
      </w:pPr>
    </w:p>
    <w:p w:rsidRPr="007F620E" w:rsidR="003B7CE6" w:rsidRDefault="003B7CE6" w14:paraId="6BE831AD" w14:textId="77777777">
      <w:pPr>
        <w:suppressAutoHyphens/>
        <w:rPr>
          <w:color w:val="000000"/>
        </w:rPr>
      </w:pPr>
    </w:p>
    <w:tbl>
      <w:tblPr>
        <w:tblW w:w="9828" w:type="dxa"/>
        <w:jc w:val="center"/>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500"/>
        <w:gridCol w:w="5328"/>
      </w:tblGrid>
      <w:tr w:rsidRPr="003B7CE6" w:rsidR="00D23733" w:rsidTr="003B7CE6" w14:paraId="3942D7B4" w14:textId="77777777">
        <w:trPr>
          <w:jc w:val="center"/>
        </w:trPr>
        <w:tc>
          <w:tcPr>
            <w:tcW w:w="4500" w:type="dxa"/>
          </w:tcPr>
          <w:p w:rsidR="00332605" w:rsidP="00332605" w:rsidRDefault="00D23733" w14:paraId="6B2A205E" w14:textId="77777777">
            <w:pPr>
              <w:tabs>
                <w:tab w:val="left" w:pos="1440"/>
                <w:tab w:val="left" w:pos="3600"/>
              </w:tabs>
            </w:pPr>
            <w:r w:rsidRPr="003B7CE6">
              <w:t>Order Instituting Rulemaking to Advance Demand Flexibility Through Electric Rates</w:t>
            </w:r>
          </w:p>
          <w:p w:rsidRPr="00332605" w:rsidR="00332605" w:rsidP="00332605" w:rsidRDefault="00332605" w14:paraId="47850BD9" w14:textId="3FBE763D">
            <w:pPr>
              <w:tabs>
                <w:tab w:val="left" w:pos="1440"/>
                <w:tab w:val="left" w:pos="3600"/>
              </w:tabs>
            </w:pPr>
          </w:p>
        </w:tc>
        <w:tc>
          <w:tcPr>
            <w:tcW w:w="5328" w:type="dxa"/>
            <w:tcBorders>
              <w:top w:val="nil"/>
              <w:bottom w:val="nil"/>
            </w:tcBorders>
            <w:vAlign w:val="center"/>
          </w:tcPr>
          <w:p w:rsidRPr="003B7CE6" w:rsidR="00D23733" w:rsidP="001E3F88" w:rsidRDefault="00D23733" w14:paraId="3D085841" w14:textId="28E8B115">
            <w:pPr>
              <w:jc w:val="center"/>
            </w:pPr>
            <w:r w:rsidRPr="003B7CE6">
              <w:t>Rulemaking</w:t>
            </w:r>
            <w:r w:rsidR="00332605">
              <w:t> </w:t>
            </w:r>
            <w:r w:rsidRPr="003B7CE6">
              <w:t>22-07-005</w:t>
            </w:r>
          </w:p>
          <w:p w:rsidRPr="003B7CE6" w:rsidR="00D23733" w:rsidP="001E3F88" w:rsidRDefault="00D23733" w14:paraId="1075810B" w14:textId="67F34D7B">
            <w:pPr>
              <w:tabs>
                <w:tab w:val="left" w:pos="1440"/>
                <w:tab w:val="left" w:pos="3600"/>
              </w:tabs>
              <w:jc w:val="center"/>
              <w:rPr>
                <w:color w:val="000000"/>
              </w:rPr>
            </w:pPr>
            <w:r w:rsidRPr="003B7CE6">
              <w:t>(Filed July 14, 2022)</w:t>
            </w:r>
          </w:p>
        </w:tc>
      </w:tr>
    </w:tbl>
    <w:p w:rsidR="00FC72B7" w:rsidP="003B7CE6" w:rsidRDefault="00FC72B7" w14:paraId="5459E071" w14:textId="77777777">
      <w:pPr>
        <w:rPr>
          <w:b/>
          <w:color w:val="000000"/>
        </w:rPr>
      </w:pPr>
    </w:p>
    <w:p w:rsidR="00401557" w:rsidP="00401557" w:rsidRDefault="00401557" w14:paraId="2E59BF76" w14:textId="77777777">
      <w:pPr>
        <w:rPr>
          <w:rFonts w:ascii="Arial" w:hAnsi="Arial" w:cs="Arial"/>
          <w:b/>
          <w:sz w:val="26"/>
          <w:szCs w:val="26"/>
        </w:rPr>
      </w:pPr>
    </w:p>
    <w:p w:rsidR="00401557" w:rsidP="00401557" w:rsidRDefault="001A08FA" w14:paraId="5724DD0C" w14:textId="3DFAECD8">
      <w:pPr>
        <w:jc w:val="center"/>
        <w:rPr>
          <w:rFonts w:ascii="Arial" w:hAnsi="Arial" w:cs="Arial"/>
          <w:b/>
          <w:sz w:val="26"/>
          <w:szCs w:val="26"/>
        </w:rPr>
      </w:pPr>
      <w:r w:rsidRPr="00F85FC3">
        <w:rPr>
          <w:rFonts w:ascii="Arial" w:hAnsi="Arial" w:cs="Arial"/>
          <w:b/>
          <w:sz w:val="26"/>
          <w:szCs w:val="26"/>
        </w:rPr>
        <w:t>DECISION GRANTING COMPENSATION TO CENTER FOR</w:t>
      </w:r>
    </w:p>
    <w:p w:rsidR="00401557" w:rsidP="00401557" w:rsidRDefault="001A08FA" w14:paraId="17E01C17" w14:textId="77777777">
      <w:pPr>
        <w:jc w:val="center"/>
        <w:rPr>
          <w:rFonts w:ascii="Arial" w:hAnsi="Arial" w:cs="Arial"/>
          <w:b/>
          <w:sz w:val="26"/>
          <w:szCs w:val="26"/>
        </w:rPr>
      </w:pPr>
      <w:r w:rsidRPr="00F85FC3">
        <w:rPr>
          <w:rFonts w:ascii="Arial" w:hAnsi="Arial" w:cs="Arial"/>
          <w:b/>
          <w:sz w:val="26"/>
          <w:szCs w:val="26"/>
        </w:rPr>
        <w:t>ACCESSIBLE</w:t>
      </w:r>
      <w:r w:rsidR="00401557">
        <w:rPr>
          <w:rFonts w:ascii="Arial" w:hAnsi="Arial" w:cs="Arial"/>
          <w:b/>
          <w:sz w:val="26"/>
          <w:szCs w:val="26"/>
        </w:rPr>
        <w:t xml:space="preserve"> </w:t>
      </w:r>
      <w:r w:rsidRPr="00F85FC3">
        <w:rPr>
          <w:rFonts w:ascii="Arial" w:hAnsi="Arial" w:cs="Arial"/>
          <w:b/>
          <w:sz w:val="26"/>
          <w:szCs w:val="26"/>
        </w:rPr>
        <w:t>TECHNOLOGY FOR SUBSTANTIAL CONTRIBUTION</w:t>
      </w:r>
    </w:p>
    <w:p w:rsidR="00401557" w:rsidP="00401557" w:rsidRDefault="001A08FA" w14:paraId="5D35F67F" w14:textId="77777777">
      <w:pPr>
        <w:jc w:val="center"/>
        <w:rPr>
          <w:rFonts w:ascii="Arial" w:hAnsi="Arial" w:cs="Arial"/>
          <w:b/>
          <w:color w:val="000000"/>
          <w:sz w:val="26"/>
          <w:szCs w:val="26"/>
        </w:rPr>
      </w:pPr>
      <w:r w:rsidRPr="00F85FC3">
        <w:rPr>
          <w:rFonts w:ascii="Arial" w:hAnsi="Arial" w:cs="Arial"/>
          <w:b/>
          <w:sz w:val="26"/>
          <w:szCs w:val="26"/>
        </w:rPr>
        <w:t>TO</w:t>
      </w:r>
      <w:r w:rsidR="00401557">
        <w:rPr>
          <w:rFonts w:ascii="Arial" w:hAnsi="Arial" w:cs="Arial"/>
          <w:b/>
          <w:sz w:val="26"/>
          <w:szCs w:val="26"/>
        </w:rPr>
        <w:t xml:space="preserve"> </w:t>
      </w:r>
      <w:r w:rsidRPr="00F85FC3">
        <w:rPr>
          <w:rFonts w:ascii="Arial" w:hAnsi="Arial" w:cs="Arial"/>
          <w:b/>
          <w:sz w:val="26"/>
          <w:szCs w:val="26"/>
        </w:rPr>
        <w:t>DECISION</w:t>
      </w:r>
      <w:r w:rsidR="00401557">
        <w:rPr>
          <w:rFonts w:ascii="Arial" w:hAnsi="Arial" w:cs="Arial"/>
          <w:b/>
          <w:sz w:val="26"/>
          <w:szCs w:val="26"/>
        </w:rPr>
        <w:t xml:space="preserve"> </w:t>
      </w:r>
      <w:r w:rsidRPr="00F85FC3">
        <w:rPr>
          <w:rFonts w:ascii="Arial" w:hAnsi="Arial" w:cs="Arial"/>
          <w:b/>
          <w:sz w:val="26"/>
          <w:szCs w:val="26"/>
        </w:rPr>
        <w:t>(D.)</w:t>
      </w:r>
      <w:r w:rsidRPr="00F85FC3" w:rsidR="00F85FC3">
        <w:rPr>
          <w:rFonts w:ascii="Arial" w:hAnsi="Arial" w:cs="Arial"/>
          <w:b/>
          <w:sz w:val="26"/>
          <w:szCs w:val="26"/>
        </w:rPr>
        <w:t> </w:t>
      </w:r>
      <w:r w:rsidRPr="00F85FC3">
        <w:rPr>
          <w:rFonts w:ascii="Arial" w:hAnsi="Arial" w:cs="Arial"/>
          <w:b/>
          <w:sz w:val="26"/>
          <w:szCs w:val="26"/>
        </w:rPr>
        <w:t>25</w:t>
      </w:r>
      <w:r w:rsidRPr="00F85FC3" w:rsidR="00F85FC3">
        <w:rPr>
          <w:rFonts w:ascii="Arial" w:hAnsi="Arial" w:cs="Arial"/>
          <w:b/>
          <w:sz w:val="26"/>
          <w:szCs w:val="26"/>
        </w:rPr>
        <w:noBreakHyphen/>
      </w:r>
      <w:r w:rsidRPr="00F85FC3">
        <w:rPr>
          <w:rFonts w:ascii="Arial" w:hAnsi="Arial" w:cs="Arial"/>
          <w:b/>
          <w:sz w:val="26"/>
          <w:szCs w:val="26"/>
        </w:rPr>
        <w:t>08</w:t>
      </w:r>
      <w:r w:rsidRPr="00F85FC3" w:rsidR="00F85FC3">
        <w:rPr>
          <w:rFonts w:ascii="Arial" w:hAnsi="Arial" w:cs="Arial"/>
          <w:b/>
          <w:sz w:val="26"/>
          <w:szCs w:val="26"/>
        </w:rPr>
        <w:noBreakHyphen/>
      </w:r>
      <w:r w:rsidRPr="00F85FC3">
        <w:rPr>
          <w:rFonts w:ascii="Arial" w:hAnsi="Arial" w:cs="Arial"/>
          <w:b/>
          <w:sz w:val="26"/>
          <w:szCs w:val="26"/>
        </w:rPr>
        <w:t xml:space="preserve">049 </w:t>
      </w:r>
      <w:r w:rsidRPr="00F85FC3" w:rsidR="009637BB">
        <w:rPr>
          <w:rFonts w:ascii="Arial" w:hAnsi="Arial" w:cs="Arial"/>
          <w:b/>
          <w:sz w:val="26"/>
          <w:szCs w:val="26"/>
        </w:rPr>
        <w:t xml:space="preserve">AND </w:t>
      </w:r>
      <w:r w:rsidRPr="00F85FC3" w:rsidR="009637BB">
        <w:rPr>
          <w:rFonts w:ascii="Arial" w:hAnsi="Arial" w:cs="Arial"/>
          <w:b/>
          <w:color w:val="000000"/>
          <w:sz w:val="26"/>
          <w:szCs w:val="26"/>
        </w:rPr>
        <w:t>IGFC IMPLEMENTATION</w:t>
      </w:r>
    </w:p>
    <w:p w:rsidR="00401557" w:rsidP="00401557" w:rsidRDefault="009637BB" w14:paraId="12FE39C5" w14:textId="77777777">
      <w:pPr>
        <w:jc w:val="center"/>
        <w:rPr>
          <w:rFonts w:ascii="Arial" w:hAnsi="Arial" w:cs="Arial"/>
          <w:b/>
          <w:color w:val="000000"/>
          <w:sz w:val="26"/>
          <w:szCs w:val="26"/>
        </w:rPr>
      </w:pPr>
      <w:r w:rsidRPr="00F85FC3">
        <w:rPr>
          <w:rFonts w:ascii="Arial" w:hAnsi="Arial" w:cs="Arial"/>
          <w:b/>
          <w:color w:val="000000"/>
          <w:sz w:val="26"/>
          <w:szCs w:val="26"/>
        </w:rPr>
        <w:t>PROCESS,</w:t>
      </w:r>
      <w:r w:rsidR="00401557">
        <w:rPr>
          <w:rFonts w:ascii="Arial" w:hAnsi="Arial" w:cs="Arial"/>
          <w:b/>
          <w:sz w:val="26"/>
          <w:szCs w:val="26"/>
        </w:rPr>
        <w:t xml:space="preserve"> </w:t>
      </w:r>
      <w:r w:rsidRPr="00F85FC3">
        <w:rPr>
          <w:rFonts w:ascii="Arial" w:hAnsi="Arial" w:cs="Arial"/>
          <w:b/>
          <w:color w:val="000000"/>
          <w:sz w:val="26"/>
          <w:szCs w:val="26"/>
        </w:rPr>
        <w:t>INCLUDING</w:t>
      </w:r>
      <w:r w:rsidR="00401557">
        <w:rPr>
          <w:rFonts w:ascii="Arial" w:hAnsi="Arial" w:cs="Arial"/>
          <w:b/>
          <w:sz w:val="26"/>
          <w:szCs w:val="26"/>
        </w:rPr>
        <w:t xml:space="preserve"> </w:t>
      </w:r>
      <w:r w:rsidRPr="00F85FC3">
        <w:rPr>
          <w:rFonts w:ascii="Arial" w:hAnsi="Arial" w:cs="Arial"/>
          <w:b/>
          <w:color w:val="000000"/>
          <w:sz w:val="26"/>
          <w:szCs w:val="26"/>
        </w:rPr>
        <w:t>ADVICE LETTERS AND</w:t>
      </w:r>
      <w:r w:rsidRPr="00F85FC3">
        <w:rPr>
          <w:rFonts w:ascii="Arial" w:hAnsi="Arial" w:cs="Arial"/>
          <w:color w:val="000000"/>
          <w:sz w:val="26"/>
          <w:szCs w:val="26"/>
        </w:rPr>
        <w:t xml:space="preserve"> </w:t>
      </w:r>
      <w:r w:rsidRPr="00F85FC3">
        <w:rPr>
          <w:rFonts w:ascii="Arial" w:hAnsi="Arial" w:cs="Arial"/>
          <w:b/>
          <w:color w:val="000000"/>
          <w:sz w:val="26"/>
          <w:szCs w:val="26"/>
        </w:rPr>
        <w:t>RESOLUTION</w:t>
      </w:r>
    </w:p>
    <w:p w:rsidRPr="00401557" w:rsidR="001A08FA" w:rsidP="00401557" w:rsidRDefault="009637BB" w14:paraId="19300B95" w14:textId="732FFCB2">
      <w:pPr>
        <w:jc w:val="center"/>
        <w:rPr>
          <w:rFonts w:ascii="Arial" w:hAnsi="Arial" w:cs="Arial"/>
          <w:b/>
          <w:sz w:val="26"/>
          <w:szCs w:val="26"/>
        </w:rPr>
      </w:pPr>
      <w:r w:rsidRPr="00F85FC3">
        <w:rPr>
          <w:rFonts w:ascii="Arial" w:hAnsi="Arial" w:cs="Arial"/>
          <w:b/>
          <w:color w:val="000000"/>
          <w:sz w:val="26"/>
          <w:szCs w:val="26"/>
        </w:rPr>
        <w:t>E-5354, RESOLUTION</w:t>
      </w:r>
      <w:r w:rsidR="00401557">
        <w:rPr>
          <w:rFonts w:ascii="Arial" w:hAnsi="Arial" w:cs="Arial"/>
          <w:b/>
          <w:sz w:val="26"/>
          <w:szCs w:val="26"/>
        </w:rPr>
        <w:t xml:space="preserve"> </w:t>
      </w:r>
      <w:r w:rsidRPr="00F85FC3">
        <w:rPr>
          <w:rFonts w:ascii="Arial" w:hAnsi="Arial" w:cs="Arial"/>
          <w:b/>
          <w:color w:val="000000"/>
          <w:sz w:val="26"/>
          <w:szCs w:val="26"/>
        </w:rPr>
        <w:t>E</w:t>
      </w:r>
      <w:r w:rsidR="00F85FC3">
        <w:rPr>
          <w:rFonts w:ascii="Arial" w:hAnsi="Arial" w:cs="Arial"/>
          <w:b/>
          <w:color w:val="000000"/>
          <w:sz w:val="26"/>
          <w:szCs w:val="26"/>
        </w:rPr>
        <w:noBreakHyphen/>
      </w:r>
      <w:r w:rsidRPr="00F85FC3">
        <w:rPr>
          <w:rFonts w:ascii="Arial" w:hAnsi="Arial" w:cs="Arial"/>
          <w:b/>
          <w:color w:val="000000"/>
          <w:sz w:val="26"/>
          <w:szCs w:val="26"/>
        </w:rPr>
        <w:t>5355 AND RESOLUTION E-5356</w:t>
      </w:r>
    </w:p>
    <w:p w:rsidRPr="00C16710" w:rsidR="00C16710" w:rsidP="003B7CE6" w:rsidRDefault="00C16710" w14:paraId="0F5942EC" w14:textId="77777777">
      <w:pPr>
        <w:rPr>
          <w:b/>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405"/>
        <w:gridCol w:w="5040"/>
      </w:tblGrid>
      <w:tr w:rsidRPr="007F620E" w:rsidR="00A92D0B" w:rsidTr="00401557" w14:paraId="0FE98F62" w14:textId="77777777">
        <w:tc>
          <w:tcPr>
            <w:tcW w:w="4405" w:type="dxa"/>
          </w:tcPr>
          <w:p w:rsidRPr="00F85FC3" w:rsidR="00D57D1C" w:rsidP="00C47A2B" w:rsidRDefault="005A63D4" w14:paraId="11570D4A" w14:textId="5B374BA3">
            <w:pPr>
              <w:tabs>
                <w:tab w:val="left" w:pos="1620"/>
                <w:tab w:val="right" w:pos="4500"/>
              </w:tabs>
              <w:rPr>
                <w:b/>
                <w:color w:val="000000"/>
              </w:rPr>
            </w:pPr>
            <w:r w:rsidRPr="007F620E">
              <w:rPr>
                <w:b/>
                <w:color w:val="000000"/>
              </w:rPr>
              <w:t>Intervenor</w:t>
            </w:r>
            <w:r w:rsidRPr="007F620E" w:rsidR="00F63C29">
              <w:rPr>
                <w:b/>
                <w:color w:val="000000"/>
              </w:rPr>
              <w:t>:</w:t>
            </w:r>
            <w:r w:rsidR="00F85FC3">
              <w:rPr>
                <w:b/>
                <w:color w:val="000000"/>
              </w:rPr>
              <w:t>  </w:t>
            </w:r>
            <w:r w:rsidRPr="00287A80" w:rsidR="00C16710">
              <w:rPr>
                <w:color w:val="000000"/>
              </w:rPr>
              <w:t>Center for Accessible Technology (CforAT)</w:t>
            </w:r>
          </w:p>
        </w:tc>
        <w:tc>
          <w:tcPr>
            <w:tcW w:w="5040" w:type="dxa"/>
          </w:tcPr>
          <w:p w:rsidRPr="007F620E" w:rsidR="00A92D0B" w:rsidP="00C47A2B" w:rsidRDefault="00A92D0B" w14:paraId="53A584EE" w14:textId="60FDEF34">
            <w:pPr>
              <w:tabs>
                <w:tab w:val="left" w:pos="1872"/>
                <w:tab w:val="right" w:pos="3672"/>
              </w:tabs>
              <w:rPr>
                <w:b/>
                <w:color w:val="000000"/>
              </w:rPr>
            </w:pPr>
            <w:r w:rsidRPr="007F620E">
              <w:rPr>
                <w:b/>
                <w:color w:val="000000"/>
              </w:rPr>
              <w:t>For contribution to D</w:t>
            </w:r>
            <w:r w:rsidRPr="007F620E" w:rsidR="00DE3A5D">
              <w:rPr>
                <w:b/>
                <w:color w:val="000000"/>
              </w:rPr>
              <w:t xml:space="preserve">ecision </w:t>
            </w:r>
            <w:r w:rsidR="000A2A65">
              <w:rPr>
                <w:b/>
                <w:color w:val="000000"/>
              </w:rPr>
              <w:t>D.</w:t>
            </w:r>
            <w:r w:rsidR="00022FE9">
              <w:rPr>
                <w:b/>
                <w:color w:val="000000"/>
              </w:rPr>
              <w:t>25-08-</w:t>
            </w:r>
            <w:r w:rsidR="000A2A65">
              <w:rPr>
                <w:b/>
                <w:color w:val="000000"/>
              </w:rPr>
              <w:t>049</w:t>
            </w:r>
            <w:r w:rsidR="00C222CF">
              <w:rPr>
                <w:b/>
                <w:color w:val="000000"/>
              </w:rPr>
              <w:t xml:space="preserve"> and </w:t>
            </w:r>
            <w:r w:rsidR="00EE4B50">
              <w:rPr>
                <w:b/>
                <w:color w:val="000000"/>
              </w:rPr>
              <w:t xml:space="preserve">IGFC Implementation Process, including Advice Letters </w:t>
            </w:r>
            <w:r w:rsidR="0078035D">
              <w:rPr>
                <w:b/>
                <w:color w:val="000000"/>
              </w:rPr>
              <w:t xml:space="preserve">and </w:t>
            </w:r>
            <w:r w:rsidR="002F5C2E">
              <w:rPr>
                <w:b/>
                <w:color w:val="000000"/>
              </w:rPr>
              <w:t>Resolution E-5354, Resolution E</w:t>
            </w:r>
            <w:r w:rsidR="00F85FC3">
              <w:rPr>
                <w:b/>
                <w:color w:val="000000"/>
              </w:rPr>
              <w:noBreakHyphen/>
            </w:r>
            <w:r w:rsidR="0087691A">
              <w:rPr>
                <w:b/>
                <w:color w:val="000000"/>
              </w:rPr>
              <w:t>5355 and Resolution E</w:t>
            </w:r>
            <w:r w:rsidR="00F85FC3">
              <w:rPr>
                <w:b/>
                <w:color w:val="000000"/>
              </w:rPr>
              <w:noBreakHyphen/>
            </w:r>
            <w:r w:rsidR="0087691A">
              <w:rPr>
                <w:b/>
                <w:color w:val="000000"/>
              </w:rPr>
              <w:t>5356</w:t>
            </w:r>
          </w:p>
        </w:tc>
      </w:tr>
      <w:tr w:rsidRPr="007F620E" w:rsidR="00A92D0B" w:rsidTr="00401557" w14:paraId="47003B8E" w14:textId="77777777">
        <w:tc>
          <w:tcPr>
            <w:tcW w:w="4405" w:type="dxa"/>
          </w:tcPr>
          <w:p w:rsidRPr="007F620E" w:rsidR="00A92D0B" w:rsidP="00C47A2B" w:rsidRDefault="00A92D0B" w14:paraId="0E2E4BD1" w14:textId="65E8171D">
            <w:pPr>
              <w:tabs>
                <w:tab w:val="left" w:pos="1620"/>
                <w:tab w:val="right" w:pos="4500"/>
              </w:tabs>
              <w:rPr>
                <w:b/>
                <w:color w:val="000000"/>
                <w:u w:val="single"/>
              </w:rPr>
            </w:pPr>
            <w:r w:rsidRPr="007F620E">
              <w:rPr>
                <w:b/>
                <w:color w:val="000000"/>
              </w:rPr>
              <w:t>Claimed:</w:t>
            </w:r>
            <w:r w:rsidR="00F85FC3">
              <w:rPr>
                <w:b/>
                <w:color w:val="000000"/>
              </w:rPr>
              <w:t>  </w:t>
            </w:r>
            <w:r w:rsidRPr="00287A80" w:rsidR="004A2216">
              <w:rPr>
                <w:bCs/>
                <w:iCs/>
                <w:color w:val="000000"/>
              </w:rPr>
              <w:t>$79,543</w:t>
            </w:r>
          </w:p>
        </w:tc>
        <w:tc>
          <w:tcPr>
            <w:tcW w:w="5040" w:type="dxa"/>
            <w:tcBorders>
              <w:bottom w:val="single" w:color="auto" w:sz="4" w:space="0"/>
            </w:tcBorders>
          </w:tcPr>
          <w:p w:rsidRPr="007F620E" w:rsidR="00A92D0B" w:rsidP="00C47A2B" w:rsidRDefault="00A92D0B" w14:paraId="211F40A8" w14:textId="1BD85C43">
            <w:pPr>
              <w:tabs>
                <w:tab w:val="left" w:pos="1872"/>
                <w:tab w:val="right" w:pos="3672"/>
              </w:tabs>
              <w:rPr>
                <w:b/>
                <w:color w:val="000000"/>
                <w:u w:val="single"/>
              </w:rPr>
            </w:pPr>
            <w:r w:rsidRPr="007F620E">
              <w:rPr>
                <w:b/>
                <w:color w:val="000000"/>
              </w:rPr>
              <w:t>Awarded:</w:t>
            </w:r>
            <w:r w:rsidR="00F85FC3">
              <w:rPr>
                <w:b/>
                <w:color w:val="000000"/>
              </w:rPr>
              <w:t>  </w:t>
            </w:r>
            <w:r w:rsidRPr="00287A80" w:rsidR="00FC72B7">
              <w:rPr>
                <w:bCs/>
                <w:color w:val="000000"/>
              </w:rPr>
              <w:t>$</w:t>
            </w:r>
            <w:r w:rsidRPr="00287A80" w:rsidR="002B234D">
              <w:rPr>
                <w:bCs/>
                <w:color w:val="000000"/>
              </w:rPr>
              <w:t>70,072.35</w:t>
            </w:r>
          </w:p>
        </w:tc>
      </w:tr>
      <w:tr w:rsidRPr="007F620E" w:rsidR="00A92D0B" w:rsidTr="00401557" w14:paraId="5C56877D" w14:textId="77777777">
        <w:tc>
          <w:tcPr>
            <w:tcW w:w="4405" w:type="dxa"/>
          </w:tcPr>
          <w:p w:rsidRPr="00691528" w:rsidR="00A92D0B" w:rsidP="00C47A2B" w:rsidRDefault="00A92D0B" w14:paraId="6EF99E36" w14:textId="07BF87E9">
            <w:pPr>
              <w:tabs>
                <w:tab w:val="left" w:pos="3060"/>
                <w:tab w:val="right" w:pos="4500"/>
              </w:tabs>
              <w:rPr>
                <w:color w:val="000000"/>
                <w:u w:val="single"/>
              </w:rPr>
            </w:pPr>
            <w:r w:rsidRPr="007F620E">
              <w:rPr>
                <w:b/>
                <w:color w:val="000000"/>
              </w:rPr>
              <w:t>Assigned Commissioner:</w:t>
            </w:r>
            <w:r w:rsidR="00F85FC3">
              <w:rPr>
                <w:b/>
                <w:color w:val="000000"/>
              </w:rPr>
              <w:t>  </w:t>
            </w:r>
            <w:r w:rsidRPr="00287A80" w:rsidR="00164488">
              <w:rPr>
                <w:bCs/>
                <w:color w:val="000000"/>
              </w:rPr>
              <w:t xml:space="preserve">John </w:t>
            </w:r>
            <w:r w:rsidRPr="00287A80" w:rsidR="00871F1B">
              <w:rPr>
                <w:bCs/>
                <w:color w:val="000000"/>
              </w:rPr>
              <w:t>Reynolds</w:t>
            </w:r>
            <w:r w:rsidRPr="00287A80" w:rsidR="009127B6">
              <w:rPr>
                <w:rStyle w:val="FootnoteReference"/>
                <w:bCs/>
                <w:color w:val="000000"/>
              </w:rPr>
              <w:footnoteReference w:id="2"/>
            </w:r>
          </w:p>
        </w:tc>
        <w:tc>
          <w:tcPr>
            <w:tcW w:w="5040" w:type="dxa"/>
          </w:tcPr>
          <w:p w:rsidRPr="00691528" w:rsidR="00A92D0B" w:rsidP="00C47A2B" w:rsidRDefault="00A92D0B" w14:paraId="79375F78" w14:textId="18D7815F">
            <w:pPr>
              <w:tabs>
                <w:tab w:val="left" w:pos="1872"/>
                <w:tab w:val="right" w:pos="3672"/>
              </w:tabs>
              <w:rPr>
                <w:color w:val="000000"/>
                <w:u w:val="single"/>
              </w:rPr>
            </w:pPr>
            <w:r w:rsidRPr="007F620E">
              <w:rPr>
                <w:b/>
                <w:color w:val="000000"/>
              </w:rPr>
              <w:t>Assigned ALJ:</w:t>
            </w:r>
            <w:r w:rsidR="00F85FC3">
              <w:rPr>
                <w:b/>
                <w:color w:val="000000"/>
              </w:rPr>
              <w:t>  </w:t>
            </w:r>
            <w:r w:rsidRPr="00287A80" w:rsidR="00BC3B8A">
              <w:rPr>
                <w:bCs/>
                <w:color w:val="000000"/>
              </w:rPr>
              <w:t>Carolyn Sisto</w:t>
            </w:r>
          </w:p>
        </w:tc>
      </w:tr>
    </w:tbl>
    <w:p w:rsidRPr="00401557" w:rsidR="00A92D0B" w:rsidP="00332605" w:rsidRDefault="00A92D0B" w14:paraId="37AA25BD" w14:textId="29923623">
      <w:pPr>
        <w:keepNext/>
        <w:spacing w:before="240" w:line="360" w:lineRule="auto"/>
        <w:jc w:val="center"/>
        <w:rPr>
          <w:rFonts w:ascii="Arial" w:hAnsi="Arial" w:cs="Arial"/>
          <w:b/>
          <w:color w:val="000000"/>
          <w:sz w:val="26"/>
          <w:szCs w:val="26"/>
        </w:rPr>
      </w:pPr>
      <w:r w:rsidRPr="00401557">
        <w:rPr>
          <w:rFonts w:ascii="Arial" w:hAnsi="Arial" w:cs="Arial"/>
          <w:b/>
          <w:color w:val="000000"/>
          <w:sz w:val="26"/>
          <w:szCs w:val="26"/>
        </w:rPr>
        <w:t>PART I:</w:t>
      </w:r>
      <w:r w:rsidR="00401557">
        <w:rPr>
          <w:rFonts w:ascii="Arial" w:hAnsi="Arial" w:cs="Arial"/>
          <w:b/>
          <w:color w:val="000000"/>
          <w:sz w:val="26"/>
          <w:szCs w:val="26"/>
        </w:rPr>
        <w:t>  </w:t>
      </w:r>
      <w:r w:rsidRPr="00401557">
        <w:rPr>
          <w:rFonts w:ascii="Arial" w:hAnsi="Arial" w:cs="Arial"/>
          <w:b/>
          <w:color w:val="000000"/>
          <w:sz w:val="26"/>
          <w:szCs w:val="26"/>
        </w:rPr>
        <w:t>PROCEDURAL ISSUES</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95"/>
        <w:gridCol w:w="5850"/>
      </w:tblGrid>
      <w:tr w:rsidRPr="007F620E" w:rsidR="00A92D0B" w:rsidTr="00401557" w14:paraId="3C5C25ED" w14:textId="77777777">
        <w:tc>
          <w:tcPr>
            <w:tcW w:w="3595" w:type="dxa"/>
          </w:tcPr>
          <w:p w:rsidRPr="007F620E" w:rsidR="00A92D0B" w:rsidP="00401557" w:rsidRDefault="00A92D0B" w14:paraId="1576A0A6" w14:textId="77777777">
            <w:pPr>
              <w:spacing w:before="120"/>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5850" w:type="dxa"/>
          </w:tcPr>
          <w:p w:rsidR="00C02649" w:rsidP="00401557" w:rsidRDefault="008C105E" w14:paraId="5C4B15C8" w14:textId="6933B50E">
            <w:pPr>
              <w:spacing w:before="120" w:after="120"/>
              <w:rPr>
                <w:color w:val="000000"/>
              </w:rPr>
            </w:pPr>
            <w:r>
              <w:rPr>
                <w:color w:val="000000"/>
              </w:rPr>
              <w:t xml:space="preserve">Decision </w:t>
            </w:r>
            <w:r w:rsidR="002F12DF">
              <w:rPr>
                <w:color w:val="000000"/>
              </w:rPr>
              <w:t xml:space="preserve">25-08-049 </w:t>
            </w:r>
            <w:r w:rsidR="005A5057">
              <w:rPr>
                <w:color w:val="000000"/>
              </w:rPr>
              <w:t xml:space="preserve">(the Track B Decision) </w:t>
            </w:r>
            <w:r w:rsidR="001300E4">
              <w:rPr>
                <w:color w:val="000000"/>
              </w:rPr>
              <w:t xml:space="preserve">addresses Track B of the proceeding and </w:t>
            </w:r>
            <w:r w:rsidR="002F12DF">
              <w:rPr>
                <w:color w:val="000000"/>
              </w:rPr>
              <w:t xml:space="preserve">adopts </w:t>
            </w:r>
            <w:r w:rsidRPr="005C6D27" w:rsidR="005C6D27">
              <w:rPr>
                <w:color w:val="000000"/>
              </w:rPr>
              <w:t>guidelines for Pacific Gas and Electric Company,</w:t>
            </w:r>
            <w:r w:rsidR="005C6D27">
              <w:rPr>
                <w:color w:val="000000"/>
              </w:rPr>
              <w:t xml:space="preserve"> </w:t>
            </w:r>
            <w:r w:rsidRPr="005C6D27" w:rsidR="005C6D27">
              <w:rPr>
                <w:color w:val="000000"/>
              </w:rPr>
              <w:t>Southern California Edison Company, and San Diego Gas &amp; Electric Company to</w:t>
            </w:r>
            <w:r w:rsidR="005C6D27">
              <w:rPr>
                <w:color w:val="000000"/>
              </w:rPr>
              <w:t xml:space="preserve"> </w:t>
            </w:r>
            <w:r w:rsidRPr="005C6D27" w:rsidR="005C6D27">
              <w:rPr>
                <w:color w:val="000000"/>
              </w:rPr>
              <w:t>design demand flexibility rates and comply with the California Energy</w:t>
            </w:r>
            <w:r w:rsidR="005A5057">
              <w:rPr>
                <w:color w:val="000000"/>
              </w:rPr>
              <w:t xml:space="preserve"> </w:t>
            </w:r>
            <w:r w:rsidRPr="005C6D27" w:rsidR="005C6D27">
              <w:rPr>
                <w:color w:val="000000"/>
              </w:rPr>
              <w:t xml:space="preserve">Commission’s Load Management Standards. </w:t>
            </w:r>
            <w:r w:rsidR="005A5057">
              <w:rPr>
                <w:color w:val="000000"/>
              </w:rPr>
              <w:t xml:space="preserve">The Track B Decision addresses the input from </w:t>
            </w:r>
            <w:r w:rsidR="00D20A3A">
              <w:rPr>
                <w:color w:val="000000"/>
              </w:rPr>
              <w:t>Working Group</w:t>
            </w:r>
            <w:r w:rsidR="00733970">
              <w:rPr>
                <w:color w:val="000000"/>
              </w:rPr>
              <w:t xml:space="preserve"> 1</w:t>
            </w:r>
            <w:r w:rsidR="00D20A3A">
              <w:rPr>
                <w:color w:val="000000"/>
              </w:rPr>
              <w:t xml:space="preserve"> authorized in the Scoping Memo issued in this proceeding</w:t>
            </w:r>
            <w:r w:rsidR="003551D9">
              <w:rPr>
                <w:color w:val="000000"/>
              </w:rPr>
              <w:t xml:space="preserve"> </w:t>
            </w:r>
            <w:r w:rsidR="005C7D49">
              <w:rPr>
                <w:color w:val="000000"/>
              </w:rPr>
              <w:t>and closes the proceeding.</w:t>
            </w:r>
          </w:p>
          <w:p w:rsidRPr="007F620E" w:rsidR="00C02649" w:rsidP="00401557" w:rsidRDefault="005C7D49" w14:paraId="67B8ECAA" w14:textId="0E9FA773">
            <w:pPr>
              <w:spacing w:before="120" w:after="120"/>
              <w:rPr>
                <w:color w:val="000000"/>
              </w:rPr>
            </w:pPr>
            <w:r>
              <w:rPr>
                <w:color w:val="000000"/>
              </w:rPr>
              <w:t xml:space="preserve">The IGFC Implementation </w:t>
            </w:r>
            <w:r w:rsidR="00B22179">
              <w:rPr>
                <w:color w:val="000000"/>
              </w:rPr>
              <w:t>Process</w:t>
            </w:r>
            <w:r w:rsidR="004C5D2E">
              <w:rPr>
                <w:color w:val="000000"/>
              </w:rPr>
              <w:t xml:space="preserve"> resulted in </w:t>
            </w:r>
            <w:r w:rsidR="00B22179">
              <w:rPr>
                <w:color w:val="000000"/>
              </w:rPr>
              <w:t>the issuance of various Advice Letters</w:t>
            </w:r>
            <w:r w:rsidR="004E497A">
              <w:rPr>
                <w:color w:val="000000"/>
              </w:rPr>
              <w:t xml:space="preserve"> (SDG&amp;E AL </w:t>
            </w:r>
            <w:r w:rsidR="009A5DE9">
              <w:rPr>
                <w:color w:val="000000"/>
              </w:rPr>
              <w:t>4572-E and SDG&amp;E AL 4582-E)</w:t>
            </w:r>
            <w:r w:rsidR="00B22179">
              <w:rPr>
                <w:color w:val="000000"/>
              </w:rPr>
              <w:t xml:space="preserve"> and Resolutions</w:t>
            </w:r>
            <w:r w:rsidR="009A5DE9">
              <w:rPr>
                <w:color w:val="000000"/>
              </w:rPr>
              <w:t xml:space="preserve"> (Res. E-</w:t>
            </w:r>
            <w:r w:rsidR="00961178">
              <w:rPr>
                <w:color w:val="000000"/>
              </w:rPr>
              <w:t>5354</w:t>
            </w:r>
            <w:r w:rsidR="009A5DE9">
              <w:rPr>
                <w:color w:val="000000"/>
              </w:rPr>
              <w:t xml:space="preserve">, </w:t>
            </w:r>
            <w:r w:rsidR="009A5DE9">
              <w:rPr>
                <w:color w:val="000000"/>
              </w:rPr>
              <w:lastRenderedPageBreak/>
              <w:t>Res. E-</w:t>
            </w:r>
            <w:r w:rsidR="00961178">
              <w:rPr>
                <w:color w:val="000000"/>
              </w:rPr>
              <w:t>5355, Res. E</w:t>
            </w:r>
            <w:r w:rsidR="00401557">
              <w:rPr>
                <w:color w:val="000000"/>
              </w:rPr>
              <w:noBreakHyphen/>
            </w:r>
            <w:r w:rsidR="00961178">
              <w:rPr>
                <w:color w:val="000000"/>
              </w:rPr>
              <w:t>5356)</w:t>
            </w:r>
            <w:r w:rsidR="004C5D2E">
              <w:rPr>
                <w:color w:val="000000"/>
              </w:rPr>
              <w:t xml:space="preserve"> which reflected work by stakeholders </w:t>
            </w:r>
            <w:r w:rsidR="00B22179">
              <w:rPr>
                <w:color w:val="000000"/>
              </w:rPr>
              <w:t>to support the introduction of the Base Services Charge for the IOUs, beginning with SDG&amp;E in October of 2025 and proceeding with SCE and PG&amp;E</w:t>
            </w:r>
            <w:r w:rsidR="00B37FDB">
              <w:rPr>
                <w:color w:val="000000"/>
              </w:rPr>
              <w:t xml:space="preserve">.  The </w:t>
            </w:r>
            <w:r w:rsidR="00BE5D8E">
              <w:rPr>
                <w:color w:val="000000"/>
              </w:rPr>
              <w:t xml:space="preserve">ongoing </w:t>
            </w:r>
            <w:r w:rsidR="00B37FDB">
              <w:rPr>
                <w:color w:val="000000"/>
              </w:rPr>
              <w:t xml:space="preserve">rollout of the charge also relied on the work of the BSC Implementation Working Group, created in </w:t>
            </w:r>
            <w:r w:rsidR="00BB6A9A">
              <w:rPr>
                <w:color w:val="000000"/>
              </w:rPr>
              <w:t>D.24-05-028</w:t>
            </w:r>
            <w:r w:rsidR="00F11D34">
              <w:rPr>
                <w:color w:val="000000"/>
              </w:rPr>
              <w:t>, in which CforAT served as an active member</w:t>
            </w:r>
            <w:r w:rsidR="00BB6A9A">
              <w:rPr>
                <w:color w:val="000000"/>
              </w:rPr>
              <w:t>.</w:t>
            </w:r>
          </w:p>
        </w:tc>
      </w:tr>
    </w:tbl>
    <w:p w:rsidRPr="00401557" w:rsidR="00A92D0B" w:rsidP="00401557" w:rsidRDefault="005A63D4" w14:paraId="2FBF046C" w14:textId="77777777">
      <w:pPr>
        <w:keepNext/>
        <w:numPr>
          <w:ilvl w:val="0"/>
          <w:numId w:val="5"/>
        </w:numPr>
        <w:spacing w:before="240" w:after="120"/>
        <w:rPr>
          <w:rFonts w:ascii="Arial" w:hAnsi="Arial" w:cs="Arial"/>
          <w:b/>
          <w:color w:val="000000"/>
          <w:sz w:val="26"/>
          <w:szCs w:val="26"/>
        </w:rPr>
      </w:pPr>
      <w:r w:rsidRPr="00401557">
        <w:rPr>
          <w:rFonts w:ascii="Arial" w:hAnsi="Arial" w:cs="Arial"/>
          <w:b/>
          <w:color w:val="000000"/>
          <w:sz w:val="26"/>
          <w:szCs w:val="26"/>
        </w:rPr>
        <w:lastRenderedPageBreak/>
        <w:t xml:space="preserve">Intervenor </w:t>
      </w:r>
      <w:r w:rsidRPr="00401557" w:rsidR="00A92D0B">
        <w:rPr>
          <w:rFonts w:ascii="Arial" w:hAnsi="Arial" w:cs="Arial"/>
          <w:b/>
          <w:color w:val="000000"/>
          <w:sz w:val="26"/>
          <w:szCs w:val="26"/>
        </w:rPr>
        <w:t xml:space="preserve">must satisfy intervenor compensation </w:t>
      </w:r>
      <w:r w:rsidRPr="00401557" w:rsidR="00DE3A5D">
        <w:rPr>
          <w:rFonts w:ascii="Arial" w:hAnsi="Arial" w:cs="Arial"/>
          <w:b/>
          <w:color w:val="000000"/>
          <w:sz w:val="26"/>
          <w:szCs w:val="26"/>
        </w:rPr>
        <w:t>requirements set forth in Pub. Util.</w:t>
      </w:r>
      <w:r w:rsidRPr="00401557" w:rsidR="00A92D0B">
        <w:rPr>
          <w:rFonts w:ascii="Arial" w:hAnsi="Arial" w:cs="Arial"/>
          <w:b/>
          <w:color w:val="000000"/>
          <w:sz w:val="26"/>
          <w:szCs w:val="26"/>
        </w:rPr>
        <w:t xml:space="preserve"> Code §§ 1801-1812</w:t>
      </w:r>
      <w:r w:rsidRPr="00401557" w:rsidR="003B6A1B">
        <w:rPr>
          <w:rStyle w:val="FootnoteReference"/>
          <w:rFonts w:ascii="Arial" w:hAnsi="Arial" w:cs="Arial"/>
          <w:b/>
          <w:color w:val="000000"/>
          <w:sz w:val="26"/>
          <w:szCs w:val="26"/>
        </w:rPr>
        <w:footnoteReference w:id="3"/>
      </w:r>
      <w:r w:rsidRPr="00401557" w:rsidR="00A92D0B">
        <w:rPr>
          <w:rFonts w:ascii="Arial" w:hAnsi="Arial" w:cs="Arial"/>
          <w:b/>
          <w:color w:val="000000"/>
          <w:sz w:val="26"/>
          <w:szCs w:val="26"/>
        </w:rPr>
        <w:t>:</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5125"/>
        <w:gridCol w:w="2296"/>
        <w:gridCol w:w="2024"/>
      </w:tblGrid>
      <w:tr w:rsidRPr="007F620E" w:rsidR="00A92D0B" w:rsidTr="00613FAB" w14:paraId="640CF70A" w14:textId="77777777">
        <w:trPr>
          <w:tblHeader/>
        </w:trPr>
        <w:tc>
          <w:tcPr>
            <w:tcW w:w="5125"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96" w:type="dxa"/>
            <w:tcBorders>
              <w:bottom w:val="single" w:color="auto" w:sz="4" w:space="0"/>
            </w:tcBorders>
            <w:vAlign w:val="center"/>
          </w:tcPr>
          <w:p w:rsidRPr="007F620E" w:rsidR="00A92D0B" w:rsidP="00613FAB" w:rsidRDefault="00401557" w14:paraId="1412A3C6" w14:textId="25D32FE2">
            <w:pPr>
              <w:tabs>
                <w:tab w:val="left" w:pos="360"/>
              </w:tabs>
              <w:jc w:val="center"/>
              <w:rPr>
                <w:b/>
                <w:color w:val="000000"/>
              </w:rPr>
            </w:pPr>
            <w:r w:rsidRPr="007F620E">
              <w:rPr>
                <w:b/>
                <w:color w:val="000000"/>
              </w:rPr>
              <w:t>INTERVENOR</w:t>
            </w:r>
          </w:p>
        </w:tc>
        <w:tc>
          <w:tcPr>
            <w:tcW w:w="2024" w:type="dxa"/>
            <w:tcBorders>
              <w:bottom w:val="single" w:color="auto" w:sz="4" w:space="0"/>
            </w:tcBorders>
          </w:tcPr>
          <w:p w:rsidRPr="007F620E" w:rsidR="00A92D0B" w:rsidP="00F028C8" w:rsidRDefault="00401557" w14:paraId="2A218C38" w14:textId="6554A1EB">
            <w:pPr>
              <w:tabs>
                <w:tab w:val="left" w:pos="360"/>
              </w:tabs>
              <w:jc w:val="center"/>
              <w:rPr>
                <w:b/>
                <w:color w:val="000000"/>
              </w:rPr>
            </w:pPr>
            <w:r w:rsidRPr="007F620E">
              <w:rPr>
                <w:b/>
                <w:color w:val="000000"/>
              </w:rPr>
              <w:t xml:space="preserve">CPUC </w:t>
            </w:r>
            <w:r>
              <w:rPr>
                <w:b/>
                <w:color w:val="000000"/>
              </w:rPr>
              <w:t>VERIFICATION</w:t>
            </w:r>
          </w:p>
        </w:tc>
      </w:tr>
      <w:tr w:rsidRPr="007F620E" w:rsidR="00A92D0B" w:rsidTr="00401557" w14:paraId="7D83D00D" w14:textId="77777777">
        <w:tc>
          <w:tcPr>
            <w:tcW w:w="944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323C58BE">
            <w:pPr>
              <w:keepNext/>
              <w:tabs>
                <w:tab w:val="left" w:pos="360"/>
              </w:tabs>
              <w:jc w:val="center"/>
              <w:rPr>
                <w:b/>
              </w:rPr>
            </w:pPr>
            <w:r w:rsidRPr="007F620E">
              <w:rPr>
                <w:b/>
              </w:rPr>
              <w:t>Timely filing of notice of intent to claim compensation (NOI) (§1804(a)):</w:t>
            </w:r>
          </w:p>
        </w:tc>
      </w:tr>
      <w:tr w:rsidRPr="007F620E" w:rsidR="00A92D0B" w:rsidTr="00401557" w14:paraId="160E284A" w14:textId="77777777">
        <w:tc>
          <w:tcPr>
            <w:tcW w:w="5125"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96" w:type="dxa"/>
            <w:tcBorders>
              <w:top w:val="single" w:color="auto" w:sz="4" w:space="0"/>
            </w:tcBorders>
          </w:tcPr>
          <w:p w:rsidRPr="007F620E" w:rsidR="00A92D0B" w:rsidP="009926F2" w:rsidRDefault="009C39AA" w14:paraId="35450816" w14:textId="29EDFFEB">
            <w:pPr>
              <w:keepNext/>
              <w:keepLines/>
              <w:tabs>
                <w:tab w:val="left" w:pos="360"/>
              </w:tabs>
              <w:ind w:left="360" w:hanging="360"/>
              <w:jc w:val="center"/>
              <w:rPr>
                <w:color w:val="000000"/>
              </w:rPr>
            </w:pPr>
            <w:r>
              <w:rPr>
                <w:color w:val="000000"/>
              </w:rPr>
              <w:t>9/16/2022</w:t>
            </w:r>
          </w:p>
        </w:tc>
        <w:tc>
          <w:tcPr>
            <w:tcW w:w="2024" w:type="dxa"/>
            <w:tcBorders>
              <w:top w:val="single" w:color="auto" w:sz="4" w:space="0"/>
            </w:tcBorders>
          </w:tcPr>
          <w:p w:rsidRPr="007F620E" w:rsidR="00A92D0B" w:rsidP="009926F2" w:rsidRDefault="00BC5048" w14:paraId="34540344" w14:textId="18B13137">
            <w:pPr>
              <w:keepNext/>
              <w:tabs>
                <w:tab w:val="left" w:pos="360"/>
              </w:tabs>
              <w:jc w:val="center"/>
              <w:rPr>
                <w:color w:val="000000"/>
              </w:rPr>
            </w:pPr>
            <w:r>
              <w:rPr>
                <w:color w:val="000000"/>
              </w:rPr>
              <w:t>Verified</w:t>
            </w:r>
          </w:p>
        </w:tc>
      </w:tr>
      <w:tr w:rsidRPr="007F620E" w:rsidR="00A92D0B" w:rsidTr="00401557" w14:paraId="24C85564" w14:textId="77777777">
        <w:tc>
          <w:tcPr>
            <w:tcW w:w="5125"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96" w:type="dxa"/>
          </w:tcPr>
          <w:p w:rsidRPr="007F620E" w:rsidR="00A92D0B" w:rsidP="009926F2" w:rsidRDefault="00C3563F" w14:paraId="1826BC2C" w14:textId="028A97C0">
            <w:pPr>
              <w:keepNext/>
              <w:keepLines/>
              <w:tabs>
                <w:tab w:val="left" w:pos="360"/>
              </w:tabs>
              <w:ind w:left="360" w:hanging="360"/>
              <w:jc w:val="center"/>
              <w:rPr>
                <w:color w:val="000000"/>
              </w:rPr>
            </w:pPr>
            <w:r>
              <w:rPr>
                <w:color w:val="000000"/>
              </w:rPr>
              <w:t>N/A</w:t>
            </w:r>
          </w:p>
        </w:tc>
        <w:tc>
          <w:tcPr>
            <w:tcW w:w="2024" w:type="dxa"/>
          </w:tcPr>
          <w:p w:rsidRPr="007F620E" w:rsidR="00A92D0B" w:rsidP="009926F2" w:rsidRDefault="00A92D0B" w14:paraId="210DAD91" w14:textId="77777777">
            <w:pPr>
              <w:tabs>
                <w:tab w:val="left" w:pos="360"/>
              </w:tabs>
              <w:jc w:val="center"/>
              <w:rPr>
                <w:color w:val="000000"/>
              </w:rPr>
            </w:pPr>
          </w:p>
        </w:tc>
      </w:tr>
      <w:tr w:rsidRPr="007F620E" w:rsidR="00A92D0B" w:rsidTr="00401557" w14:paraId="4836EEA6" w14:textId="77777777">
        <w:tc>
          <w:tcPr>
            <w:tcW w:w="5125"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96" w:type="dxa"/>
            <w:tcBorders>
              <w:bottom w:val="single" w:color="auto" w:sz="4" w:space="0"/>
            </w:tcBorders>
          </w:tcPr>
          <w:p w:rsidRPr="007F620E" w:rsidR="00A92D0B" w:rsidP="009926F2" w:rsidRDefault="00C3563F" w14:paraId="44F7CCB9" w14:textId="2A189800">
            <w:pPr>
              <w:keepNext/>
              <w:keepLines/>
              <w:tabs>
                <w:tab w:val="left" w:pos="360"/>
              </w:tabs>
              <w:ind w:left="360" w:hanging="360"/>
              <w:jc w:val="center"/>
              <w:rPr>
                <w:color w:val="000000"/>
              </w:rPr>
            </w:pPr>
            <w:r>
              <w:rPr>
                <w:color w:val="000000"/>
              </w:rPr>
              <w:t>10/11/2022</w:t>
            </w:r>
          </w:p>
        </w:tc>
        <w:tc>
          <w:tcPr>
            <w:tcW w:w="2024" w:type="dxa"/>
            <w:tcBorders>
              <w:bottom w:val="single" w:color="auto" w:sz="4" w:space="0"/>
            </w:tcBorders>
          </w:tcPr>
          <w:p w:rsidRPr="007F620E" w:rsidR="00A92D0B" w:rsidP="009926F2" w:rsidRDefault="00BC5048" w14:paraId="71759DE3" w14:textId="378D29DA">
            <w:pPr>
              <w:tabs>
                <w:tab w:val="left" w:pos="360"/>
              </w:tabs>
              <w:jc w:val="center"/>
              <w:rPr>
                <w:color w:val="000000"/>
              </w:rPr>
            </w:pPr>
            <w:r>
              <w:rPr>
                <w:color w:val="000000"/>
              </w:rPr>
              <w:t>Verified</w:t>
            </w:r>
          </w:p>
        </w:tc>
      </w:tr>
      <w:tr w:rsidRPr="007F620E" w:rsidR="00A92D0B" w:rsidTr="00401557" w14:paraId="22BBCDE3" w14:textId="77777777">
        <w:tc>
          <w:tcPr>
            <w:tcW w:w="7421"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024" w:type="dxa"/>
            <w:tcBorders>
              <w:bottom w:val="single" w:color="auto" w:sz="4" w:space="0"/>
            </w:tcBorders>
          </w:tcPr>
          <w:p w:rsidRPr="007F620E" w:rsidR="00A92D0B" w:rsidP="009926F2" w:rsidRDefault="00BC5048" w14:paraId="61DE2845" w14:textId="0FDEABAB">
            <w:pPr>
              <w:tabs>
                <w:tab w:val="left" w:pos="360"/>
              </w:tabs>
              <w:jc w:val="center"/>
              <w:rPr>
                <w:color w:val="000000"/>
              </w:rPr>
            </w:pPr>
            <w:r>
              <w:rPr>
                <w:color w:val="000000"/>
              </w:rPr>
              <w:t>Yes</w:t>
            </w:r>
          </w:p>
        </w:tc>
      </w:tr>
      <w:tr w:rsidRPr="007F620E" w:rsidR="00A92D0B" w:rsidTr="00401557" w14:paraId="4CD7D46A" w14:textId="77777777">
        <w:tc>
          <w:tcPr>
            <w:tcW w:w="9445"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50252D7D">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401557" w14:paraId="259EC227" w14:textId="77777777">
        <w:tc>
          <w:tcPr>
            <w:tcW w:w="5125"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96" w:type="dxa"/>
            <w:tcBorders>
              <w:top w:val="single" w:color="auto" w:sz="4" w:space="0"/>
            </w:tcBorders>
          </w:tcPr>
          <w:p w:rsidRPr="007F620E" w:rsidR="00A92D0B" w:rsidP="009926F2" w:rsidRDefault="00094026" w14:paraId="13E72B6D" w14:textId="436D1368">
            <w:pPr>
              <w:keepNext/>
              <w:keepLines/>
              <w:tabs>
                <w:tab w:val="left" w:pos="360"/>
              </w:tabs>
              <w:ind w:left="360" w:hanging="360"/>
              <w:jc w:val="center"/>
              <w:rPr>
                <w:color w:val="000000"/>
              </w:rPr>
            </w:pPr>
            <w:r>
              <w:rPr>
                <w:color w:val="000000"/>
              </w:rPr>
              <w:t>See below</w:t>
            </w:r>
          </w:p>
        </w:tc>
        <w:tc>
          <w:tcPr>
            <w:tcW w:w="2024" w:type="dxa"/>
            <w:tcBorders>
              <w:top w:val="single" w:color="auto" w:sz="4" w:space="0"/>
            </w:tcBorders>
          </w:tcPr>
          <w:p w:rsidRPr="007F620E" w:rsidR="00A92D0B" w:rsidP="009926F2" w:rsidRDefault="00BC5048" w14:paraId="2679B197" w14:textId="1D0B0749">
            <w:pPr>
              <w:keepNext/>
              <w:keepLines/>
              <w:tabs>
                <w:tab w:val="left" w:pos="360"/>
              </w:tabs>
              <w:jc w:val="center"/>
              <w:rPr>
                <w:color w:val="000000"/>
              </w:rPr>
            </w:pPr>
            <w:r>
              <w:rPr>
                <w:color w:val="000000"/>
              </w:rPr>
              <w:t>R.21-06-017</w:t>
            </w:r>
          </w:p>
        </w:tc>
      </w:tr>
      <w:tr w:rsidRPr="007F620E" w:rsidR="00A92D0B" w:rsidTr="00401557" w14:paraId="4E0FB3B6" w14:textId="77777777">
        <w:tc>
          <w:tcPr>
            <w:tcW w:w="5125"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96" w:type="dxa"/>
          </w:tcPr>
          <w:p w:rsidRPr="007F620E" w:rsidR="00A92D0B" w:rsidP="009926F2" w:rsidRDefault="00094026" w14:paraId="306125B9" w14:textId="305E544E">
            <w:pPr>
              <w:tabs>
                <w:tab w:val="left" w:pos="360"/>
              </w:tabs>
              <w:ind w:left="360" w:hanging="360"/>
              <w:jc w:val="center"/>
              <w:rPr>
                <w:color w:val="000000"/>
              </w:rPr>
            </w:pPr>
            <w:r>
              <w:rPr>
                <w:color w:val="000000"/>
              </w:rPr>
              <w:t>See below</w:t>
            </w:r>
          </w:p>
        </w:tc>
        <w:tc>
          <w:tcPr>
            <w:tcW w:w="2024" w:type="dxa"/>
          </w:tcPr>
          <w:p w:rsidRPr="007F620E" w:rsidR="00A92D0B" w:rsidP="009926F2" w:rsidRDefault="00BC5048" w14:paraId="19F10313" w14:textId="49974AF2">
            <w:pPr>
              <w:tabs>
                <w:tab w:val="left" w:pos="360"/>
              </w:tabs>
              <w:jc w:val="center"/>
              <w:rPr>
                <w:color w:val="000000"/>
              </w:rPr>
            </w:pPr>
            <w:r>
              <w:rPr>
                <w:color w:val="000000"/>
              </w:rPr>
              <w:t>11/8/2021</w:t>
            </w:r>
          </w:p>
        </w:tc>
      </w:tr>
      <w:tr w:rsidRPr="007F620E" w:rsidR="00A92D0B" w:rsidTr="00401557" w14:paraId="7F6C1E54" w14:textId="77777777">
        <w:tc>
          <w:tcPr>
            <w:tcW w:w="5125"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96" w:type="dxa"/>
            <w:tcBorders>
              <w:bottom w:val="single" w:color="auto" w:sz="4" w:space="0"/>
            </w:tcBorders>
          </w:tcPr>
          <w:p w:rsidRPr="007F620E" w:rsidR="00A92D0B" w:rsidP="009926F2" w:rsidRDefault="00895230" w14:paraId="5E0F9D32" w14:textId="59FDF170">
            <w:pPr>
              <w:tabs>
                <w:tab w:val="left" w:pos="360"/>
              </w:tabs>
              <w:ind w:left="360" w:hanging="360"/>
              <w:jc w:val="center"/>
              <w:rPr>
                <w:color w:val="000000"/>
              </w:rPr>
            </w:pPr>
            <w:r>
              <w:rPr>
                <w:color w:val="000000"/>
              </w:rPr>
              <w:t>See below</w:t>
            </w:r>
          </w:p>
        </w:tc>
        <w:tc>
          <w:tcPr>
            <w:tcW w:w="2024" w:type="dxa"/>
            <w:tcBorders>
              <w:bottom w:val="single" w:color="auto" w:sz="4" w:space="0"/>
            </w:tcBorders>
          </w:tcPr>
          <w:p w:rsidRPr="007F620E" w:rsidR="00A92D0B" w:rsidP="009926F2" w:rsidRDefault="009B5425" w14:paraId="180E80B3" w14:textId="31F8BC91">
            <w:pPr>
              <w:tabs>
                <w:tab w:val="left" w:pos="360"/>
              </w:tabs>
              <w:jc w:val="center"/>
              <w:rPr>
                <w:color w:val="000000"/>
              </w:rPr>
            </w:pPr>
            <w:r>
              <w:rPr>
                <w:color w:val="000000"/>
              </w:rPr>
              <w:t>Noted</w:t>
            </w:r>
          </w:p>
        </w:tc>
      </w:tr>
      <w:tr w:rsidRPr="007F620E" w:rsidR="00A92D0B" w:rsidTr="00401557" w14:paraId="397CC4AD" w14:textId="77777777">
        <w:tc>
          <w:tcPr>
            <w:tcW w:w="7421"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024" w:type="dxa"/>
            <w:tcBorders>
              <w:bottom w:val="single" w:color="auto" w:sz="4" w:space="0"/>
            </w:tcBorders>
          </w:tcPr>
          <w:p w:rsidRPr="007F620E" w:rsidR="00A92D0B" w:rsidP="009926F2" w:rsidRDefault="002F03E0" w14:paraId="7D296E63" w14:textId="1AF87EB8">
            <w:pPr>
              <w:tabs>
                <w:tab w:val="left" w:pos="360"/>
              </w:tabs>
              <w:jc w:val="center"/>
              <w:rPr>
                <w:color w:val="000000"/>
              </w:rPr>
            </w:pPr>
            <w:r>
              <w:rPr>
                <w:color w:val="000000"/>
              </w:rPr>
              <w:t>Yes</w:t>
            </w:r>
          </w:p>
        </w:tc>
      </w:tr>
      <w:tr w:rsidRPr="007F620E" w:rsidR="00A92D0B" w:rsidTr="00401557" w14:paraId="33231C71" w14:textId="77777777">
        <w:tc>
          <w:tcPr>
            <w:tcW w:w="944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BC5048" w:rsidTr="00401557" w14:paraId="77F91856" w14:textId="77777777">
        <w:tc>
          <w:tcPr>
            <w:tcW w:w="5125" w:type="dxa"/>
            <w:tcBorders>
              <w:top w:val="single" w:color="auto" w:sz="4" w:space="0"/>
            </w:tcBorders>
          </w:tcPr>
          <w:p w:rsidRPr="007F620E" w:rsidR="00BC5048" w:rsidP="00BC5048" w:rsidRDefault="00BC5048" w14:paraId="6506E60E" w14:textId="7F0FF6A0">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96" w:type="dxa"/>
            <w:tcBorders>
              <w:top w:val="single" w:color="auto" w:sz="4" w:space="0"/>
            </w:tcBorders>
          </w:tcPr>
          <w:p w:rsidRPr="007F620E" w:rsidR="00BC5048" w:rsidP="009926F2" w:rsidRDefault="00BC5048" w14:paraId="54B4911C" w14:textId="65FA5452">
            <w:pPr>
              <w:tabs>
                <w:tab w:val="left" w:pos="360"/>
              </w:tabs>
              <w:ind w:left="360" w:hanging="360"/>
              <w:jc w:val="center"/>
              <w:rPr>
                <w:color w:val="000000"/>
              </w:rPr>
            </w:pPr>
            <w:r>
              <w:rPr>
                <w:color w:val="000000"/>
              </w:rPr>
              <w:t>See below</w:t>
            </w:r>
          </w:p>
        </w:tc>
        <w:tc>
          <w:tcPr>
            <w:tcW w:w="2024" w:type="dxa"/>
            <w:tcBorders>
              <w:top w:val="single" w:color="auto" w:sz="4" w:space="0"/>
            </w:tcBorders>
          </w:tcPr>
          <w:p w:rsidRPr="007F620E" w:rsidR="00BC5048" w:rsidP="009926F2" w:rsidRDefault="00BC5048" w14:paraId="2E2FB9D6" w14:textId="221F9D25">
            <w:pPr>
              <w:tabs>
                <w:tab w:val="left" w:pos="360"/>
              </w:tabs>
              <w:jc w:val="center"/>
              <w:rPr>
                <w:color w:val="000000"/>
              </w:rPr>
            </w:pPr>
            <w:r>
              <w:rPr>
                <w:color w:val="000000"/>
              </w:rPr>
              <w:t>R.21-06-017</w:t>
            </w:r>
          </w:p>
        </w:tc>
      </w:tr>
      <w:tr w:rsidRPr="007F620E" w:rsidR="00BC5048" w:rsidTr="00401557" w14:paraId="4AD750C1" w14:textId="77777777">
        <w:tc>
          <w:tcPr>
            <w:tcW w:w="5125" w:type="dxa"/>
          </w:tcPr>
          <w:p w:rsidRPr="007F620E" w:rsidR="00BC5048" w:rsidP="00BC5048" w:rsidRDefault="00BC5048" w14:paraId="2A279407" w14:textId="1E831EEE">
            <w:pPr>
              <w:ind w:left="360" w:hanging="360"/>
              <w:rPr>
                <w:color w:val="000000"/>
              </w:rPr>
            </w:pPr>
            <w:r w:rsidRPr="007F620E">
              <w:rPr>
                <w:color w:val="000000"/>
              </w:rPr>
              <w:t>10.</w:t>
            </w:r>
            <w:r>
              <w:rPr>
                <w:color w:val="000000"/>
              </w:rPr>
              <w:tab/>
            </w:r>
            <w:r w:rsidRPr="007F620E">
              <w:rPr>
                <w:color w:val="000000"/>
              </w:rPr>
              <w:t>Date of ALJ ruling:</w:t>
            </w:r>
          </w:p>
        </w:tc>
        <w:tc>
          <w:tcPr>
            <w:tcW w:w="2296" w:type="dxa"/>
          </w:tcPr>
          <w:p w:rsidRPr="007F620E" w:rsidR="00BC5048" w:rsidP="009926F2" w:rsidRDefault="00BC5048" w14:paraId="4B66A2E4" w14:textId="35E265D8">
            <w:pPr>
              <w:tabs>
                <w:tab w:val="left" w:pos="360"/>
              </w:tabs>
              <w:ind w:left="360" w:hanging="360"/>
              <w:jc w:val="center"/>
              <w:rPr>
                <w:color w:val="000000"/>
              </w:rPr>
            </w:pPr>
            <w:r>
              <w:rPr>
                <w:color w:val="000000"/>
              </w:rPr>
              <w:t>See below</w:t>
            </w:r>
          </w:p>
        </w:tc>
        <w:tc>
          <w:tcPr>
            <w:tcW w:w="2024" w:type="dxa"/>
          </w:tcPr>
          <w:p w:rsidRPr="007F620E" w:rsidR="00BC5048" w:rsidP="009926F2" w:rsidRDefault="00BC5048" w14:paraId="3B83D035" w14:textId="31DC63A4">
            <w:pPr>
              <w:tabs>
                <w:tab w:val="left" w:pos="360"/>
              </w:tabs>
              <w:jc w:val="center"/>
              <w:rPr>
                <w:color w:val="000000"/>
              </w:rPr>
            </w:pPr>
            <w:r>
              <w:rPr>
                <w:color w:val="000000"/>
              </w:rPr>
              <w:t>11/8/2021</w:t>
            </w:r>
          </w:p>
        </w:tc>
      </w:tr>
      <w:tr w:rsidRPr="007F620E" w:rsidR="00BC5048" w:rsidTr="00401557" w14:paraId="7C183C5E" w14:textId="77777777">
        <w:tc>
          <w:tcPr>
            <w:tcW w:w="5125" w:type="dxa"/>
          </w:tcPr>
          <w:p w:rsidRPr="007F620E" w:rsidR="00BC5048" w:rsidP="00BC5048" w:rsidRDefault="00BC5048" w14:paraId="4141CB3D" w14:textId="2DCA8797">
            <w:pPr>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296" w:type="dxa"/>
          </w:tcPr>
          <w:p w:rsidRPr="007F620E" w:rsidR="00BC5048" w:rsidP="009926F2" w:rsidRDefault="00BC5048" w14:paraId="141EB5CF" w14:textId="1FFF10A3">
            <w:pPr>
              <w:tabs>
                <w:tab w:val="left" w:pos="360"/>
              </w:tabs>
              <w:ind w:left="360" w:hanging="360"/>
              <w:jc w:val="center"/>
              <w:rPr>
                <w:color w:val="000000"/>
              </w:rPr>
            </w:pPr>
            <w:r>
              <w:rPr>
                <w:color w:val="000000"/>
              </w:rPr>
              <w:t>See below</w:t>
            </w:r>
          </w:p>
        </w:tc>
        <w:tc>
          <w:tcPr>
            <w:tcW w:w="2024" w:type="dxa"/>
          </w:tcPr>
          <w:p w:rsidRPr="007F620E" w:rsidR="00BC5048" w:rsidP="009926F2" w:rsidRDefault="009B5425" w14:paraId="79318715" w14:textId="2D97A782">
            <w:pPr>
              <w:tabs>
                <w:tab w:val="left" w:pos="360"/>
              </w:tabs>
              <w:jc w:val="center"/>
              <w:rPr>
                <w:color w:val="000000"/>
              </w:rPr>
            </w:pPr>
            <w:r>
              <w:rPr>
                <w:color w:val="000000"/>
              </w:rPr>
              <w:t>Noted</w:t>
            </w:r>
          </w:p>
        </w:tc>
      </w:tr>
      <w:tr w:rsidRPr="007F620E" w:rsidR="00BC5048" w:rsidTr="00401557" w14:paraId="4E8D20BF" w14:textId="77777777">
        <w:tc>
          <w:tcPr>
            <w:tcW w:w="7421" w:type="dxa"/>
            <w:gridSpan w:val="2"/>
            <w:tcBorders>
              <w:bottom w:val="single" w:color="auto" w:sz="4" w:space="0"/>
            </w:tcBorders>
          </w:tcPr>
          <w:p w:rsidRPr="007F620E" w:rsidR="00BC5048" w:rsidP="00BC5048" w:rsidRDefault="00BC5048" w14:paraId="48D0D936" w14:textId="6A3DF8B8">
            <w:pPr>
              <w:tabs>
                <w:tab w:val="left" w:pos="360"/>
              </w:tabs>
              <w:ind w:left="360" w:hanging="360"/>
              <w:rPr>
                <w:color w:val="000000"/>
              </w:rPr>
            </w:pPr>
            <w:r>
              <w:rPr>
                <w:color w:val="000000"/>
              </w:rPr>
              <w:t>12</w:t>
            </w:r>
            <w:r w:rsidRPr="007F620E">
              <w:rPr>
                <w:color w:val="000000"/>
              </w:rPr>
              <w:t>.</w:t>
            </w:r>
            <w:r>
              <w:rPr>
                <w:color w:val="000000"/>
              </w:rPr>
              <w:tab/>
            </w:r>
            <w:r w:rsidRPr="007F620E">
              <w:rPr>
                <w:color w:val="000000"/>
              </w:rPr>
              <w:t>Has the Intervenor demonstrated significant financial hardship?</w:t>
            </w:r>
          </w:p>
        </w:tc>
        <w:tc>
          <w:tcPr>
            <w:tcW w:w="2024" w:type="dxa"/>
            <w:tcBorders>
              <w:bottom w:val="single" w:color="auto" w:sz="4" w:space="0"/>
            </w:tcBorders>
          </w:tcPr>
          <w:p w:rsidRPr="007F620E" w:rsidR="00BC5048" w:rsidP="009926F2" w:rsidRDefault="002A6152" w14:paraId="0F29B839" w14:textId="041080D3">
            <w:pPr>
              <w:tabs>
                <w:tab w:val="left" w:pos="360"/>
              </w:tabs>
              <w:jc w:val="center"/>
              <w:rPr>
                <w:color w:val="000000"/>
              </w:rPr>
            </w:pPr>
            <w:r>
              <w:rPr>
                <w:color w:val="000000"/>
              </w:rPr>
              <w:t>Yes</w:t>
            </w:r>
          </w:p>
        </w:tc>
      </w:tr>
      <w:tr w:rsidRPr="007F620E" w:rsidR="00BC5048" w:rsidTr="00401557" w14:paraId="60D4FD5C" w14:textId="77777777">
        <w:tc>
          <w:tcPr>
            <w:tcW w:w="944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BC5048" w:rsidP="00BC5048" w:rsidRDefault="00BC5048" w14:paraId="172E2884" w14:textId="17FB283A">
            <w:pPr>
              <w:keepNext/>
              <w:tabs>
                <w:tab w:val="left" w:pos="360"/>
              </w:tabs>
              <w:jc w:val="center"/>
              <w:rPr>
                <w:color w:val="000000"/>
              </w:rPr>
            </w:pPr>
            <w:r w:rsidRPr="007F620E">
              <w:rPr>
                <w:b/>
                <w:color w:val="000000"/>
              </w:rPr>
              <w:lastRenderedPageBreak/>
              <w:t>Timely request for compensation (§1804(c)):</w:t>
            </w:r>
          </w:p>
        </w:tc>
      </w:tr>
      <w:tr w:rsidRPr="007F620E" w:rsidR="00BC5048" w:rsidTr="00401557" w14:paraId="3E7938B0" w14:textId="77777777">
        <w:tc>
          <w:tcPr>
            <w:tcW w:w="5125" w:type="dxa"/>
            <w:tcBorders>
              <w:top w:val="single" w:color="auto" w:sz="4" w:space="0"/>
            </w:tcBorders>
          </w:tcPr>
          <w:p w:rsidRPr="007F620E" w:rsidR="00BC5048" w:rsidP="00BC5048" w:rsidRDefault="00BC5048" w14:paraId="66088F1B" w14:textId="2DB4A731">
            <w:pPr>
              <w:keepNext/>
              <w:tabs>
                <w:tab w:val="left" w:pos="612"/>
              </w:tabs>
              <w:ind w:left="360" w:hanging="360"/>
              <w:rPr>
                <w:color w:val="000000"/>
              </w:rPr>
            </w:pPr>
            <w:r w:rsidRPr="007F620E">
              <w:rPr>
                <w:color w:val="000000"/>
              </w:rPr>
              <w:t>13.</w:t>
            </w:r>
            <w:r>
              <w:rPr>
                <w:color w:val="000000"/>
              </w:rPr>
              <w:tab/>
            </w:r>
            <w:r w:rsidRPr="007F620E">
              <w:rPr>
                <w:color w:val="000000"/>
              </w:rPr>
              <w:t>Identify Final Decision:</w:t>
            </w:r>
          </w:p>
        </w:tc>
        <w:tc>
          <w:tcPr>
            <w:tcW w:w="2296" w:type="dxa"/>
            <w:tcBorders>
              <w:top w:val="single" w:color="auto" w:sz="4" w:space="0"/>
            </w:tcBorders>
          </w:tcPr>
          <w:p w:rsidRPr="007F620E" w:rsidR="00BC5048" w:rsidP="00BC5048" w:rsidRDefault="00BC5048" w14:paraId="7166F318" w14:textId="575E3996">
            <w:pPr>
              <w:tabs>
                <w:tab w:val="left" w:pos="360"/>
              </w:tabs>
              <w:rPr>
                <w:color w:val="000000"/>
              </w:rPr>
            </w:pPr>
            <w:r>
              <w:rPr>
                <w:b/>
                <w:color w:val="000000"/>
              </w:rPr>
              <w:t>D.25-08-049</w:t>
            </w:r>
          </w:p>
        </w:tc>
        <w:tc>
          <w:tcPr>
            <w:tcW w:w="2024" w:type="dxa"/>
            <w:tcBorders>
              <w:top w:val="single" w:color="auto" w:sz="4" w:space="0"/>
            </w:tcBorders>
          </w:tcPr>
          <w:p w:rsidRPr="007F620E" w:rsidR="00BC5048" w:rsidP="009926F2" w:rsidRDefault="007A3EA2" w14:paraId="1588DC54" w14:textId="4993DCEC">
            <w:pPr>
              <w:tabs>
                <w:tab w:val="left" w:pos="360"/>
              </w:tabs>
              <w:jc w:val="center"/>
              <w:rPr>
                <w:color w:val="000000"/>
              </w:rPr>
            </w:pPr>
            <w:r>
              <w:rPr>
                <w:color w:val="000000"/>
              </w:rPr>
              <w:t>Verified</w:t>
            </w:r>
          </w:p>
        </w:tc>
      </w:tr>
      <w:tr w:rsidRPr="007F620E" w:rsidR="00BC5048" w:rsidTr="00401557" w14:paraId="6360DE59" w14:textId="77777777">
        <w:tc>
          <w:tcPr>
            <w:tcW w:w="5125" w:type="dxa"/>
          </w:tcPr>
          <w:p w:rsidRPr="007F620E" w:rsidR="00BC5048" w:rsidP="00BC5048" w:rsidRDefault="00BC5048" w14:paraId="4B809E4A" w14:textId="4BEED0BB">
            <w:pPr>
              <w:tabs>
                <w:tab w:val="left" w:pos="612"/>
              </w:tabs>
              <w:ind w:left="360" w:hanging="360"/>
              <w:rPr>
                <w:color w:val="000000"/>
              </w:rPr>
            </w:pPr>
            <w:r w:rsidRPr="007F620E">
              <w:rPr>
                <w:color w:val="000000"/>
              </w:rPr>
              <w:t>14.</w:t>
            </w:r>
            <w:r>
              <w:rPr>
                <w:color w:val="000000"/>
              </w:rPr>
              <w:tab/>
            </w:r>
            <w:r w:rsidRPr="007F620E">
              <w:rPr>
                <w:color w:val="000000"/>
              </w:rPr>
              <w:t xml:space="preserve">Date of issuance of Final Order or Decision:    </w:t>
            </w:r>
          </w:p>
        </w:tc>
        <w:tc>
          <w:tcPr>
            <w:tcW w:w="2296" w:type="dxa"/>
          </w:tcPr>
          <w:p w:rsidRPr="007F620E" w:rsidR="00BC5048" w:rsidP="00BC5048" w:rsidRDefault="00BC5048" w14:paraId="20455B5F" w14:textId="60E583C2">
            <w:pPr>
              <w:tabs>
                <w:tab w:val="left" w:pos="360"/>
              </w:tabs>
              <w:rPr>
                <w:color w:val="000000"/>
              </w:rPr>
            </w:pPr>
            <w:r>
              <w:rPr>
                <w:color w:val="000000"/>
              </w:rPr>
              <w:t>August 29, 2025</w:t>
            </w:r>
          </w:p>
        </w:tc>
        <w:tc>
          <w:tcPr>
            <w:tcW w:w="2024" w:type="dxa"/>
          </w:tcPr>
          <w:p w:rsidRPr="007F620E" w:rsidR="00BC5048" w:rsidP="009926F2" w:rsidRDefault="007A3EA2" w14:paraId="1FCF00DD" w14:textId="41E53C05">
            <w:pPr>
              <w:tabs>
                <w:tab w:val="left" w:pos="360"/>
              </w:tabs>
              <w:jc w:val="center"/>
              <w:rPr>
                <w:color w:val="000000"/>
              </w:rPr>
            </w:pPr>
            <w:r>
              <w:rPr>
                <w:color w:val="000000"/>
              </w:rPr>
              <w:t>Verified</w:t>
            </w:r>
          </w:p>
        </w:tc>
      </w:tr>
      <w:tr w:rsidRPr="007F620E" w:rsidR="00BC5048" w:rsidTr="00401557" w14:paraId="723259E3" w14:textId="77777777">
        <w:tc>
          <w:tcPr>
            <w:tcW w:w="5125" w:type="dxa"/>
          </w:tcPr>
          <w:p w:rsidRPr="007F620E" w:rsidR="00BC5048" w:rsidP="00BC5048" w:rsidRDefault="00BC5048" w14:paraId="163EE1CA" w14:textId="2B64EB9E">
            <w:pPr>
              <w:tabs>
                <w:tab w:val="left" w:pos="612"/>
              </w:tabs>
              <w:ind w:left="360" w:hanging="360"/>
              <w:rPr>
                <w:color w:val="000000"/>
              </w:rPr>
            </w:pPr>
            <w:r w:rsidRPr="007F620E">
              <w:rPr>
                <w:color w:val="000000"/>
              </w:rPr>
              <w:t>15.</w:t>
            </w:r>
            <w:r>
              <w:rPr>
                <w:color w:val="000000"/>
              </w:rPr>
              <w:tab/>
            </w:r>
            <w:r w:rsidRPr="007F620E">
              <w:rPr>
                <w:color w:val="000000"/>
              </w:rPr>
              <w:t>File date of compensation request:</w:t>
            </w:r>
          </w:p>
        </w:tc>
        <w:tc>
          <w:tcPr>
            <w:tcW w:w="2296" w:type="dxa"/>
          </w:tcPr>
          <w:p w:rsidRPr="007F620E" w:rsidR="00BC5048" w:rsidP="00BC5048" w:rsidRDefault="00BC5048" w14:paraId="0568B39D" w14:textId="653AE5C7">
            <w:pPr>
              <w:tabs>
                <w:tab w:val="left" w:pos="360"/>
              </w:tabs>
              <w:rPr>
                <w:color w:val="000000"/>
              </w:rPr>
            </w:pPr>
            <w:r>
              <w:rPr>
                <w:color w:val="000000"/>
              </w:rPr>
              <w:t>October 28, 2025</w:t>
            </w:r>
          </w:p>
        </w:tc>
        <w:tc>
          <w:tcPr>
            <w:tcW w:w="2024" w:type="dxa"/>
          </w:tcPr>
          <w:p w:rsidRPr="007F620E" w:rsidR="00BC5048" w:rsidP="009926F2" w:rsidRDefault="007A3EA2" w14:paraId="1CBF4E7A" w14:textId="5E0F2A60">
            <w:pPr>
              <w:tabs>
                <w:tab w:val="left" w:pos="360"/>
              </w:tabs>
              <w:jc w:val="center"/>
              <w:rPr>
                <w:color w:val="000000"/>
              </w:rPr>
            </w:pPr>
            <w:r>
              <w:rPr>
                <w:color w:val="000000"/>
              </w:rPr>
              <w:t>Verified</w:t>
            </w:r>
          </w:p>
        </w:tc>
      </w:tr>
      <w:tr w:rsidRPr="007F620E" w:rsidR="00BC5048" w:rsidTr="00401557" w14:paraId="406BCA3A" w14:textId="77777777">
        <w:tc>
          <w:tcPr>
            <w:tcW w:w="7421" w:type="dxa"/>
            <w:gridSpan w:val="2"/>
          </w:tcPr>
          <w:p w:rsidRPr="007F620E" w:rsidR="00BC5048" w:rsidP="00BC5048" w:rsidRDefault="00BC5048" w14:paraId="10AF42D1" w14:textId="67695104">
            <w:pPr>
              <w:tabs>
                <w:tab w:val="left" w:pos="360"/>
              </w:tabs>
              <w:ind w:left="360" w:hanging="360"/>
              <w:rPr>
                <w:color w:val="000000"/>
              </w:rPr>
            </w:pPr>
            <w:r w:rsidRPr="007F620E">
              <w:rPr>
                <w:color w:val="000000"/>
              </w:rPr>
              <w:t>16</w:t>
            </w:r>
            <w:r>
              <w:rPr>
                <w:color w:val="000000"/>
              </w:rPr>
              <w:t>.</w:t>
            </w:r>
            <w:r>
              <w:rPr>
                <w:color w:val="000000"/>
              </w:rPr>
              <w:tab/>
            </w:r>
            <w:r w:rsidRPr="007F620E">
              <w:rPr>
                <w:color w:val="000000"/>
              </w:rPr>
              <w:t>Was the request for compensation timely?</w:t>
            </w:r>
          </w:p>
        </w:tc>
        <w:tc>
          <w:tcPr>
            <w:tcW w:w="2024" w:type="dxa"/>
          </w:tcPr>
          <w:p w:rsidRPr="007F620E" w:rsidR="00BC5048" w:rsidP="009926F2" w:rsidRDefault="007A3EA2" w14:paraId="2EA30E63" w14:textId="1959724A">
            <w:pPr>
              <w:tabs>
                <w:tab w:val="left" w:pos="360"/>
              </w:tabs>
              <w:jc w:val="center"/>
              <w:rPr>
                <w:color w:val="000000"/>
              </w:rPr>
            </w:pPr>
            <w:r>
              <w:rPr>
                <w:color w:val="000000"/>
              </w:rPr>
              <w:t>Yes</w:t>
            </w:r>
          </w:p>
        </w:tc>
      </w:tr>
    </w:tbl>
    <w:p w:rsidRPr="007F620E" w:rsidR="00A92D0B" w:rsidP="00332605" w:rsidRDefault="00A92D0B" w14:paraId="0068592B" w14:textId="0A890BF8">
      <w:pPr>
        <w:keepNext/>
        <w:numPr>
          <w:ilvl w:val="0"/>
          <w:numId w:val="5"/>
        </w:numPr>
        <w:spacing w:before="240" w:line="360" w:lineRule="auto"/>
        <w:rPr>
          <w:b/>
          <w:color w:val="000000"/>
        </w:rPr>
      </w:pPr>
      <w:r w:rsidRPr="007F620E">
        <w:rPr>
          <w:b/>
          <w:color w:val="000000"/>
        </w:rPr>
        <w:t>Additional Comments on Part I</w:t>
      </w:r>
      <w:r w:rsidR="00C02649">
        <w:rPr>
          <w:b/>
          <w:color w:val="000000"/>
        </w:rPr>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55"/>
        <w:gridCol w:w="7020"/>
        <w:gridCol w:w="2160"/>
      </w:tblGrid>
      <w:tr w:rsidRPr="007F620E" w:rsidR="003C608A" w:rsidTr="00327ED4" w14:paraId="046F77BA" w14:textId="77777777">
        <w:trPr>
          <w:tblHeader/>
        </w:trPr>
        <w:tc>
          <w:tcPr>
            <w:tcW w:w="355"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7020" w:type="dxa"/>
            <w:tcBorders>
              <w:bottom w:val="single" w:color="auto" w:sz="4" w:space="0"/>
            </w:tcBorders>
            <w:shd w:val="clear" w:color="auto" w:fill="D9D9D9" w:themeFill="background1" w:themeFillShade="D9"/>
            <w:vAlign w:val="center"/>
          </w:tcPr>
          <w:p w:rsidRPr="007F620E" w:rsidR="003C608A" w:rsidP="00327ED4" w:rsidRDefault="00613FAB" w14:paraId="196D09DF" w14:textId="1B725842">
            <w:pPr>
              <w:tabs>
                <w:tab w:val="left" w:pos="360"/>
              </w:tabs>
              <w:jc w:val="center"/>
              <w:rPr>
                <w:b/>
                <w:color w:val="000000"/>
              </w:rPr>
            </w:pPr>
            <w:r w:rsidRPr="007F620E">
              <w:rPr>
                <w:b/>
                <w:color w:val="000000"/>
              </w:rPr>
              <w:t>INTERVENOR’S COMMENT(S)</w:t>
            </w:r>
          </w:p>
        </w:tc>
        <w:tc>
          <w:tcPr>
            <w:tcW w:w="2160" w:type="dxa"/>
            <w:shd w:val="clear" w:color="auto" w:fill="D9D9D9" w:themeFill="background1" w:themeFillShade="D9"/>
          </w:tcPr>
          <w:p w:rsidRPr="007F620E" w:rsidR="003C608A" w:rsidP="007056FC" w:rsidRDefault="00613FAB" w14:paraId="07207D31" w14:textId="6BBB8F7A">
            <w:pPr>
              <w:tabs>
                <w:tab w:val="left" w:pos="360"/>
              </w:tabs>
              <w:jc w:val="center"/>
              <w:rPr>
                <w:b/>
                <w:color w:val="000000"/>
              </w:rPr>
            </w:pPr>
            <w:r w:rsidRPr="007F620E">
              <w:rPr>
                <w:b/>
                <w:color w:val="000000"/>
              </w:rPr>
              <w:t>CPUC DISCUSSION</w:t>
            </w:r>
          </w:p>
        </w:tc>
      </w:tr>
      <w:tr w:rsidRPr="007F620E" w:rsidR="007A3EA2" w:rsidTr="00CF6D76" w14:paraId="1C6180A4" w14:textId="77777777">
        <w:trPr>
          <w:trHeight w:val="67"/>
        </w:trPr>
        <w:tc>
          <w:tcPr>
            <w:tcW w:w="355" w:type="dxa"/>
          </w:tcPr>
          <w:p w:rsidRPr="007F620E" w:rsidR="007A3EA2" w:rsidP="007A3EA2" w:rsidRDefault="007A3EA2" w14:paraId="4350D384" w14:textId="77777777">
            <w:pPr>
              <w:tabs>
                <w:tab w:val="left" w:pos="360"/>
              </w:tabs>
              <w:rPr>
                <w:color w:val="000000"/>
              </w:rPr>
            </w:pPr>
          </w:p>
        </w:tc>
        <w:tc>
          <w:tcPr>
            <w:tcW w:w="7020" w:type="dxa"/>
          </w:tcPr>
          <w:p w:rsidRPr="007F620E" w:rsidR="007A3EA2" w:rsidP="007A3EA2" w:rsidRDefault="007A3EA2" w14:paraId="0ECF4A98" w14:textId="7BBCB619">
            <w:pPr>
              <w:tabs>
                <w:tab w:val="left" w:pos="360"/>
              </w:tabs>
              <w:rPr>
                <w:color w:val="000000"/>
              </w:rPr>
            </w:pPr>
            <w:r>
              <w:rPr>
                <w:color w:val="000000"/>
              </w:rPr>
              <w:t>CforAT has previously been awarded compensation for work in this proceeding, including our substantial contribution to D.23-04-040, D.24-01-032 and D.24</w:t>
            </w:r>
            <w:r w:rsidR="00613FAB">
              <w:rPr>
                <w:color w:val="000000"/>
              </w:rPr>
              <w:noBreakHyphen/>
            </w:r>
            <w:r>
              <w:rPr>
                <w:color w:val="000000"/>
              </w:rPr>
              <w:t>05</w:t>
            </w:r>
            <w:r w:rsidR="00613FAB">
              <w:rPr>
                <w:color w:val="000000"/>
              </w:rPr>
              <w:noBreakHyphen/>
            </w:r>
            <w:r>
              <w:rPr>
                <w:color w:val="000000"/>
              </w:rPr>
              <w:t xml:space="preserve">028.  </w:t>
            </w:r>
            <w:r w:rsidRPr="0075509F">
              <w:rPr>
                <w:i/>
                <w:iCs/>
                <w:color w:val="000000"/>
              </w:rPr>
              <w:t>See</w:t>
            </w:r>
            <w:r>
              <w:rPr>
                <w:color w:val="000000"/>
              </w:rPr>
              <w:t xml:space="preserve"> D.25-03-023.  “A party found eligible for an award of compensation in one phase of a proceeding remains eligible in later phases, including any rehearing, in the same proceeding.”  Rule 17.2, CPUC Rules of Practice and Procedure.</w:t>
            </w:r>
          </w:p>
        </w:tc>
        <w:tc>
          <w:tcPr>
            <w:tcW w:w="2160" w:type="dxa"/>
          </w:tcPr>
          <w:p w:rsidRPr="007F620E" w:rsidR="007A3EA2" w:rsidP="009926F2" w:rsidRDefault="00D36071" w14:paraId="416D6250" w14:textId="2383E3EE">
            <w:pPr>
              <w:tabs>
                <w:tab w:val="left" w:pos="360"/>
              </w:tabs>
              <w:jc w:val="center"/>
              <w:rPr>
                <w:color w:val="000000"/>
              </w:rPr>
            </w:pPr>
            <w:r>
              <w:rPr>
                <w:color w:val="000000"/>
              </w:rPr>
              <w:t>Noted</w:t>
            </w:r>
          </w:p>
        </w:tc>
      </w:tr>
      <w:tr w:rsidRPr="007F620E" w:rsidR="007A3EA2" w:rsidTr="00CF6D76" w14:paraId="5FF3BD85" w14:textId="77777777">
        <w:trPr>
          <w:trHeight w:val="67"/>
        </w:trPr>
        <w:tc>
          <w:tcPr>
            <w:tcW w:w="355" w:type="dxa"/>
          </w:tcPr>
          <w:p w:rsidRPr="007F620E" w:rsidR="007A3EA2" w:rsidP="007A3EA2" w:rsidRDefault="007A3EA2" w14:paraId="2CE9B2E9" w14:textId="77777777">
            <w:pPr>
              <w:tabs>
                <w:tab w:val="left" w:pos="360"/>
              </w:tabs>
              <w:rPr>
                <w:color w:val="000000"/>
              </w:rPr>
            </w:pPr>
          </w:p>
        </w:tc>
        <w:tc>
          <w:tcPr>
            <w:tcW w:w="7020" w:type="dxa"/>
          </w:tcPr>
          <w:p w:rsidR="007A3EA2" w:rsidP="00613FAB" w:rsidRDefault="007A3EA2" w14:paraId="04108D4C" w14:textId="15CBD623">
            <w:pPr>
              <w:tabs>
                <w:tab w:val="left" w:pos="360"/>
              </w:tabs>
              <w:spacing w:after="120"/>
              <w:rPr>
                <w:color w:val="000000"/>
              </w:rPr>
            </w:pPr>
            <w:r>
              <w:rPr>
                <w:color w:val="000000"/>
              </w:rPr>
              <w:t>This compensation request includes time spent related to the implementation of the Income-Graduated Fixed Charge as authorized in D.24-05-028, which necessarily took place after that decision was issued.  The Track B Decision which triggered the deadline for filing this compensation request also closes the proceeding.  Rule 17.3 of the Commission’s Rules of Practice and Procedure authorizes intervenors to file a request for an award of compensation within 60 days after a decision closing a proceeding is issued.  Because all of CforAT’s work on efforts to implement the initial version of the fixed charge are within the scope of this proceeding (and directed by the provisions of D.24-05-028), CforAT submits that the closure of the proceeding authorizes this request for compensation for time spent on these implementation issues.  If the Commission determines that this time is not appropriate to consider for compensation in this proceeding, CforAT respectfully requests guidance on where it can properly be submitted, given that it was work done at the direction of a Commission decision for important policy actions.</w:t>
            </w:r>
          </w:p>
          <w:p w:rsidR="007A3EA2" w:rsidP="00613FAB" w:rsidRDefault="007A3EA2" w14:paraId="1C815E87" w14:textId="2DBA262B">
            <w:pPr>
              <w:tabs>
                <w:tab w:val="left" w:pos="360"/>
              </w:tabs>
              <w:spacing w:after="120"/>
              <w:rPr>
                <w:color w:val="000000"/>
              </w:rPr>
            </w:pPr>
            <w:r>
              <w:rPr>
                <w:color w:val="000000"/>
              </w:rPr>
              <w:t>As noted below, CforAT is not seeking compensation at this time for work done in the Process Working Group, also formed in compliance with D.24-05-028, because we expect that the recommendations and proposals developed by that working group will be considered in a successor proceeding and that stakeholders will be authorized to seek compensation for time spent working with the Process Working Group in that successor proceeding.</w:t>
            </w:r>
          </w:p>
        </w:tc>
        <w:tc>
          <w:tcPr>
            <w:tcW w:w="2160" w:type="dxa"/>
          </w:tcPr>
          <w:p w:rsidRPr="007F620E" w:rsidR="006B4303" w:rsidP="00D36071" w:rsidRDefault="00492835" w14:paraId="2A141844" w14:textId="2703DB8D">
            <w:pPr>
              <w:tabs>
                <w:tab w:val="left" w:pos="360"/>
              </w:tabs>
              <w:rPr>
                <w:color w:val="000000"/>
              </w:rPr>
            </w:pPr>
            <w:r w:rsidRPr="00D36071">
              <w:rPr>
                <w:color w:val="000000"/>
              </w:rPr>
              <w:t>Noted; CforAT’s claimed implementation-related work conducted pursuant to D.24-05-028 falls within scope of this proceeding. The Commission finds that such efforts</w:t>
            </w:r>
            <w:r>
              <w:rPr>
                <w:color w:val="000000"/>
              </w:rPr>
              <w:t>, including CforAT’s claimed RTP work, encompassing both Track B related and earlier RTP working group participation,</w:t>
            </w:r>
            <w:r w:rsidRPr="00D36071">
              <w:rPr>
                <w:color w:val="000000"/>
              </w:rPr>
              <w:t xml:space="preserve"> are considered here and are compensable to the extent they reflect a substantial contribution and are reasonable and non-duplicative.</w:t>
            </w:r>
          </w:p>
        </w:tc>
      </w:tr>
    </w:tbl>
    <w:p w:rsidR="003B6A1B" w:rsidP="00332605" w:rsidRDefault="00A92D0B" w14:paraId="501B5F3D" w14:textId="4F8FB93B">
      <w:pPr>
        <w:keepNext/>
        <w:spacing w:before="240"/>
        <w:jc w:val="center"/>
        <w:rPr>
          <w:b/>
          <w:color w:val="000000"/>
        </w:rPr>
      </w:pPr>
      <w:r w:rsidRPr="007F620E">
        <w:rPr>
          <w:b/>
          <w:color w:val="000000"/>
        </w:rPr>
        <w:lastRenderedPageBreak/>
        <w:t>PART II:</w:t>
      </w:r>
      <w:r w:rsidR="00D1778A">
        <w:rPr>
          <w:b/>
          <w:color w:val="000000"/>
        </w:rPr>
        <w:t xml:space="preserve">  </w:t>
      </w:r>
      <w:r w:rsidRPr="007F620E">
        <w:rPr>
          <w:b/>
          <w:color w:val="000000"/>
        </w:rPr>
        <w:t>SUBSTANTIAL CONTRIBUTION</w:t>
      </w:r>
    </w:p>
    <w:p w:rsidRPr="00C02649" w:rsidR="00A92D0B" w:rsidP="00332605" w:rsidRDefault="00D075B1" w14:paraId="337CC332" w14:textId="0A726315">
      <w:pPr>
        <w:keepNext/>
        <w:numPr>
          <w:ilvl w:val="0"/>
          <w:numId w:val="8"/>
        </w:numPr>
        <w:spacing w:after="12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w:t>
      </w:r>
      <w:r w:rsidRPr="004178AA" w:rsidR="004178AA">
        <w:rPr>
          <w:b/>
          <w:color w:val="000000"/>
        </w:rPr>
        <w:t>§</w:t>
      </w:r>
      <w:r w:rsidRPr="007F620E" w:rsidR="00A92D0B">
        <w:rPr>
          <w:b/>
          <w:color w:val="000000"/>
        </w:rPr>
        <w:t xml:space="preserve"> 1802(</w:t>
      </w:r>
      <w:r w:rsidR="00ED6B6B">
        <w:rPr>
          <w:b/>
          <w:color w:val="000000"/>
        </w:rPr>
        <w:t>j</w:t>
      </w:r>
      <w:r w:rsidRPr="007F620E" w:rsidR="00A92D0B">
        <w:rPr>
          <w:b/>
          <w:color w:val="000000"/>
        </w:rPr>
        <w:t>),</w:t>
      </w:r>
      <w:r w:rsidRPr="007F620E" w:rsidR="001E77CF">
        <w:rPr>
          <w:b/>
          <w:color w:val="000000"/>
        </w:rPr>
        <w:br/>
      </w:r>
      <w:r w:rsidRPr="007F620E" w:rsidR="00A92D0B">
        <w:rPr>
          <w:b/>
          <w:color w:val="000000"/>
        </w:rPr>
        <w:t>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p>
    <w:tbl>
      <w:tblPr>
        <w:tblpPr w:leftFromText="180" w:rightFromText="180" w:vertAnchor="text" w:tblpY="1"/>
        <w:tblOverlap w:val="neve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135"/>
        <w:gridCol w:w="3417"/>
        <w:gridCol w:w="1983"/>
      </w:tblGrid>
      <w:tr w:rsidRPr="007F620E" w:rsidR="00A92D0B" w:rsidTr="00F40949" w14:paraId="67755362" w14:textId="77777777">
        <w:trPr>
          <w:cantSplit/>
        </w:trPr>
        <w:tc>
          <w:tcPr>
            <w:tcW w:w="4135" w:type="dxa"/>
            <w:tcBorders>
              <w:bottom w:val="single" w:color="auto" w:sz="4" w:space="0"/>
            </w:tcBorders>
            <w:shd w:val="pct12" w:color="auto" w:fill="auto"/>
            <w:vAlign w:val="center"/>
          </w:tcPr>
          <w:p w:rsidRPr="007F620E" w:rsidR="00A92D0B" w:rsidP="00613FAB" w:rsidRDefault="00613FAB" w14:paraId="7CE2E5BB" w14:textId="7AACD5BD">
            <w:pPr>
              <w:jc w:val="center"/>
              <w:rPr>
                <w:b/>
                <w:color w:val="000000"/>
              </w:rPr>
            </w:pPr>
            <w:r w:rsidRPr="007F620E">
              <w:rPr>
                <w:b/>
                <w:color w:val="000000"/>
              </w:rPr>
              <w:t>INTERVENOR’S CLAIMED CONTRIBUTION(S)</w:t>
            </w:r>
          </w:p>
        </w:tc>
        <w:tc>
          <w:tcPr>
            <w:tcW w:w="3417" w:type="dxa"/>
            <w:tcBorders>
              <w:bottom w:val="single" w:color="auto" w:sz="4" w:space="0"/>
            </w:tcBorders>
            <w:shd w:val="pct12" w:color="auto" w:fill="auto"/>
            <w:vAlign w:val="center"/>
          </w:tcPr>
          <w:p w:rsidRPr="007F620E" w:rsidR="00A92D0B" w:rsidP="00613FAB" w:rsidRDefault="00613FAB" w14:paraId="2794272E" w14:textId="626E1BB1">
            <w:pPr>
              <w:jc w:val="center"/>
              <w:rPr>
                <w:b/>
                <w:color w:val="000000"/>
              </w:rPr>
            </w:pPr>
            <w:r w:rsidRPr="007F620E">
              <w:rPr>
                <w:b/>
                <w:color w:val="000000"/>
              </w:rPr>
              <w:t>SPECIFIC REFERENCES TO INTERVENOR’S CLAIMED CONTRIBUTION(S)</w:t>
            </w:r>
          </w:p>
        </w:tc>
        <w:tc>
          <w:tcPr>
            <w:tcW w:w="1983" w:type="dxa"/>
            <w:shd w:val="pct12" w:color="auto" w:fill="auto"/>
            <w:vAlign w:val="center"/>
          </w:tcPr>
          <w:p w:rsidRPr="007F620E" w:rsidR="00A92D0B" w:rsidP="00613FAB" w:rsidRDefault="00613FAB" w14:paraId="79AFC714" w14:textId="0A3E5005">
            <w:pPr>
              <w:jc w:val="center"/>
              <w:rPr>
                <w:b/>
                <w:color w:val="000000"/>
              </w:rPr>
            </w:pPr>
            <w:r w:rsidRPr="007F620E">
              <w:rPr>
                <w:b/>
                <w:color w:val="000000"/>
              </w:rPr>
              <w:t>CPUC DISCUSSION</w:t>
            </w:r>
          </w:p>
        </w:tc>
      </w:tr>
      <w:tr w:rsidRPr="007F620E" w:rsidR="008E16A1" w:rsidTr="00F40949" w14:paraId="5FE62417" w14:textId="77777777">
        <w:trPr>
          <w:tblHeader/>
        </w:trPr>
        <w:tc>
          <w:tcPr>
            <w:tcW w:w="4135" w:type="dxa"/>
          </w:tcPr>
          <w:p w:rsidR="008E16A1" w:rsidP="004178AA" w:rsidRDefault="008E16A1" w14:paraId="287FAE32" w14:textId="77777777">
            <w:pPr>
              <w:spacing w:after="120"/>
              <w:rPr>
                <w:b/>
                <w:bCs/>
                <w:color w:val="000000"/>
                <w:u w:val="single"/>
              </w:rPr>
            </w:pPr>
            <w:r w:rsidRPr="008E16A1">
              <w:rPr>
                <w:b/>
                <w:bCs/>
                <w:color w:val="000000"/>
                <w:u w:val="single"/>
              </w:rPr>
              <w:t>Overview of Participation:</w:t>
            </w:r>
          </w:p>
          <w:p w:rsidR="009472FC" w:rsidP="00483992" w:rsidRDefault="009D71A3" w14:paraId="10278432" w14:textId="4CFAC51F">
            <w:pPr>
              <w:rPr>
                <w:color w:val="000000"/>
              </w:rPr>
            </w:pPr>
            <w:r>
              <w:rPr>
                <w:color w:val="000000"/>
              </w:rPr>
              <w:t xml:space="preserve">In this proceeding, </w:t>
            </w:r>
            <w:r w:rsidR="008D1CE0">
              <w:rPr>
                <w:color w:val="000000"/>
              </w:rPr>
              <w:t xml:space="preserve">CforAT has </w:t>
            </w:r>
            <w:r>
              <w:rPr>
                <w:color w:val="000000"/>
              </w:rPr>
              <w:t>focused on the adoption and implementation of the income-graduated fixed charge (IGFC, subsequently renamed the Basic Services Charge or BSC)</w:t>
            </w:r>
            <w:r w:rsidR="005927FC">
              <w:rPr>
                <w:color w:val="000000"/>
              </w:rPr>
              <w:t xml:space="preserve">, addressed in Track A of this proceeding, </w:t>
            </w:r>
            <w:r>
              <w:rPr>
                <w:color w:val="000000"/>
              </w:rPr>
              <w:t xml:space="preserve">and the elements of </w:t>
            </w:r>
            <w:r w:rsidR="00E477B9">
              <w:rPr>
                <w:color w:val="000000"/>
              </w:rPr>
              <w:t xml:space="preserve">Demand Flexibility Rates </w:t>
            </w:r>
            <w:r w:rsidR="00086EC7">
              <w:rPr>
                <w:color w:val="000000"/>
              </w:rPr>
              <w:t xml:space="preserve">(DF Rates) </w:t>
            </w:r>
            <w:r w:rsidR="00E477B9">
              <w:rPr>
                <w:color w:val="000000"/>
              </w:rPr>
              <w:t xml:space="preserve">that most directly </w:t>
            </w:r>
            <w:r w:rsidR="009472FC">
              <w:rPr>
                <w:color w:val="000000"/>
              </w:rPr>
              <w:t xml:space="preserve">impact </w:t>
            </w:r>
            <w:r w:rsidR="0020328A">
              <w:rPr>
                <w:color w:val="000000"/>
              </w:rPr>
              <w:t>issues of equity and customer understanding</w:t>
            </w:r>
            <w:r w:rsidR="003E2847">
              <w:rPr>
                <w:color w:val="000000"/>
              </w:rPr>
              <w:t>, addressed in Track B of this proceeding.</w:t>
            </w:r>
            <w:r w:rsidR="00D95589">
              <w:rPr>
                <w:color w:val="000000"/>
              </w:rPr>
              <w:t xml:space="preserve">  This includes participation </w:t>
            </w:r>
            <w:r w:rsidR="00086EC7">
              <w:rPr>
                <w:color w:val="000000"/>
              </w:rPr>
              <w:t xml:space="preserve">in the </w:t>
            </w:r>
            <w:r w:rsidR="00D95589">
              <w:rPr>
                <w:color w:val="000000"/>
              </w:rPr>
              <w:t>Track B</w:t>
            </w:r>
            <w:r w:rsidR="00086EC7">
              <w:rPr>
                <w:color w:val="000000"/>
              </w:rPr>
              <w:t xml:space="preserve"> Working Group 1</w:t>
            </w:r>
            <w:r w:rsidR="00D23733">
              <w:rPr>
                <w:color w:val="000000"/>
              </w:rPr>
              <w:t>.</w:t>
            </w:r>
          </w:p>
          <w:p w:rsidR="00332605" w:rsidP="00483992" w:rsidRDefault="00332605" w14:paraId="3E22EE67" w14:textId="77777777">
            <w:pPr>
              <w:rPr>
                <w:color w:val="000000"/>
              </w:rPr>
            </w:pPr>
          </w:p>
          <w:p w:rsidR="008D1CE0" w:rsidP="00483992" w:rsidRDefault="00234BA3" w14:paraId="228C964D" w14:textId="2957A36E">
            <w:pPr>
              <w:rPr>
                <w:color w:val="000000"/>
              </w:rPr>
            </w:pPr>
            <w:r>
              <w:rPr>
                <w:color w:val="000000"/>
              </w:rPr>
              <w:t xml:space="preserve">Our participation in </w:t>
            </w:r>
            <w:r w:rsidR="00D828C0">
              <w:rPr>
                <w:color w:val="000000"/>
              </w:rPr>
              <w:t xml:space="preserve">Track B </w:t>
            </w:r>
            <w:r>
              <w:rPr>
                <w:color w:val="000000"/>
              </w:rPr>
              <w:t xml:space="preserve"> Working Group </w:t>
            </w:r>
            <w:r w:rsidR="00D828C0">
              <w:rPr>
                <w:color w:val="000000"/>
              </w:rPr>
              <w:t xml:space="preserve">1 </w:t>
            </w:r>
            <w:r w:rsidR="00123651">
              <w:rPr>
                <w:color w:val="000000"/>
              </w:rPr>
              <w:t xml:space="preserve">is </w:t>
            </w:r>
            <w:r w:rsidR="00086EC7">
              <w:rPr>
                <w:color w:val="000000"/>
              </w:rPr>
              <w:t xml:space="preserve">addressed and </w:t>
            </w:r>
            <w:r w:rsidR="00123651">
              <w:rPr>
                <w:color w:val="000000"/>
              </w:rPr>
              <w:t xml:space="preserve">included in this compensation request.  </w:t>
            </w:r>
            <w:r w:rsidR="00086EC7">
              <w:rPr>
                <w:color w:val="000000"/>
              </w:rPr>
              <w:t xml:space="preserve">CforAT noted in our previous compensation request that time spent on DF Rates </w:t>
            </w:r>
            <w:r w:rsidR="00BB765B">
              <w:rPr>
                <w:color w:val="000000"/>
              </w:rPr>
              <w:t xml:space="preserve">(also called RTP Rates, and the Working Group </w:t>
            </w:r>
            <w:r w:rsidR="00980552">
              <w:rPr>
                <w:color w:val="000000"/>
              </w:rPr>
              <w:t xml:space="preserve">efforts were identified as RTP Working Group) </w:t>
            </w:r>
            <w:r w:rsidR="00086EC7">
              <w:rPr>
                <w:color w:val="000000"/>
              </w:rPr>
              <w:t>was not included, as those issues had not yet been addressed in a Commission Decision.</w:t>
            </w:r>
          </w:p>
          <w:p w:rsidR="00332605" w:rsidP="00483992" w:rsidRDefault="00332605" w14:paraId="2CC638E5" w14:textId="77777777">
            <w:pPr>
              <w:rPr>
                <w:color w:val="000000"/>
              </w:rPr>
            </w:pPr>
          </w:p>
          <w:p w:rsidRPr="004178AA" w:rsidR="008E16A1" w:rsidP="004178AA" w:rsidRDefault="003E2847" w14:paraId="0EBE839F" w14:textId="2E08D662">
            <w:pPr>
              <w:spacing w:after="120"/>
              <w:rPr>
                <w:color w:val="000000"/>
              </w:rPr>
            </w:pPr>
            <w:r>
              <w:rPr>
                <w:color w:val="000000"/>
              </w:rPr>
              <w:t>Since the adoption of the Fixed Charge Decision, D.</w:t>
            </w:r>
            <w:r w:rsidR="000C2242">
              <w:rPr>
                <w:color w:val="000000"/>
              </w:rPr>
              <w:t xml:space="preserve">24-05-028, CforAT has </w:t>
            </w:r>
            <w:r w:rsidR="003B46C5">
              <w:rPr>
                <w:color w:val="000000"/>
              </w:rPr>
              <w:t xml:space="preserve">also </w:t>
            </w:r>
            <w:r w:rsidR="000C2242">
              <w:rPr>
                <w:color w:val="000000"/>
              </w:rPr>
              <w:t>participated in both the authorized</w:t>
            </w:r>
            <w:r w:rsidR="00D828C0">
              <w:rPr>
                <w:color w:val="000000"/>
              </w:rPr>
              <w:t xml:space="preserve"> BSC </w:t>
            </w:r>
            <w:r w:rsidR="000C2242">
              <w:rPr>
                <w:color w:val="000000"/>
              </w:rPr>
              <w:t xml:space="preserve">Implementation Working Group and the </w:t>
            </w:r>
            <w:r w:rsidR="00D828C0">
              <w:rPr>
                <w:color w:val="000000"/>
              </w:rPr>
              <w:t xml:space="preserve">BSC </w:t>
            </w:r>
            <w:r w:rsidR="000C2242">
              <w:rPr>
                <w:color w:val="000000"/>
              </w:rPr>
              <w:t>Process Working Group</w:t>
            </w:r>
            <w:r w:rsidR="003B46C5">
              <w:rPr>
                <w:color w:val="000000"/>
              </w:rPr>
              <w:t>, each of which was specifically authorized and charged with various tasks in that Decision</w:t>
            </w:r>
            <w:r w:rsidR="004E168E">
              <w:rPr>
                <w:color w:val="000000"/>
              </w:rPr>
              <w:t>.  As detailed below, work with the</w:t>
            </w:r>
            <w:r w:rsidR="00D828C0">
              <w:rPr>
                <w:color w:val="000000"/>
              </w:rPr>
              <w:t xml:space="preserve"> BSC</w:t>
            </w:r>
            <w:r w:rsidR="004E168E">
              <w:rPr>
                <w:color w:val="000000"/>
              </w:rPr>
              <w:t xml:space="preserve"> Implementation Working Group is included in this request for compensation, while work in the </w:t>
            </w:r>
            <w:r w:rsidR="00D828C0">
              <w:rPr>
                <w:color w:val="000000"/>
              </w:rPr>
              <w:t xml:space="preserve">BSC </w:t>
            </w:r>
            <w:r w:rsidR="004E168E">
              <w:rPr>
                <w:color w:val="000000"/>
              </w:rPr>
              <w:lastRenderedPageBreak/>
              <w:t xml:space="preserve">Process Working Group is deferred </w:t>
            </w:r>
            <w:r w:rsidR="00D95589">
              <w:rPr>
                <w:color w:val="000000"/>
              </w:rPr>
              <w:t>for submission in the upcoming new proceeding addressing a second iteration of the BSC.</w:t>
            </w:r>
          </w:p>
        </w:tc>
        <w:tc>
          <w:tcPr>
            <w:tcW w:w="3417" w:type="dxa"/>
          </w:tcPr>
          <w:p w:rsidRPr="007F620E" w:rsidR="008E16A1" w:rsidP="00483992" w:rsidRDefault="008E16A1" w14:paraId="3DCC146C" w14:textId="77777777">
            <w:pPr>
              <w:rPr>
                <w:color w:val="000000"/>
              </w:rPr>
            </w:pPr>
          </w:p>
        </w:tc>
        <w:tc>
          <w:tcPr>
            <w:tcW w:w="1983" w:type="dxa"/>
          </w:tcPr>
          <w:p w:rsidRPr="007F620E" w:rsidR="008E16A1" w:rsidP="00613FAB" w:rsidRDefault="00D36071" w14:paraId="59384CC6" w14:textId="362C28CC">
            <w:pPr>
              <w:jc w:val="center"/>
              <w:rPr>
                <w:color w:val="000000"/>
              </w:rPr>
            </w:pPr>
            <w:r>
              <w:rPr>
                <w:color w:val="000000"/>
              </w:rPr>
              <w:t>Noted</w:t>
            </w:r>
          </w:p>
        </w:tc>
      </w:tr>
      <w:tr w:rsidRPr="007F620E" w:rsidR="00A92D0B" w:rsidTr="00F40949" w14:paraId="2E691FFC" w14:textId="77777777">
        <w:trPr>
          <w:tblHeader/>
        </w:trPr>
        <w:tc>
          <w:tcPr>
            <w:tcW w:w="4135" w:type="dxa"/>
          </w:tcPr>
          <w:p w:rsidR="00440590" w:rsidP="004178AA" w:rsidRDefault="00440590" w14:paraId="460E6D31" w14:textId="2C00B4A9">
            <w:pPr>
              <w:spacing w:after="120"/>
              <w:rPr>
                <w:b/>
                <w:bCs/>
                <w:color w:val="000000"/>
                <w:u w:val="single"/>
              </w:rPr>
            </w:pPr>
            <w:r>
              <w:rPr>
                <w:b/>
                <w:bCs/>
                <w:color w:val="000000"/>
                <w:u w:val="single"/>
              </w:rPr>
              <w:t>Demand Flexibility Rates:</w:t>
            </w:r>
          </w:p>
          <w:p w:rsidR="004178AA" w:rsidP="00483992" w:rsidRDefault="00F11A98" w14:paraId="3459C293" w14:textId="77777777">
            <w:pPr>
              <w:rPr>
                <w:color w:val="000000"/>
              </w:rPr>
            </w:pPr>
            <w:r>
              <w:rPr>
                <w:color w:val="000000"/>
              </w:rPr>
              <w:t>In our prior compensation request in this proceeding, CforAT noted that we had “</w:t>
            </w:r>
            <w:r w:rsidR="006718F2">
              <w:rPr>
                <w:color w:val="000000"/>
              </w:rPr>
              <w:t xml:space="preserve">spent time participating on Real Time Pricing (RTP) issues, including the working group process created to address these issues in Track B of this proceeding.”  CforAT Compensation Request filed on </w:t>
            </w:r>
            <w:r w:rsidR="00E7592D">
              <w:rPr>
                <w:color w:val="000000"/>
              </w:rPr>
              <w:t>July 12, 2024</w:t>
            </w:r>
            <w:r w:rsidR="00A44962">
              <w:rPr>
                <w:color w:val="000000"/>
              </w:rPr>
              <w:t xml:space="preserve">. </w:t>
            </w:r>
            <w:r w:rsidR="00E7592D">
              <w:rPr>
                <w:color w:val="000000"/>
              </w:rPr>
              <w:t xml:space="preserve"> </w:t>
            </w:r>
            <w:r w:rsidR="006718F2">
              <w:rPr>
                <w:color w:val="000000"/>
              </w:rPr>
              <w:t xml:space="preserve">Because </w:t>
            </w:r>
            <w:r w:rsidR="0064512F">
              <w:rPr>
                <w:color w:val="000000"/>
              </w:rPr>
              <w:t xml:space="preserve">the RTP issues had not yet been addressed in a decision at the time that compensation request was filed, CforAT noted that it would submit time on RTP issues </w:t>
            </w:r>
            <w:r w:rsidR="00344D7B">
              <w:rPr>
                <w:color w:val="000000"/>
              </w:rPr>
              <w:t xml:space="preserve">in </w:t>
            </w:r>
            <w:r w:rsidR="00A44962">
              <w:rPr>
                <w:color w:val="000000"/>
              </w:rPr>
              <w:t xml:space="preserve">a subsequent </w:t>
            </w:r>
            <w:r w:rsidR="00344D7B">
              <w:rPr>
                <w:color w:val="000000"/>
              </w:rPr>
              <w:t xml:space="preserve">request </w:t>
            </w:r>
            <w:r w:rsidR="0064512F">
              <w:rPr>
                <w:color w:val="000000"/>
              </w:rPr>
              <w:t>(without duplicating the submission of any time records that may have incidentally included RTP issues).</w:t>
            </w:r>
          </w:p>
          <w:p w:rsidR="00332605" w:rsidP="00483992" w:rsidRDefault="00332605" w14:paraId="11C36671" w14:textId="77777777">
            <w:pPr>
              <w:rPr>
                <w:color w:val="000000"/>
              </w:rPr>
            </w:pPr>
          </w:p>
          <w:p w:rsidR="00137D30" w:rsidP="00483992" w:rsidRDefault="00636DF1" w14:paraId="7CC1FD90" w14:textId="16F79D49">
            <w:pPr>
              <w:rPr>
                <w:color w:val="000000"/>
              </w:rPr>
            </w:pPr>
            <w:r>
              <w:rPr>
                <w:color w:val="000000"/>
              </w:rPr>
              <w:t>This compensation request includes records showing work dating back to the creation of the RTP working groups</w:t>
            </w:r>
            <w:r w:rsidR="000B2EE9">
              <w:rPr>
                <w:color w:val="000000"/>
              </w:rPr>
              <w:t xml:space="preserve">, </w:t>
            </w:r>
            <w:r w:rsidR="00137D30">
              <w:rPr>
                <w:color w:val="000000"/>
              </w:rPr>
              <w:t>which influenced the Track B Decision.</w:t>
            </w:r>
          </w:p>
          <w:p w:rsidR="00137D30" w:rsidP="00483992" w:rsidRDefault="00137D30" w14:paraId="08C976CE" w14:textId="77777777">
            <w:pPr>
              <w:rPr>
                <w:color w:val="000000"/>
              </w:rPr>
            </w:pPr>
          </w:p>
          <w:p w:rsidR="004178AA" w:rsidP="004178AA" w:rsidRDefault="002113A2" w14:paraId="2B1C0F0E" w14:textId="77777777">
            <w:pPr>
              <w:spacing w:after="120"/>
              <w:rPr>
                <w:color w:val="000000"/>
              </w:rPr>
            </w:pPr>
            <w:r>
              <w:rPr>
                <w:color w:val="000000"/>
              </w:rPr>
              <w:t xml:space="preserve">As noted in the Track B Decision, CforAT also </w:t>
            </w:r>
            <w:r w:rsidR="00B362F7">
              <w:rPr>
                <w:color w:val="000000"/>
              </w:rPr>
              <w:t xml:space="preserve">filed reply comments on the April 24, 2024 Ruling </w:t>
            </w:r>
            <w:r w:rsidR="00793B51">
              <w:rPr>
                <w:color w:val="000000"/>
              </w:rPr>
              <w:t>addressing Track B Proposals</w:t>
            </w:r>
            <w:r w:rsidR="00A0574E">
              <w:rPr>
                <w:color w:val="000000"/>
              </w:rPr>
              <w:t xml:space="preserve"> and </w:t>
            </w:r>
            <w:r w:rsidR="004972FE">
              <w:rPr>
                <w:color w:val="000000"/>
              </w:rPr>
              <w:t xml:space="preserve">both Opening and </w:t>
            </w:r>
            <w:r w:rsidR="00A0574E">
              <w:rPr>
                <w:color w:val="000000"/>
              </w:rPr>
              <w:t>Reply Comments on the Track B Decision.</w:t>
            </w:r>
          </w:p>
          <w:p w:rsidR="004178AA" w:rsidP="004178AA" w:rsidRDefault="008B3183" w14:paraId="0C9CF04D" w14:textId="416DC49A">
            <w:pPr>
              <w:spacing w:after="120"/>
              <w:rPr>
                <w:color w:val="000000"/>
              </w:rPr>
            </w:pPr>
            <w:r>
              <w:rPr>
                <w:color w:val="000000"/>
              </w:rPr>
              <w:t>While CforAT’s time records refer to these entries as addressing RTP issues and the RTP Working Group, the Track B Decision tends to refer to them as DF Rates and DF rate design issues.</w:t>
            </w:r>
          </w:p>
          <w:p w:rsidR="008B3183" w:rsidP="00483992" w:rsidRDefault="008B3183" w14:paraId="70F92006" w14:textId="2E9105EC">
            <w:pPr>
              <w:rPr>
                <w:color w:val="000000"/>
              </w:rPr>
            </w:pPr>
            <w:r>
              <w:rPr>
                <w:color w:val="000000"/>
              </w:rPr>
              <w:t>CforAT uses these two terms interchangeably.</w:t>
            </w:r>
          </w:p>
          <w:p w:rsidR="00F677E9" w:rsidP="00483992" w:rsidRDefault="00F677E9" w14:paraId="2944EA99" w14:textId="77777777">
            <w:pPr>
              <w:rPr>
                <w:color w:val="000000"/>
              </w:rPr>
            </w:pPr>
          </w:p>
          <w:p w:rsidR="00F677E9" w:rsidP="00483992" w:rsidRDefault="00F677E9" w14:paraId="1F905EF1" w14:textId="2ED7D838">
            <w:pPr>
              <w:rPr>
                <w:i/>
                <w:iCs/>
                <w:color w:val="000000"/>
              </w:rPr>
            </w:pPr>
            <w:r>
              <w:rPr>
                <w:i/>
                <w:iCs/>
                <w:color w:val="000000"/>
              </w:rPr>
              <w:t>Working Group Participation and Comments:</w:t>
            </w:r>
          </w:p>
          <w:p w:rsidRPr="00D3402A" w:rsidR="00F677E9" w:rsidP="00483992" w:rsidRDefault="00EE3498" w14:paraId="09380412" w14:textId="2E6188A3">
            <w:pPr>
              <w:rPr>
                <w:i/>
                <w:iCs/>
                <w:color w:val="000000"/>
              </w:rPr>
            </w:pPr>
            <w:r w:rsidRPr="00EE3498">
              <w:rPr>
                <w:color w:val="000000"/>
              </w:rPr>
              <w:lastRenderedPageBreak/>
              <w:t xml:space="preserve">CforAT was an active participant in Working Group 1 of Track B, whose efforts </w:t>
            </w:r>
            <w:r w:rsidR="006E4FFA">
              <w:rPr>
                <w:color w:val="000000"/>
              </w:rPr>
              <w:t>are reflected throughout the Track B Decision.  As noted, “Working Group 1 participants include[ed] representatives from investor-owned utilities (IOUs), community choice aggregators (CCAs), consumer advocacy groups, device manufacturers, third-party providers, and other potential stakeholders</w:t>
            </w:r>
            <w:r w:rsidR="00D3402A">
              <w:rPr>
                <w:color w:val="000000"/>
              </w:rPr>
              <w:t>…”  Track B Decision at p.</w:t>
            </w:r>
            <w:r w:rsidR="004178AA">
              <w:rPr>
                <w:color w:val="000000"/>
              </w:rPr>
              <w:t> </w:t>
            </w:r>
            <w:r w:rsidR="00D3402A">
              <w:rPr>
                <w:color w:val="000000"/>
              </w:rPr>
              <w:t xml:space="preserve">9.  The work of this group was compiled into a report, including various rate design proposals and participant comments.  </w:t>
            </w:r>
            <w:r w:rsidR="00D3402A">
              <w:rPr>
                <w:i/>
                <w:iCs/>
                <w:color w:val="000000"/>
              </w:rPr>
              <w:t>Id.</w:t>
            </w:r>
          </w:p>
          <w:p w:rsidR="00591EBD" w:rsidP="00483992" w:rsidRDefault="00591EBD" w14:paraId="257D866A" w14:textId="77777777">
            <w:pPr>
              <w:rPr>
                <w:color w:val="000000"/>
              </w:rPr>
            </w:pPr>
          </w:p>
          <w:p w:rsidR="0085047E" w:rsidP="00483992" w:rsidRDefault="0080420C" w14:paraId="5EC9F8E8" w14:textId="055C8110">
            <w:pPr>
              <w:rPr>
                <w:i/>
                <w:iCs/>
                <w:color w:val="000000"/>
              </w:rPr>
            </w:pPr>
            <w:r>
              <w:rPr>
                <w:i/>
                <w:iCs/>
                <w:color w:val="000000"/>
              </w:rPr>
              <w:t>Two Part Subscription Tariffs:</w:t>
            </w:r>
          </w:p>
          <w:p w:rsidR="0080420C" w:rsidP="00483992" w:rsidRDefault="00EE05FD" w14:paraId="6A8A84AF" w14:textId="629B6F37">
            <w:pPr>
              <w:rPr>
                <w:color w:val="000000"/>
              </w:rPr>
            </w:pPr>
            <w:r>
              <w:rPr>
                <w:color w:val="000000"/>
              </w:rPr>
              <w:t xml:space="preserve">CforAT noted that low-income households, who move more frequently and have more fluid membership than non-low-income households, might </w:t>
            </w:r>
            <w:r w:rsidR="000D2E72">
              <w:rPr>
                <w:color w:val="000000"/>
              </w:rPr>
              <w:t>be difficult to map to appropriate load-shape subscriptions, which might risk high bill volatility for such households on a DF rate</w:t>
            </w:r>
            <w:r w:rsidR="00020A3E">
              <w:rPr>
                <w:color w:val="000000"/>
              </w:rPr>
              <w:t xml:space="preserve">.  </w:t>
            </w:r>
            <w:r w:rsidR="00AE306E">
              <w:rPr>
                <w:color w:val="000000"/>
              </w:rPr>
              <w:t xml:space="preserve">Track B Decision </w:t>
            </w:r>
            <w:r w:rsidR="00020A3E">
              <w:rPr>
                <w:color w:val="000000"/>
              </w:rPr>
              <w:t>at p. 108, citing Working Group Report at p.</w:t>
            </w:r>
            <w:r w:rsidR="004178AA">
              <w:rPr>
                <w:color w:val="000000"/>
              </w:rPr>
              <w:t> </w:t>
            </w:r>
            <w:r w:rsidR="00020A3E">
              <w:rPr>
                <w:color w:val="000000"/>
              </w:rPr>
              <w:t>26.</w:t>
            </w:r>
          </w:p>
          <w:p w:rsidR="002468E7" w:rsidP="00483992" w:rsidRDefault="002468E7" w14:paraId="16579DC3" w14:textId="77777777">
            <w:pPr>
              <w:rPr>
                <w:color w:val="000000"/>
              </w:rPr>
            </w:pPr>
          </w:p>
          <w:p w:rsidR="002468E7" w:rsidP="00483992" w:rsidRDefault="002468E7" w14:paraId="0FB2CEBB" w14:textId="2C73AEC9">
            <w:pPr>
              <w:rPr>
                <w:i/>
                <w:iCs/>
                <w:color w:val="000000"/>
              </w:rPr>
            </w:pPr>
            <w:r>
              <w:rPr>
                <w:i/>
                <w:iCs/>
                <w:color w:val="000000"/>
              </w:rPr>
              <w:t>Customer Protections:</w:t>
            </w:r>
          </w:p>
          <w:p w:rsidR="002468E7" w:rsidP="00483992" w:rsidRDefault="002468E7" w14:paraId="126EB6F4" w14:textId="3E129591">
            <w:pPr>
              <w:rPr>
                <w:color w:val="000000"/>
              </w:rPr>
            </w:pPr>
            <w:r>
              <w:rPr>
                <w:color w:val="000000"/>
              </w:rPr>
              <w:t>CforAT</w:t>
            </w:r>
            <w:r w:rsidR="00F808C6">
              <w:rPr>
                <w:color w:val="000000"/>
              </w:rPr>
              <w:t xml:space="preserve"> demanded increase</w:t>
            </w:r>
            <w:r w:rsidR="0060244E">
              <w:rPr>
                <w:color w:val="000000"/>
              </w:rPr>
              <w:t>d</w:t>
            </w:r>
            <w:r w:rsidR="00F808C6">
              <w:rPr>
                <w:color w:val="000000"/>
              </w:rPr>
              <w:t xml:space="preserve"> bill protection options</w:t>
            </w:r>
            <w:r w:rsidR="0060244E">
              <w:rPr>
                <w:color w:val="000000"/>
              </w:rPr>
              <w:t>,</w:t>
            </w:r>
            <w:r w:rsidR="00F808C6">
              <w:rPr>
                <w:color w:val="000000"/>
              </w:rPr>
              <w:t xml:space="preserve"> particularly regarding third-party management of customer bills, and noted the risk</w:t>
            </w:r>
            <w:r w:rsidR="005E251E">
              <w:rPr>
                <w:color w:val="000000"/>
              </w:rPr>
              <w:t xml:space="preserve"> of under</w:t>
            </w:r>
            <w:r w:rsidR="00D23733">
              <w:rPr>
                <w:color w:val="000000"/>
              </w:rPr>
              <w:t>-</w:t>
            </w:r>
            <w:r w:rsidR="005E251E">
              <w:rPr>
                <w:color w:val="000000"/>
              </w:rPr>
              <w:t xml:space="preserve">collection from customers selecting a DF rate due to self-selection, which would create challenges for expanding a program more broadly.  </w:t>
            </w:r>
            <w:r w:rsidR="00AE306E">
              <w:rPr>
                <w:color w:val="000000"/>
              </w:rPr>
              <w:t xml:space="preserve">Track B Decision </w:t>
            </w:r>
            <w:r w:rsidR="005E251E">
              <w:rPr>
                <w:color w:val="000000"/>
              </w:rPr>
              <w:t xml:space="preserve">at p. </w:t>
            </w:r>
            <w:r w:rsidR="000C3C97">
              <w:rPr>
                <w:color w:val="000000"/>
              </w:rPr>
              <w:t>110, citing Working Group Report at p. 93.</w:t>
            </w:r>
          </w:p>
          <w:p w:rsidR="0030045F" w:rsidP="00483992" w:rsidRDefault="0030045F" w14:paraId="4AEBA821" w14:textId="77777777">
            <w:pPr>
              <w:rPr>
                <w:color w:val="000000"/>
              </w:rPr>
            </w:pPr>
          </w:p>
          <w:p w:rsidR="0030045F" w:rsidP="00483992" w:rsidRDefault="000322BF" w14:paraId="363FD7CF" w14:textId="3851060B">
            <w:pPr>
              <w:rPr>
                <w:i/>
                <w:iCs/>
                <w:color w:val="000000"/>
              </w:rPr>
            </w:pPr>
            <w:r>
              <w:rPr>
                <w:i/>
                <w:iCs/>
                <w:color w:val="000000"/>
              </w:rPr>
              <w:t>Comments on Equity and Access:</w:t>
            </w:r>
          </w:p>
          <w:p w:rsidR="000322BF" w:rsidP="00483992" w:rsidRDefault="00FF7A07" w14:paraId="1A08F466" w14:textId="4BFD08C5">
            <w:pPr>
              <w:rPr>
                <w:color w:val="000000"/>
              </w:rPr>
            </w:pPr>
            <w:r>
              <w:rPr>
                <w:color w:val="000000"/>
              </w:rPr>
              <w:t xml:space="preserve">As noted in the Track B Decision, CforAT expressed concern about the JOIN IOU proposal on ME&amp;O, “calling into question how ‘specifically targeted ME&amp;O’ and the potential for ‘targeted </w:t>
            </w:r>
            <w:r>
              <w:rPr>
                <w:color w:val="000000"/>
              </w:rPr>
              <w:lastRenderedPageBreak/>
              <w:t xml:space="preserve">incentives’ would be implemented; and with the staff’s proposal because it does not address the challenges associated with the up-front cost of DERs and customer protections.”  Track B Decision at p. 124, citing </w:t>
            </w:r>
            <w:r w:rsidR="003C37D9">
              <w:rPr>
                <w:color w:val="000000"/>
              </w:rPr>
              <w:t>Working Group Report at pp. 32-33.</w:t>
            </w:r>
          </w:p>
          <w:p w:rsidR="003C37D9" w:rsidP="00483992" w:rsidRDefault="003C37D9" w14:paraId="34874E72" w14:textId="77777777">
            <w:pPr>
              <w:rPr>
                <w:color w:val="000000"/>
              </w:rPr>
            </w:pPr>
          </w:p>
          <w:p w:rsidRPr="007F620E" w:rsidR="00E25078" w:rsidP="00483992" w:rsidRDefault="003C37D9" w14:paraId="1B0CC007" w14:textId="6332D8FC">
            <w:pPr>
              <w:rPr>
                <w:color w:val="000000"/>
              </w:rPr>
            </w:pPr>
            <w:r>
              <w:rPr>
                <w:color w:val="000000"/>
              </w:rPr>
              <w:t>CforAT also expressed concerns about DF Rate Proposal impacts on low-income communities, including the fact that such rates are unlikely to impact EV adoption or address landlord</w:t>
            </w:r>
            <w:r w:rsidR="007175A7">
              <w:rPr>
                <w:color w:val="000000"/>
              </w:rPr>
              <w:t>/</w:t>
            </w:r>
            <w:r>
              <w:rPr>
                <w:color w:val="000000"/>
              </w:rPr>
              <w:t>tenant issues that</w:t>
            </w:r>
            <w:r w:rsidR="007175A7">
              <w:rPr>
                <w:color w:val="000000"/>
              </w:rPr>
              <w:t xml:space="preserve"> </w:t>
            </w:r>
            <w:r>
              <w:rPr>
                <w:color w:val="000000"/>
              </w:rPr>
              <w:t xml:space="preserve">need to be </w:t>
            </w:r>
            <w:r w:rsidR="007175A7">
              <w:rPr>
                <w:color w:val="000000"/>
              </w:rPr>
              <w:t xml:space="preserve">resolved before upgrades can be installed.  Track B Decision at p. </w:t>
            </w:r>
            <w:r w:rsidR="00E43783">
              <w:rPr>
                <w:color w:val="000000"/>
              </w:rPr>
              <w:t xml:space="preserve"> 124.  The Decision </w:t>
            </w:r>
            <w:r w:rsidR="00CF28C2">
              <w:rPr>
                <w:color w:val="000000"/>
              </w:rPr>
              <w:t>further</w:t>
            </w:r>
            <w:r w:rsidR="00E43783">
              <w:rPr>
                <w:color w:val="000000"/>
              </w:rPr>
              <w:t xml:space="preserve"> notes </w:t>
            </w:r>
            <w:r w:rsidR="00CF28C2">
              <w:rPr>
                <w:color w:val="000000"/>
              </w:rPr>
              <w:t>CforAT’s</w:t>
            </w:r>
            <w:r w:rsidR="00E43783">
              <w:rPr>
                <w:color w:val="000000"/>
              </w:rPr>
              <w:t xml:space="preserve"> concern that neither the Microgrid RC’s proposal nor the Staff proposal adequately address DF challenges faced by low-income communities or methods to alleviate barriers to participation.   </w:t>
            </w:r>
            <w:r w:rsidR="00CF28C2">
              <w:rPr>
                <w:color w:val="000000"/>
              </w:rPr>
              <w:t>Track B. Decision at pp. 124-125.</w:t>
            </w:r>
          </w:p>
        </w:tc>
        <w:tc>
          <w:tcPr>
            <w:tcW w:w="3417" w:type="dxa"/>
          </w:tcPr>
          <w:p w:rsidR="00A92D0B" w:rsidP="00483992" w:rsidRDefault="00A92D0B" w14:paraId="6715A82F" w14:textId="77777777">
            <w:pPr>
              <w:rPr>
                <w:color w:val="000000"/>
              </w:rPr>
            </w:pPr>
          </w:p>
          <w:p w:rsidR="002B7D94" w:rsidP="00483992" w:rsidRDefault="002B7D94" w14:paraId="2AFFB689" w14:textId="77777777">
            <w:pPr>
              <w:rPr>
                <w:color w:val="000000"/>
              </w:rPr>
            </w:pPr>
          </w:p>
          <w:p w:rsidR="002B7D94" w:rsidP="00483992" w:rsidRDefault="002B7D94" w14:paraId="3C5368F2" w14:textId="77777777">
            <w:pPr>
              <w:rPr>
                <w:color w:val="000000"/>
              </w:rPr>
            </w:pPr>
          </w:p>
          <w:p w:rsidR="002B7D94" w:rsidP="00483992" w:rsidRDefault="002B7D94" w14:paraId="4EB698BE" w14:textId="77777777">
            <w:pPr>
              <w:rPr>
                <w:color w:val="000000"/>
              </w:rPr>
            </w:pPr>
          </w:p>
          <w:p w:rsidR="002B7D94" w:rsidP="00483992" w:rsidRDefault="002B7D94" w14:paraId="207060C2" w14:textId="77777777">
            <w:pPr>
              <w:rPr>
                <w:color w:val="000000"/>
              </w:rPr>
            </w:pPr>
          </w:p>
          <w:p w:rsidR="002B7D94" w:rsidP="00483992" w:rsidRDefault="002B7D94" w14:paraId="3FBF44E3" w14:textId="77777777">
            <w:pPr>
              <w:rPr>
                <w:color w:val="000000"/>
              </w:rPr>
            </w:pPr>
          </w:p>
          <w:p w:rsidR="002B7D94" w:rsidP="00483992" w:rsidRDefault="002B7D94" w14:paraId="6B239228" w14:textId="77777777">
            <w:pPr>
              <w:rPr>
                <w:color w:val="000000"/>
              </w:rPr>
            </w:pPr>
          </w:p>
          <w:p w:rsidR="002B7D94" w:rsidP="00483992" w:rsidRDefault="002B7D94" w14:paraId="10A09B76" w14:textId="77777777">
            <w:pPr>
              <w:rPr>
                <w:color w:val="000000"/>
              </w:rPr>
            </w:pPr>
          </w:p>
          <w:p w:rsidR="002B7D94" w:rsidP="00483992" w:rsidRDefault="002B7D94" w14:paraId="3DA86999" w14:textId="77777777">
            <w:pPr>
              <w:rPr>
                <w:color w:val="000000"/>
              </w:rPr>
            </w:pPr>
          </w:p>
          <w:p w:rsidR="002B7D94" w:rsidP="00483992" w:rsidRDefault="002B7D94" w14:paraId="5B408A19" w14:textId="77777777">
            <w:pPr>
              <w:rPr>
                <w:color w:val="000000"/>
              </w:rPr>
            </w:pPr>
          </w:p>
          <w:p w:rsidR="002B7D94" w:rsidP="00483992" w:rsidRDefault="002B7D94" w14:paraId="2805507E" w14:textId="77777777">
            <w:pPr>
              <w:rPr>
                <w:color w:val="000000"/>
              </w:rPr>
            </w:pPr>
          </w:p>
          <w:p w:rsidR="002B7D94" w:rsidP="00483992" w:rsidRDefault="002B7D94" w14:paraId="326FC5CE" w14:textId="77777777">
            <w:pPr>
              <w:rPr>
                <w:color w:val="000000"/>
              </w:rPr>
            </w:pPr>
          </w:p>
          <w:p w:rsidR="002B7D94" w:rsidP="00483992" w:rsidRDefault="002B7D94" w14:paraId="0ED09770" w14:textId="77777777">
            <w:pPr>
              <w:rPr>
                <w:color w:val="000000"/>
              </w:rPr>
            </w:pPr>
          </w:p>
          <w:p w:rsidR="002B7D94" w:rsidP="00483992" w:rsidRDefault="002B7D94" w14:paraId="228094C1" w14:textId="77777777">
            <w:pPr>
              <w:rPr>
                <w:color w:val="000000"/>
              </w:rPr>
            </w:pPr>
          </w:p>
          <w:p w:rsidR="002B7D94" w:rsidP="00483992" w:rsidRDefault="002B7D94" w14:paraId="1B86B651" w14:textId="77777777">
            <w:pPr>
              <w:rPr>
                <w:color w:val="000000"/>
              </w:rPr>
            </w:pPr>
          </w:p>
          <w:p w:rsidR="002B7D94" w:rsidP="00483992" w:rsidRDefault="002B7D94" w14:paraId="00B135D9" w14:textId="77777777">
            <w:pPr>
              <w:rPr>
                <w:color w:val="000000"/>
              </w:rPr>
            </w:pPr>
          </w:p>
          <w:p w:rsidR="002B7D94" w:rsidP="00483992" w:rsidRDefault="002B7D94" w14:paraId="1CB78AC0" w14:textId="77777777">
            <w:pPr>
              <w:rPr>
                <w:color w:val="000000"/>
              </w:rPr>
            </w:pPr>
          </w:p>
          <w:p w:rsidR="002B7D94" w:rsidP="00483992" w:rsidRDefault="002B7D94" w14:paraId="28CFAB7E" w14:textId="77777777">
            <w:pPr>
              <w:rPr>
                <w:color w:val="000000"/>
              </w:rPr>
            </w:pPr>
          </w:p>
          <w:p w:rsidR="002B7D94" w:rsidP="00483992" w:rsidRDefault="002B7D94" w14:paraId="196990DC" w14:textId="77777777">
            <w:pPr>
              <w:rPr>
                <w:color w:val="000000"/>
              </w:rPr>
            </w:pPr>
          </w:p>
          <w:p w:rsidR="002B7D94" w:rsidP="00483992" w:rsidRDefault="002B7D94" w14:paraId="192CBCDA" w14:textId="77777777">
            <w:pPr>
              <w:rPr>
                <w:color w:val="000000"/>
              </w:rPr>
            </w:pPr>
          </w:p>
          <w:p w:rsidR="002B7D94" w:rsidP="00483992" w:rsidRDefault="002B7D94" w14:paraId="499AA1F4" w14:textId="77777777">
            <w:pPr>
              <w:rPr>
                <w:color w:val="000000"/>
              </w:rPr>
            </w:pPr>
          </w:p>
          <w:p w:rsidR="002B7D94" w:rsidP="00483992" w:rsidRDefault="002B7D94" w14:paraId="67334767" w14:textId="77777777">
            <w:pPr>
              <w:rPr>
                <w:color w:val="000000"/>
              </w:rPr>
            </w:pPr>
          </w:p>
          <w:p w:rsidR="002B7D94" w:rsidP="00483992" w:rsidRDefault="002B7D94" w14:paraId="0398F160" w14:textId="77777777">
            <w:pPr>
              <w:rPr>
                <w:color w:val="000000"/>
              </w:rPr>
            </w:pPr>
          </w:p>
          <w:p w:rsidR="002B7D94" w:rsidP="00483992" w:rsidRDefault="002B7D94" w14:paraId="05DE3DDF" w14:textId="77777777">
            <w:pPr>
              <w:rPr>
                <w:color w:val="000000"/>
              </w:rPr>
            </w:pPr>
          </w:p>
          <w:p w:rsidR="002B7D94" w:rsidP="00483992" w:rsidRDefault="002B7D94" w14:paraId="0376E81F" w14:textId="77777777">
            <w:pPr>
              <w:rPr>
                <w:color w:val="000000"/>
              </w:rPr>
            </w:pPr>
          </w:p>
          <w:p w:rsidR="002B7D94" w:rsidP="00483992" w:rsidRDefault="002B7D94" w14:paraId="1EF06FE7" w14:textId="77777777">
            <w:pPr>
              <w:rPr>
                <w:color w:val="000000"/>
              </w:rPr>
            </w:pPr>
          </w:p>
          <w:p w:rsidR="002B7D94" w:rsidP="00483992" w:rsidRDefault="002B7D94" w14:paraId="1F238755" w14:textId="77777777">
            <w:pPr>
              <w:rPr>
                <w:color w:val="000000"/>
              </w:rPr>
            </w:pPr>
          </w:p>
          <w:p w:rsidR="002B7D94" w:rsidP="00483992" w:rsidRDefault="002B7D94" w14:paraId="2145DB32" w14:textId="77777777">
            <w:pPr>
              <w:rPr>
                <w:color w:val="000000"/>
              </w:rPr>
            </w:pPr>
          </w:p>
          <w:p w:rsidR="002B7D94" w:rsidP="00483992" w:rsidRDefault="002B7D94" w14:paraId="50CB3C13" w14:textId="77777777">
            <w:pPr>
              <w:rPr>
                <w:color w:val="000000"/>
              </w:rPr>
            </w:pPr>
          </w:p>
          <w:p w:rsidR="002B7D94" w:rsidP="00483992" w:rsidRDefault="002B7D94" w14:paraId="057CF5CD" w14:textId="77777777">
            <w:pPr>
              <w:rPr>
                <w:color w:val="000000"/>
              </w:rPr>
            </w:pPr>
          </w:p>
          <w:p w:rsidR="002B7D94" w:rsidP="00483992" w:rsidRDefault="002B7D94" w14:paraId="44CB4F7D" w14:textId="77777777">
            <w:pPr>
              <w:rPr>
                <w:color w:val="000000"/>
              </w:rPr>
            </w:pPr>
          </w:p>
          <w:p w:rsidR="002B7D94" w:rsidP="00483992" w:rsidRDefault="002B7D94" w14:paraId="30FB2F72" w14:textId="77777777">
            <w:pPr>
              <w:rPr>
                <w:color w:val="000000"/>
              </w:rPr>
            </w:pPr>
          </w:p>
          <w:p w:rsidR="002B7D94" w:rsidP="00483992" w:rsidRDefault="002B7D94" w14:paraId="5A8FB4FF" w14:textId="77777777">
            <w:pPr>
              <w:rPr>
                <w:color w:val="000000"/>
              </w:rPr>
            </w:pPr>
          </w:p>
          <w:p w:rsidR="00DF6EDB" w:rsidP="00483992" w:rsidRDefault="008101AE" w14:paraId="2A0CFB98" w14:textId="5A0A6558">
            <w:pPr>
              <w:rPr>
                <w:color w:val="000000"/>
              </w:rPr>
            </w:pPr>
            <w:r>
              <w:rPr>
                <w:color w:val="000000"/>
              </w:rPr>
              <w:t xml:space="preserve">The Track B Working Group </w:t>
            </w:r>
            <w:r w:rsidR="00C1369F">
              <w:rPr>
                <w:color w:val="000000"/>
              </w:rPr>
              <w:t xml:space="preserve">1 </w:t>
            </w:r>
            <w:r>
              <w:rPr>
                <w:color w:val="000000"/>
              </w:rPr>
              <w:t xml:space="preserve">provided a forum for </w:t>
            </w:r>
            <w:r w:rsidR="00910B3E">
              <w:rPr>
                <w:color w:val="000000"/>
              </w:rPr>
              <w:t xml:space="preserve">Staff and interested parties to develop and discuss DF rate design proposals and for parties to provide input and feedback.  </w:t>
            </w:r>
            <w:r w:rsidR="002C3F22">
              <w:rPr>
                <w:i/>
                <w:iCs/>
                <w:color w:val="000000"/>
              </w:rPr>
              <w:t xml:space="preserve">See </w:t>
            </w:r>
            <w:r w:rsidR="002C3F22">
              <w:rPr>
                <w:color w:val="000000"/>
              </w:rPr>
              <w:t>Track B Decision at pp. 8-</w:t>
            </w:r>
            <w:r w:rsidR="00873BB5">
              <w:rPr>
                <w:color w:val="000000"/>
              </w:rPr>
              <w:t xml:space="preserve">11. </w:t>
            </w:r>
            <w:r w:rsidR="00041E05">
              <w:rPr>
                <w:color w:val="000000"/>
              </w:rPr>
              <w:t xml:space="preserve">The Working Group Report is cited </w:t>
            </w:r>
            <w:r w:rsidR="00041E05">
              <w:rPr>
                <w:color w:val="000000"/>
              </w:rPr>
              <w:lastRenderedPageBreak/>
              <w:t xml:space="preserve">liberally throughout the </w:t>
            </w:r>
            <w:r w:rsidR="00622C7B">
              <w:rPr>
                <w:color w:val="000000"/>
              </w:rPr>
              <w:t xml:space="preserve">Track B decision, demonstrating that the work of the Working Group members substantially contributed to the decision.  </w:t>
            </w:r>
            <w:r w:rsidR="00C1369F">
              <w:rPr>
                <w:color w:val="000000"/>
              </w:rPr>
              <w:t>CforAT’s input to the Working Group Report</w:t>
            </w:r>
            <w:r w:rsidR="00B85611">
              <w:rPr>
                <w:color w:val="000000"/>
              </w:rPr>
              <w:t xml:space="preserve"> can be found separately identified for each of the key issues impacting our constituency.</w:t>
            </w:r>
          </w:p>
          <w:p w:rsidR="00DF6EDB" w:rsidP="00483992" w:rsidRDefault="00DF6EDB" w14:paraId="607BC4E3" w14:textId="77777777">
            <w:pPr>
              <w:rPr>
                <w:color w:val="000000"/>
              </w:rPr>
            </w:pPr>
          </w:p>
          <w:p w:rsidR="0030045F" w:rsidP="00483992" w:rsidRDefault="002B7D94" w14:paraId="46105680" w14:textId="14DFF429">
            <w:pPr>
              <w:rPr>
                <w:color w:val="000000"/>
              </w:rPr>
            </w:pPr>
            <w:r>
              <w:rPr>
                <w:color w:val="000000"/>
              </w:rPr>
              <w:t xml:space="preserve">The Track B Decision finds that “two-part subscription tariffs may provide an effective balance of customer protection, revenue recovery stability and preservation of price signals. Track B Decision at p. 113.  </w:t>
            </w:r>
            <w:r w:rsidR="00495786">
              <w:rPr>
                <w:color w:val="000000"/>
              </w:rPr>
              <w:t xml:space="preserve">At the same time, the Track B Decision “acknowledge[s] CforAT’s concerns that Staff’s two-part subscription tariff proposal relies heavily on historic usage data that may not reflect low-income customer characteristics such as variation in household number, customer </w:t>
            </w:r>
            <w:r w:rsidR="004D3854">
              <w:rPr>
                <w:color w:val="000000"/>
              </w:rPr>
              <w:t>mobility</w:t>
            </w:r>
            <w:r w:rsidR="00495786">
              <w:rPr>
                <w:color w:val="000000"/>
              </w:rPr>
              <w:t xml:space="preserve">, inelastic demand, and inability to shift load.”  </w:t>
            </w:r>
            <w:r w:rsidR="004D3854">
              <w:rPr>
                <w:color w:val="000000"/>
              </w:rPr>
              <w:t xml:space="preserve">Track B. Decision at p. 116.  While finding that </w:t>
            </w:r>
            <w:r w:rsidR="00300B6E">
              <w:rPr>
                <w:color w:val="000000"/>
              </w:rPr>
              <w:t>many customers, including vulnerable customers might benefit, “we do note that two-part subscriptions may not be a viable customer protection option for some low-income customers with higher mobility or that live in households with a variable number of residents.  In these scenarios, it may be difficult to determine the historical load upon which a two-part subscription would be developed.” Track B. Decision at p.</w:t>
            </w:r>
            <w:r w:rsidR="00F40949">
              <w:rPr>
                <w:color w:val="000000"/>
              </w:rPr>
              <w:t> </w:t>
            </w:r>
            <w:r w:rsidR="007C2775">
              <w:rPr>
                <w:color w:val="000000"/>
              </w:rPr>
              <w:t>116.  For this reason, among others</w:t>
            </w:r>
            <w:r w:rsidR="006B3716">
              <w:rPr>
                <w:color w:val="000000"/>
              </w:rPr>
              <w:t xml:space="preserve">, “we do not find sufficient </w:t>
            </w:r>
            <w:r w:rsidR="006B3716">
              <w:rPr>
                <w:color w:val="000000"/>
              </w:rPr>
              <w:lastRenderedPageBreak/>
              <w:t>evidence from the record to require that Large IOUs must include two-part subscription tariffs as a part of their initial DF rate proposals</w:t>
            </w:r>
            <w:r w:rsidR="00EE29E1">
              <w:rPr>
                <w:color w:val="000000"/>
              </w:rPr>
              <w:t xml:space="preserve">.  However, it is reasonable to require that the Large IOUs must include appropriate customer protection options that provide bill and revenue stability benefits for each customer class in their DF Rate Proposals.”  Track B Decision at p. </w:t>
            </w:r>
            <w:r w:rsidR="0030045F">
              <w:rPr>
                <w:color w:val="000000"/>
              </w:rPr>
              <w:t>117.</w:t>
            </w:r>
          </w:p>
          <w:p w:rsidR="0030045F" w:rsidP="00483992" w:rsidRDefault="0030045F" w14:paraId="366E8518" w14:textId="77777777">
            <w:pPr>
              <w:rPr>
                <w:color w:val="000000"/>
              </w:rPr>
            </w:pPr>
          </w:p>
          <w:p w:rsidRPr="007F620E" w:rsidR="00375066" w:rsidP="00483992" w:rsidRDefault="00375066" w14:paraId="532F95D2" w14:textId="49C123D8">
            <w:pPr>
              <w:rPr>
                <w:color w:val="000000"/>
              </w:rPr>
            </w:pPr>
            <w:r>
              <w:rPr>
                <w:color w:val="000000"/>
              </w:rPr>
              <w:t xml:space="preserve">In providing guidance on equity and access issues for DF rates, the Track B Decision </w:t>
            </w:r>
            <w:r w:rsidR="0003276C">
              <w:rPr>
                <w:color w:val="000000"/>
              </w:rPr>
              <w:t xml:space="preserve">noted the need to gather more information about how low-income and DAC customers might be served by DF rates, including </w:t>
            </w:r>
            <w:r w:rsidR="00D7368D">
              <w:rPr>
                <w:color w:val="000000"/>
              </w:rPr>
              <w:t>study efforts to understand how to “increase their enrollment</w:t>
            </w:r>
            <w:r w:rsidR="000824A5">
              <w:rPr>
                <w:color w:val="000000"/>
              </w:rPr>
              <w:t xml:space="preserve">, enhance their usage </w:t>
            </w:r>
            <w:r w:rsidR="00C53DDD">
              <w:rPr>
                <w:color w:val="000000"/>
              </w:rPr>
              <w:t>behavior</w:t>
            </w:r>
            <w:r w:rsidR="000824A5">
              <w:rPr>
                <w:color w:val="000000"/>
              </w:rPr>
              <w:t xml:space="preserve"> (i.e. conservation or load shifting), reduce bill impacts, and experience bill savings from DF rate programs.”  Track B Decision at p. </w:t>
            </w:r>
            <w:r w:rsidR="00C53DDD">
              <w:rPr>
                <w:color w:val="000000"/>
              </w:rPr>
              <w:t>129.  To obtain more information</w:t>
            </w:r>
            <w:r w:rsidR="000D3818">
              <w:rPr>
                <w:color w:val="000000"/>
              </w:rPr>
              <w:t>, which will in part be used to consider concerns raised by CforAT, the Track B Decision directs PG&amp;E and SCE to submit a plan for their expanded pilots to better allow them to identify and address the needs of low-income and DAC customers who may have an interest in subscribing to DF rates.  Track B Decision at p.</w:t>
            </w:r>
            <w:r w:rsidR="00613FAB">
              <w:rPr>
                <w:color w:val="000000"/>
              </w:rPr>
              <w:t> </w:t>
            </w:r>
            <w:r w:rsidR="000D3818">
              <w:rPr>
                <w:color w:val="000000"/>
              </w:rPr>
              <w:t>130.</w:t>
            </w:r>
          </w:p>
        </w:tc>
        <w:tc>
          <w:tcPr>
            <w:tcW w:w="1983" w:type="dxa"/>
          </w:tcPr>
          <w:p w:rsidR="00A92D0B" w:rsidP="00613FAB" w:rsidRDefault="00D36071" w14:paraId="1DF767BB" w14:textId="5725D9CC">
            <w:pPr>
              <w:jc w:val="center"/>
              <w:rPr>
                <w:color w:val="000000"/>
              </w:rPr>
            </w:pPr>
            <w:r>
              <w:rPr>
                <w:color w:val="000000"/>
              </w:rPr>
              <w:lastRenderedPageBreak/>
              <w:t>Noted</w:t>
            </w:r>
          </w:p>
          <w:p w:rsidR="0025419E" w:rsidP="00613FAB" w:rsidRDefault="0025419E" w14:paraId="52ECCB5E" w14:textId="77777777">
            <w:pPr>
              <w:jc w:val="center"/>
              <w:rPr>
                <w:color w:val="000000"/>
              </w:rPr>
            </w:pPr>
          </w:p>
          <w:p w:rsidR="0025419E" w:rsidP="00613FAB" w:rsidRDefault="0025419E" w14:paraId="5873583C" w14:textId="77777777">
            <w:pPr>
              <w:jc w:val="center"/>
              <w:rPr>
                <w:color w:val="000000"/>
              </w:rPr>
            </w:pPr>
          </w:p>
          <w:p w:rsidR="0025419E" w:rsidP="00613FAB" w:rsidRDefault="0025419E" w14:paraId="7224B648" w14:textId="77777777">
            <w:pPr>
              <w:jc w:val="center"/>
              <w:rPr>
                <w:color w:val="000000"/>
              </w:rPr>
            </w:pPr>
          </w:p>
          <w:p w:rsidR="0025419E" w:rsidP="00613FAB" w:rsidRDefault="0025419E" w14:paraId="7BDAFAF6" w14:textId="77777777">
            <w:pPr>
              <w:jc w:val="center"/>
              <w:rPr>
                <w:color w:val="000000"/>
              </w:rPr>
            </w:pPr>
          </w:p>
          <w:p w:rsidR="0025419E" w:rsidP="00613FAB" w:rsidRDefault="0025419E" w14:paraId="522F6A21" w14:textId="77777777">
            <w:pPr>
              <w:jc w:val="center"/>
              <w:rPr>
                <w:color w:val="000000"/>
              </w:rPr>
            </w:pPr>
          </w:p>
          <w:p w:rsidR="0025419E" w:rsidP="00613FAB" w:rsidRDefault="0025419E" w14:paraId="32A9368B" w14:textId="77777777">
            <w:pPr>
              <w:jc w:val="center"/>
              <w:rPr>
                <w:color w:val="000000"/>
              </w:rPr>
            </w:pPr>
          </w:p>
          <w:p w:rsidR="0025419E" w:rsidP="00613FAB" w:rsidRDefault="0025419E" w14:paraId="720ED3A1" w14:textId="77777777">
            <w:pPr>
              <w:jc w:val="center"/>
              <w:rPr>
                <w:color w:val="000000"/>
              </w:rPr>
            </w:pPr>
          </w:p>
          <w:p w:rsidR="0025419E" w:rsidP="00613FAB" w:rsidRDefault="0025419E" w14:paraId="64422054" w14:textId="77777777">
            <w:pPr>
              <w:jc w:val="center"/>
              <w:rPr>
                <w:color w:val="000000"/>
              </w:rPr>
            </w:pPr>
          </w:p>
          <w:p w:rsidR="0025419E" w:rsidP="00613FAB" w:rsidRDefault="0025419E" w14:paraId="25A84C08" w14:textId="77777777">
            <w:pPr>
              <w:jc w:val="center"/>
              <w:rPr>
                <w:color w:val="000000"/>
              </w:rPr>
            </w:pPr>
          </w:p>
          <w:p w:rsidR="0025419E" w:rsidP="00613FAB" w:rsidRDefault="0025419E" w14:paraId="07407C1C" w14:textId="77777777">
            <w:pPr>
              <w:jc w:val="center"/>
              <w:rPr>
                <w:color w:val="000000"/>
              </w:rPr>
            </w:pPr>
          </w:p>
          <w:p w:rsidR="0025419E" w:rsidP="00613FAB" w:rsidRDefault="0025419E" w14:paraId="4406D862" w14:textId="77777777">
            <w:pPr>
              <w:jc w:val="center"/>
              <w:rPr>
                <w:color w:val="000000"/>
              </w:rPr>
            </w:pPr>
          </w:p>
          <w:p w:rsidR="0025419E" w:rsidP="00613FAB" w:rsidRDefault="0025419E" w14:paraId="267A9E2F" w14:textId="77777777">
            <w:pPr>
              <w:jc w:val="center"/>
              <w:rPr>
                <w:color w:val="000000"/>
              </w:rPr>
            </w:pPr>
          </w:p>
          <w:p w:rsidR="0025419E" w:rsidP="00613FAB" w:rsidRDefault="0025419E" w14:paraId="03E5E7EB" w14:textId="77777777">
            <w:pPr>
              <w:jc w:val="center"/>
              <w:rPr>
                <w:color w:val="000000"/>
              </w:rPr>
            </w:pPr>
          </w:p>
          <w:p w:rsidR="0025419E" w:rsidP="00613FAB" w:rsidRDefault="0025419E" w14:paraId="3A7EAD1A" w14:textId="77777777">
            <w:pPr>
              <w:jc w:val="center"/>
              <w:rPr>
                <w:color w:val="000000"/>
              </w:rPr>
            </w:pPr>
          </w:p>
          <w:p w:rsidR="0025419E" w:rsidP="00613FAB" w:rsidRDefault="0025419E" w14:paraId="724B9EF9" w14:textId="77777777">
            <w:pPr>
              <w:jc w:val="center"/>
              <w:rPr>
                <w:color w:val="000000"/>
              </w:rPr>
            </w:pPr>
          </w:p>
          <w:p w:rsidR="0025419E" w:rsidP="00613FAB" w:rsidRDefault="0025419E" w14:paraId="671BA586" w14:textId="77777777">
            <w:pPr>
              <w:jc w:val="center"/>
              <w:rPr>
                <w:color w:val="000000"/>
              </w:rPr>
            </w:pPr>
          </w:p>
          <w:p w:rsidR="0025419E" w:rsidP="00613FAB" w:rsidRDefault="0025419E" w14:paraId="521BE10C" w14:textId="77777777">
            <w:pPr>
              <w:jc w:val="center"/>
              <w:rPr>
                <w:color w:val="000000"/>
              </w:rPr>
            </w:pPr>
          </w:p>
          <w:p w:rsidR="0025419E" w:rsidP="00613FAB" w:rsidRDefault="0025419E" w14:paraId="0A36343E" w14:textId="77777777">
            <w:pPr>
              <w:jc w:val="center"/>
              <w:rPr>
                <w:color w:val="000000"/>
              </w:rPr>
            </w:pPr>
          </w:p>
          <w:p w:rsidR="0025419E" w:rsidP="00613FAB" w:rsidRDefault="0025419E" w14:paraId="0C297ABC" w14:textId="77777777">
            <w:pPr>
              <w:jc w:val="center"/>
              <w:rPr>
                <w:color w:val="000000"/>
              </w:rPr>
            </w:pPr>
          </w:p>
          <w:p w:rsidR="0025419E" w:rsidP="00613FAB" w:rsidRDefault="0025419E" w14:paraId="3B44B02A" w14:textId="77777777">
            <w:pPr>
              <w:jc w:val="center"/>
              <w:rPr>
                <w:color w:val="000000"/>
              </w:rPr>
            </w:pPr>
          </w:p>
          <w:p w:rsidR="0025419E" w:rsidP="00613FAB" w:rsidRDefault="0025419E" w14:paraId="551F6BBF" w14:textId="77777777">
            <w:pPr>
              <w:jc w:val="center"/>
              <w:rPr>
                <w:color w:val="000000"/>
              </w:rPr>
            </w:pPr>
          </w:p>
          <w:p w:rsidR="0025419E" w:rsidP="00613FAB" w:rsidRDefault="0025419E" w14:paraId="011C3456" w14:textId="77777777">
            <w:pPr>
              <w:jc w:val="center"/>
              <w:rPr>
                <w:color w:val="000000"/>
              </w:rPr>
            </w:pPr>
          </w:p>
          <w:p w:rsidR="0025419E" w:rsidP="00613FAB" w:rsidRDefault="0025419E" w14:paraId="3DBC50F5" w14:textId="77777777">
            <w:pPr>
              <w:jc w:val="center"/>
              <w:rPr>
                <w:color w:val="000000"/>
              </w:rPr>
            </w:pPr>
          </w:p>
          <w:p w:rsidR="0025419E" w:rsidP="00613FAB" w:rsidRDefault="0025419E" w14:paraId="05921607" w14:textId="77777777">
            <w:pPr>
              <w:jc w:val="center"/>
              <w:rPr>
                <w:color w:val="000000"/>
              </w:rPr>
            </w:pPr>
          </w:p>
          <w:p w:rsidR="0025419E" w:rsidP="00613FAB" w:rsidRDefault="0025419E" w14:paraId="1E1E9040" w14:textId="77777777">
            <w:pPr>
              <w:jc w:val="center"/>
              <w:rPr>
                <w:color w:val="000000"/>
              </w:rPr>
            </w:pPr>
          </w:p>
          <w:p w:rsidR="00C313CF" w:rsidP="00613FAB" w:rsidRDefault="00C313CF" w14:paraId="4CE56AA2" w14:textId="77777777">
            <w:pPr>
              <w:jc w:val="center"/>
              <w:rPr>
                <w:color w:val="000000"/>
              </w:rPr>
            </w:pPr>
          </w:p>
          <w:p w:rsidR="0025419E" w:rsidP="00613FAB" w:rsidRDefault="00100DA4" w14:paraId="0D4BC53F" w14:textId="2E7B57D6">
            <w:pPr>
              <w:jc w:val="center"/>
              <w:rPr>
                <w:color w:val="000000"/>
              </w:rPr>
            </w:pPr>
            <w:r>
              <w:rPr>
                <w:color w:val="000000"/>
              </w:rPr>
              <w:t>Noted</w:t>
            </w:r>
          </w:p>
          <w:p w:rsidR="0025419E" w:rsidP="00613FAB" w:rsidRDefault="0025419E" w14:paraId="19D96686" w14:textId="77777777">
            <w:pPr>
              <w:jc w:val="center"/>
              <w:rPr>
                <w:color w:val="000000"/>
              </w:rPr>
            </w:pPr>
          </w:p>
          <w:p w:rsidR="0025419E" w:rsidP="00613FAB" w:rsidRDefault="0025419E" w14:paraId="3E2E1A37" w14:textId="77777777">
            <w:pPr>
              <w:jc w:val="center"/>
              <w:rPr>
                <w:color w:val="000000"/>
              </w:rPr>
            </w:pPr>
          </w:p>
          <w:p w:rsidR="0025419E" w:rsidP="00613FAB" w:rsidRDefault="0025419E" w14:paraId="53849BE5" w14:textId="77777777">
            <w:pPr>
              <w:jc w:val="center"/>
              <w:rPr>
                <w:color w:val="000000"/>
              </w:rPr>
            </w:pPr>
          </w:p>
          <w:p w:rsidR="0025419E" w:rsidP="00613FAB" w:rsidRDefault="0025419E" w14:paraId="1892A86E" w14:textId="77777777">
            <w:pPr>
              <w:jc w:val="center"/>
              <w:rPr>
                <w:color w:val="000000"/>
              </w:rPr>
            </w:pPr>
          </w:p>
          <w:p w:rsidR="0025419E" w:rsidP="00613FAB" w:rsidRDefault="0025419E" w14:paraId="31CBA1C7" w14:textId="77777777">
            <w:pPr>
              <w:jc w:val="center"/>
              <w:rPr>
                <w:color w:val="000000"/>
              </w:rPr>
            </w:pPr>
          </w:p>
          <w:p w:rsidR="0025419E" w:rsidP="00613FAB" w:rsidRDefault="0025419E" w14:paraId="58D3BD52" w14:textId="77777777">
            <w:pPr>
              <w:jc w:val="center"/>
              <w:rPr>
                <w:color w:val="000000"/>
              </w:rPr>
            </w:pPr>
          </w:p>
          <w:p w:rsidR="0025419E" w:rsidP="00613FAB" w:rsidRDefault="00100DA4" w14:paraId="3A3AF795" w14:textId="72B0780A">
            <w:pPr>
              <w:jc w:val="center"/>
              <w:rPr>
                <w:color w:val="000000"/>
              </w:rPr>
            </w:pPr>
            <w:r>
              <w:rPr>
                <w:color w:val="000000"/>
              </w:rPr>
              <w:t>Noted</w:t>
            </w:r>
          </w:p>
          <w:p w:rsidR="0025419E" w:rsidP="00613FAB" w:rsidRDefault="0025419E" w14:paraId="3AE96847" w14:textId="77777777">
            <w:pPr>
              <w:jc w:val="center"/>
              <w:rPr>
                <w:color w:val="000000"/>
              </w:rPr>
            </w:pPr>
          </w:p>
          <w:p w:rsidR="0025419E" w:rsidP="00613FAB" w:rsidRDefault="0025419E" w14:paraId="16C568E1" w14:textId="77777777">
            <w:pPr>
              <w:jc w:val="center"/>
              <w:rPr>
                <w:color w:val="000000"/>
              </w:rPr>
            </w:pPr>
          </w:p>
          <w:p w:rsidR="0025419E" w:rsidP="00613FAB" w:rsidRDefault="0025419E" w14:paraId="172464F0" w14:textId="77777777">
            <w:pPr>
              <w:jc w:val="center"/>
              <w:rPr>
                <w:color w:val="000000"/>
              </w:rPr>
            </w:pPr>
          </w:p>
          <w:p w:rsidR="0025419E" w:rsidP="00613FAB" w:rsidRDefault="0025419E" w14:paraId="5C061F74" w14:textId="77777777">
            <w:pPr>
              <w:jc w:val="center"/>
              <w:rPr>
                <w:color w:val="000000"/>
              </w:rPr>
            </w:pPr>
          </w:p>
          <w:p w:rsidR="0025419E" w:rsidP="00613FAB" w:rsidRDefault="0025419E" w14:paraId="58F4911B" w14:textId="77777777">
            <w:pPr>
              <w:jc w:val="center"/>
              <w:rPr>
                <w:color w:val="000000"/>
              </w:rPr>
            </w:pPr>
          </w:p>
          <w:p w:rsidR="0025419E" w:rsidP="00613FAB" w:rsidRDefault="0025419E" w14:paraId="07A1C442" w14:textId="77777777">
            <w:pPr>
              <w:jc w:val="center"/>
              <w:rPr>
                <w:color w:val="000000"/>
              </w:rPr>
            </w:pPr>
          </w:p>
          <w:p w:rsidR="0025419E" w:rsidP="00613FAB" w:rsidRDefault="0025419E" w14:paraId="73AABBDD" w14:textId="77777777">
            <w:pPr>
              <w:jc w:val="center"/>
              <w:rPr>
                <w:color w:val="000000"/>
              </w:rPr>
            </w:pPr>
          </w:p>
          <w:p w:rsidR="0025419E" w:rsidP="00613FAB" w:rsidRDefault="0025419E" w14:paraId="329BE6C0" w14:textId="77777777">
            <w:pPr>
              <w:jc w:val="center"/>
              <w:rPr>
                <w:color w:val="000000"/>
              </w:rPr>
            </w:pPr>
          </w:p>
          <w:p w:rsidR="006A1BA6" w:rsidP="00613FAB" w:rsidRDefault="006A1BA6" w14:paraId="23BBCD0C" w14:textId="77777777">
            <w:pPr>
              <w:jc w:val="center"/>
              <w:rPr>
                <w:color w:val="000000"/>
              </w:rPr>
            </w:pPr>
          </w:p>
          <w:p w:rsidR="00C46289" w:rsidP="00613FAB" w:rsidRDefault="00C46289" w14:paraId="7E9CF4AC" w14:textId="77777777">
            <w:pPr>
              <w:jc w:val="center"/>
              <w:rPr>
                <w:color w:val="000000"/>
              </w:rPr>
            </w:pPr>
          </w:p>
          <w:p w:rsidR="00C46289" w:rsidP="00613FAB" w:rsidRDefault="00C46289" w14:paraId="6FF8272C" w14:textId="4B95E3BA">
            <w:pPr>
              <w:jc w:val="center"/>
              <w:rPr>
                <w:color w:val="000000"/>
              </w:rPr>
            </w:pPr>
            <w:r>
              <w:rPr>
                <w:color w:val="000000"/>
              </w:rPr>
              <w:t>Verified</w:t>
            </w:r>
          </w:p>
          <w:p w:rsidR="006A1BA6" w:rsidP="00613FAB" w:rsidRDefault="006A1BA6" w14:paraId="42620A03" w14:textId="77777777">
            <w:pPr>
              <w:jc w:val="center"/>
              <w:rPr>
                <w:color w:val="000000"/>
              </w:rPr>
            </w:pPr>
          </w:p>
          <w:p w:rsidR="006A1BA6" w:rsidP="00613FAB" w:rsidRDefault="006A1BA6" w14:paraId="5E63F53C" w14:textId="77777777">
            <w:pPr>
              <w:jc w:val="center"/>
              <w:rPr>
                <w:color w:val="000000"/>
              </w:rPr>
            </w:pPr>
          </w:p>
          <w:p w:rsidR="006A1BA6" w:rsidP="00613FAB" w:rsidRDefault="006A1BA6" w14:paraId="669C5161" w14:textId="77777777">
            <w:pPr>
              <w:jc w:val="center"/>
              <w:rPr>
                <w:color w:val="000000"/>
              </w:rPr>
            </w:pPr>
          </w:p>
          <w:p w:rsidR="006A1BA6" w:rsidP="00613FAB" w:rsidRDefault="006A1BA6" w14:paraId="710BA995" w14:textId="77777777">
            <w:pPr>
              <w:jc w:val="center"/>
              <w:rPr>
                <w:color w:val="000000"/>
              </w:rPr>
            </w:pPr>
          </w:p>
          <w:p w:rsidR="006A1BA6" w:rsidP="00613FAB" w:rsidRDefault="006A1BA6" w14:paraId="2A6502DA" w14:textId="77777777">
            <w:pPr>
              <w:jc w:val="center"/>
              <w:rPr>
                <w:color w:val="000000"/>
              </w:rPr>
            </w:pPr>
          </w:p>
          <w:p w:rsidR="006A1BA6" w:rsidP="00613FAB" w:rsidRDefault="006A1BA6" w14:paraId="13638D5F" w14:textId="77777777">
            <w:pPr>
              <w:jc w:val="center"/>
              <w:rPr>
                <w:color w:val="000000"/>
              </w:rPr>
            </w:pPr>
          </w:p>
          <w:p w:rsidR="006A1BA6" w:rsidP="00613FAB" w:rsidRDefault="006A1BA6" w14:paraId="5F3F6BDF" w14:textId="77777777">
            <w:pPr>
              <w:jc w:val="center"/>
              <w:rPr>
                <w:color w:val="000000"/>
              </w:rPr>
            </w:pPr>
          </w:p>
          <w:p w:rsidR="009558DD" w:rsidP="00613FAB" w:rsidRDefault="009558DD" w14:paraId="1CEBE929" w14:textId="77777777">
            <w:pPr>
              <w:jc w:val="center"/>
              <w:rPr>
                <w:color w:val="000000"/>
              </w:rPr>
            </w:pPr>
          </w:p>
          <w:p w:rsidR="009558DD" w:rsidP="00613FAB" w:rsidRDefault="009558DD" w14:paraId="7919ABC6" w14:textId="77777777">
            <w:pPr>
              <w:jc w:val="center"/>
              <w:rPr>
                <w:color w:val="000000"/>
              </w:rPr>
            </w:pPr>
          </w:p>
          <w:p w:rsidR="009558DD" w:rsidP="00613FAB" w:rsidRDefault="009558DD" w14:paraId="69AC49B0" w14:textId="77777777">
            <w:pPr>
              <w:jc w:val="center"/>
              <w:rPr>
                <w:color w:val="000000"/>
              </w:rPr>
            </w:pPr>
          </w:p>
          <w:p w:rsidR="009558DD" w:rsidP="00613FAB" w:rsidRDefault="009558DD" w14:paraId="6D6C3A0E" w14:textId="77777777">
            <w:pPr>
              <w:jc w:val="center"/>
              <w:rPr>
                <w:color w:val="000000"/>
              </w:rPr>
            </w:pPr>
          </w:p>
          <w:p w:rsidR="009558DD" w:rsidP="00613FAB" w:rsidRDefault="009558DD" w14:paraId="42CAF66D" w14:textId="77777777">
            <w:pPr>
              <w:jc w:val="center"/>
              <w:rPr>
                <w:color w:val="000000"/>
              </w:rPr>
            </w:pPr>
          </w:p>
          <w:p w:rsidR="009558DD" w:rsidP="00613FAB" w:rsidRDefault="009558DD" w14:paraId="1EA4BC9A" w14:textId="77777777">
            <w:pPr>
              <w:jc w:val="center"/>
              <w:rPr>
                <w:color w:val="000000"/>
              </w:rPr>
            </w:pPr>
          </w:p>
          <w:p w:rsidR="009558DD" w:rsidP="00613FAB" w:rsidRDefault="009558DD" w14:paraId="39486237" w14:textId="77777777">
            <w:pPr>
              <w:jc w:val="center"/>
              <w:rPr>
                <w:color w:val="000000"/>
              </w:rPr>
            </w:pPr>
          </w:p>
          <w:p w:rsidR="009558DD" w:rsidP="00613FAB" w:rsidRDefault="009558DD" w14:paraId="1CEFC5A2" w14:textId="77777777">
            <w:pPr>
              <w:jc w:val="center"/>
              <w:rPr>
                <w:color w:val="000000"/>
              </w:rPr>
            </w:pPr>
          </w:p>
          <w:p w:rsidR="009558DD" w:rsidP="00613FAB" w:rsidRDefault="009558DD" w14:paraId="2FC0BFE0" w14:textId="77777777">
            <w:pPr>
              <w:jc w:val="center"/>
              <w:rPr>
                <w:color w:val="000000"/>
              </w:rPr>
            </w:pPr>
          </w:p>
          <w:p w:rsidR="009558DD" w:rsidP="00613FAB" w:rsidRDefault="009558DD" w14:paraId="2755D1E2" w14:textId="77777777">
            <w:pPr>
              <w:jc w:val="center"/>
              <w:rPr>
                <w:color w:val="000000"/>
              </w:rPr>
            </w:pPr>
          </w:p>
          <w:p w:rsidR="009558DD" w:rsidP="00613FAB" w:rsidRDefault="009558DD" w14:paraId="156F1555" w14:textId="77777777">
            <w:pPr>
              <w:jc w:val="center"/>
              <w:rPr>
                <w:color w:val="000000"/>
              </w:rPr>
            </w:pPr>
          </w:p>
          <w:p w:rsidR="009558DD" w:rsidP="00613FAB" w:rsidRDefault="009558DD" w14:paraId="3BD8DFEC" w14:textId="77777777">
            <w:pPr>
              <w:jc w:val="center"/>
              <w:rPr>
                <w:color w:val="000000"/>
              </w:rPr>
            </w:pPr>
          </w:p>
          <w:p w:rsidR="009558DD" w:rsidP="00613FAB" w:rsidRDefault="009558DD" w14:paraId="114CF03A" w14:textId="77777777">
            <w:pPr>
              <w:jc w:val="center"/>
              <w:rPr>
                <w:color w:val="000000"/>
              </w:rPr>
            </w:pPr>
          </w:p>
          <w:p w:rsidR="009558DD" w:rsidP="00613FAB" w:rsidRDefault="00C46289" w14:paraId="13C4749A" w14:textId="2F718344">
            <w:pPr>
              <w:jc w:val="center"/>
              <w:rPr>
                <w:color w:val="000000"/>
              </w:rPr>
            </w:pPr>
            <w:r w:rsidRPr="00C46289">
              <w:rPr>
                <w:color w:val="000000"/>
              </w:rPr>
              <w:t xml:space="preserve">Verified. We note that CforAT raised concerns regarding the application of two-part subscription tariffs to low-income customers, including challenges related to household variability, customer mobility, and the use of historical usage data, and the need for adequate customer </w:t>
            </w:r>
            <w:r w:rsidRPr="00C46289">
              <w:rPr>
                <w:color w:val="000000"/>
              </w:rPr>
              <w:lastRenderedPageBreak/>
              <w:t>protections. While the Commission did not adopt CforAT’s specific recommendations, D.25-08-049 reflects these concerns, noting that such tariffs may not be viable for certain low-income customers. We find CforAT’s participation here substantially contributed to the record.</w:t>
            </w:r>
          </w:p>
          <w:p w:rsidR="009A0D82" w:rsidP="00613FAB" w:rsidRDefault="009A0D82" w14:paraId="2B5987C3" w14:textId="77777777">
            <w:pPr>
              <w:jc w:val="center"/>
              <w:rPr>
                <w:color w:val="000000"/>
              </w:rPr>
            </w:pPr>
          </w:p>
          <w:p w:rsidR="00384281" w:rsidP="00613FAB" w:rsidRDefault="00384281" w14:paraId="6EBF0F8B" w14:textId="77777777">
            <w:pPr>
              <w:jc w:val="center"/>
              <w:rPr>
                <w:color w:val="000000"/>
              </w:rPr>
            </w:pPr>
          </w:p>
          <w:p w:rsidR="00384281" w:rsidP="00613FAB" w:rsidRDefault="00384281" w14:paraId="2C5ECE0A" w14:textId="77777777">
            <w:pPr>
              <w:jc w:val="center"/>
              <w:rPr>
                <w:color w:val="000000"/>
              </w:rPr>
            </w:pPr>
          </w:p>
          <w:p w:rsidR="00384281" w:rsidP="00613FAB" w:rsidRDefault="00384281" w14:paraId="1314948B" w14:textId="77777777">
            <w:pPr>
              <w:jc w:val="center"/>
              <w:rPr>
                <w:color w:val="000000"/>
              </w:rPr>
            </w:pPr>
          </w:p>
          <w:p w:rsidR="00384281" w:rsidP="00613FAB" w:rsidRDefault="00384281" w14:paraId="098B78FC" w14:textId="77777777">
            <w:pPr>
              <w:jc w:val="center"/>
              <w:rPr>
                <w:color w:val="000000"/>
              </w:rPr>
            </w:pPr>
          </w:p>
          <w:p w:rsidR="009A0D82" w:rsidP="00613FAB" w:rsidRDefault="00C46289" w14:paraId="0FE1129D" w14:textId="65E07C28">
            <w:pPr>
              <w:jc w:val="center"/>
              <w:rPr>
                <w:color w:val="000000"/>
              </w:rPr>
            </w:pPr>
            <w:r>
              <w:rPr>
                <w:color w:val="000000"/>
              </w:rPr>
              <w:t>Verified</w:t>
            </w:r>
          </w:p>
          <w:p w:rsidR="009A0D82" w:rsidP="00613FAB" w:rsidRDefault="009A0D82" w14:paraId="6AC0C669" w14:textId="77777777">
            <w:pPr>
              <w:jc w:val="center"/>
              <w:rPr>
                <w:color w:val="000000"/>
              </w:rPr>
            </w:pPr>
          </w:p>
          <w:p w:rsidR="009A0D82" w:rsidP="00613FAB" w:rsidRDefault="009A0D82" w14:paraId="1446FDAA" w14:textId="77777777">
            <w:pPr>
              <w:jc w:val="center"/>
              <w:rPr>
                <w:color w:val="000000"/>
              </w:rPr>
            </w:pPr>
          </w:p>
          <w:p w:rsidR="009A0D82" w:rsidP="00613FAB" w:rsidRDefault="009A0D82" w14:paraId="3BF98405" w14:textId="77777777">
            <w:pPr>
              <w:jc w:val="center"/>
              <w:rPr>
                <w:color w:val="000000"/>
              </w:rPr>
            </w:pPr>
          </w:p>
          <w:p w:rsidR="009A0D82" w:rsidP="00613FAB" w:rsidRDefault="009A0D82" w14:paraId="3CF9E0CE" w14:textId="77777777">
            <w:pPr>
              <w:jc w:val="center"/>
              <w:rPr>
                <w:color w:val="000000"/>
              </w:rPr>
            </w:pPr>
          </w:p>
          <w:p w:rsidR="009A0D82" w:rsidP="00613FAB" w:rsidRDefault="009A0D82" w14:paraId="6EAD9BC3" w14:textId="77777777">
            <w:pPr>
              <w:jc w:val="center"/>
              <w:rPr>
                <w:color w:val="000000"/>
              </w:rPr>
            </w:pPr>
          </w:p>
          <w:p w:rsidR="009A0D82" w:rsidP="00613FAB" w:rsidRDefault="009A0D82" w14:paraId="742BA4A8" w14:textId="77777777">
            <w:pPr>
              <w:jc w:val="center"/>
              <w:rPr>
                <w:color w:val="000000"/>
              </w:rPr>
            </w:pPr>
          </w:p>
          <w:p w:rsidR="009A0D82" w:rsidP="00613FAB" w:rsidRDefault="009A0D82" w14:paraId="68ACFE00" w14:textId="77777777">
            <w:pPr>
              <w:jc w:val="center"/>
              <w:rPr>
                <w:color w:val="000000"/>
              </w:rPr>
            </w:pPr>
          </w:p>
          <w:p w:rsidR="009A0D82" w:rsidP="00613FAB" w:rsidRDefault="009A0D82" w14:paraId="4127E41D" w14:textId="77777777">
            <w:pPr>
              <w:jc w:val="center"/>
              <w:rPr>
                <w:color w:val="000000"/>
              </w:rPr>
            </w:pPr>
          </w:p>
          <w:p w:rsidR="009A0D82" w:rsidP="00613FAB" w:rsidRDefault="009A0D82" w14:paraId="3438D063" w14:textId="77777777">
            <w:pPr>
              <w:jc w:val="center"/>
              <w:rPr>
                <w:color w:val="000000"/>
              </w:rPr>
            </w:pPr>
          </w:p>
          <w:p w:rsidR="009A0D82" w:rsidP="00613FAB" w:rsidRDefault="009A0D82" w14:paraId="2F65D5C8" w14:textId="77777777">
            <w:pPr>
              <w:jc w:val="center"/>
              <w:rPr>
                <w:color w:val="000000"/>
              </w:rPr>
            </w:pPr>
          </w:p>
          <w:p w:rsidR="009A0D82" w:rsidP="00613FAB" w:rsidRDefault="009A0D82" w14:paraId="21ED7BE5" w14:textId="77777777">
            <w:pPr>
              <w:jc w:val="center"/>
              <w:rPr>
                <w:color w:val="000000"/>
              </w:rPr>
            </w:pPr>
          </w:p>
          <w:p w:rsidR="009A0D82" w:rsidP="00613FAB" w:rsidRDefault="009A0D82" w14:paraId="3644C8AF" w14:textId="77777777">
            <w:pPr>
              <w:jc w:val="center"/>
              <w:rPr>
                <w:color w:val="000000"/>
              </w:rPr>
            </w:pPr>
          </w:p>
          <w:p w:rsidR="009A0D82" w:rsidP="00613FAB" w:rsidRDefault="009A0D82" w14:paraId="60F1E15E" w14:textId="77777777">
            <w:pPr>
              <w:jc w:val="center"/>
              <w:rPr>
                <w:color w:val="000000"/>
              </w:rPr>
            </w:pPr>
          </w:p>
          <w:p w:rsidR="009A0D82" w:rsidP="00613FAB" w:rsidRDefault="009A0D82" w14:paraId="06451783" w14:textId="77777777">
            <w:pPr>
              <w:jc w:val="center"/>
              <w:rPr>
                <w:color w:val="000000"/>
              </w:rPr>
            </w:pPr>
          </w:p>
          <w:p w:rsidRPr="007F620E" w:rsidR="009A0D82" w:rsidP="00613FAB" w:rsidRDefault="009A0D82" w14:paraId="63938BDA" w14:textId="09726E18">
            <w:pPr>
              <w:jc w:val="center"/>
              <w:rPr>
                <w:color w:val="000000"/>
              </w:rPr>
            </w:pPr>
          </w:p>
        </w:tc>
      </w:tr>
      <w:tr w:rsidRPr="007F620E" w:rsidR="00A92D0B" w:rsidTr="00F40949" w14:paraId="4AAA05AE" w14:textId="77777777">
        <w:trPr>
          <w:tblHeader/>
        </w:trPr>
        <w:tc>
          <w:tcPr>
            <w:tcW w:w="4135" w:type="dxa"/>
          </w:tcPr>
          <w:p w:rsidR="00651E51" w:rsidP="00F40949" w:rsidRDefault="002341B9" w14:paraId="0908B327" w14:textId="6EA67314">
            <w:pPr>
              <w:spacing w:after="120"/>
              <w:rPr>
                <w:b/>
                <w:bCs/>
                <w:color w:val="000000"/>
                <w:u w:val="single"/>
              </w:rPr>
            </w:pPr>
            <w:r>
              <w:rPr>
                <w:b/>
                <w:bCs/>
                <w:color w:val="000000"/>
                <w:u w:val="single"/>
              </w:rPr>
              <w:lastRenderedPageBreak/>
              <w:t>IGFC Implementation:</w:t>
            </w:r>
          </w:p>
          <w:p w:rsidRPr="0010360D" w:rsidR="00651E51" w:rsidP="00483992" w:rsidRDefault="0010360D" w14:paraId="42D2F1DD" w14:textId="61807959">
            <w:pPr>
              <w:rPr>
                <w:i/>
                <w:iCs/>
                <w:color w:val="000000"/>
                <w:u w:val="single"/>
              </w:rPr>
            </w:pPr>
            <w:r w:rsidRPr="0010360D">
              <w:rPr>
                <w:i/>
                <w:iCs/>
                <w:color w:val="000000"/>
                <w:u w:val="single"/>
              </w:rPr>
              <w:t>Advice Letters and Resolutions:</w:t>
            </w:r>
          </w:p>
          <w:p w:rsidR="002341B9" w:rsidP="00384281" w:rsidRDefault="00BF034D" w14:paraId="40C6F5A3" w14:textId="4C4EC703">
            <w:pPr>
              <w:spacing w:after="120"/>
              <w:rPr>
                <w:color w:val="000000"/>
              </w:rPr>
            </w:pPr>
            <w:r>
              <w:rPr>
                <w:color w:val="000000"/>
              </w:rPr>
              <w:t>CforAT</w:t>
            </w:r>
            <w:r w:rsidR="00C8074F">
              <w:rPr>
                <w:color w:val="000000"/>
              </w:rPr>
              <w:t xml:space="preserve"> protested the various IOU Implementation Advice Letters in fall of </w:t>
            </w:r>
            <w:r w:rsidR="00C8074F">
              <w:rPr>
                <w:color w:val="000000"/>
              </w:rPr>
              <w:lastRenderedPageBreak/>
              <w:t xml:space="preserve">2024 and </w:t>
            </w:r>
            <w:r w:rsidR="00644AD4">
              <w:rPr>
                <w:color w:val="000000"/>
              </w:rPr>
              <w:t>commented on the various resolutions.</w:t>
            </w:r>
          </w:p>
          <w:p w:rsidRPr="006D0D84" w:rsidR="00E970C4" w:rsidP="00384281" w:rsidRDefault="00E970C4" w14:paraId="02151155" w14:textId="3925D70B">
            <w:pPr>
              <w:pStyle w:val="ListParagraph"/>
              <w:numPr>
                <w:ilvl w:val="0"/>
                <w:numId w:val="11"/>
              </w:numPr>
              <w:ind w:left="240" w:hanging="270"/>
              <w:rPr>
                <w:rFonts w:ascii="Times New Roman" w:hAnsi="Times New Roman"/>
                <w:color w:val="000000"/>
                <w:sz w:val="24"/>
                <w:szCs w:val="24"/>
              </w:rPr>
            </w:pPr>
            <w:r w:rsidRPr="006D0D84">
              <w:rPr>
                <w:rFonts w:ascii="Times New Roman" w:hAnsi="Times New Roman"/>
                <w:color w:val="000000"/>
                <w:sz w:val="24"/>
                <w:szCs w:val="24"/>
              </w:rPr>
              <w:t>CforAT Protest to PG&amp;E Advice Letter 7351-E</w:t>
            </w:r>
            <w:r w:rsidRPr="006D0D84" w:rsidR="00C55F75">
              <w:rPr>
                <w:rFonts w:ascii="Times New Roman" w:hAnsi="Times New Roman"/>
                <w:sz w:val="24"/>
                <w:szCs w:val="24"/>
              </w:rPr>
              <w:t xml:space="preserve"> </w:t>
            </w:r>
            <w:r w:rsidRPr="006D0D84" w:rsidR="00C55F75">
              <w:rPr>
                <w:rFonts w:ascii="Times New Roman" w:hAnsi="Times New Roman"/>
                <w:color w:val="000000"/>
                <w:sz w:val="24"/>
                <w:szCs w:val="24"/>
              </w:rPr>
              <w:t>SCE Advice Letter 5358-E, and SDG&amp;E Advice Letter 4492-E, Pursuant to Ordering Paragraph 3(C) of D.24-05-028 Regarding Implementation of the Income-Graduated Fixed Charge, submitted on September 3, 2024;</w:t>
            </w:r>
          </w:p>
          <w:p w:rsidRPr="006D0D84" w:rsidR="00C55F75" w:rsidP="00384281" w:rsidRDefault="00DE1540" w14:paraId="4BEFEA1B" w14:textId="236E9D5C">
            <w:pPr>
              <w:pStyle w:val="ListParagraph"/>
              <w:numPr>
                <w:ilvl w:val="0"/>
                <w:numId w:val="11"/>
              </w:numPr>
              <w:ind w:left="240" w:hanging="270"/>
              <w:rPr>
                <w:rFonts w:ascii="Times New Roman" w:hAnsi="Times New Roman"/>
                <w:color w:val="000000"/>
                <w:sz w:val="24"/>
                <w:szCs w:val="24"/>
              </w:rPr>
            </w:pPr>
            <w:r w:rsidRPr="006D0D84">
              <w:rPr>
                <w:rFonts w:ascii="Times New Roman" w:hAnsi="Times New Roman"/>
                <w:color w:val="000000"/>
                <w:sz w:val="24"/>
                <w:szCs w:val="24"/>
              </w:rPr>
              <w:t>CforAT Comments on Draft Resolution E-5355 (SDG&amp;E), submitted December 5, 2024;</w:t>
            </w:r>
          </w:p>
          <w:p w:rsidRPr="006D0D84" w:rsidR="00DE1540" w:rsidP="00384281" w:rsidRDefault="00462DFB" w14:paraId="30522B7C" w14:textId="29BF16B0">
            <w:pPr>
              <w:pStyle w:val="ListParagraph"/>
              <w:numPr>
                <w:ilvl w:val="0"/>
                <w:numId w:val="11"/>
              </w:numPr>
              <w:ind w:left="240" w:hanging="270"/>
              <w:rPr>
                <w:rFonts w:ascii="Times New Roman" w:hAnsi="Times New Roman"/>
                <w:color w:val="000000"/>
                <w:sz w:val="24"/>
                <w:szCs w:val="24"/>
              </w:rPr>
            </w:pPr>
            <w:r w:rsidRPr="006D0D84">
              <w:rPr>
                <w:rFonts w:ascii="Times New Roman" w:hAnsi="Times New Roman"/>
                <w:color w:val="000000"/>
                <w:sz w:val="24"/>
                <w:szCs w:val="24"/>
              </w:rPr>
              <w:t>CforAT Comments on Draft Resolution E-5356 (SCE), submitted on December 5, 2024; and</w:t>
            </w:r>
          </w:p>
          <w:p w:rsidR="00462DFB" w:rsidP="00384281" w:rsidRDefault="00462DFB" w14:paraId="0CEA98B4" w14:textId="2B9DAFB8">
            <w:pPr>
              <w:pStyle w:val="ListParagraph"/>
              <w:numPr>
                <w:ilvl w:val="0"/>
                <w:numId w:val="11"/>
              </w:numPr>
              <w:ind w:left="240" w:hanging="270"/>
              <w:rPr>
                <w:rFonts w:ascii="Times New Roman" w:hAnsi="Times New Roman"/>
                <w:color w:val="000000"/>
                <w:sz w:val="24"/>
                <w:szCs w:val="24"/>
              </w:rPr>
            </w:pPr>
            <w:r w:rsidRPr="006D0D84">
              <w:rPr>
                <w:rFonts w:ascii="Times New Roman" w:hAnsi="Times New Roman"/>
                <w:color w:val="000000"/>
                <w:sz w:val="24"/>
                <w:szCs w:val="24"/>
              </w:rPr>
              <w:t>CforAT Comments on Draft Resolution E-</w:t>
            </w:r>
            <w:r w:rsidRPr="006D0D84" w:rsidR="00485726">
              <w:rPr>
                <w:rFonts w:ascii="Times New Roman" w:hAnsi="Times New Roman"/>
                <w:color w:val="000000"/>
                <w:sz w:val="24"/>
                <w:szCs w:val="24"/>
              </w:rPr>
              <w:t>535</w:t>
            </w:r>
            <w:r w:rsidR="00195E2D">
              <w:rPr>
                <w:rFonts w:ascii="Times New Roman" w:hAnsi="Times New Roman"/>
                <w:color w:val="000000"/>
                <w:sz w:val="24"/>
                <w:szCs w:val="24"/>
              </w:rPr>
              <w:t>4</w:t>
            </w:r>
            <w:r w:rsidRPr="006D0D84" w:rsidR="00485726">
              <w:rPr>
                <w:rFonts w:ascii="Times New Roman" w:hAnsi="Times New Roman"/>
                <w:color w:val="000000"/>
                <w:sz w:val="24"/>
                <w:szCs w:val="24"/>
              </w:rPr>
              <w:t xml:space="preserve"> (PG&amp;E)</w:t>
            </w:r>
            <w:r w:rsidRPr="006D0D84" w:rsidR="00DF67EA">
              <w:rPr>
                <w:rFonts w:ascii="Times New Roman" w:hAnsi="Times New Roman"/>
                <w:color w:val="000000"/>
                <w:sz w:val="24"/>
                <w:szCs w:val="24"/>
              </w:rPr>
              <w:t>, submitted December 5, 2024</w:t>
            </w:r>
            <w:r w:rsidRPr="006D0D84" w:rsidR="006D0D84">
              <w:rPr>
                <w:rFonts w:ascii="Times New Roman" w:hAnsi="Times New Roman"/>
                <w:color w:val="000000"/>
                <w:sz w:val="24"/>
                <w:szCs w:val="24"/>
              </w:rPr>
              <w:t>.</w:t>
            </w:r>
          </w:p>
          <w:p w:rsidR="006D0D84" w:rsidP="00483992" w:rsidRDefault="006D0D84" w14:paraId="0EF06E82" w14:textId="77777777">
            <w:pPr>
              <w:rPr>
                <w:color w:val="000000"/>
              </w:rPr>
            </w:pPr>
          </w:p>
          <w:p w:rsidRPr="006D0D84" w:rsidR="006D0D84" w:rsidP="00483992" w:rsidRDefault="008D1411" w14:paraId="1EB426DB" w14:textId="38DDB4F3">
            <w:pPr>
              <w:rPr>
                <w:color w:val="000000"/>
              </w:rPr>
            </w:pPr>
            <w:r>
              <w:rPr>
                <w:color w:val="000000"/>
              </w:rPr>
              <w:t>These comments generally addressed CforAT’s rec</w:t>
            </w:r>
            <w:r w:rsidR="00AB4B27">
              <w:rPr>
                <w:color w:val="000000"/>
              </w:rPr>
              <w:t>o</w:t>
            </w:r>
            <w:r>
              <w:rPr>
                <w:color w:val="000000"/>
              </w:rPr>
              <w:t xml:space="preserve">mmendations </w:t>
            </w:r>
            <w:r w:rsidR="002B1733">
              <w:rPr>
                <w:color w:val="000000"/>
              </w:rPr>
              <w:t>for</w:t>
            </w:r>
            <w:r>
              <w:rPr>
                <w:color w:val="000000"/>
              </w:rPr>
              <w:t xml:space="preserve"> </w:t>
            </w:r>
            <w:r w:rsidR="00AB4B27">
              <w:rPr>
                <w:color w:val="000000"/>
              </w:rPr>
              <w:t>default customers who are eligible for CARE or FERA, but not enrolled in either program, to be defaulted to a low-income tier</w:t>
            </w:r>
            <w:r w:rsidR="004F3487">
              <w:rPr>
                <w:color w:val="000000"/>
              </w:rPr>
              <w:t xml:space="preserve"> and our recommendations to make improvements in planned ME&amp;O efforts to </w:t>
            </w:r>
            <w:r w:rsidR="005A5AB8">
              <w:rPr>
                <w:color w:val="000000"/>
              </w:rPr>
              <w:t xml:space="preserve">better reach and effectively educate vulnerable </w:t>
            </w:r>
            <w:r w:rsidR="00E01C11">
              <w:rPr>
                <w:color w:val="000000"/>
              </w:rPr>
              <w:t xml:space="preserve">and hard-to-reach </w:t>
            </w:r>
            <w:r w:rsidR="005A5AB8">
              <w:rPr>
                <w:color w:val="000000"/>
              </w:rPr>
              <w:t>population groups.</w:t>
            </w:r>
          </w:p>
          <w:p w:rsidR="007B3176" w:rsidP="00483992" w:rsidRDefault="002341B9" w14:paraId="50A0EE14" w14:textId="77777777">
            <w:pPr>
              <w:rPr>
                <w:i/>
                <w:iCs/>
                <w:color w:val="000000"/>
              </w:rPr>
            </w:pPr>
            <w:r w:rsidRPr="007B3176">
              <w:rPr>
                <w:i/>
                <w:iCs/>
                <w:color w:val="000000"/>
              </w:rPr>
              <w:t>BSC Implementation Working Group Participation</w:t>
            </w:r>
            <w:r w:rsidR="007B3176">
              <w:rPr>
                <w:i/>
                <w:iCs/>
                <w:color w:val="000000"/>
              </w:rPr>
              <w:t>:</w:t>
            </w:r>
          </w:p>
          <w:p w:rsidRPr="007F620E" w:rsidR="00E25078" w:rsidP="00483992" w:rsidRDefault="004F149D" w14:paraId="11FCCEB5" w14:textId="27171575">
            <w:pPr>
              <w:rPr>
                <w:color w:val="000000"/>
              </w:rPr>
            </w:pPr>
            <w:r>
              <w:rPr>
                <w:color w:val="000000"/>
              </w:rPr>
              <w:t xml:space="preserve">The Implementation Working Group created in </w:t>
            </w:r>
            <w:r w:rsidR="00763E80">
              <w:rPr>
                <w:color w:val="000000"/>
              </w:rPr>
              <w:t xml:space="preserve">D.24-05-028 and repeatedly referenced in the various resolutions implementing the first iteration of the fixed charge for each of the large IOUs has been an important forum for the development of an implementation plan and for ongoing review of implementation efforts.  </w:t>
            </w:r>
            <w:r w:rsidR="00890BE8">
              <w:rPr>
                <w:color w:val="000000"/>
              </w:rPr>
              <w:t xml:space="preserve">CforAT submits that it is reasonable to seek compensation in this request for time spent in a Working Group formed at the Commission’s direction and repeatedly </w:t>
            </w:r>
            <w:r w:rsidR="00890BE8">
              <w:rPr>
                <w:color w:val="000000"/>
              </w:rPr>
              <w:lastRenderedPageBreak/>
              <w:t xml:space="preserve">referenced as the appropriate forum for ongoing </w:t>
            </w:r>
            <w:r w:rsidR="00B759AD">
              <w:rPr>
                <w:color w:val="000000"/>
              </w:rPr>
              <w:t>review and evaluation of the BSC implementation process.  To the extent that the Commission disagrees that this compensation request is an appropriate forum for consideration of time spent in the Implementation Working Group Process, CforAT requests that the Commission expressly indicate that time spent in this working group should carry over to the planned successor proceeding on BSC issues.</w:t>
            </w:r>
          </w:p>
        </w:tc>
        <w:tc>
          <w:tcPr>
            <w:tcW w:w="3417" w:type="dxa"/>
          </w:tcPr>
          <w:p w:rsidR="003431A3" w:rsidP="00483992" w:rsidRDefault="003431A3" w14:paraId="7A126F8A" w14:textId="77777777">
            <w:pPr>
              <w:rPr>
                <w:color w:val="000000"/>
              </w:rPr>
            </w:pPr>
          </w:p>
          <w:p w:rsidR="00384493" w:rsidP="00483992" w:rsidRDefault="00384493" w14:paraId="5ECA1425" w14:textId="3C4EAA49">
            <w:pPr>
              <w:rPr>
                <w:color w:val="000000"/>
              </w:rPr>
            </w:pPr>
            <w:r>
              <w:rPr>
                <w:color w:val="000000"/>
              </w:rPr>
              <w:t>While the Commission declined to establish Tier 1 fixed charge enrollment by eligibility rather than enrollment in CARE</w:t>
            </w:r>
            <w:r w:rsidR="00385F16">
              <w:rPr>
                <w:color w:val="000000"/>
              </w:rPr>
              <w:t xml:space="preserve">, it did </w:t>
            </w:r>
            <w:r w:rsidR="00385F16">
              <w:rPr>
                <w:color w:val="000000"/>
              </w:rPr>
              <w:lastRenderedPageBreak/>
              <w:t>not</w:t>
            </w:r>
            <w:r w:rsidR="00444930">
              <w:rPr>
                <w:color w:val="000000"/>
              </w:rPr>
              <w:t>e</w:t>
            </w:r>
            <w:r w:rsidR="00385F16">
              <w:rPr>
                <w:color w:val="000000"/>
              </w:rPr>
              <w:t xml:space="preserve"> that the Fixed Charge Decision created an Implementation Working Group to evaluate the fixed charge implementation process </w:t>
            </w:r>
            <w:r w:rsidR="00174BFB">
              <w:rPr>
                <w:color w:val="000000"/>
              </w:rPr>
              <w:t xml:space="preserve">to create and review metrics and evaluate lessons learned.  “Stakeholders are strongly encouraged to further suggest modifications to Large Utilities’ fixed charge processes which can be incorporated into future phases of the fixed charge.”  Res. </w:t>
            </w:r>
            <w:r w:rsidR="00CA131E">
              <w:rPr>
                <w:color w:val="000000"/>
              </w:rPr>
              <w:t>E</w:t>
            </w:r>
            <w:r w:rsidR="00F40949">
              <w:rPr>
                <w:color w:val="000000"/>
              </w:rPr>
              <w:noBreakHyphen/>
            </w:r>
            <w:r w:rsidR="00CA131E">
              <w:rPr>
                <w:color w:val="000000"/>
              </w:rPr>
              <w:t xml:space="preserve">5356 </w:t>
            </w:r>
            <w:r w:rsidR="00BB19AB">
              <w:rPr>
                <w:color w:val="000000"/>
              </w:rPr>
              <w:t xml:space="preserve">(SCE) </w:t>
            </w:r>
            <w:r w:rsidR="00CA131E">
              <w:rPr>
                <w:color w:val="000000"/>
              </w:rPr>
              <w:t>at pp. 25-26</w:t>
            </w:r>
            <w:r w:rsidR="002D7EC0">
              <w:rPr>
                <w:color w:val="000000"/>
              </w:rPr>
              <w:t>; Res. E</w:t>
            </w:r>
            <w:r w:rsidR="00F40949">
              <w:rPr>
                <w:color w:val="000000"/>
              </w:rPr>
              <w:noBreakHyphen/>
            </w:r>
            <w:r w:rsidR="003A6675">
              <w:rPr>
                <w:color w:val="000000"/>
              </w:rPr>
              <w:t xml:space="preserve">5355 (SDGE) at pp. </w:t>
            </w:r>
            <w:r w:rsidR="00687841">
              <w:rPr>
                <w:color w:val="000000"/>
              </w:rPr>
              <w:t>31-32;</w:t>
            </w:r>
          </w:p>
          <w:p w:rsidR="007C47EC" w:rsidP="00483992" w:rsidRDefault="007C47EC" w14:paraId="36BEAEFB" w14:textId="77777777">
            <w:pPr>
              <w:rPr>
                <w:color w:val="000000"/>
              </w:rPr>
            </w:pPr>
          </w:p>
          <w:p w:rsidR="00D66E4B" w:rsidP="00483992" w:rsidRDefault="007C47EC" w14:paraId="1CECDCE1" w14:textId="45E26454">
            <w:pPr>
              <w:rPr>
                <w:color w:val="000000"/>
              </w:rPr>
            </w:pPr>
            <w:r>
              <w:rPr>
                <w:color w:val="000000"/>
              </w:rPr>
              <w:t xml:space="preserve">The Commission indicated that the Resolutions direct the utilities to </w:t>
            </w:r>
            <w:r w:rsidR="00AF1A06">
              <w:rPr>
                <w:color w:val="000000"/>
              </w:rPr>
              <w:t>demonstrate compliance with accessibility standards in their ME&amp;O presentations to the Implementation Working Group before initiating communications with customers and implementing the fixed charge.  Res.</w:t>
            </w:r>
            <w:r w:rsidR="00BB19AB">
              <w:rPr>
                <w:color w:val="000000"/>
              </w:rPr>
              <w:t xml:space="preserve"> E-5356 (SCE) at p. 55</w:t>
            </w:r>
            <w:r w:rsidR="00DF5CA7">
              <w:rPr>
                <w:color w:val="000000"/>
              </w:rPr>
              <w:t>; Res. E-</w:t>
            </w:r>
            <w:r w:rsidR="00B638AE">
              <w:rPr>
                <w:color w:val="000000"/>
              </w:rPr>
              <w:t>5355 (SDGE) at pp. 67-68</w:t>
            </w:r>
            <w:r w:rsidR="006102E3">
              <w:rPr>
                <w:color w:val="000000"/>
              </w:rPr>
              <w:t xml:space="preserve">.  PG&amp;E specifically responded to CforAT’s </w:t>
            </w:r>
            <w:r w:rsidR="00476A9F">
              <w:rPr>
                <w:color w:val="000000"/>
              </w:rPr>
              <w:t>comments about its planned ME&amp;O by clarifying its plan and</w:t>
            </w:r>
            <w:r w:rsidR="00CD2C82">
              <w:rPr>
                <w:color w:val="000000"/>
              </w:rPr>
              <w:t xml:space="preserve"> </w:t>
            </w:r>
            <w:r w:rsidR="00476A9F">
              <w:rPr>
                <w:color w:val="000000"/>
              </w:rPr>
              <w:t>providing a summary of its integrated campaign plan</w:t>
            </w:r>
            <w:r w:rsidR="00CD2C82">
              <w:rPr>
                <w:color w:val="000000"/>
              </w:rPr>
              <w:t>,</w:t>
            </w:r>
          </w:p>
          <w:p w:rsidR="00D66E4B" w:rsidP="00483992" w:rsidRDefault="00D66E4B" w14:paraId="561A04EC" w14:textId="77777777">
            <w:pPr>
              <w:rPr>
                <w:color w:val="000000"/>
              </w:rPr>
            </w:pPr>
          </w:p>
          <w:p w:rsidR="007C47EC" w:rsidP="00483992" w:rsidRDefault="00CD2C82" w14:paraId="5FE0BDFF" w14:textId="4260F6E7">
            <w:pPr>
              <w:rPr>
                <w:color w:val="000000"/>
              </w:rPr>
            </w:pPr>
            <w:r>
              <w:rPr>
                <w:color w:val="000000"/>
              </w:rPr>
              <w:t xml:space="preserve">Resolution E-5354 at p. 45, which the Commission accepted as reasonable.  </w:t>
            </w:r>
            <w:r w:rsidR="00670B16">
              <w:rPr>
                <w:color w:val="000000"/>
              </w:rPr>
              <w:t xml:space="preserve">SCE specifically agreed to explore targeted messages to customers likely eligible for CARE or FERA and present finding in future working group meetings.  </w:t>
            </w:r>
            <w:r w:rsidR="00AC11EC">
              <w:rPr>
                <w:color w:val="000000"/>
              </w:rPr>
              <w:t>Res. E-5356 at p.</w:t>
            </w:r>
            <w:r w:rsidR="00332605">
              <w:rPr>
                <w:color w:val="000000"/>
              </w:rPr>
              <w:t> </w:t>
            </w:r>
            <w:r w:rsidR="00AC11EC">
              <w:rPr>
                <w:color w:val="000000"/>
              </w:rPr>
              <w:t>16.</w:t>
            </w:r>
          </w:p>
          <w:p w:rsidR="00B2186B" w:rsidP="00483992" w:rsidRDefault="00B2186B" w14:paraId="00BB01C1" w14:textId="77777777">
            <w:pPr>
              <w:rPr>
                <w:color w:val="000000"/>
              </w:rPr>
            </w:pPr>
          </w:p>
          <w:p w:rsidRPr="007F620E" w:rsidR="00B2186B" w:rsidP="00F40949" w:rsidRDefault="00B2186B" w14:paraId="2A92A629" w14:textId="53EE708D">
            <w:pPr>
              <w:spacing w:after="120"/>
              <w:rPr>
                <w:color w:val="000000"/>
              </w:rPr>
            </w:pPr>
            <w:r>
              <w:rPr>
                <w:color w:val="000000"/>
              </w:rPr>
              <w:t xml:space="preserve">While the Track B Decision closing the proceeding does not </w:t>
            </w:r>
            <w:r>
              <w:rPr>
                <w:color w:val="000000"/>
              </w:rPr>
              <w:lastRenderedPageBreak/>
              <w:t xml:space="preserve">directly address </w:t>
            </w:r>
            <w:r w:rsidR="00485960">
              <w:rPr>
                <w:color w:val="000000"/>
              </w:rPr>
              <w:t xml:space="preserve">work of the </w:t>
            </w:r>
            <w:r w:rsidR="005929CA">
              <w:rPr>
                <w:color w:val="000000"/>
              </w:rPr>
              <w:t>Implementation Working Group, the ongoing efforts to roll out the BSC as ordered in D.24005-028</w:t>
            </w:r>
            <w:r w:rsidR="007004DE">
              <w:rPr>
                <w:rStyle w:val="FootnoteReference"/>
                <w:color w:val="000000"/>
              </w:rPr>
              <w:footnoteReference w:id="4"/>
            </w:r>
            <w:r w:rsidR="005929CA">
              <w:rPr>
                <w:color w:val="000000"/>
              </w:rPr>
              <w:t xml:space="preserve"> have relied substantially on the input and participation of the working group members.  </w:t>
            </w:r>
            <w:r w:rsidR="003A714C">
              <w:rPr>
                <w:color w:val="000000"/>
              </w:rPr>
              <w:t xml:space="preserve">Because this work was necessarily related to the scope of this proceeding and because the Track B decision closes the proceeding, it is appropriate for CforAT to seek compensation for this work here.  To the extent that the Commission determines that this necessary work, which stakeholders were asked to participate in, is not appropriate for compensation here, we ask that the Commission provide guidance for the appropriate forum for seeking </w:t>
            </w:r>
            <w:r w:rsidR="0003279B">
              <w:rPr>
                <w:color w:val="000000"/>
              </w:rPr>
              <w:t>such compensation, as CforAT would experience financial hardship and be unable to participate in this type of stakeholder process without the availability of intervenor compensation.</w:t>
            </w:r>
          </w:p>
        </w:tc>
        <w:tc>
          <w:tcPr>
            <w:tcW w:w="1983" w:type="dxa"/>
          </w:tcPr>
          <w:p w:rsidR="007004DE" w:rsidP="00613FAB" w:rsidRDefault="007004DE" w14:paraId="61C053E0" w14:textId="77777777">
            <w:pPr>
              <w:jc w:val="center"/>
              <w:rPr>
                <w:color w:val="000000"/>
              </w:rPr>
            </w:pPr>
          </w:p>
          <w:p w:rsidR="00375F53" w:rsidP="00613FAB" w:rsidRDefault="00375F53" w14:paraId="1BECF908" w14:textId="77777777">
            <w:pPr>
              <w:jc w:val="center"/>
              <w:rPr>
                <w:color w:val="000000"/>
              </w:rPr>
            </w:pPr>
          </w:p>
          <w:p w:rsidR="007004DE" w:rsidP="00613FAB" w:rsidRDefault="00050576" w14:paraId="1ED9209F" w14:textId="78B391CA">
            <w:pPr>
              <w:jc w:val="center"/>
              <w:rPr>
                <w:color w:val="000000"/>
              </w:rPr>
            </w:pPr>
            <w:r>
              <w:rPr>
                <w:color w:val="000000"/>
              </w:rPr>
              <w:t>Verified</w:t>
            </w:r>
          </w:p>
          <w:p w:rsidR="007004DE" w:rsidP="00613FAB" w:rsidRDefault="007004DE" w14:paraId="4C0B77F7" w14:textId="77777777">
            <w:pPr>
              <w:jc w:val="center"/>
              <w:rPr>
                <w:color w:val="000000"/>
              </w:rPr>
            </w:pPr>
          </w:p>
          <w:p w:rsidR="007004DE" w:rsidP="00613FAB" w:rsidRDefault="007004DE" w14:paraId="5828A7DD" w14:textId="77777777">
            <w:pPr>
              <w:jc w:val="center"/>
              <w:rPr>
                <w:color w:val="000000"/>
              </w:rPr>
            </w:pPr>
          </w:p>
          <w:p w:rsidR="007004DE" w:rsidP="00613FAB" w:rsidRDefault="007004DE" w14:paraId="2562AAEA" w14:textId="77777777">
            <w:pPr>
              <w:jc w:val="center"/>
              <w:rPr>
                <w:color w:val="000000"/>
              </w:rPr>
            </w:pPr>
          </w:p>
          <w:p w:rsidR="007004DE" w:rsidP="00613FAB" w:rsidRDefault="007004DE" w14:paraId="1E11AC1D" w14:textId="77777777">
            <w:pPr>
              <w:jc w:val="center"/>
              <w:rPr>
                <w:color w:val="000000"/>
              </w:rPr>
            </w:pPr>
          </w:p>
          <w:p w:rsidR="007004DE" w:rsidP="00613FAB" w:rsidRDefault="007004DE" w14:paraId="755E1BB0" w14:textId="77777777">
            <w:pPr>
              <w:jc w:val="center"/>
              <w:rPr>
                <w:color w:val="000000"/>
              </w:rPr>
            </w:pPr>
          </w:p>
          <w:p w:rsidR="007004DE" w:rsidP="00613FAB" w:rsidRDefault="007004DE" w14:paraId="15589680" w14:textId="77777777">
            <w:pPr>
              <w:jc w:val="center"/>
              <w:rPr>
                <w:color w:val="000000"/>
              </w:rPr>
            </w:pPr>
          </w:p>
          <w:p w:rsidR="007004DE" w:rsidP="00613FAB" w:rsidRDefault="007004DE" w14:paraId="487AFD53" w14:textId="77777777">
            <w:pPr>
              <w:jc w:val="center"/>
              <w:rPr>
                <w:color w:val="000000"/>
              </w:rPr>
            </w:pPr>
          </w:p>
          <w:p w:rsidR="007004DE" w:rsidP="00613FAB" w:rsidRDefault="007004DE" w14:paraId="2A7E5AE0" w14:textId="77777777">
            <w:pPr>
              <w:jc w:val="center"/>
              <w:rPr>
                <w:color w:val="000000"/>
              </w:rPr>
            </w:pPr>
          </w:p>
          <w:p w:rsidR="007004DE" w:rsidP="00613FAB" w:rsidRDefault="007004DE" w14:paraId="2852B17C" w14:textId="77777777">
            <w:pPr>
              <w:jc w:val="center"/>
              <w:rPr>
                <w:color w:val="000000"/>
              </w:rPr>
            </w:pPr>
          </w:p>
          <w:p w:rsidR="007004DE" w:rsidP="00613FAB" w:rsidRDefault="007004DE" w14:paraId="624E9EBE" w14:textId="77777777">
            <w:pPr>
              <w:jc w:val="center"/>
              <w:rPr>
                <w:color w:val="000000"/>
              </w:rPr>
            </w:pPr>
          </w:p>
          <w:p w:rsidR="007004DE" w:rsidP="00613FAB" w:rsidRDefault="007004DE" w14:paraId="393836E3" w14:textId="77777777">
            <w:pPr>
              <w:jc w:val="center"/>
              <w:rPr>
                <w:color w:val="000000"/>
              </w:rPr>
            </w:pPr>
          </w:p>
          <w:p w:rsidR="007004DE" w:rsidP="00613FAB" w:rsidRDefault="007004DE" w14:paraId="25FF9A6D" w14:textId="77777777">
            <w:pPr>
              <w:jc w:val="center"/>
              <w:rPr>
                <w:color w:val="000000"/>
              </w:rPr>
            </w:pPr>
          </w:p>
          <w:p w:rsidR="007004DE" w:rsidP="00613FAB" w:rsidRDefault="007004DE" w14:paraId="360E85A9" w14:textId="77777777">
            <w:pPr>
              <w:jc w:val="center"/>
              <w:rPr>
                <w:color w:val="000000"/>
              </w:rPr>
            </w:pPr>
          </w:p>
          <w:p w:rsidR="007004DE" w:rsidP="00613FAB" w:rsidRDefault="007004DE" w14:paraId="04093A34" w14:textId="77777777">
            <w:pPr>
              <w:jc w:val="center"/>
              <w:rPr>
                <w:color w:val="000000"/>
              </w:rPr>
            </w:pPr>
          </w:p>
          <w:p w:rsidR="007004DE" w:rsidP="00613FAB" w:rsidRDefault="007004DE" w14:paraId="3A6B9930" w14:textId="77777777">
            <w:pPr>
              <w:jc w:val="center"/>
              <w:rPr>
                <w:color w:val="000000"/>
              </w:rPr>
            </w:pPr>
          </w:p>
          <w:p w:rsidR="00050576" w:rsidP="00613FAB" w:rsidRDefault="00050576" w14:paraId="7A18E3DE" w14:textId="77777777">
            <w:pPr>
              <w:jc w:val="center"/>
              <w:rPr>
                <w:color w:val="000000"/>
              </w:rPr>
            </w:pPr>
          </w:p>
          <w:p w:rsidR="00C46B2C" w:rsidP="00613FAB" w:rsidRDefault="00C46B2C" w14:paraId="6EAA48E4" w14:textId="77777777">
            <w:pPr>
              <w:jc w:val="center"/>
              <w:rPr>
                <w:color w:val="000000"/>
              </w:rPr>
            </w:pPr>
          </w:p>
          <w:p w:rsidR="00C46B2C" w:rsidP="00613FAB" w:rsidRDefault="00C46B2C" w14:paraId="234F42D2" w14:textId="77777777">
            <w:pPr>
              <w:jc w:val="center"/>
              <w:rPr>
                <w:color w:val="000000"/>
              </w:rPr>
            </w:pPr>
          </w:p>
          <w:p w:rsidR="00C46B2C" w:rsidP="00613FAB" w:rsidRDefault="00C46B2C" w14:paraId="059F8B1C" w14:textId="77777777">
            <w:pPr>
              <w:jc w:val="center"/>
              <w:rPr>
                <w:color w:val="000000"/>
              </w:rPr>
            </w:pPr>
          </w:p>
          <w:p w:rsidR="00C46B2C" w:rsidP="00613FAB" w:rsidRDefault="00C46B2C" w14:paraId="61E9F4E1" w14:textId="77777777">
            <w:pPr>
              <w:jc w:val="center"/>
              <w:rPr>
                <w:color w:val="000000"/>
              </w:rPr>
            </w:pPr>
          </w:p>
          <w:p w:rsidR="00C46B2C" w:rsidP="00613FAB" w:rsidRDefault="00C46B2C" w14:paraId="4CF893B4" w14:textId="77777777">
            <w:pPr>
              <w:jc w:val="center"/>
              <w:rPr>
                <w:color w:val="000000"/>
              </w:rPr>
            </w:pPr>
          </w:p>
          <w:p w:rsidR="00C46B2C" w:rsidP="00613FAB" w:rsidRDefault="00C46B2C" w14:paraId="2CF12FD3" w14:textId="77777777">
            <w:pPr>
              <w:jc w:val="center"/>
              <w:rPr>
                <w:color w:val="000000"/>
              </w:rPr>
            </w:pPr>
          </w:p>
          <w:p w:rsidR="00C46B2C" w:rsidP="00613FAB" w:rsidRDefault="00C46B2C" w14:paraId="79290BFE" w14:textId="77777777">
            <w:pPr>
              <w:jc w:val="center"/>
              <w:rPr>
                <w:color w:val="000000"/>
              </w:rPr>
            </w:pPr>
          </w:p>
          <w:p w:rsidR="00C46B2C" w:rsidP="00613FAB" w:rsidRDefault="00C46B2C" w14:paraId="3330FAD5" w14:textId="77777777">
            <w:pPr>
              <w:jc w:val="center"/>
              <w:rPr>
                <w:color w:val="000000"/>
              </w:rPr>
            </w:pPr>
          </w:p>
          <w:p w:rsidR="00C46B2C" w:rsidP="00613FAB" w:rsidRDefault="00C46B2C" w14:paraId="51F5AA0E" w14:textId="77777777">
            <w:pPr>
              <w:jc w:val="center"/>
              <w:rPr>
                <w:color w:val="000000"/>
              </w:rPr>
            </w:pPr>
          </w:p>
          <w:p w:rsidR="00C46B2C" w:rsidP="00613FAB" w:rsidRDefault="00C46B2C" w14:paraId="08E181F8" w14:textId="77777777">
            <w:pPr>
              <w:jc w:val="center"/>
              <w:rPr>
                <w:color w:val="000000"/>
              </w:rPr>
            </w:pPr>
          </w:p>
          <w:p w:rsidR="00C46B2C" w:rsidP="00613FAB" w:rsidRDefault="00C46B2C" w14:paraId="6A3DC2C6" w14:textId="77777777">
            <w:pPr>
              <w:jc w:val="center"/>
              <w:rPr>
                <w:color w:val="000000"/>
              </w:rPr>
            </w:pPr>
          </w:p>
          <w:p w:rsidR="00C46B2C" w:rsidP="00613FAB" w:rsidRDefault="00C46B2C" w14:paraId="38C3B714" w14:textId="77777777">
            <w:pPr>
              <w:jc w:val="center"/>
              <w:rPr>
                <w:color w:val="000000"/>
              </w:rPr>
            </w:pPr>
          </w:p>
          <w:p w:rsidR="00C46B2C" w:rsidP="00613FAB" w:rsidRDefault="00C46B2C" w14:paraId="126AA8C2" w14:textId="77777777">
            <w:pPr>
              <w:jc w:val="center"/>
              <w:rPr>
                <w:color w:val="000000"/>
              </w:rPr>
            </w:pPr>
          </w:p>
          <w:p w:rsidR="00C46B2C" w:rsidP="00613FAB" w:rsidRDefault="00C46B2C" w14:paraId="10DAE713" w14:textId="77777777">
            <w:pPr>
              <w:jc w:val="center"/>
              <w:rPr>
                <w:color w:val="000000"/>
              </w:rPr>
            </w:pPr>
          </w:p>
          <w:p w:rsidR="00C46B2C" w:rsidP="00613FAB" w:rsidRDefault="00C46B2C" w14:paraId="2FA6D075" w14:textId="77777777">
            <w:pPr>
              <w:jc w:val="center"/>
              <w:rPr>
                <w:color w:val="000000"/>
              </w:rPr>
            </w:pPr>
          </w:p>
          <w:p w:rsidR="00C46B2C" w:rsidP="00613FAB" w:rsidRDefault="00C46B2C" w14:paraId="5FC3F8F5" w14:textId="77777777">
            <w:pPr>
              <w:jc w:val="center"/>
              <w:rPr>
                <w:color w:val="000000"/>
              </w:rPr>
            </w:pPr>
          </w:p>
          <w:p w:rsidR="00C46B2C" w:rsidP="00613FAB" w:rsidRDefault="00C46B2C" w14:paraId="408C80BC" w14:textId="77777777">
            <w:pPr>
              <w:jc w:val="center"/>
              <w:rPr>
                <w:color w:val="000000"/>
              </w:rPr>
            </w:pPr>
          </w:p>
          <w:p w:rsidR="00C46B2C" w:rsidP="00613FAB" w:rsidRDefault="00C46B2C" w14:paraId="2E9F5AC5" w14:textId="77777777">
            <w:pPr>
              <w:jc w:val="center"/>
              <w:rPr>
                <w:color w:val="000000"/>
              </w:rPr>
            </w:pPr>
          </w:p>
          <w:p w:rsidR="00C46B2C" w:rsidP="00613FAB" w:rsidRDefault="00C46B2C" w14:paraId="2412A872" w14:textId="77777777">
            <w:pPr>
              <w:jc w:val="center"/>
              <w:rPr>
                <w:color w:val="000000"/>
              </w:rPr>
            </w:pPr>
          </w:p>
          <w:p w:rsidR="00C46B2C" w:rsidP="00613FAB" w:rsidRDefault="00C46B2C" w14:paraId="53A05281" w14:textId="77777777">
            <w:pPr>
              <w:jc w:val="center"/>
              <w:rPr>
                <w:color w:val="000000"/>
              </w:rPr>
            </w:pPr>
          </w:p>
          <w:p w:rsidR="00C46B2C" w:rsidP="00613FAB" w:rsidRDefault="00C46B2C" w14:paraId="5F5EFB15" w14:textId="77777777">
            <w:pPr>
              <w:jc w:val="center"/>
              <w:rPr>
                <w:color w:val="000000"/>
              </w:rPr>
            </w:pPr>
          </w:p>
          <w:p w:rsidR="00C46B2C" w:rsidP="00613FAB" w:rsidRDefault="00C46B2C" w14:paraId="15E120D0" w14:textId="77777777">
            <w:pPr>
              <w:jc w:val="center"/>
              <w:rPr>
                <w:color w:val="000000"/>
              </w:rPr>
            </w:pPr>
          </w:p>
          <w:p w:rsidR="00C46B2C" w:rsidP="00613FAB" w:rsidRDefault="00C46B2C" w14:paraId="3F2CD7CC" w14:textId="77777777">
            <w:pPr>
              <w:jc w:val="center"/>
              <w:rPr>
                <w:color w:val="000000"/>
              </w:rPr>
            </w:pPr>
          </w:p>
          <w:p w:rsidR="00C46B2C" w:rsidP="00613FAB" w:rsidRDefault="00C46B2C" w14:paraId="0927F132" w14:textId="77777777">
            <w:pPr>
              <w:jc w:val="center"/>
              <w:rPr>
                <w:color w:val="000000"/>
              </w:rPr>
            </w:pPr>
          </w:p>
          <w:p w:rsidR="00C46B2C" w:rsidP="00613FAB" w:rsidRDefault="00C46B2C" w14:paraId="1DBEF7EA" w14:textId="77777777">
            <w:pPr>
              <w:jc w:val="center"/>
              <w:rPr>
                <w:color w:val="000000"/>
              </w:rPr>
            </w:pPr>
          </w:p>
          <w:p w:rsidR="00C46B2C" w:rsidP="00613FAB" w:rsidRDefault="00C46B2C" w14:paraId="71376A1A" w14:textId="77777777">
            <w:pPr>
              <w:jc w:val="center"/>
              <w:rPr>
                <w:color w:val="000000"/>
              </w:rPr>
            </w:pPr>
          </w:p>
          <w:p w:rsidR="00050576" w:rsidP="00613FAB" w:rsidRDefault="00050576" w14:paraId="28BBE67F" w14:textId="02658F81">
            <w:pPr>
              <w:jc w:val="center"/>
              <w:rPr>
                <w:color w:val="000000"/>
              </w:rPr>
            </w:pPr>
            <w:r>
              <w:rPr>
                <w:color w:val="000000"/>
              </w:rPr>
              <w:t>Verified</w:t>
            </w:r>
          </w:p>
          <w:p w:rsidR="00050576" w:rsidP="00613FAB" w:rsidRDefault="00050576" w14:paraId="6A8F44C2" w14:textId="77777777">
            <w:pPr>
              <w:jc w:val="center"/>
              <w:rPr>
                <w:color w:val="000000"/>
              </w:rPr>
            </w:pPr>
          </w:p>
          <w:p w:rsidR="00922FFB" w:rsidP="00613FAB" w:rsidRDefault="00922FFB" w14:paraId="37A9D99B" w14:textId="77777777">
            <w:pPr>
              <w:jc w:val="center"/>
              <w:rPr>
                <w:color w:val="000000"/>
              </w:rPr>
            </w:pPr>
          </w:p>
          <w:p w:rsidR="00922FFB" w:rsidP="00613FAB" w:rsidRDefault="00922FFB" w14:paraId="543D16E3" w14:textId="77777777">
            <w:pPr>
              <w:jc w:val="center"/>
              <w:rPr>
                <w:color w:val="000000"/>
              </w:rPr>
            </w:pPr>
          </w:p>
          <w:p w:rsidR="00922FFB" w:rsidP="00613FAB" w:rsidRDefault="00922FFB" w14:paraId="197514EC" w14:textId="77777777">
            <w:pPr>
              <w:jc w:val="center"/>
              <w:rPr>
                <w:color w:val="000000"/>
              </w:rPr>
            </w:pPr>
          </w:p>
          <w:p w:rsidR="00922FFB" w:rsidP="00613FAB" w:rsidRDefault="00922FFB" w14:paraId="779C4075" w14:textId="77777777">
            <w:pPr>
              <w:jc w:val="center"/>
              <w:rPr>
                <w:color w:val="000000"/>
              </w:rPr>
            </w:pPr>
          </w:p>
          <w:p w:rsidR="00922FFB" w:rsidP="00613FAB" w:rsidRDefault="00922FFB" w14:paraId="015AE525" w14:textId="77777777">
            <w:pPr>
              <w:jc w:val="center"/>
              <w:rPr>
                <w:color w:val="000000"/>
              </w:rPr>
            </w:pPr>
          </w:p>
          <w:p w:rsidR="00922FFB" w:rsidP="00613FAB" w:rsidRDefault="00922FFB" w14:paraId="2B84C6C8" w14:textId="77777777">
            <w:pPr>
              <w:jc w:val="center"/>
              <w:rPr>
                <w:color w:val="000000"/>
              </w:rPr>
            </w:pPr>
          </w:p>
          <w:p w:rsidR="00922FFB" w:rsidP="00613FAB" w:rsidRDefault="00922FFB" w14:paraId="3BB43E82" w14:textId="77777777">
            <w:pPr>
              <w:jc w:val="center"/>
              <w:rPr>
                <w:color w:val="000000"/>
              </w:rPr>
            </w:pPr>
          </w:p>
          <w:p w:rsidR="00922FFB" w:rsidP="00613FAB" w:rsidRDefault="00922FFB" w14:paraId="78398B6A" w14:textId="77777777">
            <w:pPr>
              <w:jc w:val="center"/>
              <w:rPr>
                <w:color w:val="000000"/>
              </w:rPr>
            </w:pPr>
          </w:p>
          <w:p w:rsidR="00922FFB" w:rsidP="00613FAB" w:rsidRDefault="00922FFB" w14:paraId="50D4B955" w14:textId="77777777">
            <w:pPr>
              <w:jc w:val="center"/>
              <w:rPr>
                <w:color w:val="000000"/>
              </w:rPr>
            </w:pPr>
          </w:p>
          <w:p w:rsidR="00922FFB" w:rsidP="00613FAB" w:rsidRDefault="00922FFB" w14:paraId="4CFB64DD" w14:textId="77777777">
            <w:pPr>
              <w:jc w:val="center"/>
              <w:rPr>
                <w:color w:val="000000"/>
              </w:rPr>
            </w:pPr>
          </w:p>
          <w:p w:rsidR="00922FFB" w:rsidP="00613FAB" w:rsidRDefault="00922FFB" w14:paraId="76D5363F" w14:textId="77777777">
            <w:pPr>
              <w:jc w:val="center"/>
              <w:rPr>
                <w:color w:val="000000"/>
              </w:rPr>
            </w:pPr>
          </w:p>
          <w:p w:rsidR="00922FFB" w:rsidP="00613FAB" w:rsidRDefault="00922FFB" w14:paraId="468D9F2D" w14:textId="77777777">
            <w:pPr>
              <w:jc w:val="center"/>
              <w:rPr>
                <w:color w:val="000000"/>
              </w:rPr>
            </w:pPr>
          </w:p>
          <w:p w:rsidR="00C46B2C" w:rsidP="00613FAB" w:rsidRDefault="00C46B2C" w14:paraId="088DACAC" w14:textId="77777777">
            <w:pPr>
              <w:jc w:val="center"/>
              <w:rPr>
                <w:color w:val="000000"/>
              </w:rPr>
            </w:pPr>
          </w:p>
          <w:p w:rsidR="00C46B2C" w:rsidP="00613FAB" w:rsidRDefault="00C46B2C" w14:paraId="53FA51C7" w14:textId="77777777">
            <w:pPr>
              <w:jc w:val="center"/>
              <w:rPr>
                <w:color w:val="000000"/>
              </w:rPr>
            </w:pPr>
          </w:p>
          <w:p w:rsidR="00C46B2C" w:rsidP="00613FAB" w:rsidRDefault="00C46B2C" w14:paraId="7A9688D9" w14:textId="77777777">
            <w:pPr>
              <w:jc w:val="center"/>
              <w:rPr>
                <w:color w:val="000000"/>
              </w:rPr>
            </w:pPr>
          </w:p>
          <w:p w:rsidR="00C46B2C" w:rsidP="00613FAB" w:rsidRDefault="00C46B2C" w14:paraId="17CE79EF" w14:textId="77777777">
            <w:pPr>
              <w:jc w:val="center"/>
              <w:rPr>
                <w:color w:val="000000"/>
              </w:rPr>
            </w:pPr>
          </w:p>
          <w:p w:rsidR="00C46B2C" w:rsidP="00613FAB" w:rsidRDefault="00C46B2C" w14:paraId="15919E5B" w14:textId="77777777">
            <w:pPr>
              <w:jc w:val="center"/>
              <w:rPr>
                <w:color w:val="000000"/>
              </w:rPr>
            </w:pPr>
          </w:p>
          <w:p w:rsidR="00C46B2C" w:rsidP="00613FAB" w:rsidRDefault="00C46B2C" w14:paraId="31998C9D" w14:textId="77777777">
            <w:pPr>
              <w:jc w:val="center"/>
              <w:rPr>
                <w:color w:val="000000"/>
              </w:rPr>
            </w:pPr>
          </w:p>
          <w:p w:rsidR="00C46B2C" w:rsidP="00613FAB" w:rsidRDefault="00C46B2C" w14:paraId="1BE71936" w14:textId="77777777">
            <w:pPr>
              <w:jc w:val="center"/>
              <w:rPr>
                <w:color w:val="000000"/>
              </w:rPr>
            </w:pPr>
          </w:p>
          <w:p w:rsidR="00C46B2C" w:rsidP="00613FAB" w:rsidRDefault="00C46B2C" w14:paraId="34B349E0" w14:textId="77777777">
            <w:pPr>
              <w:jc w:val="center"/>
              <w:rPr>
                <w:color w:val="000000"/>
              </w:rPr>
            </w:pPr>
          </w:p>
          <w:p w:rsidR="00C46B2C" w:rsidP="00613FAB" w:rsidRDefault="00C46B2C" w14:paraId="10F39CE2" w14:textId="77777777">
            <w:pPr>
              <w:jc w:val="center"/>
              <w:rPr>
                <w:color w:val="000000"/>
              </w:rPr>
            </w:pPr>
          </w:p>
          <w:p w:rsidR="00C46B2C" w:rsidP="00613FAB" w:rsidRDefault="00C46B2C" w14:paraId="738C16D9" w14:textId="77777777">
            <w:pPr>
              <w:jc w:val="center"/>
              <w:rPr>
                <w:color w:val="000000"/>
              </w:rPr>
            </w:pPr>
          </w:p>
          <w:p w:rsidR="00C46B2C" w:rsidP="00613FAB" w:rsidRDefault="00C46B2C" w14:paraId="48046AE2" w14:textId="77777777">
            <w:pPr>
              <w:jc w:val="center"/>
              <w:rPr>
                <w:color w:val="000000"/>
              </w:rPr>
            </w:pPr>
          </w:p>
          <w:p w:rsidR="00C46B2C" w:rsidP="00613FAB" w:rsidRDefault="00C46B2C" w14:paraId="4EB63C98" w14:textId="77777777">
            <w:pPr>
              <w:jc w:val="center"/>
              <w:rPr>
                <w:color w:val="000000"/>
              </w:rPr>
            </w:pPr>
          </w:p>
          <w:p w:rsidR="00C46B2C" w:rsidP="00613FAB" w:rsidRDefault="00C46B2C" w14:paraId="5A480124" w14:textId="0A8752A8">
            <w:pPr>
              <w:jc w:val="center"/>
              <w:rPr>
                <w:color w:val="000000"/>
              </w:rPr>
            </w:pPr>
          </w:p>
          <w:p w:rsidR="00922FFB" w:rsidP="00613FAB" w:rsidRDefault="00922FFB" w14:paraId="6CF2A225" w14:textId="77777777">
            <w:pPr>
              <w:jc w:val="center"/>
              <w:rPr>
                <w:color w:val="000000"/>
              </w:rPr>
            </w:pPr>
          </w:p>
          <w:p w:rsidR="00922FFB" w:rsidP="00613FAB" w:rsidRDefault="00922FFB" w14:paraId="37A5AA78" w14:textId="77777777">
            <w:pPr>
              <w:jc w:val="center"/>
              <w:rPr>
                <w:color w:val="000000"/>
              </w:rPr>
            </w:pPr>
          </w:p>
          <w:p w:rsidR="00922FFB" w:rsidP="00613FAB" w:rsidRDefault="00922FFB" w14:paraId="350A66AA" w14:textId="77777777">
            <w:pPr>
              <w:jc w:val="center"/>
              <w:rPr>
                <w:color w:val="000000"/>
              </w:rPr>
            </w:pPr>
          </w:p>
          <w:p w:rsidR="00922FFB" w:rsidP="00613FAB" w:rsidRDefault="00922FFB" w14:paraId="5FA5A1EF" w14:textId="77777777">
            <w:pPr>
              <w:jc w:val="center"/>
              <w:rPr>
                <w:color w:val="000000"/>
              </w:rPr>
            </w:pPr>
          </w:p>
          <w:p w:rsidRPr="00A24076" w:rsidR="00922FFB" w:rsidP="00613FAB" w:rsidRDefault="00922FFB" w14:paraId="56FD3368" w14:textId="41B6DAC2">
            <w:pPr>
              <w:jc w:val="center"/>
              <w:rPr>
                <w:color w:val="000000"/>
              </w:rPr>
            </w:pPr>
          </w:p>
        </w:tc>
      </w:tr>
    </w:tbl>
    <w:p w:rsidRPr="007C1CDA" w:rsidR="00A92D0B" w:rsidP="00CF6D76" w:rsidRDefault="00A92D0B" w14:paraId="0D4BCD3A" w14:textId="0F62DD3F">
      <w:pPr>
        <w:pStyle w:val="ListParagraph"/>
        <w:keepNext/>
        <w:numPr>
          <w:ilvl w:val="0"/>
          <w:numId w:val="8"/>
        </w:numPr>
        <w:spacing w:before="240" w:line="360" w:lineRule="auto"/>
        <w:rPr>
          <w:rFonts w:ascii="Arial" w:hAnsi="Arial" w:cs="Arial"/>
          <w:b/>
          <w:color w:val="000000"/>
          <w:sz w:val="26"/>
          <w:szCs w:val="26"/>
        </w:rPr>
      </w:pPr>
      <w:r w:rsidRPr="007C1CDA">
        <w:rPr>
          <w:rFonts w:ascii="Arial" w:hAnsi="Arial" w:cs="Arial"/>
          <w:b/>
          <w:color w:val="000000"/>
          <w:sz w:val="26"/>
          <w:szCs w:val="26"/>
        </w:rPr>
        <w:lastRenderedPageBreak/>
        <w:t xml:space="preserve">Duplication of Effort (§1801.3(f) </w:t>
      </w:r>
      <w:r w:rsidRPr="007C1CDA" w:rsidR="00F30DA8">
        <w:rPr>
          <w:rFonts w:ascii="Arial" w:hAnsi="Arial" w:cs="Arial"/>
          <w:b/>
          <w:color w:val="000000"/>
          <w:sz w:val="26"/>
          <w:szCs w:val="26"/>
        </w:rPr>
        <w:t>and §</w:t>
      </w:r>
      <w:r w:rsidRPr="007C1CDA" w:rsidR="0022302F">
        <w:rPr>
          <w:rFonts w:ascii="Arial" w:hAnsi="Arial" w:cs="Arial"/>
          <w:b/>
          <w:color w:val="000000"/>
          <w:sz w:val="26"/>
          <w:szCs w:val="26"/>
        </w:rPr>
        <w:t>1802.5)</w:t>
      </w:r>
      <w:r w:rsidRPr="007C1CDA" w:rsidR="00C02649">
        <w:rPr>
          <w:rFonts w:ascii="Arial" w:hAnsi="Arial" w:cs="Arial"/>
          <w:b/>
          <w:color w:val="000000"/>
          <w:sz w:val="26"/>
          <w:szCs w:val="26"/>
        </w:rPr>
        <w:t>:</w:t>
      </w:r>
    </w:p>
    <w:tbl>
      <w:tblPr>
        <w:tblpPr w:leftFromText="180" w:rightFromText="180" w:vertAnchor="text" w:tblpY="1"/>
        <w:tblOverlap w:val="neve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675"/>
        <w:gridCol w:w="2070"/>
        <w:gridCol w:w="2790"/>
      </w:tblGrid>
      <w:tr w:rsidRPr="007F620E" w:rsidR="00A92D0B" w:rsidTr="007870B7" w14:paraId="76F3266C" w14:textId="77777777">
        <w:tc>
          <w:tcPr>
            <w:tcW w:w="4675" w:type="dxa"/>
            <w:shd w:val="clear" w:color="auto" w:fill="D9D9D9" w:themeFill="background1" w:themeFillShade="D9"/>
          </w:tcPr>
          <w:p w:rsidRPr="007F620E" w:rsidR="00A92D0B" w:rsidP="00B471A2" w:rsidRDefault="00A92D0B" w14:paraId="300CEDBC" w14:textId="77777777">
            <w:pPr>
              <w:keepNext/>
              <w:keepLines/>
              <w:rPr>
                <w:color w:val="000000"/>
              </w:rPr>
            </w:pPr>
          </w:p>
        </w:tc>
        <w:tc>
          <w:tcPr>
            <w:tcW w:w="2070" w:type="dxa"/>
            <w:tcBorders>
              <w:bottom w:val="single" w:color="auto" w:sz="4" w:space="0"/>
            </w:tcBorders>
            <w:shd w:val="clear" w:color="auto" w:fill="D9D9D9" w:themeFill="background1" w:themeFillShade="D9"/>
          </w:tcPr>
          <w:p w:rsidRPr="007F620E" w:rsidR="00A92D0B" w:rsidP="00B471A2" w:rsidRDefault="00F40949" w14:paraId="7B091096" w14:textId="3FFB3008">
            <w:pPr>
              <w:keepNext/>
              <w:keepLines/>
              <w:jc w:val="center"/>
              <w:rPr>
                <w:b/>
                <w:color w:val="000000"/>
              </w:rPr>
            </w:pPr>
            <w:r w:rsidRPr="007F620E">
              <w:rPr>
                <w:b/>
                <w:color w:val="000000"/>
              </w:rPr>
              <w:t>INTERVENOR’S ASSERTION</w:t>
            </w:r>
          </w:p>
        </w:tc>
        <w:tc>
          <w:tcPr>
            <w:tcW w:w="2790" w:type="dxa"/>
            <w:shd w:val="clear" w:color="auto" w:fill="D9D9D9" w:themeFill="background1" w:themeFillShade="D9"/>
          </w:tcPr>
          <w:p w:rsidRPr="007F620E" w:rsidR="00A92D0B" w:rsidP="00B471A2" w:rsidRDefault="00F40949" w14:paraId="25CE5081" w14:textId="61F20075">
            <w:pPr>
              <w:keepNext/>
              <w:keepLines/>
              <w:jc w:val="center"/>
              <w:rPr>
                <w:b/>
                <w:color w:val="000000"/>
              </w:rPr>
            </w:pPr>
            <w:r w:rsidRPr="007F620E">
              <w:rPr>
                <w:b/>
                <w:color w:val="000000"/>
              </w:rPr>
              <w:t>CPUC DISCUSSION</w:t>
            </w:r>
          </w:p>
        </w:tc>
      </w:tr>
      <w:tr w:rsidRPr="007F620E" w:rsidR="00A92D0B" w:rsidTr="007870B7" w14:paraId="24A12BE1" w14:textId="77777777">
        <w:trPr>
          <w:tblHeader/>
        </w:trPr>
        <w:tc>
          <w:tcPr>
            <w:tcW w:w="4675" w:type="dxa"/>
          </w:tcPr>
          <w:p w:rsidRPr="007F620E" w:rsidR="00A92D0B" w:rsidP="00B471A2" w:rsidRDefault="00A92D0B" w14:paraId="6915FAF6" w14:textId="5441060E">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2070" w:type="dxa"/>
          </w:tcPr>
          <w:p w:rsidRPr="00E25078" w:rsidR="00A92D0B" w:rsidP="00B471A2" w:rsidRDefault="00462474" w14:paraId="0B49A7C8" w14:textId="12CE9D68">
            <w:pPr>
              <w:keepNext/>
              <w:keepLines/>
              <w:jc w:val="center"/>
              <w:rPr>
                <w:color w:val="000000"/>
              </w:rPr>
            </w:pPr>
            <w:r>
              <w:rPr>
                <w:color w:val="000000"/>
              </w:rPr>
              <w:t>Yes</w:t>
            </w:r>
          </w:p>
        </w:tc>
        <w:tc>
          <w:tcPr>
            <w:tcW w:w="2790" w:type="dxa"/>
          </w:tcPr>
          <w:p w:rsidRPr="00E25078" w:rsidR="00A92D0B" w:rsidP="00384281" w:rsidRDefault="00917FF9" w14:paraId="23B6532A" w14:textId="6728110F">
            <w:pPr>
              <w:keepNext/>
              <w:keepLines/>
              <w:jc w:val="center"/>
              <w:rPr>
                <w:color w:val="000000"/>
              </w:rPr>
            </w:pPr>
            <w:r>
              <w:rPr>
                <w:color w:val="000000"/>
              </w:rPr>
              <w:t>Verified</w:t>
            </w:r>
          </w:p>
        </w:tc>
      </w:tr>
      <w:tr w:rsidRPr="007F620E" w:rsidR="00A92D0B" w:rsidTr="007870B7" w14:paraId="3317BD71" w14:textId="77777777">
        <w:tc>
          <w:tcPr>
            <w:tcW w:w="4675" w:type="dxa"/>
          </w:tcPr>
          <w:p w:rsidRPr="007F620E" w:rsidR="00A92D0B" w:rsidP="00B471A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the proceeding with positions similar to yours? </w:t>
            </w:r>
          </w:p>
        </w:tc>
        <w:tc>
          <w:tcPr>
            <w:tcW w:w="2070" w:type="dxa"/>
          </w:tcPr>
          <w:p w:rsidRPr="00E25078" w:rsidR="00A92D0B" w:rsidP="00B471A2" w:rsidRDefault="00462474" w14:paraId="3708E485" w14:textId="0D68615B">
            <w:pPr>
              <w:jc w:val="center"/>
              <w:rPr>
                <w:color w:val="000000"/>
              </w:rPr>
            </w:pPr>
            <w:r>
              <w:rPr>
                <w:color w:val="000000"/>
              </w:rPr>
              <w:t>Yes</w:t>
            </w:r>
          </w:p>
        </w:tc>
        <w:tc>
          <w:tcPr>
            <w:tcW w:w="2790" w:type="dxa"/>
          </w:tcPr>
          <w:p w:rsidRPr="00E25078" w:rsidR="00A92D0B" w:rsidP="00384281" w:rsidRDefault="00917FF9" w14:paraId="6B3388E6" w14:textId="36DCF086">
            <w:pPr>
              <w:jc w:val="center"/>
              <w:rPr>
                <w:color w:val="000000"/>
              </w:rPr>
            </w:pPr>
            <w:r>
              <w:rPr>
                <w:color w:val="000000"/>
              </w:rPr>
              <w:t>Verified</w:t>
            </w:r>
          </w:p>
        </w:tc>
      </w:tr>
      <w:tr w:rsidRPr="007F620E" w:rsidR="00A92D0B" w:rsidTr="007870B7" w14:paraId="0A51B7D4" w14:textId="77777777">
        <w:tc>
          <w:tcPr>
            <w:tcW w:w="6745" w:type="dxa"/>
            <w:gridSpan w:val="2"/>
          </w:tcPr>
          <w:p w:rsidRPr="00E25078" w:rsidR="00A92D0B" w:rsidP="00F40949" w:rsidRDefault="00A92D0B" w14:paraId="30CB6275" w14:textId="22C59FBD">
            <w:pPr>
              <w:spacing w:after="120"/>
              <w:ind w:left="360" w:hanging="360"/>
              <w:rPr>
                <w:color w:val="000000"/>
              </w:rPr>
            </w:pPr>
            <w:r w:rsidRPr="00E25078">
              <w:rPr>
                <w:b/>
                <w:color w:val="000000"/>
              </w:rPr>
              <w:t>c.</w:t>
            </w:r>
            <w:r w:rsidRPr="00E25078">
              <w:rPr>
                <w:b/>
                <w:color w:val="000000"/>
              </w:rPr>
              <w:tab/>
              <w:t>If so, provide name of other parties:</w:t>
            </w:r>
          </w:p>
          <w:p w:rsidR="005B7318" w:rsidP="007870B7" w:rsidRDefault="001778DE" w14:paraId="16FE8185" w14:textId="068C9ADE">
            <w:pPr>
              <w:spacing w:after="120"/>
              <w:ind w:left="360" w:hanging="30"/>
              <w:rPr>
                <w:color w:val="000000"/>
              </w:rPr>
            </w:pPr>
            <w:r>
              <w:rPr>
                <w:color w:val="000000"/>
              </w:rPr>
              <w:t xml:space="preserve">Track B Issues: </w:t>
            </w:r>
            <w:r w:rsidR="00CC7841">
              <w:rPr>
                <w:color w:val="000000"/>
              </w:rPr>
              <w:t>CforAT worked collaboratively with all other members</w:t>
            </w:r>
            <w:r w:rsidR="008D1B2F">
              <w:rPr>
                <w:color w:val="000000"/>
              </w:rPr>
              <w:t xml:space="preserve"> in Working Group 1 and specifically shared some </w:t>
            </w:r>
            <w:r w:rsidR="008D1B2F">
              <w:rPr>
                <w:color w:val="000000"/>
              </w:rPr>
              <w:lastRenderedPageBreak/>
              <w:t>positions with other advocates such as Cal Advocates</w:t>
            </w:r>
            <w:r w:rsidR="002940D6">
              <w:rPr>
                <w:color w:val="000000"/>
              </w:rPr>
              <w:t xml:space="preserve">, </w:t>
            </w:r>
            <w:r w:rsidR="004705C4">
              <w:rPr>
                <w:color w:val="000000"/>
              </w:rPr>
              <w:t xml:space="preserve">UCAN, </w:t>
            </w:r>
            <w:r w:rsidR="002940D6">
              <w:rPr>
                <w:color w:val="000000"/>
              </w:rPr>
              <w:t xml:space="preserve">350 Bay Area, </w:t>
            </w:r>
            <w:r w:rsidR="00882AB4">
              <w:rPr>
                <w:color w:val="000000"/>
              </w:rPr>
              <w:t>and SBUA</w:t>
            </w:r>
            <w:r>
              <w:rPr>
                <w:color w:val="000000"/>
              </w:rPr>
              <w:t>.  CforAT also shared positions such as concerns about customer understanding and complexity with other organizations such as CalCCA and CLECA.</w:t>
            </w:r>
            <w:r w:rsidR="006F436A">
              <w:rPr>
                <w:color w:val="000000"/>
              </w:rPr>
              <w:t xml:space="preserve">  Even parties </w:t>
            </w:r>
            <w:r w:rsidR="00833D72">
              <w:rPr>
                <w:color w:val="000000"/>
              </w:rPr>
              <w:t xml:space="preserve">such as </w:t>
            </w:r>
            <w:r w:rsidR="005B7318">
              <w:rPr>
                <w:color w:val="000000"/>
              </w:rPr>
              <w:t xml:space="preserve">MRC </w:t>
            </w:r>
            <w:r w:rsidR="006F436A">
              <w:rPr>
                <w:color w:val="000000"/>
              </w:rPr>
              <w:t>that</w:t>
            </w:r>
            <w:r w:rsidR="00833D72">
              <w:rPr>
                <w:color w:val="000000"/>
              </w:rPr>
              <w:t xml:space="preserve"> did not generally take similar positions to CforAT recognized the importance of the issues raise</w:t>
            </w:r>
            <w:r w:rsidR="005B7318">
              <w:rPr>
                <w:color w:val="000000"/>
              </w:rPr>
              <w:t>d by CforAT’s input in the Working Group process.</w:t>
            </w:r>
          </w:p>
          <w:p w:rsidRPr="00E25078" w:rsidR="005B7318" w:rsidP="00B471A2" w:rsidRDefault="00C41299" w14:paraId="0919176B" w14:textId="383AC9D7">
            <w:pPr>
              <w:ind w:left="360" w:hanging="30"/>
              <w:rPr>
                <w:color w:val="000000"/>
              </w:rPr>
            </w:pPr>
            <w:r>
              <w:rPr>
                <w:color w:val="000000"/>
              </w:rPr>
              <w:t xml:space="preserve">IGFC Implementation Issues: </w:t>
            </w:r>
            <w:r w:rsidR="00191AD0">
              <w:rPr>
                <w:color w:val="000000"/>
              </w:rPr>
              <w:t xml:space="preserve">  </w:t>
            </w:r>
            <w:r w:rsidR="004230AE">
              <w:rPr>
                <w:color w:val="000000"/>
              </w:rPr>
              <w:t>TURN and NRDC jointly raised important issues of ME&amp;O regarding the fixed charge for hard-to-reach customers</w:t>
            </w:r>
            <w:r w:rsidR="003340D6">
              <w:rPr>
                <w:color w:val="000000"/>
              </w:rPr>
              <w:t>, which was similar to a key position taken by CforAT.</w:t>
            </w:r>
          </w:p>
        </w:tc>
        <w:tc>
          <w:tcPr>
            <w:tcW w:w="2790" w:type="dxa"/>
          </w:tcPr>
          <w:p w:rsidRPr="00E25078" w:rsidR="00A92D0B" w:rsidP="00384281" w:rsidRDefault="00917FF9" w14:paraId="22A40B49" w14:textId="63E78EE5">
            <w:pPr>
              <w:jc w:val="center"/>
              <w:rPr>
                <w:color w:val="000000"/>
              </w:rPr>
            </w:pPr>
            <w:r>
              <w:rPr>
                <w:color w:val="000000"/>
              </w:rPr>
              <w:lastRenderedPageBreak/>
              <w:t>Noted</w:t>
            </w:r>
          </w:p>
        </w:tc>
      </w:tr>
      <w:tr w:rsidRPr="007F620E" w:rsidR="00A92D0B" w:rsidTr="007870B7" w14:paraId="744830F5" w14:textId="77777777">
        <w:tc>
          <w:tcPr>
            <w:tcW w:w="6745" w:type="dxa"/>
            <w:gridSpan w:val="2"/>
          </w:tcPr>
          <w:p w:rsidRPr="00E25078" w:rsidR="00A92D0B" w:rsidP="00F40949" w:rsidRDefault="00A92D0B" w14:paraId="7C05FE5A" w14:textId="128DD9A0">
            <w:pPr>
              <w:tabs>
                <w:tab w:val="left" w:pos="360"/>
              </w:tabs>
              <w:spacing w:after="120"/>
              <w:ind w:left="360" w:hanging="360"/>
              <w:rPr>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p>
          <w:p w:rsidR="0065155C" w:rsidP="007870B7" w:rsidRDefault="00504374" w14:paraId="5A921D9E" w14:textId="6ABFCD6B">
            <w:pPr>
              <w:tabs>
                <w:tab w:val="left" w:pos="360"/>
              </w:tabs>
              <w:spacing w:after="120"/>
              <w:ind w:left="360" w:hanging="30"/>
              <w:rPr>
                <w:color w:val="000000"/>
              </w:rPr>
            </w:pPr>
            <w:r>
              <w:rPr>
                <w:color w:val="000000"/>
              </w:rPr>
              <w:t>As the proceeding has advanced</w:t>
            </w:r>
            <w:r w:rsidR="0065155C">
              <w:rPr>
                <w:color w:val="000000"/>
              </w:rPr>
              <w:t xml:space="preserve">, CforAT has </w:t>
            </w:r>
            <w:r>
              <w:rPr>
                <w:color w:val="000000"/>
              </w:rPr>
              <w:t xml:space="preserve">continued to </w:t>
            </w:r>
            <w:r w:rsidR="0065155C">
              <w:rPr>
                <w:color w:val="000000"/>
              </w:rPr>
              <w:t>work diligently to avoid duplicating efforts of other parties, including by direct coordination where appropriate and by maintaining focus on those areas of particular concern to our unique constituency of utility customers with disabilities and medical needs.</w:t>
            </w:r>
          </w:p>
          <w:p w:rsidR="004E6B81" w:rsidP="00F40949" w:rsidRDefault="0065155C" w14:paraId="46D805D9" w14:textId="556DCD08">
            <w:pPr>
              <w:tabs>
                <w:tab w:val="left" w:pos="360"/>
              </w:tabs>
              <w:spacing w:after="120"/>
              <w:ind w:left="360" w:hanging="30"/>
              <w:rPr>
                <w:color w:val="000000"/>
              </w:rPr>
            </w:pPr>
            <w:r>
              <w:rPr>
                <w:color w:val="000000"/>
              </w:rPr>
              <w:t>Even in areas where CforAT’s overall position was similar to that of other parties, CforAT’s focus on our specific constituency and their needs ensured that we provided a unique perspective and focus to ensure that the Commission directed appropriate attention to a vulnerable group of customers with concerns about energy use that are specific to their situation.</w:t>
            </w:r>
          </w:p>
          <w:p w:rsidRPr="00E25078" w:rsidR="00A92D0B" w:rsidP="00384281" w:rsidRDefault="004E6B81" w14:paraId="3228BB07" w14:textId="09EC9DC9">
            <w:pPr>
              <w:tabs>
                <w:tab w:val="left" w:pos="360"/>
              </w:tabs>
              <w:ind w:left="360" w:hanging="30"/>
              <w:rPr>
                <w:color w:val="000000"/>
              </w:rPr>
            </w:pPr>
            <w:r>
              <w:rPr>
                <w:color w:val="000000"/>
              </w:rPr>
              <w:t>In both the RTP Working Group and the Implementation Working Group, the Commission specifically sought a broad range of perspectives</w:t>
            </w:r>
            <w:r w:rsidR="00C74DD4">
              <w:rPr>
                <w:color w:val="000000"/>
              </w:rPr>
              <w:t xml:space="preserve"> to best inform the policy decisions and consumer impacts under consideration.</w:t>
            </w:r>
          </w:p>
        </w:tc>
        <w:tc>
          <w:tcPr>
            <w:tcW w:w="2790" w:type="dxa"/>
          </w:tcPr>
          <w:p w:rsidRPr="00E25078" w:rsidR="007E3D0F" w:rsidP="00B24FCE" w:rsidRDefault="00D36071" w14:paraId="5F9BBA55" w14:textId="2B72B851">
            <w:pPr>
              <w:tabs>
                <w:tab w:val="left" w:pos="360"/>
              </w:tabs>
              <w:rPr>
                <w:color w:val="000000"/>
              </w:rPr>
            </w:pPr>
            <w:r w:rsidRPr="00D36071">
              <w:rPr>
                <w:color w:val="000000"/>
              </w:rPr>
              <w:t>Noted; CforAT’s claimed implementation-related work conducted pursuant to D.24</w:t>
            </w:r>
            <w:r w:rsidR="00384281">
              <w:rPr>
                <w:color w:val="000000"/>
              </w:rPr>
              <w:noBreakHyphen/>
            </w:r>
            <w:r w:rsidRPr="00D36071">
              <w:rPr>
                <w:color w:val="000000"/>
              </w:rPr>
              <w:t>05-028 falls within scope of this proceeding. The Commission finds that such efforts</w:t>
            </w:r>
            <w:r w:rsidR="007E3D0F">
              <w:rPr>
                <w:color w:val="000000"/>
              </w:rPr>
              <w:t>, including CforAT’s claimed RTP work, encompassing both Track B related and earlier RTP working group participation,</w:t>
            </w:r>
            <w:r w:rsidRPr="00D36071">
              <w:rPr>
                <w:color w:val="000000"/>
              </w:rPr>
              <w:t xml:space="preserve"> are properly considered here and are compensable to the extent they reflect a substantial contribution and are reasonable and non-duplicative.</w:t>
            </w:r>
          </w:p>
        </w:tc>
      </w:tr>
    </w:tbl>
    <w:p w:rsidRPr="007870B7" w:rsidR="00A92D0B" w:rsidP="00CF6D76" w:rsidRDefault="00A92D0B" w14:paraId="4415DD51" w14:textId="5B1DF6DC">
      <w:pPr>
        <w:keepNext/>
        <w:numPr>
          <w:ilvl w:val="0"/>
          <w:numId w:val="8"/>
        </w:numPr>
        <w:spacing w:before="120" w:line="360" w:lineRule="auto"/>
        <w:rPr>
          <w:rFonts w:ascii="Arial" w:hAnsi="Arial" w:cs="Arial"/>
          <w:b/>
          <w:i/>
          <w:color w:val="000000"/>
          <w:sz w:val="26"/>
          <w:szCs w:val="26"/>
          <w:u w:val="single"/>
        </w:rPr>
      </w:pPr>
      <w:r w:rsidRPr="007870B7">
        <w:rPr>
          <w:rFonts w:ascii="Arial" w:hAnsi="Arial" w:cs="Arial"/>
          <w:b/>
          <w:color w:val="000000"/>
          <w:sz w:val="26"/>
          <w:szCs w:val="26"/>
        </w:rPr>
        <w:t>Additional Comments on Part II</w:t>
      </w:r>
      <w:r w:rsidRPr="007870B7" w:rsidR="00C02649">
        <w:rPr>
          <w:rFonts w:ascii="Arial" w:hAnsi="Arial" w:cs="Arial"/>
          <w:b/>
          <w:color w:val="000000"/>
          <w:sz w:val="26"/>
          <w:szCs w:val="26"/>
        </w:rPr>
        <w:t>:</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15"/>
        <w:gridCol w:w="3803"/>
        <w:gridCol w:w="5107"/>
      </w:tblGrid>
      <w:tr w:rsidRPr="007F620E" w:rsidR="00963EEF" w:rsidTr="007870B7" w14:paraId="52771334" w14:textId="77777777">
        <w:trPr>
          <w:tblHeader/>
        </w:trPr>
        <w:tc>
          <w:tcPr>
            <w:tcW w:w="715" w:type="dxa"/>
            <w:tcBorders>
              <w:bottom w:val="single" w:color="auto" w:sz="4" w:space="0"/>
            </w:tcBorders>
            <w:shd w:val="clear" w:color="auto" w:fill="D9D9D9" w:themeFill="background1" w:themeFillShade="D9"/>
          </w:tcPr>
          <w:p w:rsidRPr="007F620E" w:rsidR="00963EEF" w:rsidP="00073262" w:rsidRDefault="00963EEF" w14:paraId="15D83D80" w14:textId="77777777">
            <w:pPr>
              <w:tabs>
                <w:tab w:val="left" w:pos="360"/>
              </w:tabs>
              <w:jc w:val="center"/>
              <w:rPr>
                <w:b/>
                <w:color w:val="000000"/>
              </w:rPr>
            </w:pPr>
            <w:r w:rsidRPr="007F620E">
              <w:rPr>
                <w:b/>
                <w:color w:val="000000"/>
              </w:rPr>
              <w:t>#</w:t>
            </w:r>
          </w:p>
        </w:tc>
        <w:tc>
          <w:tcPr>
            <w:tcW w:w="3803" w:type="dxa"/>
            <w:tcBorders>
              <w:bottom w:val="single" w:color="auto" w:sz="4" w:space="0"/>
            </w:tcBorders>
            <w:shd w:val="clear" w:color="auto" w:fill="D9D9D9" w:themeFill="background1" w:themeFillShade="D9"/>
          </w:tcPr>
          <w:p w:rsidRPr="007F620E" w:rsidR="00963EEF" w:rsidP="00073262" w:rsidRDefault="007870B7" w14:paraId="23BC1F82" w14:textId="71FA3B30">
            <w:pPr>
              <w:tabs>
                <w:tab w:val="left" w:pos="360"/>
              </w:tabs>
              <w:jc w:val="center"/>
              <w:rPr>
                <w:b/>
                <w:color w:val="000000"/>
              </w:rPr>
            </w:pPr>
            <w:r w:rsidRPr="007F620E">
              <w:rPr>
                <w:b/>
                <w:color w:val="000000"/>
              </w:rPr>
              <w:t>INTERVENOR’S COMMENT</w:t>
            </w:r>
          </w:p>
        </w:tc>
        <w:tc>
          <w:tcPr>
            <w:tcW w:w="5107" w:type="dxa"/>
            <w:shd w:val="clear" w:color="auto" w:fill="D9D9D9" w:themeFill="background1" w:themeFillShade="D9"/>
          </w:tcPr>
          <w:p w:rsidRPr="007F620E" w:rsidR="00963EEF" w:rsidP="00073262" w:rsidRDefault="007870B7" w14:paraId="03118710" w14:textId="2FA07292">
            <w:pPr>
              <w:tabs>
                <w:tab w:val="left" w:pos="360"/>
              </w:tabs>
              <w:jc w:val="center"/>
              <w:rPr>
                <w:b/>
                <w:color w:val="000000"/>
              </w:rPr>
            </w:pPr>
            <w:r w:rsidRPr="007F620E">
              <w:rPr>
                <w:b/>
                <w:color w:val="000000"/>
              </w:rPr>
              <w:t>CPUC DISCUSSION</w:t>
            </w:r>
          </w:p>
        </w:tc>
      </w:tr>
      <w:tr w:rsidRPr="007F620E" w:rsidR="00963EEF" w:rsidTr="007870B7" w14:paraId="58A3E16A" w14:textId="77777777">
        <w:tc>
          <w:tcPr>
            <w:tcW w:w="715" w:type="dxa"/>
          </w:tcPr>
          <w:p w:rsidRPr="007F620E" w:rsidR="00963EEF" w:rsidP="00073262" w:rsidRDefault="00963EEF" w14:paraId="3D289A0B" w14:textId="77777777">
            <w:pPr>
              <w:tabs>
                <w:tab w:val="left" w:pos="360"/>
              </w:tabs>
              <w:rPr>
                <w:color w:val="000000"/>
              </w:rPr>
            </w:pPr>
          </w:p>
        </w:tc>
        <w:tc>
          <w:tcPr>
            <w:tcW w:w="3803" w:type="dxa"/>
          </w:tcPr>
          <w:p w:rsidR="00F200CF" w:rsidP="00073262" w:rsidRDefault="003230B2" w14:paraId="49CF3396" w14:textId="6CD43B16">
            <w:pPr>
              <w:tabs>
                <w:tab w:val="left" w:pos="360"/>
              </w:tabs>
              <w:rPr>
                <w:color w:val="000000"/>
              </w:rPr>
            </w:pPr>
            <w:r>
              <w:rPr>
                <w:color w:val="000000"/>
              </w:rPr>
              <w:t xml:space="preserve">If </w:t>
            </w:r>
            <w:r w:rsidR="00251C55">
              <w:rPr>
                <w:color w:val="000000"/>
              </w:rPr>
              <w:t>the Commission determine</w:t>
            </w:r>
            <w:r>
              <w:rPr>
                <w:color w:val="000000"/>
              </w:rPr>
              <w:t>s</w:t>
            </w:r>
            <w:r w:rsidR="00251C55">
              <w:rPr>
                <w:color w:val="000000"/>
              </w:rPr>
              <w:t xml:space="preserve"> that certain issues addressed above were not </w:t>
            </w:r>
            <w:r>
              <w:rPr>
                <w:color w:val="000000"/>
              </w:rPr>
              <w:t xml:space="preserve">yet </w:t>
            </w:r>
            <w:r w:rsidR="00251C55">
              <w:rPr>
                <w:color w:val="000000"/>
              </w:rPr>
              <w:t>fully addressed by the Commission</w:t>
            </w:r>
            <w:r>
              <w:rPr>
                <w:color w:val="000000"/>
              </w:rPr>
              <w:t xml:space="preserve"> and thus declines to consider the extent of CforAT’s contribution, CforAT requests a formal finding noting that </w:t>
            </w:r>
            <w:r w:rsidR="0068683B">
              <w:rPr>
                <w:color w:val="000000"/>
              </w:rPr>
              <w:t xml:space="preserve">work continues on various matters and direct instruction that the time spent on such issues may be carried over to a successor proceeding for </w:t>
            </w:r>
            <w:r w:rsidR="0068683B">
              <w:rPr>
                <w:color w:val="000000"/>
              </w:rPr>
              <w:lastRenderedPageBreak/>
              <w:t>consideration in a future compensation request.</w:t>
            </w:r>
          </w:p>
          <w:p w:rsidR="00F200CF" w:rsidP="00073262" w:rsidRDefault="00F200CF" w14:paraId="2C53195B" w14:textId="77777777">
            <w:pPr>
              <w:tabs>
                <w:tab w:val="left" w:pos="360"/>
              </w:tabs>
              <w:rPr>
                <w:color w:val="000000"/>
              </w:rPr>
            </w:pPr>
          </w:p>
          <w:p w:rsidR="00963EEF" w:rsidP="00073262" w:rsidRDefault="0068683B" w14:paraId="306590AB" w14:textId="68EE57A2">
            <w:pPr>
              <w:tabs>
                <w:tab w:val="left" w:pos="360"/>
              </w:tabs>
              <w:rPr>
                <w:color w:val="000000"/>
              </w:rPr>
            </w:pPr>
            <w:r>
              <w:rPr>
                <w:color w:val="000000"/>
              </w:rPr>
              <w:t xml:space="preserve">For Track B issues, this may include </w:t>
            </w:r>
            <w:r w:rsidR="008A19C3">
              <w:rPr>
                <w:color w:val="000000"/>
              </w:rPr>
              <w:t>issues related to Working Group 2 (</w:t>
            </w:r>
            <w:r w:rsidR="008A19C3">
              <w:rPr>
                <w:i/>
                <w:iCs/>
                <w:color w:val="000000"/>
              </w:rPr>
              <w:t xml:space="preserve">see </w:t>
            </w:r>
            <w:r w:rsidR="006A14FE">
              <w:rPr>
                <w:color w:val="000000"/>
              </w:rPr>
              <w:t xml:space="preserve"> Track B Decision at p. 13, noting that “the Commission may consider the new Staff recommendations related to Working Group 2 issues in a future proceeding) and </w:t>
            </w:r>
            <w:r w:rsidR="004B7F7A">
              <w:rPr>
                <w:color w:val="000000"/>
              </w:rPr>
              <w:t>issues related to the fixed charge.</w:t>
            </w:r>
          </w:p>
          <w:p w:rsidR="00F200CF" w:rsidP="00073262" w:rsidRDefault="00F200CF" w14:paraId="158F3DD0" w14:textId="77777777">
            <w:pPr>
              <w:tabs>
                <w:tab w:val="left" w:pos="360"/>
              </w:tabs>
              <w:rPr>
                <w:color w:val="000000"/>
              </w:rPr>
            </w:pPr>
          </w:p>
          <w:p w:rsidRPr="006A14FE" w:rsidR="00F200CF" w:rsidP="007870B7" w:rsidRDefault="00F200CF" w14:paraId="59AA74E8" w14:textId="3E39D608">
            <w:pPr>
              <w:tabs>
                <w:tab w:val="left" w:pos="360"/>
              </w:tabs>
              <w:spacing w:after="120"/>
              <w:rPr>
                <w:color w:val="000000"/>
              </w:rPr>
            </w:pPr>
            <w:r>
              <w:rPr>
                <w:color w:val="000000"/>
              </w:rPr>
              <w:t xml:space="preserve">For the Fixed Charge, to the extent that the Commission determines that compensation for implementation work is not appropriate in this docket, </w:t>
            </w:r>
            <w:r w:rsidR="00BE0C85">
              <w:rPr>
                <w:color w:val="000000"/>
              </w:rPr>
              <w:t xml:space="preserve">this time should be expressly allowed to carry over to the anticipated successor proceeding on the BSC. </w:t>
            </w:r>
            <w:r w:rsidR="00970CBC">
              <w:rPr>
                <w:color w:val="000000"/>
              </w:rPr>
              <w:t xml:space="preserve"> CforAT also requests specific instructions about carrying over time spent on the Process Working Group authorized by the Fixed Charge</w:t>
            </w:r>
            <w:r w:rsidR="00BE0C85">
              <w:rPr>
                <w:color w:val="000000"/>
              </w:rPr>
              <w:t xml:space="preserve"> </w:t>
            </w:r>
            <w:r w:rsidR="00970CBC">
              <w:rPr>
                <w:color w:val="000000"/>
              </w:rPr>
              <w:t>Decision to the anticipated successor proceeding.</w:t>
            </w:r>
          </w:p>
        </w:tc>
        <w:tc>
          <w:tcPr>
            <w:tcW w:w="5107" w:type="dxa"/>
          </w:tcPr>
          <w:p w:rsidRPr="007F620E" w:rsidR="00963EEF" w:rsidP="00D36071" w:rsidRDefault="00492835" w14:paraId="7B53CB1C" w14:textId="79AE4AB8">
            <w:pPr>
              <w:tabs>
                <w:tab w:val="left" w:pos="360"/>
              </w:tabs>
              <w:rPr>
                <w:color w:val="000000"/>
              </w:rPr>
            </w:pPr>
            <w:r w:rsidRPr="00D36071">
              <w:rPr>
                <w:color w:val="000000"/>
              </w:rPr>
              <w:lastRenderedPageBreak/>
              <w:t>Noted; CforAT’s claimed implementation-related work conducted pursuant to D.24-05-028 falls within scope of this proceeding. The Commission finds that such efforts</w:t>
            </w:r>
            <w:r>
              <w:rPr>
                <w:color w:val="000000"/>
              </w:rPr>
              <w:t>, including CforAT’s claimed RTP work, encompassing both Track B related and earlier RTP working group participation,</w:t>
            </w:r>
            <w:r w:rsidRPr="00D36071">
              <w:rPr>
                <w:color w:val="000000"/>
              </w:rPr>
              <w:t xml:space="preserve"> are properly considered here and are compensable to the extent they reflect a substantial contribution and are reasonable and non-duplicative.</w:t>
            </w:r>
          </w:p>
        </w:tc>
      </w:tr>
    </w:tbl>
    <w:p w:rsidRPr="007870B7" w:rsidR="00B312DA" w:rsidP="00CF6D76" w:rsidRDefault="00A92D0B" w14:paraId="175C3F89" w14:textId="753D9CB9">
      <w:pPr>
        <w:keepNext/>
        <w:tabs>
          <w:tab w:val="left" w:pos="1260"/>
        </w:tabs>
        <w:spacing w:before="240"/>
        <w:ind w:left="1267" w:hanging="1267"/>
        <w:jc w:val="center"/>
        <w:rPr>
          <w:rFonts w:ascii="Arial" w:hAnsi="Arial" w:cs="Arial"/>
          <w:b/>
          <w:color w:val="000000"/>
          <w:sz w:val="26"/>
          <w:szCs w:val="26"/>
        </w:rPr>
      </w:pPr>
      <w:r w:rsidRPr="007870B7">
        <w:rPr>
          <w:rFonts w:ascii="Arial" w:hAnsi="Arial" w:cs="Arial"/>
          <w:b/>
          <w:color w:val="000000"/>
          <w:sz w:val="26"/>
          <w:szCs w:val="26"/>
        </w:rPr>
        <w:t>PART III:</w:t>
      </w:r>
      <w:r w:rsidR="008F72CA">
        <w:rPr>
          <w:rFonts w:ascii="Arial" w:hAnsi="Arial" w:cs="Arial"/>
          <w:b/>
          <w:color w:val="000000"/>
          <w:sz w:val="26"/>
          <w:szCs w:val="26"/>
        </w:rPr>
        <w:t>  </w:t>
      </w:r>
      <w:r w:rsidRPr="007870B7">
        <w:rPr>
          <w:rFonts w:ascii="Arial" w:hAnsi="Arial" w:cs="Arial"/>
          <w:b/>
          <w:color w:val="000000"/>
          <w:sz w:val="26"/>
          <w:szCs w:val="26"/>
        </w:rPr>
        <w:t>REASONABLENESS OF REQUESTED COMPENSATION</w:t>
      </w:r>
    </w:p>
    <w:p w:rsidRPr="007870B7" w:rsidR="00A92D0B" w:rsidP="00CF6D76" w:rsidRDefault="00A92D0B" w14:paraId="6F74DAE2" w14:textId="4DC6DA51">
      <w:pPr>
        <w:keepNext/>
        <w:numPr>
          <w:ilvl w:val="0"/>
          <w:numId w:val="9"/>
        </w:numPr>
        <w:spacing w:line="360" w:lineRule="auto"/>
        <w:rPr>
          <w:rFonts w:ascii="Arial" w:hAnsi="Arial" w:cs="Arial"/>
          <w:b/>
          <w:color w:val="000000"/>
          <w:sz w:val="26"/>
          <w:szCs w:val="26"/>
        </w:rPr>
      </w:pPr>
      <w:r w:rsidRPr="007870B7">
        <w:rPr>
          <w:rFonts w:ascii="Arial" w:hAnsi="Arial" w:cs="Arial"/>
          <w:b/>
          <w:color w:val="000000"/>
          <w:sz w:val="26"/>
          <w:szCs w:val="26"/>
        </w:rPr>
        <w:t xml:space="preserve">General Claim of Reasonableness </w:t>
      </w:r>
      <w:r w:rsidRPr="007870B7" w:rsidR="00F30DA8">
        <w:rPr>
          <w:rFonts w:ascii="Arial" w:hAnsi="Arial" w:cs="Arial"/>
          <w:b/>
          <w:color w:val="000000"/>
          <w:sz w:val="26"/>
          <w:szCs w:val="26"/>
        </w:rPr>
        <w:t>(§</w:t>
      </w:r>
      <w:r w:rsidRPr="008F72CA" w:rsidR="008F72CA">
        <w:rPr>
          <w:rFonts w:ascii="Arial" w:hAnsi="Arial" w:cs="Arial"/>
          <w:b/>
          <w:color w:val="000000"/>
          <w:sz w:val="26"/>
          <w:szCs w:val="26"/>
        </w:rPr>
        <w:t>§</w:t>
      </w:r>
      <w:r w:rsidRPr="007870B7">
        <w:rPr>
          <w:rFonts w:ascii="Arial" w:hAnsi="Arial" w:cs="Arial"/>
          <w:b/>
          <w:color w:val="000000"/>
          <w:sz w:val="26"/>
          <w:szCs w:val="26"/>
        </w:rPr>
        <w:t xml:space="preserve">1801 </w:t>
      </w:r>
      <w:r w:rsidRPr="007870B7" w:rsidR="00F30DA8">
        <w:rPr>
          <w:rFonts w:ascii="Arial" w:hAnsi="Arial" w:cs="Arial"/>
          <w:b/>
          <w:color w:val="000000"/>
          <w:sz w:val="26"/>
          <w:szCs w:val="26"/>
        </w:rPr>
        <w:t xml:space="preserve">and </w:t>
      </w:r>
      <w:r w:rsidRPr="007870B7" w:rsidR="0022302F">
        <w:rPr>
          <w:rFonts w:ascii="Arial" w:hAnsi="Arial" w:cs="Arial"/>
          <w:b/>
          <w:color w:val="000000"/>
          <w:sz w:val="26"/>
          <w:szCs w:val="26"/>
        </w:rPr>
        <w:t>1806)</w:t>
      </w:r>
      <w:r w:rsidRPr="007870B7" w:rsidR="00C02649">
        <w:rPr>
          <w:rFonts w:ascii="Arial" w:hAnsi="Arial" w:cs="Arial"/>
          <w:b/>
          <w:color w:val="000000"/>
          <w:sz w:val="26"/>
          <w:szCs w:val="26"/>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7870B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vAlign w:val="center"/>
          </w:tcPr>
          <w:p w:rsidRPr="00FE3BAE" w:rsidR="00FE3BAE" w:rsidP="007870B7" w:rsidRDefault="007870B7" w14:paraId="59CD9FCF" w14:textId="02307281">
            <w:pPr>
              <w:jc w:val="center"/>
              <w:rPr>
                <w:color w:val="000000"/>
              </w:rPr>
            </w:pPr>
            <w:r w:rsidRPr="007F620E">
              <w:rPr>
                <w:b/>
                <w:color w:val="000000"/>
              </w:rPr>
              <w:t>CPUC DISCUSSION</w:t>
            </w:r>
          </w:p>
        </w:tc>
      </w:tr>
      <w:tr w:rsidRPr="007F620E" w:rsidR="00FE3BAE" w:rsidTr="00C16710" w14:paraId="5708510E" w14:textId="77777777">
        <w:tc>
          <w:tcPr>
            <w:tcW w:w="7488" w:type="dxa"/>
            <w:tcBorders>
              <w:bottom w:val="single" w:color="auto" w:sz="4" w:space="0"/>
            </w:tcBorders>
          </w:tcPr>
          <w:p w:rsidRPr="00E25078" w:rsidR="00FE3BAE" w:rsidP="008F72CA" w:rsidRDefault="00FE3BAE" w14:paraId="707F9932" w14:textId="16859993">
            <w:pPr>
              <w:spacing w:after="120"/>
              <w:rPr>
                <w:color w:val="000000"/>
              </w:rPr>
            </w:pPr>
            <w:r w:rsidRPr="007F620E">
              <w:rPr>
                <w:b/>
                <w:color w:val="000000"/>
              </w:rPr>
              <w:t>a. Intervenor’s claim of cost reasonableness:</w:t>
            </w:r>
          </w:p>
          <w:p w:rsidRPr="00691528" w:rsidR="00335D66" w:rsidP="008F72CA" w:rsidRDefault="00AC4F66" w14:paraId="415BD7BF" w14:textId="1D27AF87">
            <w:pPr>
              <w:spacing w:after="120"/>
              <w:rPr>
                <w:color w:val="000000"/>
              </w:rPr>
            </w:pPr>
            <w:r>
              <w:rPr>
                <w:color w:val="000000"/>
              </w:rPr>
              <w:t>Th</w:t>
            </w:r>
            <w:r w:rsidR="00EE65E4">
              <w:rPr>
                <w:color w:val="000000"/>
              </w:rPr>
              <w:t xml:space="preserve">is proceeding continues to address fundamental </w:t>
            </w:r>
            <w:r w:rsidR="00335D66">
              <w:rPr>
                <w:color w:val="000000"/>
              </w:rPr>
              <w:t>changes in the ways that utility customers pay for electricity, with the intent of supporting fundamental changes in the way that they understand and use electricity in support of California’s clean energy goals.  The issues under consideration</w:t>
            </w:r>
            <w:r w:rsidR="000E7653">
              <w:rPr>
                <w:color w:val="000000"/>
              </w:rPr>
              <w:t xml:space="preserve"> in this portion of the proceeding, including implementation of the new fixed charge and ongoing movement toward the introduction of demand flexibility rates</w:t>
            </w:r>
            <w:r w:rsidR="00335D66">
              <w:rPr>
                <w:color w:val="000000"/>
              </w:rPr>
              <w:t xml:space="preserve">, </w:t>
            </w:r>
            <w:r w:rsidR="00A81BA3">
              <w:rPr>
                <w:color w:val="000000"/>
              </w:rPr>
              <w:t xml:space="preserve">are </w:t>
            </w:r>
            <w:r w:rsidR="0037052A">
              <w:rPr>
                <w:color w:val="000000"/>
              </w:rPr>
              <w:t xml:space="preserve">important </w:t>
            </w:r>
            <w:r w:rsidR="00335D66">
              <w:rPr>
                <w:color w:val="000000"/>
              </w:rPr>
              <w:t xml:space="preserve">for customer groups with particular challenges surrounding their relationship with energy use like CforAT’s constituency of customers with disabilities and medical needs, is extremely high.  For this reason, and to ensure that the needs of this unique </w:t>
            </w:r>
            <w:r w:rsidR="00335D66">
              <w:rPr>
                <w:color w:val="000000"/>
              </w:rPr>
              <w:lastRenderedPageBreak/>
              <w:t xml:space="preserve">constituency are addressed in all aspects of this Rulemaking, it is appropriate that CforAT has </w:t>
            </w:r>
            <w:r w:rsidR="0037052A">
              <w:rPr>
                <w:color w:val="000000"/>
              </w:rPr>
              <w:t xml:space="preserve">continued to </w:t>
            </w:r>
            <w:r w:rsidR="00335D66">
              <w:rPr>
                <w:color w:val="000000"/>
              </w:rPr>
              <w:t xml:space="preserve">expend substantial resources in participation, including active work in </w:t>
            </w:r>
            <w:r w:rsidR="00A008B7">
              <w:rPr>
                <w:color w:val="000000"/>
              </w:rPr>
              <w:t>the ongoing working group processes and participation in the development of guidance for demand flexibility rates.</w:t>
            </w:r>
          </w:p>
          <w:p w:rsidRPr="003D4455" w:rsidR="00FE3BAE" w:rsidP="007870B7" w:rsidRDefault="00335D66" w14:paraId="2B1A1242" w14:textId="67165664">
            <w:pPr>
              <w:spacing w:after="120"/>
              <w:rPr>
                <w:color w:val="000000"/>
              </w:rPr>
            </w:pPr>
            <w:r>
              <w:rPr>
                <w:color w:val="000000"/>
              </w:rPr>
              <w:t>While it is difficult to attribute a specific dollar value to any of CforAT’s contributions, the overall input of CforAT has been in support of ensuring that our constituency is not inappropriately burdened through the changes in the way that customers pay for electricity, that their needs are regularly given consideration, and that they are appropriately situated to participate in and benefit from the clean energy transition that is the goal of this proceeding.  In this context, the support provided by CforAT for the Commission’s efforts to effectuate an appropriate and equitable change in the structure of energy use in California exceeds the amount of compensation we are requesting.</w:t>
            </w:r>
          </w:p>
        </w:tc>
        <w:tc>
          <w:tcPr>
            <w:tcW w:w="2250" w:type="dxa"/>
          </w:tcPr>
          <w:p w:rsidRPr="00FE3BAE" w:rsidR="00FE3BAE" w:rsidP="007870B7" w:rsidRDefault="00026E68" w14:paraId="223B4665" w14:textId="2FD5D1F5">
            <w:pPr>
              <w:tabs>
                <w:tab w:val="left" w:pos="360"/>
              </w:tabs>
              <w:rPr>
                <w:color w:val="000000"/>
              </w:rPr>
            </w:pPr>
            <w:r w:rsidRPr="00D36071">
              <w:rPr>
                <w:color w:val="000000"/>
              </w:rPr>
              <w:lastRenderedPageBreak/>
              <w:t>Noted; CforAT’s claimed implementation-related work conducted pursuant to D.24-05-028 falls within scope of this proceeding. The Commission finds that such efforts</w:t>
            </w:r>
            <w:r>
              <w:rPr>
                <w:color w:val="000000"/>
              </w:rPr>
              <w:t xml:space="preserve">, including CforAT’s </w:t>
            </w:r>
            <w:r>
              <w:rPr>
                <w:color w:val="000000"/>
              </w:rPr>
              <w:lastRenderedPageBreak/>
              <w:t>claimed RTP work, encompassing both Track B related and earlier RTP working group participation,</w:t>
            </w:r>
            <w:r w:rsidRPr="00D36071">
              <w:rPr>
                <w:color w:val="000000"/>
              </w:rPr>
              <w:t xml:space="preserve"> are properly considered here and are compensable to the extent they reflect a substantial contribution and are reasonable and non-duplicative.</w:t>
            </w:r>
          </w:p>
        </w:tc>
      </w:tr>
      <w:tr w:rsidRPr="007F620E" w:rsidR="00FE3BAE" w:rsidTr="00C16710" w14:paraId="5548029C" w14:textId="77777777">
        <w:tc>
          <w:tcPr>
            <w:tcW w:w="7488" w:type="dxa"/>
          </w:tcPr>
          <w:p w:rsidR="00FE3BAE" w:rsidP="007870B7" w:rsidRDefault="00FE3BAE" w14:paraId="1009F6D5" w14:textId="6899E2AF">
            <w:pPr>
              <w:spacing w:after="120"/>
              <w:rPr>
                <w:color w:val="000000"/>
              </w:rPr>
            </w:pPr>
            <w:r w:rsidRPr="007F620E">
              <w:rPr>
                <w:b/>
                <w:color w:val="000000"/>
              </w:rPr>
              <w:lastRenderedPageBreak/>
              <w:t>b. Reasonableness of hours claimed:</w:t>
            </w:r>
          </w:p>
          <w:p w:rsidR="00141D46" w:rsidP="007870B7" w:rsidRDefault="00141D46" w14:paraId="01E08203" w14:textId="729A5460">
            <w:pPr>
              <w:spacing w:after="120"/>
              <w:rPr>
                <w:color w:val="000000"/>
              </w:rPr>
            </w:pPr>
            <w:r>
              <w:rPr>
                <w:color w:val="000000"/>
              </w:rPr>
              <w:t>CforAT’s ongoing work in this docket is reasonable based on the importance of the issues under consideration and their potential impact on our constituency of utility customers with disabilities and medical needs, particularly given that this group of customers is both disproportionately low-income and highly reliant on dependable and affordable access to electricity.</w:t>
            </w:r>
          </w:p>
          <w:p w:rsidR="00141D46" w:rsidP="008F72CA" w:rsidRDefault="00141D46" w14:paraId="17242B01" w14:textId="09E0E91E">
            <w:pPr>
              <w:spacing w:after="120"/>
              <w:rPr>
                <w:color w:val="000000"/>
              </w:rPr>
            </w:pPr>
            <w:r>
              <w:rPr>
                <w:color w:val="000000"/>
              </w:rPr>
              <w:t xml:space="preserve">CforAT’s work </w:t>
            </w:r>
            <w:r w:rsidR="00BB0FD1">
              <w:rPr>
                <w:color w:val="000000"/>
              </w:rPr>
              <w:t xml:space="preserve">continued to be led </w:t>
            </w:r>
            <w:r>
              <w:rPr>
                <w:color w:val="000000"/>
              </w:rPr>
              <w:t>by Legal Director Melissa W. Kasnitz, who has substantial experience in addressing issues of rate design and implementation of rate changes as they impact CforAT’s constituency.  As appropriate, Ms. Kasnitz delegated specific tasks</w:t>
            </w:r>
            <w:r w:rsidR="005642EC">
              <w:rPr>
                <w:color w:val="000000"/>
              </w:rPr>
              <w:t xml:space="preserve"> to</w:t>
            </w:r>
            <w:r>
              <w:rPr>
                <w:color w:val="000000"/>
              </w:rPr>
              <w:t xml:space="preserve"> </w:t>
            </w:r>
            <w:r w:rsidR="00BB0FD1">
              <w:rPr>
                <w:color w:val="000000"/>
              </w:rPr>
              <w:t>junior attorneys, including first Legal Fellow Alexandra Green, then her successor Rachel Sweetnam</w:t>
            </w:r>
            <w:r>
              <w:rPr>
                <w:color w:val="000000"/>
              </w:rPr>
              <w:t xml:space="preserve">.  While Ms. Kasnitz appropriately supervised and reviewed </w:t>
            </w:r>
            <w:r w:rsidR="005642EC">
              <w:rPr>
                <w:color w:val="000000"/>
              </w:rPr>
              <w:t>the work of the junior attorneys</w:t>
            </w:r>
            <w:r>
              <w:rPr>
                <w:color w:val="000000"/>
              </w:rPr>
              <w:t xml:space="preserve">, this type of delegation is appropriate and efficient, particularly in light of the substantial differences in the hourly rates for </w:t>
            </w:r>
            <w:r w:rsidR="005642EC">
              <w:rPr>
                <w:color w:val="000000"/>
              </w:rPr>
              <w:t xml:space="preserve">the junior attorneys </w:t>
            </w:r>
            <w:r>
              <w:rPr>
                <w:color w:val="000000"/>
              </w:rPr>
              <w:t>and Ms. Kasnitz.</w:t>
            </w:r>
            <w:r w:rsidR="005642EC">
              <w:rPr>
                <w:color w:val="000000"/>
              </w:rPr>
              <w:t xml:space="preserve">  For example, Ms. Sweetnam served as CforAT’s representative on the BSC Implementation Working Group, </w:t>
            </w:r>
            <w:r w:rsidR="00015D9B">
              <w:rPr>
                <w:color w:val="000000"/>
              </w:rPr>
              <w:t>while Ms. Kasnitz served as CforAT’s representative on the Process Working Group (which is not included in the request).</w:t>
            </w:r>
          </w:p>
          <w:p w:rsidRPr="007F620E" w:rsidR="00691528" w:rsidP="007870B7" w:rsidRDefault="00CE442E" w14:paraId="694F0B63" w14:textId="4F13ED6A">
            <w:pPr>
              <w:spacing w:after="120"/>
              <w:rPr>
                <w:color w:val="000000"/>
              </w:rPr>
            </w:pPr>
            <w:r>
              <w:t>Overall, CforAT was effective and efficient in our participation in the various portions of this proceeding, and our work remained focused on the needs of our unique constituency.  To the extent that our work overlapped to some degree with that of other parties, this reflects the shared effort of multiple stakeholders to provide vital input on the important issues under consideration. CforAT’s contributions should not be reduced on this basis</w:t>
            </w:r>
            <w:r w:rsidR="00970CBC">
              <w:t>.</w:t>
            </w:r>
          </w:p>
        </w:tc>
        <w:tc>
          <w:tcPr>
            <w:tcW w:w="2250" w:type="dxa"/>
          </w:tcPr>
          <w:p w:rsidRPr="007F620E" w:rsidR="00FE3BAE" w:rsidP="007870B7" w:rsidRDefault="00026E68" w14:paraId="1874D625" w14:textId="25A3C9EF">
            <w:pPr>
              <w:tabs>
                <w:tab w:val="left" w:pos="360"/>
              </w:tabs>
              <w:rPr>
                <w:color w:val="000000"/>
              </w:rPr>
            </w:pPr>
            <w:r w:rsidRPr="00D36071">
              <w:rPr>
                <w:color w:val="000000"/>
              </w:rPr>
              <w:t>Noted; CforAT’s claimed implementation-related work conducted pursuant to D.24-05-028 falls within scope of this proceeding. The Commission finds that such efforts</w:t>
            </w:r>
            <w:r>
              <w:rPr>
                <w:color w:val="000000"/>
              </w:rPr>
              <w:t>, including CforAT’s claimed RTP work, encompassing both Track B related and earlier RTP working group participation,</w:t>
            </w:r>
            <w:r w:rsidRPr="00D36071">
              <w:rPr>
                <w:color w:val="000000"/>
              </w:rPr>
              <w:t xml:space="preserve"> are properly considered here and are compensable to the extent they reflect a substantial contribution and are reasonable and non-duplicative.</w:t>
            </w:r>
          </w:p>
        </w:tc>
      </w:tr>
      <w:tr w:rsidRPr="007F620E" w:rsidR="00FE3BAE" w:rsidTr="00C16710" w14:paraId="3FD38B74" w14:textId="77777777">
        <w:tc>
          <w:tcPr>
            <w:tcW w:w="7488" w:type="dxa"/>
          </w:tcPr>
          <w:p w:rsidR="00FE3BAE" w:rsidP="008F72CA" w:rsidRDefault="00FE3BAE" w14:paraId="78501013" w14:textId="29CAA561">
            <w:pPr>
              <w:spacing w:after="120"/>
              <w:rPr>
                <w:color w:val="000000"/>
              </w:rPr>
            </w:pPr>
            <w:r w:rsidRPr="007F620E">
              <w:rPr>
                <w:b/>
                <w:color w:val="000000"/>
              </w:rPr>
              <w:lastRenderedPageBreak/>
              <w:t>c. Allocation of hours by issue:</w:t>
            </w:r>
          </w:p>
          <w:p w:rsidR="004F528F" w:rsidP="008F72CA" w:rsidRDefault="00695422" w14:paraId="084DB310" w14:textId="21F0B133">
            <w:pPr>
              <w:spacing w:after="120"/>
              <w:jc w:val="center"/>
              <w:rPr>
                <w:b/>
                <w:bCs/>
                <w:color w:val="000000"/>
              </w:rPr>
            </w:pPr>
            <w:r w:rsidRPr="00C24DEA">
              <w:rPr>
                <w:b/>
                <w:bCs/>
                <w:color w:val="000000"/>
              </w:rPr>
              <w:t>Kasnitz Time – 2022</w:t>
            </w:r>
            <w:r w:rsidR="00DF62B6">
              <w:rPr>
                <w:b/>
                <w:bCs/>
                <w:color w:val="000000"/>
              </w:rPr>
              <w:t xml:space="preserve"> </w:t>
            </w:r>
            <w:r w:rsidR="00242355">
              <w:rPr>
                <w:b/>
                <w:bCs/>
                <w:color w:val="000000"/>
              </w:rPr>
              <w:t>(2.6 hours)</w:t>
            </w:r>
          </w:p>
          <w:p w:rsidR="004F528F" w:rsidP="008F72CA" w:rsidRDefault="004F528F" w14:paraId="1ED10D45" w14:textId="5A00E3A3">
            <w:pPr>
              <w:spacing w:after="120"/>
              <w:rPr>
                <w:b/>
                <w:bCs/>
                <w:color w:val="000000"/>
              </w:rPr>
            </w:pPr>
            <w:r>
              <w:rPr>
                <w:b/>
                <w:bCs/>
                <w:color w:val="000000"/>
              </w:rPr>
              <w:t>RTP:</w:t>
            </w:r>
            <w:r w:rsidR="00D15F0C">
              <w:rPr>
                <w:b/>
                <w:bCs/>
                <w:color w:val="000000"/>
              </w:rPr>
              <w:t xml:space="preserve"> 0.8 hours</w:t>
            </w:r>
          </w:p>
          <w:p w:rsidRPr="008F72CA" w:rsidR="004F528F" w:rsidP="008F72CA" w:rsidRDefault="004F528F" w14:paraId="44DD9FEB" w14:textId="5E374863">
            <w:pPr>
              <w:spacing w:after="120"/>
              <w:rPr>
                <w:color w:val="000000"/>
              </w:rPr>
            </w:pPr>
            <w:r>
              <w:rPr>
                <w:color w:val="000000"/>
              </w:rPr>
              <w:t xml:space="preserve">The issue area “RTP” includes time spent addressing issues of </w:t>
            </w:r>
            <w:r w:rsidR="00965151">
              <w:rPr>
                <w:color w:val="000000"/>
              </w:rPr>
              <w:t>Real Time Pricing, also described as demand flexibility rates.</w:t>
            </w:r>
          </w:p>
          <w:p w:rsidR="004F528F" w:rsidP="008F72CA" w:rsidRDefault="004F528F" w14:paraId="6D1D31F7" w14:textId="757BEB10">
            <w:pPr>
              <w:spacing w:after="120"/>
              <w:rPr>
                <w:b/>
                <w:bCs/>
                <w:color w:val="000000"/>
              </w:rPr>
            </w:pPr>
            <w:r>
              <w:rPr>
                <w:b/>
                <w:bCs/>
                <w:color w:val="000000"/>
              </w:rPr>
              <w:t>RTP</w:t>
            </w:r>
            <w:r w:rsidR="006F121C">
              <w:rPr>
                <w:b/>
                <w:bCs/>
                <w:color w:val="000000"/>
              </w:rPr>
              <w:t>-</w:t>
            </w:r>
            <w:r>
              <w:rPr>
                <w:b/>
                <w:bCs/>
                <w:color w:val="000000"/>
              </w:rPr>
              <w:t>WG:</w:t>
            </w:r>
            <w:r w:rsidR="0027223A">
              <w:rPr>
                <w:b/>
                <w:bCs/>
                <w:color w:val="000000"/>
              </w:rPr>
              <w:t xml:space="preserve"> </w:t>
            </w:r>
            <w:r w:rsidR="00CB0A77">
              <w:rPr>
                <w:b/>
                <w:bCs/>
                <w:color w:val="000000"/>
              </w:rPr>
              <w:t>1.8</w:t>
            </w:r>
            <w:r w:rsidR="0027223A">
              <w:rPr>
                <w:b/>
                <w:bCs/>
                <w:color w:val="000000"/>
              </w:rPr>
              <w:t xml:space="preserve"> hours</w:t>
            </w:r>
          </w:p>
          <w:p w:rsidRPr="008F72CA" w:rsidR="00695422" w:rsidP="008F72CA" w:rsidRDefault="00965151" w14:paraId="18936099" w14:textId="2BCA90D1">
            <w:pPr>
              <w:spacing w:after="120"/>
              <w:rPr>
                <w:color w:val="000000"/>
              </w:rPr>
            </w:pPr>
            <w:r>
              <w:rPr>
                <w:color w:val="000000"/>
              </w:rPr>
              <w:t xml:space="preserve">The issue area “RTP-WG” includes time spent participating in </w:t>
            </w:r>
            <w:r w:rsidR="00B617C3">
              <w:rPr>
                <w:color w:val="000000"/>
              </w:rPr>
              <w:t>Working Group 1</w:t>
            </w:r>
            <w:r w:rsidR="000164C8">
              <w:rPr>
                <w:color w:val="000000"/>
              </w:rPr>
              <w:t xml:space="preserve"> addressing RTP rate issues, including attending meetings, reviewing material, and commenting on material in the eventual Working Group Report.</w:t>
            </w:r>
          </w:p>
          <w:p w:rsidR="006F121C" w:rsidP="008F72CA" w:rsidRDefault="00695422" w14:paraId="739D46E4" w14:textId="15226F2E">
            <w:pPr>
              <w:spacing w:after="120"/>
              <w:jc w:val="center"/>
              <w:rPr>
                <w:b/>
                <w:bCs/>
                <w:color w:val="000000"/>
              </w:rPr>
            </w:pPr>
            <w:r w:rsidRPr="00C24DEA">
              <w:rPr>
                <w:b/>
                <w:bCs/>
                <w:color w:val="000000"/>
              </w:rPr>
              <w:t xml:space="preserve">Green Time </w:t>
            </w:r>
            <w:r w:rsidRPr="00C24DEA" w:rsidR="009174C3">
              <w:rPr>
                <w:b/>
                <w:bCs/>
                <w:color w:val="000000"/>
              </w:rPr>
              <w:t>–</w:t>
            </w:r>
            <w:r w:rsidRPr="00C24DEA">
              <w:rPr>
                <w:b/>
                <w:bCs/>
                <w:color w:val="000000"/>
              </w:rPr>
              <w:t xml:space="preserve"> 2022</w:t>
            </w:r>
            <w:r w:rsidR="009045E8">
              <w:rPr>
                <w:b/>
                <w:bCs/>
                <w:color w:val="000000"/>
              </w:rPr>
              <w:t xml:space="preserve"> </w:t>
            </w:r>
            <w:r w:rsidR="00610BB7">
              <w:rPr>
                <w:b/>
                <w:bCs/>
                <w:color w:val="000000"/>
              </w:rPr>
              <w:t>(1.6</w:t>
            </w:r>
            <w:r w:rsidR="0007296A">
              <w:rPr>
                <w:b/>
                <w:bCs/>
                <w:color w:val="000000"/>
              </w:rPr>
              <w:t xml:space="preserve"> post-admission hours)</w:t>
            </w:r>
          </w:p>
          <w:p w:rsidRPr="00C24DEA" w:rsidR="009174C3" w:rsidP="008F72CA" w:rsidRDefault="006F121C" w14:paraId="68F2B675" w14:textId="3902245D">
            <w:pPr>
              <w:spacing w:after="120"/>
              <w:rPr>
                <w:b/>
                <w:bCs/>
                <w:color w:val="000000"/>
              </w:rPr>
            </w:pPr>
            <w:r>
              <w:rPr>
                <w:b/>
                <w:bCs/>
                <w:color w:val="000000"/>
              </w:rPr>
              <w:t xml:space="preserve">RTP </w:t>
            </w:r>
            <w:r w:rsidR="008E5365">
              <w:rPr>
                <w:b/>
                <w:bCs/>
                <w:color w:val="000000"/>
              </w:rPr>
              <w:t>–</w:t>
            </w:r>
            <w:r>
              <w:rPr>
                <w:b/>
                <w:bCs/>
                <w:color w:val="000000"/>
              </w:rPr>
              <w:t xml:space="preserve"> WG</w:t>
            </w:r>
            <w:r w:rsidR="003605AE">
              <w:rPr>
                <w:b/>
                <w:bCs/>
                <w:color w:val="000000"/>
              </w:rPr>
              <w:t>: 1.6 hours (100%)</w:t>
            </w:r>
          </w:p>
          <w:p w:rsidR="006F121C" w:rsidP="008F72CA" w:rsidRDefault="009174C3" w14:paraId="45B3DB8E" w14:textId="2239DFB9">
            <w:pPr>
              <w:spacing w:after="120"/>
              <w:jc w:val="center"/>
              <w:rPr>
                <w:b/>
                <w:bCs/>
                <w:color w:val="000000"/>
              </w:rPr>
            </w:pPr>
            <w:r w:rsidRPr="00C24DEA">
              <w:rPr>
                <w:b/>
                <w:bCs/>
                <w:color w:val="000000"/>
              </w:rPr>
              <w:t>Kasnitz Time – 2023</w:t>
            </w:r>
            <w:r w:rsidR="000B5CDA">
              <w:rPr>
                <w:b/>
                <w:bCs/>
                <w:color w:val="000000"/>
              </w:rPr>
              <w:t xml:space="preserve"> (40.6 hours) </w:t>
            </w:r>
          </w:p>
          <w:p w:rsidR="006F121C" w:rsidP="008F72CA" w:rsidRDefault="006F121C" w14:paraId="6C7D97BA" w14:textId="2148912E">
            <w:pPr>
              <w:spacing w:after="120"/>
              <w:rPr>
                <w:b/>
                <w:bCs/>
                <w:color w:val="000000"/>
              </w:rPr>
            </w:pPr>
            <w:r>
              <w:rPr>
                <w:b/>
                <w:bCs/>
                <w:color w:val="000000"/>
              </w:rPr>
              <w:t>RTP:</w:t>
            </w:r>
            <w:r w:rsidR="00457AE3">
              <w:rPr>
                <w:b/>
                <w:bCs/>
                <w:color w:val="000000"/>
              </w:rPr>
              <w:t xml:space="preserve"> 1.6 hours</w:t>
            </w:r>
            <w:r w:rsidR="009A558D">
              <w:rPr>
                <w:b/>
                <w:bCs/>
                <w:color w:val="000000"/>
              </w:rPr>
              <w:t xml:space="preserve"> </w:t>
            </w:r>
            <w:r w:rsidR="00B80ED2">
              <w:rPr>
                <w:b/>
                <w:bCs/>
                <w:color w:val="000000"/>
              </w:rPr>
              <w:t>(4%)</w:t>
            </w:r>
          </w:p>
          <w:p w:rsidRPr="00C24DEA" w:rsidR="009174C3" w:rsidP="008F72CA" w:rsidRDefault="006F121C" w14:paraId="445DADB8" w14:textId="77F6446F">
            <w:pPr>
              <w:spacing w:after="120"/>
              <w:rPr>
                <w:b/>
                <w:bCs/>
                <w:color w:val="000000"/>
              </w:rPr>
            </w:pPr>
            <w:r>
              <w:rPr>
                <w:b/>
                <w:bCs/>
                <w:color w:val="000000"/>
              </w:rPr>
              <w:t xml:space="preserve">RTP </w:t>
            </w:r>
            <w:r w:rsidR="00F21CE4">
              <w:rPr>
                <w:b/>
                <w:bCs/>
                <w:color w:val="000000"/>
              </w:rPr>
              <w:t>–</w:t>
            </w:r>
            <w:r>
              <w:rPr>
                <w:b/>
                <w:bCs/>
                <w:color w:val="000000"/>
              </w:rPr>
              <w:t xml:space="preserve"> WG</w:t>
            </w:r>
            <w:r w:rsidR="00F21CE4">
              <w:rPr>
                <w:b/>
                <w:bCs/>
                <w:color w:val="000000"/>
              </w:rPr>
              <w:t xml:space="preserve">: </w:t>
            </w:r>
            <w:r w:rsidR="0027223A">
              <w:rPr>
                <w:b/>
                <w:bCs/>
                <w:color w:val="000000"/>
              </w:rPr>
              <w:t xml:space="preserve">39.0 </w:t>
            </w:r>
            <w:r w:rsidR="007B5B52">
              <w:rPr>
                <w:b/>
                <w:bCs/>
                <w:color w:val="000000"/>
              </w:rPr>
              <w:t>hours</w:t>
            </w:r>
            <w:r w:rsidR="009A558D">
              <w:rPr>
                <w:b/>
                <w:bCs/>
                <w:color w:val="000000"/>
              </w:rPr>
              <w:t xml:space="preserve"> (96%)</w:t>
            </w:r>
          </w:p>
          <w:p w:rsidR="00A205CE" w:rsidP="008F72CA" w:rsidRDefault="009174C3" w14:paraId="00410D68" w14:textId="1195682F">
            <w:pPr>
              <w:spacing w:after="120"/>
              <w:jc w:val="center"/>
              <w:rPr>
                <w:b/>
                <w:bCs/>
                <w:color w:val="000000"/>
              </w:rPr>
            </w:pPr>
            <w:r w:rsidRPr="00C24DEA">
              <w:rPr>
                <w:b/>
                <w:bCs/>
                <w:color w:val="000000"/>
              </w:rPr>
              <w:t>Green Time – 2023</w:t>
            </w:r>
            <w:r w:rsidR="00D267C1">
              <w:rPr>
                <w:b/>
                <w:bCs/>
                <w:color w:val="000000"/>
              </w:rPr>
              <w:t xml:space="preserve"> (23.6 hours)</w:t>
            </w:r>
          </w:p>
          <w:p w:rsidR="00DB1DC6" w:rsidP="008F72CA" w:rsidRDefault="00A205CE" w14:paraId="640E0B70" w14:textId="3DAC5567">
            <w:pPr>
              <w:spacing w:after="120"/>
              <w:rPr>
                <w:b/>
                <w:bCs/>
                <w:color w:val="000000"/>
              </w:rPr>
            </w:pPr>
            <w:r>
              <w:rPr>
                <w:b/>
                <w:bCs/>
                <w:color w:val="000000"/>
              </w:rPr>
              <w:t xml:space="preserve">RTP </w:t>
            </w:r>
            <w:r w:rsidR="00D267C1">
              <w:rPr>
                <w:b/>
                <w:bCs/>
                <w:color w:val="000000"/>
              </w:rPr>
              <w:t>–</w:t>
            </w:r>
            <w:r>
              <w:rPr>
                <w:b/>
                <w:bCs/>
                <w:color w:val="000000"/>
              </w:rPr>
              <w:t xml:space="preserve"> WG</w:t>
            </w:r>
            <w:r w:rsidR="00D267C1">
              <w:rPr>
                <w:b/>
                <w:bCs/>
                <w:color w:val="000000"/>
              </w:rPr>
              <w:t>: 23.6 hours (100%)</w:t>
            </w:r>
          </w:p>
          <w:p w:rsidR="00E949CA" w:rsidP="008F72CA" w:rsidRDefault="00E949CA" w14:paraId="49D9B1C4" w14:textId="4209EB51">
            <w:pPr>
              <w:spacing w:after="120"/>
              <w:jc w:val="center"/>
              <w:rPr>
                <w:b/>
                <w:bCs/>
                <w:color w:val="000000"/>
              </w:rPr>
            </w:pPr>
            <w:r>
              <w:rPr>
                <w:b/>
                <w:bCs/>
                <w:color w:val="000000"/>
              </w:rPr>
              <w:t>Woodford Time – 2023 (1.5 hours)</w:t>
            </w:r>
          </w:p>
          <w:p w:rsidRPr="00C24DEA" w:rsidR="009174C3" w:rsidP="008F72CA" w:rsidRDefault="00E949CA" w14:paraId="3FD99ACA" w14:textId="17552CA8">
            <w:pPr>
              <w:spacing w:after="120"/>
              <w:rPr>
                <w:b/>
                <w:bCs/>
                <w:color w:val="000000"/>
              </w:rPr>
            </w:pPr>
            <w:r>
              <w:rPr>
                <w:b/>
                <w:bCs/>
                <w:color w:val="000000"/>
              </w:rPr>
              <w:t xml:space="preserve">RTP WG: 1.5 hours (100%) </w:t>
            </w:r>
          </w:p>
          <w:p w:rsidR="00A205CE" w:rsidP="008F72CA" w:rsidRDefault="00C24DEA" w14:paraId="288B1CF8" w14:textId="399EF383">
            <w:pPr>
              <w:spacing w:after="120"/>
              <w:jc w:val="center"/>
              <w:rPr>
                <w:b/>
                <w:bCs/>
                <w:color w:val="000000"/>
              </w:rPr>
            </w:pPr>
            <w:r w:rsidRPr="00C24DEA">
              <w:rPr>
                <w:b/>
                <w:bCs/>
                <w:color w:val="000000"/>
              </w:rPr>
              <w:t>Kasnitz Time – 2024</w:t>
            </w:r>
            <w:r w:rsidR="007D7460">
              <w:rPr>
                <w:b/>
                <w:bCs/>
                <w:color w:val="000000"/>
              </w:rPr>
              <w:t xml:space="preserve"> (22.0 hours)</w:t>
            </w:r>
          </w:p>
          <w:p w:rsidR="00D667B8" w:rsidP="00A205CE" w:rsidRDefault="00D667B8" w14:paraId="74CD9EC3" w14:textId="2B107191">
            <w:pPr>
              <w:rPr>
                <w:b/>
                <w:bCs/>
                <w:color w:val="000000"/>
              </w:rPr>
            </w:pPr>
            <w:r>
              <w:rPr>
                <w:b/>
                <w:bCs/>
                <w:color w:val="000000"/>
              </w:rPr>
              <w:t>General Participation:</w:t>
            </w:r>
            <w:r w:rsidR="00657D8B">
              <w:rPr>
                <w:b/>
                <w:bCs/>
                <w:color w:val="000000"/>
              </w:rPr>
              <w:t xml:space="preserve"> 1.3 hours</w:t>
            </w:r>
            <w:r w:rsidR="007D7460">
              <w:rPr>
                <w:b/>
                <w:bCs/>
                <w:color w:val="000000"/>
              </w:rPr>
              <w:t xml:space="preserve"> </w:t>
            </w:r>
            <w:r w:rsidR="00B93B7F">
              <w:rPr>
                <w:b/>
                <w:bCs/>
                <w:color w:val="000000"/>
              </w:rPr>
              <w:t>(6%)</w:t>
            </w:r>
          </w:p>
          <w:p w:rsidRPr="008F72CA" w:rsidR="00D667B8" w:rsidP="008F72CA" w:rsidRDefault="00B80ED2" w14:paraId="13B9B028" w14:textId="1F1C564E">
            <w:pPr>
              <w:spacing w:after="120"/>
              <w:rPr>
                <w:color w:val="000000"/>
              </w:rPr>
            </w:pPr>
            <w:r>
              <w:rPr>
                <w:color w:val="000000"/>
              </w:rPr>
              <w:t xml:space="preserve">The issue area “General Participation” includes time spent on procedural matters, review of material as needed to comply with </w:t>
            </w:r>
            <w:r w:rsidR="004400FE">
              <w:rPr>
                <w:color w:val="000000"/>
              </w:rPr>
              <w:t xml:space="preserve">requirements for </w:t>
            </w:r>
            <w:r>
              <w:rPr>
                <w:color w:val="000000"/>
              </w:rPr>
              <w:t>professional responsibility</w:t>
            </w:r>
            <w:r w:rsidR="004400FE">
              <w:rPr>
                <w:color w:val="000000"/>
              </w:rPr>
              <w:t xml:space="preserve"> to stay knowledgeable about activity taking place within the proceeding, and activity that does not otherwise fit into any specific issue area.</w:t>
            </w:r>
          </w:p>
          <w:p w:rsidR="001E64E4" w:rsidP="00A205CE" w:rsidRDefault="001E64E4" w14:paraId="395185B8" w14:textId="29E520DD">
            <w:pPr>
              <w:rPr>
                <w:b/>
                <w:bCs/>
                <w:color w:val="000000"/>
              </w:rPr>
            </w:pPr>
            <w:r>
              <w:rPr>
                <w:b/>
                <w:bCs/>
                <w:color w:val="000000"/>
              </w:rPr>
              <w:t>Implementation:</w:t>
            </w:r>
            <w:r w:rsidR="00D721EC">
              <w:rPr>
                <w:b/>
                <w:bCs/>
                <w:color w:val="000000"/>
              </w:rPr>
              <w:t xml:space="preserve"> 13.6 hours</w:t>
            </w:r>
            <w:r w:rsidR="00B93B7F">
              <w:rPr>
                <w:b/>
                <w:bCs/>
                <w:color w:val="000000"/>
              </w:rPr>
              <w:t xml:space="preserve"> (62%)</w:t>
            </w:r>
          </w:p>
          <w:p w:rsidRPr="008F72CA" w:rsidR="001E64E4" w:rsidP="008F72CA" w:rsidRDefault="004C7987" w14:paraId="7E530870" w14:textId="02D0CB85">
            <w:pPr>
              <w:spacing w:after="120"/>
              <w:rPr>
                <w:color w:val="000000"/>
              </w:rPr>
            </w:pPr>
            <w:r>
              <w:rPr>
                <w:color w:val="000000"/>
              </w:rPr>
              <w:t xml:space="preserve">The issue area “Implementation” includes time spent responding </w:t>
            </w:r>
            <w:r w:rsidR="00B07484">
              <w:rPr>
                <w:color w:val="000000"/>
              </w:rPr>
              <w:t xml:space="preserve">and otherwise participating in activity surrounding </w:t>
            </w:r>
            <w:r>
              <w:rPr>
                <w:color w:val="000000"/>
              </w:rPr>
              <w:t>Advice Letters and Resolutions addressing implementation of the first generation income-graduated fixed charge or basic services charge</w:t>
            </w:r>
            <w:r w:rsidR="007D7460">
              <w:rPr>
                <w:color w:val="000000"/>
              </w:rPr>
              <w:t>.</w:t>
            </w:r>
          </w:p>
          <w:p w:rsidRPr="00C24DEA" w:rsidR="000B5CDA" w:rsidP="008F72CA" w:rsidRDefault="00A205CE" w14:paraId="46C7CE8A" w14:textId="342176A1">
            <w:pPr>
              <w:spacing w:after="120"/>
              <w:rPr>
                <w:b/>
                <w:bCs/>
                <w:color w:val="000000"/>
              </w:rPr>
            </w:pPr>
            <w:r>
              <w:rPr>
                <w:b/>
                <w:bCs/>
                <w:color w:val="000000"/>
              </w:rPr>
              <w:t>RTP:</w:t>
            </w:r>
            <w:r w:rsidR="00534248">
              <w:rPr>
                <w:b/>
                <w:bCs/>
                <w:color w:val="000000"/>
              </w:rPr>
              <w:t xml:space="preserve"> 7.1</w:t>
            </w:r>
            <w:r w:rsidR="00B93B7F">
              <w:rPr>
                <w:b/>
                <w:bCs/>
                <w:color w:val="000000"/>
              </w:rPr>
              <w:t xml:space="preserve"> </w:t>
            </w:r>
            <w:r w:rsidR="00605AA3">
              <w:rPr>
                <w:b/>
                <w:bCs/>
                <w:color w:val="000000"/>
              </w:rPr>
              <w:t>hours (32%)</w:t>
            </w:r>
          </w:p>
          <w:p w:rsidR="00A205CE" w:rsidP="008F72CA" w:rsidRDefault="00C24DEA" w14:paraId="51A80576" w14:textId="13761572">
            <w:pPr>
              <w:spacing w:after="120"/>
              <w:jc w:val="center"/>
              <w:rPr>
                <w:b/>
                <w:bCs/>
                <w:color w:val="000000"/>
              </w:rPr>
            </w:pPr>
            <w:r w:rsidRPr="00C24DEA">
              <w:rPr>
                <w:b/>
                <w:bCs/>
                <w:color w:val="000000"/>
              </w:rPr>
              <w:t>Sweetnam Time – 2024</w:t>
            </w:r>
            <w:r w:rsidR="00605AA3">
              <w:rPr>
                <w:b/>
                <w:bCs/>
                <w:color w:val="000000"/>
              </w:rPr>
              <w:t xml:space="preserve"> (6.</w:t>
            </w:r>
            <w:r w:rsidR="008C3278">
              <w:rPr>
                <w:b/>
                <w:bCs/>
                <w:color w:val="000000"/>
              </w:rPr>
              <w:t>6</w:t>
            </w:r>
            <w:r w:rsidR="00605AA3">
              <w:rPr>
                <w:b/>
                <w:bCs/>
                <w:color w:val="000000"/>
              </w:rPr>
              <w:t xml:space="preserve"> hours)</w:t>
            </w:r>
          </w:p>
          <w:p w:rsidR="00C24DEA" w:rsidP="008F72CA" w:rsidRDefault="00A205CE" w14:paraId="01AE2873" w14:textId="383990D5">
            <w:pPr>
              <w:spacing w:after="120"/>
              <w:rPr>
                <w:b/>
                <w:bCs/>
                <w:color w:val="000000"/>
              </w:rPr>
            </w:pPr>
            <w:r>
              <w:rPr>
                <w:b/>
                <w:bCs/>
                <w:color w:val="000000"/>
              </w:rPr>
              <w:t>RTP:</w:t>
            </w:r>
            <w:r w:rsidR="00BA6870">
              <w:rPr>
                <w:b/>
                <w:bCs/>
                <w:color w:val="000000"/>
              </w:rPr>
              <w:t xml:space="preserve">  </w:t>
            </w:r>
            <w:r w:rsidR="001D523B">
              <w:rPr>
                <w:b/>
                <w:bCs/>
                <w:color w:val="000000"/>
              </w:rPr>
              <w:t>6.</w:t>
            </w:r>
            <w:r w:rsidR="008C3278">
              <w:rPr>
                <w:b/>
                <w:bCs/>
                <w:color w:val="000000"/>
              </w:rPr>
              <w:t>6</w:t>
            </w:r>
            <w:r w:rsidR="001D523B">
              <w:rPr>
                <w:b/>
                <w:bCs/>
                <w:color w:val="000000"/>
              </w:rPr>
              <w:t xml:space="preserve"> hours</w:t>
            </w:r>
            <w:r w:rsidR="00605AA3">
              <w:rPr>
                <w:b/>
                <w:bCs/>
                <w:color w:val="000000"/>
              </w:rPr>
              <w:t xml:space="preserve"> (100%)</w:t>
            </w:r>
          </w:p>
          <w:p w:rsidR="00A205CE" w:rsidP="008F72CA" w:rsidRDefault="00C24DEA" w14:paraId="2CFB0BD6" w14:textId="175BCFA4">
            <w:pPr>
              <w:spacing w:after="120"/>
              <w:jc w:val="center"/>
              <w:rPr>
                <w:b/>
                <w:bCs/>
                <w:color w:val="000000"/>
              </w:rPr>
            </w:pPr>
            <w:r w:rsidRPr="00C24DEA">
              <w:rPr>
                <w:b/>
                <w:bCs/>
                <w:color w:val="000000"/>
              </w:rPr>
              <w:lastRenderedPageBreak/>
              <w:t>Kasnitz Time – 2025</w:t>
            </w:r>
            <w:r w:rsidR="002737FE">
              <w:rPr>
                <w:b/>
                <w:bCs/>
                <w:color w:val="000000"/>
              </w:rPr>
              <w:t xml:space="preserve"> (17.2 hours)</w:t>
            </w:r>
          </w:p>
          <w:p w:rsidR="00DF3A8B" w:rsidP="008F72CA" w:rsidRDefault="00DF3A8B" w14:paraId="5023A0ED" w14:textId="08B809C7">
            <w:pPr>
              <w:spacing w:after="120"/>
              <w:rPr>
                <w:b/>
                <w:bCs/>
                <w:color w:val="000000"/>
              </w:rPr>
            </w:pPr>
            <w:r>
              <w:rPr>
                <w:b/>
                <w:bCs/>
                <w:color w:val="000000"/>
              </w:rPr>
              <w:t>General Participation: 3.8 hours</w:t>
            </w:r>
            <w:r w:rsidR="00596950">
              <w:rPr>
                <w:b/>
                <w:bCs/>
                <w:color w:val="000000"/>
              </w:rPr>
              <w:t xml:space="preserve"> (22%)</w:t>
            </w:r>
          </w:p>
          <w:p w:rsidR="00F1206D" w:rsidP="008F72CA" w:rsidRDefault="00F1206D" w14:paraId="27A21107" w14:textId="41C6F529">
            <w:pPr>
              <w:spacing w:after="120"/>
              <w:rPr>
                <w:b/>
                <w:bCs/>
                <w:color w:val="000000"/>
              </w:rPr>
            </w:pPr>
            <w:r>
              <w:rPr>
                <w:b/>
                <w:bCs/>
                <w:color w:val="000000"/>
              </w:rPr>
              <w:t>Implementation:</w:t>
            </w:r>
            <w:r w:rsidR="000D710C">
              <w:rPr>
                <w:b/>
                <w:bCs/>
                <w:color w:val="000000"/>
              </w:rPr>
              <w:t xml:space="preserve"> 2.0 hours</w:t>
            </w:r>
            <w:r w:rsidR="00596950">
              <w:rPr>
                <w:b/>
                <w:bCs/>
                <w:color w:val="000000"/>
              </w:rPr>
              <w:t xml:space="preserve"> (12%)</w:t>
            </w:r>
          </w:p>
          <w:p w:rsidR="00BA1DB4" w:rsidP="008F72CA" w:rsidRDefault="00D80FFD" w14:paraId="6DF7FD1A" w14:textId="3393A252">
            <w:pPr>
              <w:tabs>
                <w:tab w:val="left" w:pos="2880"/>
              </w:tabs>
              <w:spacing w:after="120"/>
              <w:rPr>
                <w:b/>
                <w:bCs/>
                <w:color w:val="000000"/>
              </w:rPr>
            </w:pPr>
            <w:r>
              <w:rPr>
                <w:b/>
                <w:bCs/>
                <w:color w:val="000000"/>
              </w:rPr>
              <w:t>Implementation WG:</w:t>
            </w:r>
            <w:r w:rsidR="005B76E9">
              <w:rPr>
                <w:b/>
                <w:bCs/>
                <w:color w:val="000000"/>
              </w:rPr>
              <w:t xml:space="preserve"> </w:t>
            </w:r>
            <w:r w:rsidR="00BA2F94">
              <w:rPr>
                <w:b/>
                <w:bCs/>
                <w:color w:val="000000"/>
              </w:rPr>
              <w:t>1.2 hours</w:t>
            </w:r>
            <w:r w:rsidR="00596950">
              <w:rPr>
                <w:b/>
                <w:bCs/>
                <w:color w:val="000000"/>
              </w:rPr>
              <w:t xml:space="preserve"> (</w:t>
            </w:r>
            <w:r w:rsidR="002E1E67">
              <w:rPr>
                <w:b/>
                <w:bCs/>
                <w:color w:val="000000"/>
              </w:rPr>
              <w:t>7%)</w:t>
            </w:r>
          </w:p>
          <w:p w:rsidR="00D80FFD" w:rsidP="008F72CA" w:rsidRDefault="00BA1DB4" w14:paraId="5FA6F235" w14:textId="7CAB8E69">
            <w:pPr>
              <w:tabs>
                <w:tab w:val="left" w:pos="2880"/>
              </w:tabs>
              <w:spacing w:after="120"/>
              <w:rPr>
                <w:b/>
                <w:bCs/>
                <w:color w:val="000000"/>
              </w:rPr>
            </w:pPr>
            <w:r>
              <w:rPr>
                <w:b/>
                <w:bCs/>
                <w:color w:val="000000"/>
              </w:rPr>
              <w:t>PD:</w:t>
            </w:r>
            <w:r w:rsidR="00824C13">
              <w:rPr>
                <w:b/>
                <w:bCs/>
                <w:color w:val="000000"/>
              </w:rPr>
              <w:t xml:space="preserve">  </w:t>
            </w:r>
            <w:r w:rsidR="006656FA">
              <w:rPr>
                <w:b/>
                <w:bCs/>
                <w:color w:val="000000"/>
              </w:rPr>
              <w:t>6.6</w:t>
            </w:r>
            <w:r w:rsidR="001F1282">
              <w:rPr>
                <w:b/>
                <w:bCs/>
                <w:color w:val="000000"/>
              </w:rPr>
              <w:t xml:space="preserve"> hours</w:t>
            </w:r>
            <w:r w:rsidR="002E1E67">
              <w:rPr>
                <w:b/>
                <w:bCs/>
                <w:color w:val="000000"/>
              </w:rPr>
              <w:t xml:space="preserve"> (38%)</w:t>
            </w:r>
          </w:p>
          <w:p w:rsidR="00925EB3" w:rsidP="008F72CA" w:rsidRDefault="00925EB3" w14:paraId="1E54FB6D" w14:textId="1A59A8C0">
            <w:pPr>
              <w:spacing w:after="120"/>
              <w:rPr>
                <w:b/>
                <w:bCs/>
                <w:color w:val="000000"/>
              </w:rPr>
            </w:pPr>
            <w:r>
              <w:rPr>
                <w:b/>
                <w:bCs/>
                <w:color w:val="000000"/>
              </w:rPr>
              <w:t>Rehearing:</w:t>
            </w:r>
            <w:r w:rsidR="001F1282">
              <w:rPr>
                <w:b/>
                <w:bCs/>
                <w:color w:val="000000"/>
              </w:rPr>
              <w:t xml:space="preserve"> 2.2 hours</w:t>
            </w:r>
            <w:r w:rsidR="002E1E67">
              <w:rPr>
                <w:b/>
                <w:bCs/>
                <w:color w:val="000000"/>
              </w:rPr>
              <w:t xml:space="preserve"> </w:t>
            </w:r>
            <w:r w:rsidR="00B20AB4">
              <w:rPr>
                <w:b/>
                <w:bCs/>
                <w:color w:val="000000"/>
              </w:rPr>
              <w:t>(13%)</w:t>
            </w:r>
          </w:p>
          <w:p w:rsidRPr="00C24DEA" w:rsidR="00C24DEA" w:rsidP="008F72CA" w:rsidRDefault="00A205CE" w14:paraId="06536A41" w14:textId="5AB98615">
            <w:pPr>
              <w:spacing w:after="120"/>
              <w:rPr>
                <w:b/>
                <w:bCs/>
                <w:color w:val="000000"/>
              </w:rPr>
            </w:pPr>
            <w:r>
              <w:rPr>
                <w:b/>
                <w:bCs/>
                <w:color w:val="000000"/>
              </w:rPr>
              <w:t>RTP:</w:t>
            </w:r>
            <w:r w:rsidR="006311CD">
              <w:rPr>
                <w:b/>
                <w:bCs/>
                <w:color w:val="000000"/>
              </w:rPr>
              <w:t xml:space="preserve"> 1.4</w:t>
            </w:r>
            <w:r w:rsidR="00B20AB4">
              <w:rPr>
                <w:b/>
                <w:bCs/>
                <w:color w:val="000000"/>
              </w:rPr>
              <w:t xml:space="preserve"> (8%)</w:t>
            </w:r>
          </w:p>
          <w:p w:rsidR="00A205CE" w:rsidP="008F72CA" w:rsidRDefault="00C24DEA" w14:paraId="7A8157D8" w14:textId="4EF9A847">
            <w:pPr>
              <w:spacing w:after="120"/>
              <w:jc w:val="center"/>
              <w:rPr>
                <w:b/>
                <w:bCs/>
                <w:color w:val="000000"/>
              </w:rPr>
            </w:pPr>
            <w:r w:rsidRPr="00C24DEA">
              <w:rPr>
                <w:b/>
                <w:bCs/>
                <w:color w:val="000000"/>
              </w:rPr>
              <w:t xml:space="preserve">Sweetnam Time </w:t>
            </w:r>
            <w:r w:rsidR="00CC50A3">
              <w:rPr>
                <w:b/>
                <w:bCs/>
                <w:color w:val="000000"/>
              </w:rPr>
              <w:t>–</w:t>
            </w:r>
            <w:r w:rsidRPr="00C24DEA">
              <w:rPr>
                <w:b/>
                <w:bCs/>
                <w:color w:val="000000"/>
              </w:rPr>
              <w:t xml:space="preserve"> 2025</w:t>
            </w:r>
            <w:r w:rsidR="00CC50A3">
              <w:rPr>
                <w:b/>
                <w:bCs/>
                <w:color w:val="000000"/>
              </w:rPr>
              <w:t xml:space="preserve"> (23.3 hours)</w:t>
            </w:r>
          </w:p>
          <w:p w:rsidR="00B32281" w:rsidP="008F72CA" w:rsidRDefault="00B32281" w14:paraId="11B83674" w14:textId="2C1F7C8B">
            <w:pPr>
              <w:spacing w:after="120"/>
              <w:rPr>
                <w:b/>
                <w:bCs/>
                <w:color w:val="000000"/>
              </w:rPr>
            </w:pPr>
            <w:r>
              <w:rPr>
                <w:b/>
                <w:bCs/>
                <w:color w:val="000000"/>
              </w:rPr>
              <w:t>General Participation:</w:t>
            </w:r>
            <w:r w:rsidR="00A875BB">
              <w:rPr>
                <w:b/>
                <w:bCs/>
                <w:color w:val="000000"/>
              </w:rPr>
              <w:t xml:space="preserve"> 0.1</w:t>
            </w:r>
            <w:r w:rsidR="00D239B4">
              <w:rPr>
                <w:b/>
                <w:bCs/>
                <w:color w:val="000000"/>
              </w:rPr>
              <w:t xml:space="preserve"> hours</w:t>
            </w:r>
            <w:r w:rsidR="00CC50A3">
              <w:rPr>
                <w:b/>
                <w:bCs/>
                <w:color w:val="000000"/>
              </w:rPr>
              <w:t xml:space="preserve"> (</w:t>
            </w:r>
            <w:r w:rsidR="008C044D">
              <w:rPr>
                <w:b/>
                <w:bCs/>
                <w:color w:val="000000"/>
              </w:rPr>
              <w:t>&lt;1%)</w:t>
            </w:r>
          </w:p>
          <w:p w:rsidR="00D80FFD" w:rsidP="008F72CA" w:rsidRDefault="00D80FFD" w14:paraId="4A04DEF3" w14:textId="27DEDF0B">
            <w:pPr>
              <w:spacing w:after="120"/>
              <w:rPr>
                <w:b/>
                <w:bCs/>
                <w:color w:val="000000"/>
              </w:rPr>
            </w:pPr>
            <w:r>
              <w:rPr>
                <w:b/>
                <w:bCs/>
                <w:color w:val="000000"/>
              </w:rPr>
              <w:t>Implementation WG:</w:t>
            </w:r>
            <w:r w:rsidR="00D239B4">
              <w:rPr>
                <w:b/>
                <w:bCs/>
                <w:color w:val="000000"/>
              </w:rPr>
              <w:t xml:space="preserve"> 21.3 hours</w:t>
            </w:r>
            <w:r w:rsidR="008C044D">
              <w:rPr>
                <w:b/>
                <w:bCs/>
                <w:color w:val="000000"/>
              </w:rPr>
              <w:t xml:space="preserve"> (91%)</w:t>
            </w:r>
          </w:p>
          <w:p w:rsidR="00BA1DB4" w:rsidP="008F72CA" w:rsidRDefault="00BA1DB4" w14:paraId="239319B4" w14:textId="7149661A">
            <w:pPr>
              <w:spacing w:after="120"/>
              <w:rPr>
                <w:b/>
                <w:bCs/>
                <w:color w:val="000000"/>
              </w:rPr>
            </w:pPr>
            <w:r>
              <w:rPr>
                <w:b/>
                <w:bCs/>
                <w:color w:val="000000"/>
              </w:rPr>
              <w:t>PD:</w:t>
            </w:r>
            <w:r w:rsidR="00043BEF">
              <w:rPr>
                <w:b/>
                <w:bCs/>
                <w:color w:val="000000"/>
              </w:rPr>
              <w:t xml:space="preserve"> 1.5 hours</w:t>
            </w:r>
            <w:r w:rsidR="008C044D">
              <w:rPr>
                <w:b/>
                <w:bCs/>
                <w:color w:val="000000"/>
              </w:rPr>
              <w:t xml:space="preserve"> (</w:t>
            </w:r>
            <w:r w:rsidR="00FB2686">
              <w:rPr>
                <w:b/>
                <w:bCs/>
                <w:color w:val="000000"/>
              </w:rPr>
              <w:t>6%)</w:t>
            </w:r>
          </w:p>
          <w:p w:rsidR="009E2C93" w:rsidP="008F72CA" w:rsidRDefault="00925EB3" w14:paraId="06DE611A" w14:textId="539AB61D">
            <w:pPr>
              <w:spacing w:after="120"/>
              <w:rPr>
                <w:b/>
                <w:bCs/>
                <w:color w:val="000000"/>
              </w:rPr>
            </w:pPr>
            <w:r>
              <w:rPr>
                <w:b/>
                <w:bCs/>
                <w:color w:val="000000"/>
              </w:rPr>
              <w:t>Rehearing:</w:t>
            </w:r>
            <w:r w:rsidR="00043BEF">
              <w:rPr>
                <w:b/>
                <w:bCs/>
                <w:color w:val="000000"/>
              </w:rPr>
              <w:t xml:space="preserve"> 0.4 hours</w:t>
            </w:r>
            <w:r w:rsidR="00FB2686">
              <w:rPr>
                <w:b/>
                <w:bCs/>
                <w:color w:val="000000"/>
              </w:rPr>
              <w:t xml:space="preserve"> (2%)</w:t>
            </w:r>
          </w:p>
          <w:p w:rsidR="009E2C93" w:rsidP="008F72CA" w:rsidRDefault="009E2C93" w14:paraId="6FDC36BF" w14:textId="20ECA05D">
            <w:pPr>
              <w:spacing w:after="120"/>
              <w:jc w:val="center"/>
              <w:rPr>
                <w:b/>
                <w:bCs/>
                <w:color w:val="000000"/>
              </w:rPr>
            </w:pPr>
            <w:r>
              <w:rPr>
                <w:b/>
                <w:bCs/>
                <w:color w:val="000000"/>
              </w:rPr>
              <w:t>Woodford Time – 2025</w:t>
            </w:r>
            <w:r w:rsidR="00605AA3">
              <w:rPr>
                <w:b/>
                <w:bCs/>
                <w:color w:val="000000"/>
              </w:rPr>
              <w:t xml:space="preserve"> (2.0 hours)</w:t>
            </w:r>
          </w:p>
          <w:p w:rsidRPr="008F72CA" w:rsidR="00691528" w:rsidP="008F72CA" w:rsidRDefault="009E2C93" w14:paraId="3285939A" w14:textId="30D0C177">
            <w:pPr>
              <w:spacing w:after="120"/>
              <w:rPr>
                <w:b/>
                <w:bCs/>
                <w:color w:val="000000"/>
              </w:rPr>
            </w:pPr>
            <w:r>
              <w:rPr>
                <w:b/>
                <w:bCs/>
                <w:color w:val="000000"/>
              </w:rPr>
              <w:t xml:space="preserve">Implementation WG: </w:t>
            </w:r>
            <w:r w:rsidR="00E949CA">
              <w:rPr>
                <w:b/>
                <w:bCs/>
                <w:color w:val="000000"/>
              </w:rPr>
              <w:t>2.0 hours</w:t>
            </w:r>
            <w:r w:rsidR="00605AA3">
              <w:rPr>
                <w:b/>
                <w:bCs/>
                <w:color w:val="000000"/>
              </w:rPr>
              <w:t xml:space="preserve"> (100%)</w:t>
            </w:r>
          </w:p>
        </w:tc>
        <w:tc>
          <w:tcPr>
            <w:tcW w:w="2250" w:type="dxa"/>
          </w:tcPr>
          <w:p w:rsidR="00026E68" w:rsidP="008F72CA" w:rsidRDefault="005D1290" w14:paraId="038B5FBC" w14:textId="145BCDA3">
            <w:pPr>
              <w:spacing w:after="120"/>
              <w:rPr>
                <w:color w:val="000000"/>
              </w:rPr>
            </w:pPr>
            <w:r>
              <w:rPr>
                <w:color w:val="000000"/>
              </w:rPr>
              <w:lastRenderedPageBreak/>
              <w:t>Noted</w:t>
            </w:r>
            <w:r w:rsidR="003135DE">
              <w:rPr>
                <w:color w:val="000000"/>
              </w:rPr>
              <w:t>, totals 100%</w:t>
            </w:r>
          </w:p>
          <w:p w:rsidRPr="007F620E" w:rsidR="00026E68" w:rsidP="007870B7" w:rsidRDefault="00026E68" w14:paraId="497C4799" w14:textId="2A090B45">
            <w:pPr>
              <w:tabs>
                <w:tab w:val="left" w:pos="360"/>
              </w:tabs>
              <w:rPr>
                <w:color w:val="000000"/>
              </w:rPr>
            </w:pPr>
            <w:r w:rsidRPr="00D36071">
              <w:rPr>
                <w:color w:val="000000"/>
              </w:rPr>
              <w:t>CforAT’s claimed implementation-related work conducted pursuant to D.24-05-028 falls within scope of this proceeding. The Commission finds that such efforts</w:t>
            </w:r>
            <w:r>
              <w:rPr>
                <w:color w:val="000000"/>
              </w:rPr>
              <w:t>, including CforAT’s claimed RTP work, encompassing both Track B related and earlier RTP working group participation,</w:t>
            </w:r>
            <w:r w:rsidRPr="00D36071">
              <w:rPr>
                <w:color w:val="000000"/>
              </w:rPr>
              <w:t xml:space="preserve"> are properly considered here and are compensable to the extent they reflect a substantial contribution and are reasonable and non-duplicative.</w:t>
            </w:r>
          </w:p>
        </w:tc>
      </w:tr>
    </w:tbl>
    <w:p w:rsidRPr="008F72CA" w:rsidR="00A92D0B" w:rsidP="00CF6D76" w:rsidRDefault="00A92D0B" w14:paraId="710BC7D6" w14:textId="77777777">
      <w:pPr>
        <w:keepNext/>
        <w:numPr>
          <w:ilvl w:val="0"/>
          <w:numId w:val="9"/>
        </w:numPr>
        <w:spacing w:before="240" w:line="360" w:lineRule="auto"/>
        <w:rPr>
          <w:rFonts w:ascii="Arial" w:hAnsi="Arial" w:cs="Arial"/>
          <w:b/>
          <w:color w:val="000000"/>
          <w:sz w:val="26"/>
          <w:szCs w:val="26"/>
        </w:rPr>
      </w:pPr>
      <w:r w:rsidRPr="008F72CA">
        <w:rPr>
          <w:rFonts w:ascii="Arial" w:hAnsi="Arial" w:cs="Arial"/>
          <w:b/>
          <w:color w:val="000000"/>
          <w:sz w:val="26"/>
          <w:szCs w:val="26"/>
        </w:rPr>
        <w:t>Specific Claim</w:t>
      </w:r>
      <w:r w:rsidRPr="008F72CA" w:rsidR="00C02649">
        <w:rPr>
          <w:rFonts w:ascii="Arial" w:hAnsi="Arial" w:cs="Arial"/>
          <w:b/>
          <w:color w:val="000000"/>
          <w:sz w:val="26"/>
          <w:szCs w:val="26"/>
        </w:rPr>
        <w:t>:</w:t>
      </w:r>
      <w:r w:rsidRPr="008F72CA" w:rsidR="00D075B1">
        <w:rPr>
          <w:rFonts w:ascii="Arial" w:hAnsi="Arial" w:cs="Arial"/>
          <w:b/>
          <w:color w:val="000000"/>
          <w:sz w:val="26"/>
          <w:szCs w:val="26"/>
        </w:rPr>
        <w:t>*</w:t>
      </w:r>
    </w:p>
    <w:tbl>
      <w:tblPr>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9"/>
        <w:gridCol w:w="746"/>
        <w:gridCol w:w="630"/>
        <w:gridCol w:w="270"/>
        <w:gridCol w:w="990"/>
        <w:gridCol w:w="1530"/>
        <w:gridCol w:w="1170"/>
        <w:gridCol w:w="810"/>
        <w:gridCol w:w="450"/>
        <w:gridCol w:w="1260"/>
        <w:gridCol w:w="1350"/>
      </w:tblGrid>
      <w:tr w:rsidRPr="007F620E" w:rsidR="00A92D0B" w:rsidTr="001F3B2F" w14:paraId="780664A2" w14:textId="77777777">
        <w:trPr>
          <w:tblHeader/>
          <w:jc w:val="center"/>
        </w:trPr>
        <w:tc>
          <w:tcPr>
            <w:tcW w:w="6655" w:type="dxa"/>
            <w:gridSpan w:val="7"/>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870" w:type="dxa"/>
            <w:gridSpan w:val="4"/>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1F3B2F" w14:paraId="0F5B6CAA" w14:textId="77777777">
        <w:trPr>
          <w:jc w:val="center"/>
        </w:trPr>
        <w:tc>
          <w:tcPr>
            <w:tcW w:w="10525" w:type="dxa"/>
            <w:gridSpan w:val="11"/>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1F3B2F" w14:paraId="5A70C962" w14:textId="77777777">
        <w:trPr>
          <w:jc w:val="center"/>
        </w:trPr>
        <w:tc>
          <w:tcPr>
            <w:tcW w:w="131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746"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900"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9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530" w:type="dxa"/>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170" w:type="dxa"/>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1260" w:type="dxa"/>
            <w:gridSpan w:val="2"/>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260"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350"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C16710" w:rsidTr="001F3B2F" w14:paraId="1BAFD897" w14:textId="77777777">
        <w:trPr>
          <w:jc w:val="center"/>
        </w:trPr>
        <w:tc>
          <w:tcPr>
            <w:tcW w:w="1319" w:type="dxa"/>
          </w:tcPr>
          <w:p w:rsidRPr="009926F2" w:rsidR="00C16710" w:rsidP="009926F2" w:rsidRDefault="00C16710" w14:paraId="30BE0FF1" w14:textId="71151474">
            <w:pPr>
              <w:spacing w:before="60" w:after="60"/>
              <w:ind w:left="-30"/>
              <w:rPr>
                <w:color w:val="000000"/>
                <w:sz w:val="23"/>
                <w:szCs w:val="23"/>
              </w:rPr>
            </w:pPr>
            <w:r w:rsidRPr="009926F2">
              <w:rPr>
                <w:color w:val="000000"/>
                <w:sz w:val="23"/>
                <w:szCs w:val="23"/>
              </w:rPr>
              <w:t>Melissa W. Kasnitz</w:t>
            </w:r>
          </w:p>
        </w:tc>
        <w:tc>
          <w:tcPr>
            <w:tcW w:w="746" w:type="dxa"/>
          </w:tcPr>
          <w:p w:rsidRPr="009926F2" w:rsidR="00C16710" w:rsidP="009926F2" w:rsidRDefault="00C16710" w14:paraId="06766107" w14:textId="78F5E4A2">
            <w:pPr>
              <w:spacing w:before="60" w:after="60"/>
              <w:ind w:left="-30"/>
              <w:rPr>
                <w:color w:val="000000"/>
                <w:sz w:val="23"/>
                <w:szCs w:val="23"/>
              </w:rPr>
            </w:pPr>
            <w:r w:rsidRPr="009926F2">
              <w:rPr>
                <w:color w:val="000000"/>
                <w:sz w:val="23"/>
                <w:szCs w:val="23"/>
              </w:rPr>
              <w:t>2022</w:t>
            </w:r>
          </w:p>
        </w:tc>
        <w:tc>
          <w:tcPr>
            <w:tcW w:w="900" w:type="dxa"/>
            <w:gridSpan w:val="2"/>
          </w:tcPr>
          <w:p w:rsidRPr="009926F2" w:rsidR="00C16710" w:rsidP="001F3B2F" w:rsidRDefault="00C16710" w14:paraId="0675002B" w14:textId="66D95E32">
            <w:pPr>
              <w:spacing w:before="60" w:after="60"/>
              <w:ind w:left="-39" w:right="-105"/>
              <w:rPr>
                <w:color w:val="000000"/>
                <w:sz w:val="23"/>
                <w:szCs w:val="23"/>
              </w:rPr>
            </w:pPr>
            <w:r w:rsidRPr="009926F2">
              <w:rPr>
                <w:color w:val="000000"/>
                <w:sz w:val="23"/>
                <w:szCs w:val="23"/>
              </w:rPr>
              <w:t>2.6</w:t>
            </w:r>
          </w:p>
        </w:tc>
        <w:tc>
          <w:tcPr>
            <w:tcW w:w="990" w:type="dxa"/>
          </w:tcPr>
          <w:p w:rsidRPr="009926F2" w:rsidR="00C16710" w:rsidP="009926F2" w:rsidRDefault="00C16710" w14:paraId="5194350E" w14:textId="6405040C">
            <w:pPr>
              <w:spacing w:before="60" w:after="60"/>
              <w:ind w:left="-30"/>
              <w:rPr>
                <w:color w:val="000000"/>
                <w:sz w:val="23"/>
                <w:szCs w:val="23"/>
              </w:rPr>
            </w:pPr>
            <w:r w:rsidRPr="009926F2">
              <w:rPr>
                <w:color w:val="000000"/>
                <w:sz w:val="23"/>
                <w:szCs w:val="23"/>
              </w:rPr>
              <w:t>$690</w:t>
            </w:r>
          </w:p>
        </w:tc>
        <w:tc>
          <w:tcPr>
            <w:tcW w:w="1530" w:type="dxa"/>
            <w:tcBorders>
              <w:right w:val="single" w:color="auto" w:sz="4" w:space="0"/>
            </w:tcBorders>
          </w:tcPr>
          <w:p w:rsidRPr="009926F2" w:rsidR="00C16710" w:rsidP="001F3B2F" w:rsidRDefault="00C16710" w14:paraId="3DC44635" w14:textId="1F73D48B">
            <w:pPr>
              <w:spacing w:before="60" w:after="60"/>
              <w:ind w:left="-104"/>
              <w:jc w:val="center"/>
              <w:rPr>
                <w:color w:val="000000"/>
                <w:sz w:val="23"/>
                <w:szCs w:val="23"/>
              </w:rPr>
            </w:pPr>
            <w:r w:rsidRPr="009926F2">
              <w:rPr>
                <w:color w:val="000000"/>
                <w:sz w:val="23"/>
                <w:szCs w:val="23"/>
              </w:rPr>
              <w:t>D.23-03-030</w:t>
            </w:r>
          </w:p>
        </w:tc>
        <w:tc>
          <w:tcPr>
            <w:tcW w:w="1170" w:type="dxa"/>
            <w:tcBorders>
              <w:top w:val="single" w:color="auto" w:sz="4" w:space="0"/>
              <w:left w:val="single" w:color="auto" w:sz="4" w:space="0"/>
              <w:bottom w:val="single" w:color="auto" w:sz="4" w:space="0"/>
              <w:right w:val="single" w:color="auto" w:sz="24" w:space="0"/>
            </w:tcBorders>
          </w:tcPr>
          <w:p w:rsidRPr="009926F2" w:rsidR="00C16710" w:rsidP="009926F2" w:rsidRDefault="00C16710" w14:paraId="2DC63D37" w14:textId="3CCF1FF9">
            <w:pPr>
              <w:spacing w:before="60" w:after="60"/>
              <w:ind w:left="-14"/>
              <w:rPr>
                <w:color w:val="000000"/>
                <w:sz w:val="23"/>
                <w:szCs w:val="23"/>
              </w:rPr>
            </w:pPr>
            <w:r w:rsidRPr="009926F2">
              <w:rPr>
                <w:color w:val="000000"/>
                <w:sz w:val="23"/>
                <w:szCs w:val="23"/>
              </w:rPr>
              <w:t>$1,764</w:t>
            </w:r>
            <w:r w:rsidRPr="009926F2" w:rsidR="00631EED">
              <w:rPr>
                <w:color w:val="000000"/>
                <w:sz w:val="23"/>
                <w:szCs w:val="23"/>
              </w:rPr>
              <w:t xml:space="preserve"> [7]</w:t>
            </w:r>
          </w:p>
        </w:tc>
        <w:tc>
          <w:tcPr>
            <w:tcW w:w="1260" w:type="dxa"/>
            <w:gridSpan w:val="2"/>
            <w:tcBorders>
              <w:left w:val="single" w:color="auto" w:sz="4" w:space="0"/>
            </w:tcBorders>
          </w:tcPr>
          <w:p w:rsidRPr="009926F2" w:rsidR="00C16710" w:rsidP="009926F2" w:rsidRDefault="00FC45E2" w14:paraId="29273848" w14:textId="7E53915E">
            <w:pPr>
              <w:spacing w:before="60" w:after="60"/>
              <w:ind w:left="-15"/>
              <w:rPr>
                <w:color w:val="000000"/>
                <w:sz w:val="23"/>
                <w:szCs w:val="23"/>
              </w:rPr>
            </w:pPr>
            <w:r w:rsidRPr="009926F2">
              <w:rPr>
                <w:color w:val="000000"/>
                <w:sz w:val="23"/>
                <w:szCs w:val="23"/>
              </w:rPr>
              <w:t xml:space="preserve">2.24 </w:t>
            </w:r>
            <w:r w:rsidRPr="009926F2" w:rsidR="00631EED">
              <w:rPr>
                <w:color w:val="000000"/>
                <w:sz w:val="23"/>
                <w:szCs w:val="23"/>
              </w:rPr>
              <w:t>[5]</w:t>
            </w:r>
          </w:p>
        </w:tc>
        <w:tc>
          <w:tcPr>
            <w:tcW w:w="1260" w:type="dxa"/>
          </w:tcPr>
          <w:p w:rsidRPr="009926F2" w:rsidR="00653E28" w:rsidP="001F3B2F" w:rsidRDefault="00C16710" w14:paraId="60A6D8B4" w14:textId="0F47F31E">
            <w:pPr>
              <w:spacing w:before="60" w:after="60"/>
              <w:ind w:left="-14"/>
              <w:rPr>
                <w:color w:val="000000"/>
                <w:sz w:val="23"/>
                <w:szCs w:val="23"/>
              </w:rPr>
            </w:pPr>
            <w:r w:rsidRPr="009926F2">
              <w:rPr>
                <w:color w:val="000000"/>
                <w:sz w:val="23"/>
                <w:szCs w:val="23"/>
              </w:rPr>
              <w:t>$690</w:t>
            </w:r>
            <w:r w:rsidRPr="009926F2" w:rsidR="00C83B98">
              <w:rPr>
                <w:color w:val="000000"/>
                <w:sz w:val="23"/>
                <w:szCs w:val="23"/>
              </w:rPr>
              <w:t>.00</w:t>
            </w:r>
          </w:p>
        </w:tc>
        <w:tc>
          <w:tcPr>
            <w:tcW w:w="1350" w:type="dxa"/>
          </w:tcPr>
          <w:p w:rsidRPr="007F620E" w:rsidR="00C16710" w:rsidP="000C2420" w:rsidRDefault="00FC45E2" w14:paraId="7BD45438" w14:textId="065FA87F">
            <w:pPr>
              <w:spacing w:before="60" w:after="60"/>
              <w:rPr>
                <w:color w:val="000000"/>
              </w:rPr>
            </w:pPr>
            <w:r>
              <w:rPr>
                <w:color w:val="000000"/>
              </w:rPr>
              <w:t>$1,545.60</w:t>
            </w:r>
          </w:p>
        </w:tc>
      </w:tr>
      <w:tr w:rsidRPr="007F620E" w:rsidR="00C16710" w:rsidTr="001F3B2F" w14:paraId="1A370291" w14:textId="77777777">
        <w:trPr>
          <w:jc w:val="center"/>
        </w:trPr>
        <w:tc>
          <w:tcPr>
            <w:tcW w:w="1319" w:type="dxa"/>
          </w:tcPr>
          <w:p w:rsidRPr="009926F2" w:rsidR="00C16710" w:rsidP="009926F2" w:rsidRDefault="00C16710" w14:paraId="506B0918" w14:textId="316C9F53">
            <w:pPr>
              <w:spacing w:before="60" w:after="60"/>
              <w:ind w:left="-30"/>
              <w:rPr>
                <w:color w:val="000000"/>
                <w:sz w:val="23"/>
                <w:szCs w:val="23"/>
              </w:rPr>
            </w:pPr>
            <w:r w:rsidRPr="009926F2">
              <w:rPr>
                <w:color w:val="000000"/>
                <w:sz w:val="23"/>
                <w:szCs w:val="23"/>
              </w:rPr>
              <w:t>Melissa W. Kasnitz</w:t>
            </w:r>
          </w:p>
        </w:tc>
        <w:tc>
          <w:tcPr>
            <w:tcW w:w="746" w:type="dxa"/>
          </w:tcPr>
          <w:p w:rsidRPr="009926F2" w:rsidR="00C16710" w:rsidP="009926F2" w:rsidRDefault="00C16710" w14:paraId="3548B097" w14:textId="36BD80D2">
            <w:pPr>
              <w:spacing w:before="60" w:after="60"/>
              <w:ind w:left="-30"/>
              <w:rPr>
                <w:color w:val="000000"/>
                <w:sz w:val="23"/>
                <w:szCs w:val="23"/>
              </w:rPr>
            </w:pPr>
            <w:r w:rsidRPr="009926F2">
              <w:rPr>
                <w:color w:val="000000"/>
                <w:sz w:val="23"/>
                <w:szCs w:val="23"/>
              </w:rPr>
              <w:t>2023</w:t>
            </w:r>
          </w:p>
        </w:tc>
        <w:tc>
          <w:tcPr>
            <w:tcW w:w="900" w:type="dxa"/>
            <w:gridSpan w:val="2"/>
          </w:tcPr>
          <w:p w:rsidRPr="009926F2" w:rsidR="00C16710" w:rsidP="001F3B2F" w:rsidRDefault="00C16710" w14:paraId="40AB66A6" w14:textId="19091B55">
            <w:pPr>
              <w:spacing w:before="60" w:after="60"/>
              <w:ind w:left="-39" w:right="-105"/>
              <w:rPr>
                <w:color w:val="000000"/>
                <w:sz w:val="23"/>
                <w:szCs w:val="23"/>
              </w:rPr>
            </w:pPr>
            <w:r w:rsidRPr="009926F2">
              <w:rPr>
                <w:color w:val="000000"/>
                <w:sz w:val="23"/>
                <w:szCs w:val="23"/>
              </w:rPr>
              <w:t>40.6</w:t>
            </w:r>
          </w:p>
        </w:tc>
        <w:tc>
          <w:tcPr>
            <w:tcW w:w="990" w:type="dxa"/>
          </w:tcPr>
          <w:p w:rsidRPr="009926F2" w:rsidR="00C16710" w:rsidP="009926F2" w:rsidRDefault="00C16710" w14:paraId="0A8DC753" w14:textId="69A58BBD">
            <w:pPr>
              <w:spacing w:before="60" w:after="60"/>
              <w:ind w:left="-30"/>
              <w:rPr>
                <w:color w:val="000000"/>
                <w:sz w:val="23"/>
                <w:szCs w:val="23"/>
              </w:rPr>
            </w:pPr>
            <w:r w:rsidRPr="009926F2">
              <w:rPr>
                <w:color w:val="000000"/>
                <w:sz w:val="23"/>
                <w:szCs w:val="23"/>
              </w:rPr>
              <w:t>$715</w:t>
            </w:r>
          </w:p>
        </w:tc>
        <w:tc>
          <w:tcPr>
            <w:tcW w:w="1530" w:type="dxa"/>
            <w:tcBorders>
              <w:right w:val="single" w:color="auto" w:sz="4" w:space="0"/>
            </w:tcBorders>
          </w:tcPr>
          <w:p w:rsidRPr="009926F2" w:rsidR="00C16710" w:rsidP="001F3B2F" w:rsidRDefault="00C16710" w14:paraId="7C246688" w14:textId="4CEBA193">
            <w:pPr>
              <w:spacing w:before="60" w:after="60"/>
              <w:ind w:left="-104"/>
              <w:jc w:val="center"/>
              <w:rPr>
                <w:color w:val="000000"/>
                <w:sz w:val="23"/>
                <w:szCs w:val="23"/>
              </w:rPr>
            </w:pPr>
            <w:r w:rsidRPr="009926F2">
              <w:rPr>
                <w:color w:val="000000"/>
                <w:sz w:val="23"/>
                <w:szCs w:val="23"/>
              </w:rPr>
              <w:t>D.24-06-018</w:t>
            </w:r>
          </w:p>
        </w:tc>
        <w:tc>
          <w:tcPr>
            <w:tcW w:w="1170" w:type="dxa"/>
            <w:tcBorders>
              <w:top w:val="single" w:color="auto" w:sz="4" w:space="0"/>
              <w:left w:val="single" w:color="auto" w:sz="4" w:space="0"/>
              <w:bottom w:val="single" w:color="auto" w:sz="4" w:space="0"/>
              <w:right w:val="single" w:color="auto" w:sz="24" w:space="0"/>
            </w:tcBorders>
          </w:tcPr>
          <w:p w:rsidRPr="009926F2" w:rsidR="00C16710" w:rsidP="009926F2" w:rsidRDefault="00C16710" w14:paraId="1B7E7621" w14:textId="710A687F">
            <w:pPr>
              <w:spacing w:before="60" w:after="60"/>
              <w:ind w:left="-14"/>
              <w:rPr>
                <w:color w:val="000000"/>
                <w:sz w:val="23"/>
                <w:szCs w:val="23"/>
              </w:rPr>
            </w:pPr>
            <w:r w:rsidRPr="009926F2">
              <w:rPr>
                <w:color w:val="000000"/>
                <w:sz w:val="23"/>
                <w:szCs w:val="23"/>
              </w:rPr>
              <w:t>$29,029</w:t>
            </w:r>
          </w:p>
        </w:tc>
        <w:tc>
          <w:tcPr>
            <w:tcW w:w="1260" w:type="dxa"/>
            <w:gridSpan w:val="2"/>
            <w:tcBorders>
              <w:left w:val="single" w:color="auto" w:sz="4" w:space="0"/>
            </w:tcBorders>
          </w:tcPr>
          <w:p w:rsidRPr="009926F2" w:rsidR="00C16710" w:rsidP="009926F2" w:rsidRDefault="00FC45E2" w14:paraId="5D869A3E" w14:textId="08EAB23E">
            <w:pPr>
              <w:spacing w:before="60" w:after="60"/>
              <w:ind w:left="-15"/>
              <w:rPr>
                <w:color w:val="000000"/>
                <w:sz w:val="23"/>
                <w:szCs w:val="23"/>
              </w:rPr>
            </w:pPr>
            <w:r w:rsidRPr="009926F2">
              <w:rPr>
                <w:color w:val="000000"/>
                <w:sz w:val="23"/>
                <w:szCs w:val="23"/>
              </w:rPr>
              <w:t>35.30</w:t>
            </w:r>
            <w:r w:rsidRPr="009926F2" w:rsidR="00E23FF9">
              <w:rPr>
                <w:color w:val="000000"/>
                <w:sz w:val="23"/>
                <w:szCs w:val="23"/>
              </w:rPr>
              <w:t xml:space="preserve"> [5]</w:t>
            </w:r>
          </w:p>
        </w:tc>
        <w:tc>
          <w:tcPr>
            <w:tcW w:w="1260" w:type="dxa"/>
          </w:tcPr>
          <w:p w:rsidRPr="009926F2" w:rsidR="00653E28" w:rsidP="001F3B2F" w:rsidRDefault="00C16710" w14:paraId="0FD81697" w14:textId="6A514694">
            <w:pPr>
              <w:spacing w:before="60" w:after="60"/>
              <w:ind w:left="-14"/>
              <w:rPr>
                <w:color w:val="000000"/>
                <w:sz w:val="23"/>
                <w:szCs w:val="23"/>
              </w:rPr>
            </w:pPr>
            <w:r w:rsidRPr="009926F2">
              <w:rPr>
                <w:color w:val="000000"/>
                <w:sz w:val="23"/>
                <w:szCs w:val="23"/>
              </w:rPr>
              <w:t>$715</w:t>
            </w:r>
            <w:r w:rsidRPr="009926F2" w:rsidR="00C83B98">
              <w:rPr>
                <w:color w:val="000000"/>
                <w:sz w:val="23"/>
                <w:szCs w:val="23"/>
              </w:rPr>
              <w:t>.00</w:t>
            </w:r>
          </w:p>
        </w:tc>
        <w:tc>
          <w:tcPr>
            <w:tcW w:w="1350" w:type="dxa"/>
          </w:tcPr>
          <w:p w:rsidRPr="007F620E" w:rsidR="00C16710" w:rsidP="000C2420" w:rsidRDefault="00FC45E2" w14:paraId="6FE75F11" w14:textId="77382014">
            <w:pPr>
              <w:spacing w:before="60" w:after="60"/>
              <w:rPr>
                <w:color w:val="000000"/>
              </w:rPr>
            </w:pPr>
            <w:r>
              <w:rPr>
                <w:color w:val="000000"/>
              </w:rPr>
              <w:t>$25,239.50</w:t>
            </w:r>
          </w:p>
        </w:tc>
      </w:tr>
      <w:tr w:rsidRPr="007F620E" w:rsidR="00C16710" w:rsidTr="001F3B2F" w14:paraId="57ECC272" w14:textId="77777777">
        <w:trPr>
          <w:jc w:val="center"/>
        </w:trPr>
        <w:tc>
          <w:tcPr>
            <w:tcW w:w="1319" w:type="dxa"/>
          </w:tcPr>
          <w:p w:rsidRPr="009926F2" w:rsidR="00C16710" w:rsidP="009926F2" w:rsidRDefault="00C16710" w14:paraId="44437E73" w14:textId="69121309">
            <w:pPr>
              <w:spacing w:before="60" w:after="60"/>
              <w:ind w:left="-30"/>
              <w:rPr>
                <w:color w:val="000000"/>
                <w:sz w:val="23"/>
                <w:szCs w:val="23"/>
              </w:rPr>
            </w:pPr>
            <w:r w:rsidRPr="009926F2">
              <w:rPr>
                <w:color w:val="000000"/>
                <w:sz w:val="23"/>
                <w:szCs w:val="23"/>
              </w:rPr>
              <w:t>Melissa W. Kasnitz</w:t>
            </w:r>
          </w:p>
        </w:tc>
        <w:tc>
          <w:tcPr>
            <w:tcW w:w="746" w:type="dxa"/>
          </w:tcPr>
          <w:p w:rsidRPr="009926F2" w:rsidR="00C16710" w:rsidP="009926F2" w:rsidRDefault="00C16710" w14:paraId="6C56D818" w14:textId="02EC8896">
            <w:pPr>
              <w:spacing w:before="60" w:after="60"/>
              <w:ind w:left="-30"/>
              <w:rPr>
                <w:color w:val="000000"/>
                <w:sz w:val="23"/>
                <w:szCs w:val="23"/>
              </w:rPr>
            </w:pPr>
            <w:r w:rsidRPr="009926F2">
              <w:rPr>
                <w:color w:val="000000"/>
                <w:sz w:val="23"/>
                <w:szCs w:val="23"/>
              </w:rPr>
              <w:t>2024</w:t>
            </w:r>
          </w:p>
        </w:tc>
        <w:tc>
          <w:tcPr>
            <w:tcW w:w="900" w:type="dxa"/>
            <w:gridSpan w:val="2"/>
          </w:tcPr>
          <w:p w:rsidRPr="009926F2" w:rsidR="00C16710" w:rsidP="001F3B2F" w:rsidRDefault="00C16710" w14:paraId="5AACF426" w14:textId="41ED5029">
            <w:pPr>
              <w:spacing w:before="60" w:after="60"/>
              <w:ind w:left="-39" w:right="-105"/>
              <w:rPr>
                <w:color w:val="000000"/>
                <w:sz w:val="23"/>
                <w:szCs w:val="23"/>
              </w:rPr>
            </w:pPr>
            <w:r w:rsidRPr="009926F2">
              <w:rPr>
                <w:color w:val="000000"/>
                <w:sz w:val="23"/>
                <w:szCs w:val="23"/>
              </w:rPr>
              <w:t>22</w:t>
            </w:r>
          </w:p>
        </w:tc>
        <w:tc>
          <w:tcPr>
            <w:tcW w:w="990" w:type="dxa"/>
          </w:tcPr>
          <w:p w:rsidRPr="009926F2" w:rsidR="00C16710" w:rsidP="009926F2" w:rsidRDefault="00C16710" w14:paraId="381F3125" w14:textId="5863E462">
            <w:pPr>
              <w:spacing w:before="60" w:after="60"/>
              <w:ind w:left="-30"/>
              <w:rPr>
                <w:color w:val="000000"/>
                <w:sz w:val="23"/>
                <w:szCs w:val="23"/>
              </w:rPr>
            </w:pPr>
            <w:r w:rsidRPr="009926F2">
              <w:rPr>
                <w:color w:val="000000"/>
                <w:sz w:val="23"/>
                <w:szCs w:val="23"/>
              </w:rPr>
              <w:t>$735</w:t>
            </w:r>
          </w:p>
        </w:tc>
        <w:tc>
          <w:tcPr>
            <w:tcW w:w="1530" w:type="dxa"/>
            <w:tcBorders>
              <w:right w:val="single" w:color="auto" w:sz="4" w:space="0"/>
            </w:tcBorders>
          </w:tcPr>
          <w:p w:rsidRPr="009926F2" w:rsidR="00C16710" w:rsidP="001F3B2F" w:rsidRDefault="00C16710" w14:paraId="1FAD1C07" w14:textId="3DD6FA88">
            <w:pPr>
              <w:spacing w:before="60" w:after="60"/>
              <w:ind w:left="-104"/>
              <w:jc w:val="center"/>
              <w:rPr>
                <w:color w:val="000000"/>
                <w:sz w:val="23"/>
                <w:szCs w:val="23"/>
              </w:rPr>
            </w:pPr>
            <w:r w:rsidRPr="009926F2">
              <w:rPr>
                <w:color w:val="000000"/>
                <w:sz w:val="23"/>
                <w:szCs w:val="23"/>
              </w:rPr>
              <w:t>D.24-10-028</w:t>
            </w:r>
          </w:p>
        </w:tc>
        <w:tc>
          <w:tcPr>
            <w:tcW w:w="1170" w:type="dxa"/>
            <w:tcBorders>
              <w:top w:val="single" w:color="auto" w:sz="4" w:space="0"/>
              <w:left w:val="single" w:color="auto" w:sz="4" w:space="0"/>
              <w:bottom w:val="single" w:color="auto" w:sz="4" w:space="0"/>
              <w:right w:val="single" w:color="auto" w:sz="24" w:space="0"/>
            </w:tcBorders>
          </w:tcPr>
          <w:p w:rsidRPr="009926F2" w:rsidR="00C16710" w:rsidP="009926F2" w:rsidRDefault="00C16710" w14:paraId="4F190C3D" w14:textId="3757D68F">
            <w:pPr>
              <w:spacing w:before="60" w:after="60"/>
              <w:ind w:left="-14"/>
              <w:rPr>
                <w:color w:val="000000"/>
                <w:sz w:val="23"/>
                <w:szCs w:val="23"/>
              </w:rPr>
            </w:pPr>
            <w:r w:rsidRPr="009926F2">
              <w:rPr>
                <w:color w:val="000000"/>
                <w:sz w:val="23"/>
                <w:szCs w:val="23"/>
              </w:rPr>
              <w:t>$16,170</w:t>
            </w:r>
          </w:p>
        </w:tc>
        <w:tc>
          <w:tcPr>
            <w:tcW w:w="1260" w:type="dxa"/>
            <w:gridSpan w:val="2"/>
            <w:tcBorders>
              <w:left w:val="single" w:color="auto" w:sz="4" w:space="0"/>
            </w:tcBorders>
          </w:tcPr>
          <w:p w:rsidRPr="009926F2" w:rsidR="00C16710" w:rsidP="001F3B2F" w:rsidRDefault="00E37FF7" w14:paraId="0EF755E2" w14:textId="258EFB16">
            <w:pPr>
              <w:spacing w:before="60" w:after="60"/>
              <w:ind w:left="-15" w:right="-105"/>
              <w:rPr>
                <w:color w:val="000000"/>
                <w:sz w:val="23"/>
                <w:szCs w:val="23"/>
              </w:rPr>
            </w:pPr>
            <w:r w:rsidRPr="009926F2">
              <w:rPr>
                <w:color w:val="000000"/>
                <w:sz w:val="23"/>
                <w:szCs w:val="23"/>
              </w:rPr>
              <w:t xml:space="preserve">21.34 </w:t>
            </w:r>
            <w:r w:rsidRPr="009926F2" w:rsidR="00E23FF9">
              <w:rPr>
                <w:color w:val="000000"/>
                <w:sz w:val="23"/>
                <w:szCs w:val="23"/>
              </w:rPr>
              <w:t>[4, 5]</w:t>
            </w:r>
          </w:p>
        </w:tc>
        <w:tc>
          <w:tcPr>
            <w:tcW w:w="1260" w:type="dxa"/>
          </w:tcPr>
          <w:p w:rsidRPr="009926F2" w:rsidR="00653E28" w:rsidP="001F3B2F" w:rsidRDefault="00C16710" w14:paraId="41A66AC9" w14:textId="2013ED83">
            <w:pPr>
              <w:spacing w:before="60" w:after="60"/>
              <w:ind w:left="-14"/>
              <w:rPr>
                <w:color w:val="000000"/>
                <w:sz w:val="23"/>
                <w:szCs w:val="23"/>
              </w:rPr>
            </w:pPr>
            <w:r w:rsidRPr="009926F2">
              <w:rPr>
                <w:color w:val="000000"/>
                <w:sz w:val="23"/>
                <w:szCs w:val="23"/>
              </w:rPr>
              <w:t>$735</w:t>
            </w:r>
            <w:r w:rsidRPr="009926F2" w:rsidR="00C83B98">
              <w:rPr>
                <w:color w:val="000000"/>
                <w:sz w:val="23"/>
                <w:szCs w:val="23"/>
              </w:rPr>
              <w:t>.00</w:t>
            </w:r>
          </w:p>
        </w:tc>
        <w:tc>
          <w:tcPr>
            <w:tcW w:w="1350" w:type="dxa"/>
          </w:tcPr>
          <w:p w:rsidRPr="007F620E" w:rsidR="00C16710" w:rsidP="000C2420" w:rsidRDefault="00E37FF7" w14:paraId="285B76E4" w14:textId="2C8766B9">
            <w:pPr>
              <w:spacing w:before="60" w:after="60"/>
              <w:rPr>
                <w:color w:val="000000"/>
              </w:rPr>
            </w:pPr>
            <w:r>
              <w:rPr>
                <w:color w:val="000000"/>
              </w:rPr>
              <w:t>$15,684.90</w:t>
            </w:r>
          </w:p>
        </w:tc>
      </w:tr>
      <w:tr w:rsidRPr="007F620E" w:rsidR="00C16710" w:rsidTr="001F3B2F" w14:paraId="62E8A168" w14:textId="77777777">
        <w:trPr>
          <w:jc w:val="center"/>
        </w:trPr>
        <w:tc>
          <w:tcPr>
            <w:tcW w:w="1319" w:type="dxa"/>
          </w:tcPr>
          <w:p w:rsidRPr="009926F2" w:rsidR="00C16710" w:rsidP="009926F2" w:rsidRDefault="00C16710" w14:paraId="33EA8B38" w14:textId="120DA08C">
            <w:pPr>
              <w:spacing w:before="60" w:after="60"/>
              <w:ind w:left="-30"/>
              <w:rPr>
                <w:color w:val="000000"/>
                <w:sz w:val="23"/>
                <w:szCs w:val="23"/>
              </w:rPr>
            </w:pPr>
            <w:r w:rsidRPr="009926F2">
              <w:rPr>
                <w:color w:val="000000"/>
                <w:sz w:val="23"/>
                <w:szCs w:val="23"/>
              </w:rPr>
              <w:t>Melissa W. Kasnitz</w:t>
            </w:r>
          </w:p>
        </w:tc>
        <w:tc>
          <w:tcPr>
            <w:tcW w:w="746" w:type="dxa"/>
          </w:tcPr>
          <w:p w:rsidRPr="009926F2" w:rsidR="00C16710" w:rsidP="009926F2" w:rsidRDefault="00C16710" w14:paraId="47EBBC49" w14:textId="09D5FEA6">
            <w:pPr>
              <w:spacing w:before="60" w:after="60"/>
              <w:ind w:left="-30"/>
              <w:rPr>
                <w:color w:val="000000"/>
                <w:sz w:val="23"/>
                <w:szCs w:val="23"/>
              </w:rPr>
            </w:pPr>
            <w:r w:rsidRPr="009926F2">
              <w:rPr>
                <w:color w:val="000000"/>
                <w:sz w:val="23"/>
                <w:szCs w:val="23"/>
              </w:rPr>
              <w:t>2025</w:t>
            </w:r>
          </w:p>
        </w:tc>
        <w:tc>
          <w:tcPr>
            <w:tcW w:w="900" w:type="dxa"/>
            <w:gridSpan w:val="2"/>
          </w:tcPr>
          <w:p w:rsidRPr="009926F2" w:rsidR="00C16710" w:rsidP="001F3B2F" w:rsidRDefault="00C16710" w14:paraId="39A3074C" w14:textId="30249D0B">
            <w:pPr>
              <w:spacing w:before="60" w:after="60"/>
              <w:ind w:left="-39" w:right="-105"/>
              <w:rPr>
                <w:color w:val="000000"/>
                <w:sz w:val="23"/>
                <w:szCs w:val="23"/>
              </w:rPr>
            </w:pPr>
            <w:r w:rsidRPr="009926F2">
              <w:rPr>
                <w:color w:val="000000"/>
                <w:sz w:val="23"/>
                <w:szCs w:val="23"/>
              </w:rPr>
              <w:t>17.2</w:t>
            </w:r>
          </w:p>
        </w:tc>
        <w:tc>
          <w:tcPr>
            <w:tcW w:w="990" w:type="dxa"/>
          </w:tcPr>
          <w:p w:rsidRPr="009926F2" w:rsidR="00C16710" w:rsidP="009926F2" w:rsidRDefault="00C16710" w14:paraId="3E5BD317" w14:textId="48939B9F">
            <w:pPr>
              <w:spacing w:before="60" w:after="60"/>
              <w:ind w:left="-30"/>
              <w:rPr>
                <w:color w:val="000000"/>
                <w:sz w:val="23"/>
                <w:szCs w:val="23"/>
              </w:rPr>
            </w:pPr>
            <w:r w:rsidRPr="009926F2">
              <w:rPr>
                <w:color w:val="000000"/>
                <w:sz w:val="23"/>
                <w:szCs w:val="23"/>
              </w:rPr>
              <w:t>$755</w:t>
            </w:r>
          </w:p>
        </w:tc>
        <w:tc>
          <w:tcPr>
            <w:tcW w:w="1530" w:type="dxa"/>
            <w:tcBorders>
              <w:right w:val="single" w:color="auto" w:sz="4" w:space="0"/>
            </w:tcBorders>
          </w:tcPr>
          <w:p w:rsidRPr="009926F2" w:rsidR="00C16710" w:rsidP="001F3B2F" w:rsidRDefault="00C16710" w14:paraId="63BDE315" w14:textId="19A16720">
            <w:pPr>
              <w:spacing w:before="60" w:after="60"/>
              <w:ind w:left="-104"/>
              <w:jc w:val="center"/>
              <w:rPr>
                <w:color w:val="000000"/>
                <w:sz w:val="23"/>
                <w:szCs w:val="23"/>
              </w:rPr>
            </w:pPr>
            <w:r w:rsidRPr="009926F2">
              <w:rPr>
                <w:color w:val="000000"/>
                <w:sz w:val="23"/>
                <w:szCs w:val="23"/>
              </w:rPr>
              <w:t>See below</w:t>
            </w:r>
          </w:p>
        </w:tc>
        <w:tc>
          <w:tcPr>
            <w:tcW w:w="1170" w:type="dxa"/>
            <w:tcBorders>
              <w:top w:val="single" w:color="auto" w:sz="4" w:space="0"/>
              <w:left w:val="single" w:color="auto" w:sz="4" w:space="0"/>
              <w:bottom w:val="single" w:color="auto" w:sz="4" w:space="0"/>
              <w:right w:val="single" w:color="auto" w:sz="24" w:space="0"/>
            </w:tcBorders>
          </w:tcPr>
          <w:p w:rsidRPr="009926F2" w:rsidR="00C16710" w:rsidP="009926F2" w:rsidRDefault="00C16710" w14:paraId="06BD92A5" w14:textId="3FCF00B2">
            <w:pPr>
              <w:spacing w:before="60" w:after="60"/>
              <w:ind w:left="-14"/>
              <w:rPr>
                <w:color w:val="000000"/>
                <w:sz w:val="23"/>
                <w:szCs w:val="23"/>
              </w:rPr>
            </w:pPr>
            <w:r w:rsidRPr="009926F2">
              <w:rPr>
                <w:color w:val="000000"/>
                <w:sz w:val="23"/>
                <w:szCs w:val="23"/>
              </w:rPr>
              <w:t>$12,986</w:t>
            </w:r>
          </w:p>
        </w:tc>
        <w:tc>
          <w:tcPr>
            <w:tcW w:w="1260" w:type="dxa"/>
            <w:gridSpan w:val="2"/>
            <w:tcBorders>
              <w:left w:val="single" w:color="auto" w:sz="4" w:space="0"/>
            </w:tcBorders>
          </w:tcPr>
          <w:p w:rsidRPr="009926F2" w:rsidR="00C16710" w:rsidP="001F3B2F" w:rsidRDefault="008379FA" w14:paraId="31AF7AA4" w14:textId="57E1B97F">
            <w:pPr>
              <w:spacing w:before="60" w:after="60"/>
              <w:ind w:left="-15" w:right="-105"/>
              <w:rPr>
                <w:color w:val="000000"/>
                <w:sz w:val="23"/>
                <w:szCs w:val="23"/>
              </w:rPr>
            </w:pPr>
            <w:r w:rsidRPr="009926F2">
              <w:rPr>
                <w:color w:val="000000"/>
                <w:sz w:val="23"/>
                <w:szCs w:val="23"/>
              </w:rPr>
              <w:t xml:space="preserve">16.30 </w:t>
            </w:r>
            <w:r w:rsidRPr="009926F2" w:rsidR="00E503A8">
              <w:rPr>
                <w:color w:val="000000"/>
                <w:sz w:val="23"/>
                <w:szCs w:val="23"/>
              </w:rPr>
              <w:t>[4</w:t>
            </w:r>
            <w:r w:rsidRPr="009926F2" w:rsidR="00E23FF9">
              <w:rPr>
                <w:color w:val="000000"/>
                <w:sz w:val="23"/>
                <w:szCs w:val="23"/>
              </w:rPr>
              <w:t>, 5</w:t>
            </w:r>
            <w:r w:rsidRPr="009926F2" w:rsidR="00E503A8">
              <w:rPr>
                <w:color w:val="000000"/>
                <w:sz w:val="23"/>
                <w:szCs w:val="23"/>
              </w:rPr>
              <w:t>]</w:t>
            </w:r>
          </w:p>
        </w:tc>
        <w:tc>
          <w:tcPr>
            <w:tcW w:w="1260" w:type="dxa"/>
          </w:tcPr>
          <w:p w:rsidRPr="009926F2" w:rsidR="00653E28" w:rsidP="001F3B2F" w:rsidRDefault="00C16710" w14:paraId="3400AFFC" w14:textId="79BCEF3C">
            <w:pPr>
              <w:spacing w:before="60" w:after="60"/>
              <w:ind w:left="-14" w:right="-105"/>
              <w:rPr>
                <w:color w:val="000000"/>
                <w:sz w:val="23"/>
                <w:szCs w:val="23"/>
              </w:rPr>
            </w:pPr>
            <w:r w:rsidRPr="009926F2">
              <w:rPr>
                <w:color w:val="000000"/>
                <w:sz w:val="23"/>
                <w:szCs w:val="23"/>
              </w:rPr>
              <w:t>$755</w:t>
            </w:r>
            <w:r w:rsidRPr="009926F2" w:rsidR="00C83B98">
              <w:rPr>
                <w:color w:val="000000"/>
                <w:sz w:val="23"/>
                <w:szCs w:val="23"/>
              </w:rPr>
              <w:t>.00</w:t>
            </w:r>
            <w:r w:rsidRPr="009926F2" w:rsidR="00BF4D90">
              <w:rPr>
                <w:color w:val="000000"/>
                <w:sz w:val="23"/>
                <w:szCs w:val="23"/>
              </w:rPr>
              <w:t xml:space="preserve"> [1]</w:t>
            </w:r>
          </w:p>
        </w:tc>
        <w:tc>
          <w:tcPr>
            <w:tcW w:w="1350" w:type="dxa"/>
          </w:tcPr>
          <w:p w:rsidRPr="007F620E" w:rsidR="00C16710" w:rsidP="000C2420" w:rsidRDefault="008379FA" w14:paraId="196C1830" w14:textId="7AD919F2">
            <w:pPr>
              <w:spacing w:before="60" w:after="60"/>
              <w:rPr>
                <w:color w:val="000000"/>
              </w:rPr>
            </w:pPr>
            <w:r>
              <w:rPr>
                <w:color w:val="000000"/>
              </w:rPr>
              <w:t>$12,306.50</w:t>
            </w:r>
          </w:p>
        </w:tc>
      </w:tr>
      <w:tr w:rsidRPr="007F620E" w:rsidR="00C16710" w:rsidTr="001F3B2F" w14:paraId="5BF6A154" w14:textId="77777777">
        <w:trPr>
          <w:jc w:val="center"/>
        </w:trPr>
        <w:tc>
          <w:tcPr>
            <w:tcW w:w="1319" w:type="dxa"/>
          </w:tcPr>
          <w:p w:rsidRPr="009926F2" w:rsidR="00C16710" w:rsidP="009926F2" w:rsidRDefault="00C16710" w14:paraId="118506EC" w14:textId="0C1C8AE5">
            <w:pPr>
              <w:spacing w:before="60" w:after="60"/>
              <w:ind w:left="-30"/>
              <w:rPr>
                <w:color w:val="000000"/>
                <w:sz w:val="23"/>
                <w:szCs w:val="23"/>
              </w:rPr>
            </w:pPr>
            <w:r w:rsidRPr="009926F2">
              <w:rPr>
                <w:color w:val="000000"/>
                <w:sz w:val="23"/>
                <w:szCs w:val="23"/>
              </w:rPr>
              <w:t>Alexandra Green</w:t>
            </w:r>
          </w:p>
        </w:tc>
        <w:tc>
          <w:tcPr>
            <w:tcW w:w="746" w:type="dxa"/>
          </w:tcPr>
          <w:p w:rsidRPr="009926F2" w:rsidR="00C16710" w:rsidP="009926F2" w:rsidRDefault="00C16710" w14:paraId="3767540B" w14:textId="6C360E0D">
            <w:pPr>
              <w:spacing w:before="60" w:after="60"/>
              <w:ind w:left="-30"/>
              <w:rPr>
                <w:color w:val="000000"/>
                <w:sz w:val="23"/>
                <w:szCs w:val="23"/>
              </w:rPr>
            </w:pPr>
            <w:r w:rsidRPr="009926F2">
              <w:rPr>
                <w:color w:val="000000"/>
                <w:sz w:val="23"/>
                <w:szCs w:val="23"/>
              </w:rPr>
              <w:t xml:space="preserve">2022 </w:t>
            </w:r>
          </w:p>
        </w:tc>
        <w:tc>
          <w:tcPr>
            <w:tcW w:w="900" w:type="dxa"/>
            <w:gridSpan w:val="2"/>
          </w:tcPr>
          <w:p w:rsidRPr="009926F2" w:rsidR="00C16710" w:rsidP="001F3B2F" w:rsidRDefault="00C16710" w14:paraId="120FE857" w14:textId="6ED78148">
            <w:pPr>
              <w:spacing w:before="60" w:after="60"/>
              <w:ind w:left="-39" w:right="-105"/>
              <w:rPr>
                <w:color w:val="000000"/>
                <w:sz w:val="23"/>
                <w:szCs w:val="23"/>
              </w:rPr>
            </w:pPr>
            <w:r w:rsidRPr="009926F2">
              <w:rPr>
                <w:color w:val="000000"/>
                <w:sz w:val="23"/>
                <w:szCs w:val="23"/>
              </w:rPr>
              <w:t>1.6</w:t>
            </w:r>
          </w:p>
        </w:tc>
        <w:tc>
          <w:tcPr>
            <w:tcW w:w="990" w:type="dxa"/>
          </w:tcPr>
          <w:p w:rsidRPr="009926F2" w:rsidR="00C16710" w:rsidP="009926F2" w:rsidRDefault="00C16710" w14:paraId="075109E1" w14:textId="00CB1722">
            <w:pPr>
              <w:spacing w:before="60" w:after="60"/>
              <w:ind w:left="-30"/>
              <w:rPr>
                <w:color w:val="000000"/>
                <w:sz w:val="23"/>
                <w:szCs w:val="23"/>
              </w:rPr>
            </w:pPr>
            <w:r w:rsidRPr="009926F2">
              <w:rPr>
                <w:color w:val="000000"/>
                <w:sz w:val="23"/>
                <w:szCs w:val="23"/>
              </w:rPr>
              <w:t>$200</w:t>
            </w:r>
          </w:p>
        </w:tc>
        <w:tc>
          <w:tcPr>
            <w:tcW w:w="1530" w:type="dxa"/>
            <w:tcBorders>
              <w:right w:val="single" w:color="auto" w:sz="4" w:space="0"/>
            </w:tcBorders>
          </w:tcPr>
          <w:p w:rsidRPr="009926F2" w:rsidR="00C16710" w:rsidP="001F3B2F" w:rsidRDefault="00C16710" w14:paraId="4AF4C006" w14:textId="6EC79D35">
            <w:pPr>
              <w:spacing w:before="60" w:after="60"/>
              <w:ind w:left="-104"/>
              <w:jc w:val="center"/>
              <w:rPr>
                <w:color w:val="000000"/>
                <w:sz w:val="23"/>
                <w:szCs w:val="23"/>
              </w:rPr>
            </w:pPr>
            <w:r w:rsidRPr="009926F2">
              <w:rPr>
                <w:color w:val="000000"/>
                <w:sz w:val="23"/>
                <w:szCs w:val="23"/>
              </w:rPr>
              <w:t>D.24-08-059 (setting post-admission rate)</w:t>
            </w:r>
          </w:p>
        </w:tc>
        <w:tc>
          <w:tcPr>
            <w:tcW w:w="1170" w:type="dxa"/>
            <w:tcBorders>
              <w:top w:val="single" w:color="auto" w:sz="4" w:space="0"/>
              <w:left w:val="single" w:color="auto" w:sz="4" w:space="0"/>
              <w:bottom w:val="single" w:color="auto" w:sz="4" w:space="0"/>
              <w:right w:val="single" w:color="auto" w:sz="24" w:space="0"/>
            </w:tcBorders>
          </w:tcPr>
          <w:p w:rsidRPr="009926F2" w:rsidR="00C16710" w:rsidP="009926F2" w:rsidRDefault="00C16710" w14:paraId="2A77845E" w14:textId="035A70DA">
            <w:pPr>
              <w:spacing w:before="60" w:after="60"/>
              <w:ind w:left="-14"/>
              <w:rPr>
                <w:color w:val="000000"/>
                <w:sz w:val="23"/>
                <w:szCs w:val="23"/>
              </w:rPr>
            </w:pPr>
            <w:r w:rsidRPr="009926F2">
              <w:rPr>
                <w:color w:val="000000"/>
                <w:sz w:val="23"/>
                <w:szCs w:val="23"/>
              </w:rPr>
              <w:t>$320</w:t>
            </w:r>
          </w:p>
        </w:tc>
        <w:tc>
          <w:tcPr>
            <w:tcW w:w="1260" w:type="dxa"/>
            <w:gridSpan w:val="2"/>
            <w:tcBorders>
              <w:left w:val="single" w:color="auto" w:sz="4" w:space="0"/>
            </w:tcBorders>
          </w:tcPr>
          <w:p w:rsidRPr="009926F2" w:rsidR="00C16710" w:rsidP="009926F2" w:rsidRDefault="00320343" w14:paraId="461DC9FD" w14:textId="51C32ACD">
            <w:pPr>
              <w:spacing w:before="60" w:after="60"/>
              <w:ind w:left="-15"/>
              <w:rPr>
                <w:color w:val="000000"/>
                <w:sz w:val="23"/>
                <w:szCs w:val="23"/>
              </w:rPr>
            </w:pPr>
            <w:r w:rsidRPr="009926F2">
              <w:rPr>
                <w:color w:val="000000"/>
                <w:sz w:val="23"/>
                <w:szCs w:val="23"/>
              </w:rPr>
              <w:t xml:space="preserve">1.28 </w:t>
            </w:r>
            <w:r w:rsidRPr="009926F2" w:rsidR="00061891">
              <w:rPr>
                <w:color w:val="000000"/>
                <w:sz w:val="23"/>
                <w:szCs w:val="23"/>
              </w:rPr>
              <w:t>[5]</w:t>
            </w:r>
          </w:p>
        </w:tc>
        <w:tc>
          <w:tcPr>
            <w:tcW w:w="1260" w:type="dxa"/>
          </w:tcPr>
          <w:p w:rsidRPr="009926F2" w:rsidR="00653E28" w:rsidP="001F3B2F" w:rsidRDefault="00C16710" w14:paraId="7FDABF74" w14:textId="7368BEF3">
            <w:pPr>
              <w:spacing w:before="60" w:after="60"/>
              <w:ind w:left="-14"/>
              <w:rPr>
                <w:color w:val="000000"/>
                <w:sz w:val="23"/>
                <w:szCs w:val="23"/>
              </w:rPr>
            </w:pPr>
            <w:r w:rsidRPr="009926F2">
              <w:rPr>
                <w:color w:val="000000"/>
                <w:sz w:val="23"/>
                <w:szCs w:val="23"/>
              </w:rPr>
              <w:t>$200</w:t>
            </w:r>
            <w:r w:rsidRPr="009926F2" w:rsidR="00C1018F">
              <w:rPr>
                <w:color w:val="000000"/>
                <w:sz w:val="23"/>
                <w:szCs w:val="23"/>
              </w:rPr>
              <w:t>.00</w:t>
            </w:r>
          </w:p>
        </w:tc>
        <w:tc>
          <w:tcPr>
            <w:tcW w:w="1350" w:type="dxa"/>
          </w:tcPr>
          <w:p w:rsidRPr="007F620E" w:rsidR="00C16710" w:rsidP="000C2420" w:rsidRDefault="00320343" w14:paraId="05EFCF76" w14:textId="35E73800">
            <w:pPr>
              <w:spacing w:before="60" w:after="60"/>
              <w:rPr>
                <w:color w:val="000000"/>
              </w:rPr>
            </w:pPr>
            <w:r>
              <w:rPr>
                <w:color w:val="000000"/>
              </w:rPr>
              <w:t>$256.00</w:t>
            </w:r>
          </w:p>
        </w:tc>
      </w:tr>
      <w:tr w:rsidRPr="007F620E" w:rsidR="00C16710" w:rsidTr="001F3B2F" w14:paraId="38E0B4EA" w14:textId="77777777">
        <w:trPr>
          <w:jc w:val="center"/>
        </w:trPr>
        <w:tc>
          <w:tcPr>
            <w:tcW w:w="1319" w:type="dxa"/>
          </w:tcPr>
          <w:p w:rsidRPr="009926F2" w:rsidR="00C16710" w:rsidP="009926F2" w:rsidRDefault="00C16710" w14:paraId="1F980DF3" w14:textId="4BE08DF7">
            <w:pPr>
              <w:spacing w:before="60" w:after="60"/>
              <w:ind w:left="-30"/>
              <w:rPr>
                <w:color w:val="000000"/>
                <w:sz w:val="23"/>
                <w:szCs w:val="23"/>
              </w:rPr>
            </w:pPr>
            <w:r w:rsidRPr="009926F2">
              <w:rPr>
                <w:color w:val="000000"/>
                <w:sz w:val="23"/>
                <w:szCs w:val="23"/>
              </w:rPr>
              <w:t>Alexandra Green</w:t>
            </w:r>
          </w:p>
        </w:tc>
        <w:tc>
          <w:tcPr>
            <w:tcW w:w="746" w:type="dxa"/>
          </w:tcPr>
          <w:p w:rsidRPr="009926F2" w:rsidR="00C16710" w:rsidP="009926F2" w:rsidRDefault="00C16710" w14:paraId="275BF57A" w14:textId="5468D0F8">
            <w:pPr>
              <w:spacing w:before="60" w:after="60"/>
              <w:ind w:left="-30"/>
              <w:rPr>
                <w:color w:val="000000"/>
                <w:sz w:val="23"/>
                <w:szCs w:val="23"/>
              </w:rPr>
            </w:pPr>
            <w:r w:rsidRPr="009926F2">
              <w:rPr>
                <w:color w:val="000000"/>
                <w:sz w:val="23"/>
                <w:szCs w:val="23"/>
              </w:rPr>
              <w:t>2023</w:t>
            </w:r>
          </w:p>
        </w:tc>
        <w:tc>
          <w:tcPr>
            <w:tcW w:w="900" w:type="dxa"/>
            <w:gridSpan w:val="2"/>
          </w:tcPr>
          <w:p w:rsidRPr="009926F2" w:rsidR="00C16710" w:rsidP="001F3B2F" w:rsidRDefault="00C16710" w14:paraId="0DE506C4" w14:textId="229F1C21">
            <w:pPr>
              <w:spacing w:before="60" w:after="60"/>
              <w:ind w:left="-39" w:right="-105"/>
              <w:rPr>
                <w:color w:val="000000"/>
                <w:sz w:val="23"/>
                <w:szCs w:val="23"/>
              </w:rPr>
            </w:pPr>
            <w:r w:rsidRPr="009926F2">
              <w:rPr>
                <w:color w:val="000000"/>
                <w:sz w:val="23"/>
                <w:szCs w:val="23"/>
              </w:rPr>
              <w:t>23.6</w:t>
            </w:r>
          </w:p>
        </w:tc>
        <w:tc>
          <w:tcPr>
            <w:tcW w:w="990" w:type="dxa"/>
          </w:tcPr>
          <w:p w:rsidRPr="009926F2" w:rsidR="00C16710" w:rsidP="009926F2" w:rsidRDefault="00C16710" w14:paraId="26413E95" w14:textId="583C3EAE">
            <w:pPr>
              <w:spacing w:before="60" w:after="60"/>
              <w:ind w:left="-30"/>
              <w:rPr>
                <w:color w:val="000000"/>
                <w:sz w:val="23"/>
                <w:szCs w:val="23"/>
              </w:rPr>
            </w:pPr>
            <w:r w:rsidRPr="009926F2">
              <w:rPr>
                <w:color w:val="000000"/>
                <w:sz w:val="23"/>
                <w:szCs w:val="23"/>
              </w:rPr>
              <w:t>$220</w:t>
            </w:r>
          </w:p>
        </w:tc>
        <w:tc>
          <w:tcPr>
            <w:tcW w:w="1530" w:type="dxa"/>
            <w:tcBorders>
              <w:right w:val="single" w:color="auto" w:sz="4" w:space="0"/>
            </w:tcBorders>
          </w:tcPr>
          <w:p w:rsidRPr="009926F2" w:rsidR="00C16710" w:rsidP="001F3B2F" w:rsidRDefault="00C16710" w14:paraId="300AA881" w14:textId="0B02946E">
            <w:pPr>
              <w:spacing w:before="60" w:after="60"/>
              <w:ind w:left="-104"/>
              <w:jc w:val="center"/>
              <w:rPr>
                <w:color w:val="000000"/>
                <w:sz w:val="23"/>
                <w:szCs w:val="23"/>
              </w:rPr>
            </w:pPr>
            <w:r w:rsidRPr="009926F2">
              <w:rPr>
                <w:color w:val="000000"/>
                <w:sz w:val="23"/>
                <w:szCs w:val="23"/>
              </w:rPr>
              <w:t>D.24-09-018</w:t>
            </w:r>
          </w:p>
        </w:tc>
        <w:tc>
          <w:tcPr>
            <w:tcW w:w="1170" w:type="dxa"/>
            <w:tcBorders>
              <w:top w:val="single" w:color="auto" w:sz="4" w:space="0"/>
              <w:left w:val="single" w:color="auto" w:sz="4" w:space="0"/>
              <w:bottom w:val="single" w:color="auto" w:sz="4" w:space="0"/>
              <w:right w:val="single" w:color="auto" w:sz="24" w:space="0"/>
            </w:tcBorders>
          </w:tcPr>
          <w:p w:rsidRPr="009926F2" w:rsidR="00C16710" w:rsidP="009926F2" w:rsidRDefault="00C16710" w14:paraId="23EF368E" w14:textId="3FA819E9">
            <w:pPr>
              <w:spacing w:before="60" w:after="60"/>
              <w:ind w:left="-14"/>
              <w:rPr>
                <w:color w:val="000000"/>
                <w:sz w:val="23"/>
                <w:szCs w:val="23"/>
              </w:rPr>
            </w:pPr>
            <w:r w:rsidRPr="009926F2">
              <w:rPr>
                <w:color w:val="000000"/>
                <w:sz w:val="23"/>
                <w:szCs w:val="23"/>
              </w:rPr>
              <w:t>$5,192</w:t>
            </w:r>
          </w:p>
        </w:tc>
        <w:tc>
          <w:tcPr>
            <w:tcW w:w="1260" w:type="dxa"/>
            <w:gridSpan w:val="2"/>
            <w:tcBorders>
              <w:left w:val="single" w:color="auto" w:sz="4" w:space="0"/>
            </w:tcBorders>
          </w:tcPr>
          <w:p w:rsidRPr="009926F2" w:rsidR="00C16710" w:rsidP="009926F2" w:rsidRDefault="00320343" w14:paraId="2B0CA953" w14:textId="493D736F">
            <w:pPr>
              <w:spacing w:before="60" w:after="60"/>
              <w:ind w:left="-15"/>
              <w:rPr>
                <w:color w:val="000000"/>
                <w:sz w:val="23"/>
                <w:szCs w:val="23"/>
              </w:rPr>
            </w:pPr>
            <w:r w:rsidRPr="009926F2">
              <w:rPr>
                <w:color w:val="000000"/>
                <w:sz w:val="23"/>
                <w:szCs w:val="23"/>
              </w:rPr>
              <w:t xml:space="preserve">18.88 </w:t>
            </w:r>
            <w:r w:rsidRPr="009926F2" w:rsidR="00061891">
              <w:rPr>
                <w:color w:val="000000"/>
                <w:sz w:val="23"/>
                <w:szCs w:val="23"/>
              </w:rPr>
              <w:t>[5]</w:t>
            </w:r>
          </w:p>
        </w:tc>
        <w:tc>
          <w:tcPr>
            <w:tcW w:w="1260" w:type="dxa"/>
          </w:tcPr>
          <w:p w:rsidRPr="009926F2" w:rsidR="00653E28" w:rsidP="001F3B2F" w:rsidRDefault="00C16710" w14:paraId="1FC8906C" w14:textId="7539E06E">
            <w:pPr>
              <w:spacing w:before="60" w:after="60"/>
              <w:ind w:left="-14"/>
              <w:rPr>
                <w:color w:val="000000"/>
                <w:sz w:val="23"/>
                <w:szCs w:val="23"/>
              </w:rPr>
            </w:pPr>
            <w:r w:rsidRPr="009926F2">
              <w:rPr>
                <w:color w:val="000000"/>
                <w:sz w:val="23"/>
                <w:szCs w:val="23"/>
              </w:rPr>
              <w:t>$220</w:t>
            </w:r>
            <w:r w:rsidRPr="009926F2" w:rsidR="00C1018F">
              <w:rPr>
                <w:color w:val="000000"/>
                <w:sz w:val="23"/>
                <w:szCs w:val="23"/>
              </w:rPr>
              <w:t>.00</w:t>
            </w:r>
          </w:p>
        </w:tc>
        <w:tc>
          <w:tcPr>
            <w:tcW w:w="1350" w:type="dxa"/>
          </w:tcPr>
          <w:p w:rsidRPr="007F620E" w:rsidR="00C16710" w:rsidP="000C2420" w:rsidRDefault="00320343" w14:paraId="6C594CB5" w14:textId="1BFF7C7E">
            <w:pPr>
              <w:spacing w:before="60" w:after="60"/>
              <w:rPr>
                <w:color w:val="000000"/>
              </w:rPr>
            </w:pPr>
            <w:r>
              <w:rPr>
                <w:color w:val="000000"/>
              </w:rPr>
              <w:t>$4,153.60</w:t>
            </w:r>
          </w:p>
        </w:tc>
      </w:tr>
      <w:tr w:rsidRPr="007F620E" w:rsidR="00C16710" w:rsidTr="001F3B2F" w14:paraId="78FC5ECE" w14:textId="77777777">
        <w:trPr>
          <w:jc w:val="center"/>
        </w:trPr>
        <w:tc>
          <w:tcPr>
            <w:tcW w:w="1319" w:type="dxa"/>
          </w:tcPr>
          <w:p w:rsidRPr="009926F2" w:rsidR="00C16710" w:rsidP="009926F2" w:rsidRDefault="00C16710" w14:paraId="1F8943E9" w14:textId="084B9AFE">
            <w:pPr>
              <w:spacing w:before="60" w:after="60"/>
              <w:ind w:left="-30"/>
              <w:rPr>
                <w:color w:val="000000"/>
                <w:sz w:val="23"/>
                <w:szCs w:val="23"/>
              </w:rPr>
            </w:pPr>
            <w:r w:rsidRPr="009926F2">
              <w:rPr>
                <w:color w:val="000000"/>
                <w:sz w:val="23"/>
                <w:szCs w:val="23"/>
              </w:rPr>
              <w:lastRenderedPageBreak/>
              <w:t>Rachel Sweetnam</w:t>
            </w:r>
          </w:p>
        </w:tc>
        <w:tc>
          <w:tcPr>
            <w:tcW w:w="746" w:type="dxa"/>
          </w:tcPr>
          <w:p w:rsidRPr="009926F2" w:rsidR="00C16710" w:rsidP="009926F2" w:rsidRDefault="00C16710" w14:paraId="6FFEFF62" w14:textId="3992CF42">
            <w:pPr>
              <w:spacing w:before="60" w:after="60"/>
              <w:ind w:left="-30"/>
              <w:rPr>
                <w:color w:val="000000"/>
                <w:sz w:val="23"/>
                <w:szCs w:val="23"/>
              </w:rPr>
            </w:pPr>
            <w:r w:rsidRPr="009926F2">
              <w:rPr>
                <w:color w:val="000000"/>
                <w:sz w:val="23"/>
                <w:szCs w:val="23"/>
              </w:rPr>
              <w:t>2024</w:t>
            </w:r>
          </w:p>
        </w:tc>
        <w:tc>
          <w:tcPr>
            <w:tcW w:w="900" w:type="dxa"/>
            <w:gridSpan w:val="2"/>
          </w:tcPr>
          <w:p w:rsidRPr="009926F2" w:rsidR="00C16710" w:rsidP="001F3B2F" w:rsidRDefault="00C16710" w14:paraId="24984638" w14:textId="45A00216">
            <w:pPr>
              <w:spacing w:before="60" w:after="60"/>
              <w:ind w:left="-39" w:right="-105"/>
              <w:rPr>
                <w:color w:val="000000"/>
                <w:sz w:val="23"/>
                <w:szCs w:val="23"/>
              </w:rPr>
            </w:pPr>
            <w:r w:rsidRPr="009926F2">
              <w:rPr>
                <w:color w:val="000000"/>
                <w:sz w:val="23"/>
                <w:szCs w:val="23"/>
              </w:rPr>
              <w:t>6.4</w:t>
            </w:r>
          </w:p>
        </w:tc>
        <w:tc>
          <w:tcPr>
            <w:tcW w:w="990" w:type="dxa"/>
          </w:tcPr>
          <w:p w:rsidRPr="009926F2" w:rsidR="00C16710" w:rsidP="009926F2" w:rsidRDefault="00C16710" w14:paraId="00CA9050" w14:textId="0DE1DFE3">
            <w:pPr>
              <w:spacing w:before="60" w:after="60"/>
              <w:ind w:left="-30"/>
              <w:rPr>
                <w:color w:val="000000"/>
                <w:sz w:val="23"/>
                <w:szCs w:val="23"/>
              </w:rPr>
            </w:pPr>
            <w:r w:rsidRPr="009926F2">
              <w:rPr>
                <w:color w:val="000000"/>
                <w:sz w:val="23"/>
                <w:szCs w:val="23"/>
              </w:rPr>
              <w:t>$240</w:t>
            </w:r>
          </w:p>
        </w:tc>
        <w:tc>
          <w:tcPr>
            <w:tcW w:w="1530" w:type="dxa"/>
            <w:tcBorders>
              <w:right w:val="single" w:color="auto" w:sz="4" w:space="0"/>
            </w:tcBorders>
          </w:tcPr>
          <w:p w:rsidRPr="009926F2" w:rsidR="00C16710" w:rsidP="001F3B2F" w:rsidRDefault="00C16710" w14:paraId="760F08DA" w14:textId="0158EFD6">
            <w:pPr>
              <w:spacing w:before="60" w:after="60"/>
              <w:ind w:left="-104"/>
              <w:jc w:val="center"/>
              <w:rPr>
                <w:color w:val="000000"/>
                <w:sz w:val="23"/>
                <w:szCs w:val="23"/>
              </w:rPr>
            </w:pPr>
            <w:r w:rsidRPr="009926F2">
              <w:rPr>
                <w:color w:val="000000"/>
                <w:sz w:val="23"/>
                <w:szCs w:val="23"/>
              </w:rPr>
              <w:t>D.25-04-041</w:t>
            </w:r>
          </w:p>
        </w:tc>
        <w:tc>
          <w:tcPr>
            <w:tcW w:w="1170" w:type="dxa"/>
            <w:tcBorders>
              <w:top w:val="single" w:color="auto" w:sz="4" w:space="0"/>
              <w:left w:val="single" w:color="auto" w:sz="4" w:space="0"/>
              <w:bottom w:val="single" w:color="auto" w:sz="4" w:space="0"/>
              <w:right w:val="single" w:color="auto" w:sz="24" w:space="0"/>
            </w:tcBorders>
          </w:tcPr>
          <w:p w:rsidRPr="009926F2" w:rsidR="00C16710" w:rsidP="009926F2" w:rsidRDefault="00C16710" w14:paraId="39D39174" w14:textId="2EF6DAC2">
            <w:pPr>
              <w:spacing w:before="60" w:after="60"/>
              <w:ind w:left="-14"/>
              <w:rPr>
                <w:color w:val="000000"/>
                <w:sz w:val="23"/>
                <w:szCs w:val="23"/>
              </w:rPr>
            </w:pPr>
            <w:r w:rsidRPr="009926F2">
              <w:rPr>
                <w:color w:val="000000"/>
                <w:sz w:val="23"/>
                <w:szCs w:val="23"/>
              </w:rPr>
              <w:t>$1,536</w:t>
            </w:r>
          </w:p>
        </w:tc>
        <w:tc>
          <w:tcPr>
            <w:tcW w:w="1260" w:type="dxa"/>
            <w:gridSpan w:val="2"/>
            <w:tcBorders>
              <w:left w:val="single" w:color="auto" w:sz="4" w:space="0"/>
            </w:tcBorders>
          </w:tcPr>
          <w:p w:rsidRPr="009926F2" w:rsidR="00C16710" w:rsidP="009926F2" w:rsidRDefault="00A258A3" w14:paraId="047FD0B5" w14:textId="175CD5F0">
            <w:pPr>
              <w:spacing w:before="60" w:after="60"/>
              <w:ind w:left="-15"/>
              <w:rPr>
                <w:color w:val="000000"/>
                <w:sz w:val="23"/>
                <w:szCs w:val="23"/>
              </w:rPr>
            </w:pPr>
            <w:r w:rsidRPr="009926F2">
              <w:rPr>
                <w:color w:val="000000"/>
                <w:sz w:val="23"/>
                <w:szCs w:val="23"/>
              </w:rPr>
              <w:t>6.40</w:t>
            </w:r>
          </w:p>
        </w:tc>
        <w:tc>
          <w:tcPr>
            <w:tcW w:w="1260" w:type="dxa"/>
          </w:tcPr>
          <w:p w:rsidRPr="009926F2" w:rsidR="00653E28" w:rsidP="001F3B2F" w:rsidRDefault="00C16710" w14:paraId="367660C2" w14:textId="47AD2BFC">
            <w:pPr>
              <w:spacing w:before="60" w:after="60"/>
              <w:ind w:left="-14"/>
              <w:rPr>
                <w:color w:val="000000"/>
                <w:sz w:val="23"/>
                <w:szCs w:val="23"/>
              </w:rPr>
            </w:pPr>
            <w:r w:rsidRPr="009926F2">
              <w:rPr>
                <w:color w:val="000000"/>
                <w:sz w:val="23"/>
                <w:szCs w:val="23"/>
              </w:rPr>
              <w:t>$240</w:t>
            </w:r>
            <w:r w:rsidRPr="009926F2" w:rsidR="00FC78C7">
              <w:rPr>
                <w:color w:val="000000"/>
                <w:sz w:val="23"/>
                <w:szCs w:val="23"/>
              </w:rPr>
              <w:t>.00</w:t>
            </w:r>
          </w:p>
        </w:tc>
        <w:tc>
          <w:tcPr>
            <w:tcW w:w="1350" w:type="dxa"/>
          </w:tcPr>
          <w:p w:rsidRPr="007F620E" w:rsidR="00C16710" w:rsidP="000C2420" w:rsidRDefault="00A258A3" w14:paraId="766AC45F" w14:textId="05C6A675">
            <w:pPr>
              <w:spacing w:before="60" w:after="60"/>
              <w:rPr>
                <w:color w:val="000000"/>
              </w:rPr>
            </w:pPr>
            <w:r>
              <w:rPr>
                <w:color w:val="000000"/>
              </w:rPr>
              <w:t>$1,536.00</w:t>
            </w:r>
          </w:p>
        </w:tc>
      </w:tr>
      <w:tr w:rsidRPr="007F620E" w:rsidR="00C16710" w:rsidTr="001F3B2F" w14:paraId="4E698889" w14:textId="77777777">
        <w:trPr>
          <w:jc w:val="center"/>
        </w:trPr>
        <w:tc>
          <w:tcPr>
            <w:tcW w:w="1319" w:type="dxa"/>
          </w:tcPr>
          <w:p w:rsidRPr="009926F2" w:rsidR="00C16710" w:rsidP="009926F2" w:rsidRDefault="00C16710" w14:paraId="04CDED11" w14:textId="3111AC67">
            <w:pPr>
              <w:spacing w:before="60" w:after="60"/>
              <w:ind w:left="-30"/>
              <w:rPr>
                <w:color w:val="000000"/>
                <w:sz w:val="23"/>
                <w:szCs w:val="23"/>
              </w:rPr>
            </w:pPr>
            <w:r w:rsidRPr="009926F2">
              <w:rPr>
                <w:color w:val="000000"/>
                <w:sz w:val="23"/>
                <w:szCs w:val="23"/>
              </w:rPr>
              <w:t>Rachel Sweetnam</w:t>
            </w:r>
          </w:p>
        </w:tc>
        <w:tc>
          <w:tcPr>
            <w:tcW w:w="746" w:type="dxa"/>
          </w:tcPr>
          <w:p w:rsidRPr="009926F2" w:rsidR="00C16710" w:rsidP="009926F2" w:rsidRDefault="00C16710" w14:paraId="6B0C4BC3" w14:textId="130F5E85">
            <w:pPr>
              <w:spacing w:before="60" w:after="60"/>
              <w:ind w:left="-30"/>
              <w:rPr>
                <w:color w:val="000000"/>
                <w:sz w:val="23"/>
                <w:szCs w:val="23"/>
              </w:rPr>
            </w:pPr>
            <w:r w:rsidRPr="009926F2">
              <w:rPr>
                <w:color w:val="000000"/>
                <w:sz w:val="23"/>
                <w:szCs w:val="23"/>
              </w:rPr>
              <w:t>2025</w:t>
            </w:r>
          </w:p>
        </w:tc>
        <w:tc>
          <w:tcPr>
            <w:tcW w:w="900" w:type="dxa"/>
            <w:gridSpan w:val="2"/>
          </w:tcPr>
          <w:p w:rsidRPr="009926F2" w:rsidR="00C16710" w:rsidP="001F3B2F" w:rsidRDefault="00C16710" w14:paraId="51C36695" w14:textId="01A797B5">
            <w:pPr>
              <w:spacing w:before="60" w:after="60"/>
              <w:ind w:left="-39" w:right="-105"/>
              <w:rPr>
                <w:color w:val="000000"/>
                <w:sz w:val="23"/>
                <w:szCs w:val="23"/>
              </w:rPr>
            </w:pPr>
            <w:r w:rsidRPr="009926F2">
              <w:rPr>
                <w:color w:val="000000"/>
                <w:sz w:val="23"/>
                <w:szCs w:val="23"/>
              </w:rPr>
              <w:t>23.4</w:t>
            </w:r>
            <w:r w:rsidRPr="009926F2" w:rsidR="00061891">
              <w:rPr>
                <w:color w:val="000000"/>
                <w:sz w:val="23"/>
                <w:szCs w:val="23"/>
              </w:rPr>
              <w:t xml:space="preserve"> [7]</w:t>
            </w:r>
          </w:p>
        </w:tc>
        <w:tc>
          <w:tcPr>
            <w:tcW w:w="990" w:type="dxa"/>
          </w:tcPr>
          <w:p w:rsidRPr="009926F2" w:rsidR="00C16710" w:rsidP="009926F2" w:rsidRDefault="00C16710" w14:paraId="50434DF3" w14:textId="0D85E3A5">
            <w:pPr>
              <w:spacing w:before="60" w:after="60"/>
              <w:ind w:left="-30"/>
              <w:rPr>
                <w:color w:val="000000"/>
                <w:sz w:val="23"/>
                <w:szCs w:val="23"/>
              </w:rPr>
            </w:pPr>
            <w:r w:rsidRPr="009926F2">
              <w:rPr>
                <w:color w:val="000000"/>
                <w:sz w:val="23"/>
                <w:szCs w:val="23"/>
              </w:rPr>
              <w:t>$275</w:t>
            </w:r>
          </w:p>
        </w:tc>
        <w:tc>
          <w:tcPr>
            <w:tcW w:w="1530" w:type="dxa"/>
            <w:tcBorders>
              <w:right w:val="single" w:color="auto" w:sz="4" w:space="0"/>
            </w:tcBorders>
          </w:tcPr>
          <w:p w:rsidRPr="009926F2" w:rsidR="00C16710" w:rsidP="001F3B2F" w:rsidRDefault="00C16710" w14:paraId="41124BBA" w14:textId="375DB1A1">
            <w:pPr>
              <w:spacing w:before="60" w:after="60"/>
              <w:ind w:left="-104"/>
              <w:jc w:val="center"/>
              <w:rPr>
                <w:color w:val="000000"/>
                <w:sz w:val="23"/>
                <w:szCs w:val="23"/>
              </w:rPr>
            </w:pPr>
            <w:r w:rsidRPr="009926F2">
              <w:rPr>
                <w:color w:val="000000"/>
                <w:sz w:val="23"/>
                <w:szCs w:val="23"/>
              </w:rPr>
              <w:t>See below</w:t>
            </w:r>
          </w:p>
        </w:tc>
        <w:tc>
          <w:tcPr>
            <w:tcW w:w="1170" w:type="dxa"/>
            <w:tcBorders>
              <w:top w:val="single" w:color="auto" w:sz="4" w:space="0"/>
              <w:left w:val="single" w:color="auto" w:sz="4" w:space="0"/>
              <w:bottom w:val="single" w:color="auto" w:sz="4" w:space="0"/>
              <w:right w:val="single" w:color="auto" w:sz="24" w:space="0"/>
            </w:tcBorders>
          </w:tcPr>
          <w:p w:rsidRPr="009926F2" w:rsidR="00C16710" w:rsidP="009926F2" w:rsidRDefault="00C16710" w14:paraId="75F00059" w14:textId="4F331985">
            <w:pPr>
              <w:spacing w:before="60" w:after="60"/>
              <w:ind w:left="-14"/>
              <w:rPr>
                <w:color w:val="000000"/>
                <w:sz w:val="23"/>
                <w:szCs w:val="23"/>
              </w:rPr>
            </w:pPr>
            <w:r w:rsidRPr="009926F2">
              <w:rPr>
                <w:color w:val="000000"/>
                <w:sz w:val="23"/>
                <w:szCs w:val="23"/>
              </w:rPr>
              <w:t>$7,440</w:t>
            </w:r>
            <w:r w:rsidRPr="009926F2" w:rsidR="0004591C">
              <w:rPr>
                <w:color w:val="000000"/>
                <w:sz w:val="23"/>
                <w:szCs w:val="23"/>
              </w:rPr>
              <w:t xml:space="preserve"> [7]</w:t>
            </w:r>
          </w:p>
        </w:tc>
        <w:tc>
          <w:tcPr>
            <w:tcW w:w="1260" w:type="dxa"/>
            <w:gridSpan w:val="2"/>
            <w:tcBorders>
              <w:left w:val="single" w:color="auto" w:sz="4" w:space="0"/>
            </w:tcBorders>
          </w:tcPr>
          <w:p w:rsidRPr="009926F2" w:rsidR="00C16710" w:rsidP="009926F2" w:rsidRDefault="00320343" w14:paraId="134A581C" w14:textId="0E46BF95">
            <w:pPr>
              <w:spacing w:before="60" w:after="60"/>
              <w:ind w:left="-15"/>
              <w:rPr>
                <w:color w:val="000000"/>
                <w:sz w:val="23"/>
                <w:szCs w:val="23"/>
              </w:rPr>
            </w:pPr>
            <w:r w:rsidRPr="009926F2">
              <w:rPr>
                <w:color w:val="000000"/>
                <w:sz w:val="23"/>
                <w:szCs w:val="23"/>
              </w:rPr>
              <w:t>1</w:t>
            </w:r>
            <w:r w:rsidRPr="009926F2" w:rsidR="001F69E8">
              <w:rPr>
                <w:color w:val="000000"/>
                <w:sz w:val="23"/>
                <w:szCs w:val="23"/>
              </w:rPr>
              <w:t>9</w:t>
            </w:r>
            <w:r w:rsidRPr="009926F2">
              <w:rPr>
                <w:color w:val="000000"/>
                <w:sz w:val="23"/>
                <w:szCs w:val="23"/>
              </w:rPr>
              <w:t>.</w:t>
            </w:r>
            <w:r w:rsidRPr="009926F2" w:rsidR="001F69E8">
              <w:rPr>
                <w:color w:val="000000"/>
                <w:sz w:val="23"/>
                <w:szCs w:val="23"/>
              </w:rPr>
              <w:t>3</w:t>
            </w:r>
            <w:r w:rsidRPr="009926F2">
              <w:rPr>
                <w:color w:val="000000"/>
                <w:sz w:val="23"/>
                <w:szCs w:val="23"/>
              </w:rPr>
              <w:t xml:space="preserve">1 </w:t>
            </w:r>
            <w:r w:rsidRPr="009926F2" w:rsidR="008150B4">
              <w:rPr>
                <w:color w:val="000000"/>
                <w:sz w:val="23"/>
                <w:szCs w:val="23"/>
              </w:rPr>
              <w:t>[</w:t>
            </w:r>
            <w:r w:rsidRPr="009926F2" w:rsidR="00061891">
              <w:rPr>
                <w:color w:val="000000"/>
                <w:sz w:val="23"/>
                <w:szCs w:val="23"/>
              </w:rPr>
              <w:t>5</w:t>
            </w:r>
            <w:r w:rsidRPr="009926F2" w:rsidR="008150B4">
              <w:rPr>
                <w:color w:val="000000"/>
                <w:sz w:val="23"/>
                <w:szCs w:val="23"/>
              </w:rPr>
              <w:t>]</w:t>
            </w:r>
          </w:p>
        </w:tc>
        <w:tc>
          <w:tcPr>
            <w:tcW w:w="1260" w:type="dxa"/>
          </w:tcPr>
          <w:p w:rsidRPr="009926F2" w:rsidR="00653E28" w:rsidP="001F3B2F" w:rsidRDefault="00C16710" w14:paraId="2622F4BA" w14:textId="3B363A9B">
            <w:pPr>
              <w:spacing w:before="60" w:after="60"/>
              <w:ind w:left="-14" w:right="-195"/>
              <w:rPr>
                <w:color w:val="000000"/>
                <w:sz w:val="23"/>
                <w:szCs w:val="23"/>
              </w:rPr>
            </w:pPr>
            <w:r w:rsidRPr="009926F2">
              <w:rPr>
                <w:color w:val="000000"/>
                <w:sz w:val="23"/>
                <w:szCs w:val="23"/>
              </w:rPr>
              <w:t>$275</w:t>
            </w:r>
            <w:r w:rsidRPr="009926F2" w:rsidR="00FC78C7">
              <w:rPr>
                <w:color w:val="000000"/>
                <w:sz w:val="23"/>
                <w:szCs w:val="23"/>
              </w:rPr>
              <w:t>.00</w:t>
            </w:r>
            <w:r w:rsidR="001F3B2F">
              <w:rPr>
                <w:color w:val="000000"/>
                <w:sz w:val="23"/>
                <w:szCs w:val="23"/>
              </w:rPr>
              <w:t xml:space="preserve"> </w:t>
            </w:r>
            <w:r w:rsidRPr="009926F2" w:rsidR="00653E28">
              <w:rPr>
                <w:color w:val="000000"/>
                <w:sz w:val="23"/>
                <w:szCs w:val="23"/>
              </w:rPr>
              <w:t>[</w:t>
            </w:r>
            <w:r w:rsidRPr="009926F2" w:rsidR="00174537">
              <w:rPr>
                <w:color w:val="000000"/>
                <w:sz w:val="23"/>
                <w:szCs w:val="23"/>
              </w:rPr>
              <w:t>2</w:t>
            </w:r>
            <w:r w:rsidRPr="009926F2" w:rsidR="00653E28">
              <w:rPr>
                <w:color w:val="000000"/>
                <w:sz w:val="23"/>
                <w:szCs w:val="23"/>
              </w:rPr>
              <w:t>]</w:t>
            </w:r>
          </w:p>
        </w:tc>
        <w:tc>
          <w:tcPr>
            <w:tcW w:w="1350" w:type="dxa"/>
          </w:tcPr>
          <w:p w:rsidRPr="007F620E" w:rsidR="00C16710" w:rsidP="000C2420" w:rsidRDefault="00320343" w14:paraId="26135325" w14:textId="0151AB05">
            <w:pPr>
              <w:spacing w:before="60" w:after="60"/>
              <w:rPr>
                <w:color w:val="000000"/>
              </w:rPr>
            </w:pPr>
            <w:r>
              <w:rPr>
                <w:color w:val="000000"/>
              </w:rPr>
              <w:t>$</w:t>
            </w:r>
            <w:r w:rsidR="001F69E8">
              <w:rPr>
                <w:color w:val="000000"/>
              </w:rPr>
              <w:t>5</w:t>
            </w:r>
            <w:r>
              <w:rPr>
                <w:color w:val="000000"/>
              </w:rPr>
              <w:t>,</w:t>
            </w:r>
            <w:r w:rsidR="001F69E8">
              <w:rPr>
                <w:color w:val="000000"/>
              </w:rPr>
              <w:t>31</w:t>
            </w:r>
            <w:r>
              <w:rPr>
                <w:color w:val="000000"/>
              </w:rPr>
              <w:t>0.25</w:t>
            </w:r>
          </w:p>
        </w:tc>
      </w:tr>
      <w:tr w:rsidRPr="007F620E" w:rsidR="00C16710" w:rsidTr="001F3B2F" w14:paraId="20C9E33B" w14:textId="77777777">
        <w:trPr>
          <w:jc w:val="center"/>
        </w:trPr>
        <w:tc>
          <w:tcPr>
            <w:tcW w:w="1319" w:type="dxa"/>
          </w:tcPr>
          <w:p w:rsidRPr="009926F2" w:rsidR="00C16710" w:rsidP="009926F2" w:rsidRDefault="00C16710" w14:paraId="33141C5F" w14:textId="1FA6413C">
            <w:pPr>
              <w:spacing w:before="60" w:after="60"/>
              <w:ind w:left="-30"/>
              <w:rPr>
                <w:color w:val="000000"/>
                <w:sz w:val="23"/>
                <w:szCs w:val="23"/>
              </w:rPr>
            </w:pPr>
            <w:r w:rsidRPr="009926F2">
              <w:rPr>
                <w:color w:val="000000"/>
                <w:sz w:val="23"/>
                <w:szCs w:val="23"/>
              </w:rPr>
              <w:t>Kate Woodford</w:t>
            </w:r>
          </w:p>
        </w:tc>
        <w:tc>
          <w:tcPr>
            <w:tcW w:w="746" w:type="dxa"/>
          </w:tcPr>
          <w:p w:rsidRPr="009926F2" w:rsidR="00C16710" w:rsidP="009926F2" w:rsidRDefault="00C16710" w14:paraId="25912D86" w14:textId="1E9322D7">
            <w:pPr>
              <w:spacing w:before="60" w:after="60"/>
              <w:ind w:left="-30"/>
              <w:rPr>
                <w:color w:val="000000"/>
                <w:sz w:val="23"/>
                <w:szCs w:val="23"/>
              </w:rPr>
            </w:pPr>
            <w:r w:rsidRPr="009926F2">
              <w:rPr>
                <w:color w:val="000000"/>
                <w:sz w:val="23"/>
                <w:szCs w:val="23"/>
              </w:rPr>
              <w:t>2023</w:t>
            </w:r>
          </w:p>
        </w:tc>
        <w:tc>
          <w:tcPr>
            <w:tcW w:w="900" w:type="dxa"/>
            <w:gridSpan w:val="2"/>
          </w:tcPr>
          <w:p w:rsidRPr="009926F2" w:rsidR="00C16710" w:rsidP="001F3B2F" w:rsidRDefault="00C16710" w14:paraId="4D8C2C52" w14:textId="0C28DC98">
            <w:pPr>
              <w:spacing w:before="60" w:after="60"/>
              <w:ind w:left="-39" w:right="-105"/>
              <w:rPr>
                <w:color w:val="000000"/>
                <w:sz w:val="23"/>
                <w:szCs w:val="23"/>
              </w:rPr>
            </w:pPr>
            <w:r w:rsidRPr="009926F2">
              <w:rPr>
                <w:color w:val="000000"/>
                <w:sz w:val="23"/>
                <w:szCs w:val="23"/>
              </w:rPr>
              <w:t>1.5</w:t>
            </w:r>
          </w:p>
        </w:tc>
        <w:tc>
          <w:tcPr>
            <w:tcW w:w="990" w:type="dxa"/>
          </w:tcPr>
          <w:p w:rsidRPr="009926F2" w:rsidR="00C16710" w:rsidP="009926F2" w:rsidRDefault="00C16710" w14:paraId="158D19F0" w14:textId="6CC44C52">
            <w:pPr>
              <w:spacing w:before="60" w:after="60"/>
              <w:ind w:left="-30"/>
              <w:rPr>
                <w:color w:val="000000"/>
                <w:sz w:val="23"/>
                <w:szCs w:val="23"/>
              </w:rPr>
            </w:pPr>
            <w:r w:rsidRPr="009926F2">
              <w:rPr>
                <w:color w:val="000000"/>
                <w:sz w:val="23"/>
                <w:szCs w:val="23"/>
              </w:rPr>
              <w:t>$280</w:t>
            </w:r>
          </w:p>
        </w:tc>
        <w:tc>
          <w:tcPr>
            <w:tcW w:w="1530" w:type="dxa"/>
            <w:tcBorders>
              <w:right w:val="single" w:color="auto" w:sz="4" w:space="0"/>
            </w:tcBorders>
          </w:tcPr>
          <w:p w:rsidRPr="009926F2" w:rsidR="00C16710" w:rsidP="001F3B2F" w:rsidRDefault="00C16710" w14:paraId="6128BEFD" w14:textId="3ED361FE">
            <w:pPr>
              <w:spacing w:before="60" w:after="60"/>
              <w:ind w:left="-104"/>
              <w:jc w:val="center"/>
              <w:rPr>
                <w:color w:val="000000"/>
                <w:sz w:val="23"/>
                <w:szCs w:val="23"/>
              </w:rPr>
            </w:pPr>
            <w:r w:rsidRPr="009926F2">
              <w:rPr>
                <w:sz w:val="23"/>
                <w:szCs w:val="23"/>
              </w:rPr>
              <w:t>D.24-06-020</w:t>
            </w:r>
          </w:p>
        </w:tc>
        <w:tc>
          <w:tcPr>
            <w:tcW w:w="1170" w:type="dxa"/>
            <w:tcBorders>
              <w:top w:val="single" w:color="auto" w:sz="4" w:space="0"/>
              <w:left w:val="single" w:color="auto" w:sz="4" w:space="0"/>
              <w:bottom w:val="single" w:color="auto" w:sz="4" w:space="0"/>
              <w:right w:val="single" w:color="auto" w:sz="24" w:space="0"/>
            </w:tcBorders>
          </w:tcPr>
          <w:p w:rsidRPr="009926F2" w:rsidR="00C16710" w:rsidP="009926F2" w:rsidRDefault="00C16710" w14:paraId="7333CF97" w14:textId="7666E35F">
            <w:pPr>
              <w:spacing w:before="60" w:after="60"/>
              <w:ind w:left="-14"/>
              <w:rPr>
                <w:color w:val="000000"/>
                <w:sz w:val="23"/>
                <w:szCs w:val="23"/>
              </w:rPr>
            </w:pPr>
            <w:r w:rsidRPr="009926F2">
              <w:rPr>
                <w:color w:val="000000"/>
                <w:sz w:val="23"/>
                <w:szCs w:val="23"/>
              </w:rPr>
              <w:t>$420</w:t>
            </w:r>
          </w:p>
        </w:tc>
        <w:tc>
          <w:tcPr>
            <w:tcW w:w="1260" w:type="dxa"/>
            <w:gridSpan w:val="2"/>
            <w:tcBorders>
              <w:left w:val="single" w:color="auto" w:sz="4" w:space="0"/>
            </w:tcBorders>
          </w:tcPr>
          <w:p w:rsidRPr="009926F2" w:rsidR="00C16710" w:rsidP="009926F2" w:rsidRDefault="008210D8" w14:paraId="25AFD256" w14:textId="797EF282">
            <w:pPr>
              <w:spacing w:before="60" w:after="60"/>
              <w:ind w:left="-15"/>
              <w:rPr>
                <w:color w:val="000000"/>
                <w:sz w:val="23"/>
                <w:szCs w:val="23"/>
              </w:rPr>
            </w:pPr>
            <w:r w:rsidRPr="009926F2">
              <w:rPr>
                <w:color w:val="000000"/>
                <w:sz w:val="23"/>
                <w:szCs w:val="23"/>
              </w:rPr>
              <w:t>1.50</w:t>
            </w:r>
          </w:p>
        </w:tc>
        <w:tc>
          <w:tcPr>
            <w:tcW w:w="1260" w:type="dxa"/>
          </w:tcPr>
          <w:p w:rsidRPr="009926F2" w:rsidR="00C16710" w:rsidP="001F3B2F" w:rsidRDefault="00C16710" w14:paraId="335987BE" w14:textId="1A8DDCAB">
            <w:pPr>
              <w:spacing w:before="60" w:after="60"/>
              <w:ind w:left="-14"/>
              <w:rPr>
                <w:color w:val="000000"/>
                <w:sz w:val="23"/>
                <w:szCs w:val="23"/>
              </w:rPr>
            </w:pPr>
            <w:r w:rsidRPr="009926F2">
              <w:rPr>
                <w:color w:val="000000"/>
                <w:sz w:val="23"/>
                <w:szCs w:val="23"/>
              </w:rPr>
              <w:t>$280</w:t>
            </w:r>
            <w:r w:rsidRPr="009926F2" w:rsidR="00FF1237">
              <w:rPr>
                <w:color w:val="000000"/>
                <w:sz w:val="23"/>
                <w:szCs w:val="23"/>
              </w:rPr>
              <w:t>.00</w:t>
            </w:r>
          </w:p>
          <w:p w:rsidRPr="009926F2" w:rsidR="00653E28" w:rsidP="001F3B2F" w:rsidRDefault="00653E28" w14:paraId="6524F818" w14:textId="4D62CA81">
            <w:pPr>
              <w:spacing w:before="60" w:after="60"/>
              <w:ind w:left="-14"/>
              <w:rPr>
                <w:color w:val="000000"/>
                <w:sz w:val="23"/>
                <w:szCs w:val="23"/>
              </w:rPr>
            </w:pPr>
          </w:p>
        </w:tc>
        <w:tc>
          <w:tcPr>
            <w:tcW w:w="1350" w:type="dxa"/>
          </w:tcPr>
          <w:p w:rsidRPr="007F620E" w:rsidR="00C16710" w:rsidP="000C2420" w:rsidRDefault="008210D8" w14:paraId="564E9C2A" w14:textId="530A1015">
            <w:pPr>
              <w:spacing w:before="60" w:after="60"/>
              <w:rPr>
                <w:color w:val="000000"/>
              </w:rPr>
            </w:pPr>
            <w:r>
              <w:rPr>
                <w:color w:val="000000"/>
              </w:rPr>
              <w:t>$420.00</w:t>
            </w:r>
          </w:p>
        </w:tc>
      </w:tr>
      <w:tr w:rsidRPr="007F620E" w:rsidR="00C16710" w:rsidTr="001F3B2F" w14:paraId="52E394FE" w14:textId="77777777">
        <w:trPr>
          <w:jc w:val="center"/>
        </w:trPr>
        <w:tc>
          <w:tcPr>
            <w:tcW w:w="1319" w:type="dxa"/>
          </w:tcPr>
          <w:p w:rsidRPr="009926F2" w:rsidR="00C16710" w:rsidP="009926F2" w:rsidRDefault="00C16710" w14:paraId="40569980" w14:textId="5465E533">
            <w:pPr>
              <w:spacing w:before="60" w:after="60"/>
              <w:ind w:left="-30"/>
              <w:rPr>
                <w:color w:val="000000"/>
                <w:sz w:val="23"/>
                <w:szCs w:val="23"/>
              </w:rPr>
            </w:pPr>
            <w:r w:rsidRPr="009926F2">
              <w:rPr>
                <w:color w:val="000000"/>
                <w:sz w:val="23"/>
                <w:szCs w:val="23"/>
              </w:rPr>
              <w:t>Kate Woodford</w:t>
            </w:r>
          </w:p>
        </w:tc>
        <w:tc>
          <w:tcPr>
            <w:tcW w:w="746" w:type="dxa"/>
          </w:tcPr>
          <w:p w:rsidRPr="009926F2" w:rsidR="00C16710" w:rsidP="009926F2" w:rsidRDefault="00C16710" w14:paraId="554B9B8A" w14:textId="6B94EFEB">
            <w:pPr>
              <w:spacing w:before="60" w:after="60"/>
              <w:ind w:left="-30"/>
              <w:rPr>
                <w:color w:val="000000"/>
                <w:sz w:val="23"/>
                <w:szCs w:val="23"/>
              </w:rPr>
            </w:pPr>
            <w:r w:rsidRPr="009926F2">
              <w:rPr>
                <w:color w:val="000000"/>
                <w:sz w:val="23"/>
                <w:szCs w:val="23"/>
              </w:rPr>
              <w:t>2025</w:t>
            </w:r>
          </w:p>
        </w:tc>
        <w:tc>
          <w:tcPr>
            <w:tcW w:w="900" w:type="dxa"/>
            <w:gridSpan w:val="2"/>
          </w:tcPr>
          <w:p w:rsidRPr="009926F2" w:rsidR="00C16710" w:rsidP="001F3B2F" w:rsidRDefault="00C16710" w14:paraId="509AE761" w14:textId="4893A847">
            <w:pPr>
              <w:spacing w:before="60" w:after="60"/>
              <w:ind w:left="-39" w:right="-105"/>
              <w:rPr>
                <w:color w:val="000000"/>
                <w:sz w:val="23"/>
                <w:szCs w:val="23"/>
              </w:rPr>
            </w:pPr>
            <w:r w:rsidRPr="009926F2">
              <w:rPr>
                <w:color w:val="000000"/>
                <w:sz w:val="23"/>
                <w:szCs w:val="23"/>
              </w:rPr>
              <w:t>2.0</w:t>
            </w:r>
          </w:p>
        </w:tc>
        <w:tc>
          <w:tcPr>
            <w:tcW w:w="990" w:type="dxa"/>
          </w:tcPr>
          <w:p w:rsidRPr="009926F2" w:rsidR="00C16710" w:rsidP="009926F2" w:rsidRDefault="00C16710" w14:paraId="61AB63CE" w14:textId="27DA3246">
            <w:pPr>
              <w:spacing w:before="60" w:after="60"/>
              <w:ind w:left="-30"/>
              <w:rPr>
                <w:color w:val="000000"/>
                <w:sz w:val="23"/>
                <w:szCs w:val="23"/>
              </w:rPr>
            </w:pPr>
            <w:r w:rsidRPr="009926F2">
              <w:rPr>
                <w:color w:val="000000"/>
                <w:sz w:val="23"/>
                <w:szCs w:val="23"/>
              </w:rPr>
              <w:t>$380</w:t>
            </w:r>
          </w:p>
        </w:tc>
        <w:tc>
          <w:tcPr>
            <w:tcW w:w="1530" w:type="dxa"/>
            <w:tcBorders>
              <w:right w:val="single" w:color="auto" w:sz="4" w:space="0"/>
            </w:tcBorders>
          </w:tcPr>
          <w:p w:rsidRPr="009926F2" w:rsidR="00C16710" w:rsidP="001F3B2F" w:rsidRDefault="00C16710" w14:paraId="0720C170" w14:textId="5DAA2EC6">
            <w:pPr>
              <w:spacing w:before="60" w:after="60"/>
              <w:ind w:left="-104"/>
              <w:jc w:val="center"/>
              <w:rPr>
                <w:color w:val="000000"/>
                <w:sz w:val="23"/>
                <w:szCs w:val="23"/>
              </w:rPr>
            </w:pPr>
            <w:r w:rsidRPr="009926F2">
              <w:rPr>
                <w:color w:val="000000"/>
                <w:sz w:val="23"/>
                <w:szCs w:val="23"/>
              </w:rPr>
              <w:t>See below</w:t>
            </w:r>
          </w:p>
        </w:tc>
        <w:tc>
          <w:tcPr>
            <w:tcW w:w="1170" w:type="dxa"/>
            <w:tcBorders>
              <w:top w:val="single" w:color="auto" w:sz="4" w:space="0"/>
              <w:left w:val="single" w:color="auto" w:sz="4" w:space="0"/>
              <w:bottom w:val="single" w:color="auto" w:sz="4" w:space="0"/>
              <w:right w:val="single" w:color="auto" w:sz="24" w:space="0"/>
            </w:tcBorders>
          </w:tcPr>
          <w:p w:rsidRPr="009926F2" w:rsidR="00C16710" w:rsidP="009926F2" w:rsidRDefault="00C16710" w14:paraId="0EA992DF" w14:textId="642DAE78">
            <w:pPr>
              <w:spacing w:before="60" w:after="60"/>
              <w:ind w:left="-14"/>
              <w:rPr>
                <w:color w:val="000000"/>
                <w:sz w:val="23"/>
                <w:szCs w:val="23"/>
              </w:rPr>
            </w:pPr>
            <w:r w:rsidRPr="009926F2">
              <w:rPr>
                <w:color w:val="000000"/>
                <w:sz w:val="23"/>
                <w:szCs w:val="23"/>
              </w:rPr>
              <w:t>$760</w:t>
            </w:r>
          </w:p>
        </w:tc>
        <w:tc>
          <w:tcPr>
            <w:tcW w:w="1260" w:type="dxa"/>
            <w:gridSpan w:val="2"/>
            <w:tcBorders>
              <w:left w:val="single" w:color="auto" w:sz="4" w:space="0"/>
            </w:tcBorders>
          </w:tcPr>
          <w:p w:rsidRPr="009926F2" w:rsidR="00C16710" w:rsidP="009926F2" w:rsidRDefault="00C16710" w14:paraId="1A743CCC" w14:textId="06AB5858">
            <w:pPr>
              <w:spacing w:before="60" w:after="60"/>
              <w:ind w:left="-15"/>
              <w:rPr>
                <w:color w:val="000000"/>
                <w:sz w:val="23"/>
                <w:szCs w:val="23"/>
              </w:rPr>
            </w:pPr>
            <w:r w:rsidRPr="009926F2">
              <w:rPr>
                <w:color w:val="000000"/>
                <w:sz w:val="23"/>
                <w:szCs w:val="23"/>
              </w:rPr>
              <w:t>2.0</w:t>
            </w:r>
            <w:r w:rsidRPr="009926F2" w:rsidR="00741B25">
              <w:rPr>
                <w:color w:val="000000"/>
                <w:sz w:val="23"/>
                <w:szCs w:val="23"/>
              </w:rPr>
              <w:t>0</w:t>
            </w:r>
          </w:p>
        </w:tc>
        <w:tc>
          <w:tcPr>
            <w:tcW w:w="1260" w:type="dxa"/>
          </w:tcPr>
          <w:p w:rsidRPr="009926F2" w:rsidR="00653E28" w:rsidP="001F3B2F" w:rsidRDefault="00D9017A" w14:paraId="784D1208" w14:textId="330E5A6A">
            <w:pPr>
              <w:spacing w:before="60" w:after="60"/>
              <w:ind w:left="-14" w:right="-105"/>
              <w:rPr>
                <w:color w:val="000000"/>
                <w:sz w:val="23"/>
                <w:szCs w:val="23"/>
              </w:rPr>
            </w:pPr>
            <w:r w:rsidRPr="009926F2">
              <w:rPr>
                <w:color w:val="000000"/>
                <w:sz w:val="23"/>
                <w:szCs w:val="23"/>
              </w:rPr>
              <w:t xml:space="preserve">$300.00 </w:t>
            </w:r>
            <w:r w:rsidRPr="009926F2" w:rsidR="00FF1237">
              <w:rPr>
                <w:color w:val="000000"/>
                <w:sz w:val="23"/>
                <w:szCs w:val="23"/>
              </w:rPr>
              <w:t>[</w:t>
            </w:r>
            <w:r w:rsidRPr="009926F2" w:rsidR="00174537">
              <w:rPr>
                <w:color w:val="000000"/>
                <w:sz w:val="23"/>
                <w:szCs w:val="23"/>
              </w:rPr>
              <w:t>3</w:t>
            </w:r>
            <w:r w:rsidRPr="009926F2" w:rsidR="00FF1237">
              <w:rPr>
                <w:color w:val="000000"/>
                <w:sz w:val="23"/>
                <w:szCs w:val="23"/>
              </w:rPr>
              <w:t>]</w:t>
            </w:r>
          </w:p>
        </w:tc>
        <w:tc>
          <w:tcPr>
            <w:tcW w:w="1350" w:type="dxa"/>
          </w:tcPr>
          <w:p w:rsidRPr="007F620E" w:rsidR="00C16710" w:rsidP="000C2420" w:rsidRDefault="00B0399A" w14:paraId="3FB9B863" w14:textId="19CA056C">
            <w:pPr>
              <w:spacing w:before="60" w:after="60"/>
              <w:rPr>
                <w:color w:val="000000"/>
              </w:rPr>
            </w:pPr>
            <w:r>
              <w:rPr>
                <w:color w:val="000000"/>
              </w:rPr>
              <w:t>$600.00</w:t>
            </w:r>
          </w:p>
        </w:tc>
      </w:tr>
      <w:tr w:rsidRPr="007F620E" w:rsidR="00C16710" w:rsidTr="001F3B2F" w14:paraId="1B237C11" w14:textId="77777777">
        <w:trPr>
          <w:jc w:val="center"/>
        </w:trPr>
        <w:tc>
          <w:tcPr>
            <w:tcW w:w="6655" w:type="dxa"/>
            <w:gridSpan w:val="7"/>
            <w:tcBorders>
              <w:bottom w:val="single" w:color="auto" w:sz="4" w:space="0"/>
              <w:right w:val="single" w:color="auto" w:sz="24" w:space="0"/>
            </w:tcBorders>
            <w:vAlign w:val="bottom"/>
          </w:tcPr>
          <w:p w:rsidRPr="00374FD1" w:rsidR="00C16710" w:rsidP="00C16710" w:rsidRDefault="00C16710" w14:paraId="2ECB6744" w14:textId="478B0E48">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75,617</w:t>
            </w:r>
            <w:r w:rsidR="00411660">
              <w:rPr>
                <w:b/>
                <w:i/>
                <w:color w:val="000000"/>
              </w:rPr>
              <w:t xml:space="preserve"> [</w:t>
            </w:r>
            <w:r w:rsidR="0011204E">
              <w:rPr>
                <w:b/>
                <w:i/>
                <w:color w:val="000000"/>
              </w:rPr>
              <w:t>7</w:t>
            </w:r>
            <w:r w:rsidR="00411660">
              <w:rPr>
                <w:b/>
                <w:i/>
                <w:color w:val="000000"/>
              </w:rPr>
              <w:t>]</w:t>
            </w:r>
          </w:p>
        </w:tc>
        <w:tc>
          <w:tcPr>
            <w:tcW w:w="3870" w:type="dxa"/>
            <w:gridSpan w:val="4"/>
            <w:tcBorders>
              <w:left w:val="single" w:color="auto" w:sz="24" w:space="0"/>
              <w:bottom w:val="single" w:color="auto" w:sz="4" w:space="0"/>
            </w:tcBorders>
            <w:vAlign w:val="bottom"/>
          </w:tcPr>
          <w:p w:rsidRPr="007F620E" w:rsidR="00C16710" w:rsidP="00C16710" w:rsidRDefault="00C16710" w14:paraId="4C4556E5" w14:textId="49B95EF8">
            <w:pPr>
              <w:tabs>
                <w:tab w:val="left" w:pos="957"/>
              </w:tabs>
              <w:spacing w:before="60" w:after="60"/>
              <w:ind w:right="162"/>
              <w:jc w:val="right"/>
              <w:rPr>
                <w:color w:val="000000"/>
              </w:rPr>
            </w:pPr>
            <w:r w:rsidRPr="007F620E">
              <w:rPr>
                <w:b/>
                <w:i/>
                <w:color w:val="000000"/>
              </w:rPr>
              <w:t xml:space="preserve">Subtotal: </w:t>
            </w:r>
            <w:r w:rsidRPr="00D36216">
              <w:rPr>
                <w:b/>
                <w:i/>
                <w:iCs/>
                <w:color w:val="000000"/>
              </w:rPr>
              <w:t>$</w:t>
            </w:r>
            <w:r w:rsidR="001F69E8">
              <w:rPr>
                <w:b/>
                <w:i/>
                <w:iCs/>
                <w:color w:val="000000"/>
              </w:rPr>
              <w:t>67,052.35</w:t>
            </w:r>
          </w:p>
        </w:tc>
      </w:tr>
      <w:tr w:rsidRPr="007F620E" w:rsidR="00C16710" w:rsidTr="001F3B2F" w14:paraId="4F8FAF05" w14:textId="77777777">
        <w:trPr>
          <w:jc w:val="center"/>
        </w:trPr>
        <w:tc>
          <w:tcPr>
            <w:tcW w:w="10525" w:type="dxa"/>
            <w:gridSpan w:val="11"/>
            <w:tcBorders>
              <w:top w:val="single" w:color="auto" w:sz="4" w:space="0"/>
              <w:left w:val="single" w:color="auto" w:sz="4" w:space="0"/>
              <w:bottom w:val="single" w:color="auto" w:sz="4" w:space="0"/>
              <w:right w:val="single" w:color="auto" w:sz="4" w:space="0"/>
            </w:tcBorders>
            <w:shd w:val="clear" w:color="auto" w:fill="E6E6E6"/>
          </w:tcPr>
          <w:p w:rsidRPr="007F620E" w:rsidR="00C16710" w:rsidP="00C16710" w:rsidRDefault="00C16710" w14:paraId="41FE304C" w14:textId="77777777">
            <w:pPr>
              <w:keepNext/>
              <w:spacing w:before="60" w:after="60"/>
              <w:jc w:val="center"/>
              <w:rPr>
                <w:color w:val="000000"/>
              </w:rPr>
            </w:pPr>
            <w:r w:rsidRPr="007F620E">
              <w:rPr>
                <w:b/>
                <w:color w:val="000000"/>
              </w:rPr>
              <w:t xml:space="preserve">INTERVENOR COMPENSATION CLAIM PREPARATION </w:t>
            </w:r>
            <w:r w:rsidRPr="007F620E">
              <w:rPr>
                <w:b/>
                <w:smallCaps/>
                <w:color w:val="000000"/>
              </w:rPr>
              <w:t xml:space="preserve"> **</w:t>
            </w:r>
          </w:p>
        </w:tc>
      </w:tr>
      <w:tr w:rsidRPr="00260518" w:rsidR="00C16710" w:rsidTr="001F3B2F" w14:paraId="48B3E535" w14:textId="77777777">
        <w:trPr>
          <w:jc w:val="center"/>
        </w:trPr>
        <w:tc>
          <w:tcPr>
            <w:tcW w:w="1319" w:type="dxa"/>
            <w:tcBorders>
              <w:top w:val="single" w:color="auto" w:sz="4" w:space="0"/>
              <w:bottom w:val="single" w:color="auto" w:sz="4" w:space="0"/>
            </w:tcBorders>
            <w:vAlign w:val="bottom"/>
          </w:tcPr>
          <w:p w:rsidRPr="00260518" w:rsidR="00C16710" w:rsidP="00C16710" w:rsidRDefault="00C16710" w14:paraId="563A43BB" w14:textId="77777777">
            <w:pPr>
              <w:keepNext/>
              <w:spacing w:before="60" w:after="60"/>
              <w:jc w:val="center"/>
              <w:rPr>
                <w:b/>
                <w:color w:val="000000"/>
                <w:sz w:val="22"/>
                <w:szCs w:val="22"/>
              </w:rPr>
            </w:pPr>
            <w:r w:rsidRPr="00260518">
              <w:rPr>
                <w:b/>
                <w:color w:val="000000"/>
                <w:sz w:val="22"/>
                <w:szCs w:val="22"/>
              </w:rPr>
              <w:t>Item</w:t>
            </w:r>
          </w:p>
        </w:tc>
        <w:tc>
          <w:tcPr>
            <w:tcW w:w="746" w:type="dxa"/>
            <w:tcBorders>
              <w:top w:val="single" w:color="auto" w:sz="4" w:space="0"/>
              <w:bottom w:val="single" w:color="auto" w:sz="4" w:space="0"/>
            </w:tcBorders>
            <w:vAlign w:val="bottom"/>
          </w:tcPr>
          <w:p w:rsidRPr="00260518" w:rsidR="00C16710" w:rsidP="00C16710" w:rsidRDefault="00C16710" w14:paraId="144552E0" w14:textId="77777777">
            <w:pPr>
              <w:keepNext/>
              <w:spacing w:before="60" w:after="60"/>
              <w:jc w:val="center"/>
              <w:rPr>
                <w:b/>
                <w:color w:val="000000"/>
                <w:sz w:val="22"/>
                <w:szCs w:val="22"/>
              </w:rPr>
            </w:pPr>
            <w:r w:rsidRPr="00260518">
              <w:rPr>
                <w:b/>
                <w:color w:val="000000"/>
                <w:sz w:val="22"/>
                <w:szCs w:val="22"/>
              </w:rPr>
              <w:t>Year</w:t>
            </w:r>
          </w:p>
        </w:tc>
        <w:tc>
          <w:tcPr>
            <w:tcW w:w="900" w:type="dxa"/>
            <w:gridSpan w:val="2"/>
            <w:tcBorders>
              <w:top w:val="single" w:color="auto" w:sz="4" w:space="0"/>
              <w:bottom w:val="single" w:color="auto" w:sz="4" w:space="0"/>
            </w:tcBorders>
            <w:vAlign w:val="bottom"/>
          </w:tcPr>
          <w:p w:rsidRPr="00260518" w:rsidR="00C16710" w:rsidP="00C16710" w:rsidRDefault="00C16710" w14:paraId="42890B1B" w14:textId="77777777">
            <w:pPr>
              <w:keepNext/>
              <w:spacing w:before="60" w:after="60"/>
              <w:jc w:val="center"/>
              <w:rPr>
                <w:b/>
                <w:color w:val="000000"/>
                <w:sz w:val="22"/>
                <w:szCs w:val="22"/>
              </w:rPr>
            </w:pPr>
            <w:r w:rsidRPr="00260518">
              <w:rPr>
                <w:b/>
                <w:color w:val="000000"/>
                <w:sz w:val="22"/>
                <w:szCs w:val="22"/>
              </w:rPr>
              <w:t>Hours</w:t>
            </w:r>
          </w:p>
        </w:tc>
        <w:tc>
          <w:tcPr>
            <w:tcW w:w="990" w:type="dxa"/>
            <w:tcBorders>
              <w:top w:val="single" w:color="auto" w:sz="4" w:space="0"/>
              <w:bottom w:val="single" w:color="auto" w:sz="4" w:space="0"/>
            </w:tcBorders>
            <w:vAlign w:val="bottom"/>
          </w:tcPr>
          <w:p w:rsidRPr="00260518" w:rsidR="00C16710" w:rsidP="00C16710" w:rsidRDefault="00C16710" w14:paraId="1E7BD956" w14:textId="243077B9">
            <w:pPr>
              <w:keepNext/>
              <w:spacing w:before="60" w:after="60"/>
              <w:jc w:val="center"/>
              <w:rPr>
                <w:b/>
                <w:color w:val="000000"/>
                <w:sz w:val="22"/>
                <w:szCs w:val="22"/>
              </w:rPr>
            </w:pPr>
            <w:r w:rsidRPr="00260518">
              <w:rPr>
                <w:b/>
                <w:color w:val="000000"/>
                <w:sz w:val="22"/>
                <w:szCs w:val="22"/>
              </w:rPr>
              <w:t>Rate $</w:t>
            </w:r>
          </w:p>
        </w:tc>
        <w:tc>
          <w:tcPr>
            <w:tcW w:w="1530" w:type="dxa"/>
            <w:tcBorders>
              <w:top w:val="single" w:color="auto" w:sz="4" w:space="0"/>
              <w:bottom w:val="single" w:color="auto" w:sz="4" w:space="0"/>
              <w:right w:val="single" w:color="auto" w:sz="4" w:space="0"/>
            </w:tcBorders>
            <w:vAlign w:val="bottom"/>
          </w:tcPr>
          <w:p w:rsidRPr="00260518" w:rsidR="00C16710" w:rsidP="00C16710" w:rsidRDefault="00C16710" w14:paraId="104D7982" w14:textId="77777777">
            <w:pPr>
              <w:keepNext/>
              <w:spacing w:before="60" w:after="60"/>
              <w:jc w:val="center"/>
              <w:rPr>
                <w:b/>
                <w:color w:val="000000"/>
                <w:sz w:val="22"/>
                <w:szCs w:val="22"/>
              </w:rPr>
            </w:pPr>
            <w:r w:rsidRPr="00260518">
              <w:rPr>
                <w:b/>
                <w:color w:val="000000"/>
                <w:sz w:val="22"/>
                <w:szCs w:val="22"/>
              </w:rPr>
              <w:t>Basis for Rate*</w:t>
            </w:r>
          </w:p>
        </w:tc>
        <w:tc>
          <w:tcPr>
            <w:tcW w:w="1170" w:type="dxa"/>
            <w:tcBorders>
              <w:top w:val="single" w:color="auto" w:sz="4" w:space="0"/>
              <w:left w:val="single" w:color="auto" w:sz="4" w:space="0"/>
              <w:bottom w:val="single" w:color="auto" w:sz="4" w:space="0"/>
              <w:right w:val="single" w:color="auto" w:sz="24" w:space="0"/>
            </w:tcBorders>
            <w:vAlign w:val="bottom"/>
          </w:tcPr>
          <w:p w:rsidRPr="00260518" w:rsidR="00C16710" w:rsidP="00C16710" w:rsidRDefault="00C16710" w14:paraId="073B2BB9" w14:textId="77777777">
            <w:pPr>
              <w:keepNext/>
              <w:spacing w:before="60" w:after="60"/>
              <w:jc w:val="center"/>
              <w:rPr>
                <w:b/>
                <w:color w:val="000000"/>
                <w:sz w:val="22"/>
                <w:szCs w:val="22"/>
              </w:rPr>
            </w:pPr>
            <w:r w:rsidRPr="00260518">
              <w:rPr>
                <w:b/>
                <w:color w:val="000000"/>
                <w:sz w:val="22"/>
                <w:szCs w:val="22"/>
              </w:rPr>
              <w:t>Total $</w:t>
            </w:r>
          </w:p>
        </w:tc>
        <w:tc>
          <w:tcPr>
            <w:tcW w:w="1260" w:type="dxa"/>
            <w:gridSpan w:val="2"/>
            <w:tcBorders>
              <w:top w:val="single" w:color="auto" w:sz="4" w:space="0"/>
              <w:left w:val="single" w:color="auto" w:sz="4" w:space="0"/>
            </w:tcBorders>
            <w:vAlign w:val="bottom"/>
          </w:tcPr>
          <w:p w:rsidRPr="00260518" w:rsidR="00C16710" w:rsidP="00C16710" w:rsidRDefault="00C16710" w14:paraId="0409143B" w14:textId="77777777">
            <w:pPr>
              <w:keepNext/>
              <w:spacing w:before="60" w:after="60"/>
              <w:jc w:val="center"/>
              <w:rPr>
                <w:b/>
                <w:color w:val="000000"/>
                <w:sz w:val="22"/>
                <w:szCs w:val="22"/>
              </w:rPr>
            </w:pPr>
            <w:r w:rsidRPr="00260518">
              <w:rPr>
                <w:b/>
                <w:color w:val="000000"/>
                <w:sz w:val="22"/>
                <w:szCs w:val="22"/>
              </w:rPr>
              <w:t>Hours</w:t>
            </w:r>
          </w:p>
        </w:tc>
        <w:tc>
          <w:tcPr>
            <w:tcW w:w="1260" w:type="dxa"/>
            <w:tcBorders>
              <w:top w:val="single" w:color="auto" w:sz="4" w:space="0"/>
            </w:tcBorders>
            <w:vAlign w:val="bottom"/>
          </w:tcPr>
          <w:p w:rsidRPr="00260518" w:rsidR="00C16710" w:rsidP="00C16710" w:rsidRDefault="00C16710" w14:paraId="6B59BB80" w14:textId="2C791D8E">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350" w:type="dxa"/>
            <w:tcBorders>
              <w:top w:val="single" w:color="auto" w:sz="4" w:space="0"/>
            </w:tcBorders>
            <w:vAlign w:val="bottom"/>
          </w:tcPr>
          <w:p w:rsidRPr="00260518" w:rsidR="00C16710" w:rsidP="00C16710" w:rsidRDefault="00C16710"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C16710" w:rsidTr="001F3B2F" w14:paraId="25086E67" w14:textId="77777777">
        <w:trPr>
          <w:jc w:val="center"/>
        </w:trPr>
        <w:tc>
          <w:tcPr>
            <w:tcW w:w="1319" w:type="dxa"/>
          </w:tcPr>
          <w:p w:rsidRPr="001F3B2F" w:rsidR="00C16710" w:rsidP="00C16710" w:rsidRDefault="00C16710" w14:paraId="386D0995" w14:textId="7E4EAC6D">
            <w:pPr>
              <w:spacing w:before="60" w:after="60"/>
              <w:rPr>
                <w:color w:val="000000"/>
                <w:sz w:val="23"/>
                <w:szCs w:val="23"/>
              </w:rPr>
            </w:pPr>
            <w:r w:rsidRPr="001F3B2F">
              <w:rPr>
                <w:color w:val="000000"/>
                <w:sz w:val="23"/>
                <w:szCs w:val="23"/>
              </w:rPr>
              <w:t>Melissa W. Kasnitz</w:t>
            </w:r>
          </w:p>
        </w:tc>
        <w:tc>
          <w:tcPr>
            <w:tcW w:w="746" w:type="dxa"/>
          </w:tcPr>
          <w:p w:rsidRPr="001F3B2F" w:rsidR="00C16710" w:rsidP="000C2420" w:rsidRDefault="00C16710" w14:paraId="4A155F1D" w14:textId="62F8ED2C">
            <w:pPr>
              <w:spacing w:before="60" w:after="60"/>
              <w:rPr>
                <w:color w:val="000000"/>
                <w:sz w:val="23"/>
                <w:szCs w:val="23"/>
              </w:rPr>
            </w:pPr>
            <w:r w:rsidRPr="001F3B2F">
              <w:rPr>
                <w:color w:val="000000"/>
                <w:sz w:val="23"/>
                <w:szCs w:val="23"/>
              </w:rPr>
              <w:t>2025</w:t>
            </w:r>
          </w:p>
        </w:tc>
        <w:tc>
          <w:tcPr>
            <w:tcW w:w="900" w:type="dxa"/>
            <w:gridSpan w:val="2"/>
          </w:tcPr>
          <w:p w:rsidRPr="001F3B2F" w:rsidR="00C16710" w:rsidP="001F3B2F" w:rsidRDefault="00C16710" w14:paraId="30EEA80A" w14:textId="449511CE">
            <w:pPr>
              <w:spacing w:before="60" w:after="60"/>
              <w:rPr>
                <w:color w:val="000000"/>
                <w:sz w:val="23"/>
                <w:szCs w:val="23"/>
              </w:rPr>
            </w:pPr>
            <w:r w:rsidRPr="001F3B2F">
              <w:rPr>
                <w:color w:val="000000"/>
                <w:sz w:val="23"/>
                <w:szCs w:val="23"/>
              </w:rPr>
              <w:t>10.4</w:t>
            </w:r>
          </w:p>
        </w:tc>
        <w:tc>
          <w:tcPr>
            <w:tcW w:w="990" w:type="dxa"/>
          </w:tcPr>
          <w:p w:rsidRPr="001F3B2F" w:rsidR="00C16710" w:rsidP="001F3B2F" w:rsidRDefault="00C16710" w14:paraId="4EB14C91" w14:textId="46C6C4F5">
            <w:pPr>
              <w:spacing w:before="60" w:after="60"/>
              <w:ind w:left="-29"/>
              <w:rPr>
                <w:color w:val="000000"/>
                <w:sz w:val="23"/>
                <w:szCs w:val="23"/>
              </w:rPr>
            </w:pPr>
            <w:r w:rsidRPr="001F3B2F">
              <w:rPr>
                <w:color w:val="000000"/>
                <w:sz w:val="23"/>
                <w:szCs w:val="23"/>
              </w:rPr>
              <w:t>$377.50</w:t>
            </w:r>
          </w:p>
        </w:tc>
        <w:tc>
          <w:tcPr>
            <w:tcW w:w="1530" w:type="dxa"/>
            <w:tcBorders>
              <w:right w:val="single" w:color="auto" w:sz="4" w:space="0"/>
            </w:tcBorders>
          </w:tcPr>
          <w:p w:rsidRPr="001F3B2F" w:rsidR="00C16710" w:rsidP="00C16710" w:rsidRDefault="00C16710" w14:paraId="02D334B7" w14:textId="5C14BB0A">
            <w:pPr>
              <w:spacing w:before="60" w:after="60"/>
              <w:rPr>
                <w:color w:val="000000"/>
                <w:sz w:val="23"/>
                <w:szCs w:val="23"/>
              </w:rPr>
            </w:pPr>
            <w:r w:rsidRPr="001F3B2F">
              <w:rPr>
                <w:color w:val="000000"/>
                <w:sz w:val="23"/>
                <w:szCs w:val="23"/>
              </w:rPr>
              <w:t>½ standard rate, see below</w:t>
            </w:r>
          </w:p>
        </w:tc>
        <w:tc>
          <w:tcPr>
            <w:tcW w:w="1170" w:type="dxa"/>
            <w:tcBorders>
              <w:top w:val="single" w:color="auto" w:sz="4" w:space="0"/>
              <w:left w:val="single" w:color="auto" w:sz="4" w:space="0"/>
              <w:bottom w:val="single" w:color="auto" w:sz="4" w:space="0"/>
              <w:right w:val="single" w:color="auto" w:sz="24" w:space="0"/>
            </w:tcBorders>
          </w:tcPr>
          <w:p w:rsidRPr="001F3B2F" w:rsidR="00C16710" w:rsidP="000C2420" w:rsidRDefault="00C16710" w14:paraId="7B9A0261" w14:textId="3CAFAE15">
            <w:pPr>
              <w:spacing w:before="60" w:after="60"/>
              <w:rPr>
                <w:color w:val="000000"/>
                <w:sz w:val="23"/>
                <w:szCs w:val="23"/>
              </w:rPr>
            </w:pPr>
            <w:r w:rsidRPr="001F3B2F">
              <w:rPr>
                <w:color w:val="000000"/>
                <w:sz w:val="23"/>
                <w:szCs w:val="23"/>
              </w:rPr>
              <w:t>$3,926</w:t>
            </w:r>
          </w:p>
        </w:tc>
        <w:tc>
          <w:tcPr>
            <w:tcW w:w="1260" w:type="dxa"/>
            <w:gridSpan w:val="2"/>
            <w:tcBorders>
              <w:left w:val="single" w:color="auto" w:sz="4" w:space="0"/>
              <w:right w:val="single" w:color="auto" w:sz="4" w:space="0"/>
            </w:tcBorders>
          </w:tcPr>
          <w:p w:rsidRPr="009926F2" w:rsidR="00C16710" w:rsidP="000C2420" w:rsidRDefault="00773BA4" w14:paraId="5E5A4264" w14:textId="369FC9ED">
            <w:pPr>
              <w:spacing w:before="60" w:after="60"/>
              <w:rPr>
                <w:color w:val="000000"/>
                <w:sz w:val="23"/>
                <w:szCs w:val="23"/>
              </w:rPr>
            </w:pPr>
            <w:r w:rsidRPr="009926F2">
              <w:rPr>
                <w:color w:val="000000"/>
                <w:sz w:val="23"/>
                <w:szCs w:val="23"/>
              </w:rPr>
              <w:t>8.00 [</w:t>
            </w:r>
            <w:r w:rsidRPr="009926F2" w:rsidR="0011204E">
              <w:rPr>
                <w:color w:val="000000"/>
                <w:sz w:val="23"/>
                <w:szCs w:val="23"/>
              </w:rPr>
              <w:t>6</w:t>
            </w:r>
            <w:r w:rsidRPr="009926F2">
              <w:rPr>
                <w:color w:val="000000"/>
                <w:sz w:val="23"/>
                <w:szCs w:val="23"/>
              </w:rPr>
              <w:t>]</w:t>
            </w:r>
          </w:p>
        </w:tc>
        <w:tc>
          <w:tcPr>
            <w:tcW w:w="1260" w:type="dxa"/>
            <w:tcBorders>
              <w:left w:val="single" w:color="auto" w:sz="4" w:space="0"/>
            </w:tcBorders>
          </w:tcPr>
          <w:p w:rsidRPr="009926F2" w:rsidR="00C16710" w:rsidP="001F3B2F" w:rsidRDefault="00FF1237" w14:paraId="47B1F089" w14:textId="50708A18">
            <w:pPr>
              <w:spacing w:before="60" w:after="60"/>
              <w:ind w:left="-14" w:right="-105"/>
              <w:rPr>
                <w:color w:val="000000"/>
                <w:sz w:val="23"/>
                <w:szCs w:val="23"/>
              </w:rPr>
            </w:pPr>
            <w:r w:rsidRPr="009926F2">
              <w:rPr>
                <w:color w:val="000000"/>
                <w:sz w:val="23"/>
                <w:szCs w:val="23"/>
              </w:rPr>
              <w:t>$</w:t>
            </w:r>
            <w:r w:rsidRPr="009926F2" w:rsidR="00C16710">
              <w:rPr>
                <w:color w:val="000000"/>
                <w:sz w:val="23"/>
                <w:szCs w:val="23"/>
              </w:rPr>
              <w:t>377.50</w:t>
            </w:r>
            <w:r w:rsidRPr="009926F2" w:rsidR="00BF4D90">
              <w:rPr>
                <w:color w:val="000000"/>
                <w:sz w:val="23"/>
                <w:szCs w:val="23"/>
              </w:rPr>
              <w:t xml:space="preserve"> [1]</w:t>
            </w:r>
          </w:p>
        </w:tc>
        <w:tc>
          <w:tcPr>
            <w:tcW w:w="1350" w:type="dxa"/>
          </w:tcPr>
          <w:p w:rsidRPr="007F620E" w:rsidR="00C16710" w:rsidP="000C2420" w:rsidRDefault="00773BA4" w14:paraId="10659B6D" w14:textId="2820A2D6">
            <w:pPr>
              <w:spacing w:before="60" w:after="60"/>
              <w:rPr>
                <w:color w:val="000000"/>
              </w:rPr>
            </w:pPr>
            <w:r>
              <w:rPr>
                <w:color w:val="000000"/>
              </w:rPr>
              <w:t>$3,020.00</w:t>
            </w:r>
          </w:p>
        </w:tc>
      </w:tr>
      <w:tr w:rsidRPr="007F620E" w:rsidR="00C16710" w:rsidTr="001F3B2F" w14:paraId="266CEDD5" w14:textId="77777777">
        <w:trPr>
          <w:jc w:val="center"/>
        </w:trPr>
        <w:tc>
          <w:tcPr>
            <w:tcW w:w="6655" w:type="dxa"/>
            <w:gridSpan w:val="7"/>
            <w:tcBorders>
              <w:bottom w:val="single" w:color="auto" w:sz="4" w:space="0"/>
              <w:right w:val="single" w:color="auto" w:sz="24" w:space="0"/>
            </w:tcBorders>
            <w:vAlign w:val="bottom"/>
          </w:tcPr>
          <w:p w:rsidRPr="00374FD1" w:rsidR="00C16710" w:rsidP="00C16710" w:rsidRDefault="00C16710" w14:paraId="4A1F5988" w14:textId="1E31BE16">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3,936</w:t>
            </w:r>
          </w:p>
        </w:tc>
        <w:tc>
          <w:tcPr>
            <w:tcW w:w="3870" w:type="dxa"/>
            <w:gridSpan w:val="4"/>
            <w:tcBorders>
              <w:left w:val="single" w:color="auto" w:sz="24" w:space="0"/>
              <w:bottom w:val="single" w:color="auto" w:sz="4" w:space="0"/>
            </w:tcBorders>
            <w:vAlign w:val="bottom"/>
          </w:tcPr>
          <w:p w:rsidRPr="00374FD1" w:rsidR="00C16710" w:rsidP="00C16710" w:rsidRDefault="00C16710" w14:paraId="2FBAA587" w14:textId="0DAC203F">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053219">
              <w:rPr>
                <w:b/>
                <w:i/>
                <w:color w:val="000000"/>
              </w:rPr>
              <w:t>3,020.00</w:t>
            </w:r>
          </w:p>
        </w:tc>
      </w:tr>
      <w:tr w:rsidRPr="007F620E" w:rsidR="00C16710" w:rsidTr="001F3B2F" w14:paraId="06E7371A" w14:textId="77777777">
        <w:trPr>
          <w:jc w:val="center"/>
        </w:trPr>
        <w:tc>
          <w:tcPr>
            <w:tcW w:w="6655" w:type="dxa"/>
            <w:gridSpan w:val="7"/>
            <w:tcBorders>
              <w:top w:val="single" w:color="auto" w:sz="4" w:space="0"/>
              <w:bottom w:val="single" w:color="auto" w:sz="4" w:space="0"/>
              <w:right w:val="single" w:color="auto" w:sz="24" w:space="0"/>
            </w:tcBorders>
            <w:shd w:val="clear" w:color="auto" w:fill="E6E6E6"/>
            <w:vAlign w:val="bottom"/>
          </w:tcPr>
          <w:p w:rsidRPr="00FE3BAE" w:rsidR="00C16710" w:rsidP="00C16710" w:rsidRDefault="00C16710" w14:paraId="11B3B704" w14:textId="2EA8D64B">
            <w:pPr>
              <w:tabs>
                <w:tab w:val="left" w:pos="957"/>
              </w:tabs>
              <w:spacing w:before="60" w:after="60"/>
              <w:ind w:right="72"/>
              <w:jc w:val="right"/>
              <w:rPr>
                <w:b/>
                <w:color w:val="000000"/>
              </w:rPr>
            </w:pPr>
            <w:r w:rsidRPr="00374FD1">
              <w:rPr>
                <w:b/>
                <w:i/>
                <w:color w:val="000000"/>
              </w:rPr>
              <w:t>TOTAL REQUEST: $</w:t>
            </w:r>
            <w:r>
              <w:rPr>
                <w:b/>
                <w:i/>
                <w:color w:val="000000"/>
              </w:rPr>
              <w:t>79,543</w:t>
            </w:r>
            <w:r w:rsidR="00411660">
              <w:rPr>
                <w:b/>
                <w:i/>
                <w:color w:val="000000"/>
              </w:rPr>
              <w:t xml:space="preserve"> [</w:t>
            </w:r>
            <w:r w:rsidR="0011204E">
              <w:rPr>
                <w:b/>
                <w:i/>
                <w:color w:val="000000"/>
              </w:rPr>
              <w:t>7</w:t>
            </w:r>
            <w:r w:rsidR="00411660">
              <w:rPr>
                <w:b/>
                <w:i/>
                <w:color w:val="000000"/>
              </w:rPr>
              <w:t>]</w:t>
            </w:r>
          </w:p>
        </w:tc>
        <w:tc>
          <w:tcPr>
            <w:tcW w:w="3870" w:type="dxa"/>
            <w:gridSpan w:val="4"/>
            <w:tcBorders>
              <w:left w:val="single" w:color="auto" w:sz="24" w:space="0"/>
            </w:tcBorders>
            <w:shd w:val="clear" w:color="auto" w:fill="E6E6E6"/>
            <w:vAlign w:val="bottom"/>
          </w:tcPr>
          <w:p w:rsidRPr="00FE3BAE" w:rsidR="00C16710" w:rsidP="00C16710" w:rsidRDefault="00C16710" w14:paraId="3680D139" w14:textId="4EA23EF0">
            <w:pPr>
              <w:tabs>
                <w:tab w:val="left" w:pos="957"/>
              </w:tabs>
              <w:spacing w:before="60" w:after="60"/>
              <w:ind w:right="72"/>
              <w:jc w:val="right"/>
              <w:rPr>
                <w:b/>
                <w:color w:val="000000"/>
              </w:rPr>
            </w:pPr>
            <w:r w:rsidRPr="00374FD1">
              <w:rPr>
                <w:b/>
                <w:i/>
                <w:color w:val="000000"/>
              </w:rPr>
              <w:t>TOTAL AWARD: $</w:t>
            </w:r>
            <w:r w:rsidR="001F69E8">
              <w:rPr>
                <w:b/>
                <w:i/>
                <w:color w:val="000000"/>
              </w:rPr>
              <w:t>70,072.35</w:t>
            </w:r>
          </w:p>
        </w:tc>
      </w:tr>
      <w:tr w:rsidRPr="007F620E" w:rsidR="00C16710" w:rsidTr="001F3B2F" w14:paraId="6A909BC1" w14:textId="77777777">
        <w:trPr>
          <w:jc w:val="center"/>
        </w:trPr>
        <w:tc>
          <w:tcPr>
            <w:tcW w:w="10525" w:type="dxa"/>
            <w:gridSpan w:val="11"/>
            <w:tcBorders>
              <w:top w:val="single" w:color="auto" w:sz="4" w:space="0"/>
              <w:bottom w:val="single" w:color="auto" w:sz="4" w:space="0"/>
            </w:tcBorders>
          </w:tcPr>
          <w:p w:rsidR="00CA74FB" w:rsidP="00C16710" w:rsidRDefault="00C16710" w14:paraId="5C77FF69" w14:textId="77777777">
            <w:pPr>
              <w:spacing w:before="60" w:after="60"/>
              <w:rPr>
                <w:color w:val="000000"/>
              </w:rPr>
            </w:pPr>
            <w:r w:rsidRPr="007F620E">
              <w:rPr>
                <w:color w:val="000000"/>
              </w:rPr>
              <w:t xml:space="preserve">*We remind all intervenors that Commission staff may audit </w:t>
            </w:r>
            <w:r>
              <w:t>the records and books of the intervenors to the extent necessary to verify the basis for the award (§1804(d)).  I</w:t>
            </w:r>
            <w:r w:rsidRPr="007F620E">
              <w:rPr>
                <w:color w:val="000000"/>
              </w:rPr>
              <w:t>ntervenors must make and retain adequate accounting and other documentation to support all claims for intervenor compensation.</w:t>
            </w:r>
          </w:p>
          <w:p w:rsidRPr="007F620E" w:rsidR="00C16710" w:rsidP="00C16710" w:rsidRDefault="00C16710" w14:paraId="6F39872E" w14:textId="6EF8DE60">
            <w:pPr>
              <w:spacing w:before="60" w:after="60"/>
              <w:rPr>
                <w:color w:val="000000"/>
              </w:rPr>
            </w:pPr>
            <w:r w:rsidRPr="007F620E">
              <w:rPr>
                <w:color w:val="000000"/>
              </w:rPr>
              <w:t>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w:t>
            </w:r>
          </w:p>
          <w:p w:rsidR="00CA74FB" w:rsidP="00CA74FB" w:rsidRDefault="00C16710" w14:paraId="0A31729F" w14:textId="77777777">
            <w:pPr>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w:t>
            </w:r>
          </w:p>
          <w:p w:rsidRPr="007F620E" w:rsidR="00C16710" w:rsidP="00CA74FB" w:rsidRDefault="00C16710" w14:paraId="0D03EC65" w14:textId="273DD56D">
            <w:pPr>
              <w:rPr>
                <w:color w:val="000000"/>
              </w:rPr>
            </w:pPr>
            <w:r w:rsidRPr="007F620E">
              <w:rPr>
                <w:color w:val="000000"/>
              </w:rPr>
              <w:t>hourly rate</w:t>
            </w:r>
            <w:r w:rsidRPr="007F620E" w:rsidDel="00D075B1">
              <w:rPr>
                <w:color w:val="000000"/>
              </w:rPr>
              <w:t xml:space="preserve"> </w:t>
            </w:r>
          </w:p>
        </w:tc>
      </w:tr>
      <w:tr w:rsidRPr="007F620E" w:rsidR="00C16710" w:rsidTr="001F3B2F" w14:paraId="458B01A4" w14:textId="77777777">
        <w:trPr>
          <w:jc w:val="center"/>
        </w:trPr>
        <w:tc>
          <w:tcPr>
            <w:tcW w:w="10525" w:type="dxa"/>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C16710" w:rsidP="00C16710" w:rsidRDefault="00C16710" w14:paraId="48B43CBD" w14:textId="77777777">
            <w:pPr>
              <w:keepNext/>
              <w:spacing w:before="60" w:after="60"/>
              <w:jc w:val="center"/>
              <w:rPr>
                <w:b/>
                <w:smallCaps/>
                <w:color w:val="000000"/>
              </w:rPr>
            </w:pPr>
            <w:r w:rsidRPr="007F620E">
              <w:rPr>
                <w:b/>
                <w:smallCaps/>
                <w:color w:val="000000"/>
              </w:rPr>
              <w:t>ATTORNEY INFORMATION</w:t>
            </w:r>
          </w:p>
        </w:tc>
      </w:tr>
      <w:tr w:rsidRPr="00C16981" w:rsidR="00C16710" w:rsidTr="001F3B2F" w14:paraId="790C92C0" w14:textId="77777777">
        <w:trPr>
          <w:trHeight w:val="173"/>
          <w:jc w:val="center"/>
        </w:trPr>
        <w:tc>
          <w:tcPr>
            <w:tcW w:w="2695" w:type="dxa"/>
            <w:gridSpan w:val="3"/>
            <w:tcBorders>
              <w:top w:val="single" w:color="auto" w:sz="4" w:space="0"/>
              <w:bottom w:val="single" w:color="auto" w:sz="4" w:space="0"/>
            </w:tcBorders>
            <w:shd w:val="clear" w:color="auto" w:fill="FFFFFF"/>
            <w:vAlign w:val="bottom"/>
          </w:tcPr>
          <w:p w:rsidRPr="00C16981" w:rsidR="00C16710" w:rsidP="001A3962" w:rsidRDefault="00C16710" w14:paraId="00CAC866" w14:textId="77777777">
            <w:pPr>
              <w:keepNext/>
              <w:keepLines/>
              <w:spacing w:before="60"/>
              <w:jc w:val="center"/>
              <w:rPr>
                <w:b/>
                <w:color w:val="000000"/>
                <w:sz w:val="22"/>
                <w:szCs w:val="22"/>
              </w:rPr>
            </w:pPr>
            <w:r w:rsidRPr="00C16981">
              <w:rPr>
                <w:b/>
                <w:sz w:val="22"/>
                <w:szCs w:val="22"/>
              </w:rPr>
              <w:t>Attorney</w:t>
            </w:r>
          </w:p>
        </w:tc>
        <w:tc>
          <w:tcPr>
            <w:tcW w:w="2790" w:type="dxa"/>
            <w:gridSpan w:val="3"/>
            <w:tcBorders>
              <w:top w:val="single" w:color="auto" w:sz="4" w:space="0"/>
              <w:bottom w:val="single" w:color="auto" w:sz="4" w:space="0"/>
            </w:tcBorders>
            <w:shd w:val="clear" w:color="auto" w:fill="FFFFFF"/>
            <w:vAlign w:val="bottom"/>
          </w:tcPr>
          <w:p w:rsidRPr="00C16981" w:rsidR="00C16710" w:rsidP="001A3962" w:rsidRDefault="00C16710" w14:paraId="7E76A008" w14:textId="77777777">
            <w:pPr>
              <w:keepNext/>
              <w:keepLines/>
              <w:spacing w:before="60"/>
              <w:jc w:val="center"/>
              <w:rPr>
                <w:b/>
                <w:color w:val="000000"/>
                <w:sz w:val="22"/>
                <w:szCs w:val="22"/>
              </w:rPr>
            </w:pPr>
            <w:r w:rsidRPr="00C16981">
              <w:rPr>
                <w:b/>
                <w:sz w:val="22"/>
                <w:szCs w:val="22"/>
              </w:rPr>
              <w:t>Date Admitted to CA BAR</w:t>
            </w:r>
            <w:r w:rsidRPr="00C16981">
              <w:rPr>
                <w:rStyle w:val="FootnoteReference"/>
                <w:b/>
                <w:sz w:val="22"/>
                <w:szCs w:val="22"/>
              </w:rPr>
              <w:footnoteReference w:id="5"/>
            </w:r>
          </w:p>
        </w:tc>
        <w:tc>
          <w:tcPr>
            <w:tcW w:w="1980" w:type="dxa"/>
            <w:gridSpan w:val="2"/>
            <w:tcBorders>
              <w:top w:val="single" w:color="auto" w:sz="4" w:space="0"/>
              <w:bottom w:val="single" w:color="auto" w:sz="4" w:space="0"/>
            </w:tcBorders>
            <w:shd w:val="clear" w:color="auto" w:fill="FFFFFF"/>
            <w:vAlign w:val="bottom"/>
          </w:tcPr>
          <w:p w:rsidRPr="00C16981" w:rsidR="00C16710" w:rsidP="001A3962" w:rsidRDefault="00C16710" w14:paraId="27E64ED7" w14:textId="77777777">
            <w:pPr>
              <w:keepNext/>
              <w:keepLines/>
              <w:spacing w:before="60"/>
              <w:jc w:val="center"/>
              <w:rPr>
                <w:b/>
                <w:color w:val="000000"/>
                <w:sz w:val="22"/>
                <w:szCs w:val="22"/>
              </w:rPr>
            </w:pPr>
            <w:r w:rsidRPr="00C16981">
              <w:rPr>
                <w:b/>
                <w:sz w:val="22"/>
                <w:szCs w:val="22"/>
              </w:rPr>
              <w:t>Member Number</w:t>
            </w:r>
          </w:p>
        </w:tc>
        <w:tc>
          <w:tcPr>
            <w:tcW w:w="3060" w:type="dxa"/>
            <w:gridSpan w:val="3"/>
            <w:tcBorders>
              <w:top w:val="single" w:color="auto" w:sz="4" w:space="0"/>
              <w:bottom w:val="single" w:color="auto" w:sz="4" w:space="0"/>
            </w:tcBorders>
            <w:shd w:val="clear" w:color="auto" w:fill="FFFFFF"/>
            <w:vAlign w:val="bottom"/>
          </w:tcPr>
          <w:p w:rsidRPr="00C16981" w:rsidR="00C16710" w:rsidP="00CA74FB" w:rsidRDefault="00C16710" w14:paraId="496B5DC1" w14:textId="77777777">
            <w:pPr>
              <w:keepNext/>
              <w:keepLines/>
              <w:jc w:val="center"/>
              <w:rPr>
                <w:b/>
                <w:sz w:val="22"/>
                <w:szCs w:val="22"/>
              </w:rPr>
            </w:pPr>
            <w:r w:rsidRPr="00C16981">
              <w:rPr>
                <w:b/>
                <w:sz w:val="22"/>
                <w:szCs w:val="22"/>
              </w:rPr>
              <w:t>Actions Affecting Eligibility (Yes/No?)</w:t>
            </w:r>
          </w:p>
          <w:p w:rsidRPr="00C16981" w:rsidR="00C16710" w:rsidP="00CA74FB" w:rsidRDefault="00C16710" w14:paraId="36F8922D" w14:textId="77777777">
            <w:pPr>
              <w:keepNext/>
              <w:keepLines/>
              <w:jc w:val="center"/>
              <w:rPr>
                <w:b/>
                <w:color w:val="000000"/>
                <w:sz w:val="22"/>
                <w:szCs w:val="22"/>
              </w:rPr>
            </w:pPr>
            <w:r w:rsidRPr="00C16981">
              <w:rPr>
                <w:b/>
                <w:sz w:val="22"/>
                <w:szCs w:val="22"/>
              </w:rPr>
              <w:t>If “Yes”, attach explanation</w:t>
            </w:r>
          </w:p>
        </w:tc>
      </w:tr>
      <w:tr w:rsidRPr="007F620E" w:rsidR="00C16710" w:rsidTr="001F3B2F" w14:paraId="4DC5EE9B" w14:textId="77777777">
        <w:trPr>
          <w:trHeight w:val="172"/>
          <w:jc w:val="center"/>
        </w:trPr>
        <w:tc>
          <w:tcPr>
            <w:tcW w:w="2695" w:type="dxa"/>
            <w:gridSpan w:val="3"/>
            <w:tcBorders>
              <w:top w:val="single" w:color="auto" w:sz="4" w:space="0"/>
              <w:bottom w:val="single" w:color="auto" w:sz="4" w:space="0"/>
            </w:tcBorders>
          </w:tcPr>
          <w:p w:rsidRPr="007F620E" w:rsidR="00C16710" w:rsidP="001A3962" w:rsidRDefault="00C16710" w14:paraId="7266B7BF" w14:textId="7EC08AE1">
            <w:pPr>
              <w:keepLines/>
              <w:spacing w:before="60"/>
              <w:jc w:val="center"/>
              <w:rPr>
                <w:color w:val="000000"/>
              </w:rPr>
            </w:pPr>
            <w:r>
              <w:rPr>
                <w:color w:val="000000"/>
              </w:rPr>
              <w:t>Melissa W. Kasnitz</w:t>
            </w:r>
          </w:p>
        </w:tc>
        <w:tc>
          <w:tcPr>
            <w:tcW w:w="2790" w:type="dxa"/>
            <w:gridSpan w:val="3"/>
            <w:tcBorders>
              <w:top w:val="single" w:color="auto" w:sz="4" w:space="0"/>
              <w:bottom w:val="single" w:color="auto" w:sz="4" w:space="0"/>
            </w:tcBorders>
          </w:tcPr>
          <w:p w:rsidRPr="007F620E" w:rsidR="00C16710" w:rsidP="001A3962" w:rsidRDefault="00C16710" w14:paraId="69A41F15" w14:textId="435ECBDB">
            <w:pPr>
              <w:keepLines/>
              <w:spacing w:before="60"/>
              <w:jc w:val="center"/>
              <w:rPr>
                <w:color w:val="000000"/>
              </w:rPr>
            </w:pPr>
            <w:r>
              <w:rPr>
                <w:color w:val="000000"/>
              </w:rPr>
              <w:t>1992</w:t>
            </w:r>
          </w:p>
        </w:tc>
        <w:tc>
          <w:tcPr>
            <w:tcW w:w="1980" w:type="dxa"/>
            <w:gridSpan w:val="2"/>
            <w:tcBorders>
              <w:top w:val="single" w:color="auto" w:sz="4" w:space="0"/>
              <w:bottom w:val="single" w:color="auto" w:sz="4" w:space="0"/>
            </w:tcBorders>
          </w:tcPr>
          <w:p w:rsidRPr="007F620E" w:rsidR="00C16710" w:rsidP="001A3962" w:rsidRDefault="00C16710" w14:paraId="58495CD7" w14:textId="3339C338">
            <w:pPr>
              <w:keepLines/>
              <w:spacing w:before="60"/>
              <w:jc w:val="center"/>
              <w:rPr>
                <w:color w:val="000000"/>
              </w:rPr>
            </w:pPr>
            <w:r>
              <w:rPr>
                <w:color w:val="000000"/>
              </w:rPr>
              <w:t>162679</w:t>
            </w:r>
          </w:p>
        </w:tc>
        <w:tc>
          <w:tcPr>
            <w:tcW w:w="3060" w:type="dxa"/>
            <w:gridSpan w:val="3"/>
            <w:tcBorders>
              <w:top w:val="single" w:color="auto" w:sz="4" w:space="0"/>
              <w:bottom w:val="single" w:color="auto" w:sz="4" w:space="0"/>
            </w:tcBorders>
          </w:tcPr>
          <w:p w:rsidRPr="007F620E" w:rsidR="00C16710" w:rsidP="001A3962" w:rsidRDefault="00C16710" w14:paraId="117B99BF" w14:textId="724529C5">
            <w:pPr>
              <w:keepLines/>
              <w:spacing w:before="60"/>
              <w:jc w:val="center"/>
              <w:rPr>
                <w:color w:val="000000"/>
              </w:rPr>
            </w:pPr>
            <w:r>
              <w:rPr>
                <w:color w:val="000000"/>
              </w:rPr>
              <w:t>No</w:t>
            </w:r>
          </w:p>
        </w:tc>
      </w:tr>
      <w:tr w:rsidRPr="007F620E" w:rsidR="00C16710" w:rsidTr="001F3B2F" w14:paraId="5D036E2E" w14:textId="77777777">
        <w:trPr>
          <w:trHeight w:val="172"/>
          <w:jc w:val="center"/>
        </w:trPr>
        <w:tc>
          <w:tcPr>
            <w:tcW w:w="2695" w:type="dxa"/>
            <w:gridSpan w:val="3"/>
            <w:tcBorders>
              <w:top w:val="single" w:color="auto" w:sz="4" w:space="0"/>
              <w:bottom w:val="single" w:color="auto" w:sz="4" w:space="0"/>
            </w:tcBorders>
          </w:tcPr>
          <w:p w:rsidRPr="007F620E" w:rsidR="00C16710" w:rsidP="001A3962" w:rsidRDefault="00C16710" w14:paraId="3D5F8F51" w14:textId="17CA162A">
            <w:pPr>
              <w:spacing w:before="60"/>
              <w:jc w:val="center"/>
              <w:rPr>
                <w:color w:val="000000"/>
              </w:rPr>
            </w:pPr>
            <w:r>
              <w:rPr>
                <w:color w:val="000000"/>
              </w:rPr>
              <w:t>Alexandra Green</w:t>
            </w:r>
          </w:p>
        </w:tc>
        <w:tc>
          <w:tcPr>
            <w:tcW w:w="2790" w:type="dxa"/>
            <w:gridSpan w:val="3"/>
            <w:tcBorders>
              <w:top w:val="single" w:color="auto" w:sz="4" w:space="0"/>
              <w:bottom w:val="single" w:color="auto" w:sz="4" w:space="0"/>
            </w:tcBorders>
          </w:tcPr>
          <w:p w:rsidRPr="007F620E" w:rsidR="00C16710" w:rsidP="001A3962" w:rsidRDefault="00C16710" w14:paraId="1609FC8E" w14:textId="4FAAB54D">
            <w:pPr>
              <w:spacing w:before="60"/>
              <w:jc w:val="center"/>
              <w:rPr>
                <w:color w:val="000000"/>
              </w:rPr>
            </w:pPr>
            <w:r>
              <w:rPr>
                <w:color w:val="000000"/>
              </w:rPr>
              <w:t>12/2/2022</w:t>
            </w:r>
          </w:p>
        </w:tc>
        <w:tc>
          <w:tcPr>
            <w:tcW w:w="1980" w:type="dxa"/>
            <w:gridSpan w:val="2"/>
            <w:tcBorders>
              <w:top w:val="single" w:color="auto" w:sz="4" w:space="0"/>
              <w:bottom w:val="single" w:color="auto" w:sz="4" w:space="0"/>
            </w:tcBorders>
          </w:tcPr>
          <w:p w:rsidRPr="007F620E" w:rsidR="00C16710" w:rsidP="001A3962" w:rsidRDefault="00C16710" w14:paraId="182A9D2B" w14:textId="506ACA0C">
            <w:pPr>
              <w:spacing w:before="60"/>
              <w:jc w:val="center"/>
              <w:rPr>
                <w:color w:val="000000"/>
              </w:rPr>
            </w:pPr>
            <w:r>
              <w:rPr>
                <w:color w:val="000000"/>
              </w:rPr>
              <w:t>346771</w:t>
            </w:r>
          </w:p>
        </w:tc>
        <w:tc>
          <w:tcPr>
            <w:tcW w:w="3060" w:type="dxa"/>
            <w:gridSpan w:val="3"/>
            <w:tcBorders>
              <w:top w:val="single" w:color="auto" w:sz="4" w:space="0"/>
              <w:bottom w:val="single" w:color="auto" w:sz="4" w:space="0"/>
            </w:tcBorders>
          </w:tcPr>
          <w:p w:rsidRPr="007F620E" w:rsidR="00C16710" w:rsidP="001A3962" w:rsidRDefault="00C16710" w14:paraId="35DC3C56" w14:textId="32A502C0">
            <w:pPr>
              <w:spacing w:before="60"/>
              <w:jc w:val="center"/>
              <w:rPr>
                <w:color w:val="000000"/>
              </w:rPr>
            </w:pPr>
            <w:r>
              <w:rPr>
                <w:color w:val="000000"/>
              </w:rPr>
              <w:t>No</w:t>
            </w:r>
          </w:p>
        </w:tc>
      </w:tr>
      <w:tr w:rsidRPr="007F620E" w:rsidR="00C16710" w:rsidTr="001F3B2F" w14:paraId="25667394" w14:textId="77777777">
        <w:trPr>
          <w:trHeight w:val="172"/>
          <w:jc w:val="center"/>
        </w:trPr>
        <w:tc>
          <w:tcPr>
            <w:tcW w:w="2695" w:type="dxa"/>
            <w:gridSpan w:val="3"/>
            <w:tcBorders>
              <w:top w:val="single" w:color="auto" w:sz="4" w:space="0"/>
              <w:bottom w:val="single" w:color="auto" w:sz="4" w:space="0"/>
            </w:tcBorders>
          </w:tcPr>
          <w:p w:rsidR="00C16710" w:rsidP="001A3962" w:rsidRDefault="00C16710" w14:paraId="4D4DB202" w14:textId="0EABCBB3">
            <w:pPr>
              <w:spacing w:before="60"/>
              <w:jc w:val="center"/>
              <w:rPr>
                <w:color w:val="000000"/>
              </w:rPr>
            </w:pPr>
            <w:r>
              <w:rPr>
                <w:color w:val="000000"/>
              </w:rPr>
              <w:t>Rachel Sweetnam</w:t>
            </w:r>
          </w:p>
        </w:tc>
        <w:tc>
          <w:tcPr>
            <w:tcW w:w="2790" w:type="dxa"/>
            <w:gridSpan w:val="3"/>
            <w:tcBorders>
              <w:top w:val="single" w:color="auto" w:sz="4" w:space="0"/>
              <w:bottom w:val="single" w:color="auto" w:sz="4" w:space="0"/>
            </w:tcBorders>
          </w:tcPr>
          <w:p w:rsidR="00C16710" w:rsidP="001A3962" w:rsidRDefault="00C16710" w14:paraId="38B2C999" w14:textId="07096BDC">
            <w:pPr>
              <w:spacing w:before="60"/>
              <w:jc w:val="center"/>
              <w:rPr>
                <w:color w:val="000000"/>
              </w:rPr>
            </w:pPr>
            <w:r>
              <w:rPr>
                <w:color w:val="000000"/>
              </w:rPr>
              <w:t>2023</w:t>
            </w:r>
          </w:p>
        </w:tc>
        <w:tc>
          <w:tcPr>
            <w:tcW w:w="1980" w:type="dxa"/>
            <w:gridSpan w:val="2"/>
            <w:tcBorders>
              <w:top w:val="single" w:color="auto" w:sz="4" w:space="0"/>
              <w:bottom w:val="single" w:color="auto" w:sz="4" w:space="0"/>
            </w:tcBorders>
          </w:tcPr>
          <w:p w:rsidR="00C16710" w:rsidP="001A3962" w:rsidRDefault="00C16710" w14:paraId="3DECC860" w14:textId="49AD234F">
            <w:pPr>
              <w:spacing w:before="60"/>
              <w:jc w:val="center"/>
              <w:rPr>
                <w:color w:val="000000"/>
              </w:rPr>
            </w:pPr>
            <w:r>
              <w:rPr>
                <w:color w:val="000000"/>
              </w:rPr>
              <w:t>350075</w:t>
            </w:r>
          </w:p>
        </w:tc>
        <w:tc>
          <w:tcPr>
            <w:tcW w:w="3060" w:type="dxa"/>
            <w:gridSpan w:val="3"/>
            <w:tcBorders>
              <w:top w:val="single" w:color="auto" w:sz="4" w:space="0"/>
              <w:bottom w:val="single" w:color="auto" w:sz="4" w:space="0"/>
            </w:tcBorders>
          </w:tcPr>
          <w:p w:rsidR="00C16710" w:rsidP="001A3962" w:rsidRDefault="00C16710" w14:paraId="3FCFE3E4" w14:textId="7EBBA769">
            <w:pPr>
              <w:spacing w:before="60"/>
              <w:jc w:val="center"/>
              <w:rPr>
                <w:color w:val="000000"/>
              </w:rPr>
            </w:pPr>
            <w:r>
              <w:rPr>
                <w:color w:val="000000"/>
              </w:rPr>
              <w:t>No</w:t>
            </w:r>
          </w:p>
        </w:tc>
      </w:tr>
    </w:tbl>
    <w:p w:rsidRPr="000C2420" w:rsidR="00AE0EB2" w:rsidP="00CF6D76" w:rsidRDefault="00A92D0B" w14:paraId="6BB1E14D" w14:textId="098119E2">
      <w:pPr>
        <w:keepNext/>
        <w:numPr>
          <w:ilvl w:val="0"/>
          <w:numId w:val="9"/>
        </w:numPr>
        <w:spacing w:before="240" w:line="360" w:lineRule="auto"/>
        <w:rPr>
          <w:rFonts w:ascii="Arial" w:hAnsi="Arial" w:cs="Arial"/>
          <w:b/>
          <w:color w:val="000000"/>
          <w:sz w:val="26"/>
          <w:szCs w:val="26"/>
        </w:rPr>
      </w:pPr>
      <w:r w:rsidRPr="000C2420">
        <w:rPr>
          <w:rFonts w:ascii="Arial" w:hAnsi="Arial" w:cs="Arial"/>
          <w:b/>
          <w:color w:val="000000"/>
          <w:sz w:val="26"/>
          <w:szCs w:val="26"/>
        </w:rPr>
        <w:lastRenderedPageBreak/>
        <w:t>Attachments</w:t>
      </w:r>
      <w:r w:rsidRPr="000C2420">
        <w:rPr>
          <w:rFonts w:ascii="Arial" w:hAnsi="Arial" w:cs="Arial"/>
          <w:b/>
          <w:sz w:val="26"/>
          <w:szCs w:val="26"/>
        </w:rPr>
        <w:t xml:space="preserve"> Documenting Specific Claim and Comments on Part III</w:t>
      </w:r>
      <w:r w:rsidRPr="000C2420" w:rsidR="00C02649">
        <w:rPr>
          <w:rFonts w:ascii="Arial" w:hAnsi="Arial" w:cs="Arial"/>
          <w:b/>
          <w:sz w:val="26"/>
          <w:szCs w:val="26"/>
        </w:rPr>
        <w:t>:</w:t>
      </w:r>
    </w:p>
    <w:tbl>
      <w:tblPr>
        <w:tblW w:w="1044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430"/>
        <w:gridCol w:w="8010"/>
      </w:tblGrid>
      <w:tr w:rsidRPr="007F620E" w:rsidR="00A92D0B" w:rsidTr="00BA6431" w14:paraId="0C2B760A" w14:textId="77777777">
        <w:trPr>
          <w:tblHeader/>
        </w:trPr>
        <w:tc>
          <w:tcPr>
            <w:tcW w:w="2430" w:type="dxa"/>
            <w:shd w:val="clear" w:color="auto" w:fill="D9D9D9" w:themeFill="background1" w:themeFillShade="D9"/>
            <w:vAlign w:val="center"/>
          </w:tcPr>
          <w:p w:rsidRPr="007F620E" w:rsidR="00A92D0B" w:rsidP="000C2420" w:rsidRDefault="000C2420" w14:paraId="42A1D838" w14:textId="2AC3F3F4">
            <w:pPr>
              <w:tabs>
                <w:tab w:val="left" w:pos="1260"/>
              </w:tabs>
              <w:jc w:val="center"/>
              <w:rPr>
                <w:b/>
                <w:color w:val="000000"/>
              </w:rPr>
            </w:pPr>
            <w:r w:rsidRPr="007F620E">
              <w:rPr>
                <w:b/>
                <w:color w:val="000000"/>
              </w:rPr>
              <w:t>ATTACHMENT OR COMMENT  #</w:t>
            </w:r>
          </w:p>
        </w:tc>
        <w:tc>
          <w:tcPr>
            <w:tcW w:w="8010" w:type="dxa"/>
            <w:tcBorders>
              <w:bottom w:val="single" w:color="auto" w:sz="4" w:space="0"/>
            </w:tcBorders>
            <w:shd w:val="clear" w:color="auto" w:fill="D9D9D9" w:themeFill="background1" w:themeFillShade="D9"/>
            <w:vAlign w:val="center"/>
          </w:tcPr>
          <w:p w:rsidRPr="007F620E" w:rsidR="00A92D0B" w:rsidP="000C2420" w:rsidRDefault="000C2420" w14:paraId="55F0A65F" w14:textId="5C60353E">
            <w:pPr>
              <w:tabs>
                <w:tab w:val="left" w:pos="1260"/>
              </w:tabs>
              <w:jc w:val="center"/>
              <w:rPr>
                <w:b/>
                <w:color w:val="000000"/>
              </w:rPr>
            </w:pPr>
            <w:r w:rsidRPr="007F620E">
              <w:rPr>
                <w:b/>
                <w:color w:val="000000"/>
              </w:rPr>
              <w:t>DESCRIPTION/COMMENT</w:t>
            </w:r>
          </w:p>
        </w:tc>
      </w:tr>
      <w:tr w:rsidRPr="007F620E" w:rsidR="00A92D0B" w:rsidTr="00BA6431" w14:paraId="71F47148" w14:textId="77777777">
        <w:tc>
          <w:tcPr>
            <w:tcW w:w="2430" w:type="dxa"/>
            <w:tcBorders>
              <w:bottom w:val="single" w:color="auto" w:sz="4" w:space="0"/>
            </w:tcBorders>
            <w:vAlign w:val="center"/>
          </w:tcPr>
          <w:p w:rsidRPr="007F620E" w:rsidR="00A92D0B" w:rsidP="007374AA" w:rsidRDefault="00A92D0B" w14:paraId="7A5C03D8" w14:textId="77777777">
            <w:pPr>
              <w:tabs>
                <w:tab w:val="left" w:pos="1260"/>
              </w:tabs>
              <w:jc w:val="center"/>
              <w:rPr>
                <w:color w:val="000000"/>
              </w:rPr>
            </w:pPr>
            <w:r w:rsidRPr="007F620E">
              <w:rPr>
                <w:color w:val="000000"/>
              </w:rPr>
              <w:t>1</w:t>
            </w:r>
          </w:p>
        </w:tc>
        <w:tc>
          <w:tcPr>
            <w:tcW w:w="8010"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BA6431" w14:paraId="72C869B0" w14:textId="77777777">
        <w:tc>
          <w:tcPr>
            <w:tcW w:w="2430" w:type="dxa"/>
            <w:vAlign w:val="center"/>
          </w:tcPr>
          <w:p w:rsidRPr="007F620E" w:rsidR="00A92D0B" w:rsidP="007374AA" w:rsidRDefault="0022302F" w14:paraId="49AADD21" w14:textId="77777777">
            <w:pPr>
              <w:tabs>
                <w:tab w:val="left" w:pos="1260"/>
              </w:tabs>
              <w:jc w:val="center"/>
              <w:rPr>
                <w:color w:val="000000"/>
              </w:rPr>
            </w:pPr>
            <w:r>
              <w:rPr>
                <w:color w:val="000000"/>
              </w:rPr>
              <w:t>2</w:t>
            </w:r>
          </w:p>
        </w:tc>
        <w:tc>
          <w:tcPr>
            <w:tcW w:w="8010" w:type="dxa"/>
          </w:tcPr>
          <w:p w:rsidRPr="007F620E" w:rsidR="00A92D0B" w:rsidP="001A3CF3" w:rsidRDefault="00E92B20" w14:paraId="3AF20C23" w14:textId="588E30DC">
            <w:pPr>
              <w:tabs>
                <w:tab w:val="left" w:pos="1260"/>
              </w:tabs>
              <w:rPr>
                <w:b/>
                <w:color w:val="000000"/>
              </w:rPr>
            </w:pPr>
            <w:r>
              <w:rPr>
                <w:b/>
                <w:color w:val="000000"/>
              </w:rPr>
              <w:t>Time Records</w:t>
            </w:r>
          </w:p>
        </w:tc>
      </w:tr>
      <w:tr w:rsidRPr="007F620E" w:rsidR="00FE717C" w:rsidTr="00BA6431" w14:paraId="47816F80" w14:textId="77777777">
        <w:tc>
          <w:tcPr>
            <w:tcW w:w="2430" w:type="dxa"/>
            <w:vAlign w:val="center"/>
          </w:tcPr>
          <w:p w:rsidR="00FE717C" w:rsidP="007374AA" w:rsidRDefault="00FE717C" w14:paraId="44FE49B5" w14:textId="77777777">
            <w:pPr>
              <w:tabs>
                <w:tab w:val="left" w:pos="1260"/>
              </w:tabs>
              <w:jc w:val="center"/>
              <w:rPr>
                <w:color w:val="000000"/>
              </w:rPr>
            </w:pPr>
          </w:p>
        </w:tc>
        <w:tc>
          <w:tcPr>
            <w:tcW w:w="8010" w:type="dxa"/>
          </w:tcPr>
          <w:p w:rsidRPr="00FE717C" w:rsidR="00FE717C" w:rsidP="001A3CF3" w:rsidRDefault="00FE717C" w14:paraId="6A5E8782" w14:textId="7B141C39">
            <w:pPr>
              <w:tabs>
                <w:tab w:val="left" w:pos="1260"/>
              </w:tabs>
              <w:rPr>
                <w:bCs/>
                <w:color w:val="000000"/>
              </w:rPr>
            </w:pPr>
            <w:r w:rsidRPr="00FE717C">
              <w:rPr>
                <w:b/>
                <w:color w:val="000000"/>
              </w:rPr>
              <w:t>Kasnitz Rate for 2025</w:t>
            </w:r>
            <w:r>
              <w:rPr>
                <w:bCs/>
                <w:color w:val="000000"/>
              </w:rPr>
              <w:t xml:space="preserve">:  CforAT has previously requested a 2025 hourly rate of $760 for Legal Director Melissa W. Kasnitz.  While no final decision has yet set a rate, a currently pending </w:t>
            </w:r>
            <w:r w:rsidR="00420858">
              <w:rPr>
                <w:bCs/>
                <w:color w:val="000000"/>
              </w:rPr>
              <w:t xml:space="preserve">compensation </w:t>
            </w:r>
            <w:r>
              <w:rPr>
                <w:bCs/>
                <w:color w:val="000000"/>
              </w:rPr>
              <w:t xml:space="preserve">PD </w:t>
            </w:r>
            <w:r w:rsidR="00420858">
              <w:rPr>
                <w:bCs/>
                <w:color w:val="000000"/>
              </w:rPr>
              <w:t xml:space="preserve">in </w:t>
            </w:r>
            <w:r w:rsidR="00496323">
              <w:rPr>
                <w:bCs/>
                <w:color w:val="000000"/>
              </w:rPr>
              <w:t xml:space="preserve">R.18-03-011 </w:t>
            </w:r>
            <w:r>
              <w:rPr>
                <w:bCs/>
                <w:color w:val="000000"/>
              </w:rPr>
              <w:t xml:space="preserve">(set to be addressed at the </w:t>
            </w:r>
            <w:r w:rsidR="00544E37">
              <w:rPr>
                <w:bCs/>
                <w:color w:val="000000"/>
              </w:rPr>
              <w:t>Commission</w:t>
            </w:r>
            <w:r>
              <w:rPr>
                <w:bCs/>
                <w:color w:val="000000"/>
              </w:rPr>
              <w:t xml:space="preserve"> </w:t>
            </w:r>
            <w:r w:rsidR="00496323">
              <w:rPr>
                <w:bCs/>
                <w:color w:val="000000"/>
              </w:rPr>
              <w:t xml:space="preserve">Voting </w:t>
            </w:r>
            <w:r>
              <w:rPr>
                <w:bCs/>
                <w:color w:val="000000"/>
              </w:rPr>
              <w:t xml:space="preserve">Meeting scheduled for 10/30) </w:t>
            </w:r>
            <w:r w:rsidR="00496323">
              <w:rPr>
                <w:bCs/>
                <w:color w:val="000000"/>
              </w:rPr>
              <w:t>would set the rate at $755 per hour.  CforAT presumes that this rate will be adopted and used for work performed by Ms. Kasnitz in 2025.</w:t>
            </w:r>
          </w:p>
        </w:tc>
      </w:tr>
      <w:tr w:rsidRPr="007F620E" w:rsidR="00B534CB" w:rsidTr="00BA6431" w14:paraId="745B844A" w14:textId="77777777">
        <w:tc>
          <w:tcPr>
            <w:tcW w:w="2430" w:type="dxa"/>
            <w:vAlign w:val="center"/>
          </w:tcPr>
          <w:p w:rsidR="00B534CB" w:rsidP="007374AA" w:rsidRDefault="00B534CB" w14:paraId="20871DFE" w14:textId="77777777">
            <w:pPr>
              <w:tabs>
                <w:tab w:val="left" w:pos="1260"/>
              </w:tabs>
              <w:jc w:val="center"/>
              <w:rPr>
                <w:color w:val="000000"/>
              </w:rPr>
            </w:pPr>
          </w:p>
        </w:tc>
        <w:tc>
          <w:tcPr>
            <w:tcW w:w="8010" w:type="dxa"/>
          </w:tcPr>
          <w:p w:rsidR="00BA6431" w:rsidP="001A3CF3" w:rsidRDefault="00747034" w14:paraId="74564D75" w14:textId="77777777">
            <w:pPr>
              <w:tabs>
                <w:tab w:val="left" w:pos="1260"/>
              </w:tabs>
              <w:rPr>
                <w:bCs/>
                <w:color w:val="000000"/>
              </w:rPr>
            </w:pPr>
            <w:r>
              <w:rPr>
                <w:b/>
                <w:color w:val="000000"/>
              </w:rPr>
              <w:t xml:space="preserve">Sweetnam Rate for 2025: </w:t>
            </w:r>
            <w:r>
              <w:rPr>
                <w:bCs/>
                <w:color w:val="000000"/>
              </w:rPr>
              <w:t xml:space="preserve">CforAT has previously requested a 2025 hourly rate of $350 for Staff Attorney Rachel Sweetnam.  While no final decision has yet set a rate, a currently pending compensation PD in R.18-03-011 (set to be addressed at the </w:t>
            </w:r>
            <w:r w:rsidR="00544E37">
              <w:rPr>
                <w:bCs/>
                <w:color w:val="000000"/>
              </w:rPr>
              <w:t>Commission</w:t>
            </w:r>
            <w:r>
              <w:rPr>
                <w:bCs/>
                <w:color w:val="000000"/>
              </w:rPr>
              <w:t xml:space="preserve"> Voting Meeting scheduled for 10/30)</w:t>
            </w:r>
          </w:p>
          <w:p w:rsidRPr="00747034" w:rsidR="00B534CB" w:rsidP="001A3CF3" w:rsidRDefault="00747034" w14:paraId="7A965583" w14:textId="60E1B0B0">
            <w:pPr>
              <w:tabs>
                <w:tab w:val="left" w:pos="1260"/>
              </w:tabs>
              <w:rPr>
                <w:b/>
                <w:color w:val="000000"/>
              </w:rPr>
            </w:pPr>
            <w:r>
              <w:rPr>
                <w:bCs/>
                <w:color w:val="000000"/>
              </w:rPr>
              <w:t>would set the rate at $</w:t>
            </w:r>
            <w:r w:rsidR="00544E37">
              <w:rPr>
                <w:bCs/>
                <w:color w:val="000000"/>
              </w:rPr>
              <w:t>275</w:t>
            </w:r>
            <w:r>
              <w:rPr>
                <w:bCs/>
                <w:color w:val="000000"/>
              </w:rPr>
              <w:t xml:space="preserve"> per hour.  CforAT presumes that this rate will be adopted and used for work performed by Ms. </w:t>
            </w:r>
            <w:r w:rsidR="00544E37">
              <w:rPr>
                <w:bCs/>
                <w:color w:val="000000"/>
              </w:rPr>
              <w:t xml:space="preserve">Sweetnam </w:t>
            </w:r>
            <w:r>
              <w:rPr>
                <w:bCs/>
                <w:color w:val="000000"/>
              </w:rPr>
              <w:t>in 2025.</w:t>
            </w:r>
          </w:p>
        </w:tc>
      </w:tr>
    </w:tbl>
    <w:p w:rsidRPr="00BA6431" w:rsidR="00A92D0B" w:rsidP="00CF6D76" w:rsidRDefault="00A92D0B" w14:paraId="0D8B7003" w14:textId="4D8BC153">
      <w:pPr>
        <w:keepNext/>
        <w:numPr>
          <w:ilvl w:val="0"/>
          <w:numId w:val="9"/>
        </w:numPr>
        <w:spacing w:before="240" w:line="360" w:lineRule="auto"/>
        <w:rPr>
          <w:rFonts w:ascii="Arial" w:hAnsi="Arial" w:cs="Arial"/>
          <w:b/>
          <w:color w:val="000000"/>
          <w:sz w:val="26"/>
          <w:szCs w:val="26"/>
        </w:rPr>
      </w:pPr>
      <w:r w:rsidRPr="00BA6431">
        <w:rPr>
          <w:rFonts w:ascii="Arial" w:hAnsi="Arial" w:cs="Arial"/>
          <w:b/>
          <w:color w:val="000000"/>
          <w:sz w:val="26"/>
          <w:szCs w:val="26"/>
        </w:rPr>
        <w:t xml:space="preserve">CPUC </w:t>
      </w:r>
      <w:r w:rsidRPr="00BA6431" w:rsidR="008C09F7">
        <w:rPr>
          <w:rFonts w:ascii="Arial" w:hAnsi="Arial" w:cs="Arial"/>
          <w:b/>
          <w:color w:val="000000"/>
          <w:sz w:val="26"/>
          <w:szCs w:val="26"/>
        </w:rPr>
        <w:t xml:space="preserve">Comments, </w:t>
      </w:r>
      <w:r w:rsidRPr="00BA6431">
        <w:rPr>
          <w:rFonts w:ascii="Arial" w:hAnsi="Arial" w:cs="Arial"/>
          <w:b/>
          <w:color w:val="000000"/>
          <w:sz w:val="26"/>
          <w:szCs w:val="26"/>
        </w:rPr>
        <w:t>Disallowances</w:t>
      </w:r>
      <w:r w:rsidRPr="00BA6431" w:rsidR="008C09F7">
        <w:rPr>
          <w:rFonts w:ascii="Arial" w:hAnsi="Arial" w:cs="Arial"/>
          <w:b/>
          <w:color w:val="000000"/>
          <w:sz w:val="26"/>
          <w:szCs w:val="26"/>
        </w:rPr>
        <w:t>,</w:t>
      </w:r>
      <w:r w:rsidRPr="00BA6431" w:rsidR="00D075B1">
        <w:rPr>
          <w:rFonts w:ascii="Arial" w:hAnsi="Arial" w:cs="Arial"/>
          <w:b/>
          <w:color w:val="000000"/>
          <w:sz w:val="26"/>
          <w:szCs w:val="26"/>
        </w:rPr>
        <w:t xml:space="preserve"> </w:t>
      </w:r>
      <w:r w:rsidRPr="00BA6431" w:rsidR="00A319DE">
        <w:rPr>
          <w:rFonts w:ascii="Arial" w:hAnsi="Arial" w:cs="Arial"/>
          <w:b/>
          <w:color w:val="000000"/>
          <w:sz w:val="26"/>
          <w:szCs w:val="26"/>
        </w:rPr>
        <w:t>and</w:t>
      </w:r>
      <w:r w:rsidRPr="00BA6431" w:rsidR="00D075B1">
        <w:rPr>
          <w:rFonts w:ascii="Arial" w:hAnsi="Arial" w:cs="Arial"/>
          <w:b/>
          <w:color w:val="000000"/>
          <w:sz w:val="26"/>
          <w:szCs w:val="26"/>
        </w:rPr>
        <w:t xml:space="preserve"> </w:t>
      </w:r>
      <w:r w:rsidRPr="00BA6431">
        <w:rPr>
          <w:rFonts w:ascii="Arial" w:hAnsi="Arial" w:cs="Arial"/>
          <w:b/>
          <w:color w:val="000000"/>
          <w:sz w:val="26"/>
          <w:szCs w:val="26"/>
        </w:rPr>
        <w:t>Adjustments</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05"/>
        <w:gridCol w:w="8100"/>
      </w:tblGrid>
      <w:tr w:rsidRPr="007F620E" w:rsidR="00A92D0B" w:rsidTr="00CA74FB" w14:paraId="52CD0603" w14:textId="77777777">
        <w:trPr>
          <w:tblHeader/>
        </w:trPr>
        <w:tc>
          <w:tcPr>
            <w:tcW w:w="1705" w:type="dxa"/>
            <w:shd w:val="pct12" w:color="auto" w:fill="auto"/>
          </w:tcPr>
          <w:p w:rsidRPr="007F620E" w:rsidR="00A92D0B" w:rsidP="00EB64CF" w:rsidRDefault="00CA74FB" w14:paraId="3954EC4C" w14:textId="4A1ADBC2">
            <w:pPr>
              <w:tabs>
                <w:tab w:val="left" w:pos="1440"/>
              </w:tabs>
              <w:jc w:val="center"/>
              <w:rPr>
                <w:b/>
                <w:color w:val="000000"/>
              </w:rPr>
            </w:pPr>
            <w:r w:rsidRPr="007F620E">
              <w:rPr>
                <w:b/>
                <w:color w:val="000000"/>
              </w:rPr>
              <w:t>ITEM</w:t>
            </w:r>
          </w:p>
        </w:tc>
        <w:tc>
          <w:tcPr>
            <w:tcW w:w="8100" w:type="dxa"/>
            <w:shd w:val="pct12" w:color="auto" w:fill="auto"/>
          </w:tcPr>
          <w:p w:rsidRPr="007F620E" w:rsidR="00A92D0B" w:rsidP="00EB64CF" w:rsidRDefault="00CA74FB" w14:paraId="09F9E4D9" w14:textId="1C232CF3">
            <w:pPr>
              <w:tabs>
                <w:tab w:val="left" w:pos="1440"/>
              </w:tabs>
              <w:jc w:val="center"/>
              <w:rPr>
                <w:b/>
                <w:color w:val="000000"/>
              </w:rPr>
            </w:pPr>
            <w:r w:rsidRPr="007F620E">
              <w:rPr>
                <w:b/>
                <w:color w:val="000000"/>
              </w:rPr>
              <w:t>REASON</w:t>
            </w:r>
          </w:p>
        </w:tc>
      </w:tr>
      <w:tr w:rsidRPr="007F620E" w:rsidR="00A92D0B" w:rsidTr="00CA74FB" w14:paraId="69DEE01C" w14:textId="77777777">
        <w:tc>
          <w:tcPr>
            <w:tcW w:w="1705" w:type="dxa"/>
          </w:tcPr>
          <w:p w:rsidRPr="007F620E" w:rsidR="00A92D0B" w:rsidP="00C83B98" w:rsidRDefault="00A0616C" w14:paraId="1E6C8F3D" w14:textId="1350E78F">
            <w:pPr>
              <w:tabs>
                <w:tab w:val="left" w:pos="1440"/>
              </w:tabs>
              <w:jc w:val="center"/>
              <w:rPr>
                <w:color w:val="000000"/>
              </w:rPr>
            </w:pPr>
            <w:r>
              <w:rPr>
                <w:color w:val="000000"/>
              </w:rPr>
              <w:t>[1] Melissa Kasnitz (Kasnitz) 2025 Hourly Rate</w:t>
            </w:r>
          </w:p>
        </w:tc>
        <w:tc>
          <w:tcPr>
            <w:tcW w:w="8100" w:type="dxa"/>
          </w:tcPr>
          <w:p w:rsidRPr="00287A80" w:rsidR="00405C80" w:rsidP="00287A80" w:rsidRDefault="00A0616C" w14:paraId="45BFCB16" w14:textId="3550B33B">
            <w:r w:rsidRPr="00A0616C">
              <w:rPr>
                <w:color w:val="000000"/>
              </w:rPr>
              <w:t>D.25-10-060 previously approved the rate of $</w:t>
            </w:r>
            <w:r>
              <w:rPr>
                <w:color w:val="000000"/>
              </w:rPr>
              <w:t>755</w:t>
            </w:r>
            <w:r w:rsidRPr="00A0616C">
              <w:rPr>
                <w:color w:val="000000"/>
              </w:rPr>
              <w:t xml:space="preserve">.00 for </w:t>
            </w:r>
            <w:r>
              <w:rPr>
                <w:color w:val="000000"/>
              </w:rPr>
              <w:t>Kasnitz</w:t>
            </w:r>
            <w:r w:rsidRPr="00A0616C">
              <w:rPr>
                <w:color w:val="000000"/>
              </w:rPr>
              <w:t xml:space="preserve"> in 2025.</w:t>
            </w:r>
            <w:r w:rsidRPr="0096500C" w:rsidR="00BF4D90">
              <w:rPr>
                <w:color w:val="000000"/>
              </w:rPr>
              <w:t xml:space="preserve"> As Intervenor Compensation Claim Preparation hours are compensated at ½ preparer’s normal hourly rate, we apply the rate of $</w:t>
            </w:r>
            <w:r w:rsidR="00BF4D90">
              <w:rPr>
                <w:color w:val="000000"/>
              </w:rPr>
              <w:t>377.50</w:t>
            </w:r>
            <w:r w:rsidRPr="0096500C" w:rsidR="00BF4D90">
              <w:rPr>
                <w:color w:val="000000"/>
              </w:rPr>
              <w:t xml:space="preserve"> for</w:t>
            </w:r>
            <w:r w:rsidR="00BF4D90">
              <w:rPr>
                <w:color w:val="000000"/>
              </w:rPr>
              <w:t xml:space="preserve"> Kasnitz in 2025</w:t>
            </w:r>
            <w:r w:rsidRPr="0096500C" w:rsidR="00BF4D90">
              <w:rPr>
                <w:color w:val="000000"/>
              </w:rPr>
              <w:t>.</w:t>
            </w:r>
          </w:p>
        </w:tc>
      </w:tr>
      <w:tr w:rsidRPr="007F620E" w:rsidR="00A92D0B" w:rsidTr="00CA74FB" w14:paraId="52155EFC" w14:textId="77777777">
        <w:tc>
          <w:tcPr>
            <w:tcW w:w="1705" w:type="dxa"/>
          </w:tcPr>
          <w:p w:rsidRPr="007F620E" w:rsidR="00A92D0B" w:rsidP="00C1018F" w:rsidRDefault="00A0616C" w14:paraId="26487933" w14:textId="1FCB3560">
            <w:pPr>
              <w:tabs>
                <w:tab w:val="left" w:pos="1440"/>
              </w:tabs>
              <w:jc w:val="center"/>
              <w:rPr>
                <w:color w:val="000000"/>
              </w:rPr>
            </w:pPr>
            <w:r>
              <w:rPr>
                <w:color w:val="000000"/>
              </w:rPr>
              <w:t>[2] Rachel Sweetnam (Sweetnam) 2025 Hourly Rate</w:t>
            </w:r>
          </w:p>
        </w:tc>
        <w:tc>
          <w:tcPr>
            <w:tcW w:w="8100" w:type="dxa"/>
          </w:tcPr>
          <w:p w:rsidRPr="007F620E" w:rsidR="007F167D" w:rsidP="00EB64CF" w:rsidRDefault="00A0616C" w14:paraId="455E6A00" w14:textId="3BD376D3">
            <w:pPr>
              <w:tabs>
                <w:tab w:val="left" w:pos="1440"/>
              </w:tabs>
              <w:rPr>
                <w:color w:val="000000"/>
              </w:rPr>
            </w:pPr>
            <w:r w:rsidRPr="00A0616C">
              <w:rPr>
                <w:color w:val="000000"/>
              </w:rPr>
              <w:t>D.25-10-060 previously approved the rate of $275.00 for Sweetnam in 2025.</w:t>
            </w:r>
          </w:p>
        </w:tc>
      </w:tr>
      <w:tr w:rsidRPr="007F620E" w:rsidR="007F167D" w:rsidTr="00CA74FB" w14:paraId="33226A28" w14:textId="77777777">
        <w:tc>
          <w:tcPr>
            <w:tcW w:w="1705" w:type="dxa"/>
          </w:tcPr>
          <w:p w:rsidRPr="007F620E" w:rsidR="007F167D" w:rsidP="00A4196F" w:rsidRDefault="00A0616C" w14:paraId="015BC3B6" w14:textId="4AE9861B">
            <w:pPr>
              <w:tabs>
                <w:tab w:val="left" w:pos="1440"/>
              </w:tabs>
              <w:jc w:val="center"/>
              <w:rPr>
                <w:color w:val="000000"/>
              </w:rPr>
            </w:pPr>
            <w:r>
              <w:rPr>
                <w:color w:val="000000"/>
              </w:rPr>
              <w:t>[3] Kate Woodford (Woodford) 2025 Hourly Rate</w:t>
            </w:r>
          </w:p>
        </w:tc>
        <w:tc>
          <w:tcPr>
            <w:tcW w:w="8100" w:type="dxa"/>
          </w:tcPr>
          <w:p w:rsidRPr="007F620E" w:rsidR="008678C0" w:rsidP="00CA74FB" w:rsidRDefault="008678C0" w14:paraId="386FC697" w14:textId="4A492062">
            <w:pPr>
              <w:tabs>
                <w:tab w:val="left" w:pos="1440"/>
              </w:tabs>
              <w:rPr>
                <w:color w:val="000000"/>
              </w:rPr>
            </w:pPr>
            <w:r w:rsidRPr="008678C0">
              <w:rPr>
                <w:color w:val="000000"/>
              </w:rPr>
              <w:t>D.25-07-028 adopted a 2024 hourly rate of $290.00 for Woodford. In Part III.B, CforAT requested an hourly rate of $380.00 with a basis for this rate of “see below</w:t>
            </w:r>
            <w:r w:rsidR="00CF4278">
              <w:rPr>
                <w:color w:val="000000"/>
              </w:rPr>
              <w:t>.</w:t>
            </w:r>
            <w:r w:rsidRPr="008678C0">
              <w:rPr>
                <w:color w:val="000000"/>
              </w:rPr>
              <w:t xml:space="preserve">” However, CforAT does not provide any further explanation for this requested rate in this claim. We therefore apply the 3.46% escalation from Resolution ALJ-393 to </w:t>
            </w:r>
            <w:r w:rsidR="00B85DBA">
              <w:rPr>
                <w:color w:val="000000"/>
              </w:rPr>
              <w:t>establish</w:t>
            </w:r>
            <w:r w:rsidRPr="008678C0">
              <w:rPr>
                <w:color w:val="000000"/>
              </w:rPr>
              <w:t xml:space="preserve"> a 2025 hourly rate of $300.00 </w:t>
            </w:r>
          </w:p>
        </w:tc>
      </w:tr>
      <w:tr w:rsidRPr="007F620E" w:rsidR="003C0EB7" w:rsidTr="00CA74FB" w14:paraId="41F6C3CC" w14:textId="77777777">
        <w:tc>
          <w:tcPr>
            <w:tcW w:w="1705" w:type="dxa"/>
          </w:tcPr>
          <w:p w:rsidR="003C0EB7" w:rsidP="00A4196F" w:rsidRDefault="003C0EB7" w14:paraId="0536E236" w14:textId="36D300ED">
            <w:pPr>
              <w:tabs>
                <w:tab w:val="left" w:pos="1440"/>
              </w:tabs>
              <w:jc w:val="center"/>
              <w:rPr>
                <w:color w:val="000000"/>
              </w:rPr>
            </w:pPr>
            <w:r>
              <w:rPr>
                <w:color w:val="000000"/>
              </w:rPr>
              <w:t xml:space="preserve">[4] </w:t>
            </w:r>
            <w:r w:rsidR="00070578">
              <w:rPr>
                <w:color w:val="000000"/>
              </w:rPr>
              <w:t xml:space="preserve">Melissa </w:t>
            </w:r>
            <w:r>
              <w:rPr>
                <w:color w:val="000000"/>
              </w:rPr>
              <w:t>Kasnitz</w:t>
            </w:r>
            <w:r w:rsidR="00070578">
              <w:rPr>
                <w:color w:val="000000"/>
              </w:rPr>
              <w:t xml:space="preserve"> (Kasnitz)</w:t>
            </w:r>
            <w:r>
              <w:rPr>
                <w:color w:val="000000"/>
              </w:rPr>
              <w:t xml:space="preserve"> </w:t>
            </w:r>
            <w:r w:rsidR="00B65F9E">
              <w:rPr>
                <w:color w:val="000000"/>
              </w:rPr>
              <w:t xml:space="preserve">2024 &amp; </w:t>
            </w:r>
            <w:r>
              <w:rPr>
                <w:color w:val="000000"/>
              </w:rPr>
              <w:t>2025 Hours</w:t>
            </w:r>
          </w:p>
        </w:tc>
        <w:tc>
          <w:tcPr>
            <w:tcW w:w="8100" w:type="dxa"/>
          </w:tcPr>
          <w:p w:rsidRPr="000C5CCF" w:rsidR="00B65F9E" w:rsidP="00CA74FB" w:rsidRDefault="00B65F9E" w14:paraId="56954998" w14:textId="29921AD7">
            <w:pPr>
              <w:tabs>
                <w:tab w:val="left" w:pos="1440"/>
              </w:tabs>
              <w:rPr>
                <w:u w:val="single"/>
              </w:rPr>
            </w:pPr>
            <w:r w:rsidRPr="00331B14">
              <w:rPr>
                <w:u w:val="single"/>
              </w:rPr>
              <w:t>Vague Hours (</w:t>
            </w:r>
            <w:r>
              <w:rPr>
                <w:u w:val="single"/>
              </w:rPr>
              <w:t>0.</w:t>
            </w:r>
            <w:r w:rsidR="000D767F">
              <w:rPr>
                <w:u w:val="single"/>
              </w:rPr>
              <w:t>4</w:t>
            </w:r>
            <w:r>
              <w:rPr>
                <w:u w:val="single"/>
              </w:rPr>
              <w:t xml:space="preserve">0 </w:t>
            </w:r>
            <w:r w:rsidRPr="00331B14">
              <w:rPr>
                <w:u w:val="single"/>
              </w:rPr>
              <w:t>hours):</w:t>
            </w:r>
          </w:p>
          <w:p w:rsidR="00B65F9E" w:rsidP="00CA74FB" w:rsidRDefault="00B65F9E" w14:paraId="6C57C438" w14:textId="2969DCA4">
            <w:pPr>
              <w:tabs>
                <w:tab w:val="left" w:pos="1440"/>
              </w:tabs>
            </w:pPr>
            <w:r>
              <w:t xml:space="preserve">Time records for each individual included in the Claim must be provided and must chronologically list the following information, among other things, about each task included in the records: 1) date when the specific task was performed, 2) the issue in the proceeding that the task addressed (as identified in the Scoping Memo or by the ALJ), 3) description of the specific task, and 4) amount of the </w:t>
            </w:r>
            <w:r>
              <w:lastRenderedPageBreak/>
              <w:t>time spent on the task (in hours or hour fraction). See IComp Program Guide at</w:t>
            </w:r>
            <w:r w:rsidR="00CF6D76">
              <w:t> </w:t>
            </w:r>
            <w:r>
              <w:t>25.</w:t>
            </w:r>
          </w:p>
          <w:p w:rsidR="00B65F9E" w:rsidP="00B65F9E" w:rsidRDefault="00B65F9E" w14:paraId="7E0F8AE8" w14:textId="6AF94BBC">
            <w:pPr>
              <w:tabs>
                <w:tab w:val="left" w:pos="1440"/>
              </w:tabs>
            </w:pPr>
            <w:r>
              <w:t>The following tasks are deemed as vague and are therefore disallowed:</w:t>
            </w:r>
          </w:p>
          <w:p w:rsidRPr="000C5CCF" w:rsidR="00B65F9E" w:rsidP="00CA74FB" w:rsidRDefault="00B65F9E" w14:paraId="58C886A7" w14:textId="303906C5">
            <w:pPr>
              <w:pStyle w:val="ListParagraph"/>
              <w:numPr>
                <w:ilvl w:val="0"/>
                <w:numId w:val="12"/>
              </w:numPr>
              <w:tabs>
                <w:tab w:val="left" w:pos="1440"/>
              </w:tabs>
              <w:ind w:left="346"/>
              <w:rPr>
                <w:rFonts w:ascii="Times New Roman" w:hAnsi="Times New Roman"/>
                <w:color w:val="000000"/>
                <w:sz w:val="24"/>
                <w:szCs w:val="24"/>
              </w:rPr>
            </w:pPr>
            <w:r>
              <w:rPr>
                <w:rFonts w:ascii="Times New Roman" w:hAnsi="Times New Roman"/>
                <w:color w:val="000000"/>
                <w:sz w:val="24"/>
                <w:szCs w:val="24"/>
              </w:rPr>
              <w:t xml:space="preserve">9/30/24 - </w:t>
            </w:r>
            <w:r w:rsidRPr="00B65F9E">
              <w:rPr>
                <w:rFonts w:ascii="Times New Roman" w:hAnsi="Times New Roman"/>
                <w:color w:val="000000"/>
                <w:sz w:val="24"/>
                <w:szCs w:val="24"/>
              </w:rPr>
              <w:t>Review comments re: tool &amp; budget</w:t>
            </w:r>
            <w:r>
              <w:rPr>
                <w:rFonts w:ascii="Times New Roman" w:hAnsi="Times New Roman"/>
                <w:color w:val="000000"/>
                <w:sz w:val="24"/>
                <w:szCs w:val="24"/>
              </w:rPr>
              <w:t>, 0.20 hours.</w:t>
            </w:r>
            <w:r w:rsidR="00FF44EC">
              <w:rPr>
                <w:rFonts w:ascii="Times New Roman" w:hAnsi="Times New Roman"/>
                <w:color w:val="000000"/>
                <w:sz w:val="24"/>
                <w:szCs w:val="24"/>
              </w:rPr>
              <w:t xml:space="preserve"> This entry is listed under the general participation issue are</w:t>
            </w:r>
            <w:r w:rsidR="00560BE4">
              <w:rPr>
                <w:rFonts w:ascii="Times New Roman" w:hAnsi="Times New Roman"/>
                <w:color w:val="000000"/>
                <w:sz w:val="24"/>
                <w:szCs w:val="24"/>
              </w:rPr>
              <w:t>a</w:t>
            </w:r>
            <w:r w:rsidR="00FF44EC">
              <w:rPr>
                <w:rFonts w:ascii="Times New Roman" w:hAnsi="Times New Roman"/>
                <w:color w:val="000000"/>
                <w:sz w:val="24"/>
                <w:szCs w:val="24"/>
              </w:rPr>
              <w:t xml:space="preserve"> and is</w:t>
            </w:r>
            <w:r w:rsidRPr="00FF44EC" w:rsidR="00FF44EC">
              <w:rPr>
                <w:rFonts w:ascii="Times New Roman" w:hAnsi="Times New Roman"/>
                <w:color w:val="000000"/>
                <w:sz w:val="24"/>
                <w:szCs w:val="24"/>
              </w:rPr>
              <w:t xml:space="preserve"> too vague and unclear to discern how it substantially contributed to the decision-making process.</w:t>
            </w:r>
            <w:r w:rsidR="00FF44EC">
              <w:rPr>
                <w:rFonts w:ascii="Times New Roman" w:hAnsi="Times New Roman"/>
                <w:color w:val="000000"/>
                <w:sz w:val="24"/>
                <w:szCs w:val="24"/>
              </w:rPr>
              <w:t xml:space="preserve"> 0.20 hours are disallowed.</w:t>
            </w:r>
          </w:p>
          <w:p w:rsidRPr="000C5CCF" w:rsidR="00197ADC" w:rsidP="00CA74FB" w:rsidRDefault="00197ADC" w14:paraId="4B6A2F2D" w14:textId="16C584DE">
            <w:pPr>
              <w:tabs>
                <w:tab w:val="left" w:pos="1440"/>
              </w:tabs>
              <w:rPr>
                <w:color w:val="000000"/>
              </w:rPr>
            </w:pPr>
            <w:r w:rsidRPr="00EB100F">
              <w:rPr>
                <w:color w:val="000000"/>
              </w:rPr>
              <w:t xml:space="preserve">Minus the disallowance here of </w:t>
            </w:r>
            <w:r>
              <w:rPr>
                <w:color w:val="000000"/>
              </w:rPr>
              <w:t>0</w:t>
            </w:r>
            <w:r w:rsidRPr="00EB100F">
              <w:rPr>
                <w:color w:val="000000"/>
              </w:rPr>
              <w:t>.</w:t>
            </w:r>
            <w:r>
              <w:rPr>
                <w:color w:val="000000"/>
              </w:rPr>
              <w:t>20</w:t>
            </w:r>
            <w:r w:rsidRPr="00EB100F">
              <w:rPr>
                <w:color w:val="000000"/>
              </w:rPr>
              <w:t xml:space="preserve"> hours, Kasnitz’s 202</w:t>
            </w:r>
            <w:r>
              <w:rPr>
                <w:color w:val="000000"/>
              </w:rPr>
              <w:t>4</w:t>
            </w:r>
            <w:r w:rsidRPr="00EB100F">
              <w:rPr>
                <w:color w:val="000000"/>
              </w:rPr>
              <w:t xml:space="preserve"> hours now total </w:t>
            </w:r>
            <w:r w:rsidR="00844EFE">
              <w:rPr>
                <w:color w:val="000000"/>
              </w:rPr>
              <w:t>21</w:t>
            </w:r>
            <w:r>
              <w:rPr>
                <w:color w:val="000000"/>
              </w:rPr>
              <w:t>.</w:t>
            </w:r>
            <w:r w:rsidR="00844EFE">
              <w:rPr>
                <w:color w:val="000000"/>
              </w:rPr>
              <w:t>80.</w:t>
            </w:r>
          </w:p>
          <w:p w:rsidR="00197ADC" w:rsidP="00197ADC" w:rsidRDefault="00197ADC" w14:paraId="3CBD0B34" w14:textId="4A7AFAEE">
            <w:pPr>
              <w:tabs>
                <w:tab w:val="left" w:pos="1440"/>
              </w:tabs>
            </w:pPr>
            <w:r>
              <w:t>The following tasks are deemed as vague and are therefore disallowed:</w:t>
            </w:r>
          </w:p>
          <w:p w:rsidRPr="001A3962" w:rsidR="004A08AC" w:rsidP="00CA74FB" w:rsidRDefault="00197ADC" w14:paraId="734FFD51" w14:textId="2475653C">
            <w:pPr>
              <w:pStyle w:val="ListParagraph"/>
              <w:numPr>
                <w:ilvl w:val="0"/>
                <w:numId w:val="12"/>
              </w:numPr>
              <w:tabs>
                <w:tab w:val="left" w:pos="1440"/>
              </w:tabs>
              <w:ind w:left="346"/>
              <w:rPr>
                <w:rFonts w:ascii="Times New Roman" w:hAnsi="Times New Roman"/>
                <w:color w:val="000000"/>
                <w:sz w:val="24"/>
                <w:szCs w:val="24"/>
              </w:rPr>
            </w:pPr>
            <w:r>
              <w:rPr>
                <w:rFonts w:ascii="Times New Roman" w:hAnsi="Times New Roman"/>
                <w:color w:val="000000"/>
                <w:sz w:val="24"/>
                <w:szCs w:val="24"/>
              </w:rPr>
              <w:t xml:space="preserve">9/3/25 - </w:t>
            </w:r>
            <w:r w:rsidRPr="00197ADC">
              <w:rPr>
                <w:rFonts w:ascii="Times New Roman" w:hAnsi="Times New Roman"/>
                <w:color w:val="000000"/>
                <w:sz w:val="24"/>
                <w:szCs w:val="24"/>
              </w:rPr>
              <w:t>Review &amp; edit letter re: obvious error</w:t>
            </w:r>
            <w:r>
              <w:rPr>
                <w:rFonts w:ascii="Times New Roman" w:hAnsi="Times New Roman"/>
                <w:color w:val="000000"/>
                <w:sz w:val="24"/>
                <w:szCs w:val="24"/>
              </w:rPr>
              <w:t xml:space="preserve">, 0.20 hours. This </w:t>
            </w:r>
            <w:r w:rsidR="00E73C8A">
              <w:rPr>
                <w:rFonts w:ascii="Times New Roman" w:hAnsi="Times New Roman"/>
                <w:color w:val="000000"/>
                <w:sz w:val="24"/>
                <w:szCs w:val="24"/>
              </w:rPr>
              <w:t>entry</w:t>
            </w:r>
            <w:r w:rsidRPr="00FF44EC">
              <w:rPr>
                <w:rFonts w:ascii="Times New Roman" w:hAnsi="Times New Roman"/>
                <w:color w:val="000000"/>
                <w:sz w:val="24"/>
                <w:szCs w:val="24"/>
              </w:rPr>
              <w:t xml:space="preserve"> </w:t>
            </w:r>
            <w:r>
              <w:rPr>
                <w:rFonts w:ascii="Times New Roman" w:hAnsi="Times New Roman"/>
                <w:color w:val="000000"/>
                <w:sz w:val="24"/>
                <w:szCs w:val="24"/>
              </w:rPr>
              <w:t>does not discern which letter was edited, and we cannot</w:t>
            </w:r>
            <w:r w:rsidRPr="00FF44EC">
              <w:rPr>
                <w:rFonts w:ascii="Times New Roman" w:hAnsi="Times New Roman"/>
                <w:color w:val="000000"/>
                <w:sz w:val="24"/>
                <w:szCs w:val="24"/>
              </w:rPr>
              <w:t xml:space="preserve"> discern how it substantially contributed to the decision-making process.</w:t>
            </w:r>
            <w:r>
              <w:rPr>
                <w:rFonts w:ascii="Times New Roman" w:hAnsi="Times New Roman"/>
                <w:color w:val="000000"/>
                <w:sz w:val="24"/>
                <w:szCs w:val="24"/>
              </w:rPr>
              <w:t xml:space="preserve"> 0.20 hours are disallowed.</w:t>
            </w:r>
          </w:p>
          <w:p w:rsidRPr="004A08AC" w:rsidR="004A08AC" w:rsidP="00CA74FB" w:rsidRDefault="004A08AC" w14:paraId="2590E039" w14:textId="34FF2C78">
            <w:pPr>
              <w:tabs>
                <w:tab w:val="left" w:pos="1440"/>
              </w:tabs>
              <w:rPr>
                <w:color w:val="000000"/>
              </w:rPr>
            </w:pPr>
            <w:r w:rsidRPr="00EB100F">
              <w:rPr>
                <w:color w:val="000000"/>
              </w:rPr>
              <w:t xml:space="preserve">Minus the disallowance here of </w:t>
            </w:r>
            <w:r>
              <w:rPr>
                <w:color w:val="000000"/>
              </w:rPr>
              <w:t>0</w:t>
            </w:r>
            <w:r w:rsidRPr="00EB100F">
              <w:rPr>
                <w:color w:val="000000"/>
              </w:rPr>
              <w:t>.</w:t>
            </w:r>
            <w:r>
              <w:rPr>
                <w:color w:val="000000"/>
              </w:rPr>
              <w:t>20</w:t>
            </w:r>
            <w:r w:rsidRPr="00EB100F">
              <w:rPr>
                <w:color w:val="000000"/>
              </w:rPr>
              <w:t xml:space="preserve"> hours, Kasnitz’s 202</w:t>
            </w:r>
            <w:r>
              <w:rPr>
                <w:color w:val="000000"/>
              </w:rPr>
              <w:t>5</w:t>
            </w:r>
            <w:r w:rsidRPr="00EB100F">
              <w:rPr>
                <w:color w:val="000000"/>
              </w:rPr>
              <w:t xml:space="preserve"> hours now total</w:t>
            </w:r>
            <w:r w:rsidR="00CA74FB">
              <w:rPr>
                <w:color w:val="000000"/>
              </w:rPr>
              <w:t xml:space="preserve"> </w:t>
            </w:r>
            <w:r w:rsidR="00844EFE">
              <w:rPr>
                <w:color w:val="000000"/>
              </w:rPr>
              <w:t>17</w:t>
            </w:r>
            <w:r>
              <w:rPr>
                <w:color w:val="000000"/>
              </w:rPr>
              <w:t>.</w:t>
            </w:r>
            <w:r w:rsidR="00844EFE">
              <w:rPr>
                <w:color w:val="000000"/>
              </w:rPr>
              <w:t>00.</w:t>
            </w:r>
          </w:p>
        </w:tc>
      </w:tr>
      <w:tr w:rsidRPr="007F620E" w:rsidR="00F73BF9" w:rsidTr="00CA74FB" w14:paraId="051A9312" w14:textId="77777777">
        <w:tc>
          <w:tcPr>
            <w:tcW w:w="1705" w:type="dxa"/>
          </w:tcPr>
          <w:p w:rsidR="00F73BF9" w:rsidP="00F73BF9" w:rsidRDefault="00F73BF9" w14:paraId="748EAB37" w14:textId="54D2AE81">
            <w:pPr>
              <w:tabs>
                <w:tab w:val="left" w:pos="1440"/>
              </w:tabs>
              <w:rPr>
                <w:color w:val="000000"/>
              </w:rPr>
            </w:pPr>
            <w:r>
              <w:rPr>
                <w:color w:val="000000"/>
              </w:rPr>
              <w:lastRenderedPageBreak/>
              <w:t>[</w:t>
            </w:r>
            <w:r w:rsidR="003C3ABD">
              <w:rPr>
                <w:color w:val="000000"/>
              </w:rPr>
              <w:t>5</w:t>
            </w:r>
            <w:r>
              <w:rPr>
                <w:color w:val="000000"/>
              </w:rPr>
              <w:t xml:space="preserve">] </w:t>
            </w:r>
            <w:r w:rsidR="00F7217D">
              <w:rPr>
                <w:color w:val="000000"/>
              </w:rPr>
              <w:t xml:space="preserve">Internal Duplication &amp; </w:t>
            </w:r>
            <w:r>
              <w:rPr>
                <w:color w:val="000000"/>
              </w:rPr>
              <w:t>Excessive Hours Claimed</w:t>
            </w:r>
          </w:p>
        </w:tc>
        <w:tc>
          <w:tcPr>
            <w:tcW w:w="8100" w:type="dxa"/>
          </w:tcPr>
          <w:p w:rsidR="007B1311" w:rsidP="00CA74FB" w:rsidRDefault="00F73BF9" w14:paraId="0C751C72" w14:textId="1BEF6824">
            <w:pPr>
              <w:tabs>
                <w:tab w:val="left" w:pos="1440"/>
              </w:tabs>
              <w:rPr>
                <w:color w:val="000000"/>
              </w:rPr>
            </w:pPr>
            <w:r>
              <w:rPr>
                <w:color w:val="000000" w:themeColor="text1"/>
              </w:rPr>
              <w:t xml:space="preserve">CforAT claims a total of </w:t>
            </w:r>
            <w:r w:rsidR="007B1311">
              <w:rPr>
                <w:color w:val="000000" w:themeColor="text1"/>
              </w:rPr>
              <w:t>79</w:t>
            </w:r>
            <w:r w:rsidR="00AE7BC6">
              <w:rPr>
                <w:color w:val="000000" w:themeColor="text1"/>
              </w:rPr>
              <w:t>.</w:t>
            </w:r>
            <w:r w:rsidR="007B1311">
              <w:rPr>
                <w:color w:val="000000" w:themeColor="text1"/>
              </w:rPr>
              <w:t>9</w:t>
            </w:r>
            <w:r w:rsidR="006B76D5">
              <w:rPr>
                <w:color w:val="000000" w:themeColor="text1"/>
              </w:rPr>
              <w:t>4</w:t>
            </w:r>
            <w:r w:rsidR="0043503B">
              <w:rPr>
                <w:color w:val="000000" w:themeColor="text1"/>
              </w:rPr>
              <w:t xml:space="preserve"> </w:t>
            </w:r>
            <w:r>
              <w:rPr>
                <w:color w:val="000000" w:themeColor="text1"/>
              </w:rPr>
              <w:t>hours</w:t>
            </w:r>
            <w:r w:rsidR="007B1311">
              <w:rPr>
                <w:color w:val="000000" w:themeColor="text1"/>
              </w:rPr>
              <w:t xml:space="preserve"> </w:t>
            </w:r>
            <w:r w:rsidR="007B1311">
              <w:rPr>
                <w:color w:val="000000"/>
              </w:rPr>
              <w:t xml:space="preserve">for work in this proceeding </w:t>
            </w:r>
            <w:r w:rsidRPr="00995E0F" w:rsidR="007B1311">
              <w:rPr>
                <w:color w:val="000000"/>
              </w:rPr>
              <w:t>relat</w:t>
            </w:r>
            <w:r w:rsidR="007B1311">
              <w:rPr>
                <w:color w:val="000000"/>
              </w:rPr>
              <w:t>ing</w:t>
            </w:r>
            <w:r w:rsidRPr="00995E0F" w:rsidR="007B1311">
              <w:rPr>
                <w:color w:val="000000"/>
              </w:rPr>
              <w:t xml:space="preserve"> to</w:t>
            </w:r>
            <w:r w:rsidR="007B1311">
              <w:rPr>
                <w:color w:val="000000"/>
              </w:rPr>
              <w:t xml:space="preserve"> internal correspondence through conferring and </w:t>
            </w:r>
            <w:r w:rsidR="00BA53C4">
              <w:rPr>
                <w:color w:val="000000"/>
              </w:rPr>
              <w:t>internal updates</w:t>
            </w:r>
            <w:r w:rsidR="007B1311">
              <w:t xml:space="preserve">, </w:t>
            </w:r>
            <w:r w:rsidR="007B1311">
              <w:rPr>
                <w:color w:val="000000"/>
              </w:rPr>
              <w:t xml:space="preserve">as well as </w:t>
            </w:r>
            <w:r w:rsidRPr="00995E0F" w:rsidR="007B1311">
              <w:rPr>
                <w:color w:val="000000"/>
              </w:rPr>
              <w:t>attending workshops</w:t>
            </w:r>
            <w:r w:rsidR="007B1311">
              <w:rPr>
                <w:color w:val="000000"/>
              </w:rPr>
              <w:t xml:space="preserve">, working groups and webinars, and associated material preparation and review, which accounts for 56% of the hours claimed by CforAT and </w:t>
            </w:r>
            <w:r w:rsidRPr="00995E0F" w:rsidR="007B1311">
              <w:rPr>
                <w:color w:val="000000"/>
              </w:rPr>
              <w:t xml:space="preserve">reflect internal duplication and excessive hours claimed. Such work should have been sufficiently streamlined to promote efficiency and to prevent an excess of hours claimed. </w:t>
            </w:r>
            <w:r w:rsidRPr="00995E0F" w:rsidR="007B1311">
              <w:rPr>
                <w:i/>
                <w:iCs/>
                <w:color w:val="000000"/>
              </w:rPr>
              <w:t xml:space="preserve">See </w:t>
            </w:r>
            <w:r w:rsidRPr="00995E0F" w:rsidR="007B1311">
              <w:rPr>
                <w:color w:val="000000"/>
              </w:rPr>
              <w:t>D.07-12-007.</w:t>
            </w:r>
          </w:p>
          <w:p w:rsidRPr="00995E0F" w:rsidR="007B1311" w:rsidP="007B1311" w:rsidRDefault="007B1311" w14:paraId="72B2B6EE" w14:textId="74F5D878">
            <w:pPr>
              <w:tabs>
                <w:tab w:val="left" w:pos="1440"/>
              </w:tabs>
              <w:rPr>
                <w:color w:val="000000"/>
              </w:rPr>
            </w:pPr>
            <w:r w:rsidRPr="00995E0F">
              <w:rPr>
                <w:color w:val="000000"/>
              </w:rPr>
              <w:t xml:space="preserve">The Commission has previously stated, we “compensate [for] efficient effort that contributed to the proceeding’s outcomes . . . . [and] disallow [] inefficient activities and appl[y]reductions to [intervenor’s] hours that reflected excessive internal duplicative efforts, such as numerous internal communications, review of each other’s documents, working on the same materials, engaging in the same tasks and participating in the same events.” </w:t>
            </w:r>
            <w:r w:rsidRPr="00995E0F">
              <w:rPr>
                <w:i/>
                <w:iCs/>
                <w:color w:val="000000"/>
              </w:rPr>
              <w:t>See</w:t>
            </w:r>
            <w:r w:rsidRPr="00995E0F">
              <w:rPr>
                <w:color w:val="000000"/>
              </w:rPr>
              <w:t xml:space="preserve"> D.12-03-024 at 24.</w:t>
            </w:r>
          </w:p>
          <w:p w:rsidR="00DE09CA" w:rsidP="00F73BF9" w:rsidRDefault="00260C04" w14:paraId="0390AA4F" w14:textId="167E5F91">
            <w:pPr>
              <w:tabs>
                <w:tab w:val="left" w:pos="1440"/>
              </w:tabs>
              <w:spacing w:before="120"/>
              <w:rPr>
                <w:color w:val="000000" w:themeColor="text1"/>
              </w:rPr>
            </w:pPr>
            <w:r w:rsidRPr="00995E0F">
              <w:rPr>
                <w:color w:val="000000"/>
              </w:rPr>
              <w:t>For the internal duplication and excessiveness noted here</w:t>
            </w:r>
            <w:r>
              <w:rPr>
                <w:color w:val="000000"/>
              </w:rPr>
              <w:t>,</w:t>
            </w:r>
            <w:r w:rsidR="00103E5D">
              <w:rPr>
                <w:color w:val="000000"/>
              </w:rPr>
              <w:t xml:space="preserve"> w</w:t>
            </w:r>
            <w:r w:rsidR="00F73BF9">
              <w:rPr>
                <w:color w:val="000000"/>
              </w:rPr>
              <w:t xml:space="preserve">e determine that a </w:t>
            </w:r>
            <w:r w:rsidR="006E269F">
              <w:rPr>
                <w:color w:val="000000"/>
              </w:rPr>
              <w:t>20</w:t>
            </w:r>
            <w:r w:rsidR="00DE09CA">
              <w:rPr>
                <w:color w:val="000000"/>
              </w:rPr>
              <w:t xml:space="preserve"> percent </w:t>
            </w:r>
            <w:r w:rsidR="00F73BF9">
              <w:rPr>
                <w:color w:val="000000"/>
              </w:rPr>
              <w:t>reduction of these hours is appropriate.</w:t>
            </w:r>
          </w:p>
          <w:p w:rsidRPr="000902F8" w:rsidR="00260C04" w:rsidP="00F73BF9" w:rsidRDefault="00F73BF9" w14:paraId="238C207A" w14:textId="00AC4251">
            <w:pPr>
              <w:tabs>
                <w:tab w:val="left" w:pos="1440"/>
              </w:tabs>
              <w:spacing w:before="120"/>
              <w:rPr>
                <w:color w:val="000000" w:themeColor="text1"/>
              </w:rPr>
            </w:pPr>
            <w:r>
              <w:rPr>
                <w:color w:val="000000" w:themeColor="text1"/>
              </w:rPr>
              <w:t xml:space="preserve">The following </w:t>
            </w:r>
            <w:r w:rsidRPr="00BE2659">
              <w:rPr>
                <w:color w:val="000000" w:themeColor="text1"/>
              </w:rPr>
              <w:t xml:space="preserve">hours are </w:t>
            </w:r>
            <w:r>
              <w:rPr>
                <w:color w:val="000000" w:themeColor="text1"/>
              </w:rPr>
              <w:t>reduced</w:t>
            </w:r>
            <w:r w:rsidR="00DE09CA">
              <w:rPr>
                <w:color w:val="000000" w:themeColor="text1"/>
              </w:rPr>
              <w:t>, representing the 20 percent reduction</w:t>
            </w:r>
            <w:r w:rsidR="00CF3E83">
              <w:rPr>
                <w:color w:val="000000" w:themeColor="text1"/>
              </w:rPr>
              <w:t xml:space="preserve"> of hours claimed by CforAT</w:t>
            </w:r>
            <w:r>
              <w:rPr>
                <w:color w:val="000000" w:themeColor="text1"/>
              </w:rPr>
              <w:t>:</w:t>
            </w:r>
          </w:p>
          <w:p w:rsidRPr="008266D4" w:rsidR="00F73BF9" w:rsidP="001A3962" w:rsidRDefault="0043503B" w14:paraId="0009E62E" w14:textId="7F6C8FE1">
            <w:pPr>
              <w:pStyle w:val="ListParagraph"/>
              <w:numPr>
                <w:ilvl w:val="0"/>
                <w:numId w:val="13"/>
              </w:numPr>
              <w:tabs>
                <w:tab w:val="left" w:pos="1440"/>
              </w:tabs>
              <w:rPr>
                <w:rFonts w:ascii="Times New Roman" w:hAnsi="Times New Roman" w:eastAsia="Times New Roman"/>
                <w:color w:val="000000"/>
                <w:sz w:val="24"/>
                <w:szCs w:val="24"/>
              </w:rPr>
            </w:pPr>
            <w:r>
              <w:rPr>
                <w:rFonts w:ascii="Times New Roman" w:hAnsi="Times New Roman" w:eastAsia="Times New Roman"/>
                <w:color w:val="000000"/>
                <w:sz w:val="24"/>
                <w:szCs w:val="24"/>
              </w:rPr>
              <w:t>Kasnitz</w:t>
            </w:r>
            <w:r w:rsidR="00F73BF9">
              <w:rPr>
                <w:rFonts w:ascii="Times New Roman" w:hAnsi="Times New Roman" w:eastAsia="Times New Roman"/>
                <w:color w:val="000000"/>
                <w:sz w:val="24"/>
                <w:szCs w:val="24"/>
              </w:rPr>
              <w:t xml:space="preserve"> -  </w:t>
            </w:r>
            <w:r w:rsidR="00604D64">
              <w:rPr>
                <w:rFonts w:ascii="Times New Roman" w:hAnsi="Times New Roman" w:eastAsia="Times New Roman"/>
                <w:color w:val="000000"/>
                <w:sz w:val="24"/>
                <w:szCs w:val="24"/>
              </w:rPr>
              <w:t>6</w:t>
            </w:r>
            <w:r w:rsidR="000902F8">
              <w:rPr>
                <w:rFonts w:ascii="Times New Roman" w:hAnsi="Times New Roman" w:eastAsia="Times New Roman"/>
                <w:color w:val="000000"/>
                <w:sz w:val="24"/>
                <w:szCs w:val="24"/>
              </w:rPr>
              <w:t>.</w:t>
            </w:r>
            <w:r w:rsidR="00604D64">
              <w:rPr>
                <w:rFonts w:ascii="Times New Roman" w:hAnsi="Times New Roman" w:eastAsia="Times New Roman"/>
                <w:color w:val="000000"/>
                <w:sz w:val="24"/>
                <w:szCs w:val="24"/>
              </w:rPr>
              <w:t>82</w:t>
            </w:r>
            <w:r w:rsidR="000902F8">
              <w:rPr>
                <w:rFonts w:ascii="Times New Roman" w:hAnsi="Times New Roman" w:eastAsia="Times New Roman"/>
                <w:color w:val="000000"/>
                <w:sz w:val="24"/>
                <w:szCs w:val="24"/>
              </w:rPr>
              <w:t xml:space="preserve"> </w:t>
            </w:r>
            <w:r w:rsidRPr="008266D4" w:rsidR="00F73BF9">
              <w:rPr>
                <w:rFonts w:ascii="Times New Roman" w:hAnsi="Times New Roman" w:eastAsia="Times New Roman"/>
                <w:color w:val="000000"/>
                <w:sz w:val="24"/>
                <w:szCs w:val="24"/>
              </w:rPr>
              <w:t>hours for work related to these issues between 202</w:t>
            </w:r>
            <w:r>
              <w:rPr>
                <w:rFonts w:ascii="Times New Roman" w:hAnsi="Times New Roman" w:eastAsia="Times New Roman"/>
                <w:color w:val="000000"/>
                <w:sz w:val="24"/>
                <w:szCs w:val="24"/>
              </w:rPr>
              <w:t>2</w:t>
            </w:r>
            <w:r w:rsidR="001A3962">
              <w:rPr>
                <w:rFonts w:ascii="Times New Roman" w:hAnsi="Times New Roman" w:eastAsia="Times New Roman"/>
                <w:color w:val="000000"/>
                <w:sz w:val="24"/>
                <w:szCs w:val="24"/>
              </w:rPr>
              <w:noBreakHyphen/>
            </w:r>
            <w:r w:rsidRPr="008266D4" w:rsidR="00F73BF9">
              <w:rPr>
                <w:rFonts w:ascii="Times New Roman" w:hAnsi="Times New Roman" w:eastAsia="Times New Roman"/>
                <w:color w:val="000000"/>
                <w:sz w:val="24"/>
                <w:szCs w:val="24"/>
              </w:rPr>
              <w:t>202</w:t>
            </w:r>
            <w:r w:rsidR="000902F8">
              <w:rPr>
                <w:rFonts w:ascii="Times New Roman" w:hAnsi="Times New Roman" w:eastAsia="Times New Roman"/>
                <w:color w:val="000000"/>
                <w:sz w:val="24"/>
                <w:szCs w:val="24"/>
              </w:rPr>
              <w:t>5.</w:t>
            </w:r>
          </w:p>
          <w:p w:rsidRPr="008266D4" w:rsidR="00F73BF9" w:rsidP="001A3962" w:rsidRDefault="0043503B" w14:paraId="16D02058" w14:textId="4F253A39">
            <w:pPr>
              <w:pStyle w:val="ListParagraph"/>
              <w:numPr>
                <w:ilvl w:val="0"/>
                <w:numId w:val="13"/>
              </w:numPr>
              <w:tabs>
                <w:tab w:val="left" w:pos="1440"/>
              </w:tabs>
              <w:rPr>
                <w:rFonts w:ascii="Times New Roman" w:hAnsi="Times New Roman" w:eastAsia="Times New Roman"/>
                <w:color w:val="000000"/>
                <w:sz w:val="24"/>
                <w:szCs w:val="24"/>
              </w:rPr>
            </w:pPr>
            <w:r>
              <w:rPr>
                <w:rFonts w:ascii="Times New Roman" w:hAnsi="Times New Roman" w:eastAsia="Times New Roman"/>
                <w:color w:val="000000"/>
                <w:sz w:val="24"/>
                <w:szCs w:val="24"/>
              </w:rPr>
              <w:t>Green</w:t>
            </w:r>
            <w:r w:rsidR="00F73BF9">
              <w:rPr>
                <w:rFonts w:ascii="Times New Roman" w:hAnsi="Times New Roman" w:eastAsia="Times New Roman"/>
                <w:color w:val="000000"/>
                <w:sz w:val="24"/>
                <w:szCs w:val="24"/>
              </w:rPr>
              <w:t xml:space="preserve"> </w:t>
            </w:r>
            <w:r w:rsidR="000902F8">
              <w:rPr>
                <w:rFonts w:ascii="Times New Roman" w:hAnsi="Times New Roman" w:eastAsia="Times New Roman"/>
                <w:color w:val="000000"/>
                <w:sz w:val="24"/>
                <w:szCs w:val="24"/>
              </w:rPr>
              <w:t>–</w:t>
            </w:r>
            <w:r w:rsidR="00F73BF9">
              <w:rPr>
                <w:rFonts w:ascii="Times New Roman" w:hAnsi="Times New Roman" w:eastAsia="Times New Roman"/>
                <w:color w:val="000000"/>
                <w:sz w:val="24"/>
                <w:szCs w:val="24"/>
              </w:rPr>
              <w:t xml:space="preserve"> </w:t>
            </w:r>
            <w:r w:rsidR="00604D64">
              <w:rPr>
                <w:rFonts w:ascii="Times New Roman" w:hAnsi="Times New Roman" w:eastAsia="Times New Roman"/>
                <w:color w:val="000000"/>
                <w:sz w:val="24"/>
                <w:szCs w:val="24"/>
              </w:rPr>
              <w:t>5.04</w:t>
            </w:r>
            <w:r w:rsidRPr="008266D4" w:rsidR="00F73BF9">
              <w:rPr>
                <w:rFonts w:ascii="Times New Roman" w:hAnsi="Times New Roman" w:eastAsia="Times New Roman"/>
                <w:color w:val="000000"/>
                <w:sz w:val="24"/>
                <w:szCs w:val="24"/>
              </w:rPr>
              <w:t xml:space="preserve"> hours for work related to these issues between 202</w:t>
            </w:r>
            <w:r>
              <w:rPr>
                <w:rFonts w:ascii="Times New Roman" w:hAnsi="Times New Roman" w:eastAsia="Times New Roman"/>
                <w:color w:val="000000"/>
                <w:sz w:val="24"/>
                <w:szCs w:val="24"/>
              </w:rPr>
              <w:t>2</w:t>
            </w:r>
            <w:r w:rsidR="001A3962">
              <w:rPr>
                <w:rFonts w:ascii="Times New Roman" w:hAnsi="Times New Roman" w:eastAsia="Times New Roman"/>
                <w:color w:val="000000"/>
                <w:sz w:val="24"/>
                <w:szCs w:val="24"/>
              </w:rPr>
              <w:noBreakHyphen/>
            </w:r>
            <w:r w:rsidRPr="008266D4" w:rsidR="00F73BF9">
              <w:rPr>
                <w:rFonts w:ascii="Times New Roman" w:hAnsi="Times New Roman" w:eastAsia="Times New Roman"/>
                <w:color w:val="000000"/>
                <w:sz w:val="24"/>
                <w:szCs w:val="24"/>
              </w:rPr>
              <w:t>2023.</w:t>
            </w:r>
          </w:p>
          <w:p w:rsidRPr="00287A80" w:rsidR="00F73BF9" w:rsidP="001A3962" w:rsidRDefault="0043503B" w14:paraId="204B5578" w14:textId="05C1D545">
            <w:pPr>
              <w:pStyle w:val="ListParagraph"/>
              <w:numPr>
                <w:ilvl w:val="0"/>
                <w:numId w:val="13"/>
              </w:numPr>
              <w:tabs>
                <w:tab w:val="left" w:pos="1440"/>
              </w:tabs>
              <w:rPr>
                <w:color w:val="000000"/>
                <w:u w:val="single"/>
              </w:rPr>
            </w:pPr>
            <w:r>
              <w:rPr>
                <w:rFonts w:ascii="Times New Roman" w:hAnsi="Times New Roman"/>
                <w:color w:val="000000"/>
                <w:sz w:val="24"/>
                <w:szCs w:val="24"/>
              </w:rPr>
              <w:t>Sweetnam</w:t>
            </w:r>
            <w:r w:rsidRPr="00F73BF9" w:rsidR="00F73BF9">
              <w:rPr>
                <w:rFonts w:ascii="Times New Roman" w:hAnsi="Times New Roman"/>
                <w:color w:val="000000"/>
                <w:sz w:val="24"/>
                <w:szCs w:val="24"/>
              </w:rPr>
              <w:t xml:space="preserve"> </w:t>
            </w:r>
            <w:r w:rsidR="000902F8">
              <w:rPr>
                <w:rFonts w:ascii="Times New Roman" w:hAnsi="Times New Roman"/>
                <w:color w:val="000000"/>
                <w:sz w:val="24"/>
                <w:szCs w:val="24"/>
              </w:rPr>
              <w:t>–</w:t>
            </w:r>
            <w:r w:rsidRPr="00F73BF9" w:rsidR="00F73BF9">
              <w:rPr>
                <w:rFonts w:ascii="Times New Roman" w:hAnsi="Times New Roman"/>
                <w:color w:val="000000"/>
                <w:sz w:val="24"/>
                <w:szCs w:val="24"/>
              </w:rPr>
              <w:t xml:space="preserve"> </w:t>
            </w:r>
            <w:r w:rsidR="00604D64">
              <w:rPr>
                <w:rFonts w:ascii="Times New Roman" w:hAnsi="Times New Roman"/>
                <w:color w:val="000000"/>
                <w:sz w:val="24"/>
                <w:szCs w:val="24"/>
              </w:rPr>
              <w:t>4</w:t>
            </w:r>
            <w:r w:rsidR="000902F8">
              <w:rPr>
                <w:rFonts w:ascii="Times New Roman" w:hAnsi="Times New Roman"/>
                <w:color w:val="000000"/>
                <w:sz w:val="24"/>
                <w:szCs w:val="24"/>
              </w:rPr>
              <w:t>.</w:t>
            </w:r>
            <w:r w:rsidR="00604D64">
              <w:rPr>
                <w:rFonts w:ascii="Times New Roman" w:hAnsi="Times New Roman"/>
                <w:color w:val="000000"/>
                <w:sz w:val="24"/>
                <w:szCs w:val="24"/>
              </w:rPr>
              <w:t>13</w:t>
            </w:r>
            <w:r>
              <w:rPr>
                <w:rFonts w:ascii="Times New Roman" w:hAnsi="Times New Roman"/>
                <w:color w:val="000000"/>
                <w:sz w:val="24"/>
                <w:szCs w:val="24"/>
              </w:rPr>
              <w:t xml:space="preserve"> </w:t>
            </w:r>
            <w:r w:rsidRPr="00F73BF9" w:rsidR="00F73BF9">
              <w:rPr>
                <w:rFonts w:ascii="Times New Roman" w:hAnsi="Times New Roman"/>
                <w:color w:val="000000"/>
                <w:sz w:val="24"/>
                <w:szCs w:val="24"/>
              </w:rPr>
              <w:t xml:space="preserve">hours for work related to these issues </w:t>
            </w:r>
            <w:r w:rsidR="004C1843">
              <w:rPr>
                <w:rFonts w:ascii="Times New Roman" w:hAnsi="Times New Roman"/>
                <w:color w:val="000000"/>
                <w:sz w:val="24"/>
                <w:szCs w:val="24"/>
              </w:rPr>
              <w:t>in 2025.</w:t>
            </w:r>
          </w:p>
        </w:tc>
      </w:tr>
      <w:tr w:rsidRPr="007F620E" w:rsidR="007F167D" w:rsidTr="00CA74FB" w14:paraId="36791D88" w14:textId="77777777">
        <w:tc>
          <w:tcPr>
            <w:tcW w:w="1705" w:type="dxa"/>
          </w:tcPr>
          <w:p w:rsidRPr="007F620E" w:rsidR="007F167D" w:rsidP="00773BA4" w:rsidRDefault="00773BA4" w14:paraId="25256286" w14:textId="780D1ED4">
            <w:pPr>
              <w:tabs>
                <w:tab w:val="left" w:pos="1440"/>
              </w:tabs>
              <w:rPr>
                <w:color w:val="000000"/>
              </w:rPr>
            </w:pPr>
            <w:r>
              <w:rPr>
                <w:color w:val="000000"/>
              </w:rPr>
              <w:t>[</w:t>
            </w:r>
            <w:r w:rsidR="00A33147">
              <w:rPr>
                <w:color w:val="000000"/>
              </w:rPr>
              <w:t>6</w:t>
            </w:r>
            <w:r>
              <w:rPr>
                <w:color w:val="000000"/>
              </w:rPr>
              <w:t xml:space="preserve">] Excessive </w:t>
            </w:r>
            <w:r w:rsidR="00A108FF">
              <w:rPr>
                <w:color w:val="000000"/>
              </w:rPr>
              <w:t xml:space="preserve">IComp </w:t>
            </w:r>
            <w:r>
              <w:rPr>
                <w:color w:val="000000"/>
              </w:rPr>
              <w:t>Claim Preparation Hours</w:t>
            </w:r>
          </w:p>
        </w:tc>
        <w:tc>
          <w:tcPr>
            <w:tcW w:w="8100" w:type="dxa"/>
          </w:tcPr>
          <w:p w:rsidR="001A532B" w:rsidP="001A532B" w:rsidRDefault="001A532B" w14:paraId="7AAF1AD4" w14:textId="4DD2C729">
            <w:pPr>
              <w:tabs>
                <w:tab w:val="left" w:pos="1440"/>
              </w:tabs>
              <w:spacing w:before="120" w:after="120"/>
              <w:rPr>
                <w:color w:val="000000" w:themeColor="text1"/>
              </w:rPr>
            </w:pPr>
            <w:r w:rsidRPr="00F044E1">
              <w:rPr>
                <w:color w:val="000000" w:themeColor="text1"/>
              </w:rPr>
              <w:t>Section 1801.3(f) provides that the Commission should administer the Intervenor Compensation Program “in a manner that avoids unproductive or unnecessary participation that duplicates the participation of similar interests otherwise adequately represented or participation that is not necessary for a fair determination of the proceeding.”</w:t>
            </w:r>
          </w:p>
          <w:p w:rsidR="00773BA4" w:rsidP="00773BA4" w:rsidRDefault="00773BA4" w14:paraId="089914FE" w14:textId="7DF8A304">
            <w:pPr>
              <w:tabs>
                <w:tab w:val="left" w:pos="1440"/>
              </w:tabs>
              <w:spacing w:after="120"/>
              <w:rPr>
                <w:color w:val="000000" w:themeColor="text1"/>
              </w:rPr>
            </w:pPr>
            <w:r w:rsidRPr="00C323A1">
              <w:rPr>
                <w:color w:val="000000" w:themeColor="text1"/>
              </w:rPr>
              <w:t xml:space="preserve">We find the request for </w:t>
            </w:r>
            <w:r>
              <w:rPr>
                <w:color w:val="000000" w:themeColor="text1"/>
              </w:rPr>
              <w:t>10</w:t>
            </w:r>
            <w:r w:rsidRPr="00C323A1">
              <w:rPr>
                <w:color w:val="000000" w:themeColor="text1"/>
              </w:rPr>
              <w:t>.</w:t>
            </w:r>
            <w:r>
              <w:rPr>
                <w:color w:val="000000" w:themeColor="text1"/>
              </w:rPr>
              <w:t>40</w:t>
            </w:r>
            <w:r w:rsidRPr="00C323A1">
              <w:rPr>
                <w:color w:val="000000" w:themeColor="text1"/>
              </w:rPr>
              <w:t xml:space="preserve"> hours to prepare </w:t>
            </w:r>
            <w:r>
              <w:rPr>
                <w:color w:val="000000" w:themeColor="text1"/>
              </w:rPr>
              <w:t>CforAT’</w:t>
            </w:r>
            <w:r w:rsidRPr="00C323A1">
              <w:rPr>
                <w:color w:val="000000" w:themeColor="text1"/>
              </w:rPr>
              <w:t xml:space="preserve">s Intervenor Compensation Claim by </w:t>
            </w:r>
            <w:r>
              <w:rPr>
                <w:color w:val="000000" w:themeColor="text1"/>
              </w:rPr>
              <w:t xml:space="preserve">Kasnitz </w:t>
            </w:r>
            <w:r w:rsidRPr="00C323A1">
              <w:rPr>
                <w:color w:val="000000" w:themeColor="text1"/>
              </w:rPr>
              <w:t>to be excessive</w:t>
            </w:r>
            <w:r w:rsidRPr="000365EB">
              <w:rPr>
                <w:color w:val="000000" w:themeColor="text1"/>
              </w:rPr>
              <w:t xml:space="preserve"> given the scope of issues and overall scale of the request.</w:t>
            </w:r>
            <w:r>
              <w:rPr>
                <w:color w:val="000000" w:themeColor="text1"/>
              </w:rPr>
              <w:t xml:space="preserve"> Hours claimed must be </w:t>
            </w:r>
            <w:r w:rsidRPr="00C323A1">
              <w:rPr>
                <w:color w:val="000000" w:themeColor="text1"/>
              </w:rPr>
              <w:t xml:space="preserve">reasonable, productive, </w:t>
            </w:r>
            <w:r w:rsidRPr="00C323A1">
              <w:rPr>
                <w:color w:val="000000" w:themeColor="text1"/>
              </w:rPr>
              <w:lastRenderedPageBreak/>
              <w:t>effective, and efficient</w:t>
            </w:r>
            <w:r>
              <w:rPr>
                <w:color w:val="000000" w:themeColor="text1"/>
              </w:rPr>
              <w:t>. We find that the hours claimed are excessive for the work produced and for breadth of this claim.</w:t>
            </w:r>
          </w:p>
          <w:p w:rsidRPr="007F620E" w:rsidR="007F167D" w:rsidP="00287A80" w:rsidRDefault="00773BA4" w14:paraId="26416980" w14:textId="5DFD391E">
            <w:pPr>
              <w:tabs>
                <w:tab w:val="left" w:pos="1440"/>
              </w:tabs>
              <w:spacing w:before="120"/>
              <w:rPr>
                <w:color w:val="000000"/>
              </w:rPr>
            </w:pPr>
            <w:r w:rsidRPr="00C323A1">
              <w:rPr>
                <w:color w:val="000000" w:themeColor="text1"/>
              </w:rPr>
              <w:t>As a result, we have reduced</w:t>
            </w:r>
            <w:r>
              <w:rPr>
                <w:color w:val="000000" w:themeColor="text1"/>
              </w:rPr>
              <w:t xml:space="preserve"> Kasnitz’s</w:t>
            </w:r>
            <w:r w:rsidRPr="00C323A1">
              <w:rPr>
                <w:color w:val="000000" w:themeColor="text1"/>
              </w:rPr>
              <w:t xml:space="preserve"> time spent preparing th</w:t>
            </w:r>
            <w:r>
              <w:rPr>
                <w:color w:val="000000" w:themeColor="text1"/>
              </w:rPr>
              <w:t>is</w:t>
            </w:r>
            <w:r w:rsidRPr="00C323A1">
              <w:rPr>
                <w:color w:val="000000" w:themeColor="text1"/>
              </w:rPr>
              <w:t xml:space="preserve"> </w:t>
            </w:r>
            <w:r>
              <w:rPr>
                <w:color w:val="000000" w:themeColor="text1"/>
              </w:rPr>
              <w:t xml:space="preserve">IComp </w:t>
            </w:r>
            <w:r w:rsidRPr="00C323A1">
              <w:rPr>
                <w:color w:val="000000" w:themeColor="text1"/>
              </w:rPr>
              <w:t xml:space="preserve">Claim by </w:t>
            </w:r>
            <w:r>
              <w:rPr>
                <w:color w:val="000000" w:themeColor="text1"/>
              </w:rPr>
              <w:t>2.40 hours,</w:t>
            </w:r>
            <w:r w:rsidRPr="00C323A1">
              <w:rPr>
                <w:color w:val="000000" w:themeColor="text1"/>
              </w:rPr>
              <w:t xml:space="preserve"> resulting in a total of </w:t>
            </w:r>
            <w:r>
              <w:rPr>
                <w:color w:val="000000" w:themeColor="text1"/>
              </w:rPr>
              <w:t>8</w:t>
            </w:r>
            <w:r w:rsidRPr="00C323A1">
              <w:rPr>
                <w:color w:val="000000" w:themeColor="text1"/>
              </w:rPr>
              <w:t>.</w:t>
            </w:r>
            <w:r>
              <w:rPr>
                <w:color w:val="000000" w:themeColor="text1"/>
              </w:rPr>
              <w:t>00</w:t>
            </w:r>
            <w:r w:rsidRPr="00C323A1">
              <w:rPr>
                <w:color w:val="000000" w:themeColor="text1"/>
              </w:rPr>
              <w:t xml:space="preserve"> hours awarded.</w:t>
            </w:r>
          </w:p>
        </w:tc>
      </w:tr>
      <w:tr w:rsidRPr="007F620E" w:rsidR="007F167D" w:rsidTr="00CA74FB" w14:paraId="4CC5FB84" w14:textId="77777777">
        <w:tc>
          <w:tcPr>
            <w:tcW w:w="1705" w:type="dxa"/>
          </w:tcPr>
          <w:p w:rsidRPr="007F620E" w:rsidR="007F167D" w:rsidP="00EB64CF" w:rsidRDefault="00B13395" w14:paraId="5F6EAF90" w14:textId="6FB2AB3E">
            <w:pPr>
              <w:tabs>
                <w:tab w:val="left" w:pos="1440"/>
              </w:tabs>
              <w:rPr>
                <w:color w:val="000000"/>
              </w:rPr>
            </w:pPr>
            <w:r>
              <w:rPr>
                <w:color w:val="000000"/>
              </w:rPr>
              <w:lastRenderedPageBreak/>
              <w:t>[</w:t>
            </w:r>
            <w:r w:rsidR="003C3ABD">
              <w:rPr>
                <w:color w:val="000000"/>
              </w:rPr>
              <w:t>7</w:t>
            </w:r>
            <w:r w:rsidR="00F73BF9">
              <w:rPr>
                <w:color w:val="000000"/>
              </w:rPr>
              <w:t>]</w:t>
            </w:r>
            <w:r>
              <w:rPr>
                <w:color w:val="000000"/>
              </w:rPr>
              <w:t xml:space="preserve"> Incorrect Hours/Dollar Amounts Provided</w:t>
            </w:r>
          </w:p>
        </w:tc>
        <w:tc>
          <w:tcPr>
            <w:tcW w:w="8100" w:type="dxa"/>
          </w:tcPr>
          <w:p w:rsidRPr="001A3962" w:rsidR="008150B4" w:rsidP="00796D66" w:rsidRDefault="008E61A4" w14:paraId="3F891EBB" w14:textId="62377B44">
            <w:pPr>
              <w:tabs>
                <w:tab w:val="left" w:pos="1440"/>
              </w:tabs>
              <w:rPr>
                <w:rFonts w:asciiTheme="majorBidi" w:hAnsiTheme="majorBidi" w:cstheme="majorBidi"/>
                <w:color w:val="000000"/>
              </w:rPr>
            </w:pPr>
            <w:r>
              <w:rPr>
                <w:rFonts w:asciiTheme="majorBidi" w:hAnsiTheme="majorBidi" w:cstheme="majorBidi"/>
                <w:color w:val="000000"/>
              </w:rPr>
              <w:t>CforAT</w:t>
            </w:r>
            <w:r w:rsidR="008150B4">
              <w:rPr>
                <w:rFonts w:asciiTheme="majorBidi" w:hAnsiTheme="majorBidi" w:cstheme="majorBidi"/>
                <w:color w:val="000000"/>
              </w:rPr>
              <w:t xml:space="preserve"> has made calculation errors above in Part III.B. </w:t>
            </w:r>
            <w:r>
              <w:rPr>
                <w:rFonts w:asciiTheme="majorBidi" w:hAnsiTheme="majorBidi" w:cstheme="majorBidi"/>
                <w:color w:val="000000"/>
              </w:rPr>
              <w:t>Based on time records provided by CforAT, the c</w:t>
            </w:r>
            <w:r w:rsidR="008150B4">
              <w:rPr>
                <w:rFonts w:asciiTheme="majorBidi" w:hAnsiTheme="majorBidi" w:cstheme="majorBidi"/>
                <w:color w:val="000000"/>
              </w:rPr>
              <w:t>orrect dollar amounts and hours claimed are as follows:</w:t>
            </w:r>
          </w:p>
          <w:p w:rsidRPr="00200F30" w:rsidR="007F167D" w:rsidP="00200F30" w:rsidRDefault="00B13395" w14:paraId="13031B08" w14:textId="16F08135">
            <w:pPr>
              <w:pStyle w:val="ListParagraph"/>
              <w:numPr>
                <w:ilvl w:val="0"/>
                <w:numId w:val="14"/>
              </w:numPr>
              <w:tabs>
                <w:tab w:val="left" w:pos="1440"/>
              </w:tabs>
              <w:rPr>
                <w:rFonts w:ascii="Times New Roman" w:hAnsi="Times New Roman"/>
                <w:color w:val="000000"/>
                <w:sz w:val="24"/>
                <w:szCs w:val="24"/>
              </w:rPr>
            </w:pPr>
            <w:r w:rsidRPr="00200F30">
              <w:rPr>
                <w:rFonts w:ascii="Times New Roman" w:hAnsi="Times New Roman"/>
                <w:color w:val="000000"/>
                <w:sz w:val="24"/>
                <w:szCs w:val="24"/>
              </w:rPr>
              <w:t>Kasnitz</w:t>
            </w:r>
            <w:r w:rsidRPr="00200F30" w:rsidR="008150B4">
              <w:rPr>
                <w:rFonts w:ascii="Times New Roman" w:hAnsi="Times New Roman"/>
                <w:color w:val="000000"/>
                <w:sz w:val="24"/>
                <w:szCs w:val="24"/>
              </w:rPr>
              <w:t>’s</w:t>
            </w:r>
            <w:r w:rsidRPr="00200F30">
              <w:rPr>
                <w:rFonts w:ascii="Times New Roman" w:hAnsi="Times New Roman"/>
                <w:color w:val="000000"/>
                <w:sz w:val="24"/>
                <w:szCs w:val="24"/>
              </w:rPr>
              <w:t xml:space="preserve"> 2022 total</w:t>
            </w:r>
            <w:r w:rsidRPr="00200F30" w:rsidR="008150B4">
              <w:rPr>
                <w:rFonts w:ascii="Times New Roman" w:hAnsi="Times New Roman"/>
                <w:color w:val="000000"/>
                <w:sz w:val="24"/>
                <w:szCs w:val="24"/>
              </w:rPr>
              <w:t xml:space="preserve"> dollar amount claimed</w:t>
            </w:r>
            <w:r w:rsidR="00C8059B">
              <w:rPr>
                <w:rFonts w:ascii="Times New Roman" w:hAnsi="Times New Roman"/>
                <w:color w:val="000000"/>
                <w:sz w:val="24"/>
                <w:szCs w:val="24"/>
              </w:rPr>
              <w:t xml:space="preserve"> was</w:t>
            </w:r>
            <w:r w:rsidRPr="00200F30">
              <w:rPr>
                <w:rFonts w:ascii="Times New Roman" w:hAnsi="Times New Roman"/>
                <w:color w:val="000000"/>
                <w:sz w:val="24"/>
                <w:szCs w:val="24"/>
              </w:rPr>
              <w:t xml:space="preserve"> $1,794.00</w:t>
            </w:r>
            <w:r w:rsidRPr="00200F30" w:rsidR="008E61A4">
              <w:rPr>
                <w:rFonts w:ascii="Times New Roman" w:hAnsi="Times New Roman"/>
                <w:color w:val="000000"/>
                <w:sz w:val="24"/>
                <w:szCs w:val="24"/>
              </w:rPr>
              <w:t>.</w:t>
            </w:r>
          </w:p>
          <w:p w:rsidRPr="001A3962" w:rsidR="00B13395" w:rsidP="00796D66" w:rsidRDefault="008F4D95" w14:paraId="5BE5A5AC" w14:textId="24B2D98C">
            <w:pPr>
              <w:pStyle w:val="ListParagraph"/>
              <w:numPr>
                <w:ilvl w:val="0"/>
                <w:numId w:val="14"/>
              </w:numPr>
              <w:tabs>
                <w:tab w:val="left" w:pos="1440"/>
              </w:tabs>
              <w:spacing w:after="120"/>
              <w:rPr>
                <w:rFonts w:ascii="Times New Roman" w:hAnsi="Times New Roman"/>
                <w:color w:val="000000"/>
                <w:sz w:val="24"/>
                <w:szCs w:val="24"/>
              </w:rPr>
            </w:pPr>
            <w:r w:rsidRPr="00200F30">
              <w:rPr>
                <w:rFonts w:ascii="Times New Roman" w:hAnsi="Times New Roman"/>
                <w:color w:val="000000"/>
                <w:sz w:val="24"/>
                <w:szCs w:val="24"/>
              </w:rPr>
              <w:t>Sweetnam</w:t>
            </w:r>
            <w:r w:rsidRPr="00200F30" w:rsidR="008150B4">
              <w:rPr>
                <w:rFonts w:ascii="Times New Roman" w:hAnsi="Times New Roman"/>
                <w:color w:val="000000"/>
                <w:sz w:val="24"/>
                <w:szCs w:val="24"/>
              </w:rPr>
              <w:t>’s</w:t>
            </w:r>
            <w:r w:rsidRPr="00200F30">
              <w:rPr>
                <w:rFonts w:ascii="Times New Roman" w:hAnsi="Times New Roman"/>
                <w:color w:val="000000"/>
                <w:sz w:val="24"/>
                <w:szCs w:val="24"/>
              </w:rPr>
              <w:t xml:space="preserve"> 2025 total</w:t>
            </w:r>
            <w:r w:rsidRPr="00200F30" w:rsidR="008150B4">
              <w:rPr>
                <w:rFonts w:ascii="Times New Roman" w:hAnsi="Times New Roman"/>
                <w:color w:val="000000"/>
                <w:sz w:val="24"/>
                <w:szCs w:val="24"/>
              </w:rPr>
              <w:t xml:space="preserve"> dollar amount claimed </w:t>
            </w:r>
            <w:r w:rsidR="00C8059B">
              <w:rPr>
                <w:rFonts w:ascii="Times New Roman" w:hAnsi="Times New Roman"/>
                <w:color w:val="000000"/>
                <w:sz w:val="24"/>
                <w:szCs w:val="24"/>
              </w:rPr>
              <w:t>was</w:t>
            </w:r>
            <w:r w:rsidRPr="00200F30">
              <w:rPr>
                <w:rFonts w:ascii="Times New Roman" w:hAnsi="Times New Roman"/>
                <w:color w:val="000000"/>
                <w:sz w:val="24"/>
                <w:szCs w:val="24"/>
              </w:rPr>
              <w:t xml:space="preserve"> $6,446.00</w:t>
            </w:r>
            <w:r w:rsidR="00200F30">
              <w:rPr>
                <w:rFonts w:ascii="Times New Roman" w:hAnsi="Times New Roman"/>
                <w:color w:val="000000"/>
                <w:sz w:val="24"/>
                <w:szCs w:val="24"/>
              </w:rPr>
              <w:t xml:space="preserve">. Sweetnam’s 2025 </w:t>
            </w:r>
            <w:r w:rsidRPr="00200F30" w:rsidR="008150B4">
              <w:rPr>
                <w:rFonts w:ascii="Times New Roman" w:hAnsi="Times New Roman"/>
                <w:color w:val="000000"/>
                <w:sz w:val="24"/>
                <w:szCs w:val="24"/>
              </w:rPr>
              <w:t xml:space="preserve">time records indicate a </w:t>
            </w:r>
            <w:r w:rsidRPr="00200F30" w:rsidR="00710AE7">
              <w:rPr>
                <w:rFonts w:ascii="Times New Roman" w:hAnsi="Times New Roman"/>
                <w:color w:val="000000"/>
                <w:sz w:val="24"/>
                <w:szCs w:val="24"/>
              </w:rPr>
              <w:t>total</w:t>
            </w:r>
            <w:r w:rsidRPr="00200F30" w:rsidR="008150B4">
              <w:rPr>
                <w:rFonts w:ascii="Times New Roman" w:hAnsi="Times New Roman"/>
                <w:color w:val="000000"/>
                <w:sz w:val="24"/>
                <w:szCs w:val="24"/>
              </w:rPr>
              <w:t xml:space="preserve"> of</w:t>
            </w:r>
            <w:r w:rsidRPr="00200F30" w:rsidR="00710AE7">
              <w:rPr>
                <w:rFonts w:ascii="Times New Roman" w:hAnsi="Times New Roman"/>
                <w:color w:val="000000"/>
                <w:sz w:val="24"/>
                <w:szCs w:val="24"/>
              </w:rPr>
              <w:t xml:space="preserve"> 23.44</w:t>
            </w:r>
            <w:r w:rsidRPr="00200F30" w:rsidR="008150B4">
              <w:rPr>
                <w:rFonts w:ascii="Times New Roman" w:hAnsi="Times New Roman"/>
                <w:color w:val="000000"/>
                <w:sz w:val="24"/>
                <w:szCs w:val="24"/>
              </w:rPr>
              <w:t xml:space="preserve"> hours </w:t>
            </w:r>
            <w:r w:rsidR="00200F30">
              <w:rPr>
                <w:rFonts w:ascii="Times New Roman" w:hAnsi="Times New Roman"/>
                <w:color w:val="000000"/>
                <w:sz w:val="24"/>
                <w:szCs w:val="24"/>
              </w:rPr>
              <w:t>for</w:t>
            </w:r>
            <w:r w:rsidRPr="00200F30" w:rsidR="008150B4">
              <w:rPr>
                <w:rFonts w:ascii="Times New Roman" w:hAnsi="Times New Roman"/>
                <w:color w:val="000000"/>
                <w:sz w:val="24"/>
                <w:szCs w:val="24"/>
              </w:rPr>
              <w:t xml:space="preserve"> 2025</w:t>
            </w:r>
            <w:r w:rsidRPr="00200F30" w:rsidR="00710AE7">
              <w:rPr>
                <w:rFonts w:ascii="Times New Roman" w:hAnsi="Times New Roman"/>
                <w:color w:val="000000"/>
                <w:sz w:val="24"/>
                <w:szCs w:val="24"/>
              </w:rPr>
              <w:t>.</w:t>
            </w:r>
          </w:p>
          <w:p w:rsidRPr="00B13395" w:rsidR="00710AE7" w:rsidP="00D02592" w:rsidRDefault="008E61A4" w14:paraId="34521A41" w14:textId="5F5FBFAF">
            <w:pPr>
              <w:tabs>
                <w:tab w:val="left" w:pos="1440"/>
              </w:tabs>
            </w:pPr>
            <w:r w:rsidRPr="00200F30">
              <w:t>CforAT</w:t>
            </w:r>
            <w:r w:rsidRPr="00200F30" w:rsidR="008150B4">
              <w:t>’s s</w:t>
            </w:r>
            <w:r w:rsidRPr="00200F30" w:rsidR="00710AE7">
              <w:t>ubtotal</w:t>
            </w:r>
            <w:r w:rsidRPr="00200F30" w:rsidR="008150B4">
              <w:t xml:space="preserve"> for </w:t>
            </w:r>
            <w:r w:rsidRPr="00200F30" w:rsidR="008150B4">
              <w:rPr>
                <w:color w:val="000000"/>
              </w:rPr>
              <w:t xml:space="preserve">non-IComp Claim Preparation claimed hours </w:t>
            </w:r>
            <w:r w:rsidR="00C8059B">
              <w:rPr>
                <w:color w:val="000000"/>
              </w:rPr>
              <w:t>was</w:t>
            </w:r>
            <w:r w:rsidRPr="00200F30" w:rsidR="00C8059B">
              <w:t xml:space="preserve"> </w:t>
            </w:r>
            <w:r w:rsidRPr="00200F30" w:rsidR="00710AE7">
              <w:t>$74,653</w:t>
            </w:r>
            <w:r w:rsidRPr="00200F30" w:rsidR="008150B4">
              <w:t>.00</w:t>
            </w:r>
            <w:r w:rsidR="00200F30">
              <w:t xml:space="preserve">. CforAT’s </w:t>
            </w:r>
            <w:r w:rsidRPr="00200F30" w:rsidR="008150B4">
              <w:t xml:space="preserve">total request for compensation </w:t>
            </w:r>
            <w:r w:rsidR="00452305">
              <w:t>should have added</w:t>
            </w:r>
            <w:r w:rsidR="00C8059B">
              <w:t xml:space="preserve"> to</w:t>
            </w:r>
            <w:r w:rsidR="003F724C">
              <w:t xml:space="preserve"> </w:t>
            </w:r>
            <w:r w:rsidRPr="00200F30" w:rsidR="008150B4">
              <w:t>$78,579.00.</w:t>
            </w:r>
            <w:r w:rsidR="001A5B28">
              <w:t xml:space="preserve"> Upon review of the CforAT documents filed in support of its ICOMP Claim, the Commission is reducin</w:t>
            </w:r>
            <w:r w:rsidR="007922C6">
              <w:t xml:space="preserve">g CforAT’s requested amount to $70,072.35, to reflect </w:t>
            </w:r>
            <w:r w:rsidR="00DF4000">
              <w:t xml:space="preserve">the adjusted hourly rates and disallowances assessed here in Part III.D. </w:t>
            </w:r>
            <w:r w:rsidRPr="00403FC4" w:rsidR="00452305">
              <w:t xml:space="preserve"> </w:t>
            </w:r>
          </w:p>
        </w:tc>
      </w:tr>
    </w:tbl>
    <w:p w:rsidRPr="00796D66" w:rsidR="00A92D0B" w:rsidP="00327ED4" w:rsidRDefault="00A92D0B" w14:paraId="18E9D359" w14:textId="6CF07914">
      <w:pPr>
        <w:keepNext/>
        <w:tabs>
          <w:tab w:val="left" w:pos="1260"/>
        </w:tabs>
        <w:spacing w:before="240"/>
        <w:jc w:val="center"/>
        <w:rPr>
          <w:rFonts w:ascii="Arial" w:hAnsi="Arial" w:cs="Arial"/>
          <w:b/>
          <w:color w:val="000000"/>
          <w:sz w:val="26"/>
          <w:szCs w:val="26"/>
        </w:rPr>
      </w:pPr>
      <w:r w:rsidRPr="00796D66">
        <w:rPr>
          <w:rFonts w:ascii="Arial" w:hAnsi="Arial" w:cs="Arial"/>
          <w:b/>
          <w:color w:val="000000"/>
          <w:sz w:val="26"/>
          <w:szCs w:val="26"/>
        </w:rPr>
        <w:t>PART IV:</w:t>
      </w:r>
      <w:r w:rsidRPr="00796D66" w:rsidR="00D1778A">
        <w:rPr>
          <w:rFonts w:ascii="Arial" w:hAnsi="Arial" w:cs="Arial"/>
          <w:b/>
          <w:color w:val="000000"/>
          <w:sz w:val="26"/>
          <w:szCs w:val="26"/>
        </w:rPr>
        <w:t xml:space="preserve">  </w:t>
      </w:r>
      <w:r w:rsidRPr="00796D66">
        <w:rPr>
          <w:rFonts w:ascii="Arial" w:hAnsi="Arial" w:cs="Arial"/>
          <w:b/>
          <w:color w:val="000000"/>
          <w:sz w:val="26"/>
          <w:szCs w:val="26"/>
        </w:rPr>
        <w:t>OPPOSITIONS AND COMMENTS</w:t>
      </w:r>
    </w:p>
    <w:p w:rsidRPr="00796D66" w:rsidR="00D1778A" w:rsidP="00796D66" w:rsidRDefault="00A92D0B" w14:paraId="4E460EA0" w14:textId="77777777">
      <w:pPr>
        <w:keepNext/>
        <w:tabs>
          <w:tab w:val="left" w:pos="1260"/>
        </w:tabs>
        <w:ind w:left="1267" w:hanging="1267"/>
        <w:jc w:val="center"/>
        <w:rPr>
          <w:rFonts w:ascii="Arial" w:hAnsi="Arial" w:cs="Arial"/>
          <w:b/>
          <w:color w:val="000000"/>
          <w:sz w:val="26"/>
          <w:szCs w:val="26"/>
        </w:rPr>
      </w:pPr>
      <w:r w:rsidRPr="00796D66">
        <w:rPr>
          <w:rFonts w:ascii="Arial" w:hAnsi="Arial" w:cs="Arial"/>
          <w:b/>
          <w:color w:val="000000"/>
          <w:sz w:val="26"/>
          <w:szCs w:val="26"/>
        </w:rPr>
        <w:t>Within 30 days after service of this Claim, Commission Staff</w:t>
      </w:r>
    </w:p>
    <w:p w:rsidRPr="00796D66" w:rsidR="00A92D0B" w:rsidP="00327ED4" w:rsidRDefault="00F20061" w14:paraId="5D5DC317" w14:textId="55461E2E">
      <w:pPr>
        <w:keepNext/>
        <w:tabs>
          <w:tab w:val="left" w:pos="1260"/>
        </w:tabs>
        <w:spacing w:line="360" w:lineRule="auto"/>
        <w:ind w:left="1267" w:hanging="1267"/>
        <w:jc w:val="center"/>
        <w:rPr>
          <w:rFonts w:ascii="Arial" w:hAnsi="Arial" w:cs="Arial"/>
          <w:b/>
          <w:color w:val="000000"/>
          <w:sz w:val="26"/>
          <w:szCs w:val="26"/>
        </w:rPr>
      </w:pPr>
      <w:r w:rsidRPr="00796D66">
        <w:rPr>
          <w:rFonts w:ascii="Arial" w:hAnsi="Arial" w:cs="Arial"/>
          <w:b/>
          <w:color w:val="000000"/>
          <w:sz w:val="26"/>
          <w:szCs w:val="26"/>
        </w:rPr>
        <w:t xml:space="preserve"> </w:t>
      </w:r>
      <w:r w:rsidRPr="00796D66" w:rsidR="00A92D0B">
        <w:rPr>
          <w:rFonts w:ascii="Arial" w:hAnsi="Arial" w:cs="Arial"/>
          <w:b/>
          <w:color w:val="000000"/>
          <w:sz w:val="26"/>
          <w:szCs w:val="26"/>
        </w:rPr>
        <w:t>or any other party may file a response to the Claim (</w:t>
      </w:r>
      <w:r w:rsidRPr="00796D66" w:rsidR="00A92D0B">
        <w:rPr>
          <w:rFonts w:ascii="Arial" w:hAnsi="Arial" w:cs="Arial"/>
          <w:b/>
          <w:i/>
          <w:color w:val="000000"/>
          <w:sz w:val="26"/>
          <w:szCs w:val="26"/>
        </w:rPr>
        <w:t>see</w:t>
      </w:r>
      <w:r w:rsidRPr="00796D66" w:rsidR="00A92D0B">
        <w:rPr>
          <w:rFonts w:ascii="Arial" w:hAnsi="Arial" w:cs="Arial"/>
          <w:b/>
          <w:color w:val="000000"/>
          <w:sz w:val="26"/>
          <w:szCs w:val="26"/>
        </w:rPr>
        <w:t xml:space="preserve">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095"/>
        <w:gridCol w:w="1265"/>
      </w:tblGrid>
      <w:tr w:rsidRPr="007F620E" w:rsidR="00A92D0B" w:rsidTr="00796D66" w14:paraId="46A51699" w14:textId="77777777">
        <w:tc>
          <w:tcPr>
            <w:tcW w:w="8095" w:type="dxa"/>
          </w:tcPr>
          <w:p w:rsidRPr="007F620E" w:rsidR="00A92D0B" w:rsidP="005A3018" w:rsidRDefault="00A92D0B" w14:paraId="607B1FB9" w14:textId="2B0BA914">
            <w:pPr>
              <w:ind w:left="360" w:hanging="360"/>
              <w:rPr>
                <w:color w:val="000000"/>
              </w:rPr>
            </w:pPr>
            <w:r w:rsidRPr="007F620E">
              <w:rPr>
                <w:b/>
                <w:color w:val="000000"/>
              </w:rPr>
              <w:t>A.</w:t>
            </w:r>
            <w:r w:rsidR="005A3018">
              <w:rPr>
                <w:b/>
                <w:color w:val="000000"/>
              </w:rPr>
              <w:tab/>
            </w:r>
            <w:r w:rsidRPr="007F620E">
              <w:rPr>
                <w:b/>
                <w:color w:val="000000"/>
              </w:rPr>
              <w:t>Opposition:</w:t>
            </w:r>
            <w:r w:rsidR="00796D66">
              <w:rPr>
                <w:b/>
                <w:color w:val="000000"/>
              </w:rPr>
              <w:t>  </w:t>
            </w:r>
            <w:r w:rsidRPr="007F620E">
              <w:rPr>
                <w:b/>
                <w:color w:val="000000"/>
              </w:rPr>
              <w:t>Did any party oppose the Claim?</w:t>
            </w:r>
          </w:p>
        </w:tc>
        <w:tc>
          <w:tcPr>
            <w:tcW w:w="1265" w:type="dxa"/>
          </w:tcPr>
          <w:p w:rsidRPr="007F620E" w:rsidR="00A92D0B" w:rsidP="00796D66" w:rsidRDefault="00B87C03" w14:paraId="6E7CD931" w14:textId="213272EA">
            <w:pPr>
              <w:jc w:val="center"/>
              <w:rPr>
                <w:color w:val="000000"/>
              </w:rPr>
            </w:pPr>
            <w:r>
              <w:rPr>
                <w:color w:val="000000"/>
              </w:rPr>
              <w:t>No</w:t>
            </w:r>
          </w:p>
        </w:tc>
      </w:tr>
    </w:tbl>
    <w:p w:rsidRPr="007F620E" w:rsidR="00A92D0B" w:rsidP="00A25D40" w:rsidRDefault="00A92D0B" w14:paraId="23420BFC" w14:textId="77777777">
      <w:pPr>
        <w:tabs>
          <w:tab w:val="left" w:pos="1260"/>
        </w:tabs>
        <w:ind w:left="1267" w:hanging="1267"/>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095"/>
        <w:gridCol w:w="1265"/>
      </w:tblGrid>
      <w:tr w:rsidRPr="007F620E" w:rsidR="00A92D0B" w:rsidTr="00796D66" w14:paraId="7A0D8740" w14:textId="77777777">
        <w:tc>
          <w:tcPr>
            <w:tcW w:w="8095" w:type="dxa"/>
          </w:tcPr>
          <w:p w:rsidRPr="007F620E" w:rsidR="00A92D0B" w:rsidP="005A3018" w:rsidRDefault="00A92D0B" w14:paraId="37D28D8D" w14:textId="600B576A">
            <w:pPr>
              <w:ind w:left="360" w:hanging="360"/>
              <w:rPr>
                <w:color w:val="000000"/>
              </w:rPr>
            </w:pPr>
            <w:r w:rsidRPr="007F620E">
              <w:rPr>
                <w:b/>
                <w:color w:val="000000"/>
              </w:rPr>
              <w:t>B.</w:t>
            </w:r>
            <w:r w:rsidR="005A3018">
              <w:rPr>
                <w:b/>
                <w:color w:val="000000"/>
              </w:rPr>
              <w:tab/>
            </w:r>
            <w:r w:rsidRPr="007F620E">
              <w:rPr>
                <w:b/>
                <w:color w:val="000000"/>
              </w:rPr>
              <w:t>Comment Period:</w:t>
            </w:r>
            <w:r w:rsidR="00796D66">
              <w:rPr>
                <w:b/>
                <w:color w:val="000000"/>
              </w:rPr>
              <w:t>  </w:t>
            </w:r>
            <w:r w:rsidRPr="007F620E">
              <w:rPr>
                <w:b/>
                <w:color w:val="000000"/>
              </w:rPr>
              <w:t>Was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1265" w:type="dxa"/>
          </w:tcPr>
          <w:p w:rsidRPr="007F620E" w:rsidR="00A92D0B" w:rsidP="00796D66" w:rsidRDefault="004A08AC" w14:paraId="238D2D3F" w14:textId="42564B12">
            <w:pPr>
              <w:keepNext/>
              <w:keepLines/>
              <w:spacing w:after="240"/>
              <w:jc w:val="center"/>
              <w:rPr>
                <w:color w:val="000000"/>
              </w:rPr>
            </w:pPr>
            <w:r>
              <w:rPr>
                <w:color w:val="000000"/>
              </w:rPr>
              <w:t>Yes</w:t>
            </w:r>
          </w:p>
        </w:tc>
      </w:tr>
    </w:tbl>
    <w:p w:rsidRPr="00796D66" w:rsidR="00A92D0B" w:rsidP="00327ED4" w:rsidRDefault="00A92D0B" w14:paraId="186E115A" w14:textId="7B8EE88C">
      <w:pPr>
        <w:keepNext/>
        <w:spacing w:before="240" w:line="360" w:lineRule="auto"/>
        <w:jc w:val="center"/>
        <w:rPr>
          <w:rFonts w:ascii="Arial" w:hAnsi="Arial" w:cs="Arial"/>
          <w:b/>
          <w:color w:val="000000"/>
          <w:sz w:val="26"/>
          <w:szCs w:val="26"/>
          <w:u w:val="single"/>
        </w:rPr>
      </w:pPr>
      <w:r w:rsidRPr="00796D66">
        <w:rPr>
          <w:rFonts w:ascii="Arial" w:hAnsi="Arial" w:cs="Arial"/>
          <w:b/>
          <w:color w:val="000000"/>
          <w:sz w:val="26"/>
          <w:szCs w:val="26"/>
          <w:u w:val="single"/>
        </w:rPr>
        <w:t>FINDINGS OF FACT</w:t>
      </w:r>
    </w:p>
    <w:p w:rsidRPr="00D44B0C" w:rsidR="00A92D0B" w:rsidP="00CB74A3" w:rsidRDefault="00D44B0C" w14:paraId="7772A9DC" w14:textId="25582C13">
      <w:pPr>
        <w:numPr>
          <w:ilvl w:val="0"/>
          <w:numId w:val="3"/>
        </w:numPr>
        <w:tabs>
          <w:tab w:val="num" w:pos="540"/>
        </w:tabs>
        <w:ind w:left="540" w:hanging="540"/>
        <w:rPr>
          <w:bCs/>
        </w:rPr>
      </w:pPr>
      <w:r w:rsidRPr="00D44B0C">
        <w:t>Center for Accessible Technology</w:t>
      </w:r>
      <w:r w:rsidRPr="007F620E" w:rsidR="00FE3BAE">
        <w:t xml:space="preserve"> </w:t>
      </w:r>
      <w:r w:rsidRPr="007F620E" w:rsidR="00A92D0B">
        <w:t>has</w:t>
      </w:r>
      <w:r w:rsidR="002173BC">
        <w:t xml:space="preserve"> </w:t>
      </w:r>
      <w:r w:rsidRPr="007F620E" w:rsidR="00A92D0B">
        <w:t>made a substantia</w:t>
      </w:r>
      <w:r w:rsidRPr="007F620E" w:rsidR="00DE3A5D">
        <w:t xml:space="preserve">l contribution to </w:t>
      </w:r>
      <w:r w:rsidRPr="00D44B0C" w:rsidR="00B64275">
        <w:rPr>
          <w:bCs/>
          <w:color w:val="000000"/>
        </w:rPr>
        <w:t>D.25-08-049</w:t>
      </w:r>
      <w:r w:rsidR="00AB3863">
        <w:rPr>
          <w:bCs/>
          <w:color w:val="000000"/>
        </w:rPr>
        <w:t xml:space="preserve">, </w:t>
      </w:r>
      <w:r w:rsidRPr="00AB3863" w:rsidR="00AB3863">
        <w:rPr>
          <w:bCs/>
          <w:color w:val="000000"/>
        </w:rPr>
        <w:t>Advice Letters and Resolution E-5354, Resolution E-5355 and Resolution E-5356</w:t>
      </w:r>
      <w:r w:rsidRPr="00AB3863" w:rsidR="00A92D0B">
        <w:rPr>
          <w:bCs/>
        </w:rPr>
        <w:t>.</w:t>
      </w:r>
    </w:p>
    <w:p w:rsidRPr="007F620E" w:rsidR="00A92D0B" w:rsidP="00A25D40" w:rsidRDefault="00D44B0C" w14:paraId="04EB50FD" w14:textId="68EBA95D">
      <w:pPr>
        <w:numPr>
          <w:ilvl w:val="0"/>
          <w:numId w:val="3"/>
        </w:numPr>
        <w:tabs>
          <w:tab w:val="num" w:pos="540"/>
        </w:tabs>
        <w:spacing w:before="120"/>
      </w:pPr>
      <w:r w:rsidRPr="00D44B0C">
        <w:t>Center for Accessible Technology</w:t>
      </w:r>
      <w:r w:rsidR="00BD0CDA">
        <w:t>’s</w:t>
      </w:r>
      <w:r w:rsidRPr="007F620E">
        <w:t xml:space="preserve"> </w:t>
      </w:r>
      <w:r w:rsidRPr="007F620E" w:rsidR="00A92D0B">
        <w:t>representatives,</w:t>
      </w:r>
      <w:r w:rsidR="003B5EAC">
        <w:t xml:space="preserve"> </w:t>
      </w:r>
      <w:r w:rsidRPr="007F620E" w:rsidR="00A92D0B">
        <w:t>as adjusted herein, are comparable to market rates paid to experts and advocates having comparable training and experience and offering similar services.</w:t>
      </w:r>
    </w:p>
    <w:p w:rsidRPr="007F620E" w:rsidR="00A92D0B" w:rsidP="00A25D40" w:rsidRDefault="00A92D0B" w14:paraId="528EBB52" w14:textId="0062EC52">
      <w:pPr>
        <w:numPr>
          <w:ilvl w:val="0"/>
          <w:numId w:val="3"/>
        </w:numPr>
        <w:tabs>
          <w:tab w:val="num" w:pos="540"/>
        </w:tabs>
        <w:spacing w:before="120"/>
      </w:pPr>
      <w:r w:rsidRPr="007F620E">
        <w:t>The claimed costs and expenses,</w:t>
      </w:r>
      <w:r w:rsidR="003B5EAC">
        <w:t xml:space="preserve"> </w:t>
      </w:r>
      <w:r w:rsidRPr="007F620E">
        <w:t>as adjusted herein, are reasonable and commensurate with the work performed.</w:t>
      </w:r>
    </w:p>
    <w:p w:rsidRPr="007F620E" w:rsidR="00A92D0B" w:rsidP="00A25D40" w:rsidRDefault="00A92D0B" w14:paraId="48B52895" w14:textId="61471409">
      <w:pPr>
        <w:numPr>
          <w:ilvl w:val="0"/>
          <w:numId w:val="3"/>
        </w:numPr>
        <w:tabs>
          <w:tab w:val="num" w:pos="540"/>
        </w:tabs>
        <w:spacing w:before="120"/>
      </w:pPr>
      <w:r w:rsidRPr="007F620E">
        <w:t xml:space="preserve">The total of reasonable </w:t>
      </w:r>
      <w:r w:rsidRPr="007F620E" w:rsidR="003C608A">
        <w:t xml:space="preserve">compensation </w:t>
      </w:r>
      <w:r w:rsidRPr="007F620E">
        <w:t>is $</w:t>
      </w:r>
      <w:r w:rsidRPr="002B234D" w:rsidR="002B234D">
        <w:rPr>
          <w:bCs/>
          <w:color w:val="000000"/>
        </w:rPr>
        <w:t>70,072.35</w:t>
      </w:r>
      <w:r w:rsidRPr="007F620E">
        <w:t>.</w:t>
      </w:r>
    </w:p>
    <w:p w:rsidRPr="00796D66" w:rsidR="00A92D0B" w:rsidP="00327ED4" w:rsidRDefault="00A92D0B" w14:paraId="5C773C3F" w14:textId="2ABA1EF8">
      <w:pPr>
        <w:keepNext/>
        <w:spacing w:before="240" w:line="360" w:lineRule="auto"/>
        <w:jc w:val="center"/>
        <w:rPr>
          <w:rFonts w:ascii="Arial" w:hAnsi="Arial" w:cs="Arial"/>
          <w:b/>
          <w:color w:val="000000"/>
          <w:sz w:val="26"/>
          <w:szCs w:val="26"/>
          <w:u w:val="single"/>
        </w:rPr>
      </w:pPr>
      <w:r w:rsidRPr="00796D66">
        <w:rPr>
          <w:rFonts w:ascii="Arial" w:hAnsi="Arial" w:cs="Arial"/>
          <w:b/>
          <w:color w:val="000000"/>
          <w:sz w:val="26"/>
          <w:szCs w:val="26"/>
          <w:u w:val="single"/>
        </w:rPr>
        <w:t>CONCLUSION OF LAW</w:t>
      </w:r>
    </w:p>
    <w:p w:rsidRPr="007F620E" w:rsidR="00A92D0B" w:rsidP="00796D66" w:rsidRDefault="00A92D0B" w14:paraId="654F2C27" w14:textId="522FBAB4">
      <w:pPr>
        <w:numPr>
          <w:ilvl w:val="0"/>
          <w:numId w:val="10"/>
        </w:numPr>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96D66" w:rsidR="00CB74A3" w:rsidP="00327ED4" w:rsidRDefault="00A92D0B" w14:paraId="4FFE0E18" w14:textId="7E6528AA">
      <w:pPr>
        <w:keepNext/>
        <w:spacing w:before="240" w:line="360" w:lineRule="auto"/>
        <w:jc w:val="center"/>
        <w:rPr>
          <w:rFonts w:ascii="Arial" w:hAnsi="Arial" w:cs="Arial"/>
          <w:b/>
          <w:color w:val="000000"/>
          <w:sz w:val="26"/>
          <w:szCs w:val="26"/>
          <w:u w:val="single"/>
        </w:rPr>
      </w:pPr>
      <w:r w:rsidRPr="00796D66">
        <w:rPr>
          <w:rFonts w:ascii="Arial" w:hAnsi="Arial" w:cs="Arial"/>
          <w:b/>
          <w:color w:val="000000"/>
          <w:sz w:val="26"/>
          <w:szCs w:val="26"/>
          <w:u w:val="single"/>
        </w:rPr>
        <w:lastRenderedPageBreak/>
        <w:t>ORDER</w:t>
      </w:r>
    </w:p>
    <w:p w:rsidRPr="003977A1" w:rsidR="003977A1" w:rsidP="003977A1" w:rsidRDefault="003977A1" w14:paraId="1471AB0C" w14:textId="2C39DFBC">
      <w:pPr>
        <w:keepNext/>
        <w:numPr>
          <w:ilvl w:val="0"/>
          <w:numId w:val="4"/>
        </w:numPr>
        <w:tabs>
          <w:tab w:val="clear" w:pos="900"/>
          <w:tab w:val="num" w:pos="540"/>
        </w:tabs>
        <w:ind w:left="547" w:hanging="547"/>
        <w:rPr>
          <w:rFonts w:asciiTheme="majorBidi" w:hAnsiTheme="majorBidi" w:cstheme="majorBidi"/>
          <w:color w:val="000000"/>
        </w:rPr>
      </w:pPr>
      <w:r w:rsidRPr="00D44B0C">
        <w:t>Center for Accessible Technology</w:t>
      </w:r>
      <w:r w:rsidRPr="00385952">
        <w:rPr>
          <w:rFonts w:asciiTheme="majorBidi" w:hAnsiTheme="majorBidi" w:cstheme="majorBidi"/>
        </w:rPr>
        <w:t xml:space="preserve"> is </w:t>
      </w:r>
      <w:r w:rsidRPr="00385952">
        <w:rPr>
          <w:rFonts w:asciiTheme="majorBidi" w:hAnsiTheme="majorBidi" w:cstheme="majorBidi"/>
          <w:color w:val="000000"/>
        </w:rPr>
        <w:t xml:space="preserve">awarded </w:t>
      </w:r>
      <w:r w:rsidRPr="00FA488B">
        <w:rPr>
          <w:rFonts w:asciiTheme="majorBidi" w:hAnsiTheme="majorBidi" w:cstheme="majorBidi"/>
          <w:color w:val="000000"/>
        </w:rPr>
        <w:t>$</w:t>
      </w:r>
      <w:r w:rsidRPr="002B234D" w:rsidR="002B234D">
        <w:rPr>
          <w:bCs/>
          <w:color w:val="000000"/>
        </w:rPr>
        <w:t>70,072.35</w:t>
      </w:r>
      <w:r w:rsidRPr="00385952">
        <w:rPr>
          <w:rFonts w:asciiTheme="majorBidi" w:hAnsiTheme="majorBidi" w:cstheme="majorBidi"/>
          <w:color w:val="000000"/>
        </w:rPr>
        <w:t>.</w:t>
      </w:r>
    </w:p>
    <w:p w:rsidR="00A92D0B" w:rsidP="00A25D40" w:rsidRDefault="0096431F" w14:paraId="4AEF5671" w14:textId="3677A3AB">
      <w:pPr>
        <w:numPr>
          <w:ilvl w:val="0"/>
          <w:numId w:val="4"/>
        </w:numPr>
        <w:tabs>
          <w:tab w:val="clear" w:pos="900"/>
          <w:tab w:val="num" w:pos="540"/>
        </w:tabs>
        <w:spacing w:before="120"/>
        <w:ind w:left="547" w:hanging="547"/>
      </w:pPr>
      <w:r>
        <w:t xml:space="preserve">Within 30 days of the effective date of this decision, </w:t>
      </w:r>
      <w:r w:rsidRPr="00D44B0C" w:rsidR="00D44B0C">
        <w:t>Pacific Gas and Electric Company, San Diego Gas &amp; Electric Company, Southern California Edison Company, Bear Valley Electric Service, Inc., Liberty Utilities, and PacifiCorp</w:t>
      </w:r>
      <w:r w:rsidR="00D44B0C">
        <w:t xml:space="preserve"> </w:t>
      </w:r>
      <w:r w:rsidRPr="00831652">
        <w:t>shall</w:t>
      </w:r>
      <w:r>
        <w:t xml:space="preserve"> pay </w:t>
      </w:r>
      <w:r w:rsidRPr="00D44B0C" w:rsidR="00D44B0C">
        <w:t>Center for Accessible Technology</w:t>
      </w:r>
      <w:r w:rsidRPr="0022302F">
        <w:t xml:space="preserve"> </w:t>
      </w:r>
      <w:r>
        <w:t xml:space="preserve">their respective shares of the award, based on their California-jurisdictional electric revenues for the </w:t>
      </w:r>
      <w:r w:rsidR="00D44B0C">
        <w:t>2023</w:t>
      </w:r>
      <w:r>
        <w:t xml:space="preserve"> calendar year, </w:t>
      </w:r>
      <w:r w:rsidRPr="0055228B">
        <w:t xml:space="preserve">to reflect the year in which the proceeding was primarily litigated.  If such data </w:t>
      </w:r>
      <w:r>
        <w:t>are</w:t>
      </w:r>
      <w:r w:rsidRPr="0055228B">
        <w:t xml:space="preserve"> unavailable, the most recent electric revenue data shall be used.</w:t>
      </w:r>
      <w:r w:rsidR="00D44B0C">
        <w:t xml:space="preserve"> </w:t>
      </w:r>
      <w:r w:rsidRPr="007F620E">
        <w:t xml:space="preserve">Payment of the award </w:t>
      </w:r>
      <w:r w:rsidRPr="00831652">
        <w:t>shall</w:t>
      </w:r>
      <w:r w:rsidRPr="007F620E">
        <w:t xml:space="preserve"> include compound interest at the rate earned on prime, three-month non-financial commercial paper as reported in Federal Reserve Statistical Release H.15, beginning </w:t>
      </w:r>
      <w:r w:rsidR="00E9580F">
        <w:t>January 11, 2026</w:t>
      </w:r>
      <w:r w:rsidRPr="007F620E">
        <w:t>, the 75</w:t>
      </w:r>
      <w:r w:rsidRPr="007F620E">
        <w:rPr>
          <w:vertAlign w:val="superscript"/>
        </w:rPr>
        <w:t>th</w:t>
      </w:r>
      <w:r w:rsidRPr="007F620E">
        <w:t xml:space="preserve"> day after the filing of </w:t>
      </w:r>
      <w:r w:rsidRPr="00D44B0C" w:rsidR="00D44B0C">
        <w:t>Center for Accessible Technology</w:t>
      </w:r>
      <w:r w:rsidRPr="003B6A1B">
        <w:t>’s</w:t>
      </w:r>
      <w:r w:rsidRPr="003B6A1B">
        <w:rPr>
          <w:b/>
        </w:rPr>
        <w:t xml:space="preserve"> </w:t>
      </w:r>
      <w:r w:rsidRPr="007F620E">
        <w:t>request, and continuing until full payment is made.</w:t>
      </w:r>
    </w:p>
    <w:p w:rsidR="00A92D0B" w:rsidP="00DE3A5D" w:rsidRDefault="00A92D0B" w14:paraId="5AD40C95" w14:textId="0AFC1134">
      <w:pPr>
        <w:keepNext/>
        <w:keepLines/>
        <w:numPr>
          <w:ilvl w:val="0"/>
          <w:numId w:val="4"/>
        </w:numPr>
        <w:tabs>
          <w:tab w:val="clear" w:pos="900"/>
          <w:tab w:val="num" w:pos="540"/>
        </w:tabs>
        <w:spacing w:before="240"/>
        <w:ind w:left="547" w:hanging="547"/>
      </w:pPr>
      <w:r w:rsidRPr="007F620E">
        <w:t xml:space="preserve">The comment period for today’s decision </w:t>
      </w:r>
      <w:r w:rsidR="002173BC">
        <w:t>i</w:t>
      </w:r>
      <w:r w:rsidRPr="007F620E">
        <w:t>s</w:t>
      </w:r>
      <w:r w:rsidR="002173BC">
        <w:t xml:space="preserve"> </w:t>
      </w:r>
      <w:r w:rsidRPr="007F620E">
        <w:t>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00A92D0B" w:rsidP="00357623" w:rsidRDefault="00A92D0B" w14:paraId="0467B995" w14:textId="79A67986">
      <w:pPr>
        <w:keepNext/>
        <w:keepLines/>
        <w:spacing w:before="240"/>
        <w:ind w:left="547"/>
        <w:rPr>
          <w:color w:val="000000"/>
        </w:rPr>
      </w:pPr>
      <w:r w:rsidRPr="007F620E">
        <w:rPr>
          <w:color w:val="000000"/>
        </w:rPr>
        <w:t>Dated</w:t>
      </w:r>
      <w:r w:rsidR="00A25D40">
        <w:rPr>
          <w:color w:val="000000"/>
        </w:rPr>
        <w:t> July </w:t>
      </w:r>
      <w:r w:rsidR="00327ED4">
        <w:rPr>
          <w:color w:val="000000"/>
        </w:rPr>
        <w:t>2</w:t>
      </w:r>
      <w:r w:rsidRPr="007F620E">
        <w:rPr>
          <w:color w:val="000000"/>
        </w:rPr>
        <w:t>,</w:t>
      </w:r>
      <w:r w:rsidR="00A25D40">
        <w:rPr>
          <w:color w:val="000000"/>
        </w:rPr>
        <w:t> 2026, </w:t>
      </w:r>
      <w:r w:rsidRPr="007F620E">
        <w:rPr>
          <w:color w:val="000000"/>
        </w:rPr>
        <w:t>at</w:t>
      </w:r>
      <w:r w:rsidR="00A25D40">
        <w:rPr>
          <w:color w:val="000000"/>
        </w:rPr>
        <w:t> Fort Bragg, </w:t>
      </w:r>
      <w:r w:rsidRPr="007F620E">
        <w:rPr>
          <w:color w:val="000000"/>
        </w:rPr>
        <w:t>California.</w:t>
      </w:r>
    </w:p>
    <w:p w:rsidR="00327ED4" w:rsidP="00357623" w:rsidRDefault="00327ED4" w14:paraId="0CABAC14" w14:textId="77777777">
      <w:pPr>
        <w:keepNext/>
        <w:keepLines/>
        <w:spacing w:before="240"/>
        <w:ind w:left="547"/>
        <w:rPr>
          <w:color w:val="000000"/>
        </w:rPr>
      </w:pPr>
    </w:p>
    <w:p w:rsidR="00327ED4" w:rsidP="00357623" w:rsidRDefault="00327ED4" w14:paraId="47F82D3D" w14:textId="77777777">
      <w:pPr>
        <w:keepNext/>
        <w:keepLines/>
        <w:spacing w:before="240"/>
        <w:ind w:left="547"/>
        <w:rPr>
          <w:color w:val="000000"/>
        </w:rPr>
      </w:pPr>
    </w:p>
    <w:p w:rsidRPr="00327ED4" w:rsidR="00327ED4" w:rsidP="00327ED4" w:rsidRDefault="00327ED4" w14:paraId="746B7E2C" w14:textId="77777777">
      <w:pPr>
        <w:keepNext/>
        <w:keepLines/>
        <w:ind w:left="5040"/>
        <w:rPr>
          <w:color w:val="000000"/>
        </w:rPr>
      </w:pPr>
      <w:r w:rsidRPr="00327ED4">
        <w:rPr>
          <w:color w:val="000000"/>
        </w:rPr>
        <w:t>JOHN REYNOLDS</w:t>
      </w:r>
    </w:p>
    <w:p w:rsidRPr="00327ED4" w:rsidR="00327ED4" w:rsidP="00327ED4" w:rsidRDefault="00327ED4" w14:paraId="5AD46634" w14:textId="11630EDE">
      <w:pPr>
        <w:keepNext/>
        <w:keepLines/>
        <w:ind w:left="5040"/>
        <w:rPr>
          <w:color w:val="000000"/>
        </w:rPr>
      </w:pPr>
      <w:r>
        <w:rPr>
          <w:color w:val="000000"/>
        </w:rPr>
        <w:tab/>
      </w:r>
      <w:r>
        <w:rPr>
          <w:color w:val="000000"/>
        </w:rPr>
        <w:tab/>
      </w:r>
      <w:r w:rsidRPr="00327ED4">
        <w:rPr>
          <w:color w:val="000000"/>
        </w:rPr>
        <w:t>President</w:t>
      </w:r>
    </w:p>
    <w:p w:rsidRPr="00327ED4" w:rsidR="00327ED4" w:rsidP="00327ED4" w:rsidRDefault="00327ED4" w14:paraId="2161BB6C" w14:textId="77777777">
      <w:pPr>
        <w:keepNext/>
        <w:keepLines/>
        <w:ind w:left="5040"/>
        <w:rPr>
          <w:color w:val="000000"/>
        </w:rPr>
      </w:pPr>
      <w:r w:rsidRPr="00327ED4">
        <w:rPr>
          <w:color w:val="000000"/>
        </w:rPr>
        <w:t>DARCIE L. HOUCK</w:t>
      </w:r>
    </w:p>
    <w:p w:rsidRPr="00327ED4" w:rsidR="00327ED4" w:rsidP="00327ED4" w:rsidRDefault="00327ED4" w14:paraId="3D5FF29B" w14:textId="77777777">
      <w:pPr>
        <w:keepNext/>
        <w:keepLines/>
        <w:ind w:left="5040"/>
        <w:rPr>
          <w:color w:val="000000"/>
        </w:rPr>
      </w:pPr>
      <w:r w:rsidRPr="00327ED4">
        <w:rPr>
          <w:color w:val="000000"/>
        </w:rPr>
        <w:t>KAREN DOUGLAS</w:t>
      </w:r>
    </w:p>
    <w:p w:rsidRPr="00327ED4" w:rsidR="00327ED4" w:rsidP="00327ED4" w:rsidRDefault="00327ED4" w14:paraId="636D28C6" w14:textId="77777777">
      <w:pPr>
        <w:keepNext/>
        <w:keepLines/>
        <w:ind w:left="5040"/>
        <w:rPr>
          <w:color w:val="000000"/>
        </w:rPr>
      </w:pPr>
      <w:r w:rsidRPr="00327ED4">
        <w:rPr>
          <w:color w:val="000000"/>
        </w:rPr>
        <w:tab/>
      </w:r>
      <w:r w:rsidRPr="00327ED4">
        <w:rPr>
          <w:color w:val="000000"/>
        </w:rPr>
        <w:tab/>
        <w:t>Commissioners</w:t>
      </w:r>
    </w:p>
    <w:p w:rsidRPr="00327ED4" w:rsidR="00327ED4" w:rsidP="00327ED4" w:rsidRDefault="00327ED4" w14:paraId="6DC20D2B" w14:textId="77777777">
      <w:pPr>
        <w:keepNext/>
        <w:keepLines/>
        <w:ind w:left="5040"/>
        <w:rPr>
          <w:color w:val="000000"/>
        </w:rPr>
      </w:pPr>
    </w:p>
    <w:p w:rsidRPr="00E40E20" w:rsidR="00E40E20" w:rsidP="00E40E20" w:rsidRDefault="00E40E20" w14:paraId="587CE798" w14:textId="087DE671">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E40E20">
        <w:rPr>
          <w:color w:val="000000"/>
        </w:rPr>
        <w:t xml:space="preserve">Commissioner Matthew Baker recused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E40E20">
        <w:rPr>
          <w:color w:val="000000"/>
        </w:rPr>
        <w:t xml:space="preserve">himself and did not participate in the vote of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E40E20">
        <w:rPr>
          <w:color w:val="000000"/>
        </w:rPr>
        <w:t xml:space="preserve">this item. Commissioner Christine Harada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E40E20">
        <w:rPr>
          <w:color w:val="000000"/>
        </w:rPr>
        <w:t xml:space="preserve">being absent did not participate in the vote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E40E20">
        <w:rPr>
          <w:color w:val="000000"/>
        </w:rPr>
        <w:t>of this item.</w:t>
      </w:r>
    </w:p>
    <w:p w:rsidR="00FE3BAE" w:rsidRDefault="00FE3BAE" w14:paraId="3C739AE2" w14:textId="71F3AFC8"/>
    <w:p w:rsidR="006B7228" w:rsidRDefault="006B7228" w14:paraId="37D74F32" w14:textId="77777777">
      <w:pPr>
        <w:sectPr w:rsidR="006B7228" w:rsidSect="007C1CDA">
          <w:headerReference w:type="default" r:id="rId11"/>
          <w:footerReference w:type="default" r:id="rId12"/>
          <w:footerReference w:type="first" r:id="rId13"/>
          <w:pgSz w:w="12240" w:h="15840" w:code="1"/>
          <w:pgMar w:top="1440" w:right="1440" w:bottom="1440" w:left="1440" w:header="720" w:footer="720" w:gutter="0"/>
          <w:pgNumType w:fmt="numberInDash" w:start="1"/>
          <w:cols w:space="720"/>
          <w:titlePg/>
          <w:docGrid w:linePitch="360"/>
        </w:sectPr>
      </w:pPr>
    </w:p>
    <w:p w:rsidRPr="00A25D40" w:rsidR="00FE3BAE" w:rsidP="00A25D40" w:rsidRDefault="00FE3BAE" w14:paraId="7A1C7043" w14:textId="77777777">
      <w:pPr>
        <w:pStyle w:val="standard"/>
        <w:spacing w:line="240" w:lineRule="auto"/>
        <w:ind w:firstLine="0"/>
        <w:jc w:val="center"/>
        <w:rPr>
          <w:rFonts w:ascii="Arial" w:hAnsi="Arial" w:cs="Arial"/>
          <w:b/>
          <w:sz w:val="28"/>
          <w:szCs w:val="28"/>
        </w:rPr>
      </w:pPr>
      <w:r w:rsidRPr="00A25D40">
        <w:rPr>
          <w:rFonts w:ascii="Arial" w:hAnsi="Arial" w:cs="Arial"/>
          <w:b/>
          <w:sz w:val="28"/>
          <w:szCs w:val="28"/>
        </w:rPr>
        <w:lastRenderedPageBreak/>
        <w:t>APPENDIX</w:t>
      </w:r>
    </w:p>
    <w:p w:rsidRPr="00A25D40" w:rsidR="00FE3BAE" w:rsidP="00F7579D" w:rsidRDefault="00FE3BAE" w14:paraId="300BB274" w14:textId="77777777">
      <w:pPr>
        <w:pStyle w:val="standard"/>
        <w:ind w:firstLine="0"/>
        <w:jc w:val="center"/>
        <w:rPr>
          <w:rFonts w:ascii="Arial" w:hAnsi="Arial" w:cs="Arial"/>
          <w:b/>
          <w:bCs/>
          <w:sz w:val="28"/>
          <w:szCs w:val="28"/>
        </w:rPr>
      </w:pPr>
      <w:r w:rsidRPr="00A25D40">
        <w:rPr>
          <w:rFonts w:ascii="Arial" w:hAnsi="Arial" w:cs="Arial"/>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327ED4" w14:paraId="16C5D6B1" w14:textId="7BE738BC">
            <w:r w:rsidRPr="00327ED4">
              <w:t>D2607021</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9E0384" w14:paraId="6846FB87" w14:textId="070B7F92">
            <w:pPr>
              <w:jc w:val="center"/>
            </w:pPr>
            <w:r>
              <w:t>No</w:t>
            </w:r>
          </w:p>
        </w:tc>
      </w:tr>
      <w:tr w:rsidRPr="00B803D5" w:rsidR="00FE3BAE" w:rsidTr="009E0384"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9637BB" w:rsidR="00FE3BAE" w:rsidP="001A08FA" w:rsidRDefault="009637BB" w14:paraId="426F2C45" w14:textId="1CE25541">
            <w:pPr>
              <w:rPr>
                <w:bCs/>
              </w:rPr>
            </w:pPr>
            <w:r w:rsidRPr="009637BB">
              <w:rPr>
                <w:bCs/>
                <w:color w:val="000000"/>
              </w:rPr>
              <w:t>D2508049 and IGFC Implementation Process, including Advice Letters and Resolution E-5354, Resolution E-5355 and Resolution E-5356</w:t>
            </w:r>
          </w:p>
        </w:tc>
      </w:tr>
      <w:tr w:rsidRPr="00B803D5" w:rsidR="00FE3BAE" w:rsidTr="009E0384"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9A2D17" w14:paraId="5B85688D" w14:textId="3A271600">
            <w:r>
              <w:t>R2207005</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9E0384" w14:paraId="5E75C0F0" w14:textId="10E2E6BC">
            <w:r>
              <w:t>ALJ Carolyn Sisto</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5E35C5" w:rsidR="005E35C5" w:rsidP="00A25D40" w:rsidRDefault="005E35C5" w14:paraId="7CA711B6" w14:textId="03C24841">
            <w:pPr>
              <w:tabs>
                <w:tab w:val="left" w:pos="1227"/>
              </w:tabs>
            </w:pPr>
            <w:r w:rsidRPr="005E35C5">
              <w:t>Pacific Gas and Electric Company, San Diego Gas &amp; Electric Company, Southern California Edison Company, Bear Valley Electric Service, Inc., Liberty Utilities, and PacifiCor</w:t>
            </w:r>
            <w:r>
              <w:t>p</w:t>
            </w:r>
            <w:r>
              <w:tab/>
            </w:r>
          </w:p>
        </w:tc>
      </w:tr>
    </w:tbl>
    <w:p w:rsidRPr="00A25D40" w:rsidR="00FE3BAE" w:rsidP="00A25D40" w:rsidRDefault="00FE3BAE" w14:paraId="7F0236A2" w14:textId="77777777">
      <w:pPr>
        <w:spacing w:before="240" w:after="120"/>
        <w:jc w:val="center"/>
        <w:rPr>
          <w:rFonts w:ascii="Arial" w:hAnsi="Arial" w:cs="Arial"/>
          <w:b/>
          <w:bCs/>
          <w:sz w:val="28"/>
          <w:szCs w:val="28"/>
        </w:rPr>
      </w:pPr>
      <w:r w:rsidRPr="00A25D40">
        <w:rPr>
          <w:rFonts w:ascii="Arial" w:hAnsi="Arial" w:cs="Arial"/>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15"/>
        <w:gridCol w:w="1911"/>
        <w:gridCol w:w="1420"/>
        <w:gridCol w:w="1588"/>
        <w:gridCol w:w="1405"/>
        <w:gridCol w:w="2501"/>
      </w:tblGrid>
      <w:tr w:rsidRPr="00B803D5" w:rsidR="00FE3BAE" w:rsidTr="00A25D40" w14:paraId="6CDB318E" w14:textId="77777777">
        <w:trPr>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911"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2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88"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50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153FA0" w:rsidTr="00A25D40" w14:paraId="080524E3" w14:textId="77777777">
        <w:trPr>
          <w:trHeight w:val="872"/>
          <w:jc w:val="center"/>
        </w:trPr>
        <w:tc>
          <w:tcPr>
            <w:tcW w:w="1615" w:type="dxa"/>
            <w:tcBorders>
              <w:top w:val="single" w:color="auto" w:sz="4" w:space="0"/>
              <w:left w:val="single" w:color="auto" w:sz="4" w:space="0"/>
              <w:bottom w:val="single" w:color="auto" w:sz="4" w:space="0"/>
              <w:right w:val="single" w:color="auto" w:sz="4" w:space="0"/>
            </w:tcBorders>
            <w:hideMark/>
          </w:tcPr>
          <w:p w:rsidRPr="00C16710" w:rsidR="00153FA0" w:rsidP="00C16710" w:rsidRDefault="00C16710" w14:paraId="3008FB17" w14:textId="47C8FD0B">
            <w:pPr>
              <w:jc w:val="center"/>
            </w:pPr>
            <w:r w:rsidRPr="00C16710">
              <w:rPr>
                <w:color w:val="000000"/>
              </w:rPr>
              <w:t>Center for Accessible Technology</w:t>
            </w:r>
          </w:p>
        </w:tc>
        <w:tc>
          <w:tcPr>
            <w:tcW w:w="1911" w:type="dxa"/>
            <w:tcBorders>
              <w:top w:val="single" w:color="auto" w:sz="4" w:space="0"/>
              <w:left w:val="single" w:color="auto" w:sz="4" w:space="0"/>
              <w:bottom w:val="single" w:color="auto" w:sz="4" w:space="0"/>
              <w:right w:val="single" w:color="auto" w:sz="4" w:space="0"/>
            </w:tcBorders>
            <w:hideMark/>
          </w:tcPr>
          <w:p w:rsidRPr="00B803D5" w:rsidR="00153FA0" w:rsidP="00153FA0" w:rsidRDefault="00D154B9" w14:paraId="63956769" w14:textId="2824B84C">
            <w:pPr>
              <w:jc w:val="center"/>
            </w:pPr>
            <w:r>
              <w:t>October 28, 2025</w:t>
            </w:r>
          </w:p>
        </w:tc>
        <w:tc>
          <w:tcPr>
            <w:tcW w:w="1420" w:type="dxa"/>
            <w:tcBorders>
              <w:top w:val="single" w:color="auto" w:sz="4" w:space="0"/>
              <w:left w:val="single" w:color="auto" w:sz="4" w:space="0"/>
              <w:bottom w:val="single" w:color="auto" w:sz="4" w:space="0"/>
              <w:right w:val="single" w:color="auto" w:sz="4" w:space="0"/>
            </w:tcBorders>
            <w:hideMark/>
          </w:tcPr>
          <w:p w:rsidRPr="00287A80" w:rsidR="00153FA0" w:rsidP="00153FA0" w:rsidRDefault="002B5C53" w14:paraId="75AD20FA" w14:textId="2FE1470C">
            <w:pPr>
              <w:jc w:val="center"/>
              <w:rPr>
                <w:bCs/>
                <w:iCs/>
              </w:rPr>
            </w:pPr>
            <w:r w:rsidRPr="00287A80">
              <w:rPr>
                <w:bCs/>
                <w:iCs/>
                <w:color w:val="000000"/>
              </w:rPr>
              <w:t>$79,543</w:t>
            </w:r>
            <w:r w:rsidRPr="00287A80" w:rsidR="0011204E">
              <w:rPr>
                <w:bCs/>
                <w:iCs/>
                <w:color w:val="000000"/>
              </w:rPr>
              <w:t xml:space="preserve"> [7]</w:t>
            </w:r>
          </w:p>
        </w:tc>
        <w:tc>
          <w:tcPr>
            <w:tcW w:w="1588" w:type="dxa"/>
            <w:tcBorders>
              <w:top w:val="single" w:color="auto" w:sz="4" w:space="0"/>
              <w:left w:val="single" w:color="auto" w:sz="4" w:space="0"/>
              <w:bottom w:val="single" w:color="auto" w:sz="4" w:space="0"/>
              <w:right w:val="single" w:color="auto" w:sz="4" w:space="0"/>
            </w:tcBorders>
            <w:hideMark/>
          </w:tcPr>
          <w:p w:rsidRPr="00141CB3" w:rsidR="00153FA0" w:rsidP="00153FA0" w:rsidRDefault="00141CB3" w14:paraId="0DD6FE00" w14:textId="78AB548A">
            <w:pPr>
              <w:jc w:val="center"/>
              <w:rPr>
                <w:bCs/>
              </w:rPr>
            </w:pPr>
            <w:r w:rsidRPr="00141CB3">
              <w:rPr>
                <w:bCs/>
                <w:iCs/>
                <w:color w:val="000000"/>
              </w:rPr>
              <w:t>$</w:t>
            </w:r>
            <w:r w:rsidRPr="002B234D" w:rsidR="002B234D">
              <w:rPr>
                <w:bCs/>
                <w:color w:val="000000"/>
              </w:rPr>
              <w:t>70,072.35</w:t>
            </w:r>
          </w:p>
        </w:tc>
        <w:tc>
          <w:tcPr>
            <w:tcW w:w="1405" w:type="dxa"/>
            <w:tcBorders>
              <w:top w:val="single" w:color="auto" w:sz="4" w:space="0"/>
              <w:left w:val="single" w:color="auto" w:sz="4" w:space="0"/>
              <w:bottom w:val="single" w:color="auto" w:sz="4" w:space="0"/>
              <w:right w:val="single" w:color="auto" w:sz="4" w:space="0"/>
            </w:tcBorders>
            <w:hideMark/>
          </w:tcPr>
          <w:p w:rsidRPr="00B803D5" w:rsidR="00153FA0" w:rsidP="00153FA0" w:rsidRDefault="00153FA0" w14:paraId="0BDAFE20" w14:textId="77777777">
            <w:pPr>
              <w:jc w:val="center"/>
            </w:pPr>
            <w:r w:rsidRPr="00B803D5">
              <w:t>N/A</w:t>
            </w:r>
          </w:p>
        </w:tc>
        <w:tc>
          <w:tcPr>
            <w:tcW w:w="2501" w:type="dxa"/>
            <w:tcBorders>
              <w:top w:val="single" w:color="auto" w:sz="4" w:space="0"/>
              <w:left w:val="single" w:color="auto" w:sz="4" w:space="0"/>
              <w:bottom w:val="single" w:color="auto" w:sz="4" w:space="0"/>
              <w:right w:val="single" w:color="auto" w:sz="4" w:space="0"/>
            </w:tcBorders>
            <w:hideMark/>
          </w:tcPr>
          <w:p w:rsidRPr="00B803D5" w:rsidR="00153FA0" w:rsidP="00153FA0" w:rsidRDefault="002173BC" w14:paraId="6B53C6F9" w14:textId="746F8D7F">
            <w:pPr>
              <w:jc w:val="center"/>
            </w:pPr>
            <w:r w:rsidRPr="00121006">
              <w:rPr>
                <w:i/>
                <w:iCs/>
              </w:rPr>
              <w:t>See</w:t>
            </w:r>
            <w:r w:rsidRPr="00121006">
              <w:t xml:space="preserve"> Part III.D</w:t>
            </w:r>
            <w:r>
              <w:t>,</w:t>
            </w:r>
            <w:r w:rsidRPr="00121006">
              <w:t xml:space="preserve"> CPUC Comments, Disallowances and Adjustments</w:t>
            </w:r>
            <w:r>
              <w:t>.</w:t>
            </w:r>
          </w:p>
        </w:tc>
      </w:tr>
    </w:tbl>
    <w:p w:rsidRPr="00A25D40" w:rsidR="00FE3BAE" w:rsidP="00A25D40" w:rsidRDefault="0022302F" w14:paraId="2841210B" w14:textId="77777777">
      <w:pPr>
        <w:spacing w:before="240" w:after="120"/>
        <w:jc w:val="center"/>
        <w:rPr>
          <w:rFonts w:ascii="Arial" w:hAnsi="Arial" w:cs="Arial"/>
          <w:b/>
          <w:bCs/>
          <w:sz w:val="28"/>
          <w:szCs w:val="28"/>
        </w:rPr>
      </w:pPr>
      <w:r w:rsidRPr="00A25D40">
        <w:rPr>
          <w:rFonts w:ascii="Arial" w:hAnsi="Arial" w:cs="Arial"/>
          <w:b/>
          <w:bCs/>
          <w:sz w:val="28"/>
          <w:szCs w:val="28"/>
        </w:rPr>
        <w:t>Hourly Fee</w:t>
      </w:r>
      <w:r w:rsidRPr="00A25D40" w:rsidR="00FE3BAE">
        <w:rPr>
          <w:rFonts w:ascii="Arial" w:hAnsi="Arial" w:cs="Arial"/>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A605C3"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7D3B6E"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7D3B6E" w:rsidR="003B6A1B" w:rsidP="00A23C17" w:rsidRDefault="001631A9" w14:paraId="0F0C6D6C" w14:textId="1323E0F9">
            <w:pPr>
              <w:jc w:val="center"/>
            </w:pPr>
            <w:r w:rsidRPr="007D3B6E">
              <w:t>Melissa</w:t>
            </w:r>
          </w:p>
        </w:tc>
        <w:tc>
          <w:tcPr>
            <w:tcW w:w="1725" w:type="dxa"/>
            <w:tcBorders>
              <w:top w:val="single" w:color="auto" w:sz="4" w:space="0"/>
              <w:left w:val="single" w:color="auto" w:sz="4" w:space="0"/>
              <w:bottom w:val="single" w:color="auto" w:sz="4" w:space="0"/>
              <w:right w:val="single" w:color="auto" w:sz="4" w:space="0"/>
            </w:tcBorders>
          </w:tcPr>
          <w:p w:rsidRPr="007D3B6E" w:rsidR="003B6A1B" w:rsidP="00A23C17" w:rsidRDefault="001631A9" w14:paraId="6ACE7B68" w14:textId="63632430">
            <w:pPr>
              <w:jc w:val="center"/>
            </w:pPr>
            <w:r w:rsidRPr="007D3B6E">
              <w:t>Kasnitz</w:t>
            </w:r>
          </w:p>
        </w:tc>
        <w:tc>
          <w:tcPr>
            <w:tcW w:w="2088" w:type="dxa"/>
            <w:tcBorders>
              <w:top w:val="single" w:color="auto" w:sz="4" w:space="0"/>
              <w:left w:val="single" w:color="auto" w:sz="4" w:space="0"/>
              <w:bottom w:val="single" w:color="auto" w:sz="4" w:space="0"/>
              <w:right w:val="single" w:color="auto" w:sz="4" w:space="0"/>
            </w:tcBorders>
          </w:tcPr>
          <w:p w:rsidRPr="007D3B6E" w:rsidR="003B6A1B" w:rsidP="00A23C17" w:rsidRDefault="001631A9" w14:paraId="0E61474F" w14:textId="2A1160BE">
            <w:pPr>
              <w:jc w:val="center"/>
            </w:pPr>
            <w:r w:rsidRPr="007D3B6E">
              <w:t>Attorney</w:t>
            </w:r>
          </w:p>
        </w:tc>
        <w:tc>
          <w:tcPr>
            <w:tcW w:w="1748" w:type="dxa"/>
            <w:tcBorders>
              <w:top w:val="single" w:color="auto" w:sz="4" w:space="0"/>
              <w:left w:val="single" w:color="auto" w:sz="4" w:space="0"/>
              <w:bottom w:val="single" w:color="auto" w:sz="4" w:space="0"/>
              <w:right w:val="single" w:color="auto" w:sz="4" w:space="0"/>
            </w:tcBorders>
          </w:tcPr>
          <w:p w:rsidRPr="007D3B6E" w:rsidR="003B6A1B" w:rsidP="00A23C17" w:rsidRDefault="00F56EB7" w14:paraId="44F9655C" w14:textId="1ED81362">
            <w:pPr>
              <w:jc w:val="center"/>
            </w:pPr>
            <w:r w:rsidRPr="007D3B6E">
              <w:t>$690</w:t>
            </w:r>
            <w:r w:rsidRPr="00A25D40" w:rsidR="00A25D40">
              <w:t>.00</w:t>
            </w:r>
          </w:p>
        </w:tc>
        <w:tc>
          <w:tcPr>
            <w:tcW w:w="1725" w:type="dxa"/>
            <w:tcBorders>
              <w:top w:val="single" w:color="auto" w:sz="4" w:space="0"/>
              <w:left w:val="single" w:color="auto" w:sz="4" w:space="0"/>
              <w:bottom w:val="single" w:color="auto" w:sz="4" w:space="0"/>
              <w:right w:val="single" w:color="auto" w:sz="4" w:space="0"/>
            </w:tcBorders>
          </w:tcPr>
          <w:p w:rsidRPr="007D3B6E" w:rsidR="003B6A1B" w:rsidP="00A23C17" w:rsidRDefault="00864127" w14:paraId="2EB25516" w14:textId="3B88BC22">
            <w:pPr>
              <w:jc w:val="center"/>
            </w:pPr>
            <w:r w:rsidRPr="007D3B6E">
              <w:t>2022</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7D3B6E" w14:paraId="0A76FE98" w14:textId="6C15325E">
            <w:pPr>
              <w:jc w:val="center"/>
            </w:pPr>
            <w:r>
              <w:t>$690.00</w:t>
            </w:r>
          </w:p>
        </w:tc>
      </w:tr>
      <w:tr w:rsidRPr="00B803D5" w:rsidR="00C02649" w:rsidTr="007D3B6E"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7D3B6E" w:rsidR="003B6A1B" w:rsidP="00A23C17" w:rsidRDefault="00966DE5" w14:paraId="4CFDAB24" w14:textId="48106D67">
            <w:pPr>
              <w:jc w:val="center"/>
            </w:pPr>
            <w:r w:rsidRPr="007D3B6E">
              <w:t>Melissa</w:t>
            </w:r>
          </w:p>
        </w:tc>
        <w:tc>
          <w:tcPr>
            <w:tcW w:w="1725" w:type="dxa"/>
            <w:tcBorders>
              <w:top w:val="single" w:color="auto" w:sz="4" w:space="0"/>
              <w:left w:val="single" w:color="auto" w:sz="4" w:space="0"/>
              <w:bottom w:val="single" w:color="auto" w:sz="4" w:space="0"/>
              <w:right w:val="single" w:color="auto" w:sz="4" w:space="0"/>
            </w:tcBorders>
          </w:tcPr>
          <w:p w:rsidRPr="007D3B6E" w:rsidR="003B6A1B" w:rsidP="00A23C17" w:rsidRDefault="00D23733" w14:paraId="3A9B4F75" w14:textId="286DB86A">
            <w:pPr>
              <w:jc w:val="center"/>
            </w:pPr>
            <w:r w:rsidRPr="007D3B6E">
              <w:t>Kasnitz</w:t>
            </w:r>
          </w:p>
        </w:tc>
        <w:tc>
          <w:tcPr>
            <w:tcW w:w="2088" w:type="dxa"/>
            <w:tcBorders>
              <w:top w:val="single" w:color="auto" w:sz="4" w:space="0"/>
              <w:left w:val="single" w:color="auto" w:sz="4" w:space="0"/>
              <w:bottom w:val="single" w:color="auto" w:sz="4" w:space="0"/>
              <w:right w:val="single" w:color="auto" w:sz="4" w:space="0"/>
            </w:tcBorders>
          </w:tcPr>
          <w:p w:rsidRPr="007D3B6E" w:rsidR="003B6A1B" w:rsidP="00A23C17" w:rsidRDefault="00966DE5" w14:paraId="73440B00" w14:textId="1CB36334">
            <w:pPr>
              <w:jc w:val="center"/>
            </w:pPr>
            <w:r w:rsidRPr="007D3B6E">
              <w:t>Attorney</w:t>
            </w:r>
          </w:p>
        </w:tc>
        <w:tc>
          <w:tcPr>
            <w:tcW w:w="1748" w:type="dxa"/>
            <w:tcBorders>
              <w:top w:val="single" w:color="auto" w:sz="4" w:space="0"/>
              <w:left w:val="single" w:color="auto" w:sz="4" w:space="0"/>
              <w:bottom w:val="single" w:color="auto" w:sz="4" w:space="0"/>
              <w:right w:val="single" w:color="auto" w:sz="4" w:space="0"/>
            </w:tcBorders>
          </w:tcPr>
          <w:p w:rsidRPr="007D3B6E" w:rsidR="003B6A1B" w:rsidP="00A23C17" w:rsidRDefault="00940C13" w14:paraId="1466F47E" w14:textId="1EEEA073">
            <w:pPr>
              <w:jc w:val="center"/>
            </w:pPr>
            <w:r w:rsidRPr="007D3B6E">
              <w:t>$715</w:t>
            </w:r>
            <w:r w:rsidRPr="00A25D40" w:rsidR="00A25D40">
              <w:t>.00</w:t>
            </w:r>
          </w:p>
        </w:tc>
        <w:tc>
          <w:tcPr>
            <w:tcW w:w="1725" w:type="dxa"/>
            <w:tcBorders>
              <w:top w:val="single" w:color="auto" w:sz="4" w:space="0"/>
              <w:left w:val="single" w:color="auto" w:sz="4" w:space="0"/>
              <w:bottom w:val="single" w:color="auto" w:sz="4" w:space="0"/>
              <w:right w:val="single" w:color="auto" w:sz="4" w:space="0"/>
            </w:tcBorders>
          </w:tcPr>
          <w:p w:rsidRPr="007D3B6E" w:rsidR="003B6A1B" w:rsidP="00A23C17" w:rsidRDefault="00940C13" w14:paraId="4CBE320E" w14:textId="0A6FD3B1">
            <w:pPr>
              <w:jc w:val="center"/>
            </w:pPr>
            <w:r w:rsidRPr="007D3B6E">
              <w:t>2023</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7D3B6E" w14:paraId="37932A57" w14:textId="4EECEBF5">
            <w:pPr>
              <w:jc w:val="center"/>
            </w:pPr>
            <w:r>
              <w:t>$715.00</w:t>
            </w:r>
          </w:p>
        </w:tc>
      </w:tr>
      <w:tr w:rsidRPr="00B803D5" w:rsidR="00C02649" w:rsidTr="007D3B6E"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7D3B6E" w:rsidR="003B6A1B" w:rsidP="00A23C17" w:rsidRDefault="00940C13" w14:paraId="65C04662" w14:textId="49A58081">
            <w:pPr>
              <w:jc w:val="center"/>
            </w:pPr>
            <w:r w:rsidRPr="007D3B6E">
              <w:t>Melissa</w:t>
            </w:r>
          </w:p>
        </w:tc>
        <w:tc>
          <w:tcPr>
            <w:tcW w:w="1725" w:type="dxa"/>
            <w:tcBorders>
              <w:top w:val="single" w:color="auto" w:sz="4" w:space="0"/>
              <w:left w:val="single" w:color="auto" w:sz="4" w:space="0"/>
              <w:bottom w:val="single" w:color="auto" w:sz="4" w:space="0"/>
              <w:right w:val="single" w:color="auto" w:sz="4" w:space="0"/>
            </w:tcBorders>
          </w:tcPr>
          <w:p w:rsidRPr="007D3B6E" w:rsidR="003B6A1B" w:rsidP="00A23C17" w:rsidRDefault="00940C13" w14:paraId="1C590887" w14:textId="0A91EC1D">
            <w:pPr>
              <w:jc w:val="center"/>
            </w:pPr>
            <w:r w:rsidRPr="007D3B6E">
              <w:t>K</w:t>
            </w:r>
            <w:r w:rsidRPr="007D3B6E" w:rsidR="00BE2B3C">
              <w:t>asnitz</w:t>
            </w:r>
          </w:p>
        </w:tc>
        <w:tc>
          <w:tcPr>
            <w:tcW w:w="2088" w:type="dxa"/>
            <w:tcBorders>
              <w:top w:val="single" w:color="auto" w:sz="4" w:space="0"/>
              <w:left w:val="single" w:color="auto" w:sz="4" w:space="0"/>
              <w:bottom w:val="single" w:color="auto" w:sz="4" w:space="0"/>
              <w:right w:val="single" w:color="auto" w:sz="4" w:space="0"/>
            </w:tcBorders>
          </w:tcPr>
          <w:p w:rsidRPr="007D3B6E" w:rsidR="003B6A1B" w:rsidP="00A23C17" w:rsidRDefault="00BE2B3C" w14:paraId="1EA8DE3D" w14:textId="64D54A3E">
            <w:pPr>
              <w:jc w:val="center"/>
            </w:pPr>
            <w:r w:rsidRPr="007D3B6E">
              <w:t>Attorney</w:t>
            </w:r>
          </w:p>
        </w:tc>
        <w:tc>
          <w:tcPr>
            <w:tcW w:w="1748" w:type="dxa"/>
            <w:tcBorders>
              <w:top w:val="single" w:color="auto" w:sz="4" w:space="0"/>
              <w:left w:val="single" w:color="auto" w:sz="4" w:space="0"/>
              <w:bottom w:val="single" w:color="auto" w:sz="4" w:space="0"/>
              <w:right w:val="single" w:color="auto" w:sz="4" w:space="0"/>
            </w:tcBorders>
          </w:tcPr>
          <w:p w:rsidRPr="007D3B6E" w:rsidR="003B6A1B" w:rsidP="00A23C17" w:rsidRDefault="006A2CD9" w14:paraId="4F6290AB" w14:textId="72647A28">
            <w:pPr>
              <w:jc w:val="center"/>
            </w:pPr>
            <w:r w:rsidRPr="007D3B6E">
              <w:t>$735</w:t>
            </w:r>
            <w:r w:rsidRPr="00A25D40" w:rsidR="00A25D40">
              <w:t>.00</w:t>
            </w:r>
          </w:p>
        </w:tc>
        <w:tc>
          <w:tcPr>
            <w:tcW w:w="1725" w:type="dxa"/>
            <w:tcBorders>
              <w:top w:val="single" w:color="auto" w:sz="4" w:space="0"/>
              <w:left w:val="single" w:color="auto" w:sz="4" w:space="0"/>
              <w:bottom w:val="single" w:color="auto" w:sz="4" w:space="0"/>
              <w:right w:val="single" w:color="auto" w:sz="4" w:space="0"/>
            </w:tcBorders>
          </w:tcPr>
          <w:p w:rsidRPr="007D3B6E" w:rsidR="003B6A1B" w:rsidP="00A23C17" w:rsidRDefault="006A2CD9" w14:paraId="1354C70A" w14:textId="47FE5207">
            <w:pPr>
              <w:jc w:val="center"/>
            </w:pPr>
            <w:r w:rsidRPr="007D3B6E">
              <w:t>2024</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7D3B6E" w14:paraId="36649915" w14:textId="3848872E">
            <w:pPr>
              <w:jc w:val="center"/>
            </w:pPr>
            <w:r>
              <w:t>$735.00</w:t>
            </w:r>
          </w:p>
        </w:tc>
      </w:tr>
      <w:tr w:rsidRPr="00B803D5" w:rsidR="00C02649" w:rsidTr="007D3B6E"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7D3B6E" w:rsidR="003B6A1B" w:rsidP="00A23C17" w:rsidRDefault="006A2CD9" w14:paraId="71BF257F" w14:textId="74A3CF0C">
            <w:pPr>
              <w:jc w:val="center"/>
            </w:pPr>
            <w:r w:rsidRPr="007D3B6E">
              <w:t xml:space="preserve">Melissa </w:t>
            </w:r>
          </w:p>
        </w:tc>
        <w:tc>
          <w:tcPr>
            <w:tcW w:w="1725" w:type="dxa"/>
            <w:tcBorders>
              <w:top w:val="single" w:color="auto" w:sz="4" w:space="0"/>
              <w:left w:val="single" w:color="auto" w:sz="4" w:space="0"/>
              <w:bottom w:val="single" w:color="auto" w:sz="4" w:space="0"/>
              <w:right w:val="single" w:color="auto" w:sz="4" w:space="0"/>
            </w:tcBorders>
          </w:tcPr>
          <w:p w:rsidRPr="007D3B6E" w:rsidR="003B6A1B" w:rsidP="00A23C17" w:rsidRDefault="006A2CD9" w14:paraId="4D0E5B24" w14:textId="5053E08F">
            <w:pPr>
              <w:jc w:val="center"/>
            </w:pPr>
            <w:r w:rsidRPr="007D3B6E">
              <w:t>Kasnitz</w:t>
            </w:r>
          </w:p>
        </w:tc>
        <w:tc>
          <w:tcPr>
            <w:tcW w:w="2088" w:type="dxa"/>
            <w:tcBorders>
              <w:top w:val="single" w:color="auto" w:sz="4" w:space="0"/>
              <w:left w:val="single" w:color="auto" w:sz="4" w:space="0"/>
              <w:bottom w:val="single" w:color="auto" w:sz="4" w:space="0"/>
              <w:right w:val="single" w:color="auto" w:sz="4" w:space="0"/>
            </w:tcBorders>
          </w:tcPr>
          <w:p w:rsidRPr="007D3B6E" w:rsidR="003B6A1B" w:rsidP="00A23C17" w:rsidRDefault="00D23733" w14:paraId="3ACB6465" w14:textId="1448867D">
            <w:pPr>
              <w:jc w:val="center"/>
            </w:pPr>
            <w:r w:rsidRPr="007D3B6E">
              <w:t>Attorney</w:t>
            </w:r>
          </w:p>
        </w:tc>
        <w:tc>
          <w:tcPr>
            <w:tcW w:w="1748" w:type="dxa"/>
            <w:tcBorders>
              <w:top w:val="single" w:color="auto" w:sz="4" w:space="0"/>
              <w:left w:val="single" w:color="auto" w:sz="4" w:space="0"/>
              <w:bottom w:val="single" w:color="auto" w:sz="4" w:space="0"/>
              <w:right w:val="single" w:color="auto" w:sz="4" w:space="0"/>
            </w:tcBorders>
          </w:tcPr>
          <w:p w:rsidRPr="007D3B6E" w:rsidR="003B6A1B" w:rsidP="00A23C17" w:rsidRDefault="00A27EEF" w14:paraId="27D75B3F" w14:textId="205A6828">
            <w:pPr>
              <w:jc w:val="center"/>
            </w:pPr>
            <w:r w:rsidRPr="007D3B6E">
              <w:t>$755</w:t>
            </w:r>
            <w:r w:rsidRPr="00A25D40" w:rsidR="00A25D40">
              <w:t>.00</w:t>
            </w:r>
          </w:p>
        </w:tc>
        <w:tc>
          <w:tcPr>
            <w:tcW w:w="1725" w:type="dxa"/>
            <w:tcBorders>
              <w:top w:val="single" w:color="auto" w:sz="4" w:space="0"/>
              <w:left w:val="single" w:color="auto" w:sz="4" w:space="0"/>
              <w:bottom w:val="single" w:color="auto" w:sz="4" w:space="0"/>
              <w:right w:val="single" w:color="auto" w:sz="4" w:space="0"/>
            </w:tcBorders>
          </w:tcPr>
          <w:p w:rsidRPr="007D3B6E" w:rsidR="003B6A1B" w:rsidP="00A23C17" w:rsidRDefault="00A27EEF" w14:paraId="0BD45097" w14:textId="4A52E5C7">
            <w:pPr>
              <w:jc w:val="center"/>
            </w:pPr>
            <w:r w:rsidRPr="007D3B6E">
              <w:t>2025</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7D3B6E" w14:paraId="6B245605" w14:textId="5E6F5E06">
            <w:pPr>
              <w:jc w:val="center"/>
            </w:pPr>
            <w:r>
              <w:t>$755.00</w:t>
            </w:r>
          </w:p>
        </w:tc>
      </w:tr>
      <w:tr w:rsidRPr="00B803D5" w:rsidR="00C02649" w:rsidTr="00C1018F" w14:paraId="0DC4129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1018F" w:rsidR="003B6A1B" w:rsidP="00A23C17" w:rsidRDefault="00EB49F1" w14:paraId="1C03A89B" w14:textId="69F69E7C">
            <w:pPr>
              <w:jc w:val="center"/>
            </w:pPr>
            <w:r w:rsidRPr="00C1018F">
              <w:t>Alexandra</w:t>
            </w:r>
          </w:p>
        </w:tc>
        <w:tc>
          <w:tcPr>
            <w:tcW w:w="1725" w:type="dxa"/>
            <w:tcBorders>
              <w:top w:val="single" w:color="auto" w:sz="4" w:space="0"/>
              <w:left w:val="single" w:color="auto" w:sz="4" w:space="0"/>
              <w:bottom w:val="single" w:color="auto" w:sz="4" w:space="0"/>
              <w:right w:val="single" w:color="auto" w:sz="4" w:space="0"/>
            </w:tcBorders>
          </w:tcPr>
          <w:p w:rsidRPr="00C1018F" w:rsidR="003B6A1B" w:rsidP="00A23C17" w:rsidRDefault="00EB49F1" w14:paraId="53680AFD" w14:textId="7269A4A9">
            <w:pPr>
              <w:jc w:val="center"/>
            </w:pPr>
            <w:r w:rsidRPr="00C1018F">
              <w:t>Green</w:t>
            </w:r>
          </w:p>
        </w:tc>
        <w:tc>
          <w:tcPr>
            <w:tcW w:w="2088" w:type="dxa"/>
            <w:tcBorders>
              <w:top w:val="single" w:color="auto" w:sz="4" w:space="0"/>
              <w:left w:val="single" w:color="auto" w:sz="4" w:space="0"/>
              <w:bottom w:val="single" w:color="auto" w:sz="4" w:space="0"/>
              <w:right w:val="single" w:color="auto" w:sz="4" w:space="0"/>
            </w:tcBorders>
          </w:tcPr>
          <w:p w:rsidRPr="00C1018F" w:rsidR="003B6A1B" w:rsidP="00A23C17" w:rsidRDefault="00EB49F1" w14:paraId="597A6D17" w14:textId="74903CC0">
            <w:pPr>
              <w:jc w:val="center"/>
            </w:pPr>
            <w:r w:rsidRPr="00C1018F">
              <w:t>Attorney</w:t>
            </w:r>
          </w:p>
        </w:tc>
        <w:tc>
          <w:tcPr>
            <w:tcW w:w="1748" w:type="dxa"/>
            <w:tcBorders>
              <w:top w:val="single" w:color="auto" w:sz="4" w:space="0"/>
              <w:left w:val="single" w:color="auto" w:sz="4" w:space="0"/>
              <w:bottom w:val="single" w:color="auto" w:sz="4" w:space="0"/>
              <w:right w:val="single" w:color="auto" w:sz="4" w:space="0"/>
            </w:tcBorders>
          </w:tcPr>
          <w:p w:rsidRPr="00C1018F" w:rsidR="003B6A1B" w:rsidP="00A23C17" w:rsidRDefault="00EB49F1" w14:paraId="48B7FBBF" w14:textId="147AEF44">
            <w:pPr>
              <w:jc w:val="center"/>
            </w:pPr>
            <w:r w:rsidRPr="00C1018F">
              <w:t>$200</w:t>
            </w:r>
            <w:r w:rsidRPr="00A25D40" w:rsidR="00A25D40">
              <w:t>.00</w:t>
            </w:r>
          </w:p>
        </w:tc>
        <w:tc>
          <w:tcPr>
            <w:tcW w:w="1725" w:type="dxa"/>
            <w:tcBorders>
              <w:top w:val="single" w:color="auto" w:sz="4" w:space="0"/>
              <w:left w:val="single" w:color="auto" w:sz="4" w:space="0"/>
              <w:bottom w:val="single" w:color="auto" w:sz="4" w:space="0"/>
              <w:right w:val="single" w:color="auto" w:sz="4" w:space="0"/>
            </w:tcBorders>
          </w:tcPr>
          <w:p w:rsidRPr="00C1018F" w:rsidR="003B6A1B" w:rsidP="00A23C17" w:rsidRDefault="00EB49F1" w14:paraId="5541B9E8" w14:textId="08FED89A">
            <w:pPr>
              <w:jc w:val="center"/>
            </w:pPr>
            <w:r w:rsidRPr="00C1018F">
              <w:t>2022</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C1018F" w14:paraId="5585EC38" w14:textId="354B04B1">
            <w:pPr>
              <w:jc w:val="center"/>
            </w:pPr>
            <w:r>
              <w:t>$200.00</w:t>
            </w:r>
          </w:p>
        </w:tc>
      </w:tr>
      <w:tr w:rsidRPr="00B803D5" w:rsidR="00C02649" w:rsidTr="00C1018F" w14:paraId="29AE69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1018F" w:rsidR="003B6A1B" w:rsidP="00A23C17" w:rsidRDefault="00EB49F1" w14:paraId="360AC496" w14:textId="70C00C6B">
            <w:pPr>
              <w:jc w:val="center"/>
            </w:pPr>
            <w:r w:rsidRPr="00C1018F">
              <w:t>Alexandra</w:t>
            </w:r>
          </w:p>
        </w:tc>
        <w:tc>
          <w:tcPr>
            <w:tcW w:w="1725" w:type="dxa"/>
            <w:tcBorders>
              <w:top w:val="single" w:color="auto" w:sz="4" w:space="0"/>
              <w:left w:val="single" w:color="auto" w:sz="4" w:space="0"/>
              <w:bottom w:val="single" w:color="auto" w:sz="4" w:space="0"/>
              <w:right w:val="single" w:color="auto" w:sz="4" w:space="0"/>
            </w:tcBorders>
          </w:tcPr>
          <w:p w:rsidRPr="00C1018F" w:rsidR="003B6A1B" w:rsidP="00A23C17" w:rsidRDefault="00EB49F1" w14:paraId="56248722" w14:textId="3D95F798">
            <w:pPr>
              <w:jc w:val="center"/>
            </w:pPr>
            <w:r w:rsidRPr="00C1018F">
              <w:t>Green</w:t>
            </w:r>
          </w:p>
        </w:tc>
        <w:tc>
          <w:tcPr>
            <w:tcW w:w="2088" w:type="dxa"/>
            <w:tcBorders>
              <w:top w:val="single" w:color="auto" w:sz="4" w:space="0"/>
              <w:left w:val="single" w:color="auto" w:sz="4" w:space="0"/>
              <w:bottom w:val="single" w:color="auto" w:sz="4" w:space="0"/>
              <w:right w:val="single" w:color="auto" w:sz="4" w:space="0"/>
            </w:tcBorders>
          </w:tcPr>
          <w:p w:rsidRPr="00C1018F" w:rsidR="003B6A1B" w:rsidP="00A23C17" w:rsidRDefault="00EB49F1" w14:paraId="5260F89F" w14:textId="5EC2E6FF">
            <w:pPr>
              <w:jc w:val="center"/>
            </w:pPr>
            <w:r w:rsidRPr="00C1018F">
              <w:t>Attorney</w:t>
            </w:r>
          </w:p>
        </w:tc>
        <w:tc>
          <w:tcPr>
            <w:tcW w:w="1748" w:type="dxa"/>
            <w:tcBorders>
              <w:top w:val="single" w:color="auto" w:sz="4" w:space="0"/>
              <w:left w:val="single" w:color="auto" w:sz="4" w:space="0"/>
              <w:bottom w:val="single" w:color="auto" w:sz="4" w:space="0"/>
              <w:right w:val="single" w:color="auto" w:sz="4" w:space="0"/>
            </w:tcBorders>
          </w:tcPr>
          <w:p w:rsidRPr="00C1018F" w:rsidR="003B6A1B" w:rsidP="00A23C17" w:rsidRDefault="005D3232" w14:paraId="6D2EBA5C" w14:textId="4EC4B0A3">
            <w:pPr>
              <w:jc w:val="center"/>
            </w:pPr>
            <w:r w:rsidRPr="00C1018F">
              <w:t>$220</w:t>
            </w:r>
            <w:r w:rsidRPr="00A25D40" w:rsidR="00A25D40">
              <w:t>.00</w:t>
            </w:r>
          </w:p>
        </w:tc>
        <w:tc>
          <w:tcPr>
            <w:tcW w:w="1725" w:type="dxa"/>
            <w:tcBorders>
              <w:top w:val="single" w:color="auto" w:sz="4" w:space="0"/>
              <w:left w:val="single" w:color="auto" w:sz="4" w:space="0"/>
              <w:bottom w:val="single" w:color="auto" w:sz="4" w:space="0"/>
              <w:right w:val="single" w:color="auto" w:sz="4" w:space="0"/>
            </w:tcBorders>
          </w:tcPr>
          <w:p w:rsidRPr="00C1018F" w:rsidR="003B6A1B" w:rsidP="00A23C17" w:rsidRDefault="005D3232" w14:paraId="34B04A04" w14:textId="15A143A8">
            <w:pPr>
              <w:jc w:val="center"/>
            </w:pPr>
            <w:r w:rsidRPr="00C1018F">
              <w:t>2023</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C1018F" w14:paraId="6A145930" w14:textId="5D4546C0">
            <w:pPr>
              <w:jc w:val="center"/>
            </w:pPr>
            <w:r>
              <w:t>$220.00</w:t>
            </w:r>
          </w:p>
        </w:tc>
      </w:tr>
      <w:tr w:rsidRPr="00B803D5" w:rsidR="00C02649" w:rsidTr="003675DE" w14:paraId="7BBD5E1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3B6A1B" w:rsidP="00A23C17" w:rsidRDefault="0059205B" w14:paraId="23066614" w14:textId="470E5119">
            <w:pPr>
              <w:jc w:val="center"/>
            </w:pPr>
            <w:r>
              <w:t>Rachel</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59205B" w14:paraId="4786C89C" w14:textId="3CC9BA69">
            <w:pPr>
              <w:jc w:val="center"/>
            </w:pPr>
            <w:r>
              <w:t>Sweetnam</w:t>
            </w:r>
          </w:p>
        </w:tc>
        <w:tc>
          <w:tcPr>
            <w:tcW w:w="2088" w:type="dxa"/>
            <w:tcBorders>
              <w:top w:val="single" w:color="auto" w:sz="4" w:space="0"/>
              <w:left w:val="single" w:color="auto" w:sz="4" w:space="0"/>
              <w:bottom w:val="single" w:color="auto" w:sz="4" w:space="0"/>
              <w:right w:val="single" w:color="auto" w:sz="4" w:space="0"/>
            </w:tcBorders>
          </w:tcPr>
          <w:p w:rsidRPr="00B803D5" w:rsidR="003B6A1B" w:rsidP="00A23C17" w:rsidRDefault="0059205B" w14:paraId="18CADD1E" w14:textId="1280E8F8">
            <w:pPr>
              <w:jc w:val="center"/>
              <w:rPr>
                <w:szCs w:val="26"/>
              </w:rPr>
            </w:pPr>
            <w:r>
              <w:rPr>
                <w:szCs w:val="26"/>
              </w:rPr>
              <w:t>Attorney</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456477" w14:paraId="39919693" w14:textId="05B7B2F5">
            <w:pPr>
              <w:jc w:val="center"/>
            </w:pPr>
            <w:r>
              <w:t>$240</w:t>
            </w:r>
            <w:r w:rsidRPr="00A25D40" w:rsidR="00A25D40">
              <w:t>.00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456477" w14:paraId="214A549B" w14:textId="3D5C23EE">
            <w:pPr>
              <w:jc w:val="center"/>
            </w:pPr>
            <w:r>
              <w:t>202</w:t>
            </w:r>
            <w:r w:rsidR="00FD40CF">
              <w:t>4</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3675DE" w14:paraId="3B9C718F" w14:textId="1D6E1447">
            <w:pPr>
              <w:jc w:val="center"/>
            </w:pPr>
            <w:r>
              <w:t>$240.00</w:t>
            </w:r>
          </w:p>
        </w:tc>
      </w:tr>
      <w:tr w:rsidRPr="00B803D5" w:rsidR="00C02649" w:rsidTr="003675DE" w14:paraId="1906C05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3B6A1B" w:rsidP="00A23C17" w:rsidRDefault="001130DB" w14:paraId="2ACF0B05" w14:textId="02FE15F5">
            <w:pPr>
              <w:jc w:val="center"/>
            </w:pPr>
            <w:r>
              <w:t>Rachel</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1130DB" w14:paraId="63E68C11" w14:textId="2629AE7E">
            <w:pPr>
              <w:jc w:val="center"/>
            </w:pPr>
            <w:r>
              <w:t>Sweetnam</w:t>
            </w:r>
          </w:p>
        </w:tc>
        <w:tc>
          <w:tcPr>
            <w:tcW w:w="2088" w:type="dxa"/>
            <w:tcBorders>
              <w:top w:val="single" w:color="auto" w:sz="4" w:space="0"/>
              <w:left w:val="single" w:color="auto" w:sz="4" w:space="0"/>
              <w:bottom w:val="single" w:color="auto" w:sz="4" w:space="0"/>
              <w:right w:val="single" w:color="auto" w:sz="4" w:space="0"/>
            </w:tcBorders>
          </w:tcPr>
          <w:p w:rsidRPr="00B803D5" w:rsidR="003B6A1B" w:rsidP="00A23C17" w:rsidRDefault="001130DB" w14:paraId="1E984C6F" w14:textId="0368C879">
            <w:pPr>
              <w:jc w:val="center"/>
              <w:rPr>
                <w:szCs w:val="26"/>
              </w:rPr>
            </w:pPr>
            <w:r>
              <w:rPr>
                <w:szCs w:val="26"/>
              </w:rPr>
              <w:t>Attorney</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467745" w14:paraId="53B8F326" w14:textId="2899BD21">
            <w:pPr>
              <w:jc w:val="center"/>
            </w:pPr>
            <w:r>
              <w:t>$</w:t>
            </w:r>
            <w:r w:rsidR="002B5C53">
              <w:t>255</w:t>
            </w:r>
            <w:r w:rsidRPr="00A25D40" w:rsidR="00A25D40">
              <w:t>.00</w:t>
            </w:r>
            <w:r w:rsidR="003675DE">
              <w:rPr>
                <w:rStyle w:val="FootnoteReference"/>
              </w:rPr>
              <w:footnoteReference w:id="6"/>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467745" w14:paraId="7954D4D0" w14:textId="24F0C2A2">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3675DE" w14:paraId="467531DD" w14:textId="29A70CA5">
            <w:pPr>
              <w:jc w:val="center"/>
            </w:pPr>
            <w:r>
              <w:t>$275.00</w:t>
            </w:r>
          </w:p>
        </w:tc>
      </w:tr>
      <w:tr w:rsidRPr="00B803D5" w:rsidR="002B5C53" w:rsidTr="001F5661" w14:paraId="51F63F5E"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002B5C53" w:rsidP="00A23C17" w:rsidRDefault="002B5C53" w14:paraId="267D0914" w14:textId="7C2EC443">
            <w:pPr>
              <w:jc w:val="center"/>
            </w:pPr>
            <w:r>
              <w:t>Kate</w:t>
            </w:r>
          </w:p>
        </w:tc>
        <w:tc>
          <w:tcPr>
            <w:tcW w:w="1725" w:type="dxa"/>
            <w:tcBorders>
              <w:top w:val="single" w:color="auto" w:sz="4" w:space="0"/>
              <w:left w:val="single" w:color="auto" w:sz="4" w:space="0"/>
              <w:bottom w:val="single" w:color="auto" w:sz="4" w:space="0"/>
              <w:right w:val="single" w:color="auto" w:sz="4" w:space="0"/>
            </w:tcBorders>
          </w:tcPr>
          <w:p w:rsidR="002B5C53" w:rsidP="00A23C17" w:rsidRDefault="002B5C53" w14:paraId="25D21B69" w14:textId="0AD0ED0A">
            <w:pPr>
              <w:jc w:val="center"/>
            </w:pPr>
            <w:r>
              <w:t>Woodford</w:t>
            </w:r>
          </w:p>
        </w:tc>
        <w:tc>
          <w:tcPr>
            <w:tcW w:w="2088" w:type="dxa"/>
            <w:tcBorders>
              <w:top w:val="single" w:color="auto" w:sz="4" w:space="0"/>
              <w:left w:val="single" w:color="auto" w:sz="4" w:space="0"/>
              <w:bottom w:val="single" w:color="auto" w:sz="4" w:space="0"/>
              <w:right w:val="single" w:color="auto" w:sz="4" w:space="0"/>
            </w:tcBorders>
          </w:tcPr>
          <w:p w:rsidR="002B5C53" w:rsidP="00A23C17" w:rsidRDefault="002B5C53" w14:paraId="08724824" w14:textId="27C5CA71">
            <w:pPr>
              <w:jc w:val="center"/>
              <w:rPr>
                <w:szCs w:val="26"/>
              </w:rPr>
            </w:pPr>
            <w:r>
              <w:rPr>
                <w:szCs w:val="26"/>
              </w:rPr>
              <w:t>Analyst</w:t>
            </w:r>
          </w:p>
        </w:tc>
        <w:tc>
          <w:tcPr>
            <w:tcW w:w="1748" w:type="dxa"/>
            <w:tcBorders>
              <w:top w:val="single" w:color="auto" w:sz="4" w:space="0"/>
              <w:left w:val="single" w:color="auto" w:sz="4" w:space="0"/>
              <w:bottom w:val="single" w:color="auto" w:sz="4" w:space="0"/>
              <w:right w:val="single" w:color="auto" w:sz="4" w:space="0"/>
            </w:tcBorders>
          </w:tcPr>
          <w:p w:rsidR="002B5C53" w:rsidP="00A23C17" w:rsidRDefault="00536AFA" w14:paraId="23463B03" w14:textId="3A7FA1F2">
            <w:pPr>
              <w:jc w:val="center"/>
            </w:pPr>
            <w:r>
              <w:t>$280</w:t>
            </w:r>
            <w:r w:rsidRPr="00A25D40" w:rsidR="00A25D40">
              <w:t>.00</w:t>
            </w:r>
          </w:p>
        </w:tc>
        <w:tc>
          <w:tcPr>
            <w:tcW w:w="1725" w:type="dxa"/>
            <w:tcBorders>
              <w:top w:val="single" w:color="auto" w:sz="4" w:space="0"/>
              <w:left w:val="single" w:color="auto" w:sz="4" w:space="0"/>
              <w:bottom w:val="single" w:color="auto" w:sz="4" w:space="0"/>
              <w:right w:val="single" w:color="auto" w:sz="4" w:space="0"/>
            </w:tcBorders>
          </w:tcPr>
          <w:p w:rsidR="002B5C53" w:rsidP="00A23C17" w:rsidRDefault="00536AFA" w14:paraId="5852A2D4" w14:textId="1BB6EDE2">
            <w:pPr>
              <w:jc w:val="center"/>
            </w:pPr>
            <w:r>
              <w:t>2023</w:t>
            </w:r>
          </w:p>
        </w:tc>
        <w:tc>
          <w:tcPr>
            <w:tcW w:w="1634" w:type="dxa"/>
            <w:tcBorders>
              <w:top w:val="single" w:color="auto" w:sz="4" w:space="0"/>
              <w:left w:val="single" w:color="auto" w:sz="4" w:space="0"/>
              <w:bottom w:val="single" w:color="auto" w:sz="4" w:space="0"/>
              <w:right w:val="single" w:color="auto" w:sz="4" w:space="0"/>
            </w:tcBorders>
          </w:tcPr>
          <w:p w:rsidRPr="00B803D5" w:rsidR="002B5C53" w:rsidP="00A23C17" w:rsidRDefault="001F5661" w14:paraId="753D7674" w14:textId="766ACF59">
            <w:pPr>
              <w:jc w:val="center"/>
            </w:pPr>
            <w:r>
              <w:t>$280.00</w:t>
            </w:r>
          </w:p>
        </w:tc>
      </w:tr>
      <w:tr w:rsidRPr="00B803D5" w:rsidR="002B5C53" w:rsidTr="004A08AC" w14:paraId="34DDE32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002B5C53" w:rsidP="002B5C53" w:rsidRDefault="002B5C53" w14:paraId="0532D4A1" w14:textId="50B38F17">
            <w:pPr>
              <w:jc w:val="center"/>
            </w:pPr>
            <w:r>
              <w:t>Kate</w:t>
            </w:r>
          </w:p>
        </w:tc>
        <w:tc>
          <w:tcPr>
            <w:tcW w:w="1725" w:type="dxa"/>
            <w:tcBorders>
              <w:top w:val="single" w:color="auto" w:sz="4" w:space="0"/>
              <w:left w:val="single" w:color="auto" w:sz="4" w:space="0"/>
              <w:bottom w:val="single" w:color="auto" w:sz="4" w:space="0"/>
              <w:right w:val="single" w:color="auto" w:sz="4" w:space="0"/>
            </w:tcBorders>
          </w:tcPr>
          <w:p w:rsidR="002B5C53" w:rsidP="002B5C53" w:rsidRDefault="002B5C53" w14:paraId="0A13D066" w14:textId="13854D0F">
            <w:pPr>
              <w:jc w:val="center"/>
            </w:pPr>
            <w:r>
              <w:t>Woodford</w:t>
            </w:r>
          </w:p>
        </w:tc>
        <w:tc>
          <w:tcPr>
            <w:tcW w:w="2088" w:type="dxa"/>
            <w:tcBorders>
              <w:top w:val="single" w:color="auto" w:sz="4" w:space="0"/>
              <w:left w:val="single" w:color="auto" w:sz="4" w:space="0"/>
              <w:bottom w:val="single" w:color="auto" w:sz="4" w:space="0"/>
              <w:right w:val="single" w:color="auto" w:sz="4" w:space="0"/>
            </w:tcBorders>
          </w:tcPr>
          <w:p w:rsidR="002B5C53" w:rsidP="002B5C53" w:rsidRDefault="002B5C53" w14:paraId="352E9D77" w14:textId="7BE9FAE8">
            <w:pPr>
              <w:jc w:val="center"/>
              <w:rPr>
                <w:szCs w:val="26"/>
              </w:rPr>
            </w:pPr>
            <w:r>
              <w:rPr>
                <w:szCs w:val="26"/>
              </w:rPr>
              <w:t>Analyst</w:t>
            </w:r>
          </w:p>
        </w:tc>
        <w:tc>
          <w:tcPr>
            <w:tcW w:w="1748" w:type="dxa"/>
            <w:tcBorders>
              <w:top w:val="single" w:color="auto" w:sz="4" w:space="0"/>
              <w:left w:val="single" w:color="auto" w:sz="4" w:space="0"/>
              <w:bottom w:val="single" w:color="auto" w:sz="4" w:space="0"/>
              <w:right w:val="single" w:color="auto" w:sz="4" w:space="0"/>
            </w:tcBorders>
          </w:tcPr>
          <w:p w:rsidR="002B5C53" w:rsidP="002B5C53" w:rsidRDefault="00536AFA" w14:paraId="585BB1D9" w14:textId="2AC8004D">
            <w:pPr>
              <w:jc w:val="center"/>
            </w:pPr>
            <w:r>
              <w:t>$380</w:t>
            </w:r>
            <w:r w:rsidRPr="00A25D40" w:rsidR="00A25D40">
              <w:t>.00</w:t>
            </w:r>
          </w:p>
        </w:tc>
        <w:tc>
          <w:tcPr>
            <w:tcW w:w="1725" w:type="dxa"/>
            <w:tcBorders>
              <w:top w:val="single" w:color="auto" w:sz="4" w:space="0"/>
              <w:left w:val="single" w:color="auto" w:sz="4" w:space="0"/>
              <w:bottom w:val="single" w:color="auto" w:sz="4" w:space="0"/>
              <w:right w:val="single" w:color="auto" w:sz="4" w:space="0"/>
            </w:tcBorders>
          </w:tcPr>
          <w:p w:rsidR="002B5C53" w:rsidP="002B5C53" w:rsidRDefault="00536AFA" w14:paraId="50C2C6F2" w14:textId="010FCBDB">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2B5C53" w:rsidP="002B5C53" w:rsidRDefault="00D9017A" w14:paraId="5B570815" w14:textId="4EB9F1A7">
            <w:pPr>
              <w:jc w:val="center"/>
            </w:pPr>
            <w:r>
              <w:t>$300.00</w:t>
            </w:r>
          </w:p>
        </w:tc>
      </w:tr>
    </w:tbl>
    <w:p w:rsidRPr="00A25D40" w:rsidR="00FE3BAE" w:rsidP="00A25D40" w:rsidRDefault="00FE3BAE" w14:paraId="53F54635" w14:textId="471C3521">
      <w:pPr>
        <w:rPr>
          <w:sz w:val="2"/>
          <w:szCs w:val="2"/>
        </w:rPr>
      </w:pPr>
    </w:p>
    <w:sectPr w:rsidRPr="00A25D40" w:rsidR="00FE3BAE" w:rsidSect="006B7228">
      <w:footerReference w:type="default" r:id="rId14"/>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A1EA" w14:textId="77777777" w:rsidR="00E9387B" w:rsidRDefault="00E9387B" w:rsidP="00885956">
      <w:r>
        <w:separator/>
      </w:r>
    </w:p>
  </w:endnote>
  <w:endnote w:type="continuationSeparator" w:id="0">
    <w:p w14:paraId="1ED07E16" w14:textId="77777777" w:rsidR="00E9387B" w:rsidRDefault="00E9387B" w:rsidP="00885956">
      <w:r>
        <w:continuationSeparator/>
      </w:r>
    </w:p>
  </w:endnote>
  <w:endnote w:type="continuationNotice" w:id="1">
    <w:p w14:paraId="74B18E06" w14:textId="77777777" w:rsidR="00E9387B" w:rsidRDefault="00E93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2B494C2D" w14:textId="70B01BC7" w:rsidR="00CF1129" w:rsidRDefault="0002070A">
        <w:pPr>
          <w:pStyle w:val="Footer"/>
        </w:pPr>
        <w:r w:rsidRPr="0002070A">
          <w:rPr>
            <w:sz w:val="16"/>
            <w:szCs w:val="16"/>
          </w:rPr>
          <w:t>610155197</w:t>
        </w:r>
        <w:r w:rsidR="00CC4E6D">
          <w:rPr>
            <w:sz w:val="16"/>
            <w:szCs w:val="16"/>
          </w:rPr>
          <w:tab/>
        </w:r>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FCFB" w14:textId="77777777" w:rsidR="00E9387B" w:rsidRDefault="00E9387B" w:rsidP="00885956">
      <w:r>
        <w:separator/>
      </w:r>
    </w:p>
  </w:footnote>
  <w:footnote w:type="continuationSeparator" w:id="0">
    <w:p w14:paraId="713027E2" w14:textId="77777777" w:rsidR="00E9387B" w:rsidRDefault="00E9387B" w:rsidP="00885956">
      <w:r>
        <w:continuationSeparator/>
      </w:r>
    </w:p>
  </w:footnote>
  <w:footnote w:type="continuationNotice" w:id="1">
    <w:p w14:paraId="7103B13E" w14:textId="77777777" w:rsidR="00E9387B" w:rsidRDefault="00E9387B"/>
  </w:footnote>
  <w:footnote w:id="2">
    <w:p w14:paraId="17163C35" w14:textId="5519E2DE" w:rsidR="009127B6" w:rsidRPr="009127B6" w:rsidRDefault="009127B6" w:rsidP="00332605">
      <w:pPr>
        <w:pStyle w:val="FootnoteText"/>
        <w:spacing w:after="0"/>
        <w:rPr>
          <w:lang w:val="en-ZW"/>
        </w:rPr>
      </w:pPr>
      <w:r>
        <w:rPr>
          <w:rStyle w:val="FootnoteReference"/>
        </w:rPr>
        <w:footnoteRef/>
      </w:r>
      <w:r>
        <w:t xml:space="preserve"> </w:t>
      </w:r>
      <w:r>
        <w:rPr>
          <w:lang w:val="en-ZW"/>
        </w:rPr>
        <w:t>R.22-07-005 was reassigned from Commissioner Alice Reynolds to Commissioner John Reynolds on March 3, 2026.</w:t>
      </w:r>
    </w:p>
  </w:footnote>
  <w:footnote w:id="3">
    <w:p w14:paraId="7CAF0DDD" w14:textId="77777777" w:rsidR="003B6A1B" w:rsidRDefault="003B6A1B" w:rsidP="00332605">
      <w:pPr>
        <w:pStyle w:val="FootnoteText"/>
        <w:spacing w:after="0"/>
      </w:pPr>
      <w:r>
        <w:rPr>
          <w:rStyle w:val="FootnoteReference"/>
        </w:rPr>
        <w:footnoteRef/>
      </w:r>
      <w:r>
        <w:t xml:space="preserve"> All statutory references are to California Public Utilities Code unless indicated otherwise.</w:t>
      </w:r>
    </w:p>
  </w:footnote>
  <w:footnote w:id="4">
    <w:p w14:paraId="0894D22D" w14:textId="6249C1D6" w:rsidR="007004DE" w:rsidRPr="007004DE" w:rsidRDefault="007004DE" w:rsidP="007C1CDA">
      <w:pPr>
        <w:pStyle w:val="FootnoteText"/>
        <w:spacing w:after="0"/>
        <w:rPr>
          <w:lang w:val="en-ZW"/>
        </w:rPr>
      </w:pPr>
      <w:r>
        <w:rPr>
          <w:rStyle w:val="FootnoteReference"/>
        </w:rPr>
        <w:footnoteRef/>
      </w:r>
      <w:r>
        <w:t xml:space="preserve"> </w:t>
      </w:r>
      <w:r>
        <w:rPr>
          <w:lang w:val="en-ZW"/>
        </w:rPr>
        <w:t>D.24-05-028.</w:t>
      </w:r>
    </w:p>
  </w:footnote>
  <w:footnote w:id="5">
    <w:p w14:paraId="2A44723A" w14:textId="5B2CF472" w:rsidR="00C16710" w:rsidRPr="00DE3A5D" w:rsidRDefault="00C16710" w:rsidP="00CA74FB">
      <w:pPr>
        <w:pStyle w:val="FootnoteText"/>
        <w:spacing w:after="0"/>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6">
    <w:p w14:paraId="030192DF" w14:textId="08E2E6F0" w:rsidR="003675DE" w:rsidRPr="003675DE" w:rsidRDefault="003675DE" w:rsidP="006A157C">
      <w:pPr>
        <w:pStyle w:val="FootnoteText"/>
        <w:spacing w:after="0"/>
        <w:rPr>
          <w:lang w:val="en-ZW"/>
        </w:rPr>
      </w:pPr>
      <w:r>
        <w:rPr>
          <w:rStyle w:val="FootnoteReference"/>
        </w:rPr>
        <w:footnoteRef/>
      </w:r>
      <w:r>
        <w:t xml:space="preserve"> </w:t>
      </w:r>
      <w:r>
        <w:rPr>
          <w:lang w:val="en-ZW"/>
        </w:rPr>
        <w:t>While CforAT lists an Hourly Fee Requested here of $255.00</w:t>
      </w:r>
      <w:r w:rsidR="002173BC">
        <w:rPr>
          <w:lang w:val="en-ZW"/>
        </w:rPr>
        <w:t xml:space="preserve"> for Sweetnam</w:t>
      </w:r>
      <w:r>
        <w:rPr>
          <w:lang w:val="en-ZW"/>
        </w:rPr>
        <w:t>, CforAT requests an hourly rate of $275.00 for Sweetnam above in Parts III.B and III.C.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7A9E" w14:textId="19676C7B" w:rsidR="00F85FC3" w:rsidRDefault="00F85FC3">
    <w:pPr>
      <w:pStyle w:val="Header"/>
    </w:pPr>
    <w:r w:rsidRPr="00F85FC3">
      <w:t>R.22-07-005</w:t>
    </w:r>
    <w:r>
      <w:t>  </w:t>
    </w:r>
    <w:r w:rsidRPr="00F85FC3">
      <w:t>ALJ/CS8/abb</w:t>
    </w:r>
  </w:p>
  <w:p w14:paraId="231E39B8" w14:textId="77777777" w:rsidR="00F85FC3" w:rsidRDefault="00F85FC3">
    <w:pPr>
      <w:pStyle w:val="Header"/>
    </w:pPr>
  </w:p>
  <w:p w14:paraId="5E023E0B" w14:textId="77777777" w:rsidR="00F85FC3" w:rsidRDefault="00F85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D10B1"/>
    <w:multiLevelType w:val="hybridMultilevel"/>
    <w:tmpl w:val="04E660B8"/>
    <w:lvl w:ilvl="0" w:tplc="DF2EA6A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B46278"/>
    <w:multiLevelType w:val="hybridMultilevel"/>
    <w:tmpl w:val="CBCA8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67ADF"/>
    <w:multiLevelType w:val="hybridMultilevel"/>
    <w:tmpl w:val="4418B7F2"/>
    <w:lvl w:ilvl="0" w:tplc="58ECDC5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87982"/>
    <w:multiLevelType w:val="hybridMultilevel"/>
    <w:tmpl w:val="6AC8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482F84"/>
    <w:multiLevelType w:val="hybridMultilevel"/>
    <w:tmpl w:val="29EE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68F6BF7"/>
    <w:multiLevelType w:val="hybridMultilevel"/>
    <w:tmpl w:val="6F1C22BE"/>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B550FC"/>
    <w:multiLevelType w:val="hybridMultilevel"/>
    <w:tmpl w:val="6EFAD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6431786">
    <w:abstractNumId w:val="13"/>
  </w:num>
  <w:num w:numId="2" w16cid:durableId="296566636">
    <w:abstractNumId w:val="0"/>
  </w:num>
  <w:num w:numId="3" w16cid:durableId="2098595014">
    <w:abstractNumId w:val="14"/>
  </w:num>
  <w:num w:numId="4" w16cid:durableId="1312905431">
    <w:abstractNumId w:val="10"/>
  </w:num>
  <w:num w:numId="5" w16cid:durableId="417093550">
    <w:abstractNumId w:val="8"/>
  </w:num>
  <w:num w:numId="6" w16cid:durableId="1486429129">
    <w:abstractNumId w:val="12"/>
  </w:num>
  <w:num w:numId="7" w16cid:durableId="258221757">
    <w:abstractNumId w:val="9"/>
  </w:num>
  <w:num w:numId="8" w16cid:durableId="842936081">
    <w:abstractNumId w:val="11"/>
  </w:num>
  <w:num w:numId="9" w16cid:durableId="1685205339">
    <w:abstractNumId w:val="1"/>
  </w:num>
  <w:num w:numId="10" w16cid:durableId="789317941">
    <w:abstractNumId w:val="6"/>
  </w:num>
  <w:num w:numId="11" w16cid:durableId="573322861">
    <w:abstractNumId w:val="7"/>
  </w:num>
  <w:num w:numId="12" w16cid:durableId="537016197">
    <w:abstractNumId w:val="5"/>
  </w:num>
  <w:num w:numId="13" w16cid:durableId="880089263">
    <w:abstractNumId w:val="2"/>
  </w:num>
  <w:num w:numId="14" w16cid:durableId="1045787044">
    <w:abstractNumId w:val="15"/>
  </w:num>
  <w:num w:numId="15" w16cid:durableId="846601668">
    <w:abstractNumId w:val="3"/>
  </w:num>
  <w:num w:numId="16" w16cid:durableId="1075929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45A"/>
    <w:rsid w:val="00001CB0"/>
    <w:rsid w:val="00003A49"/>
    <w:rsid w:val="0000790F"/>
    <w:rsid w:val="00013842"/>
    <w:rsid w:val="00015D9B"/>
    <w:rsid w:val="000164C8"/>
    <w:rsid w:val="0002070A"/>
    <w:rsid w:val="00020A3E"/>
    <w:rsid w:val="00022A4D"/>
    <w:rsid w:val="00022FE9"/>
    <w:rsid w:val="00023546"/>
    <w:rsid w:val="00026A15"/>
    <w:rsid w:val="00026C30"/>
    <w:rsid w:val="00026E68"/>
    <w:rsid w:val="000322BF"/>
    <w:rsid w:val="0003276C"/>
    <w:rsid w:val="0003279B"/>
    <w:rsid w:val="00034492"/>
    <w:rsid w:val="00036F54"/>
    <w:rsid w:val="00041E05"/>
    <w:rsid w:val="00043BEF"/>
    <w:rsid w:val="000456C1"/>
    <w:rsid w:val="0004591C"/>
    <w:rsid w:val="00045A2F"/>
    <w:rsid w:val="00046557"/>
    <w:rsid w:val="0004773C"/>
    <w:rsid w:val="00047FFE"/>
    <w:rsid w:val="000504BE"/>
    <w:rsid w:val="00050576"/>
    <w:rsid w:val="00050A0B"/>
    <w:rsid w:val="00053219"/>
    <w:rsid w:val="00053467"/>
    <w:rsid w:val="0005538D"/>
    <w:rsid w:val="00055843"/>
    <w:rsid w:val="00061891"/>
    <w:rsid w:val="00062E9C"/>
    <w:rsid w:val="00065FE6"/>
    <w:rsid w:val="00067385"/>
    <w:rsid w:val="00070578"/>
    <w:rsid w:val="0007296A"/>
    <w:rsid w:val="00072C81"/>
    <w:rsid w:val="00073262"/>
    <w:rsid w:val="00073357"/>
    <w:rsid w:val="000746EF"/>
    <w:rsid w:val="0007594E"/>
    <w:rsid w:val="000824A5"/>
    <w:rsid w:val="00082EA9"/>
    <w:rsid w:val="00086EC7"/>
    <w:rsid w:val="0008772E"/>
    <w:rsid w:val="000902F8"/>
    <w:rsid w:val="00094026"/>
    <w:rsid w:val="000971C0"/>
    <w:rsid w:val="000A2A65"/>
    <w:rsid w:val="000A499A"/>
    <w:rsid w:val="000A4A1D"/>
    <w:rsid w:val="000B2C3B"/>
    <w:rsid w:val="000B2EE9"/>
    <w:rsid w:val="000B4032"/>
    <w:rsid w:val="000B431A"/>
    <w:rsid w:val="000B461D"/>
    <w:rsid w:val="000B5CDA"/>
    <w:rsid w:val="000C19F8"/>
    <w:rsid w:val="000C2242"/>
    <w:rsid w:val="000C2420"/>
    <w:rsid w:val="000C3C97"/>
    <w:rsid w:val="000C4E55"/>
    <w:rsid w:val="000C5CCF"/>
    <w:rsid w:val="000C68B2"/>
    <w:rsid w:val="000C6979"/>
    <w:rsid w:val="000D2E72"/>
    <w:rsid w:val="000D35C7"/>
    <w:rsid w:val="000D3818"/>
    <w:rsid w:val="000D6997"/>
    <w:rsid w:val="000D6CA0"/>
    <w:rsid w:val="000D6DF8"/>
    <w:rsid w:val="000D710C"/>
    <w:rsid w:val="000D767F"/>
    <w:rsid w:val="000E41D9"/>
    <w:rsid w:val="000E43B8"/>
    <w:rsid w:val="000E48E5"/>
    <w:rsid w:val="000E6ABD"/>
    <w:rsid w:val="000E7653"/>
    <w:rsid w:val="000F31C7"/>
    <w:rsid w:val="000F4196"/>
    <w:rsid w:val="000F595C"/>
    <w:rsid w:val="000F7670"/>
    <w:rsid w:val="000F7AC4"/>
    <w:rsid w:val="00100DA4"/>
    <w:rsid w:val="0010360D"/>
    <w:rsid w:val="00103E5D"/>
    <w:rsid w:val="00104287"/>
    <w:rsid w:val="0010480F"/>
    <w:rsid w:val="001100D3"/>
    <w:rsid w:val="00110D89"/>
    <w:rsid w:val="001118B9"/>
    <w:rsid w:val="0011204E"/>
    <w:rsid w:val="0011263B"/>
    <w:rsid w:val="001130DB"/>
    <w:rsid w:val="00120AEF"/>
    <w:rsid w:val="00122316"/>
    <w:rsid w:val="00123103"/>
    <w:rsid w:val="00123651"/>
    <w:rsid w:val="001238B5"/>
    <w:rsid w:val="00125492"/>
    <w:rsid w:val="001300E4"/>
    <w:rsid w:val="0013040A"/>
    <w:rsid w:val="00131819"/>
    <w:rsid w:val="001344AA"/>
    <w:rsid w:val="0013469A"/>
    <w:rsid w:val="001346EB"/>
    <w:rsid w:val="00137D30"/>
    <w:rsid w:val="001410B7"/>
    <w:rsid w:val="00141A4E"/>
    <w:rsid w:val="00141CB3"/>
    <w:rsid w:val="00141D46"/>
    <w:rsid w:val="00151AA8"/>
    <w:rsid w:val="00152F94"/>
    <w:rsid w:val="00153FA0"/>
    <w:rsid w:val="001631A9"/>
    <w:rsid w:val="00163B39"/>
    <w:rsid w:val="00164488"/>
    <w:rsid w:val="00171EBF"/>
    <w:rsid w:val="00174537"/>
    <w:rsid w:val="00174BFB"/>
    <w:rsid w:val="00175865"/>
    <w:rsid w:val="001778DE"/>
    <w:rsid w:val="00180E8C"/>
    <w:rsid w:val="00181F7C"/>
    <w:rsid w:val="0018219C"/>
    <w:rsid w:val="0018686F"/>
    <w:rsid w:val="00191AD0"/>
    <w:rsid w:val="001920DB"/>
    <w:rsid w:val="00195E2D"/>
    <w:rsid w:val="001962EB"/>
    <w:rsid w:val="00197ADC"/>
    <w:rsid w:val="001A08FA"/>
    <w:rsid w:val="001A3962"/>
    <w:rsid w:val="001A3CF3"/>
    <w:rsid w:val="001A532B"/>
    <w:rsid w:val="001A5B28"/>
    <w:rsid w:val="001B0A36"/>
    <w:rsid w:val="001B4565"/>
    <w:rsid w:val="001B52D9"/>
    <w:rsid w:val="001C0DD1"/>
    <w:rsid w:val="001C21AE"/>
    <w:rsid w:val="001C6048"/>
    <w:rsid w:val="001C61A1"/>
    <w:rsid w:val="001D3ED2"/>
    <w:rsid w:val="001D523B"/>
    <w:rsid w:val="001D524A"/>
    <w:rsid w:val="001D5DAB"/>
    <w:rsid w:val="001E1002"/>
    <w:rsid w:val="001E3F88"/>
    <w:rsid w:val="001E51AD"/>
    <w:rsid w:val="001E64E4"/>
    <w:rsid w:val="001E77CF"/>
    <w:rsid w:val="001E7EE2"/>
    <w:rsid w:val="001F1282"/>
    <w:rsid w:val="001F238E"/>
    <w:rsid w:val="001F3B2F"/>
    <w:rsid w:val="001F5661"/>
    <w:rsid w:val="001F69E8"/>
    <w:rsid w:val="00200F30"/>
    <w:rsid w:val="0020328A"/>
    <w:rsid w:val="00204E3A"/>
    <w:rsid w:val="002113A2"/>
    <w:rsid w:val="0021286E"/>
    <w:rsid w:val="00212E10"/>
    <w:rsid w:val="002131E0"/>
    <w:rsid w:val="00214B22"/>
    <w:rsid w:val="00215132"/>
    <w:rsid w:val="00217224"/>
    <w:rsid w:val="002173BC"/>
    <w:rsid w:val="00220331"/>
    <w:rsid w:val="0022302F"/>
    <w:rsid w:val="00230392"/>
    <w:rsid w:val="002341B9"/>
    <w:rsid w:val="00234BA3"/>
    <w:rsid w:val="002415DC"/>
    <w:rsid w:val="00242355"/>
    <w:rsid w:val="002466F8"/>
    <w:rsid w:val="002468E7"/>
    <w:rsid w:val="0024748D"/>
    <w:rsid w:val="00251C55"/>
    <w:rsid w:val="0025419E"/>
    <w:rsid w:val="00256F00"/>
    <w:rsid w:val="00260518"/>
    <w:rsid w:val="00260C04"/>
    <w:rsid w:val="00264333"/>
    <w:rsid w:val="0026654D"/>
    <w:rsid w:val="00270E2E"/>
    <w:rsid w:val="0027223A"/>
    <w:rsid w:val="00273208"/>
    <w:rsid w:val="002737FE"/>
    <w:rsid w:val="0027543A"/>
    <w:rsid w:val="0027608F"/>
    <w:rsid w:val="0027647B"/>
    <w:rsid w:val="00280F9A"/>
    <w:rsid w:val="00281F93"/>
    <w:rsid w:val="00282455"/>
    <w:rsid w:val="0028458E"/>
    <w:rsid w:val="00287A80"/>
    <w:rsid w:val="002940D6"/>
    <w:rsid w:val="002A6152"/>
    <w:rsid w:val="002A6C07"/>
    <w:rsid w:val="002B1733"/>
    <w:rsid w:val="002B234D"/>
    <w:rsid w:val="002B5C53"/>
    <w:rsid w:val="002B7D94"/>
    <w:rsid w:val="002C0976"/>
    <w:rsid w:val="002C33E8"/>
    <w:rsid w:val="002C3F22"/>
    <w:rsid w:val="002D21CA"/>
    <w:rsid w:val="002D35CF"/>
    <w:rsid w:val="002D53AA"/>
    <w:rsid w:val="002D5893"/>
    <w:rsid w:val="002D5DE6"/>
    <w:rsid w:val="002D7EC0"/>
    <w:rsid w:val="002E0CAD"/>
    <w:rsid w:val="002E1E67"/>
    <w:rsid w:val="002E52B4"/>
    <w:rsid w:val="002E58AC"/>
    <w:rsid w:val="002E5F83"/>
    <w:rsid w:val="002E77D8"/>
    <w:rsid w:val="002F03E0"/>
    <w:rsid w:val="002F12DF"/>
    <w:rsid w:val="002F326C"/>
    <w:rsid w:val="002F5C2E"/>
    <w:rsid w:val="003000CF"/>
    <w:rsid w:val="0030045F"/>
    <w:rsid w:val="00300B6E"/>
    <w:rsid w:val="00301E46"/>
    <w:rsid w:val="0030318A"/>
    <w:rsid w:val="00303466"/>
    <w:rsid w:val="00303C2B"/>
    <w:rsid w:val="0031233B"/>
    <w:rsid w:val="003135DE"/>
    <w:rsid w:val="00320343"/>
    <w:rsid w:val="003230B2"/>
    <w:rsid w:val="00327ED4"/>
    <w:rsid w:val="00332605"/>
    <w:rsid w:val="003340D6"/>
    <w:rsid w:val="00335D66"/>
    <w:rsid w:val="003431A3"/>
    <w:rsid w:val="00344D7B"/>
    <w:rsid w:val="003501DD"/>
    <w:rsid w:val="003551D9"/>
    <w:rsid w:val="00356265"/>
    <w:rsid w:val="00357623"/>
    <w:rsid w:val="00357F1A"/>
    <w:rsid w:val="003605AE"/>
    <w:rsid w:val="003675DE"/>
    <w:rsid w:val="0037052A"/>
    <w:rsid w:val="00374C92"/>
    <w:rsid w:val="00374FD1"/>
    <w:rsid w:val="00375066"/>
    <w:rsid w:val="003753B6"/>
    <w:rsid w:val="00375F53"/>
    <w:rsid w:val="00377884"/>
    <w:rsid w:val="00380703"/>
    <w:rsid w:val="00384281"/>
    <w:rsid w:val="00384493"/>
    <w:rsid w:val="00385F16"/>
    <w:rsid w:val="00387C7C"/>
    <w:rsid w:val="00390871"/>
    <w:rsid w:val="00390B89"/>
    <w:rsid w:val="003934BD"/>
    <w:rsid w:val="003977A1"/>
    <w:rsid w:val="003A6675"/>
    <w:rsid w:val="003A714C"/>
    <w:rsid w:val="003B0B8A"/>
    <w:rsid w:val="003B1782"/>
    <w:rsid w:val="003B46C5"/>
    <w:rsid w:val="003B5EAC"/>
    <w:rsid w:val="003B6A1B"/>
    <w:rsid w:val="003B72B5"/>
    <w:rsid w:val="003B7CE6"/>
    <w:rsid w:val="003C0459"/>
    <w:rsid w:val="003C0EB7"/>
    <w:rsid w:val="003C37D9"/>
    <w:rsid w:val="003C3ABD"/>
    <w:rsid w:val="003C5529"/>
    <w:rsid w:val="003C608A"/>
    <w:rsid w:val="003D359B"/>
    <w:rsid w:val="003D4455"/>
    <w:rsid w:val="003D5ABB"/>
    <w:rsid w:val="003D7D61"/>
    <w:rsid w:val="003E2847"/>
    <w:rsid w:val="003E2B33"/>
    <w:rsid w:val="003E34FD"/>
    <w:rsid w:val="003F3C8A"/>
    <w:rsid w:val="003F3E50"/>
    <w:rsid w:val="003F724C"/>
    <w:rsid w:val="00401557"/>
    <w:rsid w:val="00403E73"/>
    <w:rsid w:val="00403FC4"/>
    <w:rsid w:val="0040537D"/>
    <w:rsid w:val="00405C80"/>
    <w:rsid w:val="00411660"/>
    <w:rsid w:val="00413725"/>
    <w:rsid w:val="00413AF2"/>
    <w:rsid w:val="00414F49"/>
    <w:rsid w:val="00417412"/>
    <w:rsid w:val="004178AA"/>
    <w:rsid w:val="00417BAB"/>
    <w:rsid w:val="00420858"/>
    <w:rsid w:val="004221D0"/>
    <w:rsid w:val="004230AE"/>
    <w:rsid w:val="00430D37"/>
    <w:rsid w:val="0043503B"/>
    <w:rsid w:val="00435C30"/>
    <w:rsid w:val="004366A9"/>
    <w:rsid w:val="004400FE"/>
    <w:rsid w:val="00440590"/>
    <w:rsid w:val="00444930"/>
    <w:rsid w:val="00446B72"/>
    <w:rsid w:val="00452305"/>
    <w:rsid w:val="004534E7"/>
    <w:rsid w:val="00453E31"/>
    <w:rsid w:val="00456477"/>
    <w:rsid w:val="00457AE3"/>
    <w:rsid w:val="0046007C"/>
    <w:rsid w:val="00462474"/>
    <w:rsid w:val="0046248A"/>
    <w:rsid w:val="00462DFB"/>
    <w:rsid w:val="00467640"/>
    <w:rsid w:val="00467745"/>
    <w:rsid w:val="00467E65"/>
    <w:rsid w:val="004705C4"/>
    <w:rsid w:val="00476A9F"/>
    <w:rsid w:val="00480BF6"/>
    <w:rsid w:val="00483992"/>
    <w:rsid w:val="004840D2"/>
    <w:rsid w:val="004843AC"/>
    <w:rsid w:val="00485726"/>
    <w:rsid w:val="00485928"/>
    <w:rsid w:val="00485960"/>
    <w:rsid w:val="00492835"/>
    <w:rsid w:val="00495786"/>
    <w:rsid w:val="00496323"/>
    <w:rsid w:val="004972FE"/>
    <w:rsid w:val="0049780A"/>
    <w:rsid w:val="004A08AC"/>
    <w:rsid w:val="004A2216"/>
    <w:rsid w:val="004A507B"/>
    <w:rsid w:val="004A6FD4"/>
    <w:rsid w:val="004B0870"/>
    <w:rsid w:val="004B6A7C"/>
    <w:rsid w:val="004B6C97"/>
    <w:rsid w:val="004B7F7A"/>
    <w:rsid w:val="004C0961"/>
    <w:rsid w:val="004C1843"/>
    <w:rsid w:val="004C39A1"/>
    <w:rsid w:val="004C3CAA"/>
    <w:rsid w:val="004C5D2E"/>
    <w:rsid w:val="004C7987"/>
    <w:rsid w:val="004D16BC"/>
    <w:rsid w:val="004D3854"/>
    <w:rsid w:val="004D6B6D"/>
    <w:rsid w:val="004D779D"/>
    <w:rsid w:val="004E0395"/>
    <w:rsid w:val="004E168E"/>
    <w:rsid w:val="004E1720"/>
    <w:rsid w:val="004E2255"/>
    <w:rsid w:val="004E3939"/>
    <w:rsid w:val="004E3D93"/>
    <w:rsid w:val="004E497A"/>
    <w:rsid w:val="004E6B81"/>
    <w:rsid w:val="004F149D"/>
    <w:rsid w:val="004F32E4"/>
    <w:rsid w:val="004F3487"/>
    <w:rsid w:val="004F528F"/>
    <w:rsid w:val="005030AE"/>
    <w:rsid w:val="00504374"/>
    <w:rsid w:val="00504AD6"/>
    <w:rsid w:val="00516CE7"/>
    <w:rsid w:val="005215EF"/>
    <w:rsid w:val="00521B86"/>
    <w:rsid w:val="00527FDB"/>
    <w:rsid w:val="00533373"/>
    <w:rsid w:val="00534248"/>
    <w:rsid w:val="0053450F"/>
    <w:rsid w:val="00535B48"/>
    <w:rsid w:val="00536AFA"/>
    <w:rsid w:val="00544E37"/>
    <w:rsid w:val="00546714"/>
    <w:rsid w:val="00547145"/>
    <w:rsid w:val="00551967"/>
    <w:rsid w:val="0055228B"/>
    <w:rsid w:val="0055498D"/>
    <w:rsid w:val="0055529C"/>
    <w:rsid w:val="00555454"/>
    <w:rsid w:val="00560BE4"/>
    <w:rsid w:val="00561C66"/>
    <w:rsid w:val="005642EC"/>
    <w:rsid w:val="00564564"/>
    <w:rsid w:val="0057088A"/>
    <w:rsid w:val="0057115D"/>
    <w:rsid w:val="00571424"/>
    <w:rsid w:val="00575494"/>
    <w:rsid w:val="005849A8"/>
    <w:rsid w:val="00587A67"/>
    <w:rsid w:val="00591217"/>
    <w:rsid w:val="005912FA"/>
    <w:rsid w:val="00591EBD"/>
    <w:rsid w:val="0059205B"/>
    <w:rsid w:val="005927FC"/>
    <w:rsid w:val="0059289A"/>
    <w:rsid w:val="005929CA"/>
    <w:rsid w:val="005939CE"/>
    <w:rsid w:val="005967A7"/>
    <w:rsid w:val="0059689A"/>
    <w:rsid w:val="00596950"/>
    <w:rsid w:val="00597CD0"/>
    <w:rsid w:val="005A237E"/>
    <w:rsid w:val="005A3018"/>
    <w:rsid w:val="005A5057"/>
    <w:rsid w:val="005A53F1"/>
    <w:rsid w:val="005A54E4"/>
    <w:rsid w:val="005A5AB8"/>
    <w:rsid w:val="005A5AC4"/>
    <w:rsid w:val="005A63D4"/>
    <w:rsid w:val="005A65C2"/>
    <w:rsid w:val="005B119F"/>
    <w:rsid w:val="005B14DA"/>
    <w:rsid w:val="005B2391"/>
    <w:rsid w:val="005B4218"/>
    <w:rsid w:val="005B4E9E"/>
    <w:rsid w:val="005B520F"/>
    <w:rsid w:val="005B5B44"/>
    <w:rsid w:val="005B7318"/>
    <w:rsid w:val="005B76E9"/>
    <w:rsid w:val="005C327F"/>
    <w:rsid w:val="005C49D2"/>
    <w:rsid w:val="005C6646"/>
    <w:rsid w:val="005C6D27"/>
    <w:rsid w:val="005C7D49"/>
    <w:rsid w:val="005D1290"/>
    <w:rsid w:val="005D3232"/>
    <w:rsid w:val="005E0142"/>
    <w:rsid w:val="005E132A"/>
    <w:rsid w:val="005E251E"/>
    <w:rsid w:val="005E35C5"/>
    <w:rsid w:val="005F32E5"/>
    <w:rsid w:val="005F4D82"/>
    <w:rsid w:val="0060244E"/>
    <w:rsid w:val="00604984"/>
    <w:rsid w:val="00604D64"/>
    <w:rsid w:val="00605AA3"/>
    <w:rsid w:val="006102E3"/>
    <w:rsid w:val="00610BB7"/>
    <w:rsid w:val="0061283A"/>
    <w:rsid w:val="00613FAB"/>
    <w:rsid w:val="00621A7C"/>
    <w:rsid w:val="00622C7B"/>
    <w:rsid w:val="00624C5D"/>
    <w:rsid w:val="00630BD3"/>
    <w:rsid w:val="006311CD"/>
    <w:rsid w:val="00631EED"/>
    <w:rsid w:val="00635B77"/>
    <w:rsid w:val="00636DF1"/>
    <w:rsid w:val="00644AD4"/>
    <w:rsid w:val="0064512F"/>
    <w:rsid w:val="0065087E"/>
    <w:rsid w:val="0065155C"/>
    <w:rsid w:val="00651E51"/>
    <w:rsid w:val="00652DEA"/>
    <w:rsid w:val="00653E28"/>
    <w:rsid w:val="00657D8B"/>
    <w:rsid w:val="00660D7E"/>
    <w:rsid w:val="00661AAB"/>
    <w:rsid w:val="00662B33"/>
    <w:rsid w:val="006636F1"/>
    <w:rsid w:val="006637D2"/>
    <w:rsid w:val="006656FA"/>
    <w:rsid w:val="006679DF"/>
    <w:rsid w:val="00670B16"/>
    <w:rsid w:val="006718F2"/>
    <w:rsid w:val="00673595"/>
    <w:rsid w:val="00673EB1"/>
    <w:rsid w:val="006811B0"/>
    <w:rsid w:val="0068683B"/>
    <w:rsid w:val="00687841"/>
    <w:rsid w:val="00690DC8"/>
    <w:rsid w:val="00691528"/>
    <w:rsid w:val="00692738"/>
    <w:rsid w:val="00695422"/>
    <w:rsid w:val="006A14FE"/>
    <w:rsid w:val="006A157C"/>
    <w:rsid w:val="006A1BA6"/>
    <w:rsid w:val="006A2CD9"/>
    <w:rsid w:val="006A3FD4"/>
    <w:rsid w:val="006A7272"/>
    <w:rsid w:val="006B0BC7"/>
    <w:rsid w:val="006B3716"/>
    <w:rsid w:val="006B4303"/>
    <w:rsid w:val="006B6DD3"/>
    <w:rsid w:val="006B7228"/>
    <w:rsid w:val="006B7375"/>
    <w:rsid w:val="006B76D5"/>
    <w:rsid w:val="006C596F"/>
    <w:rsid w:val="006D0912"/>
    <w:rsid w:val="006D0D84"/>
    <w:rsid w:val="006D1BE0"/>
    <w:rsid w:val="006D3D83"/>
    <w:rsid w:val="006D4B0E"/>
    <w:rsid w:val="006D67C9"/>
    <w:rsid w:val="006E269F"/>
    <w:rsid w:val="006E4FFA"/>
    <w:rsid w:val="006F0901"/>
    <w:rsid w:val="006F121C"/>
    <w:rsid w:val="006F1B02"/>
    <w:rsid w:val="006F436A"/>
    <w:rsid w:val="007004DE"/>
    <w:rsid w:val="00703D5A"/>
    <w:rsid w:val="007056FC"/>
    <w:rsid w:val="00705FF7"/>
    <w:rsid w:val="00710AE7"/>
    <w:rsid w:val="0071155E"/>
    <w:rsid w:val="0071393D"/>
    <w:rsid w:val="00716B22"/>
    <w:rsid w:val="007175A7"/>
    <w:rsid w:val="007262C4"/>
    <w:rsid w:val="00733970"/>
    <w:rsid w:val="00736BAA"/>
    <w:rsid w:val="007374AA"/>
    <w:rsid w:val="00740996"/>
    <w:rsid w:val="00741B25"/>
    <w:rsid w:val="00743CE5"/>
    <w:rsid w:val="0074620B"/>
    <w:rsid w:val="00747034"/>
    <w:rsid w:val="0075509F"/>
    <w:rsid w:val="00755B40"/>
    <w:rsid w:val="00757B44"/>
    <w:rsid w:val="00761334"/>
    <w:rsid w:val="00763797"/>
    <w:rsid w:val="00763E80"/>
    <w:rsid w:val="0077241B"/>
    <w:rsid w:val="00773BA4"/>
    <w:rsid w:val="00775A17"/>
    <w:rsid w:val="007771ED"/>
    <w:rsid w:val="0078035D"/>
    <w:rsid w:val="00780C7B"/>
    <w:rsid w:val="00782814"/>
    <w:rsid w:val="00782CC2"/>
    <w:rsid w:val="00786CAD"/>
    <w:rsid w:val="007870B7"/>
    <w:rsid w:val="00791D2B"/>
    <w:rsid w:val="007922C6"/>
    <w:rsid w:val="00793B51"/>
    <w:rsid w:val="00796D66"/>
    <w:rsid w:val="007A0FEA"/>
    <w:rsid w:val="007A3EA2"/>
    <w:rsid w:val="007A3FCC"/>
    <w:rsid w:val="007A6694"/>
    <w:rsid w:val="007B1311"/>
    <w:rsid w:val="007B3176"/>
    <w:rsid w:val="007B3BC0"/>
    <w:rsid w:val="007B5B52"/>
    <w:rsid w:val="007B7114"/>
    <w:rsid w:val="007C1B69"/>
    <w:rsid w:val="007C1CDA"/>
    <w:rsid w:val="007C2775"/>
    <w:rsid w:val="007C32C1"/>
    <w:rsid w:val="007C47EC"/>
    <w:rsid w:val="007C6E4D"/>
    <w:rsid w:val="007D083C"/>
    <w:rsid w:val="007D3B6E"/>
    <w:rsid w:val="007D5FB5"/>
    <w:rsid w:val="007D7460"/>
    <w:rsid w:val="007D7DCC"/>
    <w:rsid w:val="007E3D0F"/>
    <w:rsid w:val="007E6A8F"/>
    <w:rsid w:val="007E71C3"/>
    <w:rsid w:val="007E7890"/>
    <w:rsid w:val="007F167D"/>
    <w:rsid w:val="007F5441"/>
    <w:rsid w:val="007F5F59"/>
    <w:rsid w:val="007F620E"/>
    <w:rsid w:val="007F6CF5"/>
    <w:rsid w:val="007F7602"/>
    <w:rsid w:val="00802101"/>
    <w:rsid w:val="00802701"/>
    <w:rsid w:val="0080420C"/>
    <w:rsid w:val="008101AE"/>
    <w:rsid w:val="00811DB1"/>
    <w:rsid w:val="008150B4"/>
    <w:rsid w:val="00815F1F"/>
    <w:rsid w:val="0081626F"/>
    <w:rsid w:val="008210D8"/>
    <w:rsid w:val="00824C13"/>
    <w:rsid w:val="00831652"/>
    <w:rsid w:val="0083228B"/>
    <w:rsid w:val="0083350A"/>
    <w:rsid w:val="00833D72"/>
    <w:rsid w:val="0083442F"/>
    <w:rsid w:val="008379FA"/>
    <w:rsid w:val="00844EFE"/>
    <w:rsid w:val="00845BF0"/>
    <w:rsid w:val="0085047E"/>
    <w:rsid w:val="008508FD"/>
    <w:rsid w:val="0085415E"/>
    <w:rsid w:val="008548AF"/>
    <w:rsid w:val="00855FD7"/>
    <w:rsid w:val="0086109D"/>
    <w:rsid w:val="00864127"/>
    <w:rsid w:val="008678C0"/>
    <w:rsid w:val="00871F1B"/>
    <w:rsid w:val="00873BB5"/>
    <w:rsid w:val="0087691A"/>
    <w:rsid w:val="00880855"/>
    <w:rsid w:val="00882AB4"/>
    <w:rsid w:val="0088314E"/>
    <w:rsid w:val="008844B6"/>
    <w:rsid w:val="00885956"/>
    <w:rsid w:val="00886869"/>
    <w:rsid w:val="00890BE8"/>
    <w:rsid w:val="00895230"/>
    <w:rsid w:val="008A0C3E"/>
    <w:rsid w:val="008A19C3"/>
    <w:rsid w:val="008A7E79"/>
    <w:rsid w:val="008B3183"/>
    <w:rsid w:val="008B67E2"/>
    <w:rsid w:val="008C044D"/>
    <w:rsid w:val="008C09F7"/>
    <w:rsid w:val="008C105E"/>
    <w:rsid w:val="008C12A2"/>
    <w:rsid w:val="008C2208"/>
    <w:rsid w:val="008C3278"/>
    <w:rsid w:val="008D1411"/>
    <w:rsid w:val="008D188F"/>
    <w:rsid w:val="008D1B2F"/>
    <w:rsid w:val="008D1CE0"/>
    <w:rsid w:val="008D4BD2"/>
    <w:rsid w:val="008D57CC"/>
    <w:rsid w:val="008E098A"/>
    <w:rsid w:val="008E16A1"/>
    <w:rsid w:val="008E182E"/>
    <w:rsid w:val="008E3450"/>
    <w:rsid w:val="008E4336"/>
    <w:rsid w:val="008E5365"/>
    <w:rsid w:val="008E61A4"/>
    <w:rsid w:val="008E67A8"/>
    <w:rsid w:val="008F4D95"/>
    <w:rsid w:val="008F72CA"/>
    <w:rsid w:val="009011EF"/>
    <w:rsid w:val="009031D6"/>
    <w:rsid w:val="00904483"/>
    <w:rsid w:val="009045E8"/>
    <w:rsid w:val="00907942"/>
    <w:rsid w:val="00910B3E"/>
    <w:rsid w:val="009127B6"/>
    <w:rsid w:val="00915118"/>
    <w:rsid w:val="009174C3"/>
    <w:rsid w:val="00917FF9"/>
    <w:rsid w:val="0092125E"/>
    <w:rsid w:val="00922FFB"/>
    <w:rsid w:val="00925EB3"/>
    <w:rsid w:val="00925FAB"/>
    <w:rsid w:val="00931A11"/>
    <w:rsid w:val="00934068"/>
    <w:rsid w:val="00940C13"/>
    <w:rsid w:val="00943C5D"/>
    <w:rsid w:val="00945648"/>
    <w:rsid w:val="009472FC"/>
    <w:rsid w:val="009558DD"/>
    <w:rsid w:val="00960FAA"/>
    <w:rsid w:val="00961178"/>
    <w:rsid w:val="00963178"/>
    <w:rsid w:val="009637BB"/>
    <w:rsid w:val="00963EEF"/>
    <w:rsid w:val="0096431F"/>
    <w:rsid w:val="00964E08"/>
    <w:rsid w:val="00965151"/>
    <w:rsid w:val="00966DE5"/>
    <w:rsid w:val="00970CBC"/>
    <w:rsid w:val="00980552"/>
    <w:rsid w:val="009926F2"/>
    <w:rsid w:val="00995A70"/>
    <w:rsid w:val="00997803"/>
    <w:rsid w:val="009A0D82"/>
    <w:rsid w:val="009A2D17"/>
    <w:rsid w:val="009A3DB4"/>
    <w:rsid w:val="009A4EC1"/>
    <w:rsid w:val="009A558D"/>
    <w:rsid w:val="009A5DE9"/>
    <w:rsid w:val="009A62F6"/>
    <w:rsid w:val="009B1EE1"/>
    <w:rsid w:val="009B27D3"/>
    <w:rsid w:val="009B5425"/>
    <w:rsid w:val="009B6CA8"/>
    <w:rsid w:val="009C128B"/>
    <w:rsid w:val="009C2A17"/>
    <w:rsid w:val="009C39AA"/>
    <w:rsid w:val="009D0869"/>
    <w:rsid w:val="009D2006"/>
    <w:rsid w:val="009D4407"/>
    <w:rsid w:val="009D71A3"/>
    <w:rsid w:val="009D71AA"/>
    <w:rsid w:val="009E0384"/>
    <w:rsid w:val="009E2C93"/>
    <w:rsid w:val="009E48E4"/>
    <w:rsid w:val="009F106A"/>
    <w:rsid w:val="009F11F5"/>
    <w:rsid w:val="00A008B7"/>
    <w:rsid w:val="00A0574E"/>
    <w:rsid w:val="00A05CB8"/>
    <w:rsid w:val="00A0616C"/>
    <w:rsid w:val="00A07A96"/>
    <w:rsid w:val="00A108FF"/>
    <w:rsid w:val="00A205CE"/>
    <w:rsid w:val="00A23930"/>
    <w:rsid w:val="00A24076"/>
    <w:rsid w:val="00A2408E"/>
    <w:rsid w:val="00A24E91"/>
    <w:rsid w:val="00A258A3"/>
    <w:rsid w:val="00A25D40"/>
    <w:rsid w:val="00A26A7E"/>
    <w:rsid w:val="00A27EEF"/>
    <w:rsid w:val="00A319DE"/>
    <w:rsid w:val="00A33147"/>
    <w:rsid w:val="00A40588"/>
    <w:rsid w:val="00A4196F"/>
    <w:rsid w:val="00A43F76"/>
    <w:rsid w:val="00A44962"/>
    <w:rsid w:val="00A511A1"/>
    <w:rsid w:val="00A60203"/>
    <w:rsid w:val="00A605C3"/>
    <w:rsid w:val="00A63DE3"/>
    <w:rsid w:val="00A67E89"/>
    <w:rsid w:val="00A726A6"/>
    <w:rsid w:val="00A75D2D"/>
    <w:rsid w:val="00A81BA3"/>
    <w:rsid w:val="00A83720"/>
    <w:rsid w:val="00A8399F"/>
    <w:rsid w:val="00A84B04"/>
    <w:rsid w:val="00A86489"/>
    <w:rsid w:val="00A86988"/>
    <w:rsid w:val="00A875BB"/>
    <w:rsid w:val="00A90F8D"/>
    <w:rsid w:val="00A910F1"/>
    <w:rsid w:val="00A912D2"/>
    <w:rsid w:val="00A929E2"/>
    <w:rsid w:val="00A92D0B"/>
    <w:rsid w:val="00AA05F9"/>
    <w:rsid w:val="00AA1740"/>
    <w:rsid w:val="00AB2F7F"/>
    <w:rsid w:val="00AB3510"/>
    <w:rsid w:val="00AB3863"/>
    <w:rsid w:val="00AB48BB"/>
    <w:rsid w:val="00AB4B27"/>
    <w:rsid w:val="00AB6126"/>
    <w:rsid w:val="00AB64E8"/>
    <w:rsid w:val="00AC11EC"/>
    <w:rsid w:val="00AC47D0"/>
    <w:rsid w:val="00AC4F66"/>
    <w:rsid w:val="00AC5A4B"/>
    <w:rsid w:val="00AD4891"/>
    <w:rsid w:val="00AD5797"/>
    <w:rsid w:val="00AD742A"/>
    <w:rsid w:val="00AE0EB2"/>
    <w:rsid w:val="00AE306E"/>
    <w:rsid w:val="00AE429F"/>
    <w:rsid w:val="00AE583B"/>
    <w:rsid w:val="00AE6488"/>
    <w:rsid w:val="00AE7BC6"/>
    <w:rsid w:val="00AF0618"/>
    <w:rsid w:val="00AF1A06"/>
    <w:rsid w:val="00AF383A"/>
    <w:rsid w:val="00AF61A9"/>
    <w:rsid w:val="00B00BCD"/>
    <w:rsid w:val="00B02EFA"/>
    <w:rsid w:val="00B03003"/>
    <w:rsid w:val="00B0399A"/>
    <w:rsid w:val="00B043BD"/>
    <w:rsid w:val="00B0679F"/>
    <w:rsid w:val="00B07484"/>
    <w:rsid w:val="00B07FAD"/>
    <w:rsid w:val="00B11EDE"/>
    <w:rsid w:val="00B13395"/>
    <w:rsid w:val="00B1593B"/>
    <w:rsid w:val="00B17005"/>
    <w:rsid w:val="00B20AB4"/>
    <w:rsid w:val="00B2186B"/>
    <w:rsid w:val="00B22179"/>
    <w:rsid w:val="00B22B68"/>
    <w:rsid w:val="00B24FCE"/>
    <w:rsid w:val="00B30F84"/>
    <w:rsid w:val="00B312DA"/>
    <w:rsid w:val="00B31565"/>
    <w:rsid w:val="00B32281"/>
    <w:rsid w:val="00B32C1D"/>
    <w:rsid w:val="00B36273"/>
    <w:rsid w:val="00B362F7"/>
    <w:rsid w:val="00B367D3"/>
    <w:rsid w:val="00B37FDB"/>
    <w:rsid w:val="00B4264C"/>
    <w:rsid w:val="00B449E4"/>
    <w:rsid w:val="00B471A2"/>
    <w:rsid w:val="00B5090D"/>
    <w:rsid w:val="00B51C2B"/>
    <w:rsid w:val="00B51F03"/>
    <w:rsid w:val="00B534CB"/>
    <w:rsid w:val="00B54991"/>
    <w:rsid w:val="00B55CCD"/>
    <w:rsid w:val="00B55D78"/>
    <w:rsid w:val="00B617C3"/>
    <w:rsid w:val="00B62AC0"/>
    <w:rsid w:val="00B638AE"/>
    <w:rsid w:val="00B63D1A"/>
    <w:rsid w:val="00B64275"/>
    <w:rsid w:val="00B65F9E"/>
    <w:rsid w:val="00B66CF5"/>
    <w:rsid w:val="00B72369"/>
    <w:rsid w:val="00B73D48"/>
    <w:rsid w:val="00B759AD"/>
    <w:rsid w:val="00B803D5"/>
    <w:rsid w:val="00B80ED2"/>
    <w:rsid w:val="00B81CFA"/>
    <w:rsid w:val="00B83039"/>
    <w:rsid w:val="00B85611"/>
    <w:rsid w:val="00B85DBA"/>
    <w:rsid w:val="00B87C03"/>
    <w:rsid w:val="00B93741"/>
    <w:rsid w:val="00B93B7F"/>
    <w:rsid w:val="00B95B9F"/>
    <w:rsid w:val="00B96DA3"/>
    <w:rsid w:val="00BA1DB4"/>
    <w:rsid w:val="00BA2F94"/>
    <w:rsid w:val="00BA53C4"/>
    <w:rsid w:val="00BA548C"/>
    <w:rsid w:val="00BA6431"/>
    <w:rsid w:val="00BA6870"/>
    <w:rsid w:val="00BA727D"/>
    <w:rsid w:val="00BB0FD1"/>
    <w:rsid w:val="00BB19AB"/>
    <w:rsid w:val="00BB49BB"/>
    <w:rsid w:val="00BB69BB"/>
    <w:rsid w:val="00BB6A9A"/>
    <w:rsid w:val="00BB765B"/>
    <w:rsid w:val="00BC3B8A"/>
    <w:rsid w:val="00BC5048"/>
    <w:rsid w:val="00BC524D"/>
    <w:rsid w:val="00BD0CDA"/>
    <w:rsid w:val="00BD6CB7"/>
    <w:rsid w:val="00BE0B9E"/>
    <w:rsid w:val="00BE0C85"/>
    <w:rsid w:val="00BE2B3C"/>
    <w:rsid w:val="00BE45D0"/>
    <w:rsid w:val="00BE5D8E"/>
    <w:rsid w:val="00BF034D"/>
    <w:rsid w:val="00BF0C35"/>
    <w:rsid w:val="00BF2F45"/>
    <w:rsid w:val="00BF4D90"/>
    <w:rsid w:val="00BF67B4"/>
    <w:rsid w:val="00C0205E"/>
    <w:rsid w:val="00C02649"/>
    <w:rsid w:val="00C02D10"/>
    <w:rsid w:val="00C02E5B"/>
    <w:rsid w:val="00C0471D"/>
    <w:rsid w:val="00C1018F"/>
    <w:rsid w:val="00C1369F"/>
    <w:rsid w:val="00C13B3F"/>
    <w:rsid w:val="00C16710"/>
    <w:rsid w:val="00C16981"/>
    <w:rsid w:val="00C222CF"/>
    <w:rsid w:val="00C22B94"/>
    <w:rsid w:val="00C24CD9"/>
    <w:rsid w:val="00C24DEA"/>
    <w:rsid w:val="00C3136A"/>
    <w:rsid w:val="00C313CF"/>
    <w:rsid w:val="00C3563F"/>
    <w:rsid w:val="00C372E0"/>
    <w:rsid w:val="00C41299"/>
    <w:rsid w:val="00C413A6"/>
    <w:rsid w:val="00C46289"/>
    <w:rsid w:val="00C46B2C"/>
    <w:rsid w:val="00C47A2B"/>
    <w:rsid w:val="00C506DD"/>
    <w:rsid w:val="00C53DDD"/>
    <w:rsid w:val="00C55F75"/>
    <w:rsid w:val="00C61454"/>
    <w:rsid w:val="00C713FB"/>
    <w:rsid w:val="00C742D7"/>
    <w:rsid w:val="00C74DD4"/>
    <w:rsid w:val="00C765A2"/>
    <w:rsid w:val="00C8059B"/>
    <w:rsid w:val="00C8074F"/>
    <w:rsid w:val="00C80771"/>
    <w:rsid w:val="00C80C09"/>
    <w:rsid w:val="00C83B98"/>
    <w:rsid w:val="00C9077C"/>
    <w:rsid w:val="00C96099"/>
    <w:rsid w:val="00C972F0"/>
    <w:rsid w:val="00CA131E"/>
    <w:rsid w:val="00CA74FB"/>
    <w:rsid w:val="00CB0A77"/>
    <w:rsid w:val="00CB74A3"/>
    <w:rsid w:val="00CC0535"/>
    <w:rsid w:val="00CC10AF"/>
    <w:rsid w:val="00CC4B40"/>
    <w:rsid w:val="00CC4E6D"/>
    <w:rsid w:val="00CC50A3"/>
    <w:rsid w:val="00CC7841"/>
    <w:rsid w:val="00CD054B"/>
    <w:rsid w:val="00CD2C82"/>
    <w:rsid w:val="00CD3575"/>
    <w:rsid w:val="00CD4877"/>
    <w:rsid w:val="00CD6886"/>
    <w:rsid w:val="00CD7D17"/>
    <w:rsid w:val="00CE057B"/>
    <w:rsid w:val="00CE1879"/>
    <w:rsid w:val="00CE442E"/>
    <w:rsid w:val="00CF1129"/>
    <w:rsid w:val="00CF23F4"/>
    <w:rsid w:val="00CF28C2"/>
    <w:rsid w:val="00CF3E83"/>
    <w:rsid w:val="00CF4278"/>
    <w:rsid w:val="00CF6D76"/>
    <w:rsid w:val="00D02592"/>
    <w:rsid w:val="00D075B1"/>
    <w:rsid w:val="00D10372"/>
    <w:rsid w:val="00D154B9"/>
    <w:rsid w:val="00D15F0C"/>
    <w:rsid w:val="00D1778A"/>
    <w:rsid w:val="00D17F86"/>
    <w:rsid w:val="00D20A3A"/>
    <w:rsid w:val="00D23733"/>
    <w:rsid w:val="00D239B4"/>
    <w:rsid w:val="00D267C1"/>
    <w:rsid w:val="00D27D5F"/>
    <w:rsid w:val="00D30039"/>
    <w:rsid w:val="00D30C4F"/>
    <w:rsid w:val="00D3402A"/>
    <w:rsid w:val="00D36071"/>
    <w:rsid w:val="00D36216"/>
    <w:rsid w:val="00D36884"/>
    <w:rsid w:val="00D36927"/>
    <w:rsid w:val="00D442D8"/>
    <w:rsid w:val="00D44773"/>
    <w:rsid w:val="00D44B0C"/>
    <w:rsid w:val="00D457FB"/>
    <w:rsid w:val="00D46407"/>
    <w:rsid w:val="00D46E45"/>
    <w:rsid w:val="00D50A97"/>
    <w:rsid w:val="00D50B0D"/>
    <w:rsid w:val="00D51BA1"/>
    <w:rsid w:val="00D56BCA"/>
    <w:rsid w:val="00D57D1C"/>
    <w:rsid w:val="00D667B8"/>
    <w:rsid w:val="00D66E4B"/>
    <w:rsid w:val="00D71ADB"/>
    <w:rsid w:val="00D720F6"/>
    <w:rsid w:val="00D721EC"/>
    <w:rsid w:val="00D7368D"/>
    <w:rsid w:val="00D74F4E"/>
    <w:rsid w:val="00D75107"/>
    <w:rsid w:val="00D76C2C"/>
    <w:rsid w:val="00D80FFD"/>
    <w:rsid w:val="00D828C0"/>
    <w:rsid w:val="00D84F94"/>
    <w:rsid w:val="00D8559C"/>
    <w:rsid w:val="00D86A0C"/>
    <w:rsid w:val="00D8769E"/>
    <w:rsid w:val="00D9017A"/>
    <w:rsid w:val="00D93DA6"/>
    <w:rsid w:val="00D95589"/>
    <w:rsid w:val="00D97425"/>
    <w:rsid w:val="00DA3590"/>
    <w:rsid w:val="00DA3AEE"/>
    <w:rsid w:val="00DA4AED"/>
    <w:rsid w:val="00DB0F4F"/>
    <w:rsid w:val="00DB1DC6"/>
    <w:rsid w:val="00DB4446"/>
    <w:rsid w:val="00DB527A"/>
    <w:rsid w:val="00DC47DD"/>
    <w:rsid w:val="00DC64BB"/>
    <w:rsid w:val="00DD31D2"/>
    <w:rsid w:val="00DD52BB"/>
    <w:rsid w:val="00DE09CA"/>
    <w:rsid w:val="00DE1540"/>
    <w:rsid w:val="00DE3A5D"/>
    <w:rsid w:val="00DE3F2E"/>
    <w:rsid w:val="00DE4F56"/>
    <w:rsid w:val="00DE78AD"/>
    <w:rsid w:val="00DF0C1F"/>
    <w:rsid w:val="00DF2F9E"/>
    <w:rsid w:val="00DF3A8B"/>
    <w:rsid w:val="00DF4000"/>
    <w:rsid w:val="00DF4E1D"/>
    <w:rsid w:val="00DF5CA7"/>
    <w:rsid w:val="00DF62B6"/>
    <w:rsid w:val="00DF67EA"/>
    <w:rsid w:val="00DF6EDB"/>
    <w:rsid w:val="00E00990"/>
    <w:rsid w:val="00E00FCE"/>
    <w:rsid w:val="00E01C11"/>
    <w:rsid w:val="00E066E0"/>
    <w:rsid w:val="00E06B32"/>
    <w:rsid w:val="00E15DC3"/>
    <w:rsid w:val="00E17B34"/>
    <w:rsid w:val="00E21EA5"/>
    <w:rsid w:val="00E23733"/>
    <w:rsid w:val="00E23FF9"/>
    <w:rsid w:val="00E25078"/>
    <w:rsid w:val="00E36064"/>
    <w:rsid w:val="00E377C6"/>
    <w:rsid w:val="00E3786F"/>
    <w:rsid w:val="00E37FF7"/>
    <w:rsid w:val="00E40140"/>
    <w:rsid w:val="00E40E20"/>
    <w:rsid w:val="00E43783"/>
    <w:rsid w:val="00E46E8D"/>
    <w:rsid w:val="00E477B9"/>
    <w:rsid w:val="00E503A8"/>
    <w:rsid w:val="00E52992"/>
    <w:rsid w:val="00E572C9"/>
    <w:rsid w:val="00E60942"/>
    <w:rsid w:val="00E66FE7"/>
    <w:rsid w:val="00E73C8A"/>
    <w:rsid w:val="00E7592D"/>
    <w:rsid w:val="00E75E09"/>
    <w:rsid w:val="00E775D0"/>
    <w:rsid w:val="00E81881"/>
    <w:rsid w:val="00E874A2"/>
    <w:rsid w:val="00E92B20"/>
    <w:rsid w:val="00E9366A"/>
    <w:rsid w:val="00E9387B"/>
    <w:rsid w:val="00E949CA"/>
    <w:rsid w:val="00E9580F"/>
    <w:rsid w:val="00E959A0"/>
    <w:rsid w:val="00E95BE2"/>
    <w:rsid w:val="00E960B7"/>
    <w:rsid w:val="00E970C4"/>
    <w:rsid w:val="00E976F2"/>
    <w:rsid w:val="00EA3A61"/>
    <w:rsid w:val="00EA7355"/>
    <w:rsid w:val="00EB0DBA"/>
    <w:rsid w:val="00EB100F"/>
    <w:rsid w:val="00EB21F1"/>
    <w:rsid w:val="00EB49F1"/>
    <w:rsid w:val="00EB64CF"/>
    <w:rsid w:val="00EC0F80"/>
    <w:rsid w:val="00EC105F"/>
    <w:rsid w:val="00EC6387"/>
    <w:rsid w:val="00ED6B6B"/>
    <w:rsid w:val="00EE05FD"/>
    <w:rsid w:val="00EE29E1"/>
    <w:rsid w:val="00EE3498"/>
    <w:rsid w:val="00EE4B50"/>
    <w:rsid w:val="00EE65E4"/>
    <w:rsid w:val="00EF5FBB"/>
    <w:rsid w:val="00EF619F"/>
    <w:rsid w:val="00F0095D"/>
    <w:rsid w:val="00F028C8"/>
    <w:rsid w:val="00F03660"/>
    <w:rsid w:val="00F04904"/>
    <w:rsid w:val="00F0686B"/>
    <w:rsid w:val="00F1045E"/>
    <w:rsid w:val="00F11A98"/>
    <w:rsid w:val="00F11D34"/>
    <w:rsid w:val="00F1206D"/>
    <w:rsid w:val="00F20061"/>
    <w:rsid w:val="00F200CF"/>
    <w:rsid w:val="00F21CE4"/>
    <w:rsid w:val="00F24714"/>
    <w:rsid w:val="00F26371"/>
    <w:rsid w:val="00F2682B"/>
    <w:rsid w:val="00F30DA8"/>
    <w:rsid w:val="00F34C1F"/>
    <w:rsid w:val="00F355B7"/>
    <w:rsid w:val="00F358A0"/>
    <w:rsid w:val="00F3772B"/>
    <w:rsid w:val="00F40949"/>
    <w:rsid w:val="00F47E87"/>
    <w:rsid w:val="00F50FA3"/>
    <w:rsid w:val="00F51C70"/>
    <w:rsid w:val="00F5257B"/>
    <w:rsid w:val="00F56EB7"/>
    <w:rsid w:val="00F63C29"/>
    <w:rsid w:val="00F650AE"/>
    <w:rsid w:val="00F677E9"/>
    <w:rsid w:val="00F7217D"/>
    <w:rsid w:val="00F73BF9"/>
    <w:rsid w:val="00F7579D"/>
    <w:rsid w:val="00F7725F"/>
    <w:rsid w:val="00F808C6"/>
    <w:rsid w:val="00F81423"/>
    <w:rsid w:val="00F81778"/>
    <w:rsid w:val="00F85FC3"/>
    <w:rsid w:val="00F862A9"/>
    <w:rsid w:val="00FA1CD3"/>
    <w:rsid w:val="00FA4732"/>
    <w:rsid w:val="00FB2686"/>
    <w:rsid w:val="00FC3AF0"/>
    <w:rsid w:val="00FC45E2"/>
    <w:rsid w:val="00FC6B0F"/>
    <w:rsid w:val="00FC6D2B"/>
    <w:rsid w:val="00FC72B7"/>
    <w:rsid w:val="00FC78C7"/>
    <w:rsid w:val="00FD093D"/>
    <w:rsid w:val="00FD2BEB"/>
    <w:rsid w:val="00FD40CF"/>
    <w:rsid w:val="00FD5265"/>
    <w:rsid w:val="00FD65DA"/>
    <w:rsid w:val="00FD688E"/>
    <w:rsid w:val="00FD79BD"/>
    <w:rsid w:val="00FE3BAE"/>
    <w:rsid w:val="00FE5182"/>
    <w:rsid w:val="00FE717C"/>
    <w:rsid w:val="00FF1237"/>
    <w:rsid w:val="00FF44EC"/>
    <w:rsid w:val="00FF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5987ab-1253-4937-a592-955ea085928f">
      <Terms xmlns="http://schemas.microsoft.com/office/infopath/2007/PartnerControls"/>
    </lcf76f155ced4ddcb4097134ff3c332f>
    <TaxCatchAll xmlns="483fb265-a13f-401d-81d2-b87eeda79e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94473EFE75C149821E3AC31BCECFBF" ma:contentTypeVersion="15" ma:contentTypeDescription="Create a new document." ma:contentTypeScope="" ma:versionID="d9fe0d4b547ec53ae963c907a1f291cb">
  <xsd:schema xmlns:xsd="http://www.w3.org/2001/XMLSchema" xmlns:xs="http://www.w3.org/2001/XMLSchema" xmlns:p="http://schemas.microsoft.com/office/2006/metadata/properties" xmlns:ns2="ea5987ab-1253-4937-a592-955ea085928f" xmlns:ns3="483fb265-a13f-401d-81d2-b87eeda79e8c" targetNamespace="http://schemas.microsoft.com/office/2006/metadata/properties" ma:root="true" ma:fieldsID="27e5e4616c42374e8af5552d2a77d7b7" ns2:_="" ns3:_="">
    <xsd:import namespace="ea5987ab-1253-4937-a592-955ea085928f"/>
    <xsd:import namespace="483fb265-a13f-401d-81d2-b87eeda79e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987ab-1253-4937-a592-955ea0859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74b6b4-4e4f-4ab2-a580-813493e010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fb265-a13f-401d-81d2-b87eeda79e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ace881-e354-4283-80c0-989b14300974}" ma:internalName="TaxCatchAll" ma:showField="CatchAllData" ma:web="483fb265-a13f-401d-81d2-b87eeda79e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B55D7-541A-4655-AF03-497226D48A22}">
  <ds:schemaRefs>
    <ds:schemaRef ds:uri="http://schemas.microsoft.com/office/2006/metadata/properties"/>
    <ds:schemaRef ds:uri="http://schemas.microsoft.com/office/infopath/2007/PartnerControls"/>
    <ds:schemaRef ds:uri="ea5987ab-1253-4937-a592-955ea085928f"/>
    <ds:schemaRef ds:uri="483fb265-a13f-401d-81d2-b87eeda79e8c"/>
  </ds:schemaRefs>
</ds:datastoreItem>
</file>

<file path=customXml/itemProps2.xml><?xml version="1.0" encoding="utf-8"?>
<ds:datastoreItem xmlns:ds="http://schemas.openxmlformats.org/officeDocument/2006/customXml" ds:itemID="{5EA388A9-C54C-4301-B96C-57FA6B748871}">
  <ds:schemaRefs>
    <ds:schemaRef ds:uri="http://schemas.microsoft.com/sharepoint/v3/contenttype/forms"/>
  </ds:schemaRefs>
</ds:datastoreItem>
</file>

<file path=customXml/itemProps3.xml><?xml version="1.0" encoding="utf-8"?>
<ds:datastoreItem xmlns:ds="http://schemas.openxmlformats.org/officeDocument/2006/customXml" ds:itemID="{C8B341B2-E072-4729-9638-BF8758B62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987ab-1253-4937-a592-955ea085928f"/>
    <ds:schemaRef ds:uri="483fb265-a13f-401d-81d2-b87eeda79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20</ap:Pages>
  <ap:Words>6248</ap:Words>
  <ap:Characters>35620</ap:Characters>
  <ap:Application>Microsoft Office Word</ap:Application>
  <ap:DocSecurity>0</ap:DocSecurity>
  <ap:Lines>296</ap:Lines>
  <ap:Paragraphs>83</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LinksUpToDate>false</ap:LinksUpToDate>
  <ap:CharactersWithSpaces>41785</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2026-07-03T15:33:59Z</dcterms:created>
  <dcterms:modified xsi:type="dcterms:W3CDTF">2026-07-03T15:33:59Z</dcterms:modified>
</cp:coreProperties>
</file>