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4FA9" w:rsidR="00CF17DE" w:rsidP="00CD236D" w:rsidRDefault="00CF17DE" w14:paraId="70BEAF91" w14:textId="77777777">
      <w:pPr>
        <w:jc w:val="center"/>
        <w:rPr>
          <w:rFonts w:ascii="Helvetica" w:hAnsi="Helvetica" w:cs="Helvetica"/>
          <w:b/>
          <w:bCs/>
          <w:spacing w:val="20"/>
          <w:sz w:val="26"/>
        </w:rPr>
      </w:pPr>
      <w:r w:rsidRPr="00BC4FA9">
        <w:rPr>
          <w:rFonts w:ascii="Helvetica" w:hAnsi="Helvetica" w:cs="Helvetica"/>
          <w:b/>
          <w:bCs/>
          <w:spacing w:val="20"/>
          <w:sz w:val="26"/>
        </w:rPr>
        <w:t>PUBLIC UTILITIES COMMISSION OF THE STATE OF CALIFORNIA</w:t>
      </w:r>
    </w:p>
    <w:p w:rsidRPr="00BC4FA9" w:rsidR="00CF17DE" w:rsidRDefault="00CF17DE" w14:paraId="5E624470" w14:textId="77777777">
      <w:pPr>
        <w:suppressAutoHyphens/>
      </w:pPr>
    </w:p>
    <w:p w:rsidRPr="00BC4FA9" w:rsidR="00FF3560" w:rsidP="00FF3560" w:rsidRDefault="00FF3560" w14:paraId="708A00FB" w14:textId="3C1F9BAD">
      <w:pPr>
        <w:tabs>
          <w:tab w:val="right" w:pos="8820"/>
        </w:tabs>
        <w:rPr>
          <w:b/>
        </w:rPr>
      </w:pPr>
      <w:r w:rsidRPr="00BC4FA9">
        <w:rPr>
          <w:b/>
        </w:rPr>
        <w:tab/>
        <w:t>Agenda ID</w:t>
      </w:r>
      <w:r w:rsidRPr="00BC4FA9" w:rsidR="00D51BDD">
        <w:rPr>
          <w:b/>
        </w:rPr>
        <w:t>#</w:t>
      </w:r>
      <w:r w:rsidRPr="00BC4FA9" w:rsidR="00BC4FA9">
        <w:rPr>
          <w:b/>
        </w:rPr>
        <w:t xml:space="preserve"> </w:t>
      </w:r>
      <w:r w:rsidRPr="00BC4FA9" w:rsidR="00BC4FA9">
        <w:rPr>
          <w:b/>
          <w:bCs/>
        </w:rPr>
        <w:t>24351</w:t>
      </w:r>
    </w:p>
    <w:p w:rsidRPr="00BC4FA9" w:rsidR="00FF3560" w:rsidP="00BC4FA9" w:rsidRDefault="00FF3560" w14:paraId="7954851B" w14:textId="3CD7A9B1">
      <w:pPr>
        <w:tabs>
          <w:tab w:val="right" w:pos="8820"/>
        </w:tabs>
        <w:ind w:left="450"/>
        <w:rPr>
          <w:rFonts w:eastAsia="Palatino Linotype"/>
          <w:b/>
          <w:bCs/>
        </w:rPr>
      </w:pPr>
      <w:r w:rsidRPr="00BC4FA9">
        <w:rPr>
          <w:rFonts w:eastAsia="Palatino Linotype"/>
          <w:b/>
          <w:bCs/>
        </w:rPr>
        <w:t>ENERGY DIVISION</w:t>
      </w:r>
      <w:r w:rsidRPr="00BC4FA9">
        <w:tab/>
      </w:r>
      <w:r w:rsidRPr="00BC4FA9">
        <w:rPr>
          <w:rFonts w:eastAsia="Palatino Linotype"/>
          <w:b/>
          <w:bCs/>
        </w:rPr>
        <w:t xml:space="preserve">       RESOLUTION G-</w:t>
      </w:r>
      <w:r w:rsidRPr="00BC4FA9" w:rsidR="007812D4">
        <w:rPr>
          <w:b/>
          <w:bCs/>
        </w:rPr>
        <w:t>3620</w:t>
      </w:r>
    </w:p>
    <w:p w:rsidRPr="00BC4FA9" w:rsidR="00FF3560" w:rsidP="00FF3560" w:rsidRDefault="00FF3560" w14:paraId="3A835A9D" w14:textId="08AE8C91">
      <w:pPr>
        <w:tabs>
          <w:tab w:val="right" w:pos="8820"/>
        </w:tabs>
        <w:ind w:left="5040"/>
        <w:rPr>
          <w:b/>
        </w:rPr>
      </w:pPr>
      <w:r w:rsidRPr="00BC4FA9">
        <w:rPr>
          <w:b/>
        </w:rPr>
        <w:tab/>
      </w:r>
      <w:r w:rsidRPr="00BC4FA9" w:rsidR="00395C4D">
        <w:rPr>
          <w:b/>
        </w:rPr>
        <w:t>August 13</w:t>
      </w:r>
      <w:r w:rsidRPr="00BC4FA9">
        <w:rPr>
          <w:b/>
        </w:rPr>
        <w:t xml:space="preserve">, </w:t>
      </w:r>
      <w:r w:rsidRPr="00BC4FA9" w:rsidR="00E74023">
        <w:rPr>
          <w:b/>
        </w:rPr>
        <w:t>2026</w:t>
      </w:r>
    </w:p>
    <w:p w:rsidRPr="00BC4FA9" w:rsidR="00CF17DE" w:rsidP="002114C5" w:rsidRDefault="00CF17DE" w14:paraId="061A7957" w14:textId="77777777">
      <w:pPr>
        <w:tabs>
          <w:tab w:val="right" w:pos="8910"/>
        </w:tabs>
        <w:rPr>
          <w:b/>
        </w:rPr>
      </w:pPr>
    </w:p>
    <w:p w:rsidRPr="00BC4FA9" w:rsidR="00CF17DE" w:rsidRDefault="00CF17DE" w14:paraId="40ADBA19" w14:textId="77777777">
      <w:pPr>
        <w:pStyle w:val="mainex"/>
        <w:rPr>
          <w:rFonts w:cs="Helvetica"/>
          <w:sz w:val="26"/>
          <w:szCs w:val="26"/>
          <w:u w:val="single"/>
        </w:rPr>
      </w:pPr>
      <w:bookmarkStart w:name="_Ref404993683" w:id="0"/>
      <w:r w:rsidRPr="00BC4FA9">
        <w:rPr>
          <w:rFonts w:cs="Helvetica"/>
          <w:sz w:val="26"/>
          <w:szCs w:val="26"/>
          <w:u w:val="single"/>
        </w:rPr>
        <w:t>RESOLUTION</w:t>
      </w:r>
    </w:p>
    <w:p w:rsidRPr="00BC4FA9" w:rsidR="00CF17DE" w:rsidRDefault="00CF17DE" w14:paraId="63C93376" w14:textId="77777777"/>
    <w:p w:rsidRPr="00BC4FA9" w:rsidR="00801D70" w:rsidRDefault="00B927B5" w14:paraId="70E6A3B4" w14:textId="383D8FA8">
      <w:pPr>
        <w:pStyle w:val="Res-Caption"/>
        <w:rPr>
          <w:szCs w:val="26"/>
        </w:rPr>
      </w:pPr>
      <w:r w:rsidRPr="00BC4FA9">
        <w:t>Resolution G-</w:t>
      </w:r>
      <w:r w:rsidRPr="00BC4FA9" w:rsidR="0081452F">
        <w:t>3620</w:t>
      </w:r>
      <w:r w:rsidRPr="00BC4FA9">
        <w:t>.</w:t>
      </w:r>
      <w:r w:rsidRPr="00BC4FA9" w:rsidR="00912C77">
        <w:t xml:space="preserve"> </w:t>
      </w:r>
      <w:r w:rsidRPr="00BC4FA9" w:rsidR="007144F8">
        <w:rPr>
          <w:szCs w:val="26"/>
        </w:rPr>
        <w:t>Southern California Gas Company</w:t>
      </w:r>
      <w:r w:rsidRPr="00BC4FA9" w:rsidR="00AC5A39">
        <w:rPr>
          <w:szCs w:val="26"/>
        </w:rPr>
        <w:t>’</w:t>
      </w:r>
      <w:r w:rsidRPr="00BC4FA9" w:rsidR="007144F8">
        <w:rPr>
          <w:szCs w:val="26"/>
        </w:rPr>
        <w:t>s 20</w:t>
      </w:r>
      <w:r w:rsidRPr="00BC4FA9" w:rsidR="005952B8">
        <w:rPr>
          <w:szCs w:val="26"/>
        </w:rPr>
        <w:t>25</w:t>
      </w:r>
      <w:r w:rsidRPr="00BC4FA9" w:rsidR="007144F8">
        <w:rPr>
          <w:szCs w:val="26"/>
        </w:rPr>
        <w:t xml:space="preserve"> Annual Compliance Report on System Operator</w:t>
      </w:r>
      <w:r w:rsidRPr="00BC4FA9" w:rsidR="00AC5A39">
        <w:rPr>
          <w:szCs w:val="26"/>
        </w:rPr>
        <w:t>’</w:t>
      </w:r>
      <w:r w:rsidRPr="00BC4FA9" w:rsidR="007144F8">
        <w:rPr>
          <w:szCs w:val="26"/>
        </w:rPr>
        <w:t>s Southern System Reliability Purchases and Sales (</w:t>
      </w:r>
      <w:r w:rsidRPr="00BC4FA9" w:rsidR="0003698C">
        <w:rPr>
          <w:szCs w:val="26"/>
        </w:rPr>
        <w:t xml:space="preserve">October </w:t>
      </w:r>
      <w:r w:rsidRPr="00BC4FA9" w:rsidR="007144F8">
        <w:rPr>
          <w:szCs w:val="26"/>
        </w:rPr>
        <w:t>1, 20</w:t>
      </w:r>
      <w:r w:rsidRPr="00BC4FA9" w:rsidR="005952B8">
        <w:rPr>
          <w:szCs w:val="26"/>
        </w:rPr>
        <w:t>24</w:t>
      </w:r>
      <w:r w:rsidRPr="00BC4FA9" w:rsidR="007144F8">
        <w:rPr>
          <w:szCs w:val="26"/>
        </w:rPr>
        <w:t>–September 30, 20</w:t>
      </w:r>
      <w:r w:rsidRPr="00BC4FA9" w:rsidR="005952B8">
        <w:rPr>
          <w:szCs w:val="26"/>
        </w:rPr>
        <w:t>25</w:t>
      </w:r>
      <w:r w:rsidRPr="00BC4FA9" w:rsidR="007144F8">
        <w:rPr>
          <w:szCs w:val="26"/>
        </w:rPr>
        <w:t>).</w:t>
      </w:r>
    </w:p>
    <w:p w:rsidRPr="00BC4FA9" w:rsidR="007144F8" w:rsidRDefault="007144F8" w14:paraId="229D4E86" w14:textId="77777777">
      <w:pPr>
        <w:pStyle w:val="Res-Caption"/>
      </w:pPr>
    </w:p>
    <w:p w:rsidRPr="00BC4FA9" w:rsidR="00DF35CC" w:rsidP="00DF35CC" w:rsidRDefault="00801D70" w14:paraId="5B232953" w14:textId="77777777">
      <w:pPr>
        <w:pStyle w:val="Res-Caption"/>
      </w:pPr>
      <w:r w:rsidRPr="00BC4FA9">
        <w:t>PROPOSED OUTCOME:</w:t>
      </w:r>
      <w:r w:rsidRPr="00BC4FA9" w:rsidR="00142FB8">
        <w:t xml:space="preserve"> </w:t>
      </w:r>
    </w:p>
    <w:p w:rsidRPr="00BC4FA9" w:rsidR="00FE1860" w:rsidP="00FE1860" w:rsidRDefault="00FE1860" w14:paraId="69FD9B1E" w14:textId="55F25A74">
      <w:pPr>
        <w:numPr>
          <w:ilvl w:val="0"/>
          <w:numId w:val="9"/>
        </w:numPr>
        <w:ind w:right="720"/>
      </w:pPr>
      <w:r w:rsidRPr="00BC4FA9">
        <w:t xml:space="preserve">Finds that </w:t>
      </w:r>
      <w:r w:rsidRPr="00BC4FA9" w:rsidR="003E5B30">
        <w:t xml:space="preserve">the activities by </w:t>
      </w:r>
      <w:r w:rsidRPr="00BC4FA9">
        <w:t>Southern California Gas Company</w:t>
      </w:r>
      <w:r w:rsidRPr="00BC4FA9" w:rsidR="003E5B30">
        <w:t xml:space="preserve"> (SoCalGas)</w:t>
      </w:r>
      <w:r w:rsidRPr="00BC4FA9">
        <w:t xml:space="preserve"> to maintain Southern System reliability from </w:t>
      </w:r>
      <w:r w:rsidRPr="00BC4FA9" w:rsidR="00BC4FA9">
        <w:br/>
      </w:r>
      <w:r w:rsidRPr="00BC4FA9">
        <w:t>October 1, 2024</w:t>
      </w:r>
      <w:r w:rsidRPr="00BC4FA9" w:rsidR="00086606">
        <w:t>,</w:t>
      </w:r>
      <w:r w:rsidRPr="00BC4FA9">
        <w:t xml:space="preserve"> through September 30, 2025</w:t>
      </w:r>
      <w:r w:rsidRPr="00BC4FA9" w:rsidR="00086606">
        <w:t>,</w:t>
      </w:r>
      <w:r w:rsidRPr="00BC4FA9">
        <w:t xml:space="preserve"> complied with its Tariff Rule 41 Sections 10-20.</w:t>
      </w:r>
    </w:p>
    <w:p w:rsidRPr="00BC4FA9" w:rsidR="00533420" w:rsidP="00533420" w:rsidRDefault="00533420" w14:paraId="70D24642" w14:textId="4DD4799A">
      <w:pPr>
        <w:pStyle w:val="Res-Caption"/>
        <w:numPr>
          <w:ilvl w:val="0"/>
          <w:numId w:val="33"/>
        </w:numPr>
        <w:ind w:left="1440"/>
      </w:pPr>
      <w:r w:rsidRPr="00BC4FA9">
        <w:t>Finds that SoCalGas’s request to revise Gas Rule No. 41, Section 19 is reasonable and shall be approved as proposed.</w:t>
      </w:r>
    </w:p>
    <w:p w:rsidRPr="00BC4FA9" w:rsidR="00FE1860" w:rsidP="005C4F41" w:rsidRDefault="002B2B27" w14:paraId="73673505" w14:textId="18030D1A">
      <w:pPr>
        <w:pStyle w:val="Res-Caption"/>
        <w:numPr>
          <w:ilvl w:val="0"/>
          <w:numId w:val="33"/>
        </w:numPr>
        <w:ind w:left="1440"/>
      </w:pPr>
      <w:r w:rsidRPr="00BC4FA9">
        <w:t xml:space="preserve">Finds that </w:t>
      </w:r>
      <w:r w:rsidRPr="00BC4FA9" w:rsidR="00B15C23">
        <w:t xml:space="preserve">it is reasonable to approve </w:t>
      </w:r>
      <w:r w:rsidRPr="00BC4FA9" w:rsidR="003E5B30">
        <w:t xml:space="preserve">SoCalGas’s </w:t>
      </w:r>
      <w:r w:rsidRPr="00BC4FA9" w:rsidR="00E72E4C">
        <w:t xml:space="preserve">request to </w:t>
      </w:r>
      <w:r w:rsidRPr="00BC4FA9" w:rsidR="00CD32F8">
        <w:t>revise</w:t>
      </w:r>
      <w:r w:rsidRPr="00BC4FA9" w:rsidR="00E72E4C">
        <w:t xml:space="preserve"> Gas Rule No. 41, Section 15 with conditions.</w:t>
      </w:r>
    </w:p>
    <w:p w:rsidRPr="00BC4FA9" w:rsidR="008F2B6D" w:rsidP="00E5547A" w:rsidRDefault="008F2B6D" w14:paraId="7EF80277" w14:textId="227E303A">
      <w:pPr>
        <w:pStyle w:val="Res-Caption"/>
        <w:ind w:left="1440"/>
      </w:pPr>
    </w:p>
    <w:p w:rsidRPr="00BC4FA9" w:rsidR="00F51F8B" w:rsidRDefault="00F51F8B" w14:paraId="5348E825" w14:textId="77777777">
      <w:pPr>
        <w:pStyle w:val="Res-Caption"/>
      </w:pPr>
      <w:r w:rsidRPr="00BC4FA9">
        <w:t>SAFETY CONSIDERATIONS:</w:t>
      </w:r>
    </w:p>
    <w:p w:rsidRPr="00BC4FA9" w:rsidR="6F740D13" w:rsidP="61C943AB" w:rsidRDefault="008F2B6D" w14:paraId="24B2B729" w14:textId="2FF4630F">
      <w:pPr>
        <w:pStyle w:val="Res-Caption"/>
        <w:numPr>
          <w:ilvl w:val="0"/>
          <w:numId w:val="9"/>
        </w:numPr>
        <w:rPr>
          <w:rFonts w:eastAsia="Palatino Linotype" w:cs="Palatino Linotype"/>
          <w:szCs w:val="26"/>
        </w:rPr>
      </w:pPr>
      <w:r w:rsidRPr="00BC4FA9">
        <w:t>T</w:t>
      </w:r>
      <w:r w:rsidRPr="00BC4FA9" w:rsidR="00EB6349">
        <w:t>his resolution evaluates activities to maintain system reliability. These activities have an indirect impact on safety since they are taken to avoid curtailments to customers, some of whom may provide essential services</w:t>
      </w:r>
      <w:r w:rsidRPr="00BC4FA9" w:rsidR="6F740D13">
        <w:t>.</w:t>
      </w:r>
    </w:p>
    <w:p w:rsidRPr="00BC4FA9" w:rsidR="00F572F1" w:rsidP="00F572F1" w:rsidRDefault="00F572F1" w14:paraId="033CAFE3" w14:textId="77777777">
      <w:pPr>
        <w:pStyle w:val="Res-Caption"/>
        <w:ind w:left="1440"/>
      </w:pPr>
    </w:p>
    <w:p w:rsidRPr="00BC4FA9" w:rsidR="00801D70" w:rsidRDefault="00801D70" w14:paraId="28BD615D" w14:textId="1B914E55">
      <w:pPr>
        <w:pStyle w:val="Res-Caption"/>
      </w:pPr>
      <w:r w:rsidRPr="00BC4FA9">
        <w:t>ESTIMATED COST:</w:t>
      </w:r>
      <w:r w:rsidRPr="00BC4FA9" w:rsidR="00912C77">
        <w:t xml:space="preserve"> </w:t>
      </w:r>
    </w:p>
    <w:p w:rsidRPr="00BC4FA9" w:rsidR="00CF17DE" w:rsidP="00124167" w:rsidRDefault="00124167" w14:paraId="414B5F5B" w14:textId="7A2FD395">
      <w:pPr>
        <w:pStyle w:val="Res-Caption"/>
        <w:numPr>
          <w:ilvl w:val="0"/>
          <w:numId w:val="9"/>
        </w:numPr>
      </w:pPr>
      <w:r w:rsidRPr="00BC4FA9">
        <w:t>Net cost of $</w:t>
      </w:r>
      <w:r w:rsidRPr="00BC4FA9" w:rsidR="00537C53">
        <w:t>5.5</w:t>
      </w:r>
      <w:r w:rsidRPr="00BC4FA9">
        <w:t xml:space="preserve"> million.</w:t>
      </w:r>
    </w:p>
    <w:p w:rsidRPr="00BC4FA9" w:rsidR="00124167" w:rsidP="00D51BDD" w:rsidRDefault="00124167" w14:paraId="3490ED37" w14:textId="77777777">
      <w:pPr>
        <w:pStyle w:val="Res-Caption"/>
        <w:ind w:left="1440"/>
        <w:jc w:val="center"/>
      </w:pPr>
    </w:p>
    <w:p w:rsidRPr="00BC4FA9" w:rsidR="00CF17DE" w:rsidRDefault="00CF17DE" w14:paraId="0395FC4E" w14:textId="5139005E">
      <w:pPr>
        <w:pStyle w:val="Res-Caption"/>
      </w:pPr>
      <w:r w:rsidRPr="00BC4FA9">
        <w:t xml:space="preserve">By Advice Letter </w:t>
      </w:r>
      <w:r w:rsidRPr="00BC4FA9" w:rsidR="005952B8">
        <w:t>6558</w:t>
      </w:r>
      <w:r w:rsidRPr="00BC4FA9" w:rsidR="44783017">
        <w:t>-</w:t>
      </w:r>
      <w:r w:rsidRPr="00BC4FA9" w:rsidR="00124167">
        <w:t>G</w:t>
      </w:r>
      <w:r w:rsidRPr="00BC4FA9" w:rsidR="44783017">
        <w:t xml:space="preserve">, </w:t>
      </w:r>
      <w:r w:rsidRPr="00BC4FA9" w:rsidR="24E083E4">
        <w:t>f</w:t>
      </w:r>
      <w:r w:rsidRPr="00BC4FA9" w:rsidR="44783017">
        <w:t xml:space="preserve">iled on </w:t>
      </w:r>
      <w:r w:rsidRPr="00BC4FA9" w:rsidR="002729F5">
        <w:t xml:space="preserve">November </w:t>
      </w:r>
      <w:r w:rsidRPr="00BC4FA9" w:rsidR="0081446D">
        <w:t>3</w:t>
      </w:r>
      <w:r w:rsidRPr="00BC4FA9" w:rsidR="002729F5">
        <w:t>, 20</w:t>
      </w:r>
      <w:r w:rsidRPr="00BC4FA9" w:rsidR="005952B8">
        <w:t>25</w:t>
      </w:r>
      <w:r w:rsidRPr="00BC4FA9" w:rsidR="00833EA3">
        <w:t xml:space="preserve">, and </w:t>
      </w:r>
      <w:r w:rsidRPr="00BC4FA9" w:rsidR="00CD32F8">
        <w:t xml:space="preserve">Supplemental Advice Letter </w:t>
      </w:r>
      <w:r w:rsidRPr="00BC4FA9" w:rsidR="000B163B">
        <w:t>6558</w:t>
      </w:r>
      <w:r w:rsidRPr="00BC4FA9" w:rsidR="00CD32F8">
        <w:t>-G-A filed on February 27, 2026.</w:t>
      </w:r>
    </w:p>
    <w:p w:rsidRPr="00BC4FA9" w:rsidR="00CF17DE" w:rsidRDefault="00CF17DE" w14:paraId="2BFCF270" w14:textId="77777777">
      <w:pPr>
        <w:jc w:val="center"/>
      </w:pPr>
      <w:r w:rsidRPr="00BC4FA9">
        <w:t>__________________________________________________________</w:t>
      </w:r>
    </w:p>
    <w:p w:rsidRPr="00BC4FA9" w:rsidR="00CF17DE" w:rsidRDefault="00CF17DE" w14:paraId="21ED6BB6" w14:textId="77777777">
      <w:pPr>
        <w:rPr>
          <w:b/>
        </w:rPr>
      </w:pPr>
    </w:p>
    <w:p w:rsidRPr="00BC4FA9" w:rsidR="00CF17DE" w:rsidRDefault="00CF17DE" w14:paraId="2C49E15C" w14:textId="77777777">
      <w:pPr>
        <w:pStyle w:val="Heading1"/>
        <w:rPr>
          <w:rFonts w:ascii="Palatino Linotype" w:hAnsi="Palatino Linotype"/>
        </w:rPr>
      </w:pPr>
      <w:r w:rsidRPr="00BC4FA9">
        <w:rPr>
          <w:rFonts w:ascii="Palatino Linotype" w:hAnsi="Palatino Linotype"/>
        </w:rPr>
        <w:t>Summary</w:t>
      </w:r>
      <w:bookmarkEnd w:id="0"/>
    </w:p>
    <w:p w:rsidRPr="00BC4FA9" w:rsidR="00006E23" w:rsidP="00643C2B" w:rsidRDefault="003C704D" w14:paraId="631EE66F" w14:textId="7F988685">
      <w:r w:rsidRPr="00BC4FA9">
        <w:t xml:space="preserve">Pursuant to </w:t>
      </w:r>
      <w:r w:rsidRPr="00BC4FA9" w:rsidR="1E9D4DCF">
        <w:t xml:space="preserve">Decision </w:t>
      </w:r>
      <w:r w:rsidRPr="00BC4FA9">
        <w:t>(D.) 09-</w:t>
      </w:r>
      <w:r w:rsidRPr="00BC4FA9" w:rsidR="00A85226">
        <w:t>11-006</w:t>
      </w:r>
      <w:r w:rsidRPr="00BC4FA9" w:rsidR="00F1292A">
        <w:t>,</w:t>
      </w:r>
      <w:r w:rsidRPr="00BC4FA9" w:rsidR="00B94986">
        <w:t xml:space="preserve"> </w:t>
      </w:r>
      <w:r w:rsidRPr="00BC4FA9" w:rsidR="00A85226">
        <w:t xml:space="preserve">SoCalGas </w:t>
      </w:r>
      <w:r w:rsidRPr="00BC4FA9" w:rsidR="00643C2B">
        <w:t xml:space="preserve">submitted Advice Letter (AL) </w:t>
      </w:r>
      <w:r w:rsidRPr="00BC4FA9" w:rsidR="0087435F">
        <w:t>6558</w:t>
      </w:r>
      <w:r w:rsidRPr="00BC4FA9" w:rsidR="00643C2B">
        <w:t>-G, containing its 20</w:t>
      </w:r>
      <w:r w:rsidRPr="00BC4FA9" w:rsidR="0087435F">
        <w:t>25</w:t>
      </w:r>
      <w:r w:rsidRPr="00BC4FA9" w:rsidR="00643C2B">
        <w:t xml:space="preserve"> Annual Compliance Report (ACR) on the Utility System </w:t>
      </w:r>
      <w:r w:rsidRPr="00BC4FA9" w:rsidR="001A261A">
        <w:br/>
      </w:r>
      <w:r w:rsidRPr="00BC4FA9" w:rsidR="00643C2B">
        <w:t>Operator</w:t>
      </w:r>
      <w:r w:rsidRPr="00BC4FA9" w:rsidR="00AC5A39">
        <w:t>’</w:t>
      </w:r>
      <w:r w:rsidRPr="00BC4FA9" w:rsidR="00643C2B">
        <w:t xml:space="preserve">s Southern System Reliability Purchases and Sales for the period </w:t>
      </w:r>
      <w:r w:rsidRPr="00BC4FA9" w:rsidR="001A261A">
        <w:br/>
      </w:r>
      <w:r w:rsidRPr="00BC4FA9" w:rsidR="00643C2B">
        <w:lastRenderedPageBreak/>
        <w:t>October 1, 20</w:t>
      </w:r>
      <w:r w:rsidRPr="00BC4FA9" w:rsidR="0087435F">
        <w:t>24</w:t>
      </w:r>
      <w:r w:rsidRPr="00BC4FA9" w:rsidR="00643C2B">
        <w:t>, through September 30, 202</w:t>
      </w:r>
      <w:r w:rsidRPr="00BC4FA9" w:rsidR="0087435F">
        <w:t>5</w:t>
      </w:r>
      <w:r w:rsidRPr="00BC4FA9" w:rsidR="00651629">
        <w:t>. In AL 6558-G, SoCalGas also requested</w:t>
      </w:r>
      <w:r w:rsidRPr="00BC4FA9" w:rsidR="00B7045B">
        <w:t xml:space="preserve"> </w:t>
      </w:r>
      <w:r w:rsidRPr="00BC4FA9" w:rsidR="00651629">
        <w:t xml:space="preserve">authorization to </w:t>
      </w:r>
      <w:r w:rsidRPr="00BC4FA9" w:rsidR="007A3FAD">
        <w:t>revise tariff</w:t>
      </w:r>
      <w:r w:rsidRPr="00BC4FA9" w:rsidR="00B7045B">
        <w:t xml:space="preserve"> </w:t>
      </w:r>
      <w:r w:rsidRPr="00BC4FA9" w:rsidR="009369DA">
        <w:t xml:space="preserve">guidelines </w:t>
      </w:r>
      <w:r w:rsidRPr="00BC4FA9" w:rsidR="003838C9">
        <w:t>in</w:t>
      </w:r>
      <w:r w:rsidRPr="00BC4FA9" w:rsidR="009369DA">
        <w:t xml:space="preserve"> </w:t>
      </w:r>
      <w:r w:rsidRPr="00BC4FA9" w:rsidR="00B7045B">
        <w:t>Section 15 and 19 of Gas Rule No. 41</w:t>
      </w:r>
      <w:r w:rsidRPr="00BC4FA9" w:rsidR="00643C2B">
        <w:t xml:space="preserve">. </w:t>
      </w:r>
    </w:p>
    <w:p w:rsidRPr="00BC4FA9" w:rsidR="00006E23" w:rsidP="00643C2B" w:rsidRDefault="00006E23" w14:paraId="134D12E8" w14:textId="77777777"/>
    <w:p w:rsidRPr="00BC4FA9" w:rsidR="00341523" w:rsidP="00643C2B" w:rsidRDefault="004D1509" w14:paraId="5450425D" w14:textId="6A1E5702">
      <w:r w:rsidRPr="00BC4FA9">
        <w:t>T</w:t>
      </w:r>
      <w:r w:rsidRPr="00BC4FA9" w:rsidR="00006E23">
        <w:t xml:space="preserve">he </w:t>
      </w:r>
      <w:r w:rsidRPr="00BC4FA9" w:rsidR="00643C2B">
        <w:t xml:space="preserve">SoCalGas </w:t>
      </w:r>
      <w:r w:rsidRPr="00BC4FA9" w:rsidR="0072512E">
        <w:t xml:space="preserve">System Operator (System Operator) </w:t>
      </w:r>
      <w:r w:rsidRPr="00BC4FA9" w:rsidR="00006E23">
        <w:t xml:space="preserve">executed </w:t>
      </w:r>
      <w:r w:rsidRPr="00BC4FA9" w:rsidR="00E95BDE">
        <w:t>49</w:t>
      </w:r>
      <w:r w:rsidRPr="00BC4FA9" w:rsidR="0072512E">
        <w:t xml:space="preserve"> </w:t>
      </w:r>
      <w:r w:rsidRPr="00BC4FA9" w:rsidR="00A37D4A">
        <w:t xml:space="preserve">gas </w:t>
      </w:r>
      <w:r w:rsidRPr="00BC4FA9" w:rsidR="00643C2B">
        <w:t>purchase</w:t>
      </w:r>
      <w:r w:rsidRPr="00BC4FA9" w:rsidR="00A37D4A">
        <w:t xml:space="preserve"> transaction</w:t>
      </w:r>
      <w:r w:rsidRPr="00BC4FA9" w:rsidR="00643C2B">
        <w:t xml:space="preserve">s and </w:t>
      </w:r>
      <w:r w:rsidRPr="00BC4FA9" w:rsidR="00611016">
        <w:t>54</w:t>
      </w:r>
      <w:r w:rsidRPr="00BC4FA9" w:rsidR="00974835">
        <w:t xml:space="preserve"> </w:t>
      </w:r>
      <w:r w:rsidRPr="00BC4FA9" w:rsidR="00A37D4A">
        <w:t xml:space="preserve">gas </w:t>
      </w:r>
      <w:r w:rsidRPr="00BC4FA9" w:rsidR="00643C2B">
        <w:t>sale</w:t>
      </w:r>
      <w:r w:rsidRPr="00BC4FA9" w:rsidR="00A37D4A">
        <w:t xml:space="preserve"> transactions</w:t>
      </w:r>
      <w:r w:rsidRPr="00BC4FA9" w:rsidR="00643C2B">
        <w:t xml:space="preserve"> to satisfy the Southern System minimum flow requirement</w:t>
      </w:r>
      <w:r w:rsidRPr="00BC4FA9" w:rsidR="00D97AB1">
        <w:t xml:space="preserve"> (Southern System Minimum)</w:t>
      </w:r>
      <w:r w:rsidRPr="00BC4FA9" w:rsidR="00A37D4A">
        <w:t xml:space="preserve">, </w:t>
      </w:r>
      <w:r w:rsidRPr="00BC4FA9" w:rsidR="008E68DF">
        <w:t xml:space="preserve">at </w:t>
      </w:r>
      <w:r w:rsidRPr="00BC4FA9" w:rsidR="00643C2B">
        <w:t>a net cost of $</w:t>
      </w:r>
      <w:r w:rsidRPr="00BC4FA9" w:rsidR="003C33B4">
        <w:t>5,524</w:t>
      </w:r>
      <w:r w:rsidRPr="00BC4FA9" w:rsidR="00EB3AA9">
        <w:t>,502</w:t>
      </w:r>
      <w:r w:rsidRPr="00BC4FA9" w:rsidR="00787545">
        <w:t>.</w:t>
      </w:r>
      <w:r w:rsidRPr="00BC4FA9" w:rsidR="003454C0">
        <w:t xml:space="preserve"> </w:t>
      </w:r>
      <w:r w:rsidRPr="00BC4FA9" w:rsidR="00554F18">
        <w:t xml:space="preserve">This net cost </w:t>
      </w:r>
      <w:r w:rsidRPr="00BC4FA9" w:rsidR="00B41E1A">
        <w:t>includes</w:t>
      </w:r>
      <w:r w:rsidRPr="00BC4FA9" w:rsidR="00A37D4A">
        <w:t xml:space="preserve"> </w:t>
      </w:r>
      <w:r w:rsidRPr="00BC4FA9" w:rsidR="00554F18">
        <w:t>$</w:t>
      </w:r>
      <w:r w:rsidRPr="00BC4FA9" w:rsidR="007C108E">
        <w:t>13,3</w:t>
      </w:r>
      <w:r w:rsidRPr="00BC4FA9" w:rsidR="001E4C14">
        <w:t>90,422</w:t>
      </w:r>
      <w:r w:rsidRPr="00BC4FA9" w:rsidR="00554F18">
        <w:t xml:space="preserve"> </w:t>
      </w:r>
      <w:r w:rsidRPr="00BC4FA9" w:rsidR="00AA3B1D">
        <w:t>for</w:t>
      </w:r>
      <w:r w:rsidRPr="00BC4FA9" w:rsidR="00554F18">
        <w:t xml:space="preserve"> purchases</w:t>
      </w:r>
      <w:r w:rsidRPr="00BC4FA9" w:rsidR="00400DF1">
        <w:t xml:space="preserve"> and $</w:t>
      </w:r>
      <w:r w:rsidRPr="00BC4FA9" w:rsidR="005722D1">
        <w:t>1,540,175</w:t>
      </w:r>
      <w:r w:rsidRPr="00BC4FA9" w:rsidR="00400DF1">
        <w:t xml:space="preserve"> </w:t>
      </w:r>
      <w:r w:rsidRPr="00BC4FA9" w:rsidR="00AA3B1D">
        <w:t xml:space="preserve">for </w:t>
      </w:r>
      <w:r w:rsidRPr="00BC4FA9" w:rsidR="00400DF1">
        <w:t>transportation costs</w:t>
      </w:r>
      <w:r w:rsidRPr="00BC4FA9" w:rsidR="00507E67">
        <w:t>,</w:t>
      </w:r>
      <w:r w:rsidRPr="00BC4FA9" w:rsidR="00400DF1">
        <w:t xml:space="preserve"> </w:t>
      </w:r>
      <w:r w:rsidRPr="00BC4FA9" w:rsidR="007978FB">
        <w:t xml:space="preserve">less </w:t>
      </w:r>
      <w:r w:rsidRPr="00BC4FA9" w:rsidR="00400DF1">
        <w:t>$</w:t>
      </w:r>
      <w:r w:rsidRPr="00BC4FA9" w:rsidR="00C652E4">
        <w:t>9,406,095</w:t>
      </w:r>
      <w:r w:rsidRPr="00BC4FA9" w:rsidR="00643C2B">
        <w:t xml:space="preserve"> </w:t>
      </w:r>
      <w:r w:rsidRPr="00BC4FA9" w:rsidR="00400DF1">
        <w:t>in reve</w:t>
      </w:r>
      <w:r w:rsidRPr="00BC4FA9" w:rsidR="00433921">
        <w:t xml:space="preserve">nue from sales. </w:t>
      </w:r>
    </w:p>
    <w:p w:rsidRPr="00BC4FA9" w:rsidR="00A91DA2" w:rsidP="00643C2B" w:rsidRDefault="00A91DA2" w14:paraId="04FFD51B" w14:textId="77777777"/>
    <w:p w:rsidRPr="00BC4FA9" w:rsidR="002C61F5" w:rsidP="006160FC" w:rsidRDefault="000D43CF" w14:paraId="2BD45E94" w14:textId="120D856E">
      <w:r w:rsidRPr="00BC4FA9">
        <w:t xml:space="preserve">SoCalGas seeks to revise Section 15 </w:t>
      </w:r>
      <w:r w:rsidRPr="00BC4FA9" w:rsidR="000807A3">
        <w:t xml:space="preserve">requirements </w:t>
      </w:r>
      <w:r w:rsidRPr="00BC4FA9" w:rsidR="00DF4415">
        <w:t xml:space="preserve">to provide that when </w:t>
      </w:r>
      <w:r w:rsidRPr="00BC4FA9" w:rsidR="007C73AF">
        <w:t>at least</w:t>
      </w:r>
      <w:r w:rsidRPr="00BC4FA9" w:rsidR="00133704">
        <w:t xml:space="preserve"> three </w:t>
      </w:r>
      <w:r w:rsidRPr="00BC4FA9" w:rsidR="00DF4415">
        <w:t xml:space="preserve">price </w:t>
      </w:r>
      <w:r w:rsidRPr="00BC4FA9" w:rsidR="00133704">
        <w:t xml:space="preserve">offers </w:t>
      </w:r>
      <w:r w:rsidRPr="00BC4FA9" w:rsidR="003C5808">
        <w:t xml:space="preserve">from three different suppliers </w:t>
      </w:r>
      <w:r w:rsidRPr="00BC4FA9" w:rsidR="00133704">
        <w:t xml:space="preserve">are not available </w:t>
      </w:r>
      <w:r w:rsidRPr="00BC4FA9" w:rsidR="003C5808">
        <w:t>during a Southern System reliability procurement event</w:t>
      </w:r>
      <w:r w:rsidRPr="00BC4FA9" w:rsidR="00133704">
        <w:t xml:space="preserve">, communication </w:t>
      </w:r>
      <w:r w:rsidRPr="00BC4FA9" w:rsidR="00AD7AE3">
        <w:t xml:space="preserve">by the Operational Hub </w:t>
      </w:r>
      <w:r w:rsidRPr="00BC4FA9" w:rsidR="00133704">
        <w:t xml:space="preserve">with </w:t>
      </w:r>
      <w:r w:rsidRPr="00BC4FA9" w:rsidR="006032A6">
        <w:t xml:space="preserve">at least </w:t>
      </w:r>
      <w:r w:rsidRPr="00BC4FA9" w:rsidR="00133704">
        <w:t>five Southern System gas suppliers shall be</w:t>
      </w:r>
      <w:r w:rsidRPr="00BC4FA9" w:rsidR="00115F3E">
        <w:t xml:space="preserve"> </w:t>
      </w:r>
      <w:r w:rsidRPr="00BC4FA9" w:rsidR="00133704">
        <w:t>deemed reasonable</w:t>
      </w:r>
      <w:r w:rsidRPr="00BC4FA9" w:rsidR="007C73AF">
        <w:t xml:space="preserve">. </w:t>
      </w:r>
      <w:r w:rsidRPr="00BC4FA9" w:rsidR="006032A6">
        <w:t>SoCalGas states that this is necessary</w:t>
      </w:r>
      <w:r w:rsidRPr="00BC4FA9" w:rsidR="00115F3E">
        <w:t xml:space="preserve"> </w:t>
      </w:r>
      <w:r w:rsidRPr="00BC4FA9">
        <w:t xml:space="preserve">due to increasing difficulty obtaining three competitive price offers in a thinning market, particularly during later cycles. </w:t>
      </w:r>
    </w:p>
    <w:p w:rsidRPr="00BC4FA9" w:rsidR="002C61F5" w:rsidP="006160FC" w:rsidRDefault="002C61F5" w14:paraId="09733823" w14:textId="77777777"/>
    <w:p w:rsidRPr="00BC4FA9" w:rsidR="00341523" w:rsidP="006B0DFA" w:rsidRDefault="00865251" w14:paraId="22172468" w14:textId="5A259297">
      <w:r w:rsidRPr="00BC4FA9">
        <w:t>SoCalGas</w:t>
      </w:r>
      <w:r w:rsidRPr="00BC4FA9" w:rsidR="000D43CF">
        <w:t xml:space="preserve"> </w:t>
      </w:r>
      <w:r w:rsidRPr="00BC4FA9" w:rsidR="000547DE">
        <w:t xml:space="preserve">also </w:t>
      </w:r>
      <w:r w:rsidRPr="00BC4FA9" w:rsidR="00034B06">
        <w:t xml:space="preserve">seeks to revise </w:t>
      </w:r>
      <w:r w:rsidRPr="00BC4FA9" w:rsidR="000D43CF">
        <w:t>Section 19</w:t>
      </w:r>
      <w:r w:rsidRPr="00BC4FA9" w:rsidR="009A2C95">
        <w:t>, arguing</w:t>
      </w:r>
      <w:r w:rsidRPr="00BC4FA9" w:rsidR="00590339">
        <w:t xml:space="preserve"> that </w:t>
      </w:r>
      <w:r w:rsidRPr="00BC4FA9" w:rsidR="00955AEE">
        <w:t xml:space="preserve">the existing </w:t>
      </w:r>
      <w:r w:rsidRPr="00BC4FA9" w:rsidR="003F6692">
        <w:t>safe harbor for baseload purchases</w:t>
      </w:r>
      <w:r w:rsidRPr="00BC4FA9" w:rsidR="004028BA">
        <w:t xml:space="preserve">, </w:t>
      </w:r>
      <w:r w:rsidRPr="00BC4FA9" w:rsidR="006B0DFA">
        <w:t xml:space="preserve">which is </w:t>
      </w:r>
      <w:r w:rsidRPr="00BC4FA9" w:rsidR="00323C73">
        <w:t xml:space="preserve">based on the </w:t>
      </w:r>
      <w:r w:rsidRPr="00BC4FA9" w:rsidR="00C71F44">
        <w:t xml:space="preserve">Natural Gas Intelligence (NGI) </w:t>
      </w:r>
      <w:r w:rsidRPr="00BC4FA9" w:rsidR="00323C73">
        <w:t>SoCal Border Av</w:t>
      </w:r>
      <w:r w:rsidRPr="00BC4FA9" w:rsidR="006B0DFA">
        <w:t>erage</w:t>
      </w:r>
      <w:r w:rsidRPr="00BC4FA9" w:rsidR="00323C73">
        <w:t xml:space="preserve"> </w:t>
      </w:r>
      <w:r w:rsidRPr="00BC4FA9" w:rsidR="006B0DFA">
        <w:t xml:space="preserve">price </w:t>
      </w:r>
      <w:r w:rsidRPr="00BC4FA9" w:rsidR="00A953C4">
        <w:t xml:space="preserve">plus </w:t>
      </w:r>
      <w:r w:rsidRPr="00BC4FA9" w:rsidR="003F6692">
        <w:t>8.2</w:t>
      </w:r>
      <w:r w:rsidRPr="00BC4FA9" w:rsidR="00A953C4">
        <w:t xml:space="preserve"> cents per </w:t>
      </w:r>
      <w:r w:rsidRPr="00BC4FA9" w:rsidR="009A2C95">
        <w:t>d</w:t>
      </w:r>
      <w:r w:rsidRPr="00BC4FA9" w:rsidR="00A953C4">
        <w:t>e</w:t>
      </w:r>
      <w:r w:rsidRPr="00BC4FA9" w:rsidR="009A2C95">
        <w:t>k</w:t>
      </w:r>
      <w:r w:rsidRPr="00BC4FA9" w:rsidR="00A953C4">
        <w:t>atherm</w:t>
      </w:r>
      <w:r w:rsidRPr="00BC4FA9" w:rsidR="004028BA">
        <w:t>,</w:t>
      </w:r>
      <w:r w:rsidRPr="00BC4FA9" w:rsidR="000D43CF">
        <w:t xml:space="preserve"> no longer reflects current market conditions</w:t>
      </w:r>
      <w:r w:rsidRPr="00BC4FA9" w:rsidR="006B0DFA">
        <w:t>.</w:t>
      </w:r>
      <w:r w:rsidRPr="00BC4FA9" w:rsidR="000D43CF">
        <w:t xml:space="preserve"> </w:t>
      </w:r>
      <w:r w:rsidRPr="00BC4FA9" w:rsidR="00CA0571">
        <w:t xml:space="preserve">SoCalGas proposes </w:t>
      </w:r>
      <w:r w:rsidRPr="00BC4FA9" w:rsidR="00850C16">
        <w:t xml:space="preserve">that the </w:t>
      </w:r>
      <w:r w:rsidRPr="00BC4FA9" w:rsidR="00CD1F41">
        <w:t xml:space="preserve">new safe harbor requirement </w:t>
      </w:r>
      <w:r w:rsidRPr="00BC4FA9" w:rsidR="00850C16">
        <w:t xml:space="preserve">be </w:t>
      </w:r>
      <w:r w:rsidRPr="00BC4FA9" w:rsidR="00BC0DF2">
        <w:t>110 percent of the</w:t>
      </w:r>
      <w:r w:rsidRPr="00BC4FA9" w:rsidR="00E84CBF">
        <w:t xml:space="preserve"> </w:t>
      </w:r>
      <w:r w:rsidRPr="00BC4FA9" w:rsidR="001D614A">
        <w:t xml:space="preserve">NGI </w:t>
      </w:r>
      <w:proofErr w:type="spellStart"/>
      <w:r w:rsidRPr="00BC4FA9" w:rsidR="00E84CBF">
        <w:t>bidweek</w:t>
      </w:r>
      <w:proofErr w:type="spellEnd"/>
      <w:r w:rsidRPr="00BC4FA9" w:rsidR="00BC0DF2">
        <w:t xml:space="preserve"> </w:t>
      </w:r>
      <w:r w:rsidRPr="00BC4FA9" w:rsidR="00705B26">
        <w:t>border price.</w:t>
      </w:r>
      <w:r w:rsidRPr="00BC4FA9" w:rsidR="000E0CF5">
        <w:rPr>
          <w:rStyle w:val="FootnoteReference"/>
        </w:rPr>
        <w:footnoteReference w:id="2"/>
      </w:r>
      <w:r w:rsidRPr="00BC4FA9" w:rsidR="00705B26">
        <w:t xml:space="preserve"> </w:t>
      </w:r>
    </w:p>
    <w:p w:rsidRPr="00BC4FA9" w:rsidR="00850C16" w:rsidP="00643C2B" w:rsidRDefault="00850C16" w14:paraId="77928E58" w14:textId="77777777"/>
    <w:p w:rsidRPr="00BC4FA9" w:rsidR="00CF17DE" w:rsidP="00643C2B" w:rsidRDefault="00643C2B" w14:paraId="295761C3" w14:textId="6DB944D5">
      <w:r w:rsidRPr="00BC4FA9">
        <w:t xml:space="preserve">This </w:t>
      </w:r>
      <w:r w:rsidRPr="00BC4FA9" w:rsidR="00433921">
        <w:t>r</w:t>
      </w:r>
      <w:r w:rsidRPr="00BC4FA9">
        <w:t xml:space="preserve">esolution finds </w:t>
      </w:r>
      <w:r w:rsidRPr="00BC4FA9" w:rsidR="00172EB0">
        <w:t xml:space="preserve">all </w:t>
      </w:r>
      <w:r w:rsidRPr="00BC4FA9" w:rsidR="001A719B">
        <w:t xml:space="preserve">of </w:t>
      </w:r>
      <w:r w:rsidRPr="00BC4FA9" w:rsidR="00172EB0">
        <w:t>the trans</w:t>
      </w:r>
      <w:r w:rsidRPr="00BC4FA9">
        <w:t xml:space="preserve">actions </w:t>
      </w:r>
      <w:r w:rsidRPr="00BC4FA9" w:rsidR="00172EB0">
        <w:t xml:space="preserve">executed </w:t>
      </w:r>
      <w:r w:rsidRPr="00BC4FA9">
        <w:t xml:space="preserve">by SoCalGas to </w:t>
      </w:r>
      <w:r w:rsidRPr="00BC4FA9" w:rsidR="00D756CC">
        <w:t xml:space="preserve">maintain </w:t>
      </w:r>
      <w:r w:rsidRPr="00BC4FA9" w:rsidR="00172EB0">
        <w:t>Southern System Minimum</w:t>
      </w:r>
      <w:r w:rsidRPr="00BC4FA9" w:rsidR="00D756CC">
        <w:t xml:space="preserve"> </w:t>
      </w:r>
      <w:r w:rsidRPr="00BC4FA9" w:rsidR="000B1E4A">
        <w:t>to be</w:t>
      </w:r>
      <w:r w:rsidRPr="00BC4FA9" w:rsidR="00D756CC">
        <w:t xml:space="preserve"> </w:t>
      </w:r>
      <w:r w:rsidRPr="00BC4FA9">
        <w:t xml:space="preserve">reasonable and </w:t>
      </w:r>
      <w:r w:rsidRPr="00BC4FA9" w:rsidR="003E58AA">
        <w:t>approves all transactions</w:t>
      </w:r>
      <w:r w:rsidRPr="00BC4FA9" w:rsidR="00D756CC">
        <w:t xml:space="preserve"> based on </w:t>
      </w:r>
      <w:r w:rsidRPr="00BC4FA9" w:rsidR="001F6E6A">
        <w:t>their verifiability, supported by the cross-referenced attachments provided</w:t>
      </w:r>
      <w:r w:rsidRPr="00BC4FA9" w:rsidR="00573F8E">
        <w:t xml:space="preserve">. </w:t>
      </w:r>
      <w:r w:rsidRPr="00BC4FA9" w:rsidR="0040253A">
        <w:t>T</w:t>
      </w:r>
      <w:r w:rsidRPr="00BC4FA9" w:rsidR="00573F8E">
        <w:t xml:space="preserve">his resolution </w:t>
      </w:r>
      <w:r w:rsidRPr="00BC4FA9" w:rsidR="0040253A">
        <w:t xml:space="preserve">also </w:t>
      </w:r>
      <w:r w:rsidRPr="00BC4FA9" w:rsidR="001E36B6">
        <w:t>authorizes</w:t>
      </w:r>
      <w:r w:rsidRPr="00BC4FA9" w:rsidR="00573F8E">
        <w:t xml:space="preserve"> </w:t>
      </w:r>
      <w:r w:rsidRPr="00BC4FA9" w:rsidR="00B7045B">
        <w:t>SoCalGas’s request</w:t>
      </w:r>
      <w:r w:rsidRPr="00BC4FA9" w:rsidR="00907E48">
        <w:t>ed</w:t>
      </w:r>
      <w:r w:rsidRPr="00BC4FA9" w:rsidR="00B7045B">
        <w:t xml:space="preserve"> </w:t>
      </w:r>
      <w:r w:rsidRPr="00BC4FA9" w:rsidR="001E36B6">
        <w:t xml:space="preserve">revisions to Section 19 of Gas Rule No. 41 </w:t>
      </w:r>
      <w:r w:rsidRPr="00BC4FA9" w:rsidR="001A719B">
        <w:t xml:space="preserve">as </w:t>
      </w:r>
      <w:r w:rsidRPr="00BC4FA9" w:rsidR="00F5713B">
        <w:t>proposed</w:t>
      </w:r>
      <w:r w:rsidRPr="00BC4FA9" w:rsidR="0040253A">
        <w:t xml:space="preserve">. Moreover, this resolution </w:t>
      </w:r>
      <w:r w:rsidRPr="00BC4FA9" w:rsidR="001E36B6">
        <w:t xml:space="preserve">authorizes </w:t>
      </w:r>
      <w:r w:rsidRPr="00BC4FA9" w:rsidR="00F5713B">
        <w:t xml:space="preserve">SoCalGas’s requested </w:t>
      </w:r>
      <w:r w:rsidRPr="00BC4FA9" w:rsidR="001A719B">
        <w:t xml:space="preserve">revisions </w:t>
      </w:r>
      <w:r w:rsidRPr="00BC4FA9" w:rsidR="00EF3B88">
        <w:t xml:space="preserve">to </w:t>
      </w:r>
      <w:r w:rsidRPr="00BC4FA9" w:rsidR="001A719B">
        <w:t xml:space="preserve">Section </w:t>
      </w:r>
      <w:r w:rsidRPr="00BC4FA9" w:rsidR="00B7045B">
        <w:t>1</w:t>
      </w:r>
      <w:r w:rsidRPr="00BC4FA9" w:rsidR="00EF3B88">
        <w:t>5</w:t>
      </w:r>
      <w:r w:rsidRPr="00BC4FA9" w:rsidR="00B7045B">
        <w:t xml:space="preserve"> </w:t>
      </w:r>
      <w:r w:rsidRPr="00BC4FA9" w:rsidR="00830E06">
        <w:t>of Gas Rule No. 41</w:t>
      </w:r>
      <w:r w:rsidRPr="00BC4FA9" w:rsidR="00907E48">
        <w:t>, subject</w:t>
      </w:r>
      <w:r w:rsidRPr="00BC4FA9" w:rsidR="00830E06">
        <w:t xml:space="preserve"> </w:t>
      </w:r>
      <w:r w:rsidRPr="00BC4FA9" w:rsidR="00907E48">
        <w:t xml:space="preserve">to </w:t>
      </w:r>
      <w:r w:rsidRPr="00BC4FA9" w:rsidR="004835F4">
        <w:t>conditions</w:t>
      </w:r>
      <w:r w:rsidRPr="00BC4FA9" w:rsidR="00B7045B">
        <w:t>.</w:t>
      </w:r>
    </w:p>
    <w:p w:rsidRPr="00BC4FA9" w:rsidR="00CF17DE" w:rsidRDefault="00CF17DE" w14:paraId="184E396E" w14:textId="77777777"/>
    <w:p w:rsidRPr="00BC4FA9" w:rsidR="00CF17DE" w:rsidRDefault="00CF17DE" w14:paraId="0BFDDE4C" w14:textId="77777777">
      <w:pPr>
        <w:pStyle w:val="Heading1"/>
        <w:rPr>
          <w:rFonts w:ascii="Palatino Linotype" w:hAnsi="Palatino Linotype"/>
        </w:rPr>
      </w:pPr>
      <w:r w:rsidRPr="00BC4FA9">
        <w:rPr>
          <w:rFonts w:ascii="Palatino Linotype" w:hAnsi="Palatino Linotype"/>
        </w:rPr>
        <w:t>Background</w:t>
      </w:r>
    </w:p>
    <w:p w:rsidRPr="00BC4FA9" w:rsidR="00A50D7F" w:rsidP="7428CE45" w:rsidRDefault="00A50D7F" w14:paraId="63A31360" w14:textId="51D50678">
      <w:pPr>
        <w:rPr>
          <w:rFonts w:eastAsia="Palatino" w:cs="Palatino"/>
        </w:rPr>
      </w:pPr>
      <w:r w:rsidRPr="00BC4FA9">
        <w:rPr>
          <w:rFonts w:eastAsia="Palatino" w:cs="Palatino"/>
        </w:rPr>
        <w:t>This resolution dispose</w:t>
      </w:r>
      <w:r w:rsidRPr="00BC4FA9" w:rsidR="0031500E">
        <w:rPr>
          <w:rFonts w:eastAsia="Palatino" w:cs="Palatino"/>
        </w:rPr>
        <w:t>s</w:t>
      </w:r>
      <w:r w:rsidRPr="00BC4FA9">
        <w:rPr>
          <w:rFonts w:eastAsia="Palatino" w:cs="Palatino"/>
        </w:rPr>
        <w:t xml:space="preserve"> of Advice Letter (AL) </w:t>
      </w:r>
      <w:r w:rsidRPr="00BC4FA9" w:rsidR="00AF438C">
        <w:rPr>
          <w:rFonts w:eastAsia="Palatino" w:cs="Palatino"/>
        </w:rPr>
        <w:t>6558</w:t>
      </w:r>
      <w:r w:rsidRPr="00BC4FA9">
        <w:rPr>
          <w:rFonts w:eastAsia="Palatino" w:cs="Palatino"/>
        </w:rPr>
        <w:t xml:space="preserve">-G. SoCalGas is required to file this advice letter annually pursuant to D.09-11-006, Resolution G-3542, and SoCalGas Rule No. 41, Section 26. </w:t>
      </w:r>
      <w:r w:rsidRPr="00BC4FA9" w:rsidR="005F1152">
        <w:rPr>
          <w:rFonts w:eastAsia="Palatino" w:cs="Palatino"/>
        </w:rPr>
        <w:t>Under these authorities</w:t>
      </w:r>
      <w:r w:rsidRPr="00BC4FA9">
        <w:rPr>
          <w:rFonts w:eastAsia="Palatino" w:cs="Palatino"/>
        </w:rPr>
        <w:t xml:space="preserve">, SoCalGas </w:t>
      </w:r>
      <w:r w:rsidRPr="00BC4FA9" w:rsidR="00971FCA">
        <w:rPr>
          <w:rFonts w:eastAsia="Palatino" w:cs="Palatino"/>
        </w:rPr>
        <w:t>submit</w:t>
      </w:r>
      <w:r w:rsidRPr="00BC4FA9" w:rsidR="03073B7F">
        <w:rPr>
          <w:rFonts w:eastAsia="Palatino" w:cs="Palatino"/>
        </w:rPr>
        <w:t>s</w:t>
      </w:r>
      <w:r w:rsidRPr="00BC4FA9">
        <w:rPr>
          <w:rFonts w:eastAsia="Palatino" w:cs="Palatino"/>
        </w:rPr>
        <w:t xml:space="preserve"> by November 1 of each year </w:t>
      </w:r>
      <w:r w:rsidRPr="00BC4FA9" w:rsidR="00971FCA">
        <w:rPr>
          <w:rFonts w:eastAsia="Palatino" w:cs="Palatino"/>
        </w:rPr>
        <w:t xml:space="preserve">a report </w:t>
      </w:r>
      <w:r w:rsidRPr="00BC4FA9">
        <w:rPr>
          <w:rFonts w:eastAsia="Palatino" w:cs="Palatino"/>
        </w:rPr>
        <w:t xml:space="preserve">demonstrating that the procurement activities </w:t>
      </w:r>
      <w:r w:rsidRPr="00BC4FA9" w:rsidR="00971FCA">
        <w:rPr>
          <w:rFonts w:eastAsia="Palatino" w:cs="Palatino"/>
        </w:rPr>
        <w:t xml:space="preserve">undertaken by </w:t>
      </w:r>
      <w:r w:rsidRPr="00BC4FA9">
        <w:rPr>
          <w:rFonts w:eastAsia="Palatino" w:cs="Palatino"/>
        </w:rPr>
        <w:t xml:space="preserve">its System </w:t>
      </w:r>
      <w:r w:rsidRPr="00BC4FA9">
        <w:rPr>
          <w:rFonts w:eastAsia="Palatino" w:cs="Palatino"/>
        </w:rPr>
        <w:lastRenderedPageBreak/>
        <w:t>Operator</w:t>
      </w:r>
      <w:r w:rsidRPr="00BC4FA9" w:rsidR="008608CB">
        <w:rPr>
          <w:rStyle w:val="FootnoteReference"/>
          <w:rFonts w:eastAsia="Palatino" w:cs="Palatino"/>
        </w:rPr>
        <w:footnoteReference w:id="3"/>
      </w:r>
      <w:r w:rsidRPr="00BC4FA9">
        <w:rPr>
          <w:rFonts w:eastAsia="Palatino" w:cs="Palatino"/>
        </w:rPr>
        <w:t xml:space="preserve"> during the preceding 12 months ending September 30 </w:t>
      </w:r>
      <w:r w:rsidRPr="00BC4FA9" w:rsidR="005F3967">
        <w:rPr>
          <w:rFonts w:eastAsia="Palatino" w:cs="Palatino"/>
        </w:rPr>
        <w:t xml:space="preserve">complied </w:t>
      </w:r>
      <w:r w:rsidRPr="00BC4FA9">
        <w:rPr>
          <w:rFonts w:eastAsia="Palatino" w:cs="Palatino"/>
        </w:rPr>
        <w:t>with the standards, criteria, and procedures set forth in Rule No. 41.</w:t>
      </w:r>
    </w:p>
    <w:p w:rsidRPr="00BC4FA9" w:rsidR="00A50D7F" w:rsidP="00A50D7F" w:rsidRDefault="00A50D7F" w14:paraId="022B3DB8" w14:textId="77777777">
      <w:pPr>
        <w:rPr>
          <w:rFonts w:eastAsia="Palatino" w:cs="Palatino"/>
          <w:szCs w:val="26"/>
        </w:rPr>
      </w:pPr>
    </w:p>
    <w:p w:rsidRPr="00BC4FA9" w:rsidR="00A50D7F" w:rsidP="00A50D7F" w:rsidRDefault="00A50D7F" w14:paraId="4FEB6847" w14:textId="3BD27680">
      <w:pPr>
        <w:rPr>
          <w:rFonts w:eastAsia="Palatino" w:cs="Palatino"/>
          <w:szCs w:val="26"/>
        </w:rPr>
      </w:pPr>
      <w:r w:rsidRPr="00BC4FA9">
        <w:rPr>
          <w:rFonts w:eastAsia="Palatino" w:cs="Palatino"/>
          <w:szCs w:val="26"/>
        </w:rPr>
        <w:t xml:space="preserve">The purpose of these activities is to allow </w:t>
      </w:r>
      <w:r w:rsidRPr="00BC4FA9" w:rsidR="002E5CA8">
        <w:rPr>
          <w:rFonts w:eastAsia="Palatino" w:cs="Palatino"/>
          <w:szCs w:val="26"/>
        </w:rPr>
        <w:t xml:space="preserve">the </w:t>
      </w:r>
      <w:r w:rsidRPr="00BC4FA9">
        <w:rPr>
          <w:rFonts w:eastAsia="Palatino" w:cs="Palatino"/>
          <w:szCs w:val="26"/>
        </w:rPr>
        <w:t xml:space="preserve">System Operator to maintain the reliability of gas service on </w:t>
      </w:r>
      <w:r w:rsidRPr="00BC4FA9" w:rsidR="004B75EC">
        <w:rPr>
          <w:rFonts w:eastAsia="Palatino" w:cs="Palatino"/>
          <w:szCs w:val="26"/>
        </w:rPr>
        <w:t>t</w:t>
      </w:r>
      <w:r w:rsidRPr="00BC4FA9">
        <w:rPr>
          <w:rFonts w:eastAsia="Palatino" w:cs="Palatino"/>
          <w:szCs w:val="26"/>
        </w:rPr>
        <w:t>he southern part of the SoCalGas gas transmission pipeline system</w:t>
      </w:r>
      <w:r w:rsidRPr="00BC4FA9" w:rsidR="009E3649">
        <w:rPr>
          <w:rFonts w:eastAsia="Palatino" w:cs="Palatino"/>
          <w:szCs w:val="26"/>
        </w:rPr>
        <w:t xml:space="preserve">, which is </w:t>
      </w:r>
      <w:r w:rsidRPr="00BC4FA9" w:rsidR="004B75EC">
        <w:rPr>
          <w:rFonts w:eastAsia="Palatino" w:cs="Palatino"/>
          <w:szCs w:val="26"/>
        </w:rPr>
        <w:t xml:space="preserve">referred to </w:t>
      </w:r>
      <w:r w:rsidRPr="00BC4FA9" w:rsidR="004B0593">
        <w:rPr>
          <w:rFonts w:eastAsia="Palatino" w:cs="Palatino"/>
          <w:szCs w:val="26"/>
        </w:rPr>
        <w:t xml:space="preserve">as </w:t>
      </w:r>
      <w:r w:rsidRPr="00BC4FA9">
        <w:rPr>
          <w:rFonts w:eastAsia="Palatino" w:cs="Palatino"/>
          <w:szCs w:val="26"/>
        </w:rPr>
        <w:t>the Southern System</w:t>
      </w:r>
      <w:r w:rsidRPr="00BC4FA9" w:rsidR="004B0593">
        <w:rPr>
          <w:rFonts w:eastAsia="Palatino" w:cs="Palatino"/>
          <w:szCs w:val="26"/>
        </w:rPr>
        <w:t xml:space="preserve"> or Southern Zone</w:t>
      </w:r>
      <w:r w:rsidRPr="00BC4FA9" w:rsidR="004B75EC">
        <w:rPr>
          <w:rFonts w:eastAsia="Palatino" w:cs="Palatino"/>
          <w:szCs w:val="26"/>
        </w:rPr>
        <w:t>.</w:t>
      </w:r>
      <w:r w:rsidRPr="00BC4FA9">
        <w:rPr>
          <w:rFonts w:eastAsia="Palatino" w:cs="Palatino"/>
          <w:szCs w:val="26"/>
        </w:rPr>
        <w:t xml:space="preserve"> </w:t>
      </w:r>
      <w:r w:rsidRPr="00BC4FA9" w:rsidR="004B75EC">
        <w:rPr>
          <w:rFonts w:eastAsia="Palatino" w:cs="Palatino"/>
          <w:szCs w:val="26"/>
        </w:rPr>
        <w:t xml:space="preserve">The Southern System </w:t>
      </w:r>
      <w:r w:rsidRPr="00BC4FA9">
        <w:rPr>
          <w:rFonts w:eastAsia="Palatino" w:cs="Palatino"/>
          <w:szCs w:val="26"/>
        </w:rPr>
        <w:t>requires a minimum amount of gas flow to operate reliably. Prior to 2007, the utility</w:t>
      </w:r>
      <w:r w:rsidRPr="00BC4FA9" w:rsidR="00AC5A39">
        <w:rPr>
          <w:rFonts w:eastAsia="Palatino" w:cs="Palatino"/>
          <w:szCs w:val="26"/>
        </w:rPr>
        <w:t>’</w:t>
      </w:r>
      <w:r w:rsidRPr="00BC4FA9">
        <w:rPr>
          <w:rFonts w:eastAsia="Palatino" w:cs="Palatino"/>
          <w:szCs w:val="26"/>
        </w:rPr>
        <w:t>s Gas Acquisition Department</w:t>
      </w:r>
      <w:r w:rsidRPr="00BC4FA9" w:rsidR="00F22715">
        <w:rPr>
          <w:rFonts w:eastAsia="Palatino" w:cs="Palatino"/>
          <w:szCs w:val="26"/>
        </w:rPr>
        <w:t xml:space="preserve"> (Gas Acquisition)</w:t>
      </w:r>
      <w:r w:rsidRPr="00BC4FA9" w:rsidR="00F22715">
        <w:rPr>
          <w:rStyle w:val="FootnoteReference"/>
          <w:rFonts w:eastAsia="Palatino" w:cs="Palatino"/>
          <w:szCs w:val="26"/>
        </w:rPr>
        <w:footnoteReference w:id="4"/>
      </w:r>
      <w:r w:rsidRPr="00BC4FA9">
        <w:rPr>
          <w:rFonts w:eastAsia="Palatino" w:cs="Palatino"/>
          <w:szCs w:val="26"/>
        </w:rPr>
        <w:t xml:space="preserve"> maintained minimum gas flow into the Southern System using core customer assets. This responsibility was transferred to the System Operator by D.07-12-019</w:t>
      </w:r>
      <w:r w:rsidRPr="00BC4FA9" w:rsidR="00910523">
        <w:rPr>
          <w:rFonts w:eastAsia="Palatino" w:cs="Palatino"/>
          <w:szCs w:val="26"/>
        </w:rPr>
        <w:t>, and the cost</w:t>
      </w:r>
      <w:r w:rsidRPr="00BC4FA9" w:rsidR="00311E15">
        <w:rPr>
          <w:rFonts w:eastAsia="Palatino" w:cs="Palatino"/>
          <w:szCs w:val="26"/>
        </w:rPr>
        <w:t>s for maintaining minimum gas flow were allocated to all customers</w:t>
      </w:r>
      <w:r w:rsidRPr="00BC4FA9">
        <w:rPr>
          <w:rFonts w:eastAsia="Palatino" w:cs="Palatino"/>
          <w:szCs w:val="26"/>
        </w:rPr>
        <w:t>.</w:t>
      </w:r>
    </w:p>
    <w:p w:rsidRPr="00BC4FA9" w:rsidR="00A50D7F" w:rsidP="00A50D7F" w:rsidRDefault="00A50D7F" w14:paraId="150C3A9F" w14:textId="77777777">
      <w:pPr>
        <w:rPr>
          <w:rFonts w:eastAsia="Palatino" w:cs="Palatino"/>
          <w:szCs w:val="26"/>
        </w:rPr>
      </w:pPr>
    </w:p>
    <w:p w:rsidRPr="00BC4FA9" w:rsidR="00A50D7F" w:rsidP="00A50D7F" w:rsidRDefault="00A50D7F" w14:paraId="1131B38A" w14:textId="0D9B45BD">
      <w:pPr>
        <w:rPr>
          <w:rFonts w:eastAsia="Palatino" w:cs="Palatino"/>
          <w:szCs w:val="26"/>
        </w:rPr>
      </w:pPr>
      <w:r w:rsidRPr="00BC4FA9">
        <w:rPr>
          <w:rFonts w:eastAsia="Palatino" w:cs="Palatino"/>
          <w:szCs w:val="26"/>
        </w:rPr>
        <w:t>D.07-12-019 also approved the following tools, which can be used by the System Operator to meet</w:t>
      </w:r>
      <w:r w:rsidRPr="00BC4FA9" w:rsidR="0067446F">
        <w:rPr>
          <w:rFonts w:eastAsia="Palatino" w:cs="Palatino"/>
          <w:szCs w:val="26"/>
        </w:rPr>
        <w:t xml:space="preserve"> the </w:t>
      </w:r>
      <w:r w:rsidRPr="00BC4FA9">
        <w:rPr>
          <w:rFonts w:eastAsia="Palatino" w:cs="Palatino"/>
          <w:szCs w:val="26"/>
        </w:rPr>
        <w:t xml:space="preserve">Southern System </w:t>
      </w:r>
      <w:r w:rsidRPr="00BC4FA9" w:rsidR="0067446F">
        <w:rPr>
          <w:rFonts w:eastAsia="Palatino" w:cs="Palatino"/>
          <w:szCs w:val="26"/>
        </w:rPr>
        <w:t>Minimum</w:t>
      </w:r>
      <w:r w:rsidRPr="00BC4FA9">
        <w:rPr>
          <w:rFonts w:eastAsia="Palatino" w:cs="Palatino"/>
          <w:szCs w:val="26"/>
        </w:rPr>
        <w:t>:</w:t>
      </w:r>
    </w:p>
    <w:p w:rsidRPr="00BC4FA9" w:rsidR="00A50D7F" w:rsidP="00750B6B" w:rsidRDefault="00A50D7F" w14:paraId="3AC17D70" w14:textId="25AE00A0">
      <w:pPr>
        <w:pStyle w:val="ListParagraph"/>
        <w:numPr>
          <w:ilvl w:val="0"/>
          <w:numId w:val="17"/>
        </w:numPr>
        <w:rPr>
          <w:rFonts w:eastAsia="Palatino" w:cs="Palatino"/>
          <w:szCs w:val="26"/>
        </w:rPr>
      </w:pPr>
      <w:r w:rsidRPr="00BC4FA9">
        <w:rPr>
          <w:rFonts w:eastAsia="Palatino" w:cs="Palatino"/>
          <w:szCs w:val="26"/>
        </w:rPr>
        <w:t>the ability to buy and sell gas on a spot basis as needed;</w:t>
      </w:r>
    </w:p>
    <w:p w:rsidRPr="00BC4FA9" w:rsidR="00A50D7F" w:rsidP="00750B6B" w:rsidRDefault="00A50D7F" w14:paraId="2BF61665" w14:textId="67C75064">
      <w:pPr>
        <w:pStyle w:val="ListParagraph"/>
        <w:numPr>
          <w:ilvl w:val="0"/>
          <w:numId w:val="17"/>
        </w:numPr>
        <w:rPr>
          <w:rFonts w:eastAsia="Palatino" w:cs="Palatino"/>
          <w:szCs w:val="26"/>
        </w:rPr>
      </w:pPr>
      <w:r w:rsidRPr="00BC4FA9">
        <w:rPr>
          <w:rFonts w:eastAsia="Palatino" w:cs="Palatino"/>
          <w:szCs w:val="26"/>
        </w:rPr>
        <w:t>the authority and the requirement to conduct at least one annual request for offers (RFO) seeking proposals for managing minimum flows; and</w:t>
      </w:r>
    </w:p>
    <w:p w:rsidRPr="00BC4FA9" w:rsidR="00A50D7F" w:rsidP="00750B6B" w:rsidRDefault="00A50D7F" w14:paraId="1AC5D8F7" w14:textId="1F6BF671">
      <w:pPr>
        <w:pStyle w:val="ListParagraph"/>
        <w:numPr>
          <w:ilvl w:val="0"/>
          <w:numId w:val="17"/>
        </w:numPr>
        <w:rPr>
          <w:rFonts w:eastAsia="Palatino" w:cs="Palatino"/>
          <w:szCs w:val="26"/>
        </w:rPr>
      </w:pPr>
      <w:r w:rsidRPr="00BC4FA9">
        <w:rPr>
          <w:rFonts w:eastAsia="Palatino" w:cs="Palatino"/>
          <w:szCs w:val="26"/>
        </w:rPr>
        <w:t xml:space="preserve">the authority to submit an </w:t>
      </w:r>
      <w:r w:rsidRPr="00BC4FA9" w:rsidR="009355CB">
        <w:rPr>
          <w:rFonts w:eastAsia="Palatino" w:cs="Palatino"/>
          <w:szCs w:val="26"/>
        </w:rPr>
        <w:t>AL</w:t>
      </w:r>
      <w:r w:rsidRPr="00BC4FA9">
        <w:rPr>
          <w:rFonts w:eastAsia="Palatino" w:cs="Palatino"/>
          <w:szCs w:val="26"/>
        </w:rPr>
        <w:t xml:space="preserve"> for approval of contracts that result from an RFO or open season process.</w:t>
      </w:r>
    </w:p>
    <w:p w:rsidRPr="00BC4FA9" w:rsidR="00CF3CCC" w:rsidP="00CF3CCC" w:rsidRDefault="00CF3CCC" w14:paraId="2F842EE0" w14:textId="77777777">
      <w:pPr>
        <w:pStyle w:val="ListParagraph"/>
        <w:ind w:left="1080"/>
        <w:rPr>
          <w:rFonts w:eastAsia="Palatino" w:cs="Palatino"/>
          <w:szCs w:val="26"/>
        </w:rPr>
      </w:pPr>
    </w:p>
    <w:p w:rsidRPr="00BC4FA9" w:rsidR="00A50D7F" w:rsidP="00A50D7F" w:rsidRDefault="00F80919" w14:paraId="33213F04" w14:textId="2765ADF3">
      <w:pPr>
        <w:rPr>
          <w:rFonts w:eastAsia="Palatino" w:cs="Palatino"/>
          <w:szCs w:val="26"/>
        </w:rPr>
      </w:pPr>
      <w:r w:rsidRPr="00BC4FA9">
        <w:rPr>
          <w:rFonts w:eastAsia="Palatino" w:cs="Palatino"/>
          <w:szCs w:val="26"/>
        </w:rPr>
        <w:t xml:space="preserve">D.07-09-012 further </w:t>
      </w:r>
      <w:r w:rsidRPr="00BC4FA9" w:rsidR="003F2C9B">
        <w:rPr>
          <w:rFonts w:eastAsia="Palatino" w:cs="Palatino"/>
          <w:szCs w:val="26"/>
        </w:rPr>
        <w:t xml:space="preserve">ordered that SoCalGas record the </w:t>
      </w:r>
      <w:r w:rsidRPr="00BC4FA9">
        <w:rPr>
          <w:rFonts w:eastAsia="Palatino" w:cs="Palatino"/>
          <w:szCs w:val="26"/>
        </w:rPr>
        <w:t xml:space="preserve">net differences between the purchase costs and sales revenues in the System Reliability Memorandum Account (SRMA) for allocation to all ratepayers after </w:t>
      </w:r>
      <w:r w:rsidRPr="00BC4FA9" w:rsidR="00200B2C">
        <w:rPr>
          <w:rFonts w:eastAsia="Palatino" w:cs="Palatino"/>
          <w:szCs w:val="26"/>
        </w:rPr>
        <w:t xml:space="preserve">reasonableness </w:t>
      </w:r>
      <w:r w:rsidRPr="00BC4FA9">
        <w:rPr>
          <w:rFonts w:eastAsia="Palatino" w:cs="Palatino"/>
          <w:szCs w:val="26"/>
        </w:rPr>
        <w:t>review.</w:t>
      </w:r>
      <w:r w:rsidRPr="00BC4FA9" w:rsidR="00B538E5">
        <w:rPr>
          <w:rStyle w:val="FootnoteReference"/>
        </w:rPr>
        <w:footnoteReference w:id="5"/>
      </w:r>
    </w:p>
    <w:p w:rsidRPr="00BC4FA9" w:rsidR="00F80919" w:rsidP="00A50D7F" w:rsidRDefault="00F80919" w14:paraId="312A177C" w14:textId="77777777">
      <w:pPr>
        <w:rPr>
          <w:rFonts w:eastAsia="Palatino" w:cs="Palatino"/>
          <w:szCs w:val="26"/>
        </w:rPr>
      </w:pPr>
    </w:p>
    <w:p w:rsidRPr="00BC4FA9" w:rsidR="00A50D7F" w:rsidP="00A50D7F" w:rsidRDefault="00A50D7F" w14:paraId="5F49AA6B" w14:textId="1471B326">
      <w:pPr>
        <w:rPr>
          <w:rFonts w:eastAsia="Palatino" w:cs="Palatino"/>
          <w:szCs w:val="26"/>
        </w:rPr>
      </w:pPr>
      <w:r w:rsidRPr="00BC4FA9">
        <w:rPr>
          <w:rFonts w:eastAsia="Palatino" w:cs="Palatino"/>
          <w:szCs w:val="26"/>
        </w:rPr>
        <w:t xml:space="preserve">D.09-11-006 created criteria for determining the reasonableness of spot market purchases made outside </w:t>
      </w:r>
      <w:r w:rsidRPr="00BC4FA9" w:rsidR="00870EC4">
        <w:rPr>
          <w:rFonts w:eastAsia="Palatino" w:cs="Palatino"/>
          <w:szCs w:val="26"/>
        </w:rPr>
        <w:t>Commission</w:t>
      </w:r>
      <w:r w:rsidRPr="00BC4FA9">
        <w:rPr>
          <w:rFonts w:eastAsia="Palatino" w:cs="Palatino"/>
          <w:szCs w:val="26"/>
        </w:rPr>
        <w:t>-approved contracts.</w:t>
      </w:r>
      <w:r w:rsidRPr="00BC4FA9" w:rsidR="00B2588C">
        <w:rPr>
          <w:rFonts w:eastAsia="Palatino" w:cs="Palatino"/>
          <w:szCs w:val="26"/>
        </w:rPr>
        <w:t xml:space="preserve"> </w:t>
      </w:r>
      <w:r w:rsidRPr="00BC4FA9">
        <w:rPr>
          <w:rFonts w:eastAsia="Palatino" w:cs="Palatino"/>
          <w:szCs w:val="26"/>
        </w:rPr>
        <w:t xml:space="preserve">Subsequent resolutions authorized additional tools </w:t>
      </w:r>
      <w:r w:rsidRPr="00BC4FA9" w:rsidR="00D97AB1">
        <w:rPr>
          <w:rFonts w:eastAsia="Palatino" w:cs="Palatino"/>
          <w:szCs w:val="26"/>
        </w:rPr>
        <w:t xml:space="preserve">for meeting the Southern System Minimum </w:t>
      </w:r>
      <w:r w:rsidRPr="00BC4FA9">
        <w:rPr>
          <w:rFonts w:eastAsia="Palatino" w:cs="Palatino"/>
          <w:szCs w:val="26"/>
        </w:rPr>
        <w:t xml:space="preserve">and specified </w:t>
      </w:r>
      <w:r w:rsidRPr="00BC4FA9" w:rsidR="00870EC4">
        <w:rPr>
          <w:rFonts w:eastAsia="Palatino" w:cs="Palatino"/>
          <w:szCs w:val="26"/>
        </w:rPr>
        <w:t xml:space="preserve">reasonableness </w:t>
      </w:r>
      <w:r w:rsidRPr="00BC4FA9">
        <w:rPr>
          <w:rFonts w:eastAsia="Palatino" w:cs="Palatino"/>
          <w:szCs w:val="26"/>
        </w:rPr>
        <w:t>conditions</w:t>
      </w:r>
      <w:r w:rsidRPr="00BC4FA9" w:rsidR="00B2588C">
        <w:rPr>
          <w:rFonts w:eastAsia="Palatino" w:cs="Palatino"/>
          <w:szCs w:val="26"/>
        </w:rPr>
        <w:t xml:space="preserve">. </w:t>
      </w:r>
    </w:p>
    <w:p w:rsidRPr="00BC4FA9" w:rsidR="00A50D7F" w:rsidP="00A50D7F" w:rsidRDefault="00A50D7F" w14:paraId="490EBA54" w14:textId="510B3779">
      <w:pPr>
        <w:rPr>
          <w:rFonts w:eastAsia="Palatino" w:cs="Palatino"/>
          <w:szCs w:val="26"/>
        </w:rPr>
      </w:pPr>
      <w:r w:rsidRPr="00BC4FA9">
        <w:rPr>
          <w:rFonts w:eastAsia="Palatino" w:cs="Palatino"/>
          <w:szCs w:val="26"/>
        </w:rPr>
        <w:lastRenderedPageBreak/>
        <w:t xml:space="preserve">Resolution G-3474, issued on July 17, 2012, allowed the System Operator to move natural gas from </w:t>
      </w:r>
      <w:r w:rsidRPr="00BC4FA9" w:rsidR="00B2588C">
        <w:rPr>
          <w:rFonts w:eastAsia="Palatino" w:cs="Palatino"/>
          <w:szCs w:val="26"/>
        </w:rPr>
        <w:t xml:space="preserve">the </w:t>
      </w:r>
      <w:r w:rsidRPr="00BC4FA9">
        <w:rPr>
          <w:rFonts w:eastAsia="Palatino" w:cs="Palatino"/>
          <w:szCs w:val="26"/>
        </w:rPr>
        <w:t xml:space="preserve">Blythe/Ehrenberg </w:t>
      </w:r>
      <w:r w:rsidRPr="00BC4FA9" w:rsidR="00B2588C">
        <w:rPr>
          <w:rFonts w:eastAsia="Palatino" w:cs="Palatino"/>
          <w:szCs w:val="26"/>
        </w:rPr>
        <w:t xml:space="preserve">receipt point </w:t>
      </w:r>
      <w:r w:rsidRPr="00BC4FA9">
        <w:rPr>
          <w:rFonts w:eastAsia="Palatino" w:cs="Palatino"/>
          <w:szCs w:val="26"/>
        </w:rPr>
        <w:t xml:space="preserve">to Otay Mesa, California to support minimum flow requirements on the Southern System. </w:t>
      </w:r>
    </w:p>
    <w:p w:rsidRPr="00BC4FA9" w:rsidR="00A50D7F" w:rsidP="00A50D7F" w:rsidRDefault="00A50D7F" w14:paraId="550F1503" w14:textId="77777777">
      <w:pPr>
        <w:rPr>
          <w:rFonts w:eastAsia="Palatino" w:cs="Palatino"/>
          <w:szCs w:val="26"/>
        </w:rPr>
      </w:pPr>
    </w:p>
    <w:p w:rsidRPr="00BC4FA9" w:rsidR="00A50D7F" w:rsidP="00A50D7F" w:rsidRDefault="00A50D7F" w14:paraId="3EA5EE87" w14:textId="104F8A4B">
      <w:pPr>
        <w:rPr>
          <w:rFonts w:eastAsia="Palatino" w:cs="Palatino"/>
          <w:szCs w:val="26"/>
        </w:rPr>
      </w:pPr>
      <w:r w:rsidRPr="00BC4FA9">
        <w:rPr>
          <w:rFonts w:eastAsia="Palatino" w:cs="Palatino"/>
          <w:szCs w:val="26"/>
        </w:rPr>
        <w:t xml:space="preserve">Resolution G-3487, issued on October 7, 2013, </w:t>
      </w:r>
      <w:r w:rsidRPr="00BC4FA9" w:rsidR="00990BDF">
        <w:rPr>
          <w:rFonts w:eastAsia="Palatino" w:cs="Palatino"/>
          <w:szCs w:val="26"/>
        </w:rPr>
        <w:t>authorize</w:t>
      </w:r>
      <w:r w:rsidRPr="00BC4FA9">
        <w:rPr>
          <w:rFonts w:eastAsia="Palatino" w:cs="Palatino"/>
          <w:szCs w:val="26"/>
        </w:rPr>
        <w:t xml:space="preserve"> the System Operator to enter into winter baseload gas contracts</w:t>
      </w:r>
      <w:r w:rsidRPr="00BC4FA9" w:rsidR="00126EF2">
        <w:rPr>
          <w:rFonts w:eastAsia="Palatino" w:cs="Palatino"/>
          <w:szCs w:val="26"/>
        </w:rPr>
        <w:t xml:space="preserve"> for the period</w:t>
      </w:r>
      <w:r w:rsidRPr="00BC4FA9">
        <w:rPr>
          <w:rFonts w:eastAsia="Palatino" w:cs="Palatino"/>
          <w:szCs w:val="26"/>
        </w:rPr>
        <w:t xml:space="preserve"> December through March to improve Southern System reliability provided the contracts meet certain criteria.</w:t>
      </w:r>
      <w:r w:rsidRPr="00BC4FA9" w:rsidR="00912C77">
        <w:rPr>
          <w:rFonts w:eastAsia="Palatino" w:cs="Palatino"/>
          <w:szCs w:val="26"/>
        </w:rPr>
        <w:t xml:space="preserve"> </w:t>
      </w:r>
      <w:r w:rsidRPr="00BC4FA9">
        <w:rPr>
          <w:rFonts w:eastAsia="Palatino" w:cs="Palatino"/>
          <w:szCs w:val="26"/>
        </w:rPr>
        <w:t xml:space="preserve">On July 8, 2016, the </w:t>
      </w:r>
      <w:r w:rsidRPr="00BC4FA9" w:rsidR="00DB4F0D">
        <w:rPr>
          <w:rFonts w:eastAsia="Palatino" w:cs="Palatino"/>
          <w:szCs w:val="26"/>
        </w:rPr>
        <w:t>Commission</w:t>
      </w:r>
      <w:r w:rsidRPr="00BC4FA9">
        <w:rPr>
          <w:rFonts w:eastAsia="Palatino" w:cs="Palatino"/>
          <w:szCs w:val="26"/>
        </w:rPr>
        <w:t xml:space="preserve"> authorized a three-year extension of that preauthorization of authority to enter into winter baseload contracts until March 31, 2019</w:t>
      </w:r>
      <w:r w:rsidRPr="00BC4FA9" w:rsidR="00E36C66">
        <w:rPr>
          <w:rFonts w:eastAsia="Palatino" w:cs="Palatino"/>
          <w:szCs w:val="26"/>
        </w:rPr>
        <w:t>,</w:t>
      </w:r>
      <w:r w:rsidRPr="00BC4FA9" w:rsidR="00C30B70">
        <w:rPr>
          <w:rFonts w:eastAsia="Palatino" w:cs="Palatino"/>
          <w:szCs w:val="26"/>
        </w:rPr>
        <w:t xml:space="preserve"> in response to AL 4970</w:t>
      </w:r>
      <w:r w:rsidRPr="00BC4FA9" w:rsidR="00E36C66">
        <w:rPr>
          <w:rFonts w:eastAsia="Palatino" w:cs="Palatino"/>
          <w:szCs w:val="26"/>
        </w:rPr>
        <w:t>-G</w:t>
      </w:r>
      <w:r w:rsidRPr="00BC4FA9">
        <w:rPr>
          <w:rFonts w:eastAsia="Palatino" w:cs="Palatino"/>
          <w:szCs w:val="26"/>
        </w:rPr>
        <w:t>.</w:t>
      </w:r>
      <w:r w:rsidRPr="00BC4FA9" w:rsidR="00912C77">
        <w:rPr>
          <w:rFonts w:eastAsia="Palatino" w:cs="Palatino"/>
          <w:szCs w:val="26"/>
        </w:rPr>
        <w:t xml:space="preserve"> </w:t>
      </w:r>
    </w:p>
    <w:p w:rsidRPr="00BC4FA9" w:rsidR="00A50D7F" w:rsidP="00A50D7F" w:rsidRDefault="00A50D7F" w14:paraId="7EBC9418" w14:textId="77777777">
      <w:pPr>
        <w:rPr>
          <w:rFonts w:eastAsia="Palatino" w:cs="Palatino"/>
          <w:szCs w:val="26"/>
        </w:rPr>
      </w:pPr>
    </w:p>
    <w:p w:rsidRPr="00BC4FA9" w:rsidR="00A50D7F" w:rsidP="00A50D7F" w:rsidRDefault="00E36C66" w14:paraId="238A61DE" w14:textId="196DA849">
      <w:pPr>
        <w:rPr>
          <w:rFonts w:eastAsia="Palatino" w:cs="Palatino"/>
          <w:szCs w:val="26"/>
        </w:rPr>
      </w:pPr>
      <w:r w:rsidRPr="00BC4FA9">
        <w:rPr>
          <w:rFonts w:eastAsia="Palatino" w:cs="Palatino"/>
          <w:szCs w:val="26"/>
        </w:rPr>
        <w:t xml:space="preserve">The Commission </w:t>
      </w:r>
      <w:r w:rsidRPr="00BC4FA9" w:rsidR="006A3912">
        <w:rPr>
          <w:rFonts w:eastAsia="Palatino" w:cs="Palatino"/>
          <w:szCs w:val="26"/>
        </w:rPr>
        <w:t xml:space="preserve">approved </w:t>
      </w:r>
      <w:r w:rsidRPr="00BC4FA9" w:rsidR="00A50D7F">
        <w:rPr>
          <w:rFonts w:eastAsia="Palatino" w:cs="Palatino"/>
          <w:szCs w:val="26"/>
        </w:rPr>
        <w:t xml:space="preserve">AL 4978-G on July 21, 2016, </w:t>
      </w:r>
      <w:r w:rsidRPr="00BC4FA9" w:rsidR="006A3912">
        <w:rPr>
          <w:rFonts w:eastAsia="Palatino" w:cs="Palatino"/>
          <w:szCs w:val="26"/>
        </w:rPr>
        <w:t xml:space="preserve">which </w:t>
      </w:r>
      <w:r w:rsidRPr="00BC4FA9" w:rsidR="00A31E1E">
        <w:rPr>
          <w:rFonts w:eastAsia="Palatino" w:cs="Palatino"/>
          <w:szCs w:val="26"/>
        </w:rPr>
        <w:t xml:space="preserve">authorized </w:t>
      </w:r>
      <w:r w:rsidRPr="00BC4FA9" w:rsidR="00A50D7F">
        <w:rPr>
          <w:rFonts w:eastAsia="Palatino" w:cs="Palatino"/>
          <w:szCs w:val="26"/>
        </w:rPr>
        <w:t>SoCalGas to enter into summer baseload gas contracts to ensure Southern System reliability in the aftermath of the Aliso Canyon gas leak.</w:t>
      </w:r>
      <w:r w:rsidRPr="00BC4FA9" w:rsidR="00912C77">
        <w:rPr>
          <w:rFonts w:eastAsia="Palatino" w:cs="Palatino"/>
          <w:szCs w:val="26"/>
        </w:rPr>
        <w:t xml:space="preserve"> </w:t>
      </w:r>
      <w:r w:rsidRPr="00BC4FA9" w:rsidR="00F44FC5">
        <w:rPr>
          <w:rFonts w:eastAsia="Palatino" w:cs="Palatino"/>
          <w:szCs w:val="26"/>
        </w:rPr>
        <w:t>Authorization for summer baseload contracts was exten</w:t>
      </w:r>
      <w:r w:rsidRPr="00BC4FA9" w:rsidR="00EA5F36">
        <w:rPr>
          <w:rFonts w:eastAsia="Palatino" w:cs="Palatino"/>
          <w:szCs w:val="26"/>
        </w:rPr>
        <w:t xml:space="preserve">ded through September 2018 via </w:t>
      </w:r>
      <w:r w:rsidRPr="00BC4FA9" w:rsidR="003B6998">
        <w:rPr>
          <w:rFonts w:eastAsia="Palatino" w:cs="Palatino"/>
          <w:szCs w:val="26"/>
        </w:rPr>
        <w:t xml:space="preserve">AL </w:t>
      </w:r>
      <w:r w:rsidRPr="00BC4FA9" w:rsidR="00EA5F36">
        <w:rPr>
          <w:rFonts w:eastAsia="Palatino" w:cs="Palatino"/>
          <w:szCs w:val="26"/>
        </w:rPr>
        <w:t>5132</w:t>
      </w:r>
      <w:r w:rsidRPr="00BC4FA9" w:rsidR="003B6998">
        <w:rPr>
          <w:rFonts w:eastAsia="Palatino" w:cs="Palatino"/>
          <w:szCs w:val="26"/>
        </w:rPr>
        <w:t>-G</w:t>
      </w:r>
      <w:r w:rsidRPr="00BC4FA9" w:rsidR="00EA5F36">
        <w:rPr>
          <w:rFonts w:eastAsia="Palatino" w:cs="Palatino"/>
          <w:szCs w:val="26"/>
        </w:rPr>
        <w:t xml:space="preserve">. </w:t>
      </w:r>
      <w:r w:rsidRPr="00BC4FA9" w:rsidR="003431FF">
        <w:rPr>
          <w:rFonts w:eastAsia="Palatino" w:cs="Palatino"/>
          <w:szCs w:val="26"/>
        </w:rPr>
        <w:t xml:space="preserve">The Commission </w:t>
      </w:r>
      <w:r w:rsidRPr="00BC4FA9" w:rsidR="004C11B0">
        <w:rPr>
          <w:rFonts w:eastAsia="Palatino" w:cs="Palatino"/>
          <w:szCs w:val="26"/>
        </w:rPr>
        <w:t>further authorize</w:t>
      </w:r>
      <w:r w:rsidRPr="00BC4FA9" w:rsidR="00057693">
        <w:rPr>
          <w:rFonts w:eastAsia="Palatino" w:cs="Palatino"/>
          <w:szCs w:val="26"/>
        </w:rPr>
        <w:t>d</w:t>
      </w:r>
      <w:r w:rsidRPr="00BC4FA9" w:rsidR="004C11B0">
        <w:rPr>
          <w:rFonts w:eastAsia="Palatino" w:cs="Palatino"/>
          <w:szCs w:val="26"/>
        </w:rPr>
        <w:t xml:space="preserve"> </w:t>
      </w:r>
      <w:r w:rsidRPr="00BC4FA9" w:rsidR="00EA5F36">
        <w:rPr>
          <w:rFonts w:eastAsia="Palatino" w:cs="Palatino"/>
          <w:szCs w:val="26"/>
        </w:rPr>
        <w:t xml:space="preserve">summer and winter baseload contracts </w:t>
      </w:r>
      <w:r w:rsidRPr="00BC4FA9" w:rsidR="003B6998">
        <w:rPr>
          <w:rFonts w:eastAsia="Palatino" w:cs="Palatino"/>
          <w:szCs w:val="26"/>
        </w:rPr>
        <w:t xml:space="preserve">via </w:t>
      </w:r>
      <w:r w:rsidRPr="00BC4FA9" w:rsidR="00057693">
        <w:rPr>
          <w:rFonts w:eastAsia="Palatino" w:cs="Palatino"/>
          <w:szCs w:val="26"/>
        </w:rPr>
        <w:t>AL</w:t>
      </w:r>
      <w:r w:rsidRPr="00BC4FA9" w:rsidR="00395DC2">
        <w:rPr>
          <w:rFonts w:eastAsia="Palatino" w:cs="Palatino"/>
          <w:szCs w:val="26"/>
        </w:rPr>
        <w:t xml:space="preserve"> 5454-G</w:t>
      </w:r>
      <w:r w:rsidRPr="00BC4FA9" w:rsidR="003B6998">
        <w:rPr>
          <w:rFonts w:eastAsia="Palatino" w:cs="Palatino"/>
          <w:szCs w:val="26"/>
        </w:rPr>
        <w:t xml:space="preserve"> in</w:t>
      </w:r>
      <w:r w:rsidRPr="00BC4FA9" w:rsidR="00395DC2">
        <w:rPr>
          <w:rFonts w:eastAsia="Palatino" w:cs="Palatino"/>
          <w:szCs w:val="26"/>
        </w:rPr>
        <w:t xml:space="preserve"> 2019</w:t>
      </w:r>
      <w:r w:rsidRPr="00BC4FA9" w:rsidR="003431FF">
        <w:rPr>
          <w:rFonts w:eastAsia="Palatino" w:cs="Palatino"/>
          <w:szCs w:val="26"/>
        </w:rPr>
        <w:t xml:space="preserve"> and</w:t>
      </w:r>
      <w:r w:rsidRPr="00BC4FA9" w:rsidR="00395DC2">
        <w:rPr>
          <w:rFonts w:eastAsia="Palatino" w:cs="Palatino"/>
          <w:szCs w:val="26"/>
        </w:rPr>
        <w:t xml:space="preserve"> </w:t>
      </w:r>
      <w:r w:rsidRPr="00BC4FA9" w:rsidR="001A261A">
        <w:rPr>
          <w:rFonts w:eastAsia="Palatino" w:cs="Palatino"/>
          <w:szCs w:val="26"/>
        </w:rPr>
        <w:br/>
      </w:r>
      <w:r w:rsidRPr="00BC4FA9" w:rsidR="003431FF">
        <w:rPr>
          <w:rFonts w:eastAsia="Palatino" w:cs="Palatino"/>
          <w:szCs w:val="26"/>
        </w:rPr>
        <w:t>AL 5971-G in 2022.</w:t>
      </w:r>
      <w:r w:rsidRPr="00BC4FA9" w:rsidR="00D17226">
        <w:rPr>
          <w:rFonts w:eastAsia="Palatino" w:cs="Palatino"/>
          <w:szCs w:val="26"/>
        </w:rPr>
        <w:t xml:space="preserve"> </w:t>
      </w:r>
      <w:r w:rsidRPr="00BC4FA9" w:rsidR="00BD0491">
        <w:rPr>
          <w:rFonts w:eastAsia="Palatino" w:cs="Palatino"/>
          <w:szCs w:val="26"/>
        </w:rPr>
        <w:t>Th</w:t>
      </w:r>
      <w:r w:rsidRPr="00BC4FA9" w:rsidR="00DB38F2">
        <w:rPr>
          <w:rFonts w:eastAsia="Palatino" w:cs="Palatino"/>
          <w:szCs w:val="26"/>
        </w:rPr>
        <w:t>is</w:t>
      </w:r>
      <w:r w:rsidRPr="00BC4FA9" w:rsidR="00BD0491">
        <w:rPr>
          <w:rFonts w:eastAsia="Palatino" w:cs="Palatino"/>
          <w:szCs w:val="26"/>
        </w:rPr>
        <w:t xml:space="preserve"> a</w:t>
      </w:r>
      <w:r w:rsidRPr="00BC4FA9" w:rsidR="00D17226">
        <w:rPr>
          <w:rFonts w:eastAsia="Palatino" w:cs="Palatino"/>
          <w:szCs w:val="26"/>
        </w:rPr>
        <w:t>uthorization expire</w:t>
      </w:r>
      <w:r w:rsidRPr="00BC4FA9" w:rsidR="004D0391">
        <w:rPr>
          <w:rFonts w:eastAsia="Palatino" w:cs="Palatino"/>
          <w:szCs w:val="26"/>
        </w:rPr>
        <w:t>d on</w:t>
      </w:r>
      <w:r w:rsidRPr="00BC4FA9" w:rsidR="00D17226">
        <w:rPr>
          <w:rFonts w:eastAsia="Palatino" w:cs="Palatino"/>
          <w:szCs w:val="26"/>
        </w:rPr>
        <w:t xml:space="preserve"> </w:t>
      </w:r>
      <w:r w:rsidRPr="00BC4FA9" w:rsidR="005F337D">
        <w:rPr>
          <w:rFonts w:eastAsia="Palatino" w:cs="Palatino"/>
          <w:szCs w:val="26"/>
        </w:rPr>
        <w:t xml:space="preserve">March </w:t>
      </w:r>
      <w:r w:rsidRPr="00BC4FA9" w:rsidR="00D17226">
        <w:rPr>
          <w:rFonts w:eastAsia="Palatino" w:cs="Palatino"/>
          <w:szCs w:val="26"/>
        </w:rPr>
        <w:t xml:space="preserve">31, </w:t>
      </w:r>
      <w:r w:rsidRPr="00BC4FA9" w:rsidR="005F337D">
        <w:rPr>
          <w:rFonts w:eastAsia="Palatino" w:cs="Palatino"/>
          <w:szCs w:val="26"/>
        </w:rPr>
        <w:t>2025</w:t>
      </w:r>
      <w:r w:rsidRPr="00BC4FA9" w:rsidR="00D17226">
        <w:rPr>
          <w:rFonts w:eastAsia="Palatino" w:cs="Palatino"/>
          <w:szCs w:val="26"/>
        </w:rPr>
        <w:t>.</w:t>
      </w:r>
    </w:p>
    <w:p w:rsidRPr="00BC4FA9" w:rsidR="00A50D7F" w:rsidP="00A50D7F" w:rsidRDefault="00A50D7F" w14:paraId="0ED952F3" w14:textId="77777777">
      <w:pPr>
        <w:rPr>
          <w:rFonts w:eastAsia="Palatino" w:cs="Palatino"/>
          <w:szCs w:val="26"/>
        </w:rPr>
      </w:pPr>
    </w:p>
    <w:p w:rsidRPr="00BC4FA9" w:rsidR="00A50D7F" w:rsidP="00A50D7F" w:rsidRDefault="00A50D7F" w14:paraId="424FEAD3" w14:textId="77777777">
      <w:pPr>
        <w:rPr>
          <w:rFonts w:eastAsia="Palatino" w:cs="Palatino"/>
          <w:szCs w:val="26"/>
        </w:rPr>
      </w:pPr>
      <w:r w:rsidRPr="00BC4FA9">
        <w:rPr>
          <w:rFonts w:eastAsia="Palatino" w:cs="Palatino"/>
          <w:szCs w:val="26"/>
        </w:rPr>
        <w:t>Resolution G-3542, issued on October 25, 2018, changed the due date for the Annual Compliance Report and Advice Letter from October 1 to November 1.</w:t>
      </w:r>
    </w:p>
    <w:p w:rsidRPr="00BC4FA9" w:rsidR="00A50D7F" w:rsidP="00A50D7F" w:rsidRDefault="00A50D7F" w14:paraId="0EF0837C" w14:textId="77777777">
      <w:pPr>
        <w:rPr>
          <w:rFonts w:eastAsia="Palatino" w:cs="Palatino"/>
          <w:szCs w:val="26"/>
        </w:rPr>
      </w:pPr>
    </w:p>
    <w:p w:rsidRPr="00BC4FA9" w:rsidR="00A50D7F" w:rsidP="7428CE45" w:rsidRDefault="00A50D7F" w14:paraId="6A31A864" w14:textId="2C5BE35E">
      <w:pPr>
        <w:rPr>
          <w:rFonts w:eastAsia="Palatino" w:cs="Palatino"/>
        </w:rPr>
      </w:pPr>
      <w:r w:rsidRPr="00BC4FA9">
        <w:rPr>
          <w:rFonts w:eastAsia="Palatino" w:cs="Palatino"/>
        </w:rPr>
        <w:t>The criteria for determining the reasonableness of spot and baseload gas transactions are described in Sections 1</w:t>
      </w:r>
      <w:r w:rsidRPr="00BC4FA9" w:rsidR="0053753F">
        <w:rPr>
          <w:rFonts w:eastAsia="Palatino" w:cs="Palatino"/>
        </w:rPr>
        <w:t>2</w:t>
      </w:r>
      <w:r w:rsidRPr="00BC4FA9" w:rsidR="004D0391">
        <w:rPr>
          <w:rFonts w:eastAsia="Palatino" w:cs="Palatino"/>
        </w:rPr>
        <w:t xml:space="preserve"> through </w:t>
      </w:r>
      <w:r w:rsidRPr="00BC4FA9">
        <w:rPr>
          <w:rFonts w:eastAsia="Palatino" w:cs="Palatino"/>
        </w:rPr>
        <w:t>20 of SoCalGas</w:t>
      </w:r>
      <w:r w:rsidRPr="00BC4FA9" w:rsidR="00AC5A39">
        <w:rPr>
          <w:rFonts w:eastAsia="Palatino" w:cs="Palatino"/>
        </w:rPr>
        <w:t>’</w:t>
      </w:r>
      <w:r w:rsidRPr="00BC4FA9" w:rsidR="04FAC838">
        <w:rPr>
          <w:rFonts w:eastAsia="Palatino" w:cs="Palatino"/>
        </w:rPr>
        <w:t>s</w:t>
      </w:r>
      <w:r w:rsidRPr="00BC4FA9" w:rsidR="005B1894">
        <w:rPr>
          <w:rFonts w:eastAsia="Palatino" w:cs="Palatino"/>
        </w:rPr>
        <w:t xml:space="preserve"> Gas</w:t>
      </w:r>
      <w:r w:rsidRPr="00BC4FA9">
        <w:rPr>
          <w:rFonts w:eastAsia="Palatino" w:cs="Palatino"/>
        </w:rPr>
        <w:t xml:space="preserve"> Rule </w:t>
      </w:r>
      <w:r w:rsidRPr="00BC4FA9" w:rsidR="005B1894">
        <w:rPr>
          <w:rFonts w:eastAsia="Palatino" w:cs="Palatino"/>
        </w:rPr>
        <w:t xml:space="preserve">No. </w:t>
      </w:r>
      <w:r w:rsidRPr="00BC4FA9">
        <w:rPr>
          <w:rFonts w:eastAsia="Palatino" w:cs="Palatino"/>
        </w:rPr>
        <w:t xml:space="preserve">41. The sections relevant to this filing are Sections </w:t>
      </w:r>
      <w:r w:rsidRPr="00BC4FA9" w:rsidR="00E835BD">
        <w:rPr>
          <w:rFonts w:eastAsia="Palatino" w:cs="Palatino"/>
        </w:rPr>
        <w:t xml:space="preserve">14(a), </w:t>
      </w:r>
      <w:r w:rsidRPr="00BC4FA9">
        <w:rPr>
          <w:rFonts w:eastAsia="Palatino" w:cs="Palatino"/>
        </w:rPr>
        <w:t>14(b), 15, 17</w:t>
      </w:r>
      <w:r w:rsidRPr="00BC4FA9" w:rsidR="002E43E8">
        <w:rPr>
          <w:rFonts w:eastAsia="Palatino" w:cs="Palatino"/>
        </w:rPr>
        <w:t>, and 19</w:t>
      </w:r>
      <w:r w:rsidRPr="00BC4FA9" w:rsidR="00270012">
        <w:rPr>
          <w:rFonts w:eastAsia="Palatino" w:cs="Palatino"/>
        </w:rPr>
        <w:t xml:space="preserve">. </w:t>
      </w:r>
    </w:p>
    <w:p w:rsidRPr="00BC4FA9" w:rsidR="00A50D7F" w:rsidP="00A50D7F" w:rsidRDefault="00A50D7F" w14:paraId="0E15F5D9" w14:textId="77777777">
      <w:pPr>
        <w:rPr>
          <w:rFonts w:eastAsia="Palatino" w:cs="Palatino"/>
          <w:szCs w:val="26"/>
        </w:rPr>
      </w:pPr>
    </w:p>
    <w:p w:rsidRPr="00BC4FA9" w:rsidR="00A50D7F" w:rsidP="00A50D7F" w:rsidRDefault="00A50D7F" w14:paraId="65D02A96" w14:textId="4C925A26">
      <w:pPr>
        <w:rPr>
          <w:rFonts w:eastAsia="Palatino" w:cs="Palatino"/>
          <w:szCs w:val="26"/>
        </w:rPr>
      </w:pPr>
      <w:r w:rsidRPr="00BC4FA9">
        <w:rPr>
          <w:rFonts w:eastAsia="Palatino" w:cs="Palatino"/>
          <w:szCs w:val="26"/>
        </w:rPr>
        <w:t xml:space="preserve">Section 14(a) provides that the </w:t>
      </w:r>
      <w:r w:rsidRPr="00BC4FA9" w:rsidR="00226951">
        <w:rPr>
          <w:rFonts w:eastAsia="Palatino" w:cs="Palatino"/>
          <w:szCs w:val="26"/>
        </w:rPr>
        <w:t>System Operator</w:t>
      </w:r>
      <w:r w:rsidRPr="00BC4FA9" w:rsidR="00AC5A39">
        <w:rPr>
          <w:rFonts w:eastAsia="Palatino" w:cs="Palatino"/>
          <w:szCs w:val="26"/>
        </w:rPr>
        <w:t>’</w:t>
      </w:r>
      <w:r w:rsidRPr="00BC4FA9" w:rsidR="00226951">
        <w:rPr>
          <w:rFonts w:eastAsia="Palatino" w:cs="Palatino"/>
          <w:szCs w:val="26"/>
        </w:rPr>
        <w:t xml:space="preserve">s </w:t>
      </w:r>
      <w:r w:rsidRPr="00BC4FA9">
        <w:rPr>
          <w:rFonts w:eastAsia="Palatino" w:cs="Palatino"/>
          <w:i/>
          <w:iCs/>
          <w:szCs w:val="26"/>
        </w:rPr>
        <w:t>day-ahead</w:t>
      </w:r>
      <w:r w:rsidRPr="00BC4FA9">
        <w:rPr>
          <w:rFonts w:eastAsia="Palatino" w:cs="Palatino"/>
          <w:szCs w:val="26"/>
        </w:rPr>
        <w:t xml:space="preserve"> spot market purchases of gas </w:t>
      </w:r>
      <w:r w:rsidRPr="00BC4FA9" w:rsidR="000F1AC8">
        <w:rPr>
          <w:rFonts w:eastAsia="Palatino" w:cs="Palatino"/>
          <w:szCs w:val="26"/>
        </w:rPr>
        <w:t xml:space="preserve">are </w:t>
      </w:r>
      <w:r w:rsidRPr="00BC4FA9">
        <w:rPr>
          <w:rFonts w:eastAsia="Palatino" w:cs="Palatino"/>
          <w:szCs w:val="26"/>
        </w:rPr>
        <w:t xml:space="preserve">deemed reasonable if the </w:t>
      </w:r>
      <w:r w:rsidRPr="00BC4FA9" w:rsidR="000C5865">
        <w:rPr>
          <w:rFonts w:eastAsia="Palatino" w:cs="Palatino"/>
          <w:szCs w:val="26"/>
        </w:rPr>
        <w:t xml:space="preserve">purchase </w:t>
      </w:r>
      <w:r w:rsidRPr="00BC4FA9">
        <w:rPr>
          <w:rFonts w:eastAsia="Palatino" w:cs="Palatino"/>
          <w:szCs w:val="26"/>
        </w:rPr>
        <w:t>price is less than or equal to 110 percent of the Natural Gas Intelligence (NGI) Av</w:t>
      </w:r>
      <w:r w:rsidRPr="00BC4FA9" w:rsidR="000C5865">
        <w:rPr>
          <w:rFonts w:eastAsia="Palatino" w:cs="Palatino"/>
          <w:szCs w:val="26"/>
        </w:rPr>
        <w:t>era</w:t>
      </w:r>
      <w:r w:rsidRPr="00BC4FA9">
        <w:rPr>
          <w:rFonts w:eastAsia="Palatino" w:cs="Palatino"/>
          <w:szCs w:val="26"/>
        </w:rPr>
        <w:t>g</w:t>
      </w:r>
      <w:r w:rsidRPr="00BC4FA9" w:rsidR="000C5865">
        <w:rPr>
          <w:rFonts w:eastAsia="Palatino" w:cs="Palatino"/>
          <w:szCs w:val="26"/>
        </w:rPr>
        <w:t>e</w:t>
      </w:r>
      <w:r w:rsidRPr="00BC4FA9">
        <w:rPr>
          <w:rFonts w:eastAsia="Palatino" w:cs="Palatino"/>
          <w:szCs w:val="26"/>
        </w:rPr>
        <w:t xml:space="preserve"> Index for the </w:t>
      </w:r>
      <w:r w:rsidRPr="00BC4FA9" w:rsidR="000C5865">
        <w:rPr>
          <w:rFonts w:eastAsia="Palatino" w:cs="Palatino"/>
          <w:szCs w:val="26"/>
        </w:rPr>
        <w:t xml:space="preserve">applicable </w:t>
      </w:r>
      <w:r w:rsidRPr="00BC4FA9">
        <w:rPr>
          <w:rFonts w:eastAsia="Palatino" w:cs="Palatino"/>
          <w:szCs w:val="26"/>
        </w:rPr>
        <w:t xml:space="preserve">flow date and trading point. </w:t>
      </w:r>
      <w:r w:rsidRPr="00BC4FA9" w:rsidR="00670A25">
        <w:rPr>
          <w:rFonts w:eastAsia="Palatino" w:cs="Palatino"/>
          <w:szCs w:val="26"/>
        </w:rPr>
        <w:t>Spot gas sales are deemed reasonable if the sale price is greater than or equal to 90 percent of the NGI Average Index.</w:t>
      </w:r>
    </w:p>
    <w:p w:rsidRPr="00BC4FA9" w:rsidR="00A50D7F" w:rsidP="00A50D7F" w:rsidRDefault="00A50D7F" w14:paraId="7DFEB546" w14:textId="77777777">
      <w:pPr>
        <w:rPr>
          <w:rFonts w:eastAsia="Palatino" w:cs="Palatino"/>
          <w:szCs w:val="26"/>
        </w:rPr>
      </w:pPr>
    </w:p>
    <w:p w:rsidRPr="00BC4FA9" w:rsidR="00A50D7F" w:rsidP="00A50D7F" w:rsidRDefault="00605F48" w14:paraId="2F7D3724" w14:textId="61CF3433">
      <w:pPr>
        <w:rPr>
          <w:rFonts w:eastAsia="Palatino" w:cs="Palatino"/>
          <w:szCs w:val="26"/>
        </w:rPr>
      </w:pPr>
      <w:r w:rsidRPr="00BC4FA9">
        <w:rPr>
          <w:rFonts w:eastAsia="Palatino" w:cs="Palatino"/>
          <w:szCs w:val="26"/>
        </w:rPr>
        <w:t xml:space="preserve">Section 14(b) provides that </w:t>
      </w:r>
      <w:r w:rsidRPr="00BC4FA9">
        <w:rPr>
          <w:rFonts w:eastAsia="Palatino" w:cs="Palatino"/>
          <w:i/>
          <w:iCs/>
          <w:szCs w:val="26"/>
        </w:rPr>
        <w:t>intraday</w:t>
      </w:r>
      <w:r w:rsidRPr="00BC4FA9">
        <w:rPr>
          <w:rFonts w:eastAsia="Palatino" w:cs="Palatino"/>
          <w:szCs w:val="26"/>
        </w:rPr>
        <w:t xml:space="preserve"> spot market purchases are deemed reasonable if the purchase price is less than or equal to 110 percent of the NGI High Index for the applicable flow date and trading point. Intraday spot gas sales are deemed reasonable if the sale price is greater than or equal to 90 percent of the NGI Low Index</w:t>
      </w:r>
      <w:r w:rsidRPr="00BC4FA9" w:rsidR="00E61CE2">
        <w:rPr>
          <w:rFonts w:eastAsia="Palatino" w:cs="Palatino"/>
          <w:szCs w:val="26"/>
        </w:rPr>
        <w:t>.</w:t>
      </w:r>
    </w:p>
    <w:p w:rsidRPr="00BC4FA9" w:rsidR="00A50D7F" w:rsidP="00A50D7F" w:rsidRDefault="00A50D7F" w14:paraId="71B92B87" w14:textId="77777777">
      <w:pPr>
        <w:rPr>
          <w:rFonts w:eastAsia="Palatino" w:cs="Palatino"/>
          <w:szCs w:val="26"/>
        </w:rPr>
      </w:pPr>
    </w:p>
    <w:p w:rsidRPr="00BC4FA9" w:rsidR="00A50D7F" w:rsidP="00A50D7F" w:rsidRDefault="00A50D7F" w14:paraId="67C7D6DF" w14:textId="5BBBCE41">
      <w:pPr>
        <w:rPr>
          <w:rFonts w:eastAsia="Palatino" w:cs="Palatino"/>
          <w:szCs w:val="26"/>
        </w:rPr>
      </w:pPr>
      <w:r w:rsidRPr="00BC4FA9">
        <w:rPr>
          <w:rFonts w:eastAsia="Palatino" w:cs="Palatino"/>
          <w:szCs w:val="26"/>
        </w:rPr>
        <w:t xml:space="preserve">Section 15 provides that purchases or sales at prices outside the ranges specified in Section 14 </w:t>
      </w:r>
      <w:r w:rsidRPr="00BC4FA9" w:rsidR="006353E0">
        <w:rPr>
          <w:rFonts w:eastAsia="Palatino" w:cs="Palatino"/>
          <w:szCs w:val="26"/>
        </w:rPr>
        <w:t xml:space="preserve">may nevertheless be </w:t>
      </w:r>
      <w:r w:rsidRPr="00BC4FA9">
        <w:rPr>
          <w:rFonts w:eastAsia="Palatino" w:cs="Palatino"/>
          <w:szCs w:val="26"/>
        </w:rPr>
        <w:t xml:space="preserve">deemed reasonable if </w:t>
      </w:r>
      <w:r w:rsidRPr="00BC4FA9" w:rsidR="00385A9B">
        <w:rPr>
          <w:rFonts w:eastAsia="Palatino" w:cs="Palatino"/>
          <w:szCs w:val="26"/>
        </w:rPr>
        <w:t>the needed</w:t>
      </w:r>
      <w:r w:rsidRPr="00BC4FA9">
        <w:rPr>
          <w:rFonts w:eastAsia="Palatino" w:cs="Palatino"/>
          <w:szCs w:val="26"/>
        </w:rPr>
        <w:t xml:space="preserve"> volume</w:t>
      </w:r>
      <w:r w:rsidRPr="00BC4FA9" w:rsidR="006353E0">
        <w:rPr>
          <w:rFonts w:eastAsia="Palatino" w:cs="Palatino"/>
          <w:szCs w:val="26"/>
        </w:rPr>
        <w:t>s</w:t>
      </w:r>
      <w:r w:rsidRPr="00BC4FA9" w:rsidR="00385A9B">
        <w:rPr>
          <w:rFonts w:eastAsia="Palatino" w:cs="Palatino"/>
          <w:szCs w:val="26"/>
        </w:rPr>
        <w:t xml:space="preserve"> </w:t>
      </w:r>
      <w:r w:rsidRPr="00BC4FA9" w:rsidR="006353E0">
        <w:rPr>
          <w:rFonts w:eastAsia="Palatino" w:cs="Palatino"/>
          <w:szCs w:val="26"/>
        </w:rPr>
        <w:t xml:space="preserve">are </w:t>
      </w:r>
      <w:r w:rsidRPr="00BC4FA9" w:rsidR="00E22414">
        <w:rPr>
          <w:rFonts w:eastAsia="Palatino" w:cs="Palatino"/>
          <w:szCs w:val="26"/>
        </w:rPr>
        <w:t xml:space="preserve">procured </w:t>
      </w:r>
      <w:r w:rsidRPr="00BC4FA9">
        <w:rPr>
          <w:rFonts w:eastAsia="Palatino" w:cs="Palatino"/>
          <w:szCs w:val="26"/>
        </w:rPr>
        <w:t>on the Intercontinental Exchange (ICE)</w:t>
      </w:r>
      <w:r w:rsidRPr="00BC4FA9" w:rsidR="00E22414">
        <w:rPr>
          <w:rFonts w:eastAsia="Palatino" w:cs="Palatino"/>
          <w:szCs w:val="26"/>
        </w:rPr>
        <w:t>. If the needed volume</w:t>
      </w:r>
      <w:r w:rsidRPr="00BC4FA9" w:rsidR="00373534">
        <w:rPr>
          <w:rFonts w:eastAsia="Palatino" w:cs="Palatino"/>
          <w:szCs w:val="26"/>
        </w:rPr>
        <w:t>s are</w:t>
      </w:r>
      <w:r w:rsidRPr="00BC4FA9" w:rsidR="00E22414">
        <w:rPr>
          <w:rFonts w:eastAsia="Palatino" w:cs="Palatino"/>
          <w:szCs w:val="26"/>
        </w:rPr>
        <w:t xml:space="preserve"> not available, the System Operator </w:t>
      </w:r>
      <w:r w:rsidRPr="00BC4FA9" w:rsidR="009941FA">
        <w:rPr>
          <w:rFonts w:eastAsia="Palatino" w:cs="Palatino"/>
          <w:szCs w:val="26"/>
        </w:rPr>
        <w:t xml:space="preserve">may </w:t>
      </w:r>
      <w:r w:rsidRPr="00BC4FA9">
        <w:rPr>
          <w:rFonts w:eastAsia="Palatino" w:cs="Palatino"/>
          <w:szCs w:val="26"/>
        </w:rPr>
        <w:t xml:space="preserve">contact gas suppliers (other than </w:t>
      </w:r>
      <w:r w:rsidRPr="00BC4FA9" w:rsidR="00D41BDD">
        <w:rPr>
          <w:rFonts w:eastAsia="Palatino" w:cs="Palatino"/>
          <w:szCs w:val="26"/>
        </w:rPr>
        <w:t xml:space="preserve">Gas Acquisition </w:t>
      </w:r>
      <w:r w:rsidRPr="00BC4FA9">
        <w:rPr>
          <w:rFonts w:eastAsia="Palatino" w:cs="Palatino"/>
          <w:szCs w:val="26"/>
        </w:rPr>
        <w:t>or affiliates)</w:t>
      </w:r>
      <w:r w:rsidRPr="00BC4FA9" w:rsidR="00050076">
        <w:rPr>
          <w:rFonts w:eastAsia="Palatino" w:cs="Palatino"/>
          <w:szCs w:val="26"/>
        </w:rPr>
        <w:t xml:space="preserve">, </w:t>
      </w:r>
      <w:r w:rsidRPr="00BC4FA9" w:rsidR="00050076">
        <w:rPr>
          <w:rFonts w:eastAsia="Palatino" w:cs="Palatino"/>
          <w:szCs w:val="26"/>
        </w:rPr>
        <w:lastRenderedPageBreak/>
        <w:t xml:space="preserve">request </w:t>
      </w:r>
      <w:r w:rsidRPr="00BC4FA9" w:rsidR="00282F28">
        <w:rPr>
          <w:rFonts w:eastAsia="Palatino" w:cs="Palatino"/>
          <w:szCs w:val="26"/>
        </w:rPr>
        <w:t xml:space="preserve">price </w:t>
      </w:r>
      <w:r w:rsidRPr="00BC4FA9" w:rsidR="00050076">
        <w:rPr>
          <w:rFonts w:eastAsia="Palatino" w:cs="Palatino"/>
          <w:szCs w:val="26"/>
        </w:rPr>
        <w:t>offers,</w:t>
      </w:r>
      <w:r w:rsidRPr="00BC4FA9">
        <w:rPr>
          <w:rFonts w:eastAsia="Palatino" w:cs="Palatino"/>
          <w:szCs w:val="26"/>
        </w:rPr>
        <w:t xml:space="preserve"> and record their offers for gas delivered to the relevant trading points</w:t>
      </w:r>
      <w:r w:rsidRPr="00BC4FA9" w:rsidR="004313D4">
        <w:rPr>
          <w:rFonts w:eastAsia="Palatino" w:cs="Palatino"/>
          <w:szCs w:val="26"/>
        </w:rPr>
        <w:t xml:space="preserve">. </w:t>
      </w:r>
      <w:r w:rsidRPr="00BC4FA9" w:rsidR="00FC3976">
        <w:rPr>
          <w:rFonts w:eastAsia="Palatino" w:cs="Palatino"/>
          <w:szCs w:val="26"/>
        </w:rPr>
        <w:t>A</w:t>
      </w:r>
      <w:r w:rsidRPr="00BC4FA9">
        <w:rPr>
          <w:rFonts w:eastAsia="Palatino" w:cs="Palatino"/>
          <w:szCs w:val="26"/>
        </w:rPr>
        <w:t xml:space="preserve">t least three offers from three different suppliers </w:t>
      </w:r>
      <w:r w:rsidRPr="00BC4FA9" w:rsidR="004B7513">
        <w:rPr>
          <w:rFonts w:eastAsia="Palatino" w:cs="Palatino"/>
          <w:szCs w:val="26"/>
        </w:rPr>
        <w:t xml:space="preserve">must be obtained </w:t>
      </w:r>
      <w:r w:rsidRPr="00BC4FA9">
        <w:rPr>
          <w:rFonts w:eastAsia="Palatino" w:cs="Palatino"/>
          <w:szCs w:val="26"/>
        </w:rPr>
        <w:t xml:space="preserve">for </w:t>
      </w:r>
      <w:r w:rsidRPr="00BC4FA9" w:rsidR="004B7513">
        <w:rPr>
          <w:rFonts w:eastAsia="Palatino" w:cs="Palatino"/>
          <w:szCs w:val="26"/>
        </w:rPr>
        <w:t xml:space="preserve">price </w:t>
      </w:r>
      <w:r w:rsidRPr="00BC4FA9">
        <w:rPr>
          <w:rFonts w:eastAsia="Palatino" w:cs="Palatino"/>
          <w:szCs w:val="26"/>
        </w:rPr>
        <w:t xml:space="preserve">comparison. The </w:t>
      </w:r>
      <w:r w:rsidRPr="00BC4FA9" w:rsidR="00987D0A">
        <w:rPr>
          <w:rFonts w:eastAsia="Palatino" w:cs="Palatino"/>
          <w:szCs w:val="26"/>
        </w:rPr>
        <w:t xml:space="preserve">System Operator </w:t>
      </w:r>
      <w:r w:rsidRPr="00BC4FA9">
        <w:rPr>
          <w:rFonts w:eastAsia="Palatino" w:cs="Palatino"/>
          <w:szCs w:val="26"/>
        </w:rPr>
        <w:t>shall compare</w:t>
      </w:r>
      <w:r w:rsidRPr="00BC4FA9" w:rsidR="00C2157D">
        <w:rPr>
          <w:rFonts w:eastAsia="Palatino" w:cs="Palatino"/>
          <w:szCs w:val="26"/>
        </w:rPr>
        <w:t xml:space="preserve"> ICE</w:t>
      </w:r>
      <w:r w:rsidRPr="00BC4FA9">
        <w:rPr>
          <w:rFonts w:eastAsia="Palatino" w:cs="Palatino"/>
          <w:szCs w:val="26"/>
        </w:rPr>
        <w:t xml:space="preserve"> prices</w:t>
      </w:r>
      <w:r w:rsidRPr="00BC4FA9" w:rsidR="00C2157D">
        <w:rPr>
          <w:rFonts w:eastAsia="Palatino" w:cs="Palatino"/>
          <w:szCs w:val="26"/>
        </w:rPr>
        <w:t>, if available,</w:t>
      </w:r>
      <w:r w:rsidRPr="00BC4FA9" w:rsidR="000D1086">
        <w:rPr>
          <w:rFonts w:eastAsia="Palatino" w:cs="Palatino"/>
          <w:szCs w:val="26"/>
        </w:rPr>
        <w:t xml:space="preserve"> </w:t>
      </w:r>
      <w:r w:rsidRPr="00BC4FA9">
        <w:rPr>
          <w:rFonts w:eastAsia="Palatino" w:cs="Palatino"/>
          <w:szCs w:val="26"/>
        </w:rPr>
        <w:t xml:space="preserve">and supplier </w:t>
      </w:r>
      <w:r w:rsidRPr="00BC4FA9" w:rsidR="000D1086">
        <w:rPr>
          <w:rFonts w:eastAsia="Palatino" w:cs="Palatino"/>
          <w:szCs w:val="26"/>
        </w:rPr>
        <w:t xml:space="preserve">quotes, </w:t>
      </w:r>
      <w:r w:rsidRPr="00BC4FA9">
        <w:rPr>
          <w:rFonts w:eastAsia="Palatino" w:cs="Palatino"/>
          <w:szCs w:val="26"/>
        </w:rPr>
        <w:t xml:space="preserve">and select the </w:t>
      </w:r>
      <w:r w:rsidRPr="00BC4FA9" w:rsidR="00D92389">
        <w:rPr>
          <w:rFonts w:eastAsia="Palatino" w:cs="Palatino"/>
          <w:szCs w:val="26"/>
        </w:rPr>
        <w:t xml:space="preserve">lowest-cost option </w:t>
      </w:r>
      <w:r w:rsidRPr="00BC4FA9">
        <w:rPr>
          <w:rFonts w:eastAsia="Palatino" w:cs="Palatino"/>
          <w:szCs w:val="26"/>
        </w:rPr>
        <w:t xml:space="preserve">to meet the quantities required to meet </w:t>
      </w:r>
      <w:r w:rsidRPr="00BC4FA9" w:rsidR="005C4606">
        <w:rPr>
          <w:rFonts w:eastAsia="Palatino" w:cs="Palatino"/>
          <w:szCs w:val="26"/>
        </w:rPr>
        <w:t>the Southern System Minimum</w:t>
      </w:r>
      <w:r w:rsidRPr="00BC4FA9">
        <w:rPr>
          <w:rFonts w:eastAsia="Palatino" w:cs="Palatino"/>
          <w:szCs w:val="26"/>
        </w:rPr>
        <w:t>.</w:t>
      </w:r>
      <w:r w:rsidRPr="00BC4FA9" w:rsidR="00AE4170">
        <w:rPr>
          <w:rFonts w:eastAsia="Palatino" w:cs="Palatino"/>
          <w:szCs w:val="26"/>
        </w:rPr>
        <w:t xml:space="preserve"> Verification that this procedure was followed must be included </w:t>
      </w:r>
      <w:r w:rsidRPr="00BC4FA9" w:rsidR="00F8620F">
        <w:rPr>
          <w:rFonts w:eastAsia="Palatino" w:cs="Palatino"/>
          <w:szCs w:val="26"/>
        </w:rPr>
        <w:t xml:space="preserve">in the </w:t>
      </w:r>
      <w:r w:rsidRPr="00BC4FA9" w:rsidR="00C507D5">
        <w:rPr>
          <w:rFonts w:eastAsia="Palatino" w:cs="Palatino"/>
          <w:szCs w:val="26"/>
        </w:rPr>
        <w:t>ACR</w:t>
      </w:r>
      <w:r w:rsidRPr="00BC4FA9" w:rsidR="00F8620F">
        <w:rPr>
          <w:rFonts w:eastAsia="Palatino" w:cs="Palatino"/>
          <w:szCs w:val="26"/>
        </w:rPr>
        <w:t>.</w:t>
      </w:r>
    </w:p>
    <w:p w:rsidRPr="00BC4FA9" w:rsidR="00A50D7F" w:rsidP="00A50D7F" w:rsidRDefault="00A50D7F" w14:paraId="788B1A86" w14:textId="77777777">
      <w:pPr>
        <w:rPr>
          <w:rFonts w:eastAsia="Palatino" w:cs="Palatino"/>
          <w:szCs w:val="26"/>
        </w:rPr>
      </w:pPr>
    </w:p>
    <w:p w:rsidRPr="00BC4FA9" w:rsidR="00FF7881" w:rsidP="00A50D7F" w:rsidRDefault="00A50D7F" w14:paraId="365C7B7B" w14:textId="041F014E">
      <w:pPr>
        <w:rPr>
          <w:rFonts w:eastAsia="Palatino" w:cs="Palatino"/>
          <w:szCs w:val="26"/>
        </w:rPr>
      </w:pPr>
      <w:r w:rsidRPr="00BC4FA9">
        <w:rPr>
          <w:rFonts w:eastAsia="Palatino" w:cs="Palatino"/>
          <w:szCs w:val="26"/>
        </w:rPr>
        <w:t xml:space="preserve">Section 17 states that purchases and sales other than those described in Sections 14, 15, and 16 will not be deemed unreasonable but shall be subject to review and any requests for explanation by the </w:t>
      </w:r>
      <w:r w:rsidRPr="00BC4FA9" w:rsidR="00AD1436">
        <w:rPr>
          <w:rFonts w:eastAsia="Palatino" w:cs="Palatino"/>
          <w:szCs w:val="26"/>
        </w:rPr>
        <w:t>Commission</w:t>
      </w:r>
      <w:r w:rsidRPr="00BC4FA9" w:rsidR="00AC5A39">
        <w:rPr>
          <w:rFonts w:eastAsia="Palatino" w:cs="Palatino"/>
          <w:szCs w:val="26"/>
        </w:rPr>
        <w:t>’</w:t>
      </w:r>
      <w:r w:rsidRPr="00BC4FA9" w:rsidR="00F8620F">
        <w:rPr>
          <w:rFonts w:eastAsia="Palatino" w:cs="Palatino"/>
          <w:szCs w:val="26"/>
        </w:rPr>
        <w:t>s</w:t>
      </w:r>
      <w:r w:rsidRPr="00BC4FA9">
        <w:rPr>
          <w:rFonts w:eastAsia="Palatino" w:cs="Palatino"/>
          <w:szCs w:val="26"/>
        </w:rPr>
        <w:t xml:space="preserve"> Energy Division in conjunction with the </w:t>
      </w:r>
      <w:r w:rsidRPr="00BC4FA9" w:rsidR="004A7707">
        <w:rPr>
          <w:rFonts w:eastAsia="Palatino" w:cs="Palatino"/>
          <w:szCs w:val="26"/>
        </w:rPr>
        <w:t>ACR</w:t>
      </w:r>
      <w:r w:rsidRPr="00BC4FA9">
        <w:rPr>
          <w:rFonts w:eastAsia="Palatino" w:cs="Palatino"/>
          <w:szCs w:val="26"/>
        </w:rPr>
        <w:t>.</w:t>
      </w:r>
      <w:r w:rsidRPr="00BC4FA9" w:rsidR="02960000">
        <w:rPr>
          <w:rFonts w:eastAsia="Palatino" w:cs="Palatino"/>
          <w:szCs w:val="26"/>
        </w:rPr>
        <w:t xml:space="preserve"> </w:t>
      </w:r>
    </w:p>
    <w:p w:rsidRPr="00BC4FA9" w:rsidR="00E92B10" w:rsidP="00A50D7F" w:rsidRDefault="00E92B10" w14:paraId="02700175" w14:textId="77777777">
      <w:pPr>
        <w:rPr>
          <w:rFonts w:eastAsia="Palatino" w:cs="Palatino"/>
          <w:szCs w:val="26"/>
        </w:rPr>
      </w:pPr>
    </w:p>
    <w:p w:rsidRPr="00BC4FA9" w:rsidR="00E92B10" w:rsidP="00F95D18" w:rsidRDefault="00E92B10" w14:paraId="007C84E2" w14:textId="28E1B847">
      <w:pPr>
        <w:tabs>
          <w:tab w:val="num" w:pos="720"/>
        </w:tabs>
        <w:rPr>
          <w:rFonts w:eastAsia="Palatino" w:cs="Palatino"/>
          <w:szCs w:val="26"/>
        </w:rPr>
      </w:pPr>
      <w:r w:rsidRPr="00BC4FA9">
        <w:rPr>
          <w:rFonts w:eastAsia="Palatino" w:cs="Palatino"/>
          <w:szCs w:val="26"/>
        </w:rPr>
        <w:t xml:space="preserve">Section 19 </w:t>
      </w:r>
      <w:r w:rsidRPr="00BC4FA9" w:rsidR="00A51C8A">
        <w:rPr>
          <w:rFonts w:eastAsia="Palatino" w:cs="Palatino"/>
          <w:szCs w:val="26"/>
        </w:rPr>
        <w:t xml:space="preserve">sets pre-approved “safe harbor” rules for longer-term baseload gas contracts to support Southern System reliability. </w:t>
      </w:r>
      <w:r w:rsidRPr="00BC4FA9" w:rsidR="00076871">
        <w:rPr>
          <w:rFonts w:eastAsia="Palatino" w:cs="Palatino"/>
          <w:szCs w:val="26"/>
        </w:rPr>
        <w:t>If SoCalGas stays within defined volume limits, contract timing, and price benchmarks</w:t>
      </w:r>
      <w:r w:rsidRPr="00BC4FA9" w:rsidR="00280E25">
        <w:rPr>
          <w:rFonts w:eastAsia="Palatino" w:cs="Palatino"/>
          <w:szCs w:val="26"/>
        </w:rPr>
        <w:t xml:space="preserve"> tied to NGI </w:t>
      </w:r>
      <w:proofErr w:type="spellStart"/>
      <w:r w:rsidRPr="00BC4FA9" w:rsidR="00557944">
        <w:rPr>
          <w:rFonts w:eastAsia="Palatino" w:cs="Palatino"/>
          <w:szCs w:val="26"/>
        </w:rPr>
        <w:t>B</w:t>
      </w:r>
      <w:r w:rsidRPr="00BC4FA9" w:rsidR="00280E25">
        <w:rPr>
          <w:rFonts w:eastAsia="Palatino" w:cs="Palatino"/>
          <w:szCs w:val="26"/>
        </w:rPr>
        <w:t>idweek</w:t>
      </w:r>
      <w:proofErr w:type="spellEnd"/>
      <w:r w:rsidRPr="00BC4FA9" w:rsidR="00280E25">
        <w:rPr>
          <w:rFonts w:eastAsia="Palatino" w:cs="Palatino"/>
          <w:szCs w:val="26"/>
        </w:rPr>
        <w:t xml:space="preserve"> indices</w:t>
      </w:r>
      <w:r w:rsidRPr="00BC4FA9" w:rsidR="00076871">
        <w:rPr>
          <w:rFonts w:eastAsia="Palatino" w:cs="Palatino"/>
          <w:szCs w:val="26"/>
        </w:rPr>
        <w:t>, those baseload purchases and sales are automatically considered reasonable and recoverable, without case-by-case scrutiny.</w:t>
      </w:r>
      <w:r w:rsidRPr="00BC4FA9" w:rsidR="00B92657">
        <w:rPr>
          <w:rFonts w:eastAsia="Palatino" w:cs="Palatino"/>
          <w:szCs w:val="26"/>
        </w:rPr>
        <w:t xml:space="preserve"> </w:t>
      </w:r>
      <w:r w:rsidRPr="00BC4FA9" w:rsidR="004F63EA">
        <w:rPr>
          <w:rFonts w:eastAsia="Palatino" w:cs="Palatino"/>
          <w:szCs w:val="26"/>
        </w:rPr>
        <w:t xml:space="preserve">When such </w:t>
      </w:r>
      <w:r w:rsidRPr="00BC4FA9" w:rsidR="00076871">
        <w:rPr>
          <w:rFonts w:eastAsia="Palatino" w:cs="Palatino"/>
          <w:szCs w:val="26"/>
        </w:rPr>
        <w:t xml:space="preserve">conditions are met, Energy Division </w:t>
      </w:r>
      <w:r w:rsidRPr="00BC4FA9" w:rsidR="00F95D18">
        <w:rPr>
          <w:rFonts w:eastAsia="Palatino" w:cs="Palatino"/>
          <w:szCs w:val="26"/>
        </w:rPr>
        <w:t>deems</w:t>
      </w:r>
      <w:r w:rsidRPr="00BC4FA9" w:rsidR="005D1FE9">
        <w:rPr>
          <w:rFonts w:eastAsia="Palatino" w:cs="Palatino"/>
          <w:szCs w:val="26"/>
        </w:rPr>
        <w:t xml:space="preserve"> the </w:t>
      </w:r>
      <w:r w:rsidRPr="00BC4FA9" w:rsidR="00B42DBF">
        <w:rPr>
          <w:rFonts w:eastAsia="Palatino" w:cs="Palatino"/>
          <w:szCs w:val="26"/>
        </w:rPr>
        <w:t xml:space="preserve">report of </w:t>
      </w:r>
      <w:r w:rsidRPr="00BC4FA9" w:rsidR="005D1FE9">
        <w:rPr>
          <w:rFonts w:eastAsia="Palatino" w:cs="Palatino"/>
          <w:szCs w:val="26"/>
        </w:rPr>
        <w:t>baseload contracts</w:t>
      </w:r>
      <w:r w:rsidRPr="00BC4FA9" w:rsidR="00076871">
        <w:rPr>
          <w:rFonts w:eastAsia="Palatino" w:cs="Palatino"/>
          <w:szCs w:val="26"/>
        </w:rPr>
        <w:t xml:space="preserve"> largely procedural.</w:t>
      </w:r>
      <w:r w:rsidRPr="00BC4FA9">
        <w:rPr>
          <w:rFonts w:eastAsia="Palatino" w:cs="Palatino"/>
          <w:szCs w:val="26"/>
        </w:rPr>
        <w:t xml:space="preserve"> </w:t>
      </w:r>
    </w:p>
    <w:p w:rsidRPr="00BC4FA9" w:rsidR="002403CE" w:rsidP="002403CE" w:rsidRDefault="002403CE" w14:paraId="64F3FA57" w14:textId="77777777">
      <w:pPr>
        <w:rPr>
          <w:b/>
          <w:u w:val="single"/>
        </w:rPr>
      </w:pPr>
    </w:p>
    <w:p w:rsidRPr="00BC4FA9" w:rsidR="00CF17DE" w:rsidRDefault="00394B3A" w14:paraId="66788129" w14:textId="77777777">
      <w:pPr>
        <w:pStyle w:val="Heading1"/>
        <w:rPr>
          <w:rFonts w:ascii="Palatino Linotype" w:hAnsi="Palatino Linotype"/>
        </w:rPr>
      </w:pPr>
      <w:r w:rsidRPr="00BC4FA9">
        <w:rPr>
          <w:rFonts w:ascii="Palatino Linotype" w:hAnsi="Palatino Linotype"/>
        </w:rPr>
        <w:t>Notice</w:t>
      </w:r>
    </w:p>
    <w:p w:rsidRPr="00BC4FA9" w:rsidR="00CF17DE" w:rsidP="00E55630" w:rsidRDefault="00CF17DE" w14:paraId="37FFE207" w14:textId="14ACDF69">
      <w:r w:rsidRPr="00BC4FA9">
        <w:t xml:space="preserve">Notice of AL </w:t>
      </w:r>
      <w:r w:rsidRPr="00BC4FA9" w:rsidR="005D1FE9">
        <w:t>6558</w:t>
      </w:r>
      <w:r w:rsidRPr="00BC4FA9" w:rsidR="0098098D">
        <w:t>-</w:t>
      </w:r>
      <w:r w:rsidRPr="00BC4FA9">
        <w:t>G was made by publication in the Commission</w:t>
      </w:r>
      <w:r w:rsidRPr="00BC4FA9" w:rsidR="00AC5A39">
        <w:t>’</w:t>
      </w:r>
      <w:r w:rsidRPr="00BC4FA9">
        <w:t xml:space="preserve">s Daily Calendar. </w:t>
      </w:r>
      <w:r w:rsidRPr="00BC4FA9" w:rsidR="0098098D">
        <w:t xml:space="preserve">SoCalGas </w:t>
      </w:r>
      <w:r w:rsidRPr="00BC4FA9">
        <w:t>states that a copy of the Advice Letter was mailed and distributed in accordance with Sec</w:t>
      </w:r>
      <w:r w:rsidRPr="00BC4FA9" w:rsidR="00A1526C">
        <w:t xml:space="preserve">tion </w:t>
      </w:r>
      <w:r w:rsidRPr="00BC4FA9" w:rsidR="0069631C">
        <w:t>4</w:t>
      </w:r>
      <w:r w:rsidRPr="00BC4FA9" w:rsidR="00E928CF">
        <w:t xml:space="preserve"> of General Order 96-B</w:t>
      </w:r>
      <w:r w:rsidRPr="00BC4FA9" w:rsidR="00D85AC2">
        <w:t xml:space="preserve"> and </w:t>
      </w:r>
      <w:r w:rsidRPr="00BC4FA9" w:rsidR="00C577A2">
        <w:t xml:space="preserve">applicable </w:t>
      </w:r>
      <w:r w:rsidRPr="00BC4FA9" w:rsidR="000667FC">
        <w:t>service list</w:t>
      </w:r>
      <w:r w:rsidRPr="00BC4FA9" w:rsidR="00C577A2">
        <w:t>s, including the service list</w:t>
      </w:r>
      <w:r w:rsidRPr="00BC4FA9" w:rsidR="000667FC">
        <w:t xml:space="preserve"> for </w:t>
      </w:r>
      <w:r w:rsidRPr="00BC4FA9" w:rsidR="000224C2">
        <w:t xml:space="preserve">Application </w:t>
      </w:r>
      <w:r w:rsidRPr="00BC4FA9" w:rsidR="005E3CFC">
        <w:t>A.</w:t>
      </w:r>
      <w:r w:rsidRPr="00BC4FA9" w:rsidR="00B62147">
        <w:t>25-09-014</w:t>
      </w:r>
      <w:r w:rsidRPr="00BC4FA9" w:rsidR="005E3CFC">
        <w:t xml:space="preserve"> </w:t>
      </w:r>
      <w:r w:rsidRPr="00BC4FA9" w:rsidR="00136C4A">
        <w:t xml:space="preserve">(SoCalGas/SDG&amp;E </w:t>
      </w:r>
      <w:r w:rsidRPr="00BC4FA9" w:rsidR="00C332D7">
        <w:t>Cost Allocation Proceeding)</w:t>
      </w:r>
      <w:r w:rsidRPr="00BC4FA9">
        <w:t xml:space="preserve">. </w:t>
      </w:r>
    </w:p>
    <w:p w:rsidRPr="00BC4FA9" w:rsidR="00CF17DE" w:rsidRDefault="00CF17DE" w14:paraId="6E8F021A" w14:textId="77777777"/>
    <w:p w:rsidRPr="00BC4FA9" w:rsidR="00CF17DE" w:rsidRDefault="00CF17DE" w14:paraId="7F509E4C" w14:textId="77777777">
      <w:pPr>
        <w:pStyle w:val="Heading1"/>
        <w:rPr>
          <w:rFonts w:ascii="Palatino Linotype" w:hAnsi="Palatino Linotype"/>
        </w:rPr>
      </w:pPr>
      <w:r w:rsidRPr="00BC4FA9">
        <w:rPr>
          <w:rFonts w:ascii="Palatino Linotype" w:hAnsi="Palatino Linotype"/>
        </w:rPr>
        <w:t>Protests</w:t>
      </w:r>
    </w:p>
    <w:p w:rsidRPr="00BC4FA9" w:rsidR="00CF17DE" w:rsidRDefault="00075DE2" w14:paraId="6037AFF4" w14:textId="071FF18F">
      <w:r w:rsidRPr="00BC4FA9">
        <w:t>SoCalGas’s AL 6558-G</w:t>
      </w:r>
      <w:r w:rsidRPr="00BC4FA9" w:rsidR="00942459">
        <w:t xml:space="preserve"> received one protest</w:t>
      </w:r>
      <w:r w:rsidRPr="00BC4FA9">
        <w:t xml:space="preserve"> by the </w:t>
      </w:r>
      <w:r w:rsidRPr="00BC4FA9" w:rsidR="0042291A">
        <w:t xml:space="preserve">Public Advocates Office (Cal </w:t>
      </w:r>
      <w:r w:rsidRPr="00BC4FA9" w:rsidR="00ED7C31">
        <w:t>Advocates</w:t>
      </w:r>
      <w:r w:rsidRPr="00BC4FA9" w:rsidR="0042291A">
        <w:t>)</w:t>
      </w:r>
      <w:r w:rsidRPr="00BC4FA9" w:rsidR="00942459">
        <w:t>, timely filed</w:t>
      </w:r>
      <w:r w:rsidRPr="00BC4FA9" w:rsidR="0042291A">
        <w:t xml:space="preserve"> </w:t>
      </w:r>
      <w:r w:rsidRPr="00BC4FA9" w:rsidR="007F7A64">
        <w:t>on November 24, 2025</w:t>
      </w:r>
      <w:r w:rsidRPr="00BC4FA9" w:rsidR="00CF17DE">
        <w:t>.</w:t>
      </w:r>
      <w:r w:rsidRPr="00BC4FA9" w:rsidR="00912C77">
        <w:t xml:space="preserve"> </w:t>
      </w:r>
    </w:p>
    <w:p w:rsidRPr="00BC4FA9" w:rsidR="00CF17DE" w:rsidRDefault="00CF17DE" w14:paraId="7D3916F3" w14:textId="77777777"/>
    <w:p w:rsidRPr="00BC4FA9" w:rsidR="00B924BB" w:rsidP="00AA187B" w:rsidRDefault="00B924BB" w14:paraId="3C10C1BF" w14:textId="1E39284F">
      <w:r w:rsidRPr="00BC4FA9">
        <w:t>Cal Advocates</w:t>
      </w:r>
      <w:r w:rsidRPr="00BC4FA9" w:rsidR="000850AA">
        <w:t>’ protest</w:t>
      </w:r>
      <w:r w:rsidRPr="00BC4FA9">
        <w:t xml:space="preserve"> raised two primary concerns</w:t>
      </w:r>
      <w:r w:rsidRPr="00BC4FA9" w:rsidR="00AA187B">
        <w:t xml:space="preserve"> about revising </w:t>
      </w:r>
      <w:r w:rsidRPr="00BC4FA9">
        <w:t>Section</w:t>
      </w:r>
      <w:r w:rsidRPr="00BC4FA9" w:rsidR="00DE556C">
        <w:t>s</w:t>
      </w:r>
      <w:r w:rsidRPr="00BC4FA9">
        <w:t xml:space="preserve"> 15 </w:t>
      </w:r>
      <w:r w:rsidRPr="00BC4FA9" w:rsidR="00AA187B">
        <w:t>and 19</w:t>
      </w:r>
      <w:r w:rsidRPr="00BC4FA9" w:rsidR="00072B05">
        <w:t xml:space="preserve"> of Gas Rule No. 41</w:t>
      </w:r>
      <w:r w:rsidRPr="00BC4FA9" w:rsidR="00AA187B">
        <w:t>.</w:t>
      </w:r>
      <w:r w:rsidRPr="00BC4FA9" w:rsidR="00072B05">
        <w:t xml:space="preserve"> </w:t>
      </w:r>
      <w:r w:rsidRPr="00BC4FA9" w:rsidR="00D11062">
        <w:t xml:space="preserve">Cal Advocates argued that the proposed revision to </w:t>
      </w:r>
      <w:r w:rsidRPr="00BC4FA9" w:rsidR="00D92B1B">
        <w:t xml:space="preserve">change tariffs in </w:t>
      </w:r>
      <w:r w:rsidRPr="00BC4FA9" w:rsidR="00D11062">
        <w:t xml:space="preserve">Section 15 could be subject to manipulation because SoCalGas had not demonstrated that the proposed “five-supplier” fallback would be sufficiently transparent or resistant to gaming. </w:t>
      </w:r>
      <w:r w:rsidRPr="00BC4FA9" w:rsidR="003C03B6">
        <w:t xml:space="preserve">If supplier outreach were to be selectively conducted or timed in a manner that limits responses, it could potentially lead to higher procurement costs borne by ratepayers. </w:t>
      </w:r>
      <w:r w:rsidRPr="00BC4FA9" w:rsidR="00854430">
        <w:t xml:space="preserve">Concerning the revision </w:t>
      </w:r>
      <w:r w:rsidRPr="00BC4FA9" w:rsidR="00BD3B17">
        <w:t>to</w:t>
      </w:r>
      <w:r w:rsidRPr="00BC4FA9" w:rsidR="00854430">
        <w:t xml:space="preserve"> </w:t>
      </w:r>
      <w:r w:rsidRPr="00BC4FA9" w:rsidR="002711B2">
        <w:t>Section 19</w:t>
      </w:r>
      <w:r w:rsidRPr="00BC4FA9" w:rsidR="00854430">
        <w:t xml:space="preserve">, </w:t>
      </w:r>
      <w:r w:rsidRPr="00BC4FA9" w:rsidR="00705524">
        <w:t xml:space="preserve">Cal Advocates </w:t>
      </w:r>
      <w:r w:rsidRPr="00BC4FA9" w:rsidR="00655EC2">
        <w:t>argue</w:t>
      </w:r>
      <w:r w:rsidRPr="00BC4FA9" w:rsidR="0086427E">
        <w:t>d</w:t>
      </w:r>
      <w:r w:rsidRPr="00BC4FA9" w:rsidR="00655EC2">
        <w:t xml:space="preserve"> </w:t>
      </w:r>
      <w:r w:rsidRPr="00BC4FA9" w:rsidR="00747AD6">
        <w:t>that SoCalGas had not sufficiently demonstrated that replac</w:t>
      </w:r>
      <w:r w:rsidRPr="00BC4FA9" w:rsidR="0002209F">
        <w:t>ing</w:t>
      </w:r>
      <w:r w:rsidRPr="00BC4FA9" w:rsidR="00747AD6">
        <w:t xml:space="preserve"> the existing “Southern Cal. </w:t>
      </w:r>
      <w:proofErr w:type="spellStart"/>
      <w:r w:rsidRPr="00BC4FA9" w:rsidR="00747AD6">
        <w:t>Bdr</w:t>
      </w:r>
      <w:proofErr w:type="spellEnd"/>
      <w:r w:rsidRPr="00BC4FA9" w:rsidR="00747AD6">
        <w:t xml:space="preserve">. Avg. + </w:t>
      </w:r>
      <w:r w:rsidRPr="00BC4FA9" w:rsidR="00747AD6">
        <w:lastRenderedPageBreak/>
        <w:t>$0.082/Dth” benchmark with a 110 percent</w:t>
      </w:r>
      <w:r w:rsidRPr="00BC4FA9" w:rsidR="0086427E">
        <w:t xml:space="preserve"> of</w:t>
      </w:r>
      <w:r w:rsidRPr="00BC4FA9" w:rsidR="00747AD6">
        <w:t xml:space="preserve"> NGI </w:t>
      </w:r>
      <w:proofErr w:type="spellStart"/>
      <w:r w:rsidRPr="00BC4FA9" w:rsidR="00747AD6">
        <w:t>Bidweek</w:t>
      </w:r>
      <w:proofErr w:type="spellEnd"/>
      <w:r w:rsidRPr="00BC4FA9" w:rsidR="00747AD6">
        <w:t xml:space="preserve"> index benchmark </w:t>
      </w:r>
      <w:r w:rsidRPr="00BC4FA9" w:rsidR="00B34F09">
        <w:t xml:space="preserve">would be </w:t>
      </w:r>
      <w:r w:rsidRPr="00BC4FA9" w:rsidR="00747AD6">
        <w:t>reasonable and in the best interest of ratepayers.</w:t>
      </w:r>
      <w:r w:rsidRPr="00BC4FA9" w:rsidR="002711B2">
        <w:t xml:space="preserve"> Cal Advocates requested additional time to evaluate SoCalGas’s supporting data, citing inconsistencies in previously provided data tables.</w:t>
      </w:r>
    </w:p>
    <w:p w:rsidRPr="00BC4FA9" w:rsidR="00705524" w:rsidP="00705524" w:rsidRDefault="00705524" w14:paraId="52125AAC" w14:textId="77777777"/>
    <w:p w:rsidRPr="00BC4FA9" w:rsidR="00521273" w:rsidP="00521273" w:rsidRDefault="00521273" w14:paraId="7811743F" w14:textId="77777777">
      <w:r w:rsidRPr="00BC4FA9">
        <w:t>SoCalGas responded timely to Cal Advocates’ protest on December 3, 2025.</w:t>
      </w:r>
    </w:p>
    <w:p w:rsidRPr="00BC4FA9" w:rsidR="00521273" w:rsidP="00705524" w:rsidRDefault="00521273" w14:paraId="269688F9" w14:textId="77777777"/>
    <w:p w:rsidRPr="00BC4FA9" w:rsidR="00173B78" w:rsidP="00064214" w:rsidRDefault="00DA0CD6" w14:paraId="54971267" w14:textId="357353AE">
      <w:r w:rsidRPr="00BC4FA9">
        <w:t xml:space="preserve">With regard to Section 15, </w:t>
      </w:r>
      <w:r w:rsidRPr="00BC4FA9" w:rsidR="00B51D8C">
        <w:t xml:space="preserve">SoCalGas </w:t>
      </w:r>
      <w:r w:rsidRPr="00BC4FA9">
        <w:t xml:space="preserve">maintained </w:t>
      </w:r>
      <w:r w:rsidRPr="00BC4FA9" w:rsidR="0039741B">
        <w:t xml:space="preserve">that </w:t>
      </w:r>
      <w:r w:rsidRPr="00BC4FA9" w:rsidR="00B51D8C">
        <w:t xml:space="preserve">market liquidity supporting Southern System reliability purchases has declined, resulting in fewer suppliers capable of delivering incremental gas during reliability events. </w:t>
      </w:r>
      <w:r w:rsidRPr="00BC4FA9" w:rsidR="0039741B">
        <w:t xml:space="preserve">SoCalGas stated that in 2025, </w:t>
      </w:r>
      <w:r w:rsidRPr="00BC4FA9" w:rsidR="00B51D8C">
        <w:t xml:space="preserve">only </w:t>
      </w:r>
      <w:r w:rsidRPr="00BC4FA9" w:rsidR="00F715E1">
        <w:t>six</w:t>
      </w:r>
      <w:r w:rsidRPr="00BC4FA9" w:rsidR="00B51D8C">
        <w:t xml:space="preserve"> of </w:t>
      </w:r>
      <w:r w:rsidRPr="00BC4FA9" w:rsidR="00173B78">
        <w:t xml:space="preserve">17 </w:t>
      </w:r>
      <w:r w:rsidRPr="00BC4FA9" w:rsidR="00B51D8C">
        <w:t>contacted counterparties provided price offers during Southern System requests and that similar conditions are expected to persist</w:t>
      </w:r>
      <w:r w:rsidRPr="00BC4FA9" w:rsidR="008E64D6">
        <w:t xml:space="preserve"> due to competing demand for gas supplies from east of California and Mexico</w:t>
      </w:r>
      <w:r w:rsidRPr="00BC4FA9" w:rsidR="00B51D8C">
        <w:t xml:space="preserve">. </w:t>
      </w:r>
    </w:p>
    <w:p w:rsidRPr="00BC4FA9" w:rsidR="00173B78" w:rsidP="00064214" w:rsidRDefault="00173B78" w14:paraId="06F529D8" w14:textId="77777777"/>
    <w:p w:rsidRPr="00BC4FA9" w:rsidR="00F177F9" w:rsidP="0092373E" w:rsidRDefault="00B51D8C" w14:paraId="631837C0" w14:textId="2C26961A">
      <w:r w:rsidRPr="00BC4FA9">
        <w:t>With respect to Section 19, SoCalGas provided historical pricing data demonstrating that the 8.2 cents per</w:t>
      </w:r>
      <w:r w:rsidRPr="00BC4FA9" w:rsidR="0007045E">
        <w:t xml:space="preserve"> dekatherm</w:t>
      </w:r>
      <w:r w:rsidRPr="00BC4FA9">
        <w:t xml:space="preserve"> </w:t>
      </w:r>
      <w:r w:rsidRPr="00BC4FA9" w:rsidR="0007045E">
        <w:t>(</w:t>
      </w:r>
      <w:r w:rsidRPr="00BC4FA9">
        <w:t>Dth</w:t>
      </w:r>
      <w:r w:rsidRPr="00BC4FA9" w:rsidR="0007045E">
        <w:t>)</w:t>
      </w:r>
      <w:r w:rsidRPr="00BC4FA9">
        <w:t xml:space="preserve"> adder no longer reflects current Border-to-Citygate price differentials </w:t>
      </w:r>
      <w:r w:rsidRPr="00BC4FA9" w:rsidR="006E517A">
        <w:t>and that the proposed benchmark better reflects current market conditions</w:t>
      </w:r>
      <w:r w:rsidRPr="00BC4FA9">
        <w:t>.</w:t>
      </w:r>
    </w:p>
    <w:p w:rsidRPr="00BC4FA9" w:rsidR="00CF17DE" w:rsidRDefault="00CF17DE" w14:paraId="30C5808A" w14:textId="77777777"/>
    <w:p w:rsidRPr="00BC4FA9" w:rsidR="00A1039D" w:rsidP="00ED56E2" w:rsidRDefault="00CF17DE" w14:paraId="7BC72164" w14:textId="14BB02A7">
      <w:pPr>
        <w:pStyle w:val="Heading1"/>
        <w:rPr>
          <w:rFonts w:ascii="Palatino Linotype" w:hAnsi="Palatino Linotype"/>
        </w:rPr>
      </w:pPr>
      <w:r w:rsidRPr="00BC4FA9">
        <w:rPr>
          <w:rFonts w:ascii="Palatino Linotype" w:hAnsi="Palatino Linotype"/>
        </w:rPr>
        <w:t>Discussion</w:t>
      </w:r>
    </w:p>
    <w:p w:rsidRPr="00BC4FA9" w:rsidR="00CD0AF9" w:rsidP="00463CAC" w:rsidRDefault="00CD0AF9" w14:paraId="0D8BC58D" w14:textId="41EEA89B">
      <w:pPr>
        <w:rPr>
          <w:b/>
          <w:bCs/>
        </w:rPr>
      </w:pPr>
      <w:r w:rsidRPr="00BC4FA9">
        <w:rPr>
          <w:b/>
          <w:bCs/>
        </w:rPr>
        <w:t>Approval of the reported transactions</w:t>
      </w:r>
      <w:r w:rsidRPr="00BC4FA9" w:rsidR="00FD7104">
        <w:rPr>
          <w:b/>
          <w:bCs/>
        </w:rPr>
        <w:t xml:space="preserve"> in the ACR</w:t>
      </w:r>
      <w:r w:rsidRPr="00BC4FA9" w:rsidR="009D06CD">
        <w:rPr>
          <w:b/>
          <w:bCs/>
        </w:rPr>
        <w:br/>
      </w:r>
    </w:p>
    <w:p w:rsidRPr="00BC4FA9" w:rsidR="000165D8" w:rsidP="00F72F13" w:rsidRDefault="00185E04" w14:paraId="7804F41B" w14:textId="001E5EE9">
      <w:r w:rsidRPr="00BC4FA9">
        <w:t xml:space="preserve">The resolution approves </w:t>
      </w:r>
      <w:r w:rsidRPr="00BC4FA9" w:rsidR="00F867C0">
        <w:t>all</w:t>
      </w:r>
      <w:r w:rsidRPr="00BC4FA9" w:rsidR="008B0E53">
        <w:t xml:space="preserve"> </w:t>
      </w:r>
      <w:r w:rsidRPr="00BC4FA9">
        <w:t xml:space="preserve">the </w:t>
      </w:r>
      <w:r w:rsidRPr="00BC4FA9" w:rsidR="00304E30">
        <w:t xml:space="preserve">purchases and sales </w:t>
      </w:r>
      <w:r w:rsidRPr="00BC4FA9">
        <w:t xml:space="preserve">transactions </w:t>
      </w:r>
      <w:r w:rsidRPr="00BC4FA9" w:rsidR="00BB5C81">
        <w:t xml:space="preserve">executed </w:t>
      </w:r>
      <w:r w:rsidRPr="00BC4FA9" w:rsidR="00304E30">
        <w:t xml:space="preserve">by SoCalGas to maintain the Southern System minimum flow requirements </w:t>
      </w:r>
      <w:r w:rsidRPr="00BC4FA9" w:rsidR="00BB5C81">
        <w:t>during the reporting period</w:t>
      </w:r>
      <w:r w:rsidRPr="00BC4FA9" w:rsidR="00F72F13">
        <w:t xml:space="preserve"> </w:t>
      </w:r>
      <w:r w:rsidRPr="00BC4FA9" w:rsidR="0057791D">
        <w:t>under sections 14(a), 14(b), 15, and 17</w:t>
      </w:r>
      <w:r w:rsidRPr="00BC4FA9" w:rsidR="00864F31">
        <w:t xml:space="preserve"> of Gas Rule No. 41</w:t>
      </w:r>
      <w:r w:rsidRPr="00BC4FA9" w:rsidR="00107853">
        <w:t>.</w:t>
      </w:r>
      <w:r w:rsidRPr="00BC4FA9" w:rsidR="00341AC6">
        <w:t xml:space="preserve"> </w:t>
      </w:r>
    </w:p>
    <w:p w:rsidRPr="00BC4FA9" w:rsidR="000165D8" w:rsidP="00F72F13" w:rsidRDefault="000165D8" w14:paraId="68A68DE8" w14:textId="77777777"/>
    <w:p w:rsidRPr="00BC4FA9" w:rsidR="00EE1173" w:rsidP="001A0B6E" w:rsidRDefault="000776D0" w14:paraId="4AC8F23E" w14:textId="6F913AF3">
      <w:pPr>
        <w:spacing w:after="240"/>
      </w:pPr>
      <w:r w:rsidRPr="00BC4FA9">
        <w:t xml:space="preserve">Energy Division </w:t>
      </w:r>
      <w:r w:rsidRPr="00BC4FA9" w:rsidR="00463CAC">
        <w:t xml:space="preserve">reviewed the </w:t>
      </w:r>
      <w:r w:rsidRPr="00BC4FA9" w:rsidR="00D15F87">
        <w:t xml:space="preserve">transactions </w:t>
      </w:r>
      <w:r w:rsidRPr="00BC4FA9" w:rsidR="005D083E">
        <w:t xml:space="preserve">reported in </w:t>
      </w:r>
      <w:r w:rsidRPr="00BC4FA9" w:rsidR="00463CAC">
        <w:t xml:space="preserve">AL </w:t>
      </w:r>
      <w:r w:rsidRPr="00BC4FA9">
        <w:t>6558</w:t>
      </w:r>
      <w:r w:rsidRPr="00BC4FA9" w:rsidR="00463CAC">
        <w:t xml:space="preserve">-G and </w:t>
      </w:r>
      <w:r w:rsidRPr="00BC4FA9" w:rsidR="009F25AD">
        <w:t xml:space="preserve">Supplements </w:t>
      </w:r>
      <w:r w:rsidRPr="00BC4FA9" w:rsidR="005D083E">
        <w:t xml:space="preserve">and verified </w:t>
      </w:r>
      <w:r w:rsidRPr="00BC4FA9" w:rsidR="00463CAC">
        <w:t xml:space="preserve">that all </w:t>
      </w:r>
      <w:r w:rsidRPr="00BC4FA9" w:rsidR="005D083E">
        <w:t xml:space="preserve">the purchases and sales </w:t>
      </w:r>
      <w:r w:rsidRPr="00BC4FA9" w:rsidR="00463CAC">
        <w:t xml:space="preserve">were correctly categorized and met </w:t>
      </w:r>
      <w:r w:rsidRPr="00BC4FA9" w:rsidR="00154E9D">
        <w:t>applicable</w:t>
      </w:r>
      <w:r w:rsidRPr="00BC4FA9" w:rsidR="00463CAC">
        <w:t xml:space="preserve"> reasonableness criteria specified in Rule 41 as categorized in </w:t>
      </w:r>
      <w:r w:rsidRPr="00BC4FA9" w:rsidR="007D14B8">
        <w:t>the tables</w:t>
      </w:r>
      <w:r w:rsidRPr="00BC4FA9" w:rsidR="00463CAC">
        <w:t xml:space="preserve"> below.</w:t>
      </w:r>
      <w:r w:rsidRPr="00BC4FA9" w:rsidR="009F677C">
        <w:t xml:space="preserve"> Table 1 summarizes 49 purchase transactions by SoCalGas, totaling $13,390,422 in net commodity costs. In addition to net purchase costs, the System Operator incurred $1,540,175 in transportation charges. </w:t>
      </w:r>
    </w:p>
    <w:p w:rsidRPr="00BC4FA9" w:rsidR="001C7152" w:rsidP="001A0B6E" w:rsidRDefault="001C7152" w14:paraId="3CDBB52A" w14:textId="77777777">
      <w:pPr>
        <w:spacing w:after="240"/>
      </w:pPr>
    </w:p>
    <w:p w:rsidRPr="00BC4FA9" w:rsidR="001A261A" w:rsidP="001A0B6E" w:rsidRDefault="001A261A" w14:paraId="3ADC9322" w14:textId="77777777">
      <w:pPr>
        <w:spacing w:after="240"/>
      </w:pPr>
    </w:p>
    <w:p w:rsidRPr="00BC4FA9" w:rsidR="001C7152" w:rsidP="001A0B6E" w:rsidRDefault="001C7152" w14:paraId="51ECD003" w14:textId="77777777">
      <w:pPr>
        <w:spacing w:after="240"/>
      </w:pPr>
    </w:p>
    <w:p w:rsidRPr="00BC4FA9" w:rsidR="00EE1173" w:rsidP="00EE1173" w:rsidRDefault="00EE1173" w14:paraId="1A021C27" w14:textId="12AFFB44">
      <w:pPr>
        <w:pStyle w:val="Caption"/>
      </w:pPr>
      <w:bookmarkStart w:name="_Ref158020601" w:id="1"/>
      <w:bookmarkStart w:name="_Ref158020597" w:id="2"/>
      <w:r w:rsidRPr="00BC4FA9">
        <w:lastRenderedPageBreak/>
        <w:t xml:space="preserve">Table </w:t>
      </w:r>
      <w:r w:rsidRPr="00BC4FA9">
        <w:fldChar w:fldCharType="begin"/>
      </w:r>
      <w:r w:rsidRPr="00BC4FA9">
        <w:instrText>SEQ Table \* ARABIC</w:instrText>
      </w:r>
      <w:r w:rsidRPr="00BC4FA9">
        <w:fldChar w:fldCharType="separate"/>
      </w:r>
      <w:r w:rsidRPr="00BC4FA9">
        <w:rPr>
          <w:noProof/>
        </w:rPr>
        <w:t>1</w:t>
      </w:r>
      <w:r w:rsidRPr="00BC4FA9">
        <w:fldChar w:fldCharType="end"/>
      </w:r>
      <w:bookmarkEnd w:id="1"/>
      <w:r w:rsidRPr="00BC4FA9">
        <w:t>: Southern System Purchases</w:t>
      </w:r>
      <w:r w:rsidRPr="00BC4FA9" w:rsidR="006F1398">
        <w:t xml:space="preserve"> </w:t>
      </w:r>
      <w:r w:rsidRPr="00BC4FA9" w:rsidR="003D60D7">
        <w:t>from</w:t>
      </w:r>
      <w:r w:rsidRPr="00BC4FA9" w:rsidR="00782D35">
        <w:t xml:space="preserve"> October </w:t>
      </w:r>
      <w:r w:rsidRPr="00BC4FA9">
        <w:rPr>
          <w:bCs/>
          <w:iCs w:val="0"/>
          <w:szCs w:val="20"/>
        </w:rPr>
        <w:t>20</w:t>
      </w:r>
      <w:r w:rsidRPr="00BC4FA9" w:rsidR="00782D35">
        <w:rPr>
          <w:bCs/>
          <w:iCs w:val="0"/>
          <w:szCs w:val="20"/>
        </w:rPr>
        <w:t xml:space="preserve">24 through September </w:t>
      </w:r>
      <w:bookmarkEnd w:id="2"/>
      <w:r w:rsidRPr="00BC4FA9" w:rsidR="00782D35">
        <w:rPr>
          <w:bCs/>
          <w:iCs w:val="0"/>
          <w:szCs w:val="20"/>
        </w:rPr>
        <w:t>2025</w:t>
      </w:r>
    </w:p>
    <w:tbl>
      <w:tblPr>
        <w:tblStyle w:val="TableGrid"/>
        <w:tblW w:w="9265" w:type="dxa"/>
        <w:tblLook w:val="04E0" w:firstRow="1" w:lastRow="1" w:firstColumn="1" w:lastColumn="0" w:noHBand="0" w:noVBand="1"/>
      </w:tblPr>
      <w:tblGrid>
        <w:gridCol w:w="1710"/>
        <w:gridCol w:w="2030"/>
        <w:gridCol w:w="1870"/>
        <w:gridCol w:w="1870"/>
        <w:gridCol w:w="1785"/>
      </w:tblGrid>
      <w:tr w:rsidRPr="00BC4FA9" w:rsidR="00B310B1" w:rsidTr="00180E0A" w14:paraId="6AED1BBF" w14:textId="77777777">
        <w:trPr>
          <w:trHeight w:val="300"/>
        </w:trPr>
        <w:tc>
          <w:tcPr>
            <w:tcW w:w="1710" w:type="dxa"/>
          </w:tcPr>
          <w:p w:rsidRPr="00BC4FA9" w:rsidR="00EE1173" w:rsidRDefault="008A3E5B" w14:paraId="5DFEBFA9" w14:textId="09AA559A">
            <w:pPr>
              <w:rPr>
                <w:b/>
                <w:bCs/>
              </w:rPr>
            </w:pPr>
            <w:r w:rsidRPr="00BC4FA9">
              <w:rPr>
                <w:b/>
                <w:bCs/>
              </w:rPr>
              <w:t>Rule No. 41</w:t>
            </w:r>
          </w:p>
        </w:tc>
        <w:tc>
          <w:tcPr>
            <w:tcW w:w="2030" w:type="dxa"/>
          </w:tcPr>
          <w:p w:rsidRPr="00BC4FA9" w:rsidR="00EE1173" w:rsidRDefault="00EE1173" w14:paraId="110B98C7" w14:textId="12F7FDD7">
            <w:pPr>
              <w:jc w:val="center"/>
              <w:rPr>
                <w:b/>
                <w:bCs/>
              </w:rPr>
            </w:pPr>
            <w:r w:rsidRPr="00BC4FA9">
              <w:rPr>
                <w:b/>
                <w:bCs/>
              </w:rPr>
              <w:t># Transactions</w:t>
            </w:r>
          </w:p>
        </w:tc>
        <w:tc>
          <w:tcPr>
            <w:tcW w:w="1870" w:type="dxa"/>
          </w:tcPr>
          <w:p w:rsidRPr="00BC4FA9" w:rsidR="00EE1173" w:rsidRDefault="00EE1173" w14:paraId="04F0D0BB" w14:textId="77777777">
            <w:pPr>
              <w:jc w:val="center"/>
              <w:rPr>
                <w:b/>
                <w:bCs/>
              </w:rPr>
            </w:pPr>
            <w:r w:rsidRPr="00BC4FA9">
              <w:rPr>
                <w:b/>
                <w:bCs/>
              </w:rPr>
              <w:t>Transaction %</w:t>
            </w:r>
          </w:p>
        </w:tc>
        <w:tc>
          <w:tcPr>
            <w:tcW w:w="1870" w:type="dxa"/>
          </w:tcPr>
          <w:p w:rsidRPr="00BC4FA9" w:rsidR="00EE1173" w:rsidRDefault="00EE1173" w14:paraId="25843F85" w14:textId="77777777">
            <w:pPr>
              <w:jc w:val="center"/>
              <w:rPr>
                <w:b/>
                <w:bCs/>
              </w:rPr>
            </w:pPr>
            <w:r w:rsidRPr="00BC4FA9">
              <w:rPr>
                <w:b/>
                <w:bCs/>
              </w:rPr>
              <w:t>Purchase $</w:t>
            </w:r>
          </w:p>
        </w:tc>
        <w:tc>
          <w:tcPr>
            <w:tcW w:w="1785" w:type="dxa"/>
          </w:tcPr>
          <w:p w:rsidRPr="00BC4FA9" w:rsidR="00EE1173" w:rsidRDefault="00EE1173" w14:paraId="5D85A3E3" w14:textId="77777777">
            <w:pPr>
              <w:jc w:val="center"/>
              <w:rPr>
                <w:b/>
                <w:bCs/>
              </w:rPr>
            </w:pPr>
            <w:r w:rsidRPr="00BC4FA9">
              <w:rPr>
                <w:b/>
                <w:bCs/>
              </w:rPr>
              <w:t>Purchase %</w:t>
            </w:r>
          </w:p>
        </w:tc>
      </w:tr>
      <w:tr w:rsidRPr="00BC4FA9" w:rsidR="00B310B1" w:rsidTr="00180E0A" w14:paraId="50CAEA04" w14:textId="77777777">
        <w:trPr>
          <w:trHeight w:val="300"/>
        </w:trPr>
        <w:tc>
          <w:tcPr>
            <w:tcW w:w="1710" w:type="dxa"/>
          </w:tcPr>
          <w:p w:rsidRPr="00BC4FA9" w:rsidR="00EE1173" w:rsidRDefault="008A3E5B" w14:paraId="254E57E3" w14:textId="6F7D92C4">
            <w:r w:rsidRPr="00BC4FA9">
              <w:t xml:space="preserve">Section </w:t>
            </w:r>
            <w:r w:rsidRPr="00BC4FA9" w:rsidR="00EE1173">
              <w:t>14(</w:t>
            </w:r>
            <w:r w:rsidRPr="00BC4FA9" w:rsidR="00B310B1">
              <w:t>a</w:t>
            </w:r>
            <w:r w:rsidRPr="00BC4FA9" w:rsidR="00EE1173">
              <w:t>)</w:t>
            </w:r>
          </w:p>
        </w:tc>
        <w:tc>
          <w:tcPr>
            <w:tcW w:w="2030" w:type="dxa"/>
          </w:tcPr>
          <w:p w:rsidRPr="00BC4FA9" w:rsidR="00EE1173" w:rsidP="002107F7" w:rsidRDefault="006320F2" w14:paraId="498E6FB6" w14:textId="1CEBC0E3">
            <w:pPr>
              <w:jc w:val="center"/>
            </w:pPr>
            <w:r w:rsidRPr="00BC4FA9">
              <w:t>2</w:t>
            </w:r>
          </w:p>
        </w:tc>
        <w:tc>
          <w:tcPr>
            <w:tcW w:w="1870" w:type="dxa"/>
          </w:tcPr>
          <w:p w:rsidRPr="00BC4FA9" w:rsidR="00EE1173" w:rsidP="002107F7" w:rsidRDefault="006320F2" w14:paraId="7860878F" w14:textId="6261C451">
            <w:pPr>
              <w:jc w:val="center"/>
            </w:pPr>
            <w:r w:rsidRPr="00BC4FA9">
              <w:t>4%</w:t>
            </w:r>
          </w:p>
        </w:tc>
        <w:tc>
          <w:tcPr>
            <w:tcW w:w="1870" w:type="dxa"/>
          </w:tcPr>
          <w:p w:rsidRPr="00BC4FA9" w:rsidR="00EE1173" w:rsidP="002107F7" w:rsidRDefault="006320F2" w14:paraId="2A3D6F1D" w14:textId="6126BB61">
            <w:pPr>
              <w:jc w:val="center"/>
            </w:pPr>
            <w:r w:rsidRPr="00BC4FA9">
              <w:t>$24,450</w:t>
            </w:r>
          </w:p>
        </w:tc>
        <w:tc>
          <w:tcPr>
            <w:tcW w:w="1785" w:type="dxa"/>
          </w:tcPr>
          <w:p w:rsidRPr="00BC4FA9" w:rsidR="00EE1173" w:rsidP="002107F7" w:rsidRDefault="006320F2" w14:paraId="11DC703F" w14:textId="4E6D27A0">
            <w:pPr>
              <w:jc w:val="center"/>
            </w:pPr>
            <w:r w:rsidRPr="00BC4FA9">
              <w:t>0.2</w:t>
            </w:r>
            <w:r w:rsidRPr="00BC4FA9" w:rsidR="00EE1173">
              <w:t>%</w:t>
            </w:r>
          </w:p>
        </w:tc>
      </w:tr>
      <w:tr w:rsidRPr="00BC4FA9" w:rsidR="00B310B1" w:rsidTr="00180E0A" w14:paraId="7026146A" w14:textId="77777777">
        <w:trPr>
          <w:trHeight w:val="300"/>
        </w:trPr>
        <w:tc>
          <w:tcPr>
            <w:tcW w:w="1710" w:type="dxa"/>
          </w:tcPr>
          <w:p w:rsidRPr="00BC4FA9" w:rsidR="00B310B1" w:rsidRDefault="00B310B1" w14:paraId="4E4A83A6" w14:textId="6CEEAFB4">
            <w:r w:rsidRPr="00BC4FA9">
              <w:t>Section 14(b)</w:t>
            </w:r>
          </w:p>
        </w:tc>
        <w:tc>
          <w:tcPr>
            <w:tcW w:w="2030" w:type="dxa"/>
          </w:tcPr>
          <w:p w:rsidRPr="00BC4FA9" w:rsidR="00B310B1" w:rsidP="002107F7" w:rsidRDefault="006320F2" w14:paraId="1BA963BA" w14:textId="328E0DF4">
            <w:pPr>
              <w:jc w:val="center"/>
            </w:pPr>
            <w:r w:rsidRPr="00BC4FA9">
              <w:t>11</w:t>
            </w:r>
          </w:p>
        </w:tc>
        <w:tc>
          <w:tcPr>
            <w:tcW w:w="1870" w:type="dxa"/>
          </w:tcPr>
          <w:p w:rsidRPr="00BC4FA9" w:rsidR="00B310B1" w:rsidP="002107F7" w:rsidRDefault="006320F2" w14:paraId="4C63AA0A" w14:textId="341655BA">
            <w:pPr>
              <w:jc w:val="center"/>
            </w:pPr>
            <w:r w:rsidRPr="00BC4FA9">
              <w:t>22%</w:t>
            </w:r>
          </w:p>
        </w:tc>
        <w:tc>
          <w:tcPr>
            <w:tcW w:w="1870" w:type="dxa"/>
          </w:tcPr>
          <w:p w:rsidRPr="00BC4FA9" w:rsidR="00B310B1" w:rsidP="002107F7" w:rsidRDefault="00DB3D9D" w14:paraId="267F28D0" w14:textId="0F47E7F0">
            <w:pPr>
              <w:jc w:val="center"/>
            </w:pPr>
            <w:r w:rsidRPr="00BC4FA9">
              <w:t>$1,905,499</w:t>
            </w:r>
          </w:p>
        </w:tc>
        <w:tc>
          <w:tcPr>
            <w:tcW w:w="1785" w:type="dxa"/>
          </w:tcPr>
          <w:p w:rsidRPr="00BC4FA9" w:rsidR="00B310B1" w:rsidP="002107F7" w:rsidRDefault="00DB3D9D" w14:paraId="774D6B9B" w14:textId="010FD935">
            <w:pPr>
              <w:jc w:val="center"/>
            </w:pPr>
            <w:r w:rsidRPr="00BC4FA9">
              <w:t>14.2%</w:t>
            </w:r>
          </w:p>
        </w:tc>
      </w:tr>
      <w:tr w:rsidRPr="00BC4FA9" w:rsidR="00B310B1" w:rsidTr="00180E0A" w14:paraId="3EEB41F7" w14:textId="77777777">
        <w:trPr>
          <w:trHeight w:val="300"/>
        </w:trPr>
        <w:tc>
          <w:tcPr>
            <w:tcW w:w="1710" w:type="dxa"/>
          </w:tcPr>
          <w:p w:rsidRPr="00BC4FA9" w:rsidR="00EE1173" w:rsidRDefault="00B310B1" w14:paraId="13808016" w14:textId="7B00B140">
            <w:r w:rsidRPr="00BC4FA9">
              <w:t xml:space="preserve">Section </w:t>
            </w:r>
            <w:r w:rsidRPr="00BC4FA9" w:rsidR="00EE1173">
              <w:t>15</w:t>
            </w:r>
          </w:p>
        </w:tc>
        <w:tc>
          <w:tcPr>
            <w:tcW w:w="2030" w:type="dxa"/>
          </w:tcPr>
          <w:p w:rsidRPr="00BC4FA9" w:rsidR="00EE1173" w:rsidP="002107F7" w:rsidRDefault="00DB3D9D" w14:paraId="43BE7D4C" w14:textId="0D138344">
            <w:pPr>
              <w:jc w:val="center"/>
            </w:pPr>
            <w:r w:rsidRPr="00BC4FA9">
              <w:t>33</w:t>
            </w:r>
          </w:p>
        </w:tc>
        <w:tc>
          <w:tcPr>
            <w:tcW w:w="1870" w:type="dxa"/>
          </w:tcPr>
          <w:p w:rsidRPr="00BC4FA9" w:rsidR="00EE1173" w:rsidP="002107F7" w:rsidRDefault="00DB3D9D" w14:paraId="7DD99403" w14:textId="20FB2F14">
            <w:pPr>
              <w:jc w:val="center"/>
            </w:pPr>
            <w:r w:rsidRPr="00BC4FA9">
              <w:t>67%</w:t>
            </w:r>
          </w:p>
        </w:tc>
        <w:tc>
          <w:tcPr>
            <w:tcW w:w="1870" w:type="dxa"/>
          </w:tcPr>
          <w:p w:rsidRPr="00BC4FA9" w:rsidR="00EE1173" w:rsidP="002107F7" w:rsidRDefault="00DB3D9D" w14:paraId="1F103B44" w14:textId="63E8DAF8">
            <w:pPr>
              <w:jc w:val="center"/>
            </w:pPr>
            <w:r w:rsidRPr="00BC4FA9">
              <w:t>$8,618,473</w:t>
            </w:r>
          </w:p>
        </w:tc>
        <w:tc>
          <w:tcPr>
            <w:tcW w:w="1785" w:type="dxa"/>
          </w:tcPr>
          <w:p w:rsidRPr="00BC4FA9" w:rsidR="00EE1173" w:rsidP="002107F7" w:rsidRDefault="00DB3D9D" w14:paraId="4CBE6310" w14:textId="7BFDE5C7">
            <w:pPr>
              <w:jc w:val="center"/>
            </w:pPr>
            <w:r w:rsidRPr="00BC4FA9">
              <w:t>64.4%</w:t>
            </w:r>
          </w:p>
        </w:tc>
      </w:tr>
      <w:tr w:rsidRPr="00BC4FA9" w:rsidR="00B310B1" w:rsidTr="00180E0A" w14:paraId="558123D7" w14:textId="77777777">
        <w:trPr>
          <w:trHeight w:val="300"/>
        </w:trPr>
        <w:tc>
          <w:tcPr>
            <w:tcW w:w="1710" w:type="dxa"/>
          </w:tcPr>
          <w:p w:rsidRPr="00BC4FA9" w:rsidR="00B310B1" w:rsidRDefault="00B310B1" w14:paraId="7D7F18C9" w14:textId="4671C177">
            <w:r w:rsidRPr="00BC4FA9">
              <w:t>Section 17</w:t>
            </w:r>
          </w:p>
        </w:tc>
        <w:tc>
          <w:tcPr>
            <w:tcW w:w="2030" w:type="dxa"/>
          </w:tcPr>
          <w:p w:rsidRPr="00BC4FA9" w:rsidR="00B310B1" w:rsidP="002107F7" w:rsidRDefault="00197848" w14:paraId="0FE6D44E" w14:textId="35CB8C6C">
            <w:pPr>
              <w:jc w:val="center"/>
            </w:pPr>
            <w:r w:rsidRPr="00BC4FA9">
              <w:t>3</w:t>
            </w:r>
          </w:p>
        </w:tc>
        <w:tc>
          <w:tcPr>
            <w:tcW w:w="1870" w:type="dxa"/>
          </w:tcPr>
          <w:p w:rsidRPr="00BC4FA9" w:rsidR="00B310B1" w:rsidP="002107F7" w:rsidRDefault="00197848" w14:paraId="256B5C6D" w14:textId="3B415A06">
            <w:pPr>
              <w:jc w:val="center"/>
            </w:pPr>
            <w:r w:rsidRPr="00BC4FA9">
              <w:t>6%</w:t>
            </w:r>
          </w:p>
        </w:tc>
        <w:tc>
          <w:tcPr>
            <w:tcW w:w="1870" w:type="dxa"/>
          </w:tcPr>
          <w:p w:rsidRPr="00BC4FA9" w:rsidR="00B310B1" w:rsidP="002107F7" w:rsidRDefault="00197848" w14:paraId="22C57BE5" w14:textId="22D1F7E8">
            <w:pPr>
              <w:jc w:val="center"/>
            </w:pPr>
            <w:r w:rsidRPr="00BC4FA9">
              <w:t>$2,845,000</w:t>
            </w:r>
          </w:p>
        </w:tc>
        <w:tc>
          <w:tcPr>
            <w:tcW w:w="1785" w:type="dxa"/>
          </w:tcPr>
          <w:p w:rsidRPr="00BC4FA9" w:rsidR="00B310B1" w:rsidP="002107F7" w:rsidRDefault="00197848" w14:paraId="0D2EBFCF" w14:textId="388C5891">
            <w:pPr>
              <w:jc w:val="center"/>
            </w:pPr>
            <w:r w:rsidRPr="00BC4FA9">
              <w:t>21.2%</w:t>
            </w:r>
          </w:p>
        </w:tc>
      </w:tr>
      <w:tr w:rsidRPr="00BC4FA9" w:rsidR="00B310B1" w:rsidTr="00180E0A" w14:paraId="6D79CFC4" w14:textId="77777777">
        <w:trPr>
          <w:trHeight w:val="300"/>
        </w:trPr>
        <w:tc>
          <w:tcPr>
            <w:tcW w:w="1710" w:type="dxa"/>
          </w:tcPr>
          <w:p w:rsidRPr="00BC4FA9" w:rsidR="00EE1173" w:rsidRDefault="00EE1173" w14:paraId="624E82CF" w14:textId="77777777">
            <w:pPr>
              <w:rPr>
                <w:b/>
                <w:bCs/>
              </w:rPr>
            </w:pPr>
            <w:r w:rsidRPr="00BC4FA9">
              <w:rPr>
                <w:b/>
                <w:bCs/>
              </w:rPr>
              <w:t>Total</w:t>
            </w:r>
          </w:p>
        </w:tc>
        <w:tc>
          <w:tcPr>
            <w:tcW w:w="2030" w:type="dxa"/>
          </w:tcPr>
          <w:p w:rsidRPr="00BC4FA9" w:rsidR="00EE1173" w:rsidP="002107F7" w:rsidRDefault="00197848" w14:paraId="78FD367B" w14:textId="0144A29A">
            <w:pPr>
              <w:jc w:val="center"/>
            </w:pPr>
            <w:r w:rsidRPr="00BC4FA9">
              <w:t>49</w:t>
            </w:r>
          </w:p>
        </w:tc>
        <w:tc>
          <w:tcPr>
            <w:tcW w:w="1870" w:type="dxa"/>
          </w:tcPr>
          <w:p w:rsidRPr="00BC4FA9" w:rsidR="00EE1173" w:rsidP="002107F7" w:rsidRDefault="00EE1173" w14:paraId="2520137B" w14:textId="77777777">
            <w:pPr>
              <w:jc w:val="center"/>
            </w:pPr>
            <w:r w:rsidRPr="00BC4FA9">
              <w:t>100%</w:t>
            </w:r>
          </w:p>
        </w:tc>
        <w:tc>
          <w:tcPr>
            <w:tcW w:w="1870" w:type="dxa"/>
          </w:tcPr>
          <w:p w:rsidRPr="00BC4FA9" w:rsidR="00EE1173" w:rsidP="002107F7" w:rsidRDefault="00197848" w14:paraId="5A9826D4" w14:textId="04F50E5B">
            <w:pPr>
              <w:jc w:val="center"/>
            </w:pPr>
            <w:r w:rsidRPr="00BC4FA9">
              <w:t>$13,390,422</w:t>
            </w:r>
          </w:p>
        </w:tc>
        <w:tc>
          <w:tcPr>
            <w:tcW w:w="1785" w:type="dxa"/>
          </w:tcPr>
          <w:p w:rsidRPr="00BC4FA9" w:rsidR="00EE1173" w:rsidP="002107F7" w:rsidRDefault="00EE1173" w14:paraId="1A16885B" w14:textId="77777777">
            <w:pPr>
              <w:jc w:val="center"/>
            </w:pPr>
            <w:r w:rsidRPr="00BC4FA9">
              <w:t>100%</w:t>
            </w:r>
          </w:p>
        </w:tc>
      </w:tr>
    </w:tbl>
    <w:p w:rsidRPr="00BC4FA9" w:rsidR="005F5823" w:rsidP="00457697" w:rsidRDefault="005F5823" w14:paraId="5DA67854" w14:textId="1A9E9E44">
      <w:bookmarkStart w:name="_Ref158021064" w:id="3"/>
    </w:p>
    <w:p w:rsidRPr="00BC4FA9" w:rsidR="00BD77EE" w:rsidP="008938F1" w:rsidRDefault="0059312A" w14:paraId="7DDA2196" w14:textId="627318F6">
      <w:pPr>
        <w:spacing w:after="240"/>
      </w:pPr>
      <w:r w:rsidRPr="00BC4FA9">
        <w:t>Of the 49 purchase</w:t>
      </w:r>
      <w:r w:rsidRPr="00BC4FA9" w:rsidR="00EE321C">
        <w:t>s</w:t>
      </w:r>
      <w:r w:rsidRPr="00BC4FA9">
        <w:t xml:space="preserve">, </w:t>
      </w:r>
      <w:r w:rsidRPr="00BC4FA9" w:rsidR="00861868">
        <w:t xml:space="preserve">Table 1-A </w:t>
      </w:r>
      <w:r w:rsidRPr="00BC4FA9" w:rsidR="006A60B2">
        <w:t xml:space="preserve">focuses on the three </w:t>
      </w:r>
      <w:r w:rsidRPr="00BC4FA9" w:rsidR="003E4802">
        <w:t xml:space="preserve">purchase </w:t>
      </w:r>
      <w:r w:rsidRPr="00BC4FA9" w:rsidR="00EE321C">
        <w:t xml:space="preserve">transactions </w:t>
      </w:r>
      <w:r w:rsidRPr="00BC4FA9" w:rsidR="003E4802">
        <w:t>that were subject to Energy Division</w:t>
      </w:r>
      <w:r w:rsidRPr="00BC4FA9" w:rsidR="000868A9">
        <w:t>’s</w:t>
      </w:r>
      <w:r w:rsidRPr="00BC4FA9" w:rsidR="003E4802">
        <w:t xml:space="preserve"> </w:t>
      </w:r>
      <w:r w:rsidRPr="00BC4FA9" w:rsidR="00D3403F">
        <w:t>reasonableness review</w:t>
      </w:r>
      <w:r w:rsidRPr="00BC4FA9">
        <w:t xml:space="preserve"> pursuant to Section 17.</w:t>
      </w:r>
      <w:r w:rsidRPr="00BC4FA9" w:rsidR="003E4802">
        <w:t xml:space="preserve"> </w:t>
      </w:r>
      <w:r w:rsidRPr="00BC4FA9" w:rsidR="00EE321C">
        <w:t>SoCalGas explained that</w:t>
      </w:r>
      <w:r w:rsidRPr="00BC4FA9" w:rsidR="003E4802">
        <w:t xml:space="preserve"> </w:t>
      </w:r>
      <w:r w:rsidRPr="00BC4FA9" w:rsidR="00EE321C">
        <w:t xml:space="preserve">transactions </w:t>
      </w:r>
      <w:r w:rsidRPr="00BC4FA9" w:rsidR="00F26BF7">
        <w:t>TC #4232, TC #4234, and TC #4251</w:t>
      </w:r>
      <w:r w:rsidRPr="00BC4FA9" w:rsidR="00563A68">
        <w:t xml:space="preserve"> occurred during constrained operating conditions involving limited supplier availability and lack of ICE </w:t>
      </w:r>
      <w:r w:rsidRPr="00BC4FA9" w:rsidR="000868A9">
        <w:t xml:space="preserve">market </w:t>
      </w:r>
      <w:r w:rsidRPr="00BC4FA9" w:rsidR="00563A68">
        <w:t xml:space="preserve">liquidity. In the case of TC #4251, SoCalGas also documented that El Paso Natural Gas had declared a system-wide Strained Operating Condition </w:t>
      </w:r>
      <w:r w:rsidRPr="00BC4FA9" w:rsidR="00131618">
        <w:t xml:space="preserve">(SOC) </w:t>
      </w:r>
      <w:r w:rsidRPr="00BC4FA9" w:rsidR="00563A68">
        <w:t xml:space="preserve">affecting </w:t>
      </w:r>
      <w:r w:rsidRPr="00BC4FA9" w:rsidR="000868A9">
        <w:t xml:space="preserve">supply </w:t>
      </w:r>
      <w:r w:rsidRPr="00BC4FA9" w:rsidR="00563A68">
        <w:t xml:space="preserve">deliverability through </w:t>
      </w:r>
      <w:r w:rsidRPr="00BC4FA9" w:rsidR="00FA241B">
        <w:t xml:space="preserve">the </w:t>
      </w:r>
      <w:r w:rsidRPr="00BC4FA9" w:rsidR="00563A68">
        <w:t>Ehrenberg</w:t>
      </w:r>
      <w:r w:rsidRPr="00BC4FA9" w:rsidR="00FA241B">
        <w:t xml:space="preserve"> gas receipt point.</w:t>
      </w:r>
      <w:r w:rsidRPr="00BC4FA9" w:rsidR="00EE321C">
        <w:t xml:space="preserve"> </w:t>
      </w:r>
    </w:p>
    <w:p w:rsidRPr="00BC4FA9" w:rsidR="00457697" w:rsidP="001B60F6" w:rsidRDefault="00457697" w14:paraId="18A738BA" w14:textId="69234862">
      <w:pPr>
        <w:spacing w:before="240"/>
        <w:jc w:val="center"/>
        <w:rPr>
          <w:b/>
          <w:bCs/>
        </w:rPr>
      </w:pPr>
      <w:r w:rsidRPr="00BC4FA9">
        <w:rPr>
          <w:b/>
          <w:bCs/>
        </w:rPr>
        <w:t xml:space="preserve">Table </w:t>
      </w:r>
      <w:r w:rsidRPr="00BC4FA9" w:rsidR="00BD77EE">
        <w:rPr>
          <w:b/>
          <w:bCs/>
        </w:rPr>
        <w:t xml:space="preserve">1-A: </w:t>
      </w:r>
      <w:r w:rsidRPr="00BC4FA9">
        <w:rPr>
          <w:b/>
          <w:bCs/>
        </w:rPr>
        <w:t xml:space="preserve">Section 17 </w:t>
      </w:r>
      <w:r w:rsidRPr="00BC4FA9" w:rsidR="001979BE">
        <w:rPr>
          <w:b/>
          <w:bCs/>
        </w:rPr>
        <w:t xml:space="preserve">Purchase </w:t>
      </w:r>
      <w:r w:rsidRPr="00BC4FA9">
        <w:rPr>
          <w:b/>
          <w:bCs/>
        </w:rPr>
        <w:t xml:space="preserve">Exceptions </w:t>
      </w:r>
    </w:p>
    <w:tbl>
      <w:tblPr>
        <w:tblStyle w:val="TableGrid"/>
        <w:tblW w:w="9445" w:type="dxa"/>
        <w:jc w:val="center"/>
        <w:tblLook w:val="04A0" w:firstRow="1" w:lastRow="0" w:firstColumn="1" w:lastColumn="0" w:noHBand="0" w:noVBand="1"/>
      </w:tblPr>
      <w:tblGrid>
        <w:gridCol w:w="1485"/>
        <w:gridCol w:w="930"/>
        <w:gridCol w:w="1273"/>
        <w:gridCol w:w="1308"/>
        <w:gridCol w:w="1604"/>
        <w:gridCol w:w="2845"/>
      </w:tblGrid>
      <w:tr w:rsidRPr="00BC4FA9" w:rsidR="00CD2C02" w:rsidTr="00180E0A" w14:paraId="6102D482" w14:textId="77777777">
        <w:trPr>
          <w:trHeight w:val="300"/>
          <w:jc w:val="center"/>
        </w:trPr>
        <w:tc>
          <w:tcPr>
            <w:tcW w:w="1485" w:type="dxa"/>
            <w:hideMark/>
          </w:tcPr>
          <w:p w:rsidRPr="00BC4FA9" w:rsidR="00457697" w:rsidP="0081452F" w:rsidRDefault="00457697" w14:paraId="62380651" w14:textId="77777777">
            <w:pPr>
              <w:jc w:val="center"/>
              <w:rPr>
                <w:b/>
                <w:bCs/>
                <w:sz w:val="22"/>
                <w:szCs w:val="18"/>
              </w:rPr>
            </w:pPr>
            <w:r w:rsidRPr="00BC4FA9">
              <w:rPr>
                <w:b/>
                <w:bCs/>
                <w:sz w:val="22"/>
                <w:szCs w:val="18"/>
              </w:rPr>
              <w:t>Transaction (TC #)</w:t>
            </w:r>
          </w:p>
        </w:tc>
        <w:tc>
          <w:tcPr>
            <w:tcW w:w="930" w:type="dxa"/>
            <w:hideMark/>
          </w:tcPr>
          <w:p w:rsidRPr="00BC4FA9" w:rsidR="00457697" w:rsidP="0081452F" w:rsidRDefault="00457697" w14:paraId="1A574DF6" w14:textId="77777777">
            <w:pPr>
              <w:jc w:val="center"/>
              <w:rPr>
                <w:b/>
                <w:bCs/>
                <w:sz w:val="22"/>
                <w:szCs w:val="18"/>
              </w:rPr>
            </w:pPr>
            <w:r w:rsidRPr="00BC4FA9">
              <w:rPr>
                <w:b/>
                <w:bCs/>
                <w:sz w:val="22"/>
                <w:szCs w:val="18"/>
              </w:rPr>
              <w:t>Date</w:t>
            </w:r>
          </w:p>
        </w:tc>
        <w:tc>
          <w:tcPr>
            <w:tcW w:w="1273" w:type="dxa"/>
            <w:hideMark/>
          </w:tcPr>
          <w:p w:rsidRPr="00BC4FA9" w:rsidR="00457697" w:rsidP="0081452F" w:rsidRDefault="00457697" w14:paraId="22568580" w14:textId="77777777">
            <w:pPr>
              <w:jc w:val="center"/>
              <w:rPr>
                <w:b/>
                <w:bCs/>
                <w:sz w:val="22"/>
                <w:szCs w:val="18"/>
              </w:rPr>
            </w:pPr>
            <w:r w:rsidRPr="00BC4FA9">
              <w:rPr>
                <w:b/>
                <w:bCs/>
                <w:sz w:val="22"/>
                <w:szCs w:val="18"/>
              </w:rPr>
              <w:t>Location</w:t>
            </w:r>
          </w:p>
        </w:tc>
        <w:tc>
          <w:tcPr>
            <w:tcW w:w="1308" w:type="dxa"/>
            <w:hideMark/>
          </w:tcPr>
          <w:p w:rsidRPr="00BC4FA9" w:rsidR="00457697" w:rsidP="0081452F" w:rsidRDefault="00457697" w14:paraId="6C4C3CA4" w14:textId="77777777">
            <w:pPr>
              <w:jc w:val="center"/>
              <w:rPr>
                <w:b/>
                <w:bCs/>
                <w:sz w:val="22"/>
                <w:szCs w:val="18"/>
              </w:rPr>
            </w:pPr>
            <w:r w:rsidRPr="00BC4FA9">
              <w:rPr>
                <w:b/>
                <w:bCs/>
                <w:sz w:val="22"/>
                <w:szCs w:val="18"/>
              </w:rPr>
              <w:t>Price</w:t>
            </w:r>
          </w:p>
        </w:tc>
        <w:tc>
          <w:tcPr>
            <w:tcW w:w="1604" w:type="dxa"/>
            <w:hideMark/>
          </w:tcPr>
          <w:p w:rsidRPr="00BC4FA9" w:rsidR="00457697" w:rsidP="0081452F" w:rsidRDefault="00457697" w14:paraId="43BF41CF" w14:textId="77777777">
            <w:pPr>
              <w:jc w:val="center"/>
              <w:rPr>
                <w:b/>
                <w:bCs/>
                <w:sz w:val="22"/>
                <w:szCs w:val="18"/>
              </w:rPr>
            </w:pPr>
            <w:r w:rsidRPr="00BC4FA9">
              <w:rPr>
                <w:b/>
                <w:bCs/>
                <w:sz w:val="22"/>
                <w:szCs w:val="18"/>
              </w:rPr>
              <w:t>Reason for Section 17</w:t>
            </w:r>
          </w:p>
        </w:tc>
        <w:tc>
          <w:tcPr>
            <w:tcW w:w="2845" w:type="dxa"/>
            <w:hideMark/>
          </w:tcPr>
          <w:p w:rsidRPr="00BC4FA9" w:rsidR="00457697" w:rsidP="0081452F" w:rsidRDefault="00457697" w14:paraId="1B4C8123" w14:textId="747392E0">
            <w:pPr>
              <w:jc w:val="center"/>
              <w:rPr>
                <w:b/>
                <w:bCs/>
                <w:sz w:val="22"/>
                <w:szCs w:val="22"/>
              </w:rPr>
            </w:pPr>
            <w:r w:rsidRPr="00BC4FA9">
              <w:rPr>
                <w:b/>
                <w:bCs/>
                <w:sz w:val="22"/>
                <w:szCs w:val="22"/>
              </w:rPr>
              <w:t>S</w:t>
            </w:r>
            <w:r w:rsidRPr="00BC4FA9" w:rsidR="6601D972">
              <w:rPr>
                <w:b/>
                <w:bCs/>
                <w:sz w:val="22"/>
                <w:szCs w:val="22"/>
              </w:rPr>
              <w:t>o</w:t>
            </w:r>
            <w:r w:rsidRPr="00BC4FA9">
              <w:rPr>
                <w:b/>
                <w:bCs/>
                <w:sz w:val="22"/>
                <w:szCs w:val="22"/>
              </w:rPr>
              <w:t>C</w:t>
            </w:r>
            <w:r w:rsidRPr="00BC4FA9" w:rsidR="6601D972">
              <w:rPr>
                <w:b/>
                <w:bCs/>
                <w:sz w:val="22"/>
                <w:szCs w:val="22"/>
              </w:rPr>
              <w:t>al</w:t>
            </w:r>
            <w:r w:rsidRPr="00BC4FA9">
              <w:rPr>
                <w:b/>
                <w:bCs/>
                <w:sz w:val="22"/>
                <w:szCs w:val="22"/>
              </w:rPr>
              <w:t>G</w:t>
            </w:r>
            <w:r w:rsidRPr="00BC4FA9" w:rsidR="356E3080">
              <w:rPr>
                <w:b/>
                <w:bCs/>
                <w:sz w:val="22"/>
                <w:szCs w:val="22"/>
              </w:rPr>
              <w:t>as</w:t>
            </w:r>
            <w:r w:rsidRPr="00BC4FA9">
              <w:rPr>
                <w:b/>
                <w:bCs/>
                <w:sz w:val="22"/>
                <w:szCs w:val="22"/>
              </w:rPr>
              <w:t xml:space="preserve"> Justification</w:t>
            </w:r>
          </w:p>
        </w:tc>
      </w:tr>
      <w:tr w:rsidRPr="00BC4FA9" w:rsidR="00CD2C02" w:rsidTr="00180E0A" w14:paraId="6FF440F7" w14:textId="77777777">
        <w:trPr>
          <w:trHeight w:val="300"/>
          <w:jc w:val="center"/>
        </w:trPr>
        <w:tc>
          <w:tcPr>
            <w:tcW w:w="1485" w:type="dxa"/>
            <w:hideMark/>
          </w:tcPr>
          <w:p w:rsidRPr="00BC4FA9" w:rsidR="00457697" w:rsidP="0081452F" w:rsidRDefault="00457697" w14:paraId="449F734A" w14:textId="77777777">
            <w:pPr>
              <w:jc w:val="center"/>
              <w:rPr>
                <w:sz w:val="22"/>
                <w:szCs w:val="18"/>
              </w:rPr>
            </w:pPr>
            <w:r w:rsidRPr="00BC4FA9">
              <w:rPr>
                <w:sz w:val="22"/>
                <w:szCs w:val="18"/>
              </w:rPr>
              <w:t>4232</w:t>
            </w:r>
          </w:p>
        </w:tc>
        <w:tc>
          <w:tcPr>
            <w:tcW w:w="930" w:type="dxa"/>
            <w:hideMark/>
          </w:tcPr>
          <w:p w:rsidRPr="00BC4FA9" w:rsidR="00457697" w:rsidP="0081452F" w:rsidRDefault="00457697" w14:paraId="3416C596" w14:textId="77777777">
            <w:pPr>
              <w:jc w:val="center"/>
              <w:rPr>
                <w:sz w:val="22"/>
                <w:szCs w:val="18"/>
              </w:rPr>
            </w:pPr>
            <w:r w:rsidRPr="00BC4FA9">
              <w:rPr>
                <w:sz w:val="22"/>
                <w:szCs w:val="18"/>
              </w:rPr>
              <w:t>8/22/24</w:t>
            </w:r>
          </w:p>
        </w:tc>
        <w:tc>
          <w:tcPr>
            <w:tcW w:w="1273" w:type="dxa"/>
            <w:hideMark/>
          </w:tcPr>
          <w:p w:rsidRPr="00BC4FA9" w:rsidR="00457697" w:rsidP="0081452F" w:rsidRDefault="00457697" w14:paraId="68A6CDF4" w14:textId="77777777">
            <w:pPr>
              <w:jc w:val="center"/>
              <w:rPr>
                <w:sz w:val="22"/>
                <w:szCs w:val="18"/>
              </w:rPr>
            </w:pPr>
            <w:r w:rsidRPr="00BC4FA9">
              <w:rPr>
                <w:sz w:val="22"/>
                <w:szCs w:val="18"/>
              </w:rPr>
              <w:t>Ehrenberg</w:t>
            </w:r>
          </w:p>
        </w:tc>
        <w:tc>
          <w:tcPr>
            <w:tcW w:w="1308" w:type="dxa"/>
            <w:hideMark/>
          </w:tcPr>
          <w:p w:rsidRPr="00BC4FA9" w:rsidR="00457697" w:rsidP="0081452F" w:rsidRDefault="00AE2781" w14:paraId="6237E7E6" w14:textId="4C5011ED">
            <w:pPr>
              <w:jc w:val="center"/>
              <w:rPr>
                <w:sz w:val="22"/>
                <w:szCs w:val="18"/>
              </w:rPr>
            </w:pPr>
            <w:r w:rsidRPr="00BC4FA9">
              <w:rPr>
                <w:sz w:val="22"/>
                <w:szCs w:val="18"/>
              </w:rPr>
              <w:t>$</w:t>
            </w:r>
            <w:r w:rsidRPr="00BC4FA9" w:rsidR="00C24B62">
              <w:rPr>
                <w:sz w:val="22"/>
                <w:szCs w:val="18"/>
              </w:rPr>
              <w:t xml:space="preserve">4.00; </w:t>
            </w:r>
            <w:r w:rsidRPr="00BC4FA9" w:rsidR="00457697">
              <w:rPr>
                <w:sz w:val="22"/>
                <w:szCs w:val="18"/>
              </w:rPr>
              <w:t>Above 14(b) threshold</w:t>
            </w:r>
          </w:p>
        </w:tc>
        <w:tc>
          <w:tcPr>
            <w:tcW w:w="1604" w:type="dxa"/>
            <w:hideMark/>
          </w:tcPr>
          <w:p w:rsidRPr="00BC4FA9" w:rsidR="00457697" w:rsidP="0081452F" w:rsidRDefault="00457697" w14:paraId="15C84FBA" w14:textId="77777777">
            <w:pPr>
              <w:jc w:val="center"/>
              <w:rPr>
                <w:sz w:val="22"/>
                <w:szCs w:val="18"/>
              </w:rPr>
            </w:pPr>
            <w:r w:rsidRPr="00BC4FA9">
              <w:rPr>
                <w:sz w:val="22"/>
                <w:szCs w:val="18"/>
              </w:rPr>
              <w:t>No ICE offers available</w:t>
            </w:r>
          </w:p>
        </w:tc>
        <w:tc>
          <w:tcPr>
            <w:tcW w:w="2845" w:type="dxa"/>
            <w:hideMark/>
          </w:tcPr>
          <w:p w:rsidRPr="00BC4FA9" w:rsidR="00457697" w:rsidP="0081452F" w:rsidRDefault="00457697" w14:paraId="40A75EFF" w14:textId="77777777">
            <w:pPr>
              <w:jc w:val="center"/>
              <w:rPr>
                <w:sz w:val="22"/>
                <w:szCs w:val="18"/>
              </w:rPr>
            </w:pPr>
            <w:r w:rsidRPr="00BC4FA9">
              <w:rPr>
                <w:sz w:val="22"/>
                <w:szCs w:val="18"/>
              </w:rPr>
              <w:t>Supplier availability limited; time-sensitive reliability need</w:t>
            </w:r>
          </w:p>
        </w:tc>
      </w:tr>
      <w:tr w:rsidRPr="00BC4FA9" w:rsidR="00CD2C02" w:rsidTr="00180E0A" w14:paraId="4A276289" w14:textId="77777777">
        <w:trPr>
          <w:trHeight w:val="300"/>
          <w:jc w:val="center"/>
        </w:trPr>
        <w:tc>
          <w:tcPr>
            <w:tcW w:w="1485" w:type="dxa"/>
            <w:hideMark/>
          </w:tcPr>
          <w:p w:rsidRPr="00BC4FA9" w:rsidR="00457697" w:rsidP="0081452F" w:rsidRDefault="00457697" w14:paraId="086D25E4" w14:textId="77777777">
            <w:pPr>
              <w:jc w:val="center"/>
              <w:rPr>
                <w:sz w:val="22"/>
                <w:szCs w:val="18"/>
              </w:rPr>
            </w:pPr>
            <w:r w:rsidRPr="00BC4FA9">
              <w:rPr>
                <w:sz w:val="22"/>
                <w:szCs w:val="18"/>
              </w:rPr>
              <w:t>4234</w:t>
            </w:r>
          </w:p>
        </w:tc>
        <w:tc>
          <w:tcPr>
            <w:tcW w:w="930" w:type="dxa"/>
            <w:hideMark/>
          </w:tcPr>
          <w:p w:rsidRPr="00BC4FA9" w:rsidR="00457697" w:rsidP="0081452F" w:rsidRDefault="00457697" w14:paraId="5E534D81" w14:textId="77777777">
            <w:pPr>
              <w:jc w:val="center"/>
              <w:rPr>
                <w:sz w:val="22"/>
                <w:szCs w:val="18"/>
              </w:rPr>
            </w:pPr>
            <w:r w:rsidRPr="00BC4FA9">
              <w:rPr>
                <w:sz w:val="22"/>
                <w:szCs w:val="18"/>
              </w:rPr>
              <w:t>8/22/24</w:t>
            </w:r>
          </w:p>
        </w:tc>
        <w:tc>
          <w:tcPr>
            <w:tcW w:w="1273" w:type="dxa"/>
            <w:hideMark/>
          </w:tcPr>
          <w:p w:rsidRPr="00BC4FA9" w:rsidR="00457697" w:rsidP="0081452F" w:rsidRDefault="00457697" w14:paraId="3CD1381D" w14:textId="77777777">
            <w:pPr>
              <w:jc w:val="center"/>
              <w:rPr>
                <w:sz w:val="22"/>
                <w:szCs w:val="18"/>
              </w:rPr>
            </w:pPr>
            <w:r w:rsidRPr="00BC4FA9">
              <w:rPr>
                <w:sz w:val="22"/>
                <w:szCs w:val="18"/>
              </w:rPr>
              <w:t>Ehrenberg</w:t>
            </w:r>
          </w:p>
        </w:tc>
        <w:tc>
          <w:tcPr>
            <w:tcW w:w="1308" w:type="dxa"/>
            <w:hideMark/>
          </w:tcPr>
          <w:p w:rsidRPr="00BC4FA9" w:rsidR="00457697" w:rsidP="0081452F" w:rsidRDefault="00AE2781" w14:paraId="416279BE" w14:textId="6DF5FD0C">
            <w:pPr>
              <w:jc w:val="center"/>
              <w:rPr>
                <w:sz w:val="22"/>
                <w:szCs w:val="18"/>
              </w:rPr>
            </w:pPr>
            <w:r w:rsidRPr="00BC4FA9">
              <w:rPr>
                <w:sz w:val="22"/>
                <w:szCs w:val="18"/>
              </w:rPr>
              <w:t>$4.00;</w:t>
            </w:r>
            <w:r w:rsidRPr="00BC4FA9" w:rsidR="001E44DC">
              <w:rPr>
                <w:sz w:val="22"/>
                <w:szCs w:val="18"/>
              </w:rPr>
              <w:t xml:space="preserve"> </w:t>
            </w:r>
            <w:r w:rsidRPr="00BC4FA9" w:rsidR="00457697">
              <w:rPr>
                <w:sz w:val="22"/>
                <w:szCs w:val="18"/>
              </w:rPr>
              <w:t>Above 14(b) threshold</w:t>
            </w:r>
          </w:p>
        </w:tc>
        <w:tc>
          <w:tcPr>
            <w:tcW w:w="1604" w:type="dxa"/>
            <w:hideMark/>
          </w:tcPr>
          <w:p w:rsidRPr="00BC4FA9" w:rsidR="00457697" w:rsidP="0081452F" w:rsidRDefault="00457697" w14:paraId="79E53341" w14:textId="77777777">
            <w:pPr>
              <w:jc w:val="center"/>
              <w:rPr>
                <w:sz w:val="22"/>
                <w:szCs w:val="18"/>
              </w:rPr>
            </w:pPr>
            <w:r w:rsidRPr="00BC4FA9">
              <w:rPr>
                <w:sz w:val="22"/>
                <w:szCs w:val="18"/>
              </w:rPr>
              <w:t>No ICE offers available</w:t>
            </w:r>
          </w:p>
        </w:tc>
        <w:tc>
          <w:tcPr>
            <w:tcW w:w="2845" w:type="dxa"/>
            <w:hideMark/>
          </w:tcPr>
          <w:p w:rsidRPr="00BC4FA9" w:rsidR="00457697" w:rsidP="0081452F" w:rsidRDefault="00457697" w14:paraId="68EC3E85" w14:textId="77777777">
            <w:pPr>
              <w:jc w:val="center"/>
              <w:rPr>
                <w:sz w:val="22"/>
                <w:szCs w:val="18"/>
              </w:rPr>
            </w:pPr>
            <w:r w:rsidRPr="00BC4FA9">
              <w:rPr>
                <w:sz w:val="22"/>
                <w:szCs w:val="18"/>
              </w:rPr>
              <w:t>Follow-up procurement needed to maintain minimum flows</w:t>
            </w:r>
          </w:p>
        </w:tc>
      </w:tr>
      <w:tr w:rsidRPr="00BC4FA9" w:rsidR="00CD2C02" w:rsidTr="00180E0A" w14:paraId="4CEFA9C5" w14:textId="77777777">
        <w:trPr>
          <w:trHeight w:val="300"/>
          <w:jc w:val="center"/>
        </w:trPr>
        <w:tc>
          <w:tcPr>
            <w:tcW w:w="1485" w:type="dxa"/>
            <w:hideMark/>
          </w:tcPr>
          <w:p w:rsidRPr="00BC4FA9" w:rsidR="00457697" w:rsidP="0081452F" w:rsidRDefault="00457697" w14:paraId="63FC0306" w14:textId="77777777">
            <w:pPr>
              <w:jc w:val="center"/>
              <w:rPr>
                <w:sz w:val="22"/>
                <w:szCs w:val="18"/>
              </w:rPr>
            </w:pPr>
            <w:r w:rsidRPr="00BC4FA9">
              <w:rPr>
                <w:sz w:val="22"/>
                <w:szCs w:val="18"/>
              </w:rPr>
              <w:t>4251</w:t>
            </w:r>
          </w:p>
        </w:tc>
        <w:tc>
          <w:tcPr>
            <w:tcW w:w="930" w:type="dxa"/>
            <w:hideMark/>
          </w:tcPr>
          <w:p w:rsidRPr="00BC4FA9" w:rsidR="00457697" w:rsidP="0081452F" w:rsidRDefault="00457697" w14:paraId="560CF48A" w14:textId="77777777">
            <w:pPr>
              <w:jc w:val="center"/>
              <w:rPr>
                <w:sz w:val="22"/>
                <w:szCs w:val="18"/>
              </w:rPr>
            </w:pPr>
            <w:r w:rsidRPr="00BC4FA9">
              <w:rPr>
                <w:sz w:val="22"/>
                <w:szCs w:val="18"/>
              </w:rPr>
              <w:t>8/29/24</w:t>
            </w:r>
          </w:p>
        </w:tc>
        <w:tc>
          <w:tcPr>
            <w:tcW w:w="1273" w:type="dxa"/>
            <w:hideMark/>
          </w:tcPr>
          <w:p w:rsidRPr="00BC4FA9" w:rsidR="00457697" w:rsidP="0081452F" w:rsidRDefault="00457697" w14:paraId="4A0E3989" w14:textId="77777777">
            <w:pPr>
              <w:jc w:val="center"/>
              <w:rPr>
                <w:sz w:val="22"/>
                <w:szCs w:val="18"/>
              </w:rPr>
            </w:pPr>
            <w:r w:rsidRPr="00BC4FA9">
              <w:rPr>
                <w:sz w:val="22"/>
                <w:szCs w:val="18"/>
              </w:rPr>
              <w:t>Otay Mesa</w:t>
            </w:r>
          </w:p>
        </w:tc>
        <w:tc>
          <w:tcPr>
            <w:tcW w:w="1308" w:type="dxa"/>
            <w:hideMark/>
          </w:tcPr>
          <w:p w:rsidRPr="00BC4FA9" w:rsidR="00457697" w:rsidP="0081452F" w:rsidRDefault="00457697" w14:paraId="1EC209B9" w14:textId="77777777">
            <w:pPr>
              <w:jc w:val="center"/>
              <w:rPr>
                <w:sz w:val="22"/>
                <w:szCs w:val="18"/>
              </w:rPr>
            </w:pPr>
            <w:r w:rsidRPr="00BC4FA9">
              <w:rPr>
                <w:sz w:val="22"/>
                <w:szCs w:val="18"/>
              </w:rPr>
              <w:t>$15.00/Dth</w:t>
            </w:r>
          </w:p>
        </w:tc>
        <w:tc>
          <w:tcPr>
            <w:tcW w:w="1604" w:type="dxa"/>
            <w:hideMark/>
          </w:tcPr>
          <w:p w:rsidRPr="00BC4FA9" w:rsidR="00457697" w:rsidP="0081452F" w:rsidRDefault="00457697" w14:paraId="14FBC697" w14:textId="5097D129">
            <w:pPr>
              <w:jc w:val="center"/>
              <w:rPr>
                <w:sz w:val="22"/>
                <w:szCs w:val="18"/>
              </w:rPr>
            </w:pPr>
            <w:r w:rsidRPr="00BC4FA9">
              <w:rPr>
                <w:sz w:val="22"/>
                <w:szCs w:val="18"/>
              </w:rPr>
              <w:t xml:space="preserve">No ICE offers; EPNG </w:t>
            </w:r>
            <w:r w:rsidRPr="00BC4FA9" w:rsidR="003C6705">
              <w:rPr>
                <w:sz w:val="22"/>
                <w:szCs w:val="18"/>
              </w:rPr>
              <w:t>SOC</w:t>
            </w:r>
          </w:p>
        </w:tc>
        <w:tc>
          <w:tcPr>
            <w:tcW w:w="2845" w:type="dxa"/>
            <w:hideMark/>
          </w:tcPr>
          <w:p w:rsidRPr="00BC4FA9" w:rsidR="00457697" w:rsidP="0081452F" w:rsidRDefault="00457697" w14:paraId="19FE542B" w14:textId="77777777">
            <w:pPr>
              <w:jc w:val="center"/>
              <w:rPr>
                <w:sz w:val="22"/>
                <w:szCs w:val="18"/>
              </w:rPr>
            </w:pPr>
            <w:r w:rsidRPr="00BC4FA9">
              <w:rPr>
                <w:sz w:val="22"/>
                <w:szCs w:val="18"/>
              </w:rPr>
              <w:t>Ehrenberg supply constrained; Otay was only viable alternative to maintain reliability</w:t>
            </w:r>
          </w:p>
        </w:tc>
      </w:tr>
    </w:tbl>
    <w:p w:rsidRPr="00BC4FA9" w:rsidR="00E77CEB" w:rsidP="005C3B2D" w:rsidRDefault="00E77CEB" w14:paraId="2ADB3567" w14:textId="77777777"/>
    <w:p w:rsidRPr="00BC4FA9" w:rsidR="005C3B2D" w:rsidP="005C3B2D" w:rsidRDefault="00E77CEB" w14:paraId="69735AD3" w14:textId="14235490">
      <w:r w:rsidRPr="00BC4FA9">
        <w:t xml:space="preserve">Energy Division </w:t>
      </w:r>
      <w:r w:rsidRPr="00BC4FA9" w:rsidR="003F64F3">
        <w:t xml:space="preserve">staff </w:t>
      </w:r>
      <w:r w:rsidRPr="00BC4FA9">
        <w:t>reviewed the explanations and supporting documentation provided by SoCalGas and find that the Section 17 transactions were reasonable under the circumstances.</w:t>
      </w:r>
    </w:p>
    <w:p w:rsidRPr="00BC4FA9" w:rsidR="006F292A" w:rsidP="005C3B2D" w:rsidRDefault="006F292A" w14:paraId="19675BEB" w14:textId="77777777"/>
    <w:p w:rsidRPr="00BC4FA9" w:rsidR="008F1891" w:rsidP="008938F1" w:rsidRDefault="00142D62" w14:paraId="0AB24892" w14:textId="5554146C">
      <w:pPr>
        <w:spacing w:after="240"/>
      </w:pPr>
      <w:r w:rsidRPr="00BC4FA9">
        <w:t xml:space="preserve">Table 2 summarizes 54 transactions by SoCalGas, totaling </w:t>
      </w:r>
      <w:r w:rsidRPr="00BC4FA9" w:rsidR="003B6576">
        <w:t xml:space="preserve">$9,406,095 </w:t>
      </w:r>
      <w:r w:rsidRPr="00BC4FA9">
        <w:t xml:space="preserve">in </w:t>
      </w:r>
      <w:r w:rsidRPr="00BC4FA9" w:rsidR="00373614">
        <w:t xml:space="preserve">revenue from </w:t>
      </w:r>
      <w:r w:rsidRPr="00BC4FA9" w:rsidR="003B6576">
        <w:t>sales.</w:t>
      </w:r>
    </w:p>
    <w:p w:rsidRPr="00BC4FA9" w:rsidR="00EE1173" w:rsidP="008938F1" w:rsidRDefault="00EE1173" w14:paraId="14906E4C" w14:textId="4F79DF04">
      <w:pPr>
        <w:pStyle w:val="Caption"/>
      </w:pPr>
      <w:r w:rsidRPr="00BC4FA9">
        <w:lastRenderedPageBreak/>
        <w:t xml:space="preserve">Table </w:t>
      </w:r>
      <w:r w:rsidRPr="00BC4FA9">
        <w:fldChar w:fldCharType="begin"/>
      </w:r>
      <w:r w:rsidRPr="00BC4FA9">
        <w:instrText>SEQ Table \* ARABIC</w:instrText>
      </w:r>
      <w:r w:rsidRPr="00BC4FA9">
        <w:fldChar w:fldCharType="separate"/>
      </w:r>
      <w:r w:rsidRPr="00BC4FA9">
        <w:rPr>
          <w:noProof/>
        </w:rPr>
        <w:t>2</w:t>
      </w:r>
      <w:r w:rsidRPr="00BC4FA9">
        <w:fldChar w:fldCharType="end"/>
      </w:r>
      <w:bookmarkEnd w:id="3"/>
      <w:r w:rsidRPr="00BC4FA9">
        <w:t xml:space="preserve">: Southern System Sales </w:t>
      </w:r>
      <w:r w:rsidRPr="00BC4FA9" w:rsidR="003D60D7">
        <w:t xml:space="preserve">from October </w:t>
      </w:r>
      <w:r w:rsidRPr="00BC4FA9" w:rsidR="003D60D7">
        <w:rPr>
          <w:bCs/>
          <w:iCs w:val="0"/>
          <w:szCs w:val="20"/>
        </w:rPr>
        <w:t xml:space="preserve">2024 through </w:t>
      </w:r>
      <w:r w:rsidRPr="00BC4FA9" w:rsidR="00D41027">
        <w:rPr>
          <w:bCs/>
          <w:iCs w:val="0"/>
          <w:szCs w:val="20"/>
        </w:rPr>
        <w:t>September 2025</w:t>
      </w:r>
    </w:p>
    <w:tbl>
      <w:tblPr>
        <w:tblStyle w:val="TableGrid"/>
        <w:tblW w:w="0" w:type="auto"/>
        <w:tblLook w:val="04E0" w:firstRow="1" w:lastRow="1" w:firstColumn="1" w:lastColumn="0" w:noHBand="0" w:noVBand="1"/>
      </w:tblPr>
      <w:tblGrid>
        <w:gridCol w:w="1615"/>
        <w:gridCol w:w="2125"/>
        <w:gridCol w:w="1870"/>
        <w:gridCol w:w="1870"/>
        <w:gridCol w:w="1785"/>
      </w:tblGrid>
      <w:tr w:rsidRPr="00BC4FA9" w:rsidR="00D41027" w:rsidTr="7428CE45" w14:paraId="00DCE8FF" w14:textId="77777777">
        <w:tc>
          <w:tcPr>
            <w:tcW w:w="1615" w:type="dxa"/>
          </w:tcPr>
          <w:p w:rsidRPr="00BC4FA9" w:rsidR="00EE1173" w:rsidRDefault="00EE1173" w14:paraId="03E40AFE" w14:textId="77777777">
            <w:pPr>
              <w:rPr>
                <w:b/>
                <w:bCs/>
              </w:rPr>
            </w:pPr>
            <w:r w:rsidRPr="00BC4FA9">
              <w:rPr>
                <w:b/>
                <w:bCs/>
              </w:rPr>
              <w:t>Section</w:t>
            </w:r>
          </w:p>
        </w:tc>
        <w:tc>
          <w:tcPr>
            <w:tcW w:w="2125" w:type="dxa"/>
          </w:tcPr>
          <w:p w:rsidRPr="00BC4FA9" w:rsidR="00EE1173" w:rsidRDefault="00EE1173" w14:paraId="5E865A49" w14:textId="6D530D67">
            <w:pPr>
              <w:jc w:val="center"/>
              <w:rPr>
                <w:b/>
                <w:bCs/>
              </w:rPr>
            </w:pPr>
            <w:r w:rsidRPr="00BC4FA9">
              <w:rPr>
                <w:b/>
                <w:bCs/>
              </w:rPr>
              <w:t># Transactions</w:t>
            </w:r>
          </w:p>
        </w:tc>
        <w:tc>
          <w:tcPr>
            <w:tcW w:w="1870" w:type="dxa"/>
          </w:tcPr>
          <w:p w:rsidRPr="00BC4FA9" w:rsidR="00EE1173" w:rsidRDefault="00EE1173" w14:paraId="63427C35" w14:textId="77777777">
            <w:pPr>
              <w:jc w:val="center"/>
              <w:rPr>
                <w:b/>
                <w:bCs/>
              </w:rPr>
            </w:pPr>
            <w:r w:rsidRPr="00BC4FA9">
              <w:rPr>
                <w:b/>
                <w:bCs/>
              </w:rPr>
              <w:t>Transaction %</w:t>
            </w:r>
          </w:p>
        </w:tc>
        <w:tc>
          <w:tcPr>
            <w:tcW w:w="1870" w:type="dxa"/>
          </w:tcPr>
          <w:p w:rsidRPr="00BC4FA9" w:rsidR="00EE1173" w:rsidRDefault="00EE1173" w14:paraId="08A3E75B" w14:textId="77777777">
            <w:pPr>
              <w:jc w:val="center"/>
              <w:rPr>
                <w:b/>
                <w:bCs/>
              </w:rPr>
            </w:pPr>
            <w:r w:rsidRPr="00BC4FA9">
              <w:rPr>
                <w:b/>
                <w:bCs/>
              </w:rPr>
              <w:t>Sales $</w:t>
            </w:r>
          </w:p>
        </w:tc>
        <w:tc>
          <w:tcPr>
            <w:tcW w:w="1785" w:type="dxa"/>
          </w:tcPr>
          <w:p w:rsidRPr="00BC4FA9" w:rsidR="00EE1173" w:rsidRDefault="002107F7" w14:paraId="12EF4954" w14:textId="3F4FA3FE">
            <w:pPr>
              <w:jc w:val="center"/>
              <w:rPr>
                <w:b/>
                <w:bCs/>
              </w:rPr>
            </w:pPr>
            <w:r w:rsidRPr="00BC4FA9">
              <w:rPr>
                <w:b/>
                <w:bCs/>
              </w:rPr>
              <w:t>Sales</w:t>
            </w:r>
            <w:r w:rsidRPr="00BC4FA9" w:rsidR="00EE1173">
              <w:rPr>
                <w:b/>
                <w:bCs/>
              </w:rPr>
              <w:t xml:space="preserve"> %</w:t>
            </w:r>
          </w:p>
        </w:tc>
      </w:tr>
      <w:tr w:rsidRPr="00BC4FA9" w:rsidR="00D41027" w:rsidTr="7428CE45" w14:paraId="694403AB" w14:textId="77777777">
        <w:tc>
          <w:tcPr>
            <w:tcW w:w="1615" w:type="dxa"/>
          </w:tcPr>
          <w:p w:rsidRPr="00BC4FA9" w:rsidR="00EE1173" w:rsidP="7428CE45" w:rsidRDefault="00EE1173" w14:paraId="35E32B12" w14:textId="77777777">
            <w:r w:rsidRPr="00BC4FA9">
              <w:t>14(a)</w:t>
            </w:r>
          </w:p>
        </w:tc>
        <w:tc>
          <w:tcPr>
            <w:tcW w:w="2125" w:type="dxa"/>
          </w:tcPr>
          <w:p w:rsidRPr="00BC4FA9" w:rsidR="00EE1173" w:rsidP="00EE3D78" w:rsidRDefault="00095627" w14:paraId="66F8205D" w14:textId="5B975F1A">
            <w:pPr>
              <w:jc w:val="center"/>
            </w:pPr>
            <w:r w:rsidRPr="00BC4FA9">
              <w:t>39</w:t>
            </w:r>
          </w:p>
        </w:tc>
        <w:tc>
          <w:tcPr>
            <w:tcW w:w="1870" w:type="dxa"/>
          </w:tcPr>
          <w:p w:rsidRPr="00BC4FA9" w:rsidR="00EE1173" w:rsidP="00EE3D78" w:rsidRDefault="00095627" w14:paraId="57FE7862" w14:textId="74EF6D12">
            <w:pPr>
              <w:jc w:val="center"/>
            </w:pPr>
            <w:r w:rsidRPr="00BC4FA9">
              <w:t>72%</w:t>
            </w:r>
          </w:p>
        </w:tc>
        <w:tc>
          <w:tcPr>
            <w:tcW w:w="1870" w:type="dxa"/>
          </w:tcPr>
          <w:p w:rsidRPr="00BC4FA9" w:rsidR="00EE1173" w:rsidP="00EE3D78" w:rsidRDefault="00095627" w14:paraId="585D3752" w14:textId="1F22050C">
            <w:pPr>
              <w:jc w:val="center"/>
            </w:pPr>
            <w:r w:rsidRPr="00BC4FA9">
              <w:t>$8,694,237</w:t>
            </w:r>
          </w:p>
        </w:tc>
        <w:tc>
          <w:tcPr>
            <w:tcW w:w="1785" w:type="dxa"/>
          </w:tcPr>
          <w:p w:rsidRPr="00BC4FA9" w:rsidR="00EE1173" w:rsidP="00EE3D78" w:rsidRDefault="00A1647B" w14:paraId="0B2017F7" w14:textId="7283BE27">
            <w:pPr>
              <w:jc w:val="center"/>
            </w:pPr>
            <w:r w:rsidRPr="00BC4FA9">
              <w:t>92%</w:t>
            </w:r>
          </w:p>
        </w:tc>
      </w:tr>
      <w:tr w:rsidRPr="00BC4FA9" w:rsidR="00D41027" w:rsidTr="7428CE45" w14:paraId="315F91A9" w14:textId="77777777">
        <w:tc>
          <w:tcPr>
            <w:tcW w:w="1615" w:type="dxa"/>
          </w:tcPr>
          <w:p w:rsidRPr="00BC4FA9" w:rsidR="00EE1173" w:rsidP="7428CE45" w:rsidRDefault="00EE1173" w14:paraId="714DA603" w14:textId="77777777">
            <w:r w:rsidRPr="00BC4FA9">
              <w:t>14(b)</w:t>
            </w:r>
          </w:p>
        </w:tc>
        <w:tc>
          <w:tcPr>
            <w:tcW w:w="2125" w:type="dxa"/>
          </w:tcPr>
          <w:p w:rsidRPr="00BC4FA9" w:rsidR="00EE1173" w:rsidP="00EE3D78" w:rsidRDefault="00A1647B" w14:paraId="4AE6BAB3" w14:textId="64DF15B5">
            <w:pPr>
              <w:jc w:val="center"/>
            </w:pPr>
            <w:r w:rsidRPr="00BC4FA9">
              <w:t>15</w:t>
            </w:r>
          </w:p>
        </w:tc>
        <w:tc>
          <w:tcPr>
            <w:tcW w:w="1870" w:type="dxa"/>
          </w:tcPr>
          <w:p w:rsidRPr="00BC4FA9" w:rsidR="00EE1173" w:rsidP="00EE3D78" w:rsidRDefault="00A1647B" w14:paraId="10953760" w14:textId="1C9B3637">
            <w:pPr>
              <w:jc w:val="center"/>
            </w:pPr>
            <w:r w:rsidRPr="00BC4FA9">
              <w:t>28%</w:t>
            </w:r>
          </w:p>
        </w:tc>
        <w:tc>
          <w:tcPr>
            <w:tcW w:w="1870" w:type="dxa"/>
          </w:tcPr>
          <w:p w:rsidRPr="00BC4FA9" w:rsidR="00EE1173" w:rsidP="00EE3D78" w:rsidRDefault="00A1647B" w14:paraId="477A2941" w14:textId="5480FC40">
            <w:pPr>
              <w:jc w:val="center"/>
            </w:pPr>
            <w:r w:rsidRPr="00BC4FA9">
              <w:t>$711,858</w:t>
            </w:r>
          </w:p>
        </w:tc>
        <w:tc>
          <w:tcPr>
            <w:tcW w:w="1785" w:type="dxa"/>
          </w:tcPr>
          <w:p w:rsidRPr="00BC4FA9" w:rsidR="00EE1173" w:rsidP="00EE3D78" w:rsidRDefault="00A51D55" w14:paraId="348D721D" w14:textId="6B3B7601">
            <w:pPr>
              <w:jc w:val="center"/>
            </w:pPr>
            <w:r w:rsidRPr="00BC4FA9">
              <w:t>8%</w:t>
            </w:r>
          </w:p>
        </w:tc>
      </w:tr>
      <w:tr w:rsidRPr="00BC4FA9" w:rsidR="00D41027" w:rsidTr="7428CE45" w14:paraId="2A7FF79C" w14:textId="77777777">
        <w:tc>
          <w:tcPr>
            <w:tcW w:w="1615" w:type="dxa"/>
          </w:tcPr>
          <w:p w:rsidRPr="00BC4FA9" w:rsidR="00EE1173" w:rsidRDefault="00EE1173" w14:paraId="3A63D30B" w14:textId="77777777">
            <w:pPr>
              <w:rPr>
                <w:b/>
                <w:bCs/>
              </w:rPr>
            </w:pPr>
            <w:r w:rsidRPr="00BC4FA9">
              <w:rPr>
                <w:b/>
                <w:bCs/>
              </w:rPr>
              <w:t>Total</w:t>
            </w:r>
          </w:p>
        </w:tc>
        <w:tc>
          <w:tcPr>
            <w:tcW w:w="2125" w:type="dxa"/>
          </w:tcPr>
          <w:p w:rsidRPr="00BC4FA9" w:rsidR="00EE1173" w:rsidP="00EE3D78" w:rsidRDefault="00D41027" w14:paraId="22A40DE3" w14:textId="2F254565">
            <w:pPr>
              <w:jc w:val="center"/>
            </w:pPr>
            <w:r w:rsidRPr="00BC4FA9">
              <w:t>54</w:t>
            </w:r>
          </w:p>
        </w:tc>
        <w:tc>
          <w:tcPr>
            <w:tcW w:w="1870" w:type="dxa"/>
          </w:tcPr>
          <w:p w:rsidRPr="00BC4FA9" w:rsidR="00EE1173" w:rsidP="00EE3D78" w:rsidRDefault="00EE1173" w14:paraId="0AB57C7C" w14:textId="77777777">
            <w:pPr>
              <w:jc w:val="center"/>
            </w:pPr>
            <w:r w:rsidRPr="00BC4FA9">
              <w:t>100%</w:t>
            </w:r>
          </w:p>
        </w:tc>
        <w:tc>
          <w:tcPr>
            <w:tcW w:w="1870" w:type="dxa"/>
          </w:tcPr>
          <w:p w:rsidRPr="00BC4FA9" w:rsidR="00EE1173" w:rsidP="00EE3D78" w:rsidRDefault="00D41027" w14:paraId="6F754B4E" w14:textId="18A3DAA9">
            <w:pPr>
              <w:jc w:val="center"/>
            </w:pPr>
            <w:r w:rsidRPr="00BC4FA9">
              <w:t>$9,406,095</w:t>
            </w:r>
          </w:p>
        </w:tc>
        <w:tc>
          <w:tcPr>
            <w:tcW w:w="1785" w:type="dxa"/>
          </w:tcPr>
          <w:p w:rsidRPr="00BC4FA9" w:rsidR="00EE1173" w:rsidP="00EE3D78" w:rsidRDefault="00EE1173" w14:paraId="01D6DA43" w14:textId="77777777">
            <w:pPr>
              <w:jc w:val="center"/>
            </w:pPr>
            <w:r w:rsidRPr="00BC4FA9">
              <w:t>100%</w:t>
            </w:r>
          </w:p>
        </w:tc>
      </w:tr>
    </w:tbl>
    <w:p w:rsidRPr="00BC4FA9" w:rsidR="00F72F13" w:rsidP="00F72F13" w:rsidRDefault="00F72F13" w14:paraId="3BE08DF1" w14:textId="269C0718">
      <w:r w:rsidRPr="00BC4FA9">
        <w:t xml:space="preserve"> </w:t>
      </w:r>
    </w:p>
    <w:p w:rsidRPr="00BC4FA9" w:rsidR="00CA25DC" w:rsidP="00F72F13" w:rsidRDefault="00F72F13" w14:paraId="64383E8F" w14:textId="5643E08E">
      <w:r w:rsidRPr="00BC4FA9">
        <w:t xml:space="preserve">The purchases and sales in the </w:t>
      </w:r>
      <w:r w:rsidRPr="00BC4FA9" w:rsidR="00EE3D78">
        <w:t>2024-25</w:t>
      </w:r>
      <w:r w:rsidRPr="00BC4FA9">
        <w:t xml:space="preserve"> reporting period</w:t>
      </w:r>
      <w:r w:rsidRPr="00BC4FA9" w:rsidR="001979BE">
        <w:t xml:space="preserve">, </w:t>
      </w:r>
      <w:r w:rsidRPr="00BC4FA9" w:rsidR="004A1806">
        <w:t xml:space="preserve">which when combined </w:t>
      </w:r>
      <w:r w:rsidRPr="00BC4FA9" w:rsidR="000D3C5D">
        <w:t>with the transportation cost</w:t>
      </w:r>
      <w:r w:rsidRPr="00BC4FA9" w:rsidR="006E097C">
        <w:t>s,</w:t>
      </w:r>
      <w:r w:rsidRPr="00BC4FA9" w:rsidR="00257B38">
        <w:t xml:space="preserve"> result in a </w:t>
      </w:r>
      <w:r w:rsidRPr="00BC4FA9" w:rsidR="00AB0B96">
        <w:t>net cost of $</w:t>
      </w:r>
      <w:r w:rsidRPr="00BC4FA9" w:rsidR="001E5AEB">
        <w:t>5,524,502</w:t>
      </w:r>
      <w:r w:rsidRPr="00BC4FA9" w:rsidR="00B9488D">
        <w:t xml:space="preserve">, </w:t>
      </w:r>
      <w:r w:rsidRPr="00BC4FA9">
        <w:t>comply with Rule No. 41</w:t>
      </w:r>
      <w:r w:rsidRPr="00BC4FA9" w:rsidR="004541C9">
        <w:t>,</w:t>
      </w:r>
      <w:r w:rsidRPr="00BC4FA9">
        <w:t xml:space="preserve"> and are therefore subject to amortization in customer transportation rates </w:t>
      </w:r>
      <w:r w:rsidRPr="00BC4FA9" w:rsidR="00426547">
        <w:t xml:space="preserve">effective </w:t>
      </w:r>
      <w:r w:rsidR="00BC4FA9">
        <w:br/>
      </w:r>
      <w:r w:rsidRPr="00BC4FA9" w:rsidR="00426547">
        <w:t>January 1, 20</w:t>
      </w:r>
      <w:r w:rsidRPr="00BC4FA9" w:rsidR="001E5AEB">
        <w:t>27</w:t>
      </w:r>
      <w:r w:rsidRPr="00BC4FA9" w:rsidR="00B9488D">
        <w:t>,</w:t>
      </w:r>
      <w:r w:rsidRPr="00BC4FA9" w:rsidR="00A62BF5">
        <w:t xml:space="preserve"> on</w:t>
      </w:r>
      <w:r w:rsidRPr="00BC4FA9" w:rsidR="00A62BF5">
        <w:rPr>
          <w:shd w:val="clear" w:color="auto" w:fill="FFFFFF" w:themeFill="background1"/>
        </w:rPr>
        <w:t xml:space="preserve"> an equal-cents-per-therm basis</w:t>
      </w:r>
      <w:r w:rsidRPr="00BC4FA9">
        <w:t>.</w:t>
      </w:r>
      <w:r w:rsidRPr="00BC4FA9" w:rsidR="00CA25DC">
        <w:t xml:space="preserve"> </w:t>
      </w:r>
    </w:p>
    <w:p w:rsidRPr="00BC4FA9" w:rsidR="00331453" w:rsidP="00F72F13" w:rsidRDefault="00331453" w14:paraId="034F1943" w14:textId="77777777"/>
    <w:p w:rsidRPr="00BC4FA9" w:rsidR="00AA547E" w:rsidP="00AA547E" w:rsidRDefault="00972E3E" w14:paraId="386832AE" w14:textId="1EB566FD">
      <w:pPr>
        <w:tabs>
          <w:tab w:val="num" w:pos="720"/>
        </w:tabs>
        <w:spacing w:after="240"/>
        <w:rPr>
          <w:rFonts w:eastAsia="Palatino" w:cs="Palatino"/>
          <w:b/>
          <w:bCs/>
          <w:szCs w:val="26"/>
        </w:rPr>
      </w:pPr>
      <w:r w:rsidRPr="00BC4FA9">
        <w:rPr>
          <w:b/>
          <w:bCs/>
        </w:rPr>
        <w:t xml:space="preserve">Approval of </w:t>
      </w:r>
      <w:r w:rsidRPr="00BC4FA9" w:rsidR="00206B24">
        <w:rPr>
          <w:rFonts w:eastAsia="Palatino" w:cs="Palatino"/>
          <w:b/>
          <w:bCs/>
          <w:szCs w:val="26"/>
        </w:rPr>
        <w:t xml:space="preserve">SoCalGas’s </w:t>
      </w:r>
      <w:r w:rsidRPr="00BC4FA9" w:rsidR="00AA547E">
        <w:rPr>
          <w:rFonts w:eastAsia="Palatino" w:cs="Palatino"/>
          <w:b/>
          <w:bCs/>
          <w:szCs w:val="26"/>
        </w:rPr>
        <w:t>Proposed Revision</w:t>
      </w:r>
      <w:r w:rsidRPr="00BC4FA9" w:rsidR="00155302">
        <w:rPr>
          <w:rFonts w:eastAsia="Palatino" w:cs="Palatino"/>
          <w:b/>
          <w:bCs/>
          <w:szCs w:val="26"/>
        </w:rPr>
        <w:t xml:space="preserve"> to Section 19 of Gas Rule No. 41</w:t>
      </w:r>
    </w:p>
    <w:p w:rsidRPr="00BC4FA9" w:rsidR="00304F91" w:rsidP="00AF4BA1" w:rsidRDefault="004D6ECB" w14:paraId="35D9003A" w14:textId="050A8866">
      <w:pPr>
        <w:rPr>
          <w:szCs w:val="24"/>
        </w:rPr>
      </w:pPr>
      <w:r w:rsidRPr="00BC4FA9">
        <w:rPr>
          <w:szCs w:val="24"/>
        </w:rPr>
        <w:t>Th</w:t>
      </w:r>
      <w:r w:rsidRPr="00BC4FA9" w:rsidR="004541C9">
        <w:rPr>
          <w:szCs w:val="24"/>
        </w:rPr>
        <w:t>is</w:t>
      </w:r>
      <w:r w:rsidRPr="00BC4FA9">
        <w:rPr>
          <w:szCs w:val="24"/>
        </w:rPr>
        <w:t xml:space="preserve"> resolution approves SoCalGas’s proposed revision to Section 19</w:t>
      </w:r>
      <w:r w:rsidRPr="00BC4FA9" w:rsidR="00304F91">
        <w:rPr>
          <w:szCs w:val="24"/>
        </w:rPr>
        <w:t xml:space="preserve"> of Gas Rule </w:t>
      </w:r>
      <w:r w:rsidR="00BC4FA9">
        <w:rPr>
          <w:szCs w:val="24"/>
        </w:rPr>
        <w:br/>
      </w:r>
      <w:r w:rsidRPr="00BC4FA9" w:rsidR="00304F91">
        <w:rPr>
          <w:szCs w:val="24"/>
        </w:rPr>
        <w:t xml:space="preserve">No. 41. </w:t>
      </w:r>
    </w:p>
    <w:p w:rsidRPr="00BC4FA9" w:rsidR="00AF4BA1" w:rsidP="00AF4BA1" w:rsidRDefault="00AF4BA1" w14:paraId="048284CB" w14:textId="77777777">
      <w:pPr>
        <w:rPr>
          <w:szCs w:val="24"/>
        </w:rPr>
      </w:pPr>
    </w:p>
    <w:p w:rsidRPr="00BC4FA9" w:rsidR="004E3B84" w:rsidP="00AF4BA1" w:rsidRDefault="00972E3E" w14:paraId="49A925B3" w14:textId="001F583F">
      <w:pPr>
        <w:tabs>
          <w:tab w:val="num" w:pos="720"/>
        </w:tabs>
        <w:spacing w:after="240"/>
        <w:rPr>
          <w:rFonts w:eastAsia="Palatino" w:cs="Palatino"/>
          <w:szCs w:val="26"/>
        </w:rPr>
      </w:pPr>
      <w:r w:rsidRPr="00BC4FA9">
        <w:rPr>
          <w:rFonts w:eastAsia="Palatino" w:cs="Palatino"/>
          <w:szCs w:val="26"/>
        </w:rPr>
        <w:t xml:space="preserve">In AL 6558-G, </w:t>
      </w:r>
      <w:r w:rsidRPr="00BC4FA9" w:rsidR="00AA547E">
        <w:rPr>
          <w:rFonts w:eastAsia="Palatino" w:cs="Palatino"/>
          <w:szCs w:val="26"/>
        </w:rPr>
        <w:t>SoCalGas propose</w:t>
      </w:r>
      <w:r w:rsidRPr="00BC4FA9" w:rsidR="00A61ECD">
        <w:rPr>
          <w:rFonts w:eastAsia="Palatino" w:cs="Palatino"/>
          <w:szCs w:val="26"/>
        </w:rPr>
        <w:t>s</w:t>
      </w:r>
      <w:r w:rsidRPr="00BC4FA9" w:rsidR="00AA547E">
        <w:rPr>
          <w:rFonts w:eastAsia="Palatino" w:cs="Palatino"/>
          <w:szCs w:val="26"/>
        </w:rPr>
        <w:t xml:space="preserve"> </w:t>
      </w:r>
      <w:r w:rsidRPr="00BC4FA9" w:rsidR="00A61ECD">
        <w:rPr>
          <w:rFonts w:eastAsia="Palatino" w:cs="Palatino"/>
          <w:szCs w:val="26"/>
        </w:rPr>
        <w:t xml:space="preserve">to </w:t>
      </w:r>
      <w:r w:rsidRPr="00BC4FA9" w:rsidR="00654121">
        <w:rPr>
          <w:rFonts w:eastAsia="Palatino" w:cs="Palatino"/>
          <w:szCs w:val="26"/>
        </w:rPr>
        <w:t>revis</w:t>
      </w:r>
      <w:r w:rsidRPr="00BC4FA9" w:rsidR="00A61ECD">
        <w:rPr>
          <w:rFonts w:eastAsia="Palatino" w:cs="Palatino"/>
          <w:szCs w:val="26"/>
        </w:rPr>
        <w:t>e</w:t>
      </w:r>
      <w:r w:rsidRPr="00BC4FA9" w:rsidR="00654121">
        <w:rPr>
          <w:rFonts w:eastAsia="Palatino" w:cs="Palatino"/>
          <w:szCs w:val="26"/>
        </w:rPr>
        <w:t xml:space="preserve"> </w:t>
      </w:r>
      <w:r w:rsidRPr="00BC4FA9" w:rsidR="00AA547E">
        <w:rPr>
          <w:rFonts w:eastAsia="Palatino" w:cs="Palatino"/>
          <w:szCs w:val="26"/>
        </w:rPr>
        <w:t>Section 19 of Gas Rule No. 41</w:t>
      </w:r>
      <w:r w:rsidRPr="00BC4FA9" w:rsidR="00B62B78">
        <w:rPr>
          <w:rFonts w:eastAsia="Palatino" w:cs="Palatino"/>
          <w:szCs w:val="26"/>
        </w:rPr>
        <w:t xml:space="preserve"> </w:t>
      </w:r>
      <w:r w:rsidRPr="00BC4FA9" w:rsidR="00AA547E">
        <w:rPr>
          <w:rFonts w:eastAsia="Palatino" w:cs="Palatino"/>
          <w:szCs w:val="26"/>
        </w:rPr>
        <w:t xml:space="preserve">to update the baseload safe harbor pricing standard to reflect current market conditions. Specifically, SoCalGas requests that baseload purchases be deemed reasonable if priced at or below 110 percent of the NGI </w:t>
      </w:r>
      <w:proofErr w:type="spellStart"/>
      <w:r w:rsidRPr="00BC4FA9" w:rsidR="00AA547E">
        <w:rPr>
          <w:rFonts w:eastAsia="Palatino" w:cs="Palatino"/>
          <w:szCs w:val="26"/>
        </w:rPr>
        <w:t>Bidweek</w:t>
      </w:r>
      <w:proofErr w:type="spellEnd"/>
      <w:r w:rsidRPr="00BC4FA9" w:rsidR="00AA547E">
        <w:rPr>
          <w:rFonts w:eastAsia="Palatino" w:cs="Palatino"/>
          <w:szCs w:val="26"/>
        </w:rPr>
        <w:t xml:space="preserve"> average for the SoCal Border–Ehrenberg trading point for the relevant baseload month(s) or, if that index is unavailable, at or below </w:t>
      </w:r>
      <w:r w:rsidR="00BC4FA9">
        <w:rPr>
          <w:rFonts w:eastAsia="Palatino" w:cs="Palatino"/>
          <w:szCs w:val="26"/>
        </w:rPr>
        <w:br/>
      </w:r>
      <w:r w:rsidRPr="00BC4FA9" w:rsidR="00AA547E">
        <w:rPr>
          <w:rFonts w:eastAsia="Palatino" w:cs="Palatino"/>
          <w:szCs w:val="26"/>
        </w:rPr>
        <w:t>110 percent of the NGI SoCal Border Average index.</w:t>
      </w:r>
      <w:r w:rsidRPr="00BC4FA9" w:rsidR="00464F83">
        <w:rPr>
          <w:rFonts w:eastAsia="Palatino" w:cs="Palatino"/>
          <w:szCs w:val="26"/>
        </w:rPr>
        <w:t xml:space="preserve"> </w:t>
      </w:r>
    </w:p>
    <w:p w:rsidRPr="00BC4FA9" w:rsidR="002A3706" w:rsidP="00AF4BA1" w:rsidRDefault="002A3706" w14:paraId="7FCC2891" w14:textId="19377D5A">
      <w:pPr>
        <w:tabs>
          <w:tab w:val="num" w:pos="720"/>
        </w:tabs>
        <w:spacing w:after="240"/>
        <w:rPr>
          <w:rFonts w:eastAsia="Palatino" w:cs="Palatino"/>
          <w:szCs w:val="26"/>
        </w:rPr>
      </w:pPr>
      <w:r w:rsidRPr="00BC4FA9">
        <w:rPr>
          <w:rFonts w:eastAsia="Palatino" w:cs="Palatino"/>
          <w:szCs w:val="26"/>
        </w:rPr>
        <w:t>The Commission finds that the existing</w:t>
      </w:r>
      <w:r w:rsidRPr="00BC4FA9" w:rsidR="009E18EB">
        <w:rPr>
          <w:rFonts w:eastAsia="Palatino" w:cs="Palatino"/>
          <w:szCs w:val="26"/>
        </w:rPr>
        <w:t xml:space="preserve"> 8.2 cents per </w:t>
      </w:r>
      <w:r w:rsidRPr="00BC4FA9">
        <w:rPr>
          <w:rFonts w:eastAsia="Palatino" w:cs="Palatino"/>
          <w:szCs w:val="26"/>
        </w:rPr>
        <w:t>Dth adder was developed under substantially different market conditions and no longer reflects prevailing Border-to-Citygate price differentials.</w:t>
      </w:r>
      <w:r w:rsidRPr="00BC4FA9" w:rsidR="00B22A41">
        <w:rPr>
          <w:rFonts w:eastAsia="Palatino" w:cs="Palatino"/>
          <w:szCs w:val="26"/>
        </w:rPr>
        <w:t xml:space="preserve"> </w:t>
      </w:r>
      <w:r w:rsidRPr="00BC4FA9">
        <w:rPr>
          <w:rFonts w:eastAsia="Palatino" w:cs="Palatino"/>
          <w:szCs w:val="26"/>
        </w:rPr>
        <w:t xml:space="preserve">The historical pricing data provided by </w:t>
      </w:r>
      <w:r w:rsidRPr="00BC4FA9" w:rsidR="00796E72">
        <w:rPr>
          <w:rFonts w:eastAsia="Palatino" w:cs="Palatino"/>
          <w:szCs w:val="26"/>
        </w:rPr>
        <w:t xml:space="preserve">SoCalGas </w:t>
      </w:r>
      <w:r w:rsidRPr="00BC4FA9" w:rsidR="00E313DF">
        <w:rPr>
          <w:rFonts w:eastAsia="Palatino" w:cs="Palatino"/>
          <w:szCs w:val="26"/>
        </w:rPr>
        <w:t xml:space="preserve">show </w:t>
      </w:r>
      <w:r w:rsidRPr="00BC4FA9">
        <w:rPr>
          <w:rFonts w:eastAsia="Palatino" w:cs="Palatino"/>
          <w:szCs w:val="26"/>
        </w:rPr>
        <w:t>that the Citygate premium over Border pricing has widened materially since adoption of the existing benchmark.</w:t>
      </w:r>
    </w:p>
    <w:p w:rsidRPr="00BC4FA9" w:rsidR="00E51767" w:rsidP="00E51767" w:rsidRDefault="00E51767" w14:paraId="2C6960DA" w14:textId="77777777">
      <w:r w:rsidRPr="00BC4FA9">
        <w:t>The Commission has reviewed the protest of Cal Advocates and SoCalGas’s response.</w:t>
      </w:r>
    </w:p>
    <w:p w:rsidRPr="00BC4FA9" w:rsidR="001F71AA" w:rsidP="00AF4BA1" w:rsidRDefault="004D4A7C" w14:paraId="3880030D" w14:textId="77777777">
      <w:pPr>
        <w:tabs>
          <w:tab w:val="num" w:pos="720"/>
        </w:tabs>
        <w:spacing w:after="240"/>
        <w:rPr>
          <w:rFonts w:eastAsia="Palatino" w:cs="Palatino"/>
          <w:szCs w:val="26"/>
        </w:rPr>
      </w:pPr>
      <w:r w:rsidRPr="00BC4FA9">
        <w:rPr>
          <w:rFonts w:eastAsia="Palatino" w:cs="Palatino"/>
          <w:szCs w:val="26"/>
        </w:rPr>
        <w:t>Cal Advocates had argued that SoCalGas had not provided sufficient data to support the proposed revision</w:t>
      </w:r>
      <w:r w:rsidRPr="00BC4FA9" w:rsidR="002E169C">
        <w:rPr>
          <w:rFonts w:eastAsia="Palatino" w:cs="Palatino"/>
          <w:szCs w:val="26"/>
        </w:rPr>
        <w:t xml:space="preserve">. </w:t>
      </w:r>
      <w:r w:rsidRPr="00BC4FA9">
        <w:rPr>
          <w:rFonts w:eastAsia="Palatino" w:cs="Palatino"/>
          <w:szCs w:val="26"/>
        </w:rPr>
        <w:t>However, after reviewing the supplemental information provided by SoCalGas, including Confidential Attachment A, the Commission finds that the record is sufficient to evaluate the proposed revision.</w:t>
      </w:r>
      <w:r w:rsidRPr="00BC4FA9" w:rsidR="00C93074">
        <w:rPr>
          <w:rFonts w:eastAsia="Palatino" w:cs="Palatino"/>
          <w:szCs w:val="26"/>
        </w:rPr>
        <w:t xml:space="preserve"> </w:t>
      </w:r>
    </w:p>
    <w:p w:rsidRPr="00BC4FA9" w:rsidR="004D4A7C" w:rsidP="00AF4BA1" w:rsidRDefault="00C93074" w14:paraId="49E3D263" w14:textId="4D61B595">
      <w:pPr>
        <w:tabs>
          <w:tab w:val="num" w:pos="720"/>
        </w:tabs>
        <w:spacing w:after="240"/>
        <w:rPr>
          <w:rFonts w:eastAsia="Palatino" w:cs="Palatino"/>
          <w:szCs w:val="26"/>
        </w:rPr>
      </w:pPr>
      <w:r w:rsidRPr="00BC4FA9">
        <w:rPr>
          <w:rFonts w:eastAsia="Palatino" w:cs="Palatino"/>
          <w:szCs w:val="26"/>
        </w:rPr>
        <w:t xml:space="preserve">Accordingly, </w:t>
      </w:r>
      <w:r w:rsidRPr="00BC4FA9" w:rsidR="004027D4">
        <w:rPr>
          <w:szCs w:val="24"/>
        </w:rPr>
        <w:t>the Commission finds that SoCalGas’s Section 19 revision request is reasonable.</w:t>
      </w:r>
    </w:p>
    <w:p w:rsidRPr="00BC4FA9" w:rsidR="00AA547E" w:rsidP="00BC4FA9" w:rsidRDefault="005F219A" w14:paraId="0298B091" w14:textId="6F77FDED">
      <w:pPr>
        <w:keepNext/>
        <w:tabs>
          <w:tab w:val="num" w:pos="720"/>
        </w:tabs>
        <w:spacing w:after="240"/>
        <w:rPr>
          <w:rFonts w:eastAsia="Palatino" w:cs="Palatino"/>
          <w:szCs w:val="26"/>
        </w:rPr>
      </w:pPr>
      <w:r w:rsidRPr="00BC4FA9">
        <w:rPr>
          <w:rFonts w:eastAsia="Palatino" w:cs="Palatino"/>
          <w:szCs w:val="26"/>
        </w:rPr>
        <w:lastRenderedPageBreak/>
        <w:t xml:space="preserve">As proposed by SoCalGas, </w:t>
      </w:r>
      <w:r w:rsidRPr="00BC4FA9" w:rsidR="00C93074">
        <w:rPr>
          <w:rFonts w:eastAsia="Palatino" w:cs="Palatino"/>
          <w:szCs w:val="26"/>
        </w:rPr>
        <w:t>the</w:t>
      </w:r>
      <w:r w:rsidRPr="00BC4FA9">
        <w:rPr>
          <w:rFonts w:eastAsia="Palatino" w:cs="Palatino"/>
          <w:szCs w:val="26"/>
        </w:rPr>
        <w:t xml:space="preserve"> </w:t>
      </w:r>
      <w:r w:rsidRPr="00BC4FA9" w:rsidR="00464F83">
        <w:rPr>
          <w:rFonts w:eastAsia="Palatino" w:cs="Palatino"/>
          <w:szCs w:val="26"/>
        </w:rPr>
        <w:t xml:space="preserve">revised </w:t>
      </w:r>
      <w:r w:rsidRPr="00BC4FA9">
        <w:rPr>
          <w:rFonts w:eastAsia="Palatino" w:cs="Palatino"/>
          <w:szCs w:val="26"/>
        </w:rPr>
        <w:t xml:space="preserve">text to </w:t>
      </w:r>
      <w:r w:rsidRPr="00BC4FA9" w:rsidR="00464F83">
        <w:rPr>
          <w:rFonts w:eastAsia="Palatino" w:cs="Palatino"/>
          <w:szCs w:val="26"/>
        </w:rPr>
        <w:t>Section 19 of Gas Rule No. 41 should read</w:t>
      </w:r>
      <w:r w:rsidRPr="00BC4FA9" w:rsidR="00900DE7">
        <w:rPr>
          <w:rFonts w:eastAsia="Palatino" w:cs="Palatino"/>
          <w:szCs w:val="26"/>
        </w:rPr>
        <w:t xml:space="preserve"> (bold text </w:t>
      </w:r>
      <w:r w:rsidRPr="00BC4FA9" w:rsidR="008A2E53">
        <w:rPr>
          <w:rFonts w:eastAsia="Palatino" w:cs="Palatino"/>
          <w:szCs w:val="26"/>
        </w:rPr>
        <w:t>denotes</w:t>
      </w:r>
      <w:r w:rsidRPr="00BC4FA9" w:rsidR="008C124E">
        <w:rPr>
          <w:rFonts w:eastAsia="Palatino" w:cs="Palatino"/>
          <w:szCs w:val="26"/>
        </w:rPr>
        <w:t xml:space="preserve"> added </w:t>
      </w:r>
      <w:r w:rsidRPr="00BC4FA9" w:rsidR="00E3056A">
        <w:rPr>
          <w:rFonts w:eastAsia="Palatino" w:cs="Palatino"/>
          <w:szCs w:val="26"/>
        </w:rPr>
        <w:t xml:space="preserve">text </w:t>
      </w:r>
      <w:r w:rsidRPr="00BC4FA9" w:rsidR="008C124E">
        <w:rPr>
          <w:rFonts w:eastAsia="Palatino" w:cs="Palatino"/>
          <w:szCs w:val="26"/>
        </w:rPr>
        <w:t xml:space="preserve">and strikethrough text denotes </w:t>
      </w:r>
      <w:r w:rsidRPr="00BC4FA9" w:rsidR="00E3056A">
        <w:rPr>
          <w:rFonts w:eastAsia="Palatino" w:cs="Palatino"/>
          <w:szCs w:val="26"/>
        </w:rPr>
        <w:t xml:space="preserve">removed </w:t>
      </w:r>
      <w:r w:rsidRPr="00BC4FA9" w:rsidR="008C124E">
        <w:rPr>
          <w:rFonts w:eastAsia="Palatino" w:cs="Palatino"/>
          <w:szCs w:val="26"/>
        </w:rPr>
        <w:t>text)</w:t>
      </w:r>
      <w:r w:rsidRPr="00BC4FA9" w:rsidR="00464F83">
        <w:rPr>
          <w:rFonts w:eastAsia="Palatino" w:cs="Palatino"/>
          <w:szCs w:val="26"/>
        </w:rPr>
        <w:t>:</w:t>
      </w:r>
    </w:p>
    <w:p w:rsidRPr="00BC4FA9" w:rsidR="00ED56E2" w:rsidP="00BC4FA9" w:rsidRDefault="00FD5B8E" w14:paraId="24238AF5" w14:textId="2CB1B368">
      <w:pPr>
        <w:keepNext/>
        <w:tabs>
          <w:tab w:val="num" w:pos="720"/>
        </w:tabs>
        <w:spacing w:after="240"/>
        <w:ind w:left="720" w:hanging="360"/>
        <w:rPr>
          <w:rFonts w:eastAsia="Palatino" w:cs="Palatino"/>
          <w:szCs w:val="26"/>
        </w:rPr>
      </w:pPr>
      <w:r w:rsidRPr="00BC4FA9">
        <w:rPr>
          <w:rFonts w:eastAsia="Palatino" w:cs="Palatino"/>
          <w:szCs w:val="26"/>
        </w:rPr>
        <w:t xml:space="preserve">19. Should the Operational Hub deem it necessary or advisable to enter into baseload contracts for Southern System support at one or more of the Southern System receipt points, the Operational Hub shall be deemed to have made reasonable baseload purchases if: (1) the total cumulative baseload volumes at any time are less than or equal to 255,000 Dth/day in the months of December through March and 200,000 Dth/day in the months of July through September; (2) the price is less than or equal to </w:t>
      </w:r>
      <w:r w:rsidRPr="00BC4FA9">
        <w:rPr>
          <w:rFonts w:eastAsia="Palatino" w:cs="Palatino"/>
          <w:b/>
          <w:bCs/>
          <w:szCs w:val="26"/>
        </w:rPr>
        <w:t xml:space="preserve">110% of the </w:t>
      </w:r>
      <w:r w:rsidRPr="00BC4FA9">
        <w:rPr>
          <w:rFonts w:eastAsia="Palatino" w:cs="Palatino"/>
          <w:szCs w:val="26"/>
        </w:rPr>
        <w:t xml:space="preserve">NGI’s </w:t>
      </w:r>
      <w:proofErr w:type="spellStart"/>
      <w:r w:rsidRPr="00BC4FA9">
        <w:rPr>
          <w:rFonts w:eastAsia="Palatino" w:cs="Palatino"/>
          <w:szCs w:val="26"/>
        </w:rPr>
        <w:t>Bidweek</w:t>
      </w:r>
      <w:proofErr w:type="spellEnd"/>
      <w:r w:rsidRPr="00BC4FA9">
        <w:rPr>
          <w:rFonts w:eastAsia="Palatino" w:cs="Palatino"/>
          <w:szCs w:val="26"/>
        </w:rPr>
        <w:t xml:space="preserve"> average for </w:t>
      </w:r>
      <w:r w:rsidRPr="00BC4FA9">
        <w:rPr>
          <w:rFonts w:eastAsia="Palatino" w:cs="Palatino"/>
          <w:i/>
          <w:iCs/>
          <w:strike/>
          <w:szCs w:val="26"/>
        </w:rPr>
        <w:t xml:space="preserve">”Southern Cal. </w:t>
      </w:r>
      <w:proofErr w:type="spellStart"/>
      <w:r w:rsidRPr="00BC4FA9">
        <w:rPr>
          <w:rFonts w:eastAsia="Palatino" w:cs="Palatino"/>
          <w:i/>
          <w:iCs/>
          <w:strike/>
          <w:szCs w:val="26"/>
        </w:rPr>
        <w:t>Bdr</w:t>
      </w:r>
      <w:proofErr w:type="spellEnd"/>
      <w:r w:rsidRPr="00BC4FA9">
        <w:rPr>
          <w:rFonts w:eastAsia="Palatino" w:cs="Palatino"/>
          <w:i/>
          <w:iCs/>
          <w:strike/>
          <w:szCs w:val="26"/>
        </w:rPr>
        <w:t>. Avg.” plus 8.2 cents/Dth</w:t>
      </w:r>
      <w:r w:rsidRPr="00BC4FA9">
        <w:rPr>
          <w:rFonts w:eastAsia="Palatino" w:cs="Palatino"/>
          <w:b/>
          <w:bCs/>
          <w:szCs w:val="26"/>
        </w:rPr>
        <w:t xml:space="preserve"> “SoCal Border – Ehrenberg” </w:t>
      </w:r>
      <w:r w:rsidRPr="00BC4FA9">
        <w:rPr>
          <w:rFonts w:eastAsia="Palatino" w:cs="Palatino"/>
          <w:szCs w:val="26"/>
        </w:rPr>
        <w:t>for the relevant baseload month(s)</w:t>
      </w:r>
      <w:r w:rsidRPr="00BC4FA9">
        <w:rPr>
          <w:rFonts w:eastAsia="Palatino" w:cs="Palatino"/>
          <w:strike/>
          <w:szCs w:val="26"/>
        </w:rPr>
        <w:t>;</w:t>
      </w:r>
      <w:r w:rsidRPr="00BC4FA9">
        <w:rPr>
          <w:rFonts w:eastAsia="Palatino" w:cs="Palatino"/>
          <w:b/>
          <w:bCs/>
          <w:szCs w:val="26"/>
        </w:rPr>
        <w:t>, however if this index is not available, then 110% of</w:t>
      </w:r>
      <w:r w:rsidRPr="00BC4FA9" w:rsidR="00891B35">
        <w:rPr>
          <w:rFonts w:eastAsia="Palatino" w:cs="Palatino"/>
          <w:b/>
          <w:bCs/>
          <w:szCs w:val="26"/>
        </w:rPr>
        <w:t xml:space="preserve"> </w:t>
      </w:r>
      <w:r w:rsidRPr="00BC4FA9">
        <w:rPr>
          <w:rFonts w:eastAsia="Palatino" w:cs="Palatino"/>
          <w:b/>
          <w:bCs/>
          <w:szCs w:val="26"/>
        </w:rPr>
        <w:t xml:space="preserve">the NGI </w:t>
      </w:r>
      <w:proofErr w:type="spellStart"/>
      <w:r w:rsidRPr="00BC4FA9">
        <w:rPr>
          <w:rFonts w:eastAsia="Palatino" w:cs="Palatino"/>
          <w:b/>
          <w:bCs/>
          <w:szCs w:val="26"/>
        </w:rPr>
        <w:t>Bidweek</w:t>
      </w:r>
      <w:proofErr w:type="spellEnd"/>
      <w:r w:rsidRPr="00BC4FA9">
        <w:rPr>
          <w:rFonts w:eastAsia="Palatino" w:cs="Palatino"/>
          <w:b/>
          <w:bCs/>
          <w:szCs w:val="26"/>
        </w:rPr>
        <w:t xml:space="preserve"> average for “SoCal Border Avg.” for the relevant baseload month(s) apply; </w:t>
      </w:r>
      <w:r w:rsidRPr="00BC4FA9">
        <w:rPr>
          <w:rFonts w:eastAsia="Palatino" w:cs="Palatino"/>
          <w:szCs w:val="26"/>
        </w:rPr>
        <w:t>(3) the term is for the December-March or the July-September periods, or any subset of those periods; and (4) the baseload contracts can only be made for one season at a time and only within the nine month period directly preceding that season. The</w:t>
      </w:r>
      <w:r w:rsidRPr="00BC4FA9" w:rsidR="00245ACE">
        <w:rPr>
          <w:rFonts w:eastAsia="Palatino" w:cs="Palatino"/>
          <w:szCs w:val="26"/>
        </w:rPr>
        <w:t xml:space="preserve"> </w:t>
      </w:r>
      <w:r w:rsidRPr="00BC4FA9">
        <w:rPr>
          <w:rFonts w:eastAsia="Palatino" w:cs="Palatino"/>
          <w:szCs w:val="26"/>
        </w:rPr>
        <w:t>Operational Hub shall be deemed to have made reasonable sales of such baseload gas if:</w:t>
      </w:r>
      <w:r w:rsidRPr="00BC4FA9" w:rsidR="009A3F22">
        <w:rPr>
          <w:rFonts w:eastAsia="Palatino" w:cs="Palatino"/>
          <w:szCs w:val="26"/>
        </w:rPr>
        <w:t xml:space="preserve"> </w:t>
      </w:r>
      <w:r w:rsidRPr="00BC4FA9">
        <w:rPr>
          <w:rFonts w:eastAsia="Palatino" w:cs="Palatino"/>
          <w:szCs w:val="26"/>
        </w:rPr>
        <w:t xml:space="preserve">(1) for baseload sales, the sale price is greater than or equal to 90% of NGI’s </w:t>
      </w:r>
      <w:proofErr w:type="spellStart"/>
      <w:r w:rsidRPr="00BC4FA9">
        <w:rPr>
          <w:rFonts w:eastAsia="Palatino" w:cs="Palatino"/>
          <w:szCs w:val="26"/>
        </w:rPr>
        <w:t>Bidweek</w:t>
      </w:r>
      <w:proofErr w:type="spellEnd"/>
      <w:r w:rsidRPr="00BC4FA9" w:rsidR="009A3F22">
        <w:rPr>
          <w:rFonts w:eastAsia="Palatino" w:cs="Palatino"/>
          <w:szCs w:val="26"/>
        </w:rPr>
        <w:t xml:space="preserve"> </w:t>
      </w:r>
      <w:r w:rsidRPr="00BC4FA9">
        <w:rPr>
          <w:rFonts w:eastAsia="Palatino" w:cs="Palatino"/>
          <w:szCs w:val="26"/>
        </w:rPr>
        <w:t>average for “SoCal Citygate” for the relevant baseload month(s); and (2) for spot sales, the sale price is greater than or equal to 90% of the NGI Avg Index for the relevant trading point and trading period. This provision shall expire on March 31, 2028, unless extended by the Commission. SoCalGas may seek extension or modification of this provision by standard advice filing.</w:t>
      </w:r>
    </w:p>
    <w:p w:rsidRPr="00BC4FA9" w:rsidR="00A739F0" w:rsidP="00ED56E2" w:rsidRDefault="00E43EF5" w14:paraId="7267C8D6" w14:textId="5FAE4D95">
      <w:pPr>
        <w:tabs>
          <w:tab w:val="num" w:pos="720"/>
        </w:tabs>
        <w:spacing w:after="240"/>
        <w:rPr>
          <w:rFonts w:eastAsia="Palatino" w:cs="Palatino"/>
          <w:szCs w:val="26"/>
        </w:rPr>
      </w:pPr>
      <w:r w:rsidRPr="00BC4FA9">
        <w:rPr>
          <w:b/>
          <w:bCs/>
        </w:rPr>
        <w:t xml:space="preserve">Approval of </w:t>
      </w:r>
      <w:r w:rsidRPr="00BC4FA9">
        <w:rPr>
          <w:rFonts w:eastAsia="Palatino" w:cs="Palatino"/>
          <w:b/>
          <w:bCs/>
          <w:szCs w:val="26"/>
        </w:rPr>
        <w:t>SoCalGas’s Proposed Revision</w:t>
      </w:r>
      <w:r w:rsidRPr="00BC4FA9" w:rsidR="00A739F0">
        <w:rPr>
          <w:rFonts w:eastAsia="Palatino" w:cs="Palatino"/>
          <w:b/>
          <w:bCs/>
          <w:szCs w:val="26"/>
        </w:rPr>
        <w:t xml:space="preserve"> to Section 15 of Gas Rule No. 41</w:t>
      </w:r>
      <w:r w:rsidRPr="00BC4FA9" w:rsidR="00304FA9">
        <w:rPr>
          <w:rFonts w:eastAsia="Palatino" w:cs="Palatino"/>
          <w:b/>
          <w:bCs/>
          <w:szCs w:val="26"/>
        </w:rPr>
        <w:t xml:space="preserve"> </w:t>
      </w:r>
    </w:p>
    <w:p w:rsidRPr="00BC4FA9" w:rsidR="00044C0A" w:rsidP="00CC4632" w:rsidRDefault="0087538B" w14:paraId="7D7DFADD" w14:textId="3CE32878">
      <w:pPr>
        <w:rPr>
          <w:szCs w:val="24"/>
        </w:rPr>
      </w:pPr>
      <w:r w:rsidRPr="00BC4FA9">
        <w:rPr>
          <w:szCs w:val="24"/>
        </w:rPr>
        <w:t xml:space="preserve">The Commission approves SoCalGas’s proposed revision to Section 15 of Gas Rule </w:t>
      </w:r>
      <w:r w:rsidR="00BC4FA9">
        <w:rPr>
          <w:szCs w:val="24"/>
        </w:rPr>
        <w:br/>
      </w:r>
      <w:r w:rsidRPr="00BC4FA9">
        <w:rPr>
          <w:szCs w:val="24"/>
        </w:rPr>
        <w:t>No. 41, subject to the conditions adopted below.</w:t>
      </w:r>
    </w:p>
    <w:p w:rsidRPr="00BC4FA9" w:rsidR="00CC4632" w:rsidP="00CC4632" w:rsidRDefault="00CC4632" w14:paraId="2098B079" w14:textId="77777777">
      <w:pPr>
        <w:rPr>
          <w:szCs w:val="24"/>
        </w:rPr>
      </w:pPr>
    </w:p>
    <w:p w:rsidRPr="00BC4FA9" w:rsidR="00CC4632" w:rsidP="00CC4632" w:rsidRDefault="004A431C" w14:paraId="2FC30B51" w14:textId="07979853">
      <w:pPr>
        <w:tabs>
          <w:tab w:val="num" w:pos="720"/>
        </w:tabs>
        <w:rPr>
          <w:rFonts w:eastAsia="Palatino" w:cs="Palatino"/>
          <w:szCs w:val="26"/>
        </w:rPr>
      </w:pPr>
      <w:r w:rsidRPr="00BC4FA9">
        <w:rPr>
          <w:rFonts w:eastAsia="Palatino" w:cs="Palatino"/>
          <w:szCs w:val="26"/>
        </w:rPr>
        <w:t xml:space="preserve">SoCalGas proposed revising Section 15 to provide that when at least three offers are not available, communication with at least five Southern System gas suppliers shall be deemed reasonable. </w:t>
      </w:r>
      <w:r w:rsidRPr="00BC4FA9" w:rsidR="00A739F0">
        <w:rPr>
          <w:rFonts w:eastAsia="Palatino" w:cs="Palatino"/>
          <w:szCs w:val="26"/>
        </w:rPr>
        <w:t>SoCalGas</w:t>
      </w:r>
      <w:r w:rsidRPr="00BC4FA9" w:rsidR="00E90A77">
        <w:rPr>
          <w:rFonts w:eastAsia="Palatino" w:cs="Palatino"/>
          <w:szCs w:val="26"/>
        </w:rPr>
        <w:t xml:space="preserve"> states that it</w:t>
      </w:r>
      <w:r w:rsidRPr="00BC4FA9" w:rsidR="00A739F0">
        <w:rPr>
          <w:rFonts w:eastAsia="Palatino" w:cs="Palatino"/>
          <w:szCs w:val="26"/>
        </w:rPr>
        <w:t xml:space="preserve"> </w:t>
      </w:r>
      <w:r w:rsidRPr="00BC4FA9" w:rsidR="00CF56CA">
        <w:rPr>
          <w:rFonts w:eastAsia="Palatino" w:cs="Palatino"/>
          <w:szCs w:val="26"/>
        </w:rPr>
        <w:t xml:space="preserve">made this </w:t>
      </w:r>
      <w:r w:rsidRPr="00BC4FA9" w:rsidR="00C25D9E">
        <w:rPr>
          <w:rFonts w:eastAsia="Palatino" w:cs="Palatino"/>
          <w:szCs w:val="26"/>
        </w:rPr>
        <w:t>reques</w:t>
      </w:r>
      <w:r w:rsidRPr="00BC4FA9" w:rsidR="00CF56CA">
        <w:rPr>
          <w:rFonts w:eastAsia="Palatino" w:cs="Palatino"/>
          <w:szCs w:val="26"/>
        </w:rPr>
        <w:t>t</w:t>
      </w:r>
      <w:r w:rsidRPr="00BC4FA9" w:rsidR="004B1F24">
        <w:rPr>
          <w:rFonts w:eastAsia="Palatino" w:cs="Palatino"/>
          <w:szCs w:val="26"/>
        </w:rPr>
        <w:t xml:space="preserve"> </w:t>
      </w:r>
      <w:r w:rsidRPr="00BC4FA9" w:rsidR="00CF56CA">
        <w:rPr>
          <w:rFonts w:eastAsia="Palatino" w:cs="Palatino"/>
          <w:szCs w:val="26"/>
        </w:rPr>
        <w:t xml:space="preserve">due to </w:t>
      </w:r>
      <w:r w:rsidRPr="00BC4FA9" w:rsidR="00EB2A2D">
        <w:rPr>
          <w:rFonts w:eastAsia="Palatino" w:cs="Palatino"/>
          <w:szCs w:val="26"/>
        </w:rPr>
        <w:t>increasing</w:t>
      </w:r>
      <w:r w:rsidRPr="00BC4FA9" w:rsidR="004B1F24">
        <w:rPr>
          <w:rFonts w:eastAsia="Palatino" w:cs="Palatino"/>
          <w:szCs w:val="26"/>
        </w:rPr>
        <w:t xml:space="preserve"> difficulty in </w:t>
      </w:r>
      <w:r w:rsidRPr="00BC4FA9" w:rsidR="00A739F0">
        <w:rPr>
          <w:rFonts w:eastAsia="Palatino" w:cs="Palatino"/>
          <w:szCs w:val="26"/>
        </w:rPr>
        <w:t xml:space="preserve">acquiring </w:t>
      </w:r>
      <w:r w:rsidRPr="00BC4FA9" w:rsidR="00E90A77">
        <w:rPr>
          <w:rFonts w:eastAsia="Palatino" w:cs="Palatino"/>
          <w:szCs w:val="26"/>
        </w:rPr>
        <w:t xml:space="preserve">three </w:t>
      </w:r>
      <w:r w:rsidRPr="00BC4FA9" w:rsidR="00A739F0">
        <w:rPr>
          <w:rFonts w:eastAsia="Palatino" w:cs="Palatino"/>
          <w:szCs w:val="26"/>
        </w:rPr>
        <w:t xml:space="preserve">offers from different suppliers during Southern System reliability events, particularly during later gas scheduling cycles. SoCalGas attributes these challenges to reduced market liquidity and increased competition for gas supplies from the Southwest and Mexico. </w:t>
      </w:r>
    </w:p>
    <w:p w:rsidRPr="00BC4FA9" w:rsidR="00CC4632" w:rsidP="00CC4632" w:rsidRDefault="00CC4632" w14:paraId="5D6E8933" w14:textId="77777777">
      <w:pPr>
        <w:tabs>
          <w:tab w:val="num" w:pos="720"/>
        </w:tabs>
        <w:rPr>
          <w:rFonts w:eastAsia="Palatino" w:cs="Palatino"/>
          <w:szCs w:val="26"/>
        </w:rPr>
      </w:pPr>
    </w:p>
    <w:p w:rsidRPr="00BC4FA9" w:rsidR="00CC4632" w:rsidP="00CC4632" w:rsidRDefault="00E71708" w14:paraId="3CD27E46" w14:textId="1CC4BF77">
      <w:pPr>
        <w:tabs>
          <w:tab w:val="num" w:pos="720"/>
        </w:tabs>
        <w:rPr>
          <w:rFonts w:eastAsia="Palatino" w:cs="Palatino"/>
          <w:szCs w:val="26"/>
        </w:rPr>
      </w:pPr>
      <w:r w:rsidRPr="00BC4FA9">
        <w:rPr>
          <w:rFonts w:eastAsia="Palatino" w:cs="Palatino"/>
          <w:szCs w:val="26"/>
        </w:rPr>
        <w:t>The Commission finds that SoCalGas has demonstrated increasing difficulty obtaining three bona fide price offers during Southern System reliability events.</w:t>
      </w:r>
    </w:p>
    <w:p w:rsidRPr="00BC4FA9" w:rsidR="00CC4632" w:rsidP="00CC4632" w:rsidRDefault="00CC4632" w14:paraId="731E8F06" w14:textId="77777777">
      <w:pPr>
        <w:tabs>
          <w:tab w:val="num" w:pos="720"/>
        </w:tabs>
        <w:rPr>
          <w:rFonts w:eastAsia="Palatino" w:cs="Palatino"/>
          <w:szCs w:val="26"/>
        </w:rPr>
      </w:pPr>
    </w:p>
    <w:p w:rsidRPr="00BC4FA9" w:rsidR="0084720A" w:rsidP="0084720A" w:rsidRDefault="00CC4632" w14:paraId="552D9BEF" w14:textId="77777777">
      <w:pPr>
        <w:tabs>
          <w:tab w:val="num" w:pos="720"/>
        </w:tabs>
        <w:rPr>
          <w:rFonts w:eastAsia="Palatino" w:cs="Palatino"/>
          <w:szCs w:val="26"/>
        </w:rPr>
      </w:pPr>
      <w:r w:rsidRPr="00BC4FA9">
        <w:rPr>
          <w:rFonts w:eastAsia="Palatino" w:cs="Palatino"/>
          <w:szCs w:val="26"/>
        </w:rPr>
        <w:t>The Commission also finds that Cal Advocates raised reasonable concerns regarding the potential for reduced transparency and diminished price competition under the proposed framework. Specifically, replacing a requirement for three supplier offers with a requirement to contact five suppliers reduces reliance on direct price competition and increases reliance on procurement process documentation.</w:t>
      </w:r>
    </w:p>
    <w:p w:rsidRPr="00BC4FA9" w:rsidR="0084720A" w:rsidP="0084720A" w:rsidRDefault="0084720A" w14:paraId="66D1FA7B" w14:textId="77777777">
      <w:pPr>
        <w:tabs>
          <w:tab w:val="num" w:pos="720"/>
        </w:tabs>
        <w:rPr>
          <w:rFonts w:eastAsia="Palatino" w:cs="Palatino"/>
          <w:szCs w:val="26"/>
        </w:rPr>
      </w:pPr>
    </w:p>
    <w:p w:rsidRPr="00BC4FA9" w:rsidR="0084720A" w:rsidP="00F514D7" w:rsidRDefault="0084720A" w14:paraId="35BE750A" w14:textId="6DE5760F">
      <w:pPr>
        <w:tabs>
          <w:tab w:val="num" w:pos="720"/>
        </w:tabs>
        <w:rPr>
          <w:rFonts w:eastAsia="Palatino" w:cs="Palatino"/>
          <w:szCs w:val="26"/>
        </w:rPr>
      </w:pPr>
      <w:r w:rsidRPr="00BC4FA9">
        <w:rPr>
          <w:rFonts w:eastAsia="Palatino" w:cs="Palatino"/>
          <w:szCs w:val="26"/>
        </w:rPr>
        <w:t>T</w:t>
      </w:r>
      <w:r w:rsidRPr="00BC4FA9">
        <w:rPr>
          <w:szCs w:val="24"/>
        </w:rPr>
        <w:t>he Commission therefore finds that additional safeguards are necessary to ensure that procurement activities conducted under the revised Section 15 framework remain transparent, verifiable, and subject to oversight.</w:t>
      </w:r>
    </w:p>
    <w:p w:rsidRPr="00BC4FA9" w:rsidR="00F514D7" w:rsidP="00F514D7" w:rsidRDefault="00F514D7" w14:paraId="3CAC0806" w14:textId="77777777">
      <w:pPr>
        <w:rPr>
          <w:rFonts w:eastAsia="Palatino" w:cs="Palatino"/>
          <w:szCs w:val="26"/>
        </w:rPr>
      </w:pPr>
    </w:p>
    <w:p w:rsidRPr="00BC4FA9" w:rsidR="00F514D7" w:rsidP="00F514D7" w:rsidRDefault="0084720A" w14:paraId="1513CA2D" w14:textId="77777777">
      <w:pPr>
        <w:rPr>
          <w:szCs w:val="24"/>
        </w:rPr>
      </w:pPr>
      <w:r w:rsidRPr="00BC4FA9">
        <w:rPr>
          <w:szCs w:val="24"/>
        </w:rPr>
        <w:t>Accordingly, approval of the Section 15 revision is conditioned upon the following requirements:</w:t>
      </w:r>
    </w:p>
    <w:p w:rsidRPr="00BC4FA9" w:rsidR="00F514D7" w:rsidP="00F514D7" w:rsidRDefault="00F514D7" w14:paraId="31CB018B" w14:textId="77777777">
      <w:pPr>
        <w:rPr>
          <w:szCs w:val="24"/>
        </w:rPr>
      </w:pPr>
    </w:p>
    <w:p w:rsidRPr="00BC4FA9" w:rsidR="006233F1" w:rsidP="006233F1" w:rsidRDefault="006233F1" w14:paraId="218862A4" w14:textId="079A4E98">
      <w:pPr>
        <w:numPr>
          <w:ilvl w:val="0"/>
          <w:numId w:val="39"/>
        </w:numPr>
      </w:pPr>
      <w:r w:rsidRPr="00BC4FA9">
        <w:t xml:space="preserve">Supplier Participation Reporting </w:t>
      </w:r>
    </w:p>
    <w:p w:rsidRPr="00BC4FA9" w:rsidR="006233F1" w:rsidP="006233F1" w:rsidRDefault="006233F1" w14:paraId="083CFA62" w14:textId="77777777">
      <w:pPr>
        <w:ind w:left="720"/>
      </w:pPr>
      <w:r w:rsidRPr="00BC4FA9">
        <w:t xml:space="preserve">For events in which the five-supplier fallback is applied, SoCalGas shall include in future Annual Compliance Reports a summary table showing: </w:t>
      </w:r>
    </w:p>
    <w:p w:rsidRPr="00BC4FA9" w:rsidR="006233F1" w:rsidP="006233F1" w:rsidRDefault="006233F1" w14:paraId="265E3C0C" w14:textId="77777777">
      <w:pPr>
        <w:numPr>
          <w:ilvl w:val="1"/>
          <w:numId w:val="39"/>
        </w:numPr>
      </w:pPr>
      <w:r w:rsidRPr="00BC4FA9">
        <w:t>total number of fallback events;</w:t>
      </w:r>
    </w:p>
    <w:p w:rsidRPr="00BC4FA9" w:rsidR="006233F1" w:rsidP="006233F1" w:rsidRDefault="006233F1" w14:paraId="083265EA" w14:textId="77777777">
      <w:pPr>
        <w:numPr>
          <w:ilvl w:val="1"/>
          <w:numId w:val="39"/>
        </w:numPr>
      </w:pPr>
      <w:r w:rsidRPr="00BC4FA9">
        <w:t>the number of suppliers contacted per event;</w:t>
      </w:r>
    </w:p>
    <w:p w:rsidRPr="00BC4FA9" w:rsidR="006233F1" w:rsidP="006233F1" w:rsidRDefault="006233F1" w14:paraId="107C7569" w14:textId="77777777">
      <w:pPr>
        <w:numPr>
          <w:ilvl w:val="1"/>
          <w:numId w:val="39"/>
        </w:numPr>
      </w:pPr>
      <w:r w:rsidRPr="00BC4FA9">
        <w:t>the number of offers received per event; and</w:t>
      </w:r>
    </w:p>
    <w:p w:rsidRPr="00BC4FA9" w:rsidR="006233F1" w:rsidP="006233F1" w:rsidRDefault="006233F1" w14:paraId="11B107DA" w14:textId="77777777">
      <w:pPr>
        <w:numPr>
          <w:ilvl w:val="1"/>
          <w:numId w:val="39"/>
        </w:numPr>
        <w:spacing w:after="240"/>
      </w:pPr>
      <w:r w:rsidRPr="00BC4FA9">
        <w:t xml:space="preserve">annual supplier response rates. </w:t>
      </w:r>
    </w:p>
    <w:p w:rsidR="00FD6F1E" w:rsidP="00BC4FA9" w:rsidRDefault="00EC7720" w14:paraId="06E79053" w14:textId="76CC7DC7">
      <w:pPr>
        <w:pStyle w:val="ListParagraph"/>
        <w:numPr>
          <w:ilvl w:val="0"/>
          <w:numId w:val="39"/>
        </w:numPr>
        <w:spacing w:after="240"/>
      </w:pPr>
      <w:r w:rsidRPr="00BC4FA9">
        <w:t>Documentation and Record Retention Requirement</w:t>
      </w:r>
      <w:r w:rsidRPr="00BC4FA9" w:rsidR="00FD6F1E">
        <w:br/>
        <w:t xml:space="preserve">SoCalGas shall </w:t>
      </w:r>
      <w:r w:rsidRPr="00BC4FA9" w:rsidR="006B529B">
        <w:t xml:space="preserve">submit </w:t>
      </w:r>
      <w:r w:rsidRPr="00BC4FA9" w:rsidR="00FD6F1E">
        <w:t>records supporting Southern System reliability transactions, including supplier outreach records and ICE market checks</w:t>
      </w:r>
      <w:r w:rsidRPr="00BC4FA9" w:rsidR="00CA5818">
        <w:t xml:space="preserve"> with the Annual Compliance Report Advice Letter</w:t>
      </w:r>
    </w:p>
    <w:p w:rsidRPr="00BC4FA9" w:rsidR="00BC4FA9" w:rsidP="00BC4FA9" w:rsidRDefault="00BC4FA9" w14:paraId="1E713AF4" w14:textId="77777777">
      <w:pPr>
        <w:pStyle w:val="ListParagraph"/>
        <w:spacing w:after="240"/>
      </w:pPr>
    </w:p>
    <w:p w:rsidRPr="00BC4FA9" w:rsidR="0056420A" w:rsidP="00BC4FA9" w:rsidRDefault="00FA2CEA" w14:paraId="65E9B610" w14:textId="64EF9CF0">
      <w:pPr>
        <w:pStyle w:val="ListParagraph"/>
        <w:numPr>
          <w:ilvl w:val="0"/>
          <w:numId w:val="39"/>
        </w:numPr>
      </w:pPr>
      <w:r w:rsidRPr="00BC4FA9">
        <w:t>Sunset and Review</w:t>
      </w:r>
      <w:r w:rsidRPr="00BC4FA9">
        <w:br/>
      </w:r>
      <w:r w:rsidRPr="00BC4FA9" w:rsidR="006F577D">
        <w:rPr>
          <w:szCs w:val="24"/>
        </w:rPr>
        <w:t>Th</w:t>
      </w:r>
      <w:r w:rsidRPr="00BC4FA9" w:rsidR="00764EE1">
        <w:rPr>
          <w:szCs w:val="24"/>
        </w:rPr>
        <w:t>e revised Section 15</w:t>
      </w:r>
      <w:r w:rsidRPr="00BC4FA9" w:rsidR="006F577D">
        <w:rPr>
          <w:szCs w:val="24"/>
        </w:rPr>
        <w:t xml:space="preserve"> provision shall expire on </w:t>
      </w:r>
      <w:r w:rsidRPr="00BC4FA9" w:rsidR="000B5D2C">
        <w:rPr>
          <w:szCs w:val="24"/>
        </w:rPr>
        <w:t>June 1</w:t>
      </w:r>
      <w:r w:rsidRPr="00BC4FA9" w:rsidR="006F577D">
        <w:rPr>
          <w:szCs w:val="24"/>
        </w:rPr>
        <w:t>, 202</w:t>
      </w:r>
      <w:r w:rsidRPr="00BC4FA9" w:rsidR="009737B0">
        <w:rPr>
          <w:szCs w:val="24"/>
        </w:rPr>
        <w:t>9</w:t>
      </w:r>
      <w:r w:rsidRPr="00BC4FA9" w:rsidR="006F577D">
        <w:rPr>
          <w:szCs w:val="24"/>
        </w:rPr>
        <w:t>, unless extended by the Commission</w:t>
      </w:r>
      <w:r w:rsidRPr="00BC4FA9" w:rsidR="004446E9">
        <w:rPr>
          <w:szCs w:val="24"/>
        </w:rPr>
        <w:t xml:space="preserve">. If </w:t>
      </w:r>
      <w:r w:rsidRPr="00BC4FA9" w:rsidR="000033AB">
        <w:rPr>
          <w:szCs w:val="24"/>
        </w:rPr>
        <w:t xml:space="preserve">SoCalGas wishes </w:t>
      </w:r>
      <w:r w:rsidRPr="00BC4FA9" w:rsidR="00027AC4">
        <w:rPr>
          <w:szCs w:val="24"/>
        </w:rPr>
        <w:t>the revision</w:t>
      </w:r>
      <w:r w:rsidRPr="00BC4FA9" w:rsidR="00AE62C3">
        <w:rPr>
          <w:szCs w:val="24"/>
        </w:rPr>
        <w:t xml:space="preserve"> to</w:t>
      </w:r>
      <w:r w:rsidRPr="00BC4FA9" w:rsidR="00027AC4">
        <w:rPr>
          <w:szCs w:val="24"/>
        </w:rPr>
        <w:t xml:space="preserve"> Section 15 to continue, </w:t>
      </w:r>
      <w:r w:rsidRPr="00BC4FA9" w:rsidR="002477E2">
        <w:rPr>
          <w:szCs w:val="24"/>
        </w:rPr>
        <w:t xml:space="preserve">it </w:t>
      </w:r>
      <w:r w:rsidRPr="00BC4FA9" w:rsidR="00F53FA7">
        <w:rPr>
          <w:szCs w:val="24"/>
        </w:rPr>
        <w:t xml:space="preserve">must </w:t>
      </w:r>
      <w:r w:rsidRPr="00BC4FA9" w:rsidR="002A0762">
        <w:rPr>
          <w:szCs w:val="24"/>
        </w:rPr>
        <w:t xml:space="preserve">demonstrate that </w:t>
      </w:r>
      <w:r w:rsidRPr="00BC4FA9" w:rsidR="00A16EC0">
        <w:rPr>
          <w:szCs w:val="24"/>
        </w:rPr>
        <w:t xml:space="preserve">it </w:t>
      </w:r>
      <w:r w:rsidRPr="00BC4FA9" w:rsidR="002A0762">
        <w:rPr>
          <w:szCs w:val="24"/>
        </w:rPr>
        <w:t>improved procurement outcomes without increasing ratepayer exposure</w:t>
      </w:r>
      <w:r w:rsidRPr="00BC4FA9" w:rsidR="00677690">
        <w:rPr>
          <w:szCs w:val="24"/>
        </w:rPr>
        <w:t xml:space="preserve"> in its November 1, 202</w:t>
      </w:r>
      <w:r w:rsidRPr="00BC4FA9" w:rsidR="009737B0">
        <w:rPr>
          <w:szCs w:val="24"/>
        </w:rPr>
        <w:t>8</w:t>
      </w:r>
      <w:r w:rsidRPr="00BC4FA9" w:rsidR="00207C41">
        <w:rPr>
          <w:szCs w:val="24"/>
        </w:rPr>
        <w:t xml:space="preserve">, </w:t>
      </w:r>
      <w:r w:rsidRPr="00BC4FA9" w:rsidR="00867D9B">
        <w:rPr>
          <w:szCs w:val="24"/>
        </w:rPr>
        <w:t>Annual Compliance Report Advice Letter</w:t>
      </w:r>
      <w:r w:rsidRPr="00BC4FA9" w:rsidR="002A0762">
        <w:rPr>
          <w:szCs w:val="24"/>
        </w:rPr>
        <w:t>.</w:t>
      </w:r>
    </w:p>
    <w:p w:rsidRPr="00BC4FA9" w:rsidR="001B2784" w:rsidP="001B2784" w:rsidRDefault="001B2784" w14:paraId="23963997" w14:textId="77777777">
      <w:pPr>
        <w:rPr>
          <w:szCs w:val="24"/>
        </w:rPr>
      </w:pPr>
    </w:p>
    <w:p w:rsidRPr="00BC4FA9" w:rsidR="001B2784" w:rsidP="001B2784" w:rsidRDefault="00433E87" w14:paraId="167187EA" w14:textId="4F76064B">
      <w:r w:rsidRPr="00BC4FA9">
        <w:t>Accordingly, the Commission approves the proposed revision to Section 15, subject to the conditions adopted in this Resolution, which adequately address the concerns raised by Cal Advocates.</w:t>
      </w:r>
    </w:p>
    <w:p w:rsidRPr="00BC4FA9" w:rsidR="00E061FA" w:rsidP="0056420A" w:rsidRDefault="00E061FA" w14:paraId="280CB4D6" w14:textId="77777777">
      <w:pPr>
        <w:rPr>
          <w:szCs w:val="24"/>
        </w:rPr>
      </w:pPr>
    </w:p>
    <w:p w:rsidR="00E1298A" w:rsidP="006F577D" w:rsidRDefault="001B2784" w14:paraId="7279E45C" w14:textId="013F069F">
      <w:pPr>
        <w:tabs>
          <w:tab w:val="num" w:pos="720"/>
        </w:tabs>
        <w:rPr>
          <w:rFonts w:eastAsia="Palatino" w:cs="Palatino"/>
          <w:szCs w:val="26"/>
        </w:rPr>
      </w:pPr>
      <w:r w:rsidRPr="00BC4FA9">
        <w:rPr>
          <w:rFonts w:eastAsia="Palatino" w:cs="Palatino"/>
          <w:szCs w:val="26"/>
        </w:rPr>
        <w:lastRenderedPageBreak/>
        <w:t xml:space="preserve">As proposed by SoCalGas, the </w:t>
      </w:r>
      <w:r w:rsidRPr="00BC4FA9" w:rsidR="006F577D">
        <w:rPr>
          <w:rFonts w:eastAsia="Palatino" w:cs="Palatino"/>
          <w:szCs w:val="26"/>
        </w:rPr>
        <w:t xml:space="preserve">revised </w:t>
      </w:r>
      <w:r w:rsidRPr="00BC4FA9" w:rsidR="00E1298A">
        <w:rPr>
          <w:rFonts w:eastAsia="Palatino" w:cs="Palatino"/>
          <w:szCs w:val="26"/>
        </w:rPr>
        <w:t>text to Section 15 of Gas Rule No. 41 shall read</w:t>
      </w:r>
      <w:r w:rsidRPr="00BC4FA9" w:rsidR="002F13B1">
        <w:rPr>
          <w:rFonts w:eastAsia="Palatino" w:cs="Palatino"/>
          <w:szCs w:val="26"/>
        </w:rPr>
        <w:t xml:space="preserve"> (bold text denotes added </w:t>
      </w:r>
      <w:r w:rsidRPr="00BC4FA9">
        <w:rPr>
          <w:rFonts w:eastAsia="Palatino" w:cs="Palatino"/>
          <w:szCs w:val="26"/>
        </w:rPr>
        <w:t>revisions</w:t>
      </w:r>
      <w:r w:rsidRPr="00BC4FA9" w:rsidR="002F13B1">
        <w:rPr>
          <w:rFonts w:eastAsia="Palatino" w:cs="Palatino"/>
          <w:szCs w:val="26"/>
        </w:rPr>
        <w:t>)</w:t>
      </w:r>
      <w:r w:rsidRPr="00BC4FA9" w:rsidR="00E1298A">
        <w:rPr>
          <w:rFonts w:eastAsia="Palatino" w:cs="Palatino"/>
          <w:szCs w:val="26"/>
        </w:rPr>
        <w:t>:</w:t>
      </w:r>
    </w:p>
    <w:p w:rsidRPr="00BC4FA9" w:rsidR="00BC4FA9" w:rsidP="006F577D" w:rsidRDefault="00BC4FA9" w14:paraId="12A4B91B" w14:textId="77777777">
      <w:pPr>
        <w:tabs>
          <w:tab w:val="num" w:pos="720"/>
        </w:tabs>
        <w:rPr>
          <w:rFonts w:eastAsia="Palatino" w:cs="Palatino"/>
          <w:szCs w:val="26"/>
        </w:rPr>
      </w:pPr>
    </w:p>
    <w:p w:rsidRPr="00BC4FA9" w:rsidR="001F698F" w:rsidP="00BC4FA9" w:rsidRDefault="007C618E" w14:paraId="2F9CEDC6" w14:textId="5AF976CF">
      <w:pPr>
        <w:tabs>
          <w:tab w:val="num" w:pos="720"/>
        </w:tabs>
        <w:ind w:left="720" w:hanging="360"/>
        <w:rPr>
          <w:rFonts w:eastAsia="Palatino" w:cs="Palatino"/>
          <w:szCs w:val="26"/>
        </w:rPr>
      </w:pPr>
      <w:r w:rsidRPr="00BC4FA9">
        <w:rPr>
          <w:rFonts w:eastAsia="Palatino" w:cs="Palatino"/>
          <w:szCs w:val="26"/>
        </w:rPr>
        <w:t>15. Purchases or sales at prices that are outside the ranges specified in Section 14 (a) and (b) above shall nevertheless be deemed reasonable if the Operational Hub abides by the</w:t>
      </w:r>
      <w:r w:rsidRPr="00BC4FA9" w:rsidR="001E6420">
        <w:rPr>
          <w:rFonts w:eastAsia="Palatino" w:cs="Palatino"/>
          <w:szCs w:val="26"/>
        </w:rPr>
        <w:t xml:space="preserve"> </w:t>
      </w:r>
      <w:r w:rsidRPr="00BC4FA9">
        <w:rPr>
          <w:rFonts w:eastAsia="Palatino" w:cs="Palatino"/>
          <w:szCs w:val="26"/>
        </w:rPr>
        <w:t>following procedure: When the Gas Control Department determines that spot purchases are necessary to meet minimum flow</w:t>
      </w:r>
      <w:r w:rsidRPr="00BC4FA9" w:rsidR="001E6420">
        <w:rPr>
          <w:rFonts w:eastAsia="Palatino" w:cs="Palatino"/>
          <w:szCs w:val="26"/>
        </w:rPr>
        <w:t xml:space="preserve"> </w:t>
      </w:r>
      <w:r w:rsidRPr="00BC4FA9">
        <w:rPr>
          <w:rFonts w:eastAsia="Palatino" w:cs="Palatino"/>
          <w:szCs w:val="26"/>
        </w:rPr>
        <w:t xml:space="preserve">requirements, the Operational Hub shall monitor ICE and record the relevant price information, if available, for deliveries of gas at all relevant trading points. If volumes available on ICE meet or exceed the minimum flow requirements, transactions for the volumes offered through ICE shall be deemed reasonable. The Operational Hub may also post an offer/bid on ICE for volumes. When less than the required volumes are available on ICE, the Operational Hub shall contact gas </w:t>
      </w:r>
      <w:r w:rsidRPr="00BC4FA9" w:rsidR="00CB5539">
        <w:rPr>
          <w:rFonts w:eastAsia="Palatino" w:cs="Palatino"/>
          <w:szCs w:val="26"/>
        </w:rPr>
        <w:t xml:space="preserve">suppliers (other than the Utility Gas Procurement Department or affiliates), request offers for the necessary supplies, and record their offers for gas delivered to the relevant trading points to ensure at least three offers from three different suppliers are available for comparison. </w:t>
      </w:r>
      <w:r w:rsidRPr="00BC4FA9" w:rsidR="00CB5539">
        <w:rPr>
          <w:rFonts w:eastAsia="Palatino" w:cs="Palatino"/>
          <w:b/>
          <w:bCs/>
          <w:szCs w:val="26"/>
        </w:rPr>
        <w:t xml:space="preserve">If at least three offers are not available, then communication with at least five Southern System gas suppliers shall be deemed reasonable. </w:t>
      </w:r>
      <w:r w:rsidRPr="00BC4FA9" w:rsidR="00CB5539">
        <w:rPr>
          <w:rFonts w:eastAsia="Palatino" w:cs="Palatino"/>
          <w:szCs w:val="26"/>
        </w:rPr>
        <w:t>The Operational Hub shall compare prices posted on ICE and, if applicable, prices quoted by its supplier contacts, and select the best prices available to meet the quantities required to meet minimum flow requirements. Verification that the Operational Hub has followed this procedure shall be provided to the CPUC in the Annual Compliance Report described in</w:t>
      </w:r>
      <w:r w:rsidRPr="00BC4FA9" w:rsidR="001F698F">
        <w:rPr>
          <w:rFonts w:eastAsia="Palatino" w:cs="Palatino"/>
          <w:szCs w:val="26"/>
        </w:rPr>
        <w:t xml:space="preserve"> </w:t>
      </w:r>
      <w:r w:rsidRPr="00BC4FA9" w:rsidR="00CB5539">
        <w:rPr>
          <w:rFonts w:eastAsia="Palatino" w:cs="Palatino"/>
          <w:szCs w:val="26"/>
        </w:rPr>
        <w:t>Section 26 below.</w:t>
      </w:r>
    </w:p>
    <w:p w:rsidRPr="00BC4FA9" w:rsidR="001F698F" w:rsidP="00CB5539" w:rsidRDefault="001F698F" w14:paraId="57FD0F16" w14:textId="77777777">
      <w:pPr>
        <w:tabs>
          <w:tab w:val="num" w:pos="720"/>
        </w:tabs>
        <w:rPr>
          <w:szCs w:val="24"/>
        </w:rPr>
      </w:pPr>
    </w:p>
    <w:p w:rsidRPr="00BC4FA9" w:rsidR="00CF17DE" w:rsidRDefault="00CF17DE" w14:paraId="16A82360" w14:textId="77777777">
      <w:pPr>
        <w:pStyle w:val="Heading1"/>
        <w:rPr>
          <w:rFonts w:ascii="Palatino Linotype" w:hAnsi="Palatino Linotype"/>
        </w:rPr>
      </w:pPr>
      <w:r w:rsidRPr="00BC4FA9">
        <w:rPr>
          <w:rFonts w:ascii="Palatino Linotype" w:hAnsi="Palatino Linotype"/>
        </w:rPr>
        <w:t>Comments</w:t>
      </w:r>
    </w:p>
    <w:p w:rsidRPr="00BC4FA9" w:rsidR="00090457" w:rsidP="00090457" w:rsidRDefault="00090457" w14:paraId="029F8842" w14:textId="5686D29A">
      <w:r w:rsidRPr="00BC4FA9">
        <w:t>Public Utilities Code section 311(g)(1) provides that this Resolution must be served on all parties and subject to at least 30 days public review.</w:t>
      </w:r>
      <w:r w:rsidRPr="00BC4FA9" w:rsidR="00912C77">
        <w:t xml:space="preserve"> </w:t>
      </w:r>
      <w:r w:rsidRPr="00BC4FA9">
        <w:t>Any comments are due within 20 days of the date of its mailing and publication on the Commission</w:t>
      </w:r>
      <w:r w:rsidRPr="00BC4FA9" w:rsidR="00AC5A39">
        <w:t>’</w:t>
      </w:r>
      <w:r w:rsidRPr="00BC4FA9">
        <w:t xml:space="preserve">s website and in accordance with any instructions accompanying the notice. Section 311(g)(2) provides that this 30-day review period and 20-day comment period may be reduced or waived upon the stipulation of all parties in the proceeding. </w:t>
      </w:r>
    </w:p>
    <w:p w:rsidRPr="00BC4FA9" w:rsidR="0024459D" w:rsidP="0024459D" w:rsidRDefault="0024459D" w14:paraId="1030F211" w14:textId="77777777"/>
    <w:p w:rsidRPr="00BC4FA9" w:rsidR="0024459D" w:rsidP="0024459D" w:rsidRDefault="0024459D" w14:paraId="40C33EDB" w14:textId="24B4CE58">
      <w:r w:rsidRPr="00BC4FA9">
        <w:t>The 30-day review and 20-day comment period for the draft of this resolution was neither waived nor reduced.</w:t>
      </w:r>
      <w:r w:rsidRPr="00BC4FA9" w:rsidR="00912C77">
        <w:t xml:space="preserve"> </w:t>
      </w:r>
      <w:r w:rsidRPr="00BC4FA9">
        <w:t>Accordingly, this draft resolution was mailed to parties for comments, and will be placed on the Commission</w:t>
      </w:r>
      <w:r w:rsidRPr="00BC4FA9" w:rsidR="00AC5A39">
        <w:t>’</w:t>
      </w:r>
      <w:r w:rsidRPr="00BC4FA9">
        <w:t>s agenda no earlier than 30 days from today.</w:t>
      </w:r>
    </w:p>
    <w:p w:rsidRPr="00BC4FA9" w:rsidR="00CF17DE" w:rsidRDefault="00CF17DE" w14:paraId="22D603EE" w14:textId="37AA3DC5">
      <w:pPr>
        <w:pStyle w:val="Style1"/>
        <w:tabs>
          <w:tab w:val="clear" w:pos="-720"/>
        </w:tabs>
        <w:suppressAutoHyphens w:val="0"/>
        <w:spacing w:after="0"/>
      </w:pPr>
    </w:p>
    <w:p w:rsidRPr="00BC4FA9" w:rsidR="00CF17DE" w:rsidRDefault="00CF17DE" w14:paraId="07618DBE" w14:textId="0081DF5D">
      <w:pPr>
        <w:pStyle w:val="Heading1"/>
        <w:rPr>
          <w:rFonts w:ascii="Palatino Linotype" w:hAnsi="Palatino Linotype"/>
        </w:rPr>
      </w:pPr>
      <w:r w:rsidRPr="00BC4FA9">
        <w:rPr>
          <w:rFonts w:ascii="Palatino Linotype" w:hAnsi="Palatino Linotype"/>
        </w:rPr>
        <w:lastRenderedPageBreak/>
        <w:t>Findings</w:t>
      </w:r>
      <w:r w:rsidRPr="00BC4FA9" w:rsidR="0020653F">
        <w:rPr>
          <w:rFonts w:ascii="Palatino Linotype" w:hAnsi="Palatino Linotype"/>
        </w:rPr>
        <w:t xml:space="preserve"> AND CONCLUSIONS</w:t>
      </w:r>
    </w:p>
    <w:p w:rsidRPr="00BC4FA9" w:rsidR="00667DFB" w:rsidP="00667DFB" w:rsidRDefault="00AF733B" w14:paraId="32926710" w14:textId="46073F4E">
      <w:pPr>
        <w:numPr>
          <w:ilvl w:val="0"/>
          <w:numId w:val="7"/>
        </w:numPr>
      </w:pPr>
      <w:r w:rsidRPr="00BC4FA9">
        <w:t>D.</w:t>
      </w:r>
      <w:r w:rsidRPr="00BC4FA9" w:rsidR="00667DFB">
        <w:t>09-11-006 directed SoCalGas to file an advice letter on October 1st of each year demonstrating that the System Operator</w:t>
      </w:r>
      <w:r w:rsidRPr="00BC4FA9" w:rsidR="00AC5A39">
        <w:t>’</w:t>
      </w:r>
      <w:r w:rsidRPr="00BC4FA9" w:rsidR="00667DFB">
        <w:t xml:space="preserve">s purchases in support of the Southern System Minimum during the previous 12 months ending August 31st were in compliance with the standards described in </w:t>
      </w:r>
      <w:r w:rsidRPr="00BC4FA9" w:rsidR="00A755C9">
        <w:t xml:space="preserve">Gas </w:t>
      </w:r>
      <w:r w:rsidRPr="00BC4FA9" w:rsidR="00667DFB">
        <w:t xml:space="preserve">Rule </w:t>
      </w:r>
      <w:r w:rsidRPr="00BC4FA9" w:rsidR="00A755C9">
        <w:t xml:space="preserve">No. </w:t>
      </w:r>
      <w:r w:rsidRPr="00BC4FA9" w:rsidR="00667DFB">
        <w:t>41.</w:t>
      </w:r>
    </w:p>
    <w:p w:rsidRPr="00BC4FA9" w:rsidR="00667DFB" w:rsidRDefault="00F967C3" w14:paraId="5452D982" w14:textId="44BA9A22">
      <w:pPr>
        <w:numPr>
          <w:ilvl w:val="0"/>
          <w:numId w:val="7"/>
        </w:numPr>
      </w:pPr>
      <w:r w:rsidRPr="00BC4FA9">
        <w:t xml:space="preserve">SoCalGas submitted AL 6558-G pursuant to Rule 41 and </w:t>
      </w:r>
      <w:r w:rsidRPr="00BC4FA9" w:rsidR="00667DFB">
        <w:t>Resolution G-3542</w:t>
      </w:r>
      <w:r w:rsidRPr="00BC4FA9">
        <w:t>, which</w:t>
      </w:r>
      <w:r w:rsidRPr="00BC4FA9" w:rsidR="00667DFB">
        <w:t xml:space="preserve"> changed the due date of the Annual Compliance Report to November 1st of each year and directed SoCalGas to show gas purchases for the 12-month period from October 1st through September 30th.</w:t>
      </w:r>
    </w:p>
    <w:p w:rsidRPr="00BC4FA9" w:rsidR="00667DFB" w:rsidP="00667DFB" w:rsidRDefault="008E48A4" w14:paraId="096F2559" w14:textId="6B288A02">
      <w:pPr>
        <w:numPr>
          <w:ilvl w:val="0"/>
          <w:numId w:val="7"/>
        </w:numPr>
      </w:pPr>
      <w:r w:rsidRPr="00BC4FA9">
        <w:t>AL 6558-G reports SoCalGas’s</w:t>
      </w:r>
      <w:r w:rsidRPr="00BC4FA9" w:rsidR="00667DFB">
        <w:t xml:space="preserve"> incurred net cost of $</w:t>
      </w:r>
      <w:r w:rsidRPr="00BC4FA9" w:rsidR="00241C1B">
        <w:t>5,524,502</w:t>
      </w:r>
      <w:r w:rsidRPr="00BC4FA9" w:rsidR="00F27180">
        <w:t xml:space="preserve"> </w:t>
      </w:r>
      <w:r w:rsidRPr="00BC4FA9" w:rsidR="00667DFB">
        <w:t>for gas purchases at the Southern System receipt points during the 20</w:t>
      </w:r>
      <w:r w:rsidRPr="00BC4FA9" w:rsidR="002E732D">
        <w:t>24-25</w:t>
      </w:r>
      <w:r w:rsidRPr="00BC4FA9" w:rsidR="00667DFB">
        <w:t xml:space="preserve"> reporting period. </w:t>
      </w:r>
    </w:p>
    <w:p w:rsidRPr="00BC4FA9" w:rsidR="00F27180" w:rsidP="00667DFB" w:rsidRDefault="00667DFB" w14:paraId="4ADB8B60" w14:textId="5801FAF4">
      <w:pPr>
        <w:numPr>
          <w:ilvl w:val="0"/>
          <w:numId w:val="7"/>
        </w:numPr>
      </w:pPr>
      <w:r w:rsidRPr="00BC4FA9">
        <w:t>All of the gas purchases</w:t>
      </w:r>
      <w:r w:rsidRPr="00BC4FA9" w:rsidR="003D14E0">
        <w:t xml:space="preserve"> and sales</w:t>
      </w:r>
      <w:r w:rsidRPr="00BC4FA9">
        <w:t xml:space="preserve"> </w:t>
      </w:r>
      <w:r w:rsidRPr="00BC4FA9" w:rsidR="0036082C">
        <w:t xml:space="preserve">by SoCalGas </w:t>
      </w:r>
      <w:r w:rsidRPr="00BC4FA9">
        <w:t xml:space="preserve">presented in </w:t>
      </w:r>
      <w:r w:rsidRPr="00BC4FA9" w:rsidR="00AF733B">
        <w:t xml:space="preserve">AL </w:t>
      </w:r>
      <w:r w:rsidRPr="00BC4FA9" w:rsidR="004D2567">
        <w:t>6558</w:t>
      </w:r>
      <w:r w:rsidRPr="00BC4FA9">
        <w:t>-G met the requirements to be deemed reasonable under Rule 41 and should</w:t>
      </w:r>
      <w:r w:rsidRPr="00BC4FA9" w:rsidR="00F27180">
        <w:t xml:space="preserve"> </w:t>
      </w:r>
      <w:r w:rsidRPr="00BC4FA9">
        <w:t xml:space="preserve">be approved. </w:t>
      </w:r>
    </w:p>
    <w:p w:rsidRPr="00BC4FA9" w:rsidR="00667DFB" w:rsidRDefault="00667DFB" w14:paraId="6486121C" w14:textId="628E078B">
      <w:pPr>
        <w:numPr>
          <w:ilvl w:val="0"/>
          <w:numId w:val="7"/>
        </w:numPr>
      </w:pPr>
      <w:r w:rsidRPr="00BC4FA9">
        <w:t xml:space="preserve">Of the </w:t>
      </w:r>
      <w:r w:rsidRPr="00BC4FA9" w:rsidR="00B91F3B">
        <w:t>49</w:t>
      </w:r>
      <w:r w:rsidRPr="00BC4FA9" w:rsidR="00F27180">
        <w:t xml:space="preserve"> </w:t>
      </w:r>
      <w:r w:rsidRPr="00BC4FA9">
        <w:t>purchases</w:t>
      </w:r>
      <w:r w:rsidRPr="00BC4FA9" w:rsidR="00A63DC2">
        <w:t xml:space="preserve"> under Rule 41</w:t>
      </w:r>
      <w:r w:rsidRPr="00BC4FA9">
        <w:t>,</w:t>
      </w:r>
      <w:r w:rsidRPr="00BC4FA9" w:rsidR="000A4EAB">
        <w:t xml:space="preserve"> </w:t>
      </w:r>
      <w:r w:rsidRPr="00BC4FA9" w:rsidR="00004606">
        <w:t>two</w:t>
      </w:r>
      <w:r w:rsidRPr="00BC4FA9">
        <w:t xml:space="preserve"> met </w:t>
      </w:r>
      <w:r w:rsidRPr="00BC4FA9" w:rsidR="00A63DC2">
        <w:t xml:space="preserve">the </w:t>
      </w:r>
      <w:r w:rsidRPr="00BC4FA9">
        <w:t xml:space="preserve">criteria </w:t>
      </w:r>
      <w:r w:rsidRPr="00BC4FA9" w:rsidR="004F4361">
        <w:t xml:space="preserve">for </w:t>
      </w:r>
      <w:r w:rsidRPr="00BC4FA9">
        <w:t>Section 1</w:t>
      </w:r>
      <w:r w:rsidRPr="00BC4FA9" w:rsidR="004F4361">
        <w:t>4(a)</w:t>
      </w:r>
      <w:r w:rsidRPr="00BC4FA9">
        <w:t xml:space="preserve">, </w:t>
      </w:r>
      <w:r w:rsidRPr="00BC4FA9" w:rsidR="007857DF">
        <w:t>11</w:t>
      </w:r>
      <w:r w:rsidRPr="00BC4FA9" w:rsidR="004F4361">
        <w:t xml:space="preserve"> </w:t>
      </w:r>
      <w:r w:rsidRPr="00BC4FA9">
        <w:t xml:space="preserve">met the criteria </w:t>
      </w:r>
      <w:r w:rsidRPr="00BC4FA9" w:rsidR="00A63DC2">
        <w:t xml:space="preserve">for </w:t>
      </w:r>
      <w:r w:rsidRPr="00BC4FA9">
        <w:t xml:space="preserve">Section 14 (b), </w:t>
      </w:r>
      <w:r w:rsidRPr="00BC4FA9" w:rsidR="00557E4E">
        <w:t>33</w:t>
      </w:r>
      <w:r w:rsidRPr="00BC4FA9" w:rsidR="00A63DC2">
        <w:t xml:space="preserve"> </w:t>
      </w:r>
      <w:r w:rsidRPr="00BC4FA9">
        <w:t xml:space="preserve">met the criteria </w:t>
      </w:r>
      <w:r w:rsidRPr="00BC4FA9" w:rsidR="00A63DC2">
        <w:t xml:space="preserve">for </w:t>
      </w:r>
      <w:r w:rsidRPr="00BC4FA9">
        <w:t xml:space="preserve">Section 15, and </w:t>
      </w:r>
      <w:r w:rsidRPr="00BC4FA9" w:rsidR="00004606">
        <w:t>three</w:t>
      </w:r>
      <w:r w:rsidRPr="00BC4FA9" w:rsidR="007857DF">
        <w:t xml:space="preserve"> </w:t>
      </w:r>
      <w:r w:rsidRPr="00BC4FA9">
        <w:t xml:space="preserve">met the criteria </w:t>
      </w:r>
      <w:r w:rsidRPr="00BC4FA9" w:rsidR="00A63DC2">
        <w:t xml:space="preserve">for </w:t>
      </w:r>
      <w:r w:rsidRPr="00BC4FA9">
        <w:t>Section 17.</w:t>
      </w:r>
    </w:p>
    <w:p w:rsidRPr="00BC4FA9" w:rsidR="00C61918" w:rsidP="00C61918" w:rsidRDefault="00C61918" w14:paraId="7A849D9B" w14:textId="4669C09F">
      <w:pPr>
        <w:numPr>
          <w:ilvl w:val="0"/>
          <w:numId w:val="7"/>
        </w:numPr>
      </w:pPr>
      <w:r w:rsidRPr="00BC4FA9">
        <w:t xml:space="preserve">The Section 17 </w:t>
      </w:r>
      <w:r w:rsidRPr="00BC4FA9" w:rsidR="00597347">
        <w:t xml:space="preserve">purchase </w:t>
      </w:r>
      <w:r w:rsidRPr="00BC4FA9">
        <w:t>transactions were executed during constrained operating conditions and were reasonable under the circumstances.</w:t>
      </w:r>
    </w:p>
    <w:p w:rsidRPr="00BC4FA9" w:rsidR="00595278" w:rsidP="00595278" w:rsidRDefault="00595278" w14:paraId="24C130A3" w14:textId="4E5AC3F6">
      <w:pPr>
        <w:numPr>
          <w:ilvl w:val="0"/>
          <w:numId w:val="7"/>
        </w:numPr>
      </w:pPr>
      <w:r w:rsidRPr="00BC4FA9">
        <w:t xml:space="preserve">Of the </w:t>
      </w:r>
      <w:r w:rsidRPr="00BC4FA9" w:rsidR="002554DA">
        <w:t>54</w:t>
      </w:r>
      <w:r w:rsidRPr="00BC4FA9">
        <w:t xml:space="preserve"> sales under Rule 41,</w:t>
      </w:r>
      <w:r w:rsidRPr="00BC4FA9" w:rsidR="002554DA">
        <w:t xml:space="preserve"> 39</w:t>
      </w:r>
      <w:r w:rsidRPr="00BC4FA9">
        <w:t xml:space="preserve"> met the criteria for Section 14(a) and </w:t>
      </w:r>
      <w:r w:rsidRPr="00BC4FA9" w:rsidR="002554DA">
        <w:t>15</w:t>
      </w:r>
      <w:r w:rsidRPr="00BC4FA9">
        <w:t xml:space="preserve"> met the criteria for Section 14 (b).</w:t>
      </w:r>
    </w:p>
    <w:p w:rsidRPr="00BC4FA9" w:rsidR="001961D8" w:rsidP="0009664D" w:rsidRDefault="001961D8" w14:paraId="2DB5B85E" w14:textId="76222624">
      <w:pPr>
        <w:numPr>
          <w:ilvl w:val="0"/>
          <w:numId w:val="7"/>
        </w:numPr>
      </w:pPr>
      <w:r w:rsidRPr="00BC4FA9">
        <w:t>Cal Advocates protested SoCalGas’s proposed revisions to Sections 15 and 19 of Rule 41.</w:t>
      </w:r>
    </w:p>
    <w:p w:rsidRPr="00BC4FA9" w:rsidR="00F4241D" w:rsidP="00F4241D" w:rsidRDefault="00F4241D" w14:paraId="50229834" w14:textId="2A25D09C">
      <w:pPr>
        <w:pStyle w:val="ListParagraph"/>
        <w:numPr>
          <w:ilvl w:val="0"/>
          <w:numId w:val="7"/>
        </w:numPr>
      </w:pPr>
      <w:r w:rsidRPr="00BC4FA9">
        <w:t>SoCalGas demonstrated that market conditions have materially changed, including reduced supplier participation and increased competition for deliverable gas supplies</w:t>
      </w:r>
      <w:r w:rsidRPr="00BC4FA9" w:rsidR="00DC08A3">
        <w:t xml:space="preserve"> during Southern System reliability events</w:t>
      </w:r>
      <w:r w:rsidRPr="00BC4FA9">
        <w:t>, which support the need for limited operational flexibility.</w:t>
      </w:r>
    </w:p>
    <w:p w:rsidRPr="00BC4FA9" w:rsidR="0091591E" w:rsidP="0091591E" w:rsidRDefault="0091591E" w14:paraId="2EB4A191" w14:textId="3D4EC238">
      <w:pPr>
        <w:numPr>
          <w:ilvl w:val="0"/>
          <w:numId w:val="7"/>
        </w:numPr>
      </w:pPr>
      <w:r w:rsidRPr="00BC4FA9">
        <w:t xml:space="preserve">The existing Section 19 pricing benchmark no longer reflects prevailing </w:t>
      </w:r>
      <w:r w:rsidRPr="00BC4FA9" w:rsidR="001823D1">
        <w:br/>
      </w:r>
      <w:r w:rsidRPr="00BC4FA9">
        <w:t>Border-to-Citygate price differentials.</w:t>
      </w:r>
    </w:p>
    <w:p w:rsidRPr="00BC4FA9" w:rsidR="0091591E" w:rsidP="0091591E" w:rsidRDefault="0091591E" w14:paraId="62A6FBEF" w14:textId="450DB508">
      <w:pPr>
        <w:numPr>
          <w:ilvl w:val="0"/>
          <w:numId w:val="7"/>
        </w:numPr>
      </w:pPr>
      <w:r w:rsidRPr="00BC4FA9">
        <w:t>The proposed revision to Section 19 better reflects current market conditions</w:t>
      </w:r>
      <w:r w:rsidRPr="00BC4FA9" w:rsidR="00EC7104">
        <w:t xml:space="preserve"> </w:t>
      </w:r>
      <w:r w:rsidRPr="00BC4FA9">
        <w:t xml:space="preserve">and is </w:t>
      </w:r>
      <w:r w:rsidRPr="00BC4FA9" w:rsidR="001E67CA">
        <w:t xml:space="preserve">therefore </w:t>
      </w:r>
      <w:r w:rsidRPr="00BC4FA9">
        <w:t>reasonable.</w:t>
      </w:r>
    </w:p>
    <w:p w:rsidRPr="00BC4FA9" w:rsidR="0091591E" w:rsidP="0091591E" w:rsidRDefault="0091591E" w14:paraId="6BD612F8" w14:textId="3B1BEBDF">
      <w:pPr>
        <w:numPr>
          <w:ilvl w:val="0"/>
          <w:numId w:val="7"/>
        </w:numPr>
      </w:pPr>
      <w:r w:rsidRPr="00BC4FA9">
        <w:t>The proposed revision to Section 15 reduces reliance on direct price competition and therefore requires additional safeguards.</w:t>
      </w:r>
    </w:p>
    <w:p w:rsidRPr="00BC4FA9" w:rsidR="0040039D" w:rsidP="0040039D" w:rsidRDefault="0040039D" w14:paraId="6C6E4BE1" w14:textId="6CFEE827">
      <w:pPr>
        <w:numPr>
          <w:ilvl w:val="0"/>
          <w:numId w:val="7"/>
        </w:numPr>
      </w:pPr>
      <w:r w:rsidRPr="00BC4FA9">
        <w:t>The conditions adopted in this Resolution are necessary to ensure</w:t>
      </w:r>
      <w:r w:rsidRPr="00BC4FA9" w:rsidR="00A42061">
        <w:t xml:space="preserve"> the</w:t>
      </w:r>
      <w:r w:rsidRPr="00BC4FA9">
        <w:t xml:space="preserve"> transparency and oversight of procurement activities conducted under the revised Section 15 framework.</w:t>
      </w:r>
    </w:p>
    <w:p w:rsidRPr="00BC4FA9" w:rsidR="0040039D" w:rsidP="0040039D" w:rsidRDefault="0040039D" w14:paraId="5E61EFBF" w14:textId="117DB32A">
      <w:pPr>
        <w:numPr>
          <w:ilvl w:val="0"/>
          <w:numId w:val="7"/>
        </w:numPr>
      </w:pPr>
      <w:r w:rsidRPr="00BC4FA9">
        <w:t xml:space="preserve">With the conditions adopted in this Resolution, the proposed revision to </w:t>
      </w:r>
      <w:r w:rsidRPr="00BC4FA9" w:rsidR="001823D1">
        <w:br/>
      </w:r>
      <w:r w:rsidRPr="00BC4FA9">
        <w:t>Section 15 is reasonable.</w:t>
      </w:r>
    </w:p>
    <w:p w:rsidRPr="00BC4FA9" w:rsidR="000F3E3B" w:rsidP="00767DB6" w:rsidRDefault="0040039D" w14:paraId="184B9E99" w14:textId="73B5C6D8">
      <w:pPr>
        <w:numPr>
          <w:ilvl w:val="0"/>
          <w:numId w:val="7"/>
        </w:numPr>
      </w:pPr>
      <w:r w:rsidRPr="00BC4FA9">
        <w:lastRenderedPageBreak/>
        <w:t>Cal Advocates’ protest should be denied except to the extent addressed through the conditions adopted in this Resolution.</w:t>
      </w:r>
      <w:r w:rsidRPr="00BC4FA9" w:rsidR="005D705A">
        <w:t xml:space="preserve"> </w:t>
      </w:r>
    </w:p>
    <w:p w:rsidRPr="00BC4FA9" w:rsidR="00ED56E2" w:rsidP="00E41357" w:rsidRDefault="00E83975" w14:paraId="190017FC" w14:textId="18536446">
      <w:pPr>
        <w:pStyle w:val="ListParagraph"/>
        <w:numPr>
          <w:ilvl w:val="0"/>
          <w:numId w:val="7"/>
        </w:numPr>
      </w:pPr>
      <w:r w:rsidRPr="00BC4FA9">
        <w:t>The concerns raised by Cal Advocates’ protest can be addressed through conditions adopted in this Resolution.</w:t>
      </w:r>
    </w:p>
    <w:p w:rsidRPr="00BC4FA9" w:rsidR="00DC08A3" w:rsidP="00DC08A3" w:rsidRDefault="00DC08A3" w14:paraId="7553C10E" w14:textId="77777777">
      <w:pPr>
        <w:pStyle w:val="ListParagraph"/>
        <w:ind w:left="420"/>
        <w:rPr>
          <w:highlight w:val="yellow"/>
        </w:rPr>
      </w:pPr>
    </w:p>
    <w:p w:rsidRPr="00BC4FA9" w:rsidR="00CF17DE" w:rsidRDefault="00CF17DE" w14:paraId="03EBB768" w14:textId="77777777">
      <w:pPr>
        <w:pStyle w:val="Heading1"/>
        <w:rPr>
          <w:rFonts w:ascii="Palatino Linotype" w:hAnsi="Palatino Linotype"/>
        </w:rPr>
      </w:pPr>
      <w:r w:rsidRPr="00BC4FA9">
        <w:rPr>
          <w:rFonts w:ascii="Palatino Linotype" w:hAnsi="Palatino Linotype"/>
        </w:rPr>
        <w:t>Therefore it is ordered that:</w:t>
      </w:r>
    </w:p>
    <w:p w:rsidRPr="00BC4FA9" w:rsidR="007C01A6" w:rsidP="007C01A6" w:rsidRDefault="00BF4DD7" w14:paraId="3283BBED" w14:textId="1E4F1D6A">
      <w:pPr>
        <w:numPr>
          <w:ilvl w:val="0"/>
          <w:numId w:val="8"/>
        </w:numPr>
      </w:pPr>
      <w:r w:rsidRPr="00BC4FA9">
        <w:rPr>
          <w:snapToGrid w:val="0"/>
        </w:rPr>
        <w:t>SoCalGas</w:t>
      </w:r>
      <w:r w:rsidRPr="00BC4FA9" w:rsidR="007C01A6">
        <w:rPr>
          <w:snapToGrid w:val="0"/>
        </w:rPr>
        <w:t>’s request</w:t>
      </w:r>
      <w:r w:rsidRPr="00BC4FA9" w:rsidR="376BBED7">
        <w:rPr>
          <w:snapToGrid w:val="0"/>
        </w:rPr>
        <w:t xml:space="preserve"> </w:t>
      </w:r>
      <w:r w:rsidRPr="00BC4FA9" w:rsidR="376BBED7">
        <w:t xml:space="preserve">in Advice Letter 6558-G and Supplemental Advice Letter </w:t>
      </w:r>
      <w:r w:rsidRPr="00BC4FA9" w:rsidR="001823D1">
        <w:br/>
      </w:r>
      <w:r w:rsidRPr="00BC4FA9" w:rsidR="376BBED7">
        <w:t>6558-G-A</w:t>
      </w:r>
      <w:r w:rsidRPr="00BC4FA9" w:rsidR="007C01A6">
        <w:rPr>
          <w:snapToGrid w:val="0"/>
        </w:rPr>
        <w:t>, that the Commission find its activities to maintain Southern System reliability from October 1, 2024 through September 30, 2025</w:t>
      </w:r>
      <w:r w:rsidRPr="00BC4FA9" w:rsidR="004D15C0">
        <w:rPr>
          <w:snapToGrid w:val="0"/>
        </w:rPr>
        <w:t>,</w:t>
      </w:r>
      <w:r w:rsidRPr="00BC4FA9" w:rsidR="007C01A6">
        <w:rPr>
          <w:snapToGrid w:val="0"/>
        </w:rPr>
        <w:t xml:space="preserve"> complied with its Tariff Rule 41 Sections 10-20, is approved.</w:t>
      </w:r>
    </w:p>
    <w:p w:rsidRPr="00BC4FA9" w:rsidR="007C01A6" w:rsidP="007C01A6" w:rsidRDefault="007C01A6" w14:paraId="02CD30D8" w14:textId="5C28261A">
      <w:pPr>
        <w:numPr>
          <w:ilvl w:val="0"/>
          <w:numId w:val="8"/>
        </w:numPr>
        <w:rPr>
          <w:snapToGrid w:val="0"/>
        </w:rPr>
      </w:pPr>
      <w:r w:rsidRPr="00BC4FA9">
        <w:t xml:space="preserve">SoCalGas shall amortize the $5,524,502 in </w:t>
      </w:r>
      <w:r w:rsidRPr="00BC4FA9">
        <w:rPr>
          <w:snapToGrid w:val="0"/>
        </w:rPr>
        <w:t xml:space="preserve">net costs recorded in the System Reliability Memorandum Account in </w:t>
      </w:r>
      <w:r w:rsidRPr="00BC4FA9">
        <w:t xml:space="preserve">customer transportation rates effective </w:t>
      </w:r>
      <w:r w:rsidRPr="00BC4FA9" w:rsidR="001823D1">
        <w:br/>
      </w:r>
      <w:r w:rsidRPr="00BC4FA9">
        <w:t>January 1, 2027.</w:t>
      </w:r>
    </w:p>
    <w:p w:rsidRPr="00BC4FA9" w:rsidR="00300B0C" w:rsidP="00FD7089" w:rsidRDefault="0047491D" w14:paraId="429EBDAD" w14:textId="31DA6216">
      <w:pPr>
        <w:numPr>
          <w:ilvl w:val="0"/>
          <w:numId w:val="8"/>
        </w:numPr>
        <w:rPr>
          <w:snapToGrid w:val="0"/>
        </w:rPr>
      </w:pPr>
      <w:r w:rsidRPr="00BC4FA9">
        <w:rPr>
          <w:snapToGrid w:val="0"/>
        </w:rPr>
        <w:t xml:space="preserve">SoCalGas shall revise </w:t>
      </w:r>
      <w:r w:rsidRPr="00BC4FA9" w:rsidR="006220FA">
        <w:rPr>
          <w:snapToGrid w:val="0"/>
        </w:rPr>
        <w:t xml:space="preserve">Section 15 of </w:t>
      </w:r>
      <w:r w:rsidRPr="00BC4FA9">
        <w:rPr>
          <w:snapToGrid w:val="0"/>
        </w:rPr>
        <w:t>its Gas Rule No. 41</w:t>
      </w:r>
      <w:r w:rsidRPr="00BC4FA9" w:rsidR="006220FA">
        <w:rPr>
          <w:snapToGrid w:val="0"/>
        </w:rPr>
        <w:t xml:space="preserve">, </w:t>
      </w:r>
      <w:r w:rsidRPr="00BC4FA9" w:rsidR="00FB427F">
        <w:rPr>
          <w:snapToGrid w:val="0"/>
        </w:rPr>
        <w:t xml:space="preserve">subject to the conditions adopted </w:t>
      </w:r>
      <w:r w:rsidRPr="00BC4FA9" w:rsidR="006220FA">
        <w:rPr>
          <w:snapToGrid w:val="0"/>
        </w:rPr>
        <w:t xml:space="preserve">in this </w:t>
      </w:r>
      <w:r w:rsidRPr="00BC4FA9" w:rsidR="00117B08">
        <w:rPr>
          <w:snapToGrid w:val="0"/>
        </w:rPr>
        <w:t>R</w:t>
      </w:r>
      <w:r w:rsidRPr="00BC4FA9" w:rsidR="006220FA">
        <w:rPr>
          <w:snapToGrid w:val="0"/>
        </w:rPr>
        <w:t xml:space="preserve">esolution. </w:t>
      </w:r>
    </w:p>
    <w:p w:rsidRPr="00BC4FA9" w:rsidR="001B16B2" w:rsidRDefault="001B16B2" w14:paraId="57648B94" w14:textId="6FE53F91">
      <w:pPr>
        <w:numPr>
          <w:ilvl w:val="0"/>
          <w:numId w:val="8"/>
        </w:numPr>
        <w:rPr>
          <w:snapToGrid w:val="0"/>
        </w:rPr>
      </w:pPr>
      <w:r w:rsidRPr="00BC4FA9">
        <w:rPr>
          <w:snapToGrid w:val="0"/>
        </w:rPr>
        <w:t>SoCalGas shall comply with all reporting, documentation, and sunset provisions adopted in this resolution for Gas Rule No. 41, Section 15</w:t>
      </w:r>
      <w:r w:rsidRPr="00BC4FA9" w:rsidR="00300B0C">
        <w:rPr>
          <w:snapToGrid w:val="0"/>
        </w:rPr>
        <w:t>.</w:t>
      </w:r>
    </w:p>
    <w:p w:rsidRPr="00BC4FA9" w:rsidR="00300B0C" w:rsidRDefault="00300B0C" w14:paraId="30D51918" w14:textId="67379AFB">
      <w:pPr>
        <w:numPr>
          <w:ilvl w:val="0"/>
          <w:numId w:val="8"/>
        </w:numPr>
        <w:rPr>
          <w:snapToGrid w:val="0"/>
        </w:rPr>
      </w:pPr>
      <w:r w:rsidRPr="00BC4FA9">
        <w:rPr>
          <w:snapToGrid w:val="0"/>
        </w:rPr>
        <w:t>SoCalGas shall revise Section 19 of its Gas Rule No. 41</w:t>
      </w:r>
      <w:r w:rsidRPr="00BC4FA9" w:rsidR="001545E1">
        <w:rPr>
          <w:snapToGrid w:val="0"/>
        </w:rPr>
        <w:t xml:space="preserve"> as requested</w:t>
      </w:r>
      <w:r w:rsidRPr="00BC4FA9" w:rsidR="00705221">
        <w:rPr>
          <w:rFonts w:eastAsia="Palatino" w:cs="Palatino"/>
          <w:szCs w:val="26"/>
        </w:rPr>
        <w:t>.</w:t>
      </w:r>
    </w:p>
    <w:p w:rsidRPr="00BC4FA9" w:rsidR="00B752D1" w:rsidP="00B752D1" w:rsidRDefault="00B752D1" w14:paraId="0C657AF7" w14:textId="7B513C79">
      <w:pPr>
        <w:numPr>
          <w:ilvl w:val="0"/>
          <w:numId w:val="8"/>
        </w:numPr>
        <w:rPr>
          <w:snapToGrid w:val="0"/>
        </w:rPr>
      </w:pPr>
      <w:r w:rsidRPr="00BC4FA9">
        <w:rPr>
          <w:snapToGrid w:val="0"/>
        </w:rPr>
        <w:t>SoCalGas’s Advice Letter 6558</w:t>
      </w:r>
      <w:r w:rsidRPr="00BC4FA9">
        <w:t xml:space="preserve">-G </w:t>
      </w:r>
      <w:r w:rsidRPr="00BC4FA9">
        <w:rPr>
          <w:snapToGrid w:val="0"/>
        </w:rPr>
        <w:t xml:space="preserve">is </w:t>
      </w:r>
      <w:r w:rsidRPr="00BC4FA9" w:rsidR="004E0E28">
        <w:rPr>
          <w:snapToGrid w:val="0"/>
        </w:rPr>
        <w:t xml:space="preserve">conditionally </w:t>
      </w:r>
      <w:r w:rsidRPr="00BC4FA9">
        <w:rPr>
          <w:snapToGrid w:val="0"/>
        </w:rPr>
        <w:t>approved.</w:t>
      </w:r>
    </w:p>
    <w:p w:rsidRPr="00BC4FA9" w:rsidR="00117B08" w:rsidP="00B752D1" w:rsidRDefault="00117B08" w14:paraId="143BDCE4" w14:textId="23868EBB">
      <w:pPr>
        <w:numPr>
          <w:ilvl w:val="0"/>
          <w:numId w:val="8"/>
        </w:numPr>
      </w:pPr>
      <w:r w:rsidRPr="00BC4FA9">
        <w:t>Cal Advocates’ protest is denied except to the extent addressed through the conditions adopted in this Resolution</w:t>
      </w:r>
      <w:r w:rsidRPr="00BC4FA9" w:rsidR="5000CCF7">
        <w:t>.</w:t>
      </w:r>
    </w:p>
    <w:p w:rsidRPr="00BC4FA9" w:rsidR="00CF17DE" w:rsidRDefault="00CF17DE" w14:paraId="4BCDF939" w14:textId="77777777">
      <w:pPr>
        <w:tabs>
          <w:tab w:val="left" w:pos="720"/>
          <w:tab w:val="left" w:pos="1296"/>
          <w:tab w:val="left" w:pos="2016"/>
          <w:tab w:val="left" w:pos="2736"/>
          <w:tab w:val="left" w:pos="3456"/>
          <w:tab w:val="left" w:pos="4176"/>
          <w:tab w:val="left" w:pos="5760"/>
        </w:tabs>
      </w:pPr>
    </w:p>
    <w:p w:rsidRPr="00BC4FA9" w:rsidR="00BC6A6F" w:rsidP="00BC6A6F" w:rsidRDefault="00BC6A6F" w14:paraId="6E7251CE" w14:textId="77777777">
      <w:pPr>
        <w:keepNext/>
        <w:tabs>
          <w:tab w:val="left" w:pos="720"/>
          <w:tab w:val="left" w:pos="1296"/>
          <w:tab w:val="left" w:pos="2016"/>
          <w:tab w:val="left" w:pos="2736"/>
          <w:tab w:val="left" w:pos="3456"/>
          <w:tab w:val="left" w:pos="4176"/>
          <w:tab w:val="left" w:pos="5760"/>
        </w:tabs>
        <w:jc w:val="both"/>
        <w:rPr>
          <w:rFonts w:eastAsia="Palatino Linotype"/>
          <w:szCs w:val="24"/>
        </w:rPr>
      </w:pPr>
      <w:r w:rsidRPr="00BC4FA9">
        <w:rPr>
          <w:rFonts w:eastAsia="Palatino Linotype"/>
          <w:szCs w:val="24"/>
        </w:rPr>
        <w:t>This Resolution is effective today.</w:t>
      </w:r>
    </w:p>
    <w:p w:rsidRPr="00BC4FA9" w:rsidR="00CB42C3" w:rsidRDefault="00CB42C3" w14:paraId="7D496AA3" w14:textId="77777777">
      <w:pPr>
        <w:tabs>
          <w:tab w:val="left" w:pos="720"/>
          <w:tab w:val="left" w:pos="1296"/>
          <w:tab w:val="left" w:pos="2016"/>
          <w:tab w:val="left" w:pos="2736"/>
          <w:tab w:val="left" w:pos="3456"/>
          <w:tab w:val="left" w:pos="4176"/>
          <w:tab w:val="left" w:pos="5760"/>
        </w:tabs>
      </w:pPr>
    </w:p>
    <w:p w:rsidRPr="00BC4FA9" w:rsidR="0085270B" w:rsidP="0085270B" w:rsidRDefault="0085270B" w14:paraId="55EF086C" w14:textId="44F43243">
      <w:pPr>
        <w:suppressAutoHyphens/>
        <w:spacing w:after="480"/>
        <w:jc w:val="both"/>
        <w:rPr>
          <w:rFonts w:eastAsia="SimSun"/>
        </w:rPr>
      </w:pPr>
      <w:r w:rsidRPr="00BC4FA9">
        <w:rPr>
          <w:rFonts w:eastAsia="SimSun"/>
        </w:rPr>
        <w:t>The foregoing resolution was duly introduced, passed and adopted at a conference of the Public Utilities Commission of the State of California held on August 13, 2026; the following Commissioners voting favorably thereon:</w:t>
      </w:r>
    </w:p>
    <w:p w:rsidRPr="00BC4FA9" w:rsidR="0085270B" w:rsidP="00BC4FA9" w:rsidRDefault="0085270B" w14:paraId="4E22F4BF" w14:textId="77777777">
      <w:pPr>
        <w:keepNext/>
        <w:ind w:firstLine="4176"/>
        <w:rPr>
          <w:rFonts w:eastAsia="Palatino Linotype"/>
          <w:kern w:val="2"/>
          <w:szCs w:val="24"/>
          <w14:ligatures w14:val="standardContextual"/>
        </w:rPr>
      </w:pPr>
      <w:r w:rsidRPr="00BC4FA9">
        <w:rPr>
          <w:rFonts w:eastAsia="Palatino Linotype"/>
          <w:kern w:val="2"/>
          <w:szCs w:val="24"/>
          <w14:ligatures w14:val="standardContextual"/>
        </w:rPr>
        <w:t xml:space="preserve">Commissioner Signature blocks to be added </w:t>
      </w:r>
    </w:p>
    <w:p w:rsidRPr="00BC4FA9" w:rsidR="0085270B" w:rsidP="00BC4FA9" w:rsidRDefault="0085270B" w14:paraId="2E14113D" w14:textId="77777777">
      <w:pPr>
        <w:keepNext/>
        <w:ind w:firstLine="4176"/>
        <w:rPr>
          <w:rFonts w:eastAsia="Palatino Linotype"/>
          <w:kern w:val="2"/>
          <w:szCs w:val="24"/>
          <w14:ligatures w14:val="standardContextual"/>
        </w:rPr>
      </w:pPr>
      <w:r w:rsidRPr="00BC4FA9">
        <w:rPr>
          <w:rFonts w:eastAsia="Palatino Linotype"/>
          <w:kern w:val="2"/>
          <w:szCs w:val="24"/>
          <w14:ligatures w14:val="standardContextual"/>
        </w:rPr>
        <w:t>upon adoption of the resolution</w:t>
      </w:r>
    </w:p>
    <w:p w:rsidRPr="00BC4FA9" w:rsidR="0085270B" w:rsidP="00BC4FA9" w:rsidRDefault="0085270B" w14:paraId="52E6206F" w14:textId="77777777">
      <w:pPr>
        <w:keepNext/>
        <w:rPr>
          <w:rFonts w:eastAsia="Palatino Linotype"/>
          <w:szCs w:val="24"/>
        </w:rPr>
      </w:pPr>
    </w:p>
    <w:p w:rsidRPr="00BC4FA9" w:rsidR="0085270B" w:rsidP="00BC4FA9" w:rsidRDefault="0085270B" w14:paraId="617722E8" w14:textId="77777777">
      <w:pPr>
        <w:keepNext/>
        <w:rPr>
          <w:rFonts w:eastAsia="Palatino Linotype"/>
          <w:szCs w:val="24"/>
        </w:rPr>
      </w:pPr>
    </w:p>
    <w:p w:rsidRPr="00BC4FA9" w:rsidR="0085270B" w:rsidP="0085270B" w:rsidRDefault="0085270B" w14:paraId="3282FD4B" w14:textId="43DD1D87">
      <w:pPr>
        <w:spacing w:after="160" w:line="278" w:lineRule="auto"/>
        <w:rPr>
          <w:rFonts w:eastAsia="Palatino Linotype"/>
          <w:kern w:val="2"/>
          <w:szCs w:val="24"/>
          <w14:ligatures w14:val="standardContextual"/>
        </w:rPr>
      </w:pPr>
      <w:r w:rsidRPr="00BC4FA9">
        <w:rPr>
          <w:rFonts w:eastAsia="Palatino Linotype"/>
          <w:kern w:val="2"/>
          <w:szCs w:val="24"/>
          <w14:ligatures w14:val="standardContextual"/>
        </w:rPr>
        <w:t xml:space="preserve">Dated </w:t>
      </w:r>
      <w:r w:rsidRPr="00BC4FA9">
        <w:rPr>
          <w:rFonts w:eastAsia="SimSun"/>
        </w:rPr>
        <w:t>August 13</w:t>
      </w:r>
      <w:r w:rsidRPr="00BC4FA9">
        <w:rPr>
          <w:rFonts w:eastAsia="Palatino Linotype"/>
          <w:kern w:val="2"/>
          <w:szCs w:val="24"/>
          <w14:ligatures w14:val="standardContextual"/>
        </w:rPr>
        <w:t>, 2026, San Francisco, California.</w:t>
      </w:r>
    </w:p>
    <w:p w:rsidRPr="00BC4FA9" w:rsidR="00CF17DE" w:rsidP="0085270B" w:rsidRDefault="00CF17DE" w14:paraId="363F8E7E" w14:textId="1084E918">
      <w:pPr>
        <w:pStyle w:val="Header"/>
        <w:tabs>
          <w:tab w:val="clear" w:pos="4320"/>
          <w:tab w:val="clear" w:pos="8640"/>
          <w:tab w:val="center" w:pos="4680"/>
          <w:tab w:val="right" w:pos="9180"/>
        </w:tabs>
      </w:pPr>
    </w:p>
    <w:sectPr w:rsidRPr="00BC4FA9" w:rsidR="00CF17DE" w:rsidSect="008C21CE">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7688" w14:textId="77777777" w:rsidR="00EE6542" w:rsidRDefault="00EE6542">
      <w:r>
        <w:separator/>
      </w:r>
    </w:p>
  </w:endnote>
  <w:endnote w:type="continuationSeparator" w:id="0">
    <w:p w14:paraId="573504AD" w14:textId="77777777" w:rsidR="00EE6542" w:rsidRDefault="00EE6542">
      <w:r>
        <w:continuationSeparator/>
      </w:r>
    </w:p>
  </w:endnote>
  <w:endnote w:type="continuationNotice" w:id="1">
    <w:p w14:paraId="53F5AF6F" w14:textId="77777777" w:rsidR="00EE6542" w:rsidRDefault="00EE6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w:altName w:val="Palatino Linotype"/>
    <w:panose1 w:val="00000000000000000000"/>
    <w:charset w:val="00"/>
    <w:family w:val="roman"/>
    <w:pitch w:val="variable"/>
    <w:sig w:usb0="20000A87" w:usb1="08000000" w:usb2="00000008" w:usb3="00000000" w:csb0="0000011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294926"/>
      <w:docPartObj>
        <w:docPartGallery w:val="Page Numbers (Bottom of Page)"/>
        <w:docPartUnique/>
      </w:docPartObj>
    </w:sdtPr>
    <w:sdtEndPr>
      <w:rPr>
        <w:noProof/>
      </w:rPr>
    </w:sdtEndPr>
    <w:sdtContent>
      <w:p w14:paraId="4FA4B1AC" w14:textId="203F0DC8" w:rsidR="00B602CF" w:rsidRDefault="00B602C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3D63" w14:textId="27677C9C" w:rsidR="00CF17DE" w:rsidRDefault="00960762" w:rsidP="00960762">
    <w:pPr>
      <w:pStyle w:val="Footer"/>
      <w:tabs>
        <w:tab w:val="clear" w:pos="4320"/>
        <w:tab w:val="center" w:pos="4680"/>
      </w:tabs>
      <w:jc w:val="left"/>
    </w:pPr>
    <w:r w:rsidRPr="00C112BD">
      <w:rPr>
        <w:rStyle w:val="PageNumber"/>
        <w:rFonts w:ascii="Tahoma" w:hAnsi="Tahoma" w:cs="Tahoma"/>
        <w:sz w:val="16"/>
        <w:szCs w:val="16"/>
      </w:rPr>
      <w:t>610353724</w:t>
    </w:r>
    <w:r>
      <w:rPr>
        <w:rStyle w:val="PageNumber"/>
      </w:rPr>
      <w:tab/>
    </w:r>
    <w:r w:rsidR="00CF17DE">
      <w:rPr>
        <w:rStyle w:val="PageNumber"/>
      </w:rPr>
      <w:fldChar w:fldCharType="begin"/>
    </w:r>
    <w:r w:rsidR="00CF17DE">
      <w:rPr>
        <w:rStyle w:val="PageNumber"/>
      </w:rPr>
      <w:instrText xml:space="preserve"> PAGE </w:instrText>
    </w:r>
    <w:r w:rsidR="00CF17DE">
      <w:rPr>
        <w:rStyle w:val="PageNumber"/>
      </w:rPr>
      <w:fldChar w:fldCharType="separate"/>
    </w:r>
    <w:r w:rsidR="00946E2C">
      <w:rPr>
        <w:rStyle w:val="PageNumber"/>
        <w:noProof/>
      </w:rPr>
      <w:t>1</w:t>
    </w:r>
    <w:r w:rsidR="00CF17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9ED5" w14:textId="77777777" w:rsidR="00EE6542" w:rsidRDefault="00EE6542">
      <w:r>
        <w:separator/>
      </w:r>
    </w:p>
  </w:footnote>
  <w:footnote w:type="continuationSeparator" w:id="0">
    <w:p w14:paraId="135674A1" w14:textId="77777777" w:rsidR="00EE6542" w:rsidRDefault="00EE6542">
      <w:r>
        <w:continuationSeparator/>
      </w:r>
    </w:p>
  </w:footnote>
  <w:footnote w:type="continuationNotice" w:id="1">
    <w:p w14:paraId="013DC44E" w14:textId="77777777" w:rsidR="00EE6542" w:rsidRDefault="00EE6542">
      <w:pPr>
        <w:rPr>
          <w:sz w:val="22"/>
        </w:rPr>
      </w:pPr>
    </w:p>
    <w:p w14:paraId="39A0A599" w14:textId="77777777" w:rsidR="00EE6542" w:rsidRDefault="00EE6542">
      <w:pPr>
        <w:jc w:val="right"/>
        <w:rPr>
          <w:sz w:val="22"/>
        </w:rPr>
      </w:pPr>
      <w:r>
        <w:rPr>
          <w:i/>
          <w:sz w:val="22"/>
        </w:rPr>
        <w:t>Footnote continued on next page</w:t>
      </w:r>
    </w:p>
  </w:footnote>
  <w:footnote w:id="2">
    <w:p w14:paraId="34A15700" w14:textId="2D7CE988" w:rsidR="000E0CF5" w:rsidRPr="00B602CF" w:rsidRDefault="000E0CF5" w:rsidP="00B602CF">
      <w:pPr>
        <w:pStyle w:val="FootnoteText"/>
        <w:numPr>
          <w:ilvl w:val="0"/>
          <w:numId w:val="0"/>
        </w:numPr>
        <w:spacing w:after="0"/>
        <w:ind w:left="360" w:hanging="360"/>
        <w:rPr>
          <w:sz w:val="20"/>
        </w:rPr>
      </w:pPr>
      <w:r w:rsidRPr="00B602CF">
        <w:rPr>
          <w:rStyle w:val="FootnoteReference"/>
          <w:sz w:val="20"/>
        </w:rPr>
        <w:footnoteRef/>
      </w:r>
      <w:r w:rsidRPr="00B602CF">
        <w:rPr>
          <w:sz w:val="20"/>
        </w:rPr>
        <w:t xml:space="preserve"> </w:t>
      </w:r>
      <w:r w:rsidR="007951AC" w:rsidRPr="00B602CF">
        <w:rPr>
          <w:sz w:val="20"/>
        </w:rPr>
        <w:t xml:space="preserve"> </w:t>
      </w:r>
      <w:proofErr w:type="spellStart"/>
      <w:r w:rsidR="00405AE6" w:rsidRPr="00B602CF">
        <w:rPr>
          <w:sz w:val="20"/>
        </w:rPr>
        <w:t>B</w:t>
      </w:r>
      <w:r w:rsidR="007951AC" w:rsidRPr="00B602CF">
        <w:rPr>
          <w:sz w:val="20"/>
        </w:rPr>
        <w:t>idweek</w:t>
      </w:r>
      <w:proofErr w:type="spellEnd"/>
      <w:r w:rsidR="007951AC" w:rsidRPr="00B602CF">
        <w:rPr>
          <w:sz w:val="20"/>
        </w:rPr>
        <w:t xml:space="preserve"> refers to the monthly natural gas trading period during which contracts for the following delivery month are transacted and used to establish published index prices.</w:t>
      </w:r>
    </w:p>
  </w:footnote>
  <w:footnote w:id="3">
    <w:p w14:paraId="3496B238" w14:textId="37DC80EB" w:rsidR="008608CB" w:rsidRPr="00B602CF" w:rsidRDefault="008608CB" w:rsidP="00B602CF">
      <w:pPr>
        <w:pStyle w:val="FootnoteText"/>
        <w:numPr>
          <w:ilvl w:val="0"/>
          <w:numId w:val="0"/>
        </w:numPr>
        <w:spacing w:after="0"/>
        <w:ind w:left="360" w:hanging="360"/>
        <w:rPr>
          <w:sz w:val="20"/>
        </w:rPr>
      </w:pPr>
      <w:r w:rsidRPr="00B602CF">
        <w:rPr>
          <w:rStyle w:val="FootnoteReference"/>
          <w:sz w:val="20"/>
        </w:rPr>
        <w:footnoteRef/>
      </w:r>
      <w:r w:rsidRPr="00B602CF">
        <w:rPr>
          <w:sz w:val="20"/>
        </w:rPr>
        <w:t xml:space="preserve"> </w:t>
      </w:r>
      <w:r w:rsidR="00D81EC0" w:rsidRPr="00B602CF">
        <w:rPr>
          <w:sz w:val="20"/>
        </w:rPr>
        <w:t xml:space="preserve">Rule 41 refers to the </w:t>
      </w:r>
      <w:r w:rsidR="00AC5A39" w:rsidRPr="00B602CF">
        <w:rPr>
          <w:sz w:val="20"/>
        </w:rPr>
        <w:t>“</w:t>
      </w:r>
      <w:r w:rsidR="00D81EC0" w:rsidRPr="00B602CF">
        <w:rPr>
          <w:sz w:val="20"/>
        </w:rPr>
        <w:t>Operational Hub,</w:t>
      </w:r>
      <w:r w:rsidR="00AC5A39" w:rsidRPr="00B602CF">
        <w:rPr>
          <w:sz w:val="20"/>
        </w:rPr>
        <w:t>”</w:t>
      </w:r>
      <w:r w:rsidR="00D81EC0" w:rsidRPr="00B602CF">
        <w:rPr>
          <w:sz w:val="20"/>
        </w:rPr>
        <w:t xml:space="preserve"> which is a department within the System Operator</w:t>
      </w:r>
      <w:r w:rsidR="00F13763" w:rsidRPr="00B602CF">
        <w:rPr>
          <w:sz w:val="20"/>
        </w:rPr>
        <w:t xml:space="preserve"> umbrella</w:t>
      </w:r>
      <w:r w:rsidR="00D81EC0" w:rsidRPr="00B602CF">
        <w:rPr>
          <w:sz w:val="20"/>
        </w:rPr>
        <w:t>.</w:t>
      </w:r>
    </w:p>
  </w:footnote>
  <w:footnote w:id="4">
    <w:p w14:paraId="32BF5899" w14:textId="7EC081DB" w:rsidR="00F22715" w:rsidRPr="00B602CF" w:rsidRDefault="00F22715" w:rsidP="00B602CF">
      <w:pPr>
        <w:pStyle w:val="FootnoteText"/>
        <w:numPr>
          <w:ilvl w:val="0"/>
          <w:numId w:val="0"/>
        </w:numPr>
        <w:spacing w:after="0"/>
        <w:ind w:left="180" w:hanging="180"/>
        <w:rPr>
          <w:sz w:val="20"/>
        </w:rPr>
      </w:pPr>
      <w:r w:rsidRPr="00B602CF">
        <w:rPr>
          <w:rStyle w:val="FootnoteReference"/>
          <w:sz w:val="20"/>
        </w:rPr>
        <w:footnoteRef/>
      </w:r>
      <w:r w:rsidRPr="00B602CF">
        <w:rPr>
          <w:sz w:val="20"/>
        </w:rPr>
        <w:t xml:space="preserve"> </w:t>
      </w:r>
      <w:r w:rsidR="00FE2953" w:rsidRPr="00B602CF">
        <w:rPr>
          <w:sz w:val="20"/>
        </w:rPr>
        <w:t xml:space="preserve">The Gas Acquisition Department purchases gas for core customers and is separated by a fire wall </w:t>
      </w:r>
      <w:r w:rsidR="00C44CF3" w:rsidRPr="00B602CF">
        <w:rPr>
          <w:sz w:val="20"/>
        </w:rPr>
        <w:t xml:space="preserve">from </w:t>
      </w:r>
      <w:r w:rsidR="009177FD" w:rsidRPr="00B602CF">
        <w:rPr>
          <w:sz w:val="20"/>
        </w:rPr>
        <w:t xml:space="preserve">the System Operator except under exceptional circumstances </w:t>
      </w:r>
      <w:r w:rsidR="00C44CF3" w:rsidRPr="00B602CF">
        <w:rPr>
          <w:sz w:val="20"/>
        </w:rPr>
        <w:t>per D.07-12-019</w:t>
      </w:r>
      <w:r w:rsidR="00F13028" w:rsidRPr="00B602CF">
        <w:rPr>
          <w:sz w:val="20"/>
        </w:rPr>
        <w:t>. R</w:t>
      </w:r>
      <w:r w:rsidRPr="00B602CF">
        <w:rPr>
          <w:sz w:val="20"/>
        </w:rPr>
        <w:t>ule 41 refers to the Gas Acquisition Department</w:t>
      </w:r>
      <w:r w:rsidR="00F13028" w:rsidRPr="00B602CF">
        <w:rPr>
          <w:sz w:val="20"/>
        </w:rPr>
        <w:t xml:space="preserve"> as </w:t>
      </w:r>
      <w:r w:rsidR="00750BC4" w:rsidRPr="00B602CF">
        <w:rPr>
          <w:sz w:val="20"/>
        </w:rPr>
        <w:t>the Utility Gas Procurement Department.</w:t>
      </w:r>
    </w:p>
  </w:footnote>
  <w:footnote w:id="5">
    <w:p w14:paraId="6A6BD972" w14:textId="27285588" w:rsidR="00B538E5" w:rsidRPr="00B602CF" w:rsidRDefault="00B538E5" w:rsidP="00B602CF">
      <w:pPr>
        <w:pStyle w:val="FootnoteText"/>
        <w:numPr>
          <w:ilvl w:val="0"/>
          <w:numId w:val="0"/>
        </w:numPr>
        <w:spacing w:after="0"/>
        <w:ind w:left="144" w:hanging="144"/>
        <w:rPr>
          <w:sz w:val="20"/>
        </w:rPr>
      </w:pPr>
      <w:r w:rsidRPr="00B602CF">
        <w:rPr>
          <w:rStyle w:val="FootnoteReference"/>
          <w:sz w:val="20"/>
        </w:rPr>
        <w:footnoteRef/>
      </w:r>
      <w:r w:rsidRPr="00B602CF">
        <w:rPr>
          <w:sz w:val="20"/>
        </w:rPr>
        <w:t xml:space="preserve"> The Preliminary Statement for the SRMA states: “Upon approval by the Commission of transactions recorded in the SRMA, SoCalGas will amortize the approved transactions in transportation rates effective January 1 of the following year. The transactions will be allocated on an Equal Cents Per Therm (ECPT) basis.”</w:t>
      </w:r>
      <w:r w:rsidR="00404430" w:rsidRPr="00B602CF">
        <w:rPr>
          <w:sz w:val="20"/>
        </w:rPr>
        <w:t xml:space="preserve"> </w:t>
      </w:r>
      <w:hyperlink r:id="rId1" w:history="1">
        <w:r w:rsidR="00404430" w:rsidRPr="00B602CF">
          <w:rPr>
            <w:rStyle w:val="Hyperlink"/>
            <w:sz w:val="20"/>
          </w:rPr>
          <w:t>https://tariffsprd.socalgas.com/scg/tariffs/content/?utilId=SCG&amp;bookId=GAS&amp;sectId=G-PRELIM</w:t>
        </w:r>
      </w:hyperlink>
      <w:r w:rsidR="00471B45" w:rsidRPr="00B602CF">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D349" w14:textId="1169AEA8" w:rsidR="00CF17DE" w:rsidRPr="007B7585" w:rsidRDefault="004D65CC">
    <w:pPr>
      <w:pStyle w:val="Header"/>
      <w:tabs>
        <w:tab w:val="clear" w:pos="4320"/>
        <w:tab w:val="clear" w:pos="8640"/>
        <w:tab w:val="center" w:pos="4680"/>
        <w:tab w:val="right" w:pos="9180"/>
      </w:tabs>
      <w:rPr>
        <w:bCs/>
      </w:rPr>
    </w:pPr>
    <w:r w:rsidRPr="00CC219D">
      <w:t>ED/</w:t>
    </w:r>
    <w:r w:rsidR="61C943AB" w:rsidRPr="00CC219D">
      <w:t>Resolution G-</w:t>
    </w:r>
    <w:r w:rsidR="00DF6E38" w:rsidRPr="00CC219D">
      <w:t>3620</w:t>
    </w:r>
    <w:r w:rsidR="00CF17DE" w:rsidRPr="00CC219D">
      <w:tab/>
    </w:r>
    <w:r w:rsidR="61C943AB" w:rsidRPr="00CC219D">
      <w:t>DRAFT</w:t>
    </w:r>
    <w:r w:rsidR="00CF17DE" w:rsidRPr="00CC219D">
      <w:tab/>
    </w:r>
    <w:r w:rsidR="007B7585" w:rsidRPr="00180E0A">
      <w:rPr>
        <w:bCs/>
      </w:rPr>
      <w:t xml:space="preserve"> </w:t>
    </w:r>
    <w:r w:rsidR="00CC219D" w:rsidRPr="00180E0A">
      <w:rPr>
        <w:bCs/>
      </w:rPr>
      <w:t>August 13</w:t>
    </w:r>
    <w:r w:rsidR="007B7585" w:rsidRPr="00180E0A">
      <w:rPr>
        <w:bCs/>
      </w:rPr>
      <w:t>, 2026</w:t>
    </w:r>
  </w:p>
  <w:p w14:paraId="66D09051" w14:textId="276484B5" w:rsidR="61C943AB" w:rsidRDefault="00E74BC5" w:rsidP="61C943AB">
    <w:pPr>
      <w:tabs>
        <w:tab w:val="center" w:pos="4680"/>
        <w:tab w:val="right" w:pos="9180"/>
      </w:tabs>
    </w:pPr>
    <w:r>
      <w:rPr>
        <w:szCs w:val="26"/>
      </w:rPr>
      <w:t xml:space="preserve">SoCalGas </w:t>
    </w:r>
    <w:r w:rsidR="00BC4FA9">
      <w:rPr>
        <w:szCs w:val="26"/>
      </w:rPr>
      <w:t xml:space="preserve">AL </w:t>
    </w:r>
    <w:r w:rsidR="00C13D14">
      <w:rPr>
        <w:szCs w:val="26"/>
      </w:rPr>
      <w:t>6558</w:t>
    </w:r>
    <w:r w:rsidR="61C943AB" w:rsidRPr="61C943AB">
      <w:rPr>
        <w:szCs w:val="26"/>
      </w:rPr>
      <w:t>-G/A</w:t>
    </w:r>
    <w:r w:rsidR="000D519E">
      <w:rPr>
        <w:szCs w:val="26"/>
      </w:rPr>
      <w:t>LZ</w:t>
    </w:r>
  </w:p>
  <w:p w14:paraId="013F4CD4" w14:textId="77777777" w:rsidR="00CF17DE" w:rsidRDefault="00CF1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F806" w14:textId="77777777" w:rsidR="00CF17DE" w:rsidRPr="008E6797" w:rsidRDefault="00CF17DE"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01B"/>
    <w:multiLevelType w:val="multilevel"/>
    <w:tmpl w:val="F710E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A7218"/>
    <w:multiLevelType w:val="hybridMultilevel"/>
    <w:tmpl w:val="0534DF68"/>
    <w:lvl w:ilvl="0" w:tplc="932C77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C2BE9"/>
    <w:multiLevelType w:val="hybridMultilevel"/>
    <w:tmpl w:val="83140058"/>
    <w:lvl w:ilvl="0" w:tplc="91BC3C2E">
      <w:start w:val="1"/>
      <w:numFmt w:val="bullet"/>
      <w:lvlText w:val="·"/>
      <w:lvlJc w:val="left"/>
      <w:pPr>
        <w:ind w:left="720" w:hanging="360"/>
      </w:pPr>
      <w:rPr>
        <w:rFonts w:ascii="Symbol" w:hAnsi="Symbol" w:hint="default"/>
      </w:rPr>
    </w:lvl>
    <w:lvl w:ilvl="1" w:tplc="181C65B0">
      <w:start w:val="1"/>
      <w:numFmt w:val="bullet"/>
      <w:lvlText w:val="o"/>
      <w:lvlJc w:val="left"/>
      <w:pPr>
        <w:ind w:left="1440" w:hanging="360"/>
      </w:pPr>
      <w:rPr>
        <w:rFonts w:ascii="Courier New" w:hAnsi="Courier New" w:hint="default"/>
      </w:rPr>
    </w:lvl>
    <w:lvl w:ilvl="2" w:tplc="B21EBDCA">
      <w:start w:val="1"/>
      <w:numFmt w:val="bullet"/>
      <w:lvlText w:val=""/>
      <w:lvlJc w:val="left"/>
      <w:pPr>
        <w:ind w:left="2160" w:hanging="360"/>
      </w:pPr>
      <w:rPr>
        <w:rFonts w:ascii="Wingdings" w:hAnsi="Wingdings" w:hint="default"/>
      </w:rPr>
    </w:lvl>
    <w:lvl w:ilvl="3" w:tplc="79EAAA90">
      <w:start w:val="1"/>
      <w:numFmt w:val="bullet"/>
      <w:lvlText w:val=""/>
      <w:lvlJc w:val="left"/>
      <w:pPr>
        <w:ind w:left="2880" w:hanging="360"/>
      </w:pPr>
      <w:rPr>
        <w:rFonts w:ascii="Symbol" w:hAnsi="Symbol" w:hint="default"/>
      </w:rPr>
    </w:lvl>
    <w:lvl w:ilvl="4" w:tplc="EBDE40D6">
      <w:start w:val="1"/>
      <w:numFmt w:val="bullet"/>
      <w:lvlText w:val="o"/>
      <w:lvlJc w:val="left"/>
      <w:pPr>
        <w:ind w:left="3600" w:hanging="360"/>
      </w:pPr>
      <w:rPr>
        <w:rFonts w:ascii="Courier New" w:hAnsi="Courier New" w:hint="default"/>
      </w:rPr>
    </w:lvl>
    <w:lvl w:ilvl="5" w:tplc="BE28B7EA">
      <w:start w:val="1"/>
      <w:numFmt w:val="bullet"/>
      <w:lvlText w:val=""/>
      <w:lvlJc w:val="left"/>
      <w:pPr>
        <w:ind w:left="4320" w:hanging="360"/>
      </w:pPr>
      <w:rPr>
        <w:rFonts w:ascii="Wingdings" w:hAnsi="Wingdings" w:hint="default"/>
      </w:rPr>
    </w:lvl>
    <w:lvl w:ilvl="6" w:tplc="0914BA12">
      <w:start w:val="1"/>
      <w:numFmt w:val="bullet"/>
      <w:lvlText w:val=""/>
      <w:lvlJc w:val="left"/>
      <w:pPr>
        <w:ind w:left="5040" w:hanging="360"/>
      </w:pPr>
      <w:rPr>
        <w:rFonts w:ascii="Symbol" w:hAnsi="Symbol" w:hint="default"/>
      </w:rPr>
    </w:lvl>
    <w:lvl w:ilvl="7" w:tplc="D9A2B85E">
      <w:start w:val="1"/>
      <w:numFmt w:val="bullet"/>
      <w:lvlText w:val="o"/>
      <w:lvlJc w:val="left"/>
      <w:pPr>
        <w:ind w:left="5760" w:hanging="360"/>
      </w:pPr>
      <w:rPr>
        <w:rFonts w:ascii="Courier New" w:hAnsi="Courier New" w:hint="default"/>
      </w:rPr>
    </w:lvl>
    <w:lvl w:ilvl="8" w:tplc="A546F238">
      <w:start w:val="1"/>
      <w:numFmt w:val="bullet"/>
      <w:lvlText w:val=""/>
      <w:lvlJc w:val="left"/>
      <w:pPr>
        <w:ind w:left="6480" w:hanging="360"/>
      </w:pPr>
      <w:rPr>
        <w:rFonts w:ascii="Wingdings" w:hAnsi="Wingdings" w:hint="default"/>
      </w:rPr>
    </w:lvl>
  </w:abstractNum>
  <w:abstractNum w:abstractNumId="4" w15:restartNumberingAfterBreak="0">
    <w:nsid w:val="07CC4816"/>
    <w:multiLevelType w:val="hybridMultilevel"/>
    <w:tmpl w:val="6F48B552"/>
    <w:lvl w:ilvl="0" w:tplc="BE8214D4">
      <w:start w:val="1"/>
      <w:numFmt w:val="bullet"/>
      <w:lvlText w:val="·"/>
      <w:lvlJc w:val="left"/>
      <w:pPr>
        <w:ind w:left="720" w:hanging="360"/>
      </w:pPr>
      <w:rPr>
        <w:rFonts w:ascii="Symbol" w:hAnsi="Symbol" w:hint="default"/>
      </w:rPr>
    </w:lvl>
    <w:lvl w:ilvl="1" w:tplc="6400D2AE">
      <w:start w:val="1"/>
      <w:numFmt w:val="bullet"/>
      <w:lvlText w:val="o"/>
      <w:lvlJc w:val="left"/>
      <w:pPr>
        <w:ind w:left="1440" w:hanging="360"/>
      </w:pPr>
      <w:rPr>
        <w:rFonts w:ascii="Courier New" w:hAnsi="Courier New" w:hint="default"/>
      </w:rPr>
    </w:lvl>
    <w:lvl w:ilvl="2" w:tplc="0AB4D5C0">
      <w:start w:val="1"/>
      <w:numFmt w:val="bullet"/>
      <w:lvlText w:val=""/>
      <w:lvlJc w:val="left"/>
      <w:pPr>
        <w:ind w:left="2160" w:hanging="360"/>
      </w:pPr>
      <w:rPr>
        <w:rFonts w:ascii="Wingdings" w:hAnsi="Wingdings" w:hint="default"/>
      </w:rPr>
    </w:lvl>
    <w:lvl w:ilvl="3" w:tplc="D818BD92">
      <w:start w:val="1"/>
      <w:numFmt w:val="bullet"/>
      <w:lvlText w:val=""/>
      <w:lvlJc w:val="left"/>
      <w:pPr>
        <w:ind w:left="2880" w:hanging="360"/>
      </w:pPr>
      <w:rPr>
        <w:rFonts w:ascii="Symbol" w:hAnsi="Symbol" w:hint="default"/>
      </w:rPr>
    </w:lvl>
    <w:lvl w:ilvl="4" w:tplc="028C36F2">
      <w:start w:val="1"/>
      <w:numFmt w:val="bullet"/>
      <w:lvlText w:val="o"/>
      <w:lvlJc w:val="left"/>
      <w:pPr>
        <w:ind w:left="3600" w:hanging="360"/>
      </w:pPr>
      <w:rPr>
        <w:rFonts w:ascii="Courier New" w:hAnsi="Courier New" w:hint="default"/>
      </w:rPr>
    </w:lvl>
    <w:lvl w:ilvl="5" w:tplc="3A067692">
      <w:start w:val="1"/>
      <w:numFmt w:val="bullet"/>
      <w:lvlText w:val=""/>
      <w:lvlJc w:val="left"/>
      <w:pPr>
        <w:ind w:left="4320" w:hanging="360"/>
      </w:pPr>
      <w:rPr>
        <w:rFonts w:ascii="Wingdings" w:hAnsi="Wingdings" w:hint="default"/>
      </w:rPr>
    </w:lvl>
    <w:lvl w:ilvl="6" w:tplc="43B25856">
      <w:start w:val="1"/>
      <w:numFmt w:val="bullet"/>
      <w:lvlText w:val=""/>
      <w:lvlJc w:val="left"/>
      <w:pPr>
        <w:ind w:left="5040" w:hanging="360"/>
      </w:pPr>
      <w:rPr>
        <w:rFonts w:ascii="Symbol" w:hAnsi="Symbol" w:hint="default"/>
      </w:rPr>
    </w:lvl>
    <w:lvl w:ilvl="7" w:tplc="661A63F6">
      <w:start w:val="1"/>
      <w:numFmt w:val="bullet"/>
      <w:lvlText w:val="o"/>
      <w:lvlJc w:val="left"/>
      <w:pPr>
        <w:ind w:left="5760" w:hanging="360"/>
      </w:pPr>
      <w:rPr>
        <w:rFonts w:ascii="Courier New" w:hAnsi="Courier New" w:hint="default"/>
      </w:rPr>
    </w:lvl>
    <w:lvl w:ilvl="8" w:tplc="554E2A32">
      <w:start w:val="1"/>
      <w:numFmt w:val="bullet"/>
      <w:lvlText w:val=""/>
      <w:lvlJc w:val="left"/>
      <w:pPr>
        <w:ind w:left="6480" w:hanging="360"/>
      </w:pPr>
      <w:rPr>
        <w:rFonts w:ascii="Wingdings" w:hAnsi="Wingdings" w:hint="default"/>
      </w:rPr>
    </w:lvl>
  </w:abstractNum>
  <w:abstractNum w:abstractNumId="5"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6" w15:restartNumberingAfterBreak="0">
    <w:nsid w:val="0BA8542F"/>
    <w:multiLevelType w:val="hybridMultilevel"/>
    <w:tmpl w:val="B714F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BDB7819"/>
    <w:multiLevelType w:val="hybridMultilevel"/>
    <w:tmpl w:val="0409000F"/>
    <w:lvl w:ilvl="0" w:tplc="E74AAC4A">
      <w:start w:val="1"/>
      <w:numFmt w:val="decimal"/>
      <w:lvlText w:val="%1."/>
      <w:lvlJc w:val="left"/>
      <w:pPr>
        <w:tabs>
          <w:tab w:val="num" w:pos="360"/>
        </w:tabs>
        <w:ind w:left="360" w:hanging="360"/>
      </w:pPr>
    </w:lvl>
    <w:lvl w:ilvl="1" w:tplc="40C640C8">
      <w:numFmt w:val="decimal"/>
      <w:lvlText w:val=""/>
      <w:lvlJc w:val="left"/>
    </w:lvl>
    <w:lvl w:ilvl="2" w:tplc="A722427E">
      <w:numFmt w:val="decimal"/>
      <w:lvlText w:val=""/>
      <w:lvlJc w:val="left"/>
    </w:lvl>
    <w:lvl w:ilvl="3" w:tplc="3372F162">
      <w:numFmt w:val="decimal"/>
      <w:lvlText w:val=""/>
      <w:lvlJc w:val="left"/>
    </w:lvl>
    <w:lvl w:ilvl="4" w:tplc="D7B27552">
      <w:numFmt w:val="decimal"/>
      <w:lvlText w:val=""/>
      <w:lvlJc w:val="left"/>
    </w:lvl>
    <w:lvl w:ilvl="5" w:tplc="39108616">
      <w:numFmt w:val="decimal"/>
      <w:lvlText w:val=""/>
      <w:lvlJc w:val="left"/>
    </w:lvl>
    <w:lvl w:ilvl="6" w:tplc="90C8B396">
      <w:numFmt w:val="decimal"/>
      <w:lvlText w:val=""/>
      <w:lvlJc w:val="left"/>
    </w:lvl>
    <w:lvl w:ilvl="7" w:tplc="04CC7B2C">
      <w:numFmt w:val="decimal"/>
      <w:lvlText w:val=""/>
      <w:lvlJc w:val="left"/>
    </w:lvl>
    <w:lvl w:ilvl="8" w:tplc="D6204144">
      <w:numFmt w:val="decimal"/>
      <w:lvlText w:val=""/>
      <w:lvlJc w:val="left"/>
    </w:lvl>
  </w:abstractNum>
  <w:abstractNum w:abstractNumId="8" w15:restartNumberingAfterBreak="0">
    <w:nsid w:val="13C17BA2"/>
    <w:multiLevelType w:val="hybridMultilevel"/>
    <w:tmpl w:val="EFFE7C2C"/>
    <w:lvl w:ilvl="0" w:tplc="50124F0C">
      <w:numFmt w:val="bullet"/>
      <w:lvlText w:val="•"/>
      <w:lvlJc w:val="left"/>
      <w:pPr>
        <w:ind w:left="1080" w:hanging="720"/>
      </w:pPr>
      <w:rPr>
        <w:rFonts w:ascii="Palatino" w:eastAsia="Palatino" w:hAnsi="Palatino"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10336"/>
    <w:multiLevelType w:val="hybridMultilevel"/>
    <w:tmpl w:val="965CDE0E"/>
    <w:lvl w:ilvl="0" w:tplc="6C14A7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23FB01AE"/>
    <w:multiLevelType w:val="hybridMultilevel"/>
    <w:tmpl w:val="98ACA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8414F"/>
    <w:multiLevelType w:val="hybridMultilevel"/>
    <w:tmpl w:val="0B2856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A56D9F"/>
    <w:multiLevelType w:val="hybridMultilevel"/>
    <w:tmpl w:val="66346CA0"/>
    <w:lvl w:ilvl="0" w:tplc="50124F0C">
      <w:numFmt w:val="bullet"/>
      <w:lvlText w:val="•"/>
      <w:lvlJc w:val="left"/>
      <w:pPr>
        <w:ind w:left="1440" w:hanging="720"/>
      </w:pPr>
      <w:rPr>
        <w:rFonts w:ascii="Palatino" w:eastAsia="Palatino" w:hAnsi="Palatino" w:cs="Palatin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B50151"/>
    <w:multiLevelType w:val="hybridMultilevel"/>
    <w:tmpl w:val="8CB2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60EB4"/>
    <w:multiLevelType w:val="hybridMultilevel"/>
    <w:tmpl w:val="65F60CEA"/>
    <w:lvl w:ilvl="0" w:tplc="55F63F94">
      <w:start w:val="1"/>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4624C"/>
    <w:multiLevelType w:val="multilevel"/>
    <w:tmpl w:val="AF7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C44D5"/>
    <w:multiLevelType w:val="hybridMultilevel"/>
    <w:tmpl w:val="BD40D794"/>
    <w:lvl w:ilvl="0" w:tplc="50124F0C">
      <w:numFmt w:val="bullet"/>
      <w:lvlText w:val="•"/>
      <w:lvlJc w:val="left"/>
      <w:pPr>
        <w:ind w:left="1440" w:hanging="720"/>
      </w:pPr>
      <w:rPr>
        <w:rFonts w:ascii="Palatino" w:eastAsia="Palatino" w:hAnsi="Palatino" w:cs="Palatin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655E38"/>
    <w:multiLevelType w:val="hybridMultilevel"/>
    <w:tmpl w:val="9142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4150FD6"/>
    <w:multiLevelType w:val="hybridMultilevel"/>
    <w:tmpl w:val="BA8657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3527F"/>
    <w:multiLevelType w:val="multilevel"/>
    <w:tmpl w:val="4E7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A629A"/>
    <w:multiLevelType w:val="hybridMultilevel"/>
    <w:tmpl w:val="3192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3062C2"/>
    <w:multiLevelType w:val="multilevel"/>
    <w:tmpl w:val="FF98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80C1F"/>
    <w:multiLevelType w:val="multilevel"/>
    <w:tmpl w:val="33A218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2565C7"/>
    <w:multiLevelType w:val="hybridMultilevel"/>
    <w:tmpl w:val="B4D29030"/>
    <w:lvl w:ilvl="0" w:tplc="DAC8EB02">
      <w:start w:val="1"/>
      <w:numFmt w:val="decimal"/>
      <w:lvlText w:val="%1."/>
      <w:lvlJc w:val="left"/>
      <w:pPr>
        <w:tabs>
          <w:tab w:val="num" w:pos="420"/>
        </w:tabs>
        <w:ind w:left="420" w:hanging="420"/>
      </w:pPr>
      <w:rPr>
        <w:rFonts w:hint="default"/>
      </w:rPr>
    </w:lvl>
    <w:lvl w:ilvl="1" w:tplc="37342A62">
      <w:numFmt w:val="decimal"/>
      <w:lvlText w:val=""/>
      <w:lvlJc w:val="left"/>
    </w:lvl>
    <w:lvl w:ilvl="2" w:tplc="6C30D27C">
      <w:numFmt w:val="decimal"/>
      <w:lvlText w:val=""/>
      <w:lvlJc w:val="left"/>
    </w:lvl>
    <w:lvl w:ilvl="3" w:tplc="906A956A">
      <w:numFmt w:val="decimal"/>
      <w:lvlText w:val=""/>
      <w:lvlJc w:val="left"/>
    </w:lvl>
    <w:lvl w:ilvl="4" w:tplc="714A959A">
      <w:numFmt w:val="decimal"/>
      <w:lvlText w:val=""/>
      <w:lvlJc w:val="left"/>
    </w:lvl>
    <w:lvl w:ilvl="5" w:tplc="A2E6D724">
      <w:numFmt w:val="decimal"/>
      <w:lvlText w:val=""/>
      <w:lvlJc w:val="left"/>
    </w:lvl>
    <w:lvl w:ilvl="6" w:tplc="0770D728">
      <w:numFmt w:val="decimal"/>
      <w:lvlText w:val=""/>
      <w:lvlJc w:val="left"/>
    </w:lvl>
    <w:lvl w:ilvl="7" w:tplc="96420A92">
      <w:numFmt w:val="decimal"/>
      <w:lvlText w:val=""/>
      <w:lvlJc w:val="left"/>
    </w:lvl>
    <w:lvl w:ilvl="8" w:tplc="EC2AB0B4">
      <w:numFmt w:val="decimal"/>
      <w:lvlText w:val=""/>
      <w:lvlJc w:val="left"/>
    </w:lvl>
  </w:abstractNum>
  <w:abstractNum w:abstractNumId="27" w15:restartNumberingAfterBreak="0">
    <w:nsid w:val="575E721B"/>
    <w:multiLevelType w:val="hybridMultilevel"/>
    <w:tmpl w:val="9FB0D370"/>
    <w:lvl w:ilvl="0" w:tplc="EBB05E46">
      <w:start w:val="1"/>
      <w:numFmt w:val="bullet"/>
      <w:lvlText w:val="·"/>
      <w:lvlJc w:val="left"/>
      <w:pPr>
        <w:ind w:left="720" w:hanging="360"/>
      </w:pPr>
      <w:rPr>
        <w:rFonts w:ascii="Symbol" w:hAnsi="Symbol" w:hint="default"/>
      </w:rPr>
    </w:lvl>
    <w:lvl w:ilvl="1" w:tplc="1DD82A92">
      <w:start w:val="1"/>
      <w:numFmt w:val="bullet"/>
      <w:lvlText w:val="o"/>
      <w:lvlJc w:val="left"/>
      <w:pPr>
        <w:ind w:left="1440" w:hanging="360"/>
      </w:pPr>
      <w:rPr>
        <w:rFonts w:ascii="Courier New" w:hAnsi="Courier New" w:hint="default"/>
      </w:rPr>
    </w:lvl>
    <w:lvl w:ilvl="2" w:tplc="A358FDE8">
      <w:start w:val="1"/>
      <w:numFmt w:val="bullet"/>
      <w:lvlText w:val=""/>
      <w:lvlJc w:val="left"/>
      <w:pPr>
        <w:ind w:left="2160" w:hanging="360"/>
      </w:pPr>
      <w:rPr>
        <w:rFonts w:ascii="Wingdings" w:hAnsi="Wingdings" w:hint="default"/>
      </w:rPr>
    </w:lvl>
    <w:lvl w:ilvl="3" w:tplc="5128CC52">
      <w:start w:val="1"/>
      <w:numFmt w:val="bullet"/>
      <w:lvlText w:val=""/>
      <w:lvlJc w:val="left"/>
      <w:pPr>
        <w:ind w:left="2880" w:hanging="360"/>
      </w:pPr>
      <w:rPr>
        <w:rFonts w:ascii="Symbol" w:hAnsi="Symbol" w:hint="default"/>
      </w:rPr>
    </w:lvl>
    <w:lvl w:ilvl="4" w:tplc="E43419DC">
      <w:start w:val="1"/>
      <w:numFmt w:val="bullet"/>
      <w:lvlText w:val="o"/>
      <w:lvlJc w:val="left"/>
      <w:pPr>
        <w:ind w:left="3600" w:hanging="360"/>
      </w:pPr>
      <w:rPr>
        <w:rFonts w:ascii="Courier New" w:hAnsi="Courier New" w:hint="default"/>
      </w:rPr>
    </w:lvl>
    <w:lvl w:ilvl="5" w:tplc="730AE6EC">
      <w:start w:val="1"/>
      <w:numFmt w:val="bullet"/>
      <w:lvlText w:val=""/>
      <w:lvlJc w:val="left"/>
      <w:pPr>
        <w:ind w:left="4320" w:hanging="360"/>
      </w:pPr>
      <w:rPr>
        <w:rFonts w:ascii="Wingdings" w:hAnsi="Wingdings" w:hint="default"/>
      </w:rPr>
    </w:lvl>
    <w:lvl w:ilvl="6" w:tplc="82406E32">
      <w:start w:val="1"/>
      <w:numFmt w:val="bullet"/>
      <w:lvlText w:val=""/>
      <w:lvlJc w:val="left"/>
      <w:pPr>
        <w:ind w:left="5040" w:hanging="360"/>
      </w:pPr>
      <w:rPr>
        <w:rFonts w:ascii="Symbol" w:hAnsi="Symbol" w:hint="default"/>
      </w:rPr>
    </w:lvl>
    <w:lvl w:ilvl="7" w:tplc="D3CCB642">
      <w:start w:val="1"/>
      <w:numFmt w:val="bullet"/>
      <w:lvlText w:val="o"/>
      <w:lvlJc w:val="left"/>
      <w:pPr>
        <w:ind w:left="5760" w:hanging="360"/>
      </w:pPr>
      <w:rPr>
        <w:rFonts w:ascii="Courier New" w:hAnsi="Courier New" w:hint="default"/>
      </w:rPr>
    </w:lvl>
    <w:lvl w:ilvl="8" w:tplc="AB08C754">
      <w:start w:val="1"/>
      <w:numFmt w:val="bullet"/>
      <w:lvlText w:val=""/>
      <w:lvlJc w:val="left"/>
      <w:pPr>
        <w:ind w:left="6480" w:hanging="360"/>
      </w:pPr>
      <w:rPr>
        <w:rFonts w:ascii="Wingdings" w:hAnsi="Wingdings" w:hint="default"/>
      </w:rPr>
    </w:lvl>
  </w:abstractNum>
  <w:abstractNum w:abstractNumId="28" w15:restartNumberingAfterBreak="0">
    <w:nsid w:val="58D65946"/>
    <w:multiLevelType w:val="hybridMultilevel"/>
    <w:tmpl w:val="5902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1165F"/>
    <w:multiLevelType w:val="multilevel"/>
    <w:tmpl w:val="33A218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43AFC"/>
    <w:multiLevelType w:val="multilevel"/>
    <w:tmpl w:val="33A218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7F3E9D"/>
    <w:multiLevelType w:val="multilevel"/>
    <w:tmpl w:val="877A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90F3A"/>
    <w:multiLevelType w:val="hybridMultilevel"/>
    <w:tmpl w:val="AF44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5330F9"/>
    <w:multiLevelType w:val="hybridMultilevel"/>
    <w:tmpl w:val="C86EA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A6487"/>
    <w:multiLevelType w:val="multilevel"/>
    <w:tmpl w:val="A818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329844">
    <w:abstractNumId w:val="4"/>
  </w:num>
  <w:num w:numId="2" w16cid:durableId="664286228">
    <w:abstractNumId w:val="27"/>
  </w:num>
  <w:num w:numId="3" w16cid:durableId="206720008">
    <w:abstractNumId w:val="3"/>
  </w:num>
  <w:num w:numId="4" w16cid:durableId="850265578">
    <w:abstractNumId w:val="5"/>
  </w:num>
  <w:num w:numId="5" w16cid:durableId="443498924">
    <w:abstractNumId w:val="20"/>
  </w:num>
  <w:num w:numId="6" w16cid:durableId="817917328">
    <w:abstractNumId w:val="11"/>
  </w:num>
  <w:num w:numId="7" w16cid:durableId="765420722">
    <w:abstractNumId w:val="26"/>
  </w:num>
  <w:num w:numId="8" w16cid:durableId="1055547055">
    <w:abstractNumId w:val="7"/>
  </w:num>
  <w:num w:numId="9" w16cid:durableId="1493176534">
    <w:abstractNumId w:val="13"/>
  </w:num>
  <w:num w:numId="10" w16cid:durableId="1416244898">
    <w:abstractNumId w:val="35"/>
  </w:num>
  <w:num w:numId="11" w16cid:durableId="30420629">
    <w:abstractNumId w:val="38"/>
  </w:num>
  <w:num w:numId="12" w16cid:durableId="1293441565">
    <w:abstractNumId w:val="10"/>
  </w:num>
  <w:num w:numId="13" w16cid:durableId="446655974">
    <w:abstractNumId w:val="30"/>
  </w:num>
  <w:num w:numId="14" w16cid:durableId="1372417819">
    <w:abstractNumId w:val="2"/>
  </w:num>
  <w:num w:numId="15" w16cid:durableId="2033412786">
    <w:abstractNumId w:val="32"/>
  </w:num>
  <w:num w:numId="16" w16cid:durableId="1398674625">
    <w:abstractNumId w:val="28"/>
  </w:num>
  <w:num w:numId="17" w16cid:durableId="965432202">
    <w:abstractNumId w:val="8"/>
  </w:num>
  <w:num w:numId="18" w16cid:durableId="1952592696">
    <w:abstractNumId w:val="14"/>
  </w:num>
  <w:num w:numId="19" w16cid:durableId="1987590899">
    <w:abstractNumId w:val="18"/>
  </w:num>
  <w:num w:numId="20" w16cid:durableId="475681382">
    <w:abstractNumId w:val="17"/>
  </w:num>
  <w:num w:numId="21" w16cid:durableId="506024933">
    <w:abstractNumId w:val="24"/>
  </w:num>
  <w:num w:numId="22" w16cid:durableId="284578442">
    <w:abstractNumId w:val="22"/>
  </w:num>
  <w:num w:numId="23" w16cid:durableId="442769414">
    <w:abstractNumId w:val="9"/>
  </w:num>
  <w:num w:numId="24" w16cid:durableId="393117318">
    <w:abstractNumId w:val="16"/>
  </w:num>
  <w:num w:numId="25" w16cid:durableId="1056050370">
    <w:abstractNumId w:val="23"/>
  </w:num>
  <w:num w:numId="26" w16cid:durableId="975064611">
    <w:abstractNumId w:val="36"/>
  </w:num>
  <w:num w:numId="27" w16cid:durableId="1424229130">
    <w:abstractNumId w:val="19"/>
  </w:num>
  <w:num w:numId="28" w16cid:durableId="1239173156">
    <w:abstractNumId w:val="15"/>
  </w:num>
  <w:num w:numId="29" w16cid:durableId="1487628093">
    <w:abstractNumId w:val="12"/>
  </w:num>
  <w:num w:numId="30" w16cid:durableId="597837530">
    <w:abstractNumId w:val="1"/>
  </w:num>
  <w:num w:numId="31" w16cid:durableId="2132088729">
    <w:abstractNumId w:val="33"/>
  </w:num>
  <w:num w:numId="32" w16cid:durableId="2071686796">
    <w:abstractNumId w:val="34"/>
  </w:num>
  <w:num w:numId="33" w16cid:durableId="1445228481">
    <w:abstractNumId w:val="6"/>
  </w:num>
  <w:num w:numId="34" w16cid:durableId="70660864">
    <w:abstractNumId w:val="0"/>
  </w:num>
  <w:num w:numId="35" w16cid:durableId="915742812">
    <w:abstractNumId w:val="25"/>
  </w:num>
  <w:num w:numId="36" w16cid:durableId="2105344257">
    <w:abstractNumId w:val="29"/>
  </w:num>
  <w:num w:numId="37" w16cid:durableId="435710314">
    <w:abstractNumId w:val="31"/>
  </w:num>
  <w:num w:numId="38" w16cid:durableId="1114666257">
    <w:abstractNumId w:val="37"/>
  </w:num>
  <w:num w:numId="39" w16cid:durableId="48886143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33AB"/>
    <w:rsid w:val="00003D72"/>
    <w:rsid w:val="00004606"/>
    <w:rsid w:val="000053D6"/>
    <w:rsid w:val="000065EB"/>
    <w:rsid w:val="00006E23"/>
    <w:rsid w:val="00012B7F"/>
    <w:rsid w:val="00012D45"/>
    <w:rsid w:val="000165D8"/>
    <w:rsid w:val="00020E0A"/>
    <w:rsid w:val="00020F5E"/>
    <w:rsid w:val="0002209F"/>
    <w:rsid w:val="000224C2"/>
    <w:rsid w:val="00024C89"/>
    <w:rsid w:val="00025975"/>
    <w:rsid w:val="00026CA8"/>
    <w:rsid w:val="00027AC4"/>
    <w:rsid w:val="00030411"/>
    <w:rsid w:val="0003209D"/>
    <w:rsid w:val="00033C17"/>
    <w:rsid w:val="00033DD1"/>
    <w:rsid w:val="00034A6F"/>
    <w:rsid w:val="00034B06"/>
    <w:rsid w:val="0003698C"/>
    <w:rsid w:val="00037D9B"/>
    <w:rsid w:val="000403F3"/>
    <w:rsid w:val="0004100A"/>
    <w:rsid w:val="00044C0A"/>
    <w:rsid w:val="00050076"/>
    <w:rsid w:val="00052190"/>
    <w:rsid w:val="00052391"/>
    <w:rsid w:val="0005477E"/>
    <w:rsid w:val="000547DE"/>
    <w:rsid w:val="00055379"/>
    <w:rsid w:val="00055467"/>
    <w:rsid w:val="00055D22"/>
    <w:rsid w:val="000568A5"/>
    <w:rsid w:val="00057693"/>
    <w:rsid w:val="00063146"/>
    <w:rsid w:val="00064214"/>
    <w:rsid w:val="00065104"/>
    <w:rsid w:val="000667FC"/>
    <w:rsid w:val="0007045E"/>
    <w:rsid w:val="00070672"/>
    <w:rsid w:val="00072B05"/>
    <w:rsid w:val="00074773"/>
    <w:rsid w:val="00074941"/>
    <w:rsid w:val="00075DE2"/>
    <w:rsid w:val="00076871"/>
    <w:rsid w:val="000776D0"/>
    <w:rsid w:val="00080737"/>
    <w:rsid w:val="000807A3"/>
    <w:rsid w:val="000850AA"/>
    <w:rsid w:val="000853AE"/>
    <w:rsid w:val="00086606"/>
    <w:rsid w:val="000867B2"/>
    <w:rsid w:val="000868A9"/>
    <w:rsid w:val="000870B1"/>
    <w:rsid w:val="00090457"/>
    <w:rsid w:val="00090EAA"/>
    <w:rsid w:val="00094B0A"/>
    <w:rsid w:val="00095293"/>
    <w:rsid w:val="00095627"/>
    <w:rsid w:val="0009664D"/>
    <w:rsid w:val="000A02F1"/>
    <w:rsid w:val="000A12AA"/>
    <w:rsid w:val="000A4736"/>
    <w:rsid w:val="000A4EAB"/>
    <w:rsid w:val="000A6755"/>
    <w:rsid w:val="000B0BDB"/>
    <w:rsid w:val="000B163B"/>
    <w:rsid w:val="000B1E4A"/>
    <w:rsid w:val="000B4592"/>
    <w:rsid w:val="000B5D11"/>
    <w:rsid w:val="000B5D2C"/>
    <w:rsid w:val="000B7ABD"/>
    <w:rsid w:val="000C0D5D"/>
    <w:rsid w:val="000C222F"/>
    <w:rsid w:val="000C2ABF"/>
    <w:rsid w:val="000C5865"/>
    <w:rsid w:val="000C735B"/>
    <w:rsid w:val="000D1086"/>
    <w:rsid w:val="000D3A75"/>
    <w:rsid w:val="000D3C5D"/>
    <w:rsid w:val="000D43CF"/>
    <w:rsid w:val="000D519E"/>
    <w:rsid w:val="000E0190"/>
    <w:rsid w:val="000E0CF5"/>
    <w:rsid w:val="000E1C4C"/>
    <w:rsid w:val="000E1FBA"/>
    <w:rsid w:val="000E2A75"/>
    <w:rsid w:val="000E2C8C"/>
    <w:rsid w:val="000E6832"/>
    <w:rsid w:val="000F1AC8"/>
    <w:rsid w:val="000F3E3B"/>
    <w:rsid w:val="000F47F6"/>
    <w:rsid w:val="000F62AE"/>
    <w:rsid w:val="000F67F0"/>
    <w:rsid w:val="00101706"/>
    <w:rsid w:val="001036A1"/>
    <w:rsid w:val="001036A4"/>
    <w:rsid w:val="00105149"/>
    <w:rsid w:val="00106243"/>
    <w:rsid w:val="0010667C"/>
    <w:rsid w:val="00107853"/>
    <w:rsid w:val="001078D6"/>
    <w:rsid w:val="001079E3"/>
    <w:rsid w:val="001119A3"/>
    <w:rsid w:val="00113F5C"/>
    <w:rsid w:val="00115F3E"/>
    <w:rsid w:val="001171D3"/>
    <w:rsid w:val="00117B08"/>
    <w:rsid w:val="00122608"/>
    <w:rsid w:val="00122785"/>
    <w:rsid w:val="00124167"/>
    <w:rsid w:val="0012484E"/>
    <w:rsid w:val="00124D3C"/>
    <w:rsid w:val="00126EF2"/>
    <w:rsid w:val="0013086C"/>
    <w:rsid w:val="00130A30"/>
    <w:rsid w:val="00131067"/>
    <w:rsid w:val="00131618"/>
    <w:rsid w:val="00131E59"/>
    <w:rsid w:val="00133704"/>
    <w:rsid w:val="00133C45"/>
    <w:rsid w:val="00136C4A"/>
    <w:rsid w:val="00142D62"/>
    <w:rsid w:val="00142FB8"/>
    <w:rsid w:val="00142FF2"/>
    <w:rsid w:val="001501F0"/>
    <w:rsid w:val="001507B2"/>
    <w:rsid w:val="001531A3"/>
    <w:rsid w:val="001545E1"/>
    <w:rsid w:val="00154E9D"/>
    <w:rsid w:val="00155302"/>
    <w:rsid w:val="001554CC"/>
    <w:rsid w:val="00155A9F"/>
    <w:rsid w:val="001600D6"/>
    <w:rsid w:val="001608A6"/>
    <w:rsid w:val="00163339"/>
    <w:rsid w:val="00165280"/>
    <w:rsid w:val="00172EB0"/>
    <w:rsid w:val="00173AC2"/>
    <w:rsid w:val="00173B78"/>
    <w:rsid w:val="001759CC"/>
    <w:rsid w:val="00175B68"/>
    <w:rsid w:val="00177613"/>
    <w:rsid w:val="00180E0A"/>
    <w:rsid w:val="0018130E"/>
    <w:rsid w:val="001823D1"/>
    <w:rsid w:val="0018370E"/>
    <w:rsid w:val="00184372"/>
    <w:rsid w:val="001850F7"/>
    <w:rsid w:val="00185E04"/>
    <w:rsid w:val="001950B4"/>
    <w:rsid w:val="00195394"/>
    <w:rsid w:val="00195B21"/>
    <w:rsid w:val="00195B90"/>
    <w:rsid w:val="001961D8"/>
    <w:rsid w:val="00196F62"/>
    <w:rsid w:val="00196F85"/>
    <w:rsid w:val="0019717C"/>
    <w:rsid w:val="00197848"/>
    <w:rsid w:val="001979BE"/>
    <w:rsid w:val="001A0B6E"/>
    <w:rsid w:val="001A2255"/>
    <w:rsid w:val="001A261A"/>
    <w:rsid w:val="001A3FFC"/>
    <w:rsid w:val="001A5147"/>
    <w:rsid w:val="001A719B"/>
    <w:rsid w:val="001B16B2"/>
    <w:rsid w:val="001B2784"/>
    <w:rsid w:val="001B60F6"/>
    <w:rsid w:val="001B73FA"/>
    <w:rsid w:val="001C1AC5"/>
    <w:rsid w:val="001C2EC5"/>
    <w:rsid w:val="001C6C18"/>
    <w:rsid w:val="001C7152"/>
    <w:rsid w:val="001C74D3"/>
    <w:rsid w:val="001D1922"/>
    <w:rsid w:val="001D234D"/>
    <w:rsid w:val="001D2F83"/>
    <w:rsid w:val="001D614A"/>
    <w:rsid w:val="001E16B3"/>
    <w:rsid w:val="001E248D"/>
    <w:rsid w:val="001E29D1"/>
    <w:rsid w:val="001E36B6"/>
    <w:rsid w:val="001E44DC"/>
    <w:rsid w:val="001E4C14"/>
    <w:rsid w:val="001E5249"/>
    <w:rsid w:val="001E5AEB"/>
    <w:rsid w:val="001E5FC9"/>
    <w:rsid w:val="001E6420"/>
    <w:rsid w:val="001E67CA"/>
    <w:rsid w:val="001E6895"/>
    <w:rsid w:val="001E7DC9"/>
    <w:rsid w:val="001F0F7C"/>
    <w:rsid w:val="001F1409"/>
    <w:rsid w:val="001F15B2"/>
    <w:rsid w:val="001F1E1F"/>
    <w:rsid w:val="001F2810"/>
    <w:rsid w:val="001F393C"/>
    <w:rsid w:val="001F3A10"/>
    <w:rsid w:val="001F4E89"/>
    <w:rsid w:val="001F51BD"/>
    <w:rsid w:val="001F5244"/>
    <w:rsid w:val="001F5325"/>
    <w:rsid w:val="001F698F"/>
    <w:rsid w:val="001F6E6A"/>
    <w:rsid w:val="001F71A3"/>
    <w:rsid w:val="001F71AA"/>
    <w:rsid w:val="002001C1"/>
    <w:rsid w:val="00200326"/>
    <w:rsid w:val="00200B2C"/>
    <w:rsid w:val="00200F21"/>
    <w:rsid w:val="002052A7"/>
    <w:rsid w:val="00205717"/>
    <w:rsid w:val="00205AB3"/>
    <w:rsid w:val="0020609B"/>
    <w:rsid w:val="0020653F"/>
    <w:rsid w:val="00206B24"/>
    <w:rsid w:val="00207C41"/>
    <w:rsid w:val="002107F7"/>
    <w:rsid w:val="002114C5"/>
    <w:rsid w:val="00213F60"/>
    <w:rsid w:val="00214956"/>
    <w:rsid w:val="002150C8"/>
    <w:rsid w:val="00215EC9"/>
    <w:rsid w:val="0021634A"/>
    <w:rsid w:val="00220D7B"/>
    <w:rsid w:val="00222806"/>
    <w:rsid w:val="00222B20"/>
    <w:rsid w:val="002239FF"/>
    <w:rsid w:val="00223B46"/>
    <w:rsid w:val="002246A4"/>
    <w:rsid w:val="002253D5"/>
    <w:rsid w:val="00226951"/>
    <w:rsid w:val="00232F62"/>
    <w:rsid w:val="0023387E"/>
    <w:rsid w:val="00236B68"/>
    <w:rsid w:val="00237853"/>
    <w:rsid w:val="0024003A"/>
    <w:rsid w:val="002403CE"/>
    <w:rsid w:val="00241C1B"/>
    <w:rsid w:val="00242FF8"/>
    <w:rsid w:val="0024454F"/>
    <w:rsid w:val="0024459D"/>
    <w:rsid w:val="00245ACE"/>
    <w:rsid w:val="00246944"/>
    <w:rsid w:val="002477E2"/>
    <w:rsid w:val="0025061A"/>
    <w:rsid w:val="00253E23"/>
    <w:rsid w:val="0025464E"/>
    <w:rsid w:val="002554DA"/>
    <w:rsid w:val="00256E3B"/>
    <w:rsid w:val="00257B38"/>
    <w:rsid w:val="00257D30"/>
    <w:rsid w:val="00261A12"/>
    <w:rsid w:val="00261C0A"/>
    <w:rsid w:val="00261D59"/>
    <w:rsid w:val="002625F5"/>
    <w:rsid w:val="00264150"/>
    <w:rsid w:val="00266AA6"/>
    <w:rsid w:val="00270012"/>
    <w:rsid w:val="00270ECD"/>
    <w:rsid w:val="00271008"/>
    <w:rsid w:val="002711B2"/>
    <w:rsid w:val="00271478"/>
    <w:rsid w:val="002729F5"/>
    <w:rsid w:val="0027666A"/>
    <w:rsid w:val="00280E25"/>
    <w:rsid w:val="00281011"/>
    <w:rsid w:val="00282D87"/>
    <w:rsid w:val="00282F28"/>
    <w:rsid w:val="00284E3C"/>
    <w:rsid w:val="0028543A"/>
    <w:rsid w:val="0028549A"/>
    <w:rsid w:val="00285CB7"/>
    <w:rsid w:val="00286F89"/>
    <w:rsid w:val="0029426C"/>
    <w:rsid w:val="00294BD6"/>
    <w:rsid w:val="0029601A"/>
    <w:rsid w:val="002A0762"/>
    <w:rsid w:val="002A08FC"/>
    <w:rsid w:val="002A3706"/>
    <w:rsid w:val="002A5211"/>
    <w:rsid w:val="002B2AB3"/>
    <w:rsid w:val="002B2B27"/>
    <w:rsid w:val="002B461A"/>
    <w:rsid w:val="002B60F5"/>
    <w:rsid w:val="002B66B2"/>
    <w:rsid w:val="002B6E43"/>
    <w:rsid w:val="002B6EB2"/>
    <w:rsid w:val="002C2F35"/>
    <w:rsid w:val="002C3DFE"/>
    <w:rsid w:val="002C4DAE"/>
    <w:rsid w:val="002C61F5"/>
    <w:rsid w:val="002C68E0"/>
    <w:rsid w:val="002C6929"/>
    <w:rsid w:val="002C7054"/>
    <w:rsid w:val="002D324D"/>
    <w:rsid w:val="002D349B"/>
    <w:rsid w:val="002D5148"/>
    <w:rsid w:val="002D6F1D"/>
    <w:rsid w:val="002E169C"/>
    <w:rsid w:val="002E3E4F"/>
    <w:rsid w:val="002E43E8"/>
    <w:rsid w:val="002E4DC7"/>
    <w:rsid w:val="002E5CA8"/>
    <w:rsid w:val="002E732D"/>
    <w:rsid w:val="002E7EE3"/>
    <w:rsid w:val="002F13B1"/>
    <w:rsid w:val="002F4593"/>
    <w:rsid w:val="002F6ABB"/>
    <w:rsid w:val="00300B0C"/>
    <w:rsid w:val="00301835"/>
    <w:rsid w:val="00302C6E"/>
    <w:rsid w:val="00304E30"/>
    <w:rsid w:val="00304F91"/>
    <w:rsid w:val="00304FA9"/>
    <w:rsid w:val="003052FE"/>
    <w:rsid w:val="003067C4"/>
    <w:rsid w:val="00307CC0"/>
    <w:rsid w:val="00307ED1"/>
    <w:rsid w:val="003100EE"/>
    <w:rsid w:val="00311E15"/>
    <w:rsid w:val="00312B25"/>
    <w:rsid w:val="0031498B"/>
    <w:rsid w:val="0031500E"/>
    <w:rsid w:val="00315C1A"/>
    <w:rsid w:val="00315D5B"/>
    <w:rsid w:val="003218E1"/>
    <w:rsid w:val="00323C73"/>
    <w:rsid w:val="00331453"/>
    <w:rsid w:val="003314F5"/>
    <w:rsid w:val="003333DC"/>
    <w:rsid w:val="003363F0"/>
    <w:rsid w:val="00336B9E"/>
    <w:rsid w:val="00341523"/>
    <w:rsid w:val="00341AC6"/>
    <w:rsid w:val="00341C04"/>
    <w:rsid w:val="00342C3D"/>
    <w:rsid w:val="003431FF"/>
    <w:rsid w:val="00345065"/>
    <w:rsid w:val="003454C0"/>
    <w:rsid w:val="0034656A"/>
    <w:rsid w:val="00346B2F"/>
    <w:rsid w:val="00350F5C"/>
    <w:rsid w:val="00351764"/>
    <w:rsid w:val="00351ACA"/>
    <w:rsid w:val="0035358D"/>
    <w:rsid w:val="00355DAB"/>
    <w:rsid w:val="0036082C"/>
    <w:rsid w:val="00360A10"/>
    <w:rsid w:val="003644EA"/>
    <w:rsid w:val="003662DA"/>
    <w:rsid w:val="00366F77"/>
    <w:rsid w:val="003726C2"/>
    <w:rsid w:val="0037276C"/>
    <w:rsid w:val="00373534"/>
    <w:rsid w:val="00373614"/>
    <w:rsid w:val="0037632E"/>
    <w:rsid w:val="003769DA"/>
    <w:rsid w:val="003774F8"/>
    <w:rsid w:val="00377E71"/>
    <w:rsid w:val="003838C9"/>
    <w:rsid w:val="003844BB"/>
    <w:rsid w:val="00385A9B"/>
    <w:rsid w:val="0038707A"/>
    <w:rsid w:val="00392034"/>
    <w:rsid w:val="00394B3A"/>
    <w:rsid w:val="00395C4D"/>
    <w:rsid w:val="00395DC2"/>
    <w:rsid w:val="00396250"/>
    <w:rsid w:val="0039741B"/>
    <w:rsid w:val="003A1C46"/>
    <w:rsid w:val="003A2041"/>
    <w:rsid w:val="003A2287"/>
    <w:rsid w:val="003A428F"/>
    <w:rsid w:val="003A6CA1"/>
    <w:rsid w:val="003B1839"/>
    <w:rsid w:val="003B192E"/>
    <w:rsid w:val="003B23BD"/>
    <w:rsid w:val="003B28DC"/>
    <w:rsid w:val="003B3C40"/>
    <w:rsid w:val="003B5585"/>
    <w:rsid w:val="003B6576"/>
    <w:rsid w:val="003B65A4"/>
    <w:rsid w:val="003B6998"/>
    <w:rsid w:val="003C03B6"/>
    <w:rsid w:val="003C1687"/>
    <w:rsid w:val="003C17E4"/>
    <w:rsid w:val="003C33B4"/>
    <w:rsid w:val="003C49CF"/>
    <w:rsid w:val="003C4D18"/>
    <w:rsid w:val="003C5808"/>
    <w:rsid w:val="003C6705"/>
    <w:rsid w:val="003C704D"/>
    <w:rsid w:val="003D14E0"/>
    <w:rsid w:val="003D1CB2"/>
    <w:rsid w:val="003D2537"/>
    <w:rsid w:val="003D51A5"/>
    <w:rsid w:val="003D5455"/>
    <w:rsid w:val="003D60D7"/>
    <w:rsid w:val="003D6443"/>
    <w:rsid w:val="003D6537"/>
    <w:rsid w:val="003D7E24"/>
    <w:rsid w:val="003E4802"/>
    <w:rsid w:val="003E5090"/>
    <w:rsid w:val="003E58AA"/>
    <w:rsid w:val="003E5B30"/>
    <w:rsid w:val="003F2C9B"/>
    <w:rsid w:val="003F64F3"/>
    <w:rsid w:val="003F6692"/>
    <w:rsid w:val="003F6E5A"/>
    <w:rsid w:val="004000E7"/>
    <w:rsid w:val="0040039D"/>
    <w:rsid w:val="00400DF1"/>
    <w:rsid w:val="00400F6B"/>
    <w:rsid w:val="0040253A"/>
    <w:rsid w:val="004027D4"/>
    <w:rsid w:val="004028BA"/>
    <w:rsid w:val="004040A8"/>
    <w:rsid w:val="00404430"/>
    <w:rsid w:val="00405AE6"/>
    <w:rsid w:val="0040700F"/>
    <w:rsid w:val="00407AAA"/>
    <w:rsid w:val="004109EF"/>
    <w:rsid w:val="00411599"/>
    <w:rsid w:val="00411D6C"/>
    <w:rsid w:val="00413834"/>
    <w:rsid w:val="0041587E"/>
    <w:rsid w:val="00415D0F"/>
    <w:rsid w:val="00422885"/>
    <w:rsid w:val="0042291A"/>
    <w:rsid w:val="00424C5E"/>
    <w:rsid w:val="00426547"/>
    <w:rsid w:val="00430234"/>
    <w:rsid w:val="004313D4"/>
    <w:rsid w:val="00431BF6"/>
    <w:rsid w:val="00432171"/>
    <w:rsid w:val="00433921"/>
    <w:rsid w:val="00433E87"/>
    <w:rsid w:val="00434459"/>
    <w:rsid w:val="0043623F"/>
    <w:rsid w:val="0043742B"/>
    <w:rsid w:val="004406BB"/>
    <w:rsid w:val="00440AB7"/>
    <w:rsid w:val="004428D5"/>
    <w:rsid w:val="00443D67"/>
    <w:rsid w:val="004446E9"/>
    <w:rsid w:val="004456A0"/>
    <w:rsid w:val="00445DBC"/>
    <w:rsid w:val="0045115A"/>
    <w:rsid w:val="00451C4D"/>
    <w:rsid w:val="004528D0"/>
    <w:rsid w:val="00453D64"/>
    <w:rsid w:val="004541C9"/>
    <w:rsid w:val="00456DA7"/>
    <w:rsid w:val="00457697"/>
    <w:rsid w:val="00461013"/>
    <w:rsid w:val="00462E56"/>
    <w:rsid w:val="00463CAC"/>
    <w:rsid w:val="00464F83"/>
    <w:rsid w:val="0046622B"/>
    <w:rsid w:val="00467956"/>
    <w:rsid w:val="00470B9B"/>
    <w:rsid w:val="00470BE5"/>
    <w:rsid w:val="00471B45"/>
    <w:rsid w:val="00472935"/>
    <w:rsid w:val="0047412F"/>
    <w:rsid w:val="0047491D"/>
    <w:rsid w:val="004751E1"/>
    <w:rsid w:val="00476CF8"/>
    <w:rsid w:val="004835F4"/>
    <w:rsid w:val="0049021D"/>
    <w:rsid w:val="004905D3"/>
    <w:rsid w:val="0049530E"/>
    <w:rsid w:val="004977D8"/>
    <w:rsid w:val="00497C10"/>
    <w:rsid w:val="004A0589"/>
    <w:rsid w:val="004A1806"/>
    <w:rsid w:val="004A330C"/>
    <w:rsid w:val="004A431C"/>
    <w:rsid w:val="004A4904"/>
    <w:rsid w:val="004A7707"/>
    <w:rsid w:val="004B0593"/>
    <w:rsid w:val="004B1F24"/>
    <w:rsid w:val="004B3A78"/>
    <w:rsid w:val="004B7231"/>
    <w:rsid w:val="004B7513"/>
    <w:rsid w:val="004B75EC"/>
    <w:rsid w:val="004C11B0"/>
    <w:rsid w:val="004C37EC"/>
    <w:rsid w:val="004C751B"/>
    <w:rsid w:val="004C76A2"/>
    <w:rsid w:val="004C79FF"/>
    <w:rsid w:val="004D0391"/>
    <w:rsid w:val="004D1508"/>
    <w:rsid w:val="004D1509"/>
    <w:rsid w:val="004D15C0"/>
    <w:rsid w:val="004D2567"/>
    <w:rsid w:val="004D3212"/>
    <w:rsid w:val="004D47DB"/>
    <w:rsid w:val="004D4A7C"/>
    <w:rsid w:val="004D65CC"/>
    <w:rsid w:val="004D6866"/>
    <w:rsid w:val="004D6959"/>
    <w:rsid w:val="004D6979"/>
    <w:rsid w:val="004D6ECB"/>
    <w:rsid w:val="004D7843"/>
    <w:rsid w:val="004E0C40"/>
    <w:rsid w:val="004E0E28"/>
    <w:rsid w:val="004E3B84"/>
    <w:rsid w:val="004E3FA0"/>
    <w:rsid w:val="004E5A30"/>
    <w:rsid w:val="004E62C0"/>
    <w:rsid w:val="004E666F"/>
    <w:rsid w:val="004E77A3"/>
    <w:rsid w:val="004E7CE5"/>
    <w:rsid w:val="004F0BA0"/>
    <w:rsid w:val="004F4361"/>
    <w:rsid w:val="004F5736"/>
    <w:rsid w:val="004F62FC"/>
    <w:rsid w:val="004F63EA"/>
    <w:rsid w:val="00500FF5"/>
    <w:rsid w:val="005022FD"/>
    <w:rsid w:val="00502778"/>
    <w:rsid w:val="005033D3"/>
    <w:rsid w:val="00505D50"/>
    <w:rsid w:val="00506875"/>
    <w:rsid w:val="00507E67"/>
    <w:rsid w:val="0051175A"/>
    <w:rsid w:val="005145FB"/>
    <w:rsid w:val="005151B3"/>
    <w:rsid w:val="00516191"/>
    <w:rsid w:val="005162FA"/>
    <w:rsid w:val="00516D4D"/>
    <w:rsid w:val="00520153"/>
    <w:rsid w:val="00521273"/>
    <w:rsid w:val="00522FAA"/>
    <w:rsid w:val="005249DF"/>
    <w:rsid w:val="00527239"/>
    <w:rsid w:val="00527C41"/>
    <w:rsid w:val="00531174"/>
    <w:rsid w:val="00531AD0"/>
    <w:rsid w:val="00531AEB"/>
    <w:rsid w:val="00533410"/>
    <w:rsid w:val="00533420"/>
    <w:rsid w:val="00534D4B"/>
    <w:rsid w:val="00535835"/>
    <w:rsid w:val="00537138"/>
    <w:rsid w:val="0053753F"/>
    <w:rsid w:val="00537C53"/>
    <w:rsid w:val="0054087F"/>
    <w:rsid w:val="0054535E"/>
    <w:rsid w:val="005455A3"/>
    <w:rsid w:val="005515A1"/>
    <w:rsid w:val="00554F18"/>
    <w:rsid w:val="00557742"/>
    <w:rsid w:val="00557944"/>
    <w:rsid w:val="00557E4E"/>
    <w:rsid w:val="00563A68"/>
    <w:rsid w:val="0056420A"/>
    <w:rsid w:val="005677D7"/>
    <w:rsid w:val="0057142D"/>
    <w:rsid w:val="005722D1"/>
    <w:rsid w:val="0057398B"/>
    <w:rsid w:val="00573F8E"/>
    <w:rsid w:val="0057435F"/>
    <w:rsid w:val="0057791D"/>
    <w:rsid w:val="005805BF"/>
    <w:rsid w:val="00580604"/>
    <w:rsid w:val="00580877"/>
    <w:rsid w:val="005850D5"/>
    <w:rsid w:val="0058517C"/>
    <w:rsid w:val="00586104"/>
    <w:rsid w:val="00590339"/>
    <w:rsid w:val="005919CD"/>
    <w:rsid w:val="00592539"/>
    <w:rsid w:val="005928F3"/>
    <w:rsid w:val="0059312A"/>
    <w:rsid w:val="00593807"/>
    <w:rsid w:val="00595278"/>
    <w:rsid w:val="005952B8"/>
    <w:rsid w:val="00597347"/>
    <w:rsid w:val="005A0992"/>
    <w:rsid w:val="005A23AB"/>
    <w:rsid w:val="005A4508"/>
    <w:rsid w:val="005A64B2"/>
    <w:rsid w:val="005A6FCE"/>
    <w:rsid w:val="005A7E1B"/>
    <w:rsid w:val="005B1894"/>
    <w:rsid w:val="005B1D8F"/>
    <w:rsid w:val="005B30F2"/>
    <w:rsid w:val="005C04B7"/>
    <w:rsid w:val="005C09D7"/>
    <w:rsid w:val="005C11FC"/>
    <w:rsid w:val="005C238C"/>
    <w:rsid w:val="005C3B2D"/>
    <w:rsid w:val="005C3BA0"/>
    <w:rsid w:val="005C43D4"/>
    <w:rsid w:val="005C4606"/>
    <w:rsid w:val="005C4F41"/>
    <w:rsid w:val="005C526C"/>
    <w:rsid w:val="005C560C"/>
    <w:rsid w:val="005C6433"/>
    <w:rsid w:val="005C6A94"/>
    <w:rsid w:val="005D083E"/>
    <w:rsid w:val="005D1FE9"/>
    <w:rsid w:val="005D3C2A"/>
    <w:rsid w:val="005D705A"/>
    <w:rsid w:val="005D7DD9"/>
    <w:rsid w:val="005E0323"/>
    <w:rsid w:val="005E14FE"/>
    <w:rsid w:val="005E3CFC"/>
    <w:rsid w:val="005E4C13"/>
    <w:rsid w:val="005F1152"/>
    <w:rsid w:val="005F1942"/>
    <w:rsid w:val="005F219A"/>
    <w:rsid w:val="005F337D"/>
    <w:rsid w:val="005F3967"/>
    <w:rsid w:val="005F5823"/>
    <w:rsid w:val="005F7262"/>
    <w:rsid w:val="006032A6"/>
    <w:rsid w:val="00603CBF"/>
    <w:rsid w:val="00605F48"/>
    <w:rsid w:val="00606746"/>
    <w:rsid w:val="006109DF"/>
    <w:rsid w:val="00611016"/>
    <w:rsid w:val="00611416"/>
    <w:rsid w:val="00613C9A"/>
    <w:rsid w:val="0061450A"/>
    <w:rsid w:val="006160FC"/>
    <w:rsid w:val="006207DC"/>
    <w:rsid w:val="00620EF4"/>
    <w:rsid w:val="006220FA"/>
    <w:rsid w:val="0062339F"/>
    <w:rsid w:val="006233F1"/>
    <w:rsid w:val="006242A6"/>
    <w:rsid w:val="00625CF0"/>
    <w:rsid w:val="00627DD8"/>
    <w:rsid w:val="006320F2"/>
    <w:rsid w:val="006325B4"/>
    <w:rsid w:val="0063331D"/>
    <w:rsid w:val="00634EAB"/>
    <w:rsid w:val="006352FA"/>
    <w:rsid w:val="006353E0"/>
    <w:rsid w:val="006374FC"/>
    <w:rsid w:val="006421AB"/>
    <w:rsid w:val="00642FAF"/>
    <w:rsid w:val="00643C2B"/>
    <w:rsid w:val="0064682E"/>
    <w:rsid w:val="006500B3"/>
    <w:rsid w:val="00650601"/>
    <w:rsid w:val="00651629"/>
    <w:rsid w:val="00654121"/>
    <w:rsid w:val="00654743"/>
    <w:rsid w:val="006554E1"/>
    <w:rsid w:val="00655EC2"/>
    <w:rsid w:val="006631F6"/>
    <w:rsid w:val="00663232"/>
    <w:rsid w:val="00665142"/>
    <w:rsid w:val="00665CBE"/>
    <w:rsid w:val="00666948"/>
    <w:rsid w:val="00667DFB"/>
    <w:rsid w:val="0067012F"/>
    <w:rsid w:val="00670A25"/>
    <w:rsid w:val="006727B2"/>
    <w:rsid w:val="00672C44"/>
    <w:rsid w:val="0067446F"/>
    <w:rsid w:val="00677690"/>
    <w:rsid w:val="0068317E"/>
    <w:rsid w:val="00684129"/>
    <w:rsid w:val="006879F9"/>
    <w:rsid w:val="00691B19"/>
    <w:rsid w:val="00692925"/>
    <w:rsid w:val="00694A2B"/>
    <w:rsid w:val="00695032"/>
    <w:rsid w:val="0069631C"/>
    <w:rsid w:val="00696448"/>
    <w:rsid w:val="006A0809"/>
    <w:rsid w:val="006A0E24"/>
    <w:rsid w:val="006A3912"/>
    <w:rsid w:val="006A53AF"/>
    <w:rsid w:val="006A6007"/>
    <w:rsid w:val="006A60B2"/>
    <w:rsid w:val="006A6B03"/>
    <w:rsid w:val="006A6C78"/>
    <w:rsid w:val="006A7884"/>
    <w:rsid w:val="006B05EE"/>
    <w:rsid w:val="006B0DFA"/>
    <w:rsid w:val="006B1608"/>
    <w:rsid w:val="006B2469"/>
    <w:rsid w:val="006B4F8C"/>
    <w:rsid w:val="006B529B"/>
    <w:rsid w:val="006B7F1B"/>
    <w:rsid w:val="006C0335"/>
    <w:rsid w:val="006C280C"/>
    <w:rsid w:val="006C2A46"/>
    <w:rsid w:val="006C2D65"/>
    <w:rsid w:val="006C3456"/>
    <w:rsid w:val="006C62CF"/>
    <w:rsid w:val="006C72BF"/>
    <w:rsid w:val="006C7C15"/>
    <w:rsid w:val="006D0218"/>
    <w:rsid w:val="006D2693"/>
    <w:rsid w:val="006D45E9"/>
    <w:rsid w:val="006D5969"/>
    <w:rsid w:val="006D5A46"/>
    <w:rsid w:val="006D64A4"/>
    <w:rsid w:val="006E009E"/>
    <w:rsid w:val="006E097C"/>
    <w:rsid w:val="006E1F5C"/>
    <w:rsid w:val="006E2A2E"/>
    <w:rsid w:val="006E4CC5"/>
    <w:rsid w:val="006E517A"/>
    <w:rsid w:val="006E570A"/>
    <w:rsid w:val="006F1398"/>
    <w:rsid w:val="006F292A"/>
    <w:rsid w:val="006F577D"/>
    <w:rsid w:val="006F65F0"/>
    <w:rsid w:val="006F6EAF"/>
    <w:rsid w:val="006F7483"/>
    <w:rsid w:val="006F78DD"/>
    <w:rsid w:val="00702E71"/>
    <w:rsid w:val="00704FD7"/>
    <w:rsid w:val="00705221"/>
    <w:rsid w:val="00705524"/>
    <w:rsid w:val="0070572B"/>
    <w:rsid w:val="00705B26"/>
    <w:rsid w:val="00706297"/>
    <w:rsid w:val="00707A86"/>
    <w:rsid w:val="00710024"/>
    <w:rsid w:val="00710D46"/>
    <w:rsid w:val="007112AE"/>
    <w:rsid w:val="007112EF"/>
    <w:rsid w:val="00713C21"/>
    <w:rsid w:val="007140D6"/>
    <w:rsid w:val="007142CA"/>
    <w:rsid w:val="007144F8"/>
    <w:rsid w:val="00721D04"/>
    <w:rsid w:val="0072512E"/>
    <w:rsid w:val="007251F7"/>
    <w:rsid w:val="00734B3D"/>
    <w:rsid w:val="007371A9"/>
    <w:rsid w:val="007416BF"/>
    <w:rsid w:val="00743087"/>
    <w:rsid w:val="007436C2"/>
    <w:rsid w:val="00745AB9"/>
    <w:rsid w:val="00746C41"/>
    <w:rsid w:val="00747AD6"/>
    <w:rsid w:val="007508F9"/>
    <w:rsid w:val="00750B6B"/>
    <w:rsid w:val="00750BC4"/>
    <w:rsid w:val="00751361"/>
    <w:rsid w:val="00751BDD"/>
    <w:rsid w:val="00760942"/>
    <w:rsid w:val="0076210A"/>
    <w:rsid w:val="00764EE1"/>
    <w:rsid w:val="00765EBA"/>
    <w:rsid w:val="00766D11"/>
    <w:rsid w:val="00767DB6"/>
    <w:rsid w:val="00767E01"/>
    <w:rsid w:val="00772B77"/>
    <w:rsid w:val="00772DCC"/>
    <w:rsid w:val="00773F5C"/>
    <w:rsid w:val="00774095"/>
    <w:rsid w:val="007804AC"/>
    <w:rsid w:val="007812D4"/>
    <w:rsid w:val="0078143B"/>
    <w:rsid w:val="00782D35"/>
    <w:rsid w:val="00782F1F"/>
    <w:rsid w:val="007831FC"/>
    <w:rsid w:val="00783D6F"/>
    <w:rsid w:val="007857DF"/>
    <w:rsid w:val="00787545"/>
    <w:rsid w:val="00791435"/>
    <w:rsid w:val="007917D4"/>
    <w:rsid w:val="00791C30"/>
    <w:rsid w:val="007939ED"/>
    <w:rsid w:val="00793E3F"/>
    <w:rsid w:val="007951AC"/>
    <w:rsid w:val="0079676E"/>
    <w:rsid w:val="00796E72"/>
    <w:rsid w:val="007978FB"/>
    <w:rsid w:val="00797EC5"/>
    <w:rsid w:val="007A281A"/>
    <w:rsid w:val="007A2F34"/>
    <w:rsid w:val="007A35AE"/>
    <w:rsid w:val="007A3FAD"/>
    <w:rsid w:val="007A722B"/>
    <w:rsid w:val="007B035E"/>
    <w:rsid w:val="007B19F4"/>
    <w:rsid w:val="007B62AD"/>
    <w:rsid w:val="007B7585"/>
    <w:rsid w:val="007C01A6"/>
    <w:rsid w:val="007C032A"/>
    <w:rsid w:val="007C073B"/>
    <w:rsid w:val="007C108E"/>
    <w:rsid w:val="007C407C"/>
    <w:rsid w:val="007C618E"/>
    <w:rsid w:val="007C6A61"/>
    <w:rsid w:val="007C71CA"/>
    <w:rsid w:val="007C73AF"/>
    <w:rsid w:val="007D0101"/>
    <w:rsid w:val="007D0DA8"/>
    <w:rsid w:val="007D14B8"/>
    <w:rsid w:val="007D5671"/>
    <w:rsid w:val="007D578F"/>
    <w:rsid w:val="007D67CA"/>
    <w:rsid w:val="007D795F"/>
    <w:rsid w:val="007E0F09"/>
    <w:rsid w:val="007E529D"/>
    <w:rsid w:val="007E6873"/>
    <w:rsid w:val="007E788B"/>
    <w:rsid w:val="007F10C2"/>
    <w:rsid w:val="007F142A"/>
    <w:rsid w:val="007F1F4D"/>
    <w:rsid w:val="007F1FD4"/>
    <w:rsid w:val="007F2AE8"/>
    <w:rsid w:val="007F300A"/>
    <w:rsid w:val="007F3A41"/>
    <w:rsid w:val="007F5778"/>
    <w:rsid w:val="007F5792"/>
    <w:rsid w:val="007F6C6C"/>
    <w:rsid w:val="007F7A64"/>
    <w:rsid w:val="0080101B"/>
    <w:rsid w:val="008013A3"/>
    <w:rsid w:val="00801D70"/>
    <w:rsid w:val="0080247F"/>
    <w:rsid w:val="00802CB6"/>
    <w:rsid w:val="008052EA"/>
    <w:rsid w:val="008075D6"/>
    <w:rsid w:val="00810911"/>
    <w:rsid w:val="0081446D"/>
    <w:rsid w:val="0081452F"/>
    <w:rsid w:val="008150DB"/>
    <w:rsid w:val="008157A0"/>
    <w:rsid w:val="00817101"/>
    <w:rsid w:val="0081725B"/>
    <w:rsid w:val="00822061"/>
    <w:rsid w:val="008238ED"/>
    <w:rsid w:val="00824313"/>
    <w:rsid w:val="00825A8C"/>
    <w:rsid w:val="008263B0"/>
    <w:rsid w:val="00826893"/>
    <w:rsid w:val="00830E06"/>
    <w:rsid w:val="00832A36"/>
    <w:rsid w:val="00833EA3"/>
    <w:rsid w:val="0084040B"/>
    <w:rsid w:val="0084058B"/>
    <w:rsid w:val="00844A32"/>
    <w:rsid w:val="00845770"/>
    <w:rsid w:val="008462AA"/>
    <w:rsid w:val="0084720A"/>
    <w:rsid w:val="0085056D"/>
    <w:rsid w:val="00850C16"/>
    <w:rsid w:val="00851987"/>
    <w:rsid w:val="0085270B"/>
    <w:rsid w:val="00853E21"/>
    <w:rsid w:val="0085419F"/>
    <w:rsid w:val="00854430"/>
    <w:rsid w:val="00856DCA"/>
    <w:rsid w:val="0085736D"/>
    <w:rsid w:val="008608CB"/>
    <w:rsid w:val="00861868"/>
    <w:rsid w:val="00861C48"/>
    <w:rsid w:val="008620B7"/>
    <w:rsid w:val="0086427E"/>
    <w:rsid w:val="00864B0F"/>
    <w:rsid w:val="00864F31"/>
    <w:rsid w:val="00865251"/>
    <w:rsid w:val="0086624E"/>
    <w:rsid w:val="00867D9B"/>
    <w:rsid w:val="00870860"/>
    <w:rsid w:val="00870EC4"/>
    <w:rsid w:val="00871284"/>
    <w:rsid w:val="00872882"/>
    <w:rsid w:val="008742D0"/>
    <w:rsid w:val="0087435F"/>
    <w:rsid w:val="0087538B"/>
    <w:rsid w:val="00875CC8"/>
    <w:rsid w:val="00875E48"/>
    <w:rsid w:val="00876851"/>
    <w:rsid w:val="00877B96"/>
    <w:rsid w:val="00880109"/>
    <w:rsid w:val="0088186E"/>
    <w:rsid w:val="00882263"/>
    <w:rsid w:val="0088387A"/>
    <w:rsid w:val="008910FC"/>
    <w:rsid w:val="00891B35"/>
    <w:rsid w:val="00892514"/>
    <w:rsid w:val="008938F1"/>
    <w:rsid w:val="008946AB"/>
    <w:rsid w:val="0089537C"/>
    <w:rsid w:val="0089620E"/>
    <w:rsid w:val="0089677D"/>
    <w:rsid w:val="00897797"/>
    <w:rsid w:val="008977BE"/>
    <w:rsid w:val="008A16AF"/>
    <w:rsid w:val="008A2A14"/>
    <w:rsid w:val="008A2E53"/>
    <w:rsid w:val="008A3E5B"/>
    <w:rsid w:val="008A6C50"/>
    <w:rsid w:val="008A75C3"/>
    <w:rsid w:val="008B02D5"/>
    <w:rsid w:val="008B0E53"/>
    <w:rsid w:val="008B2A2C"/>
    <w:rsid w:val="008B4DD8"/>
    <w:rsid w:val="008C124E"/>
    <w:rsid w:val="008C21CE"/>
    <w:rsid w:val="008C2457"/>
    <w:rsid w:val="008C3068"/>
    <w:rsid w:val="008C7231"/>
    <w:rsid w:val="008C7D63"/>
    <w:rsid w:val="008D1F4D"/>
    <w:rsid w:val="008D29E8"/>
    <w:rsid w:val="008E1D9E"/>
    <w:rsid w:val="008E45AD"/>
    <w:rsid w:val="008E48A4"/>
    <w:rsid w:val="008E4B24"/>
    <w:rsid w:val="008E559D"/>
    <w:rsid w:val="008E64D6"/>
    <w:rsid w:val="008E6797"/>
    <w:rsid w:val="008E68DF"/>
    <w:rsid w:val="008E6951"/>
    <w:rsid w:val="008F1891"/>
    <w:rsid w:val="008F2B6D"/>
    <w:rsid w:val="00900DAC"/>
    <w:rsid w:val="00900DE7"/>
    <w:rsid w:val="00903F48"/>
    <w:rsid w:val="009042FE"/>
    <w:rsid w:val="0090711B"/>
    <w:rsid w:val="00907683"/>
    <w:rsid w:val="00907E48"/>
    <w:rsid w:val="00910523"/>
    <w:rsid w:val="00912372"/>
    <w:rsid w:val="00912B8A"/>
    <w:rsid w:val="00912C77"/>
    <w:rsid w:val="009135A9"/>
    <w:rsid w:val="0091591E"/>
    <w:rsid w:val="00915E92"/>
    <w:rsid w:val="009177FD"/>
    <w:rsid w:val="00917B84"/>
    <w:rsid w:val="0092373E"/>
    <w:rsid w:val="00930670"/>
    <w:rsid w:val="009355CB"/>
    <w:rsid w:val="009369DA"/>
    <w:rsid w:val="00942459"/>
    <w:rsid w:val="00942C08"/>
    <w:rsid w:val="00944342"/>
    <w:rsid w:val="009445F0"/>
    <w:rsid w:val="009460A3"/>
    <w:rsid w:val="00946E2C"/>
    <w:rsid w:val="00947D27"/>
    <w:rsid w:val="00952F7F"/>
    <w:rsid w:val="009532FC"/>
    <w:rsid w:val="00953F87"/>
    <w:rsid w:val="00954937"/>
    <w:rsid w:val="00955AEE"/>
    <w:rsid w:val="00960762"/>
    <w:rsid w:val="00961AA8"/>
    <w:rsid w:val="009620FD"/>
    <w:rsid w:val="00962CC2"/>
    <w:rsid w:val="00962EEB"/>
    <w:rsid w:val="00963879"/>
    <w:rsid w:val="00964B46"/>
    <w:rsid w:val="009661BC"/>
    <w:rsid w:val="00966821"/>
    <w:rsid w:val="00970C93"/>
    <w:rsid w:val="0097100D"/>
    <w:rsid w:val="00971FCA"/>
    <w:rsid w:val="00972834"/>
    <w:rsid w:val="00972E3E"/>
    <w:rsid w:val="009737B0"/>
    <w:rsid w:val="00974835"/>
    <w:rsid w:val="00980464"/>
    <w:rsid w:val="0098098D"/>
    <w:rsid w:val="009809B1"/>
    <w:rsid w:val="00984B78"/>
    <w:rsid w:val="00984E9A"/>
    <w:rsid w:val="009871FF"/>
    <w:rsid w:val="00987D0A"/>
    <w:rsid w:val="0099031F"/>
    <w:rsid w:val="00990BDF"/>
    <w:rsid w:val="00990C24"/>
    <w:rsid w:val="0099122B"/>
    <w:rsid w:val="00993606"/>
    <w:rsid w:val="009941FA"/>
    <w:rsid w:val="009A0F25"/>
    <w:rsid w:val="009A1C2F"/>
    <w:rsid w:val="009A24A8"/>
    <w:rsid w:val="009A2C95"/>
    <w:rsid w:val="009A32B0"/>
    <w:rsid w:val="009A3F22"/>
    <w:rsid w:val="009A50E0"/>
    <w:rsid w:val="009A7AC4"/>
    <w:rsid w:val="009B29B5"/>
    <w:rsid w:val="009B3267"/>
    <w:rsid w:val="009B4C51"/>
    <w:rsid w:val="009B5CA7"/>
    <w:rsid w:val="009C1015"/>
    <w:rsid w:val="009C1853"/>
    <w:rsid w:val="009C57CD"/>
    <w:rsid w:val="009C5D38"/>
    <w:rsid w:val="009C687E"/>
    <w:rsid w:val="009C7AC1"/>
    <w:rsid w:val="009C7EDC"/>
    <w:rsid w:val="009D06CD"/>
    <w:rsid w:val="009D4DD7"/>
    <w:rsid w:val="009D63EA"/>
    <w:rsid w:val="009D6D03"/>
    <w:rsid w:val="009D7160"/>
    <w:rsid w:val="009E05DA"/>
    <w:rsid w:val="009E18EB"/>
    <w:rsid w:val="009E3649"/>
    <w:rsid w:val="009E3949"/>
    <w:rsid w:val="009E6081"/>
    <w:rsid w:val="009E7F06"/>
    <w:rsid w:val="009F25AD"/>
    <w:rsid w:val="009F677C"/>
    <w:rsid w:val="009F7A5D"/>
    <w:rsid w:val="00A0307A"/>
    <w:rsid w:val="00A06323"/>
    <w:rsid w:val="00A1039D"/>
    <w:rsid w:val="00A103C6"/>
    <w:rsid w:val="00A106AD"/>
    <w:rsid w:val="00A1071E"/>
    <w:rsid w:val="00A10CB1"/>
    <w:rsid w:val="00A11AFD"/>
    <w:rsid w:val="00A1526C"/>
    <w:rsid w:val="00A15EE2"/>
    <w:rsid w:val="00A1647B"/>
    <w:rsid w:val="00A16A89"/>
    <w:rsid w:val="00A16EC0"/>
    <w:rsid w:val="00A17DAA"/>
    <w:rsid w:val="00A17DC1"/>
    <w:rsid w:val="00A218B6"/>
    <w:rsid w:val="00A21907"/>
    <w:rsid w:val="00A221B3"/>
    <w:rsid w:val="00A23E4F"/>
    <w:rsid w:val="00A25ACD"/>
    <w:rsid w:val="00A2617E"/>
    <w:rsid w:val="00A27D58"/>
    <w:rsid w:val="00A31469"/>
    <w:rsid w:val="00A31E1E"/>
    <w:rsid w:val="00A31F80"/>
    <w:rsid w:val="00A32525"/>
    <w:rsid w:val="00A32F4D"/>
    <w:rsid w:val="00A347CD"/>
    <w:rsid w:val="00A36D1D"/>
    <w:rsid w:val="00A37B80"/>
    <w:rsid w:val="00A37D4A"/>
    <w:rsid w:val="00A42061"/>
    <w:rsid w:val="00A42167"/>
    <w:rsid w:val="00A429FC"/>
    <w:rsid w:val="00A441D0"/>
    <w:rsid w:val="00A44819"/>
    <w:rsid w:val="00A47CE4"/>
    <w:rsid w:val="00A50D7F"/>
    <w:rsid w:val="00A51B60"/>
    <w:rsid w:val="00A51C8A"/>
    <w:rsid w:val="00A51D55"/>
    <w:rsid w:val="00A5548A"/>
    <w:rsid w:val="00A5703E"/>
    <w:rsid w:val="00A60201"/>
    <w:rsid w:val="00A606F1"/>
    <w:rsid w:val="00A61ECD"/>
    <w:rsid w:val="00A62A84"/>
    <w:rsid w:val="00A62BF5"/>
    <w:rsid w:val="00A63DC2"/>
    <w:rsid w:val="00A65FBD"/>
    <w:rsid w:val="00A739F0"/>
    <w:rsid w:val="00A74107"/>
    <w:rsid w:val="00A755C9"/>
    <w:rsid w:val="00A76F74"/>
    <w:rsid w:val="00A82244"/>
    <w:rsid w:val="00A822DC"/>
    <w:rsid w:val="00A85226"/>
    <w:rsid w:val="00A902C3"/>
    <w:rsid w:val="00A91575"/>
    <w:rsid w:val="00A91DA2"/>
    <w:rsid w:val="00A928C3"/>
    <w:rsid w:val="00A931FE"/>
    <w:rsid w:val="00A953C4"/>
    <w:rsid w:val="00AA0262"/>
    <w:rsid w:val="00AA03E0"/>
    <w:rsid w:val="00AA187B"/>
    <w:rsid w:val="00AA36B0"/>
    <w:rsid w:val="00AA3B1D"/>
    <w:rsid w:val="00AA43D4"/>
    <w:rsid w:val="00AA4841"/>
    <w:rsid w:val="00AA547E"/>
    <w:rsid w:val="00AA585D"/>
    <w:rsid w:val="00AA5CD8"/>
    <w:rsid w:val="00AA653C"/>
    <w:rsid w:val="00AB0B96"/>
    <w:rsid w:val="00AB0FE4"/>
    <w:rsid w:val="00AB2941"/>
    <w:rsid w:val="00AB30C8"/>
    <w:rsid w:val="00AC0C52"/>
    <w:rsid w:val="00AC1747"/>
    <w:rsid w:val="00AC3C31"/>
    <w:rsid w:val="00AC5A39"/>
    <w:rsid w:val="00AC70A8"/>
    <w:rsid w:val="00AD1436"/>
    <w:rsid w:val="00AD34F5"/>
    <w:rsid w:val="00AD4263"/>
    <w:rsid w:val="00AD448C"/>
    <w:rsid w:val="00AD5969"/>
    <w:rsid w:val="00AD6A57"/>
    <w:rsid w:val="00AD7AE3"/>
    <w:rsid w:val="00AE04C7"/>
    <w:rsid w:val="00AE17F3"/>
    <w:rsid w:val="00AE2765"/>
    <w:rsid w:val="00AE2781"/>
    <w:rsid w:val="00AE27D8"/>
    <w:rsid w:val="00AE36C5"/>
    <w:rsid w:val="00AE3DD1"/>
    <w:rsid w:val="00AE4170"/>
    <w:rsid w:val="00AE54E7"/>
    <w:rsid w:val="00AE62C3"/>
    <w:rsid w:val="00AE664C"/>
    <w:rsid w:val="00AF1027"/>
    <w:rsid w:val="00AF1DF6"/>
    <w:rsid w:val="00AF20B4"/>
    <w:rsid w:val="00AF438C"/>
    <w:rsid w:val="00AF4BA1"/>
    <w:rsid w:val="00AF563E"/>
    <w:rsid w:val="00AF733B"/>
    <w:rsid w:val="00B000D3"/>
    <w:rsid w:val="00B00ACC"/>
    <w:rsid w:val="00B016A0"/>
    <w:rsid w:val="00B03275"/>
    <w:rsid w:val="00B051EC"/>
    <w:rsid w:val="00B05575"/>
    <w:rsid w:val="00B061C7"/>
    <w:rsid w:val="00B07565"/>
    <w:rsid w:val="00B15637"/>
    <w:rsid w:val="00B15C23"/>
    <w:rsid w:val="00B17BC0"/>
    <w:rsid w:val="00B20559"/>
    <w:rsid w:val="00B20AB3"/>
    <w:rsid w:val="00B22A41"/>
    <w:rsid w:val="00B23C12"/>
    <w:rsid w:val="00B25094"/>
    <w:rsid w:val="00B2588C"/>
    <w:rsid w:val="00B30B40"/>
    <w:rsid w:val="00B310B1"/>
    <w:rsid w:val="00B34296"/>
    <w:rsid w:val="00B34F09"/>
    <w:rsid w:val="00B37483"/>
    <w:rsid w:val="00B375FE"/>
    <w:rsid w:val="00B40293"/>
    <w:rsid w:val="00B40EBB"/>
    <w:rsid w:val="00B41C18"/>
    <w:rsid w:val="00B41E1A"/>
    <w:rsid w:val="00B42DBF"/>
    <w:rsid w:val="00B43F2E"/>
    <w:rsid w:val="00B44B52"/>
    <w:rsid w:val="00B50146"/>
    <w:rsid w:val="00B50DD3"/>
    <w:rsid w:val="00B51D8C"/>
    <w:rsid w:val="00B52879"/>
    <w:rsid w:val="00B53268"/>
    <w:rsid w:val="00B538E5"/>
    <w:rsid w:val="00B53964"/>
    <w:rsid w:val="00B57637"/>
    <w:rsid w:val="00B57AF0"/>
    <w:rsid w:val="00B602CF"/>
    <w:rsid w:val="00B606F1"/>
    <w:rsid w:val="00B61034"/>
    <w:rsid w:val="00B62147"/>
    <w:rsid w:val="00B62A12"/>
    <w:rsid w:val="00B62B78"/>
    <w:rsid w:val="00B63BB9"/>
    <w:rsid w:val="00B65CF4"/>
    <w:rsid w:val="00B66F0A"/>
    <w:rsid w:val="00B7045B"/>
    <w:rsid w:val="00B71677"/>
    <w:rsid w:val="00B73B33"/>
    <w:rsid w:val="00B752D1"/>
    <w:rsid w:val="00B755BB"/>
    <w:rsid w:val="00B80279"/>
    <w:rsid w:val="00B841C9"/>
    <w:rsid w:val="00B8515E"/>
    <w:rsid w:val="00B8568F"/>
    <w:rsid w:val="00B868CF"/>
    <w:rsid w:val="00B879B6"/>
    <w:rsid w:val="00B91469"/>
    <w:rsid w:val="00B91F3B"/>
    <w:rsid w:val="00B924BB"/>
    <w:rsid w:val="00B92657"/>
    <w:rsid w:val="00B927B5"/>
    <w:rsid w:val="00B934C9"/>
    <w:rsid w:val="00B9488D"/>
    <w:rsid w:val="00B94986"/>
    <w:rsid w:val="00B95419"/>
    <w:rsid w:val="00B955A2"/>
    <w:rsid w:val="00BA5AE5"/>
    <w:rsid w:val="00BA6918"/>
    <w:rsid w:val="00BA694B"/>
    <w:rsid w:val="00BA7ED0"/>
    <w:rsid w:val="00BB1032"/>
    <w:rsid w:val="00BB5740"/>
    <w:rsid w:val="00BB5C81"/>
    <w:rsid w:val="00BB6AF8"/>
    <w:rsid w:val="00BC0DF2"/>
    <w:rsid w:val="00BC1C72"/>
    <w:rsid w:val="00BC342C"/>
    <w:rsid w:val="00BC43CD"/>
    <w:rsid w:val="00BC467C"/>
    <w:rsid w:val="00BC4A04"/>
    <w:rsid w:val="00BC4FA9"/>
    <w:rsid w:val="00BC6A6F"/>
    <w:rsid w:val="00BC720A"/>
    <w:rsid w:val="00BD031B"/>
    <w:rsid w:val="00BD0491"/>
    <w:rsid w:val="00BD0B15"/>
    <w:rsid w:val="00BD0BE5"/>
    <w:rsid w:val="00BD12BE"/>
    <w:rsid w:val="00BD24DE"/>
    <w:rsid w:val="00BD3B17"/>
    <w:rsid w:val="00BD4408"/>
    <w:rsid w:val="00BD5117"/>
    <w:rsid w:val="00BD5294"/>
    <w:rsid w:val="00BD69E7"/>
    <w:rsid w:val="00BD6FF5"/>
    <w:rsid w:val="00BD7277"/>
    <w:rsid w:val="00BD77EE"/>
    <w:rsid w:val="00BE4A6C"/>
    <w:rsid w:val="00BE4CDC"/>
    <w:rsid w:val="00BE4FC4"/>
    <w:rsid w:val="00BE5B19"/>
    <w:rsid w:val="00BE7610"/>
    <w:rsid w:val="00BF2F4B"/>
    <w:rsid w:val="00BF3B88"/>
    <w:rsid w:val="00BF4D0F"/>
    <w:rsid w:val="00BF4DD7"/>
    <w:rsid w:val="00BF5F70"/>
    <w:rsid w:val="00BF7A75"/>
    <w:rsid w:val="00C011D0"/>
    <w:rsid w:val="00C0255F"/>
    <w:rsid w:val="00C034B7"/>
    <w:rsid w:val="00C112BD"/>
    <w:rsid w:val="00C13D14"/>
    <w:rsid w:val="00C1543D"/>
    <w:rsid w:val="00C16CF0"/>
    <w:rsid w:val="00C206C2"/>
    <w:rsid w:val="00C2157D"/>
    <w:rsid w:val="00C21E88"/>
    <w:rsid w:val="00C24278"/>
    <w:rsid w:val="00C24B62"/>
    <w:rsid w:val="00C253EA"/>
    <w:rsid w:val="00C25D9E"/>
    <w:rsid w:val="00C27F44"/>
    <w:rsid w:val="00C30B70"/>
    <w:rsid w:val="00C332D7"/>
    <w:rsid w:val="00C42C75"/>
    <w:rsid w:val="00C441E4"/>
    <w:rsid w:val="00C44CF3"/>
    <w:rsid w:val="00C467F3"/>
    <w:rsid w:val="00C507D5"/>
    <w:rsid w:val="00C50ED2"/>
    <w:rsid w:val="00C5141D"/>
    <w:rsid w:val="00C53097"/>
    <w:rsid w:val="00C55F6B"/>
    <w:rsid w:val="00C577A2"/>
    <w:rsid w:val="00C61918"/>
    <w:rsid w:val="00C6339D"/>
    <w:rsid w:val="00C6390F"/>
    <w:rsid w:val="00C642DE"/>
    <w:rsid w:val="00C652E4"/>
    <w:rsid w:val="00C66057"/>
    <w:rsid w:val="00C71F44"/>
    <w:rsid w:val="00C75535"/>
    <w:rsid w:val="00C7569E"/>
    <w:rsid w:val="00C77D76"/>
    <w:rsid w:val="00C83B29"/>
    <w:rsid w:val="00C854F3"/>
    <w:rsid w:val="00C909DE"/>
    <w:rsid w:val="00C93074"/>
    <w:rsid w:val="00C94A75"/>
    <w:rsid w:val="00C9589B"/>
    <w:rsid w:val="00C96120"/>
    <w:rsid w:val="00C97DB6"/>
    <w:rsid w:val="00CA0571"/>
    <w:rsid w:val="00CA10DD"/>
    <w:rsid w:val="00CA25DC"/>
    <w:rsid w:val="00CA28A1"/>
    <w:rsid w:val="00CA5818"/>
    <w:rsid w:val="00CB0FFE"/>
    <w:rsid w:val="00CB2DA1"/>
    <w:rsid w:val="00CB3898"/>
    <w:rsid w:val="00CB42C3"/>
    <w:rsid w:val="00CB5539"/>
    <w:rsid w:val="00CB566D"/>
    <w:rsid w:val="00CC0269"/>
    <w:rsid w:val="00CC219D"/>
    <w:rsid w:val="00CC4632"/>
    <w:rsid w:val="00CC50BC"/>
    <w:rsid w:val="00CC57C5"/>
    <w:rsid w:val="00CC6D04"/>
    <w:rsid w:val="00CD0AF9"/>
    <w:rsid w:val="00CD120A"/>
    <w:rsid w:val="00CD1F41"/>
    <w:rsid w:val="00CD236D"/>
    <w:rsid w:val="00CD2C02"/>
    <w:rsid w:val="00CD2DE0"/>
    <w:rsid w:val="00CD302B"/>
    <w:rsid w:val="00CD32F8"/>
    <w:rsid w:val="00CD4A93"/>
    <w:rsid w:val="00CD5A4A"/>
    <w:rsid w:val="00CD6097"/>
    <w:rsid w:val="00CD6329"/>
    <w:rsid w:val="00CD71F6"/>
    <w:rsid w:val="00CE18DE"/>
    <w:rsid w:val="00CE2FD4"/>
    <w:rsid w:val="00CE34DA"/>
    <w:rsid w:val="00CE3C47"/>
    <w:rsid w:val="00CE4418"/>
    <w:rsid w:val="00CF0FBA"/>
    <w:rsid w:val="00CF17DE"/>
    <w:rsid w:val="00CF302D"/>
    <w:rsid w:val="00CF3CCC"/>
    <w:rsid w:val="00CF421D"/>
    <w:rsid w:val="00CF56CA"/>
    <w:rsid w:val="00CF5D09"/>
    <w:rsid w:val="00CF696F"/>
    <w:rsid w:val="00CF6A67"/>
    <w:rsid w:val="00D01600"/>
    <w:rsid w:val="00D02ECF"/>
    <w:rsid w:val="00D0484A"/>
    <w:rsid w:val="00D05257"/>
    <w:rsid w:val="00D07565"/>
    <w:rsid w:val="00D11062"/>
    <w:rsid w:val="00D113A4"/>
    <w:rsid w:val="00D137B9"/>
    <w:rsid w:val="00D1392F"/>
    <w:rsid w:val="00D15F87"/>
    <w:rsid w:val="00D16D52"/>
    <w:rsid w:val="00D17226"/>
    <w:rsid w:val="00D17BF0"/>
    <w:rsid w:val="00D20F6C"/>
    <w:rsid w:val="00D21CFE"/>
    <w:rsid w:val="00D249DF"/>
    <w:rsid w:val="00D27342"/>
    <w:rsid w:val="00D32240"/>
    <w:rsid w:val="00D3403F"/>
    <w:rsid w:val="00D340E3"/>
    <w:rsid w:val="00D40965"/>
    <w:rsid w:val="00D41027"/>
    <w:rsid w:val="00D41389"/>
    <w:rsid w:val="00D41BDD"/>
    <w:rsid w:val="00D44C8E"/>
    <w:rsid w:val="00D50D2A"/>
    <w:rsid w:val="00D515F8"/>
    <w:rsid w:val="00D51BBC"/>
    <w:rsid w:val="00D51BDD"/>
    <w:rsid w:val="00D52518"/>
    <w:rsid w:val="00D52F2C"/>
    <w:rsid w:val="00D55AED"/>
    <w:rsid w:val="00D567F4"/>
    <w:rsid w:val="00D5744B"/>
    <w:rsid w:val="00D57C9B"/>
    <w:rsid w:val="00D600F8"/>
    <w:rsid w:val="00D611E6"/>
    <w:rsid w:val="00D626F9"/>
    <w:rsid w:val="00D6301C"/>
    <w:rsid w:val="00D6658E"/>
    <w:rsid w:val="00D721CD"/>
    <w:rsid w:val="00D756CC"/>
    <w:rsid w:val="00D773B5"/>
    <w:rsid w:val="00D80E0F"/>
    <w:rsid w:val="00D81996"/>
    <w:rsid w:val="00D81EC0"/>
    <w:rsid w:val="00D82001"/>
    <w:rsid w:val="00D822FD"/>
    <w:rsid w:val="00D8414E"/>
    <w:rsid w:val="00D8592C"/>
    <w:rsid w:val="00D85AC2"/>
    <w:rsid w:val="00D8695B"/>
    <w:rsid w:val="00D92090"/>
    <w:rsid w:val="00D92389"/>
    <w:rsid w:val="00D92B1B"/>
    <w:rsid w:val="00D948DC"/>
    <w:rsid w:val="00D95F6B"/>
    <w:rsid w:val="00D96891"/>
    <w:rsid w:val="00D97AB1"/>
    <w:rsid w:val="00DA0CD6"/>
    <w:rsid w:val="00DA355B"/>
    <w:rsid w:val="00DA3C15"/>
    <w:rsid w:val="00DA6B3E"/>
    <w:rsid w:val="00DA7BBA"/>
    <w:rsid w:val="00DB0697"/>
    <w:rsid w:val="00DB08CE"/>
    <w:rsid w:val="00DB1F31"/>
    <w:rsid w:val="00DB213C"/>
    <w:rsid w:val="00DB241F"/>
    <w:rsid w:val="00DB36A4"/>
    <w:rsid w:val="00DB38F2"/>
    <w:rsid w:val="00DB3D9D"/>
    <w:rsid w:val="00DB4313"/>
    <w:rsid w:val="00DB4F0D"/>
    <w:rsid w:val="00DB5D30"/>
    <w:rsid w:val="00DB619F"/>
    <w:rsid w:val="00DB6F2C"/>
    <w:rsid w:val="00DC08A3"/>
    <w:rsid w:val="00DC0CFD"/>
    <w:rsid w:val="00DC572E"/>
    <w:rsid w:val="00DC5ECB"/>
    <w:rsid w:val="00DD1A78"/>
    <w:rsid w:val="00DD1D37"/>
    <w:rsid w:val="00DD5838"/>
    <w:rsid w:val="00DE075A"/>
    <w:rsid w:val="00DE3514"/>
    <w:rsid w:val="00DE48E8"/>
    <w:rsid w:val="00DE556C"/>
    <w:rsid w:val="00DE61AD"/>
    <w:rsid w:val="00DE7610"/>
    <w:rsid w:val="00DE7924"/>
    <w:rsid w:val="00DF0AB7"/>
    <w:rsid w:val="00DF1601"/>
    <w:rsid w:val="00DF2D91"/>
    <w:rsid w:val="00DF35CC"/>
    <w:rsid w:val="00DF406D"/>
    <w:rsid w:val="00DF4315"/>
    <w:rsid w:val="00DF4415"/>
    <w:rsid w:val="00DF44F2"/>
    <w:rsid w:val="00DF62F4"/>
    <w:rsid w:val="00DF6E38"/>
    <w:rsid w:val="00E02127"/>
    <w:rsid w:val="00E03020"/>
    <w:rsid w:val="00E04C23"/>
    <w:rsid w:val="00E061FA"/>
    <w:rsid w:val="00E070FA"/>
    <w:rsid w:val="00E106E5"/>
    <w:rsid w:val="00E10E4C"/>
    <w:rsid w:val="00E12330"/>
    <w:rsid w:val="00E1298A"/>
    <w:rsid w:val="00E14DC4"/>
    <w:rsid w:val="00E15826"/>
    <w:rsid w:val="00E16098"/>
    <w:rsid w:val="00E22414"/>
    <w:rsid w:val="00E25FE8"/>
    <w:rsid w:val="00E27888"/>
    <w:rsid w:val="00E3056A"/>
    <w:rsid w:val="00E313DF"/>
    <w:rsid w:val="00E348DE"/>
    <w:rsid w:val="00E36C66"/>
    <w:rsid w:val="00E36EB2"/>
    <w:rsid w:val="00E40351"/>
    <w:rsid w:val="00E40CE5"/>
    <w:rsid w:val="00E40DA3"/>
    <w:rsid w:val="00E41357"/>
    <w:rsid w:val="00E423DB"/>
    <w:rsid w:val="00E4393A"/>
    <w:rsid w:val="00E43EF5"/>
    <w:rsid w:val="00E46169"/>
    <w:rsid w:val="00E4703E"/>
    <w:rsid w:val="00E47DDE"/>
    <w:rsid w:val="00E51767"/>
    <w:rsid w:val="00E5547A"/>
    <w:rsid w:val="00E55630"/>
    <w:rsid w:val="00E56EE2"/>
    <w:rsid w:val="00E57D7D"/>
    <w:rsid w:val="00E61CE2"/>
    <w:rsid w:val="00E627B7"/>
    <w:rsid w:val="00E67165"/>
    <w:rsid w:val="00E6796D"/>
    <w:rsid w:val="00E67F11"/>
    <w:rsid w:val="00E70E1F"/>
    <w:rsid w:val="00E71708"/>
    <w:rsid w:val="00E7239D"/>
    <w:rsid w:val="00E72E4C"/>
    <w:rsid w:val="00E73164"/>
    <w:rsid w:val="00E74023"/>
    <w:rsid w:val="00E74054"/>
    <w:rsid w:val="00E74BC5"/>
    <w:rsid w:val="00E75B26"/>
    <w:rsid w:val="00E75E6F"/>
    <w:rsid w:val="00E77BE4"/>
    <w:rsid w:val="00E77CB0"/>
    <w:rsid w:val="00E77CEB"/>
    <w:rsid w:val="00E835BD"/>
    <w:rsid w:val="00E83975"/>
    <w:rsid w:val="00E83B67"/>
    <w:rsid w:val="00E84484"/>
    <w:rsid w:val="00E84CBF"/>
    <w:rsid w:val="00E86878"/>
    <w:rsid w:val="00E8754F"/>
    <w:rsid w:val="00E90A77"/>
    <w:rsid w:val="00E90ECF"/>
    <w:rsid w:val="00E91C2C"/>
    <w:rsid w:val="00E928CF"/>
    <w:rsid w:val="00E92B10"/>
    <w:rsid w:val="00E93C00"/>
    <w:rsid w:val="00E95BDE"/>
    <w:rsid w:val="00EA26C5"/>
    <w:rsid w:val="00EA3F20"/>
    <w:rsid w:val="00EA57A7"/>
    <w:rsid w:val="00EA5F36"/>
    <w:rsid w:val="00EB0DEA"/>
    <w:rsid w:val="00EB2A2D"/>
    <w:rsid w:val="00EB3AA9"/>
    <w:rsid w:val="00EB4159"/>
    <w:rsid w:val="00EB6349"/>
    <w:rsid w:val="00EB6676"/>
    <w:rsid w:val="00EC1FCD"/>
    <w:rsid w:val="00EC36C7"/>
    <w:rsid w:val="00EC5E27"/>
    <w:rsid w:val="00EC7104"/>
    <w:rsid w:val="00EC7720"/>
    <w:rsid w:val="00EC78E0"/>
    <w:rsid w:val="00ED56E2"/>
    <w:rsid w:val="00ED7C31"/>
    <w:rsid w:val="00EE1173"/>
    <w:rsid w:val="00EE321C"/>
    <w:rsid w:val="00EE3D78"/>
    <w:rsid w:val="00EE5A87"/>
    <w:rsid w:val="00EE6542"/>
    <w:rsid w:val="00EE690F"/>
    <w:rsid w:val="00EF0B7F"/>
    <w:rsid w:val="00EF2E41"/>
    <w:rsid w:val="00EF3B88"/>
    <w:rsid w:val="00EF47A4"/>
    <w:rsid w:val="00EF4A31"/>
    <w:rsid w:val="00EF5D76"/>
    <w:rsid w:val="00EF7D4D"/>
    <w:rsid w:val="00F0091A"/>
    <w:rsid w:val="00F035E1"/>
    <w:rsid w:val="00F03C15"/>
    <w:rsid w:val="00F102BD"/>
    <w:rsid w:val="00F10DB1"/>
    <w:rsid w:val="00F126B0"/>
    <w:rsid w:val="00F1292A"/>
    <w:rsid w:val="00F13028"/>
    <w:rsid w:val="00F1304D"/>
    <w:rsid w:val="00F13173"/>
    <w:rsid w:val="00F13763"/>
    <w:rsid w:val="00F170CD"/>
    <w:rsid w:val="00F17416"/>
    <w:rsid w:val="00F177F9"/>
    <w:rsid w:val="00F17EC7"/>
    <w:rsid w:val="00F22715"/>
    <w:rsid w:val="00F22AFA"/>
    <w:rsid w:val="00F23636"/>
    <w:rsid w:val="00F241AC"/>
    <w:rsid w:val="00F24996"/>
    <w:rsid w:val="00F24ED1"/>
    <w:rsid w:val="00F26BF7"/>
    <w:rsid w:val="00F27180"/>
    <w:rsid w:val="00F30704"/>
    <w:rsid w:val="00F30747"/>
    <w:rsid w:val="00F35738"/>
    <w:rsid w:val="00F36565"/>
    <w:rsid w:val="00F378A9"/>
    <w:rsid w:val="00F41F26"/>
    <w:rsid w:val="00F4241D"/>
    <w:rsid w:val="00F42848"/>
    <w:rsid w:val="00F4458A"/>
    <w:rsid w:val="00F44C1E"/>
    <w:rsid w:val="00F44FC5"/>
    <w:rsid w:val="00F459D1"/>
    <w:rsid w:val="00F51486"/>
    <w:rsid w:val="00F514D7"/>
    <w:rsid w:val="00F51F8B"/>
    <w:rsid w:val="00F53FA7"/>
    <w:rsid w:val="00F5422A"/>
    <w:rsid w:val="00F56BB9"/>
    <w:rsid w:val="00F5713B"/>
    <w:rsid w:val="00F572F1"/>
    <w:rsid w:val="00F66388"/>
    <w:rsid w:val="00F676A7"/>
    <w:rsid w:val="00F67A6A"/>
    <w:rsid w:val="00F71283"/>
    <w:rsid w:val="00F7143B"/>
    <w:rsid w:val="00F715E1"/>
    <w:rsid w:val="00F71906"/>
    <w:rsid w:val="00F72F13"/>
    <w:rsid w:val="00F76D07"/>
    <w:rsid w:val="00F7741B"/>
    <w:rsid w:val="00F80919"/>
    <w:rsid w:val="00F83389"/>
    <w:rsid w:val="00F84FA4"/>
    <w:rsid w:val="00F8620F"/>
    <w:rsid w:val="00F867C0"/>
    <w:rsid w:val="00F86F31"/>
    <w:rsid w:val="00F90B20"/>
    <w:rsid w:val="00F90D79"/>
    <w:rsid w:val="00F94014"/>
    <w:rsid w:val="00F95830"/>
    <w:rsid w:val="00F95D18"/>
    <w:rsid w:val="00F95FD9"/>
    <w:rsid w:val="00F967C3"/>
    <w:rsid w:val="00FA0A6B"/>
    <w:rsid w:val="00FA180A"/>
    <w:rsid w:val="00FA2208"/>
    <w:rsid w:val="00FA241B"/>
    <w:rsid w:val="00FA2CEA"/>
    <w:rsid w:val="00FA38DA"/>
    <w:rsid w:val="00FA4FEA"/>
    <w:rsid w:val="00FB075A"/>
    <w:rsid w:val="00FB2228"/>
    <w:rsid w:val="00FB23A1"/>
    <w:rsid w:val="00FB427F"/>
    <w:rsid w:val="00FB6557"/>
    <w:rsid w:val="00FB6CE4"/>
    <w:rsid w:val="00FB77D4"/>
    <w:rsid w:val="00FC0D5F"/>
    <w:rsid w:val="00FC2DE4"/>
    <w:rsid w:val="00FC3976"/>
    <w:rsid w:val="00FC4570"/>
    <w:rsid w:val="00FC4C58"/>
    <w:rsid w:val="00FC4F75"/>
    <w:rsid w:val="00FC568A"/>
    <w:rsid w:val="00FD18AC"/>
    <w:rsid w:val="00FD2473"/>
    <w:rsid w:val="00FD2577"/>
    <w:rsid w:val="00FD436F"/>
    <w:rsid w:val="00FD5B8E"/>
    <w:rsid w:val="00FD5BB0"/>
    <w:rsid w:val="00FD6CF3"/>
    <w:rsid w:val="00FD6F1E"/>
    <w:rsid w:val="00FD7089"/>
    <w:rsid w:val="00FD7104"/>
    <w:rsid w:val="00FE1860"/>
    <w:rsid w:val="00FE2953"/>
    <w:rsid w:val="00FE6C44"/>
    <w:rsid w:val="00FE6CAC"/>
    <w:rsid w:val="00FE761F"/>
    <w:rsid w:val="00FF30CF"/>
    <w:rsid w:val="00FF33E5"/>
    <w:rsid w:val="00FF3560"/>
    <w:rsid w:val="00FF4AFC"/>
    <w:rsid w:val="00FF7881"/>
    <w:rsid w:val="00FF78B9"/>
    <w:rsid w:val="02960000"/>
    <w:rsid w:val="03073B7F"/>
    <w:rsid w:val="0339D818"/>
    <w:rsid w:val="04FAC838"/>
    <w:rsid w:val="08CB20EA"/>
    <w:rsid w:val="0CEB4AC5"/>
    <w:rsid w:val="0DEDA953"/>
    <w:rsid w:val="0F069B70"/>
    <w:rsid w:val="1059FC04"/>
    <w:rsid w:val="12EE3726"/>
    <w:rsid w:val="1419CEE9"/>
    <w:rsid w:val="1542F155"/>
    <w:rsid w:val="15580485"/>
    <w:rsid w:val="159FF142"/>
    <w:rsid w:val="15E21854"/>
    <w:rsid w:val="15E6C40D"/>
    <w:rsid w:val="1E9D4DCF"/>
    <w:rsid w:val="24E083E4"/>
    <w:rsid w:val="2682DBA9"/>
    <w:rsid w:val="30588EC7"/>
    <w:rsid w:val="3085CF7E"/>
    <w:rsid w:val="30BE5C20"/>
    <w:rsid w:val="34BE6DAE"/>
    <w:rsid w:val="356E3080"/>
    <w:rsid w:val="376BBED7"/>
    <w:rsid w:val="3AD44ECD"/>
    <w:rsid w:val="413AE531"/>
    <w:rsid w:val="41C33348"/>
    <w:rsid w:val="44783017"/>
    <w:rsid w:val="5000CCF7"/>
    <w:rsid w:val="593B3A5E"/>
    <w:rsid w:val="5AA0E0F5"/>
    <w:rsid w:val="5C04659C"/>
    <w:rsid w:val="61C943AB"/>
    <w:rsid w:val="625935F5"/>
    <w:rsid w:val="6365140C"/>
    <w:rsid w:val="6601D972"/>
    <w:rsid w:val="669CB4CE"/>
    <w:rsid w:val="66E2E5E4"/>
    <w:rsid w:val="6F740D13"/>
    <w:rsid w:val="705B8819"/>
    <w:rsid w:val="7428CE45"/>
    <w:rsid w:val="7436A8CE"/>
    <w:rsid w:val="7605B0F7"/>
    <w:rsid w:val="77400025"/>
    <w:rsid w:val="7943CDE7"/>
    <w:rsid w:val="7B936F4D"/>
    <w:rsid w:val="7DC7F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C65DFF03-8384-471F-BEE2-2E52832FF62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A89"/>
    <w:rPr>
      <w:rFonts w:ascii="Palatino Linotype" w:hAnsi="Palatino Linotype"/>
      <w:sz w:val="24"/>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6"/>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6"/>
      </w:numPr>
      <w:spacing w:after="240"/>
    </w:p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4"/>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5"/>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unhideWhenUsed/>
    <w:rsid w:val="00E27888"/>
    <w:rPr>
      <w:sz w:val="16"/>
      <w:szCs w:val="16"/>
    </w:rPr>
  </w:style>
  <w:style w:type="paragraph" w:styleId="CommentText">
    <w:name w:val="annotation text"/>
    <w:basedOn w:val="Normal"/>
    <w:link w:val="CommentTextChar"/>
    <w:unhideWhenUsed/>
    <w:rsid w:val="00E27888"/>
    <w:rPr>
      <w:sz w:val="20"/>
    </w:rPr>
  </w:style>
  <w:style w:type="character" w:customStyle="1" w:styleId="CommentTextChar">
    <w:name w:val="Comment Text Char"/>
    <w:basedOn w:val="DefaultParagraphFont"/>
    <w:link w:val="CommentText"/>
    <w:rsid w:val="00E27888"/>
    <w:rPr>
      <w:rFonts w:ascii="Palatino" w:hAnsi="Palatino"/>
    </w:rPr>
  </w:style>
  <w:style w:type="paragraph" w:styleId="CommentSubject">
    <w:name w:val="annotation subject"/>
    <w:basedOn w:val="CommentText"/>
    <w:next w:val="CommentText"/>
    <w:link w:val="CommentSubjectChar"/>
    <w:semiHidden/>
    <w:unhideWhenUsed/>
    <w:rsid w:val="00E27888"/>
    <w:rPr>
      <w:b/>
      <w:bCs/>
    </w:rPr>
  </w:style>
  <w:style w:type="character" w:customStyle="1" w:styleId="CommentSubjectChar">
    <w:name w:val="Comment Subject Char"/>
    <w:basedOn w:val="CommentTextChar"/>
    <w:link w:val="CommentSubject"/>
    <w:semiHidden/>
    <w:rsid w:val="00E27888"/>
    <w:rPr>
      <w:rFonts w:ascii="Palatino" w:hAnsi="Palatino"/>
      <w:b/>
      <w:bCs/>
    </w:rPr>
  </w:style>
  <w:style w:type="table" w:styleId="TableGrid">
    <w:name w:val="Table Grid"/>
    <w:basedOn w:val="TableNormal"/>
    <w:rsid w:val="00EE1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E1173"/>
    <w:pPr>
      <w:keepNext/>
      <w:spacing w:before="120"/>
      <w:jc w:val="center"/>
    </w:pPr>
    <w:rPr>
      <w:b/>
      <w:iCs/>
      <w:szCs w:val="18"/>
    </w:rPr>
  </w:style>
  <w:style w:type="paragraph" w:styleId="NormalWeb">
    <w:name w:val="Normal (Web)"/>
    <w:basedOn w:val="Normal"/>
    <w:uiPriority w:val="99"/>
    <w:semiHidden/>
    <w:unhideWhenUsed/>
    <w:rsid w:val="00076871"/>
    <w:rPr>
      <w:rFonts w:ascii="Times New Roman" w:hAnsi="Times New Roman"/>
      <w:szCs w:val="24"/>
    </w:rPr>
  </w:style>
  <w:style w:type="paragraph" w:styleId="Revision">
    <w:name w:val="Revision"/>
    <w:hidden/>
    <w:uiPriority w:val="99"/>
    <w:semiHidden/>
    <w:rsid w:val="00355DAB"/>
    <w:rPr>
      <w:rFonts w:ascii="Palatino Linotype" w:hAnsi="Palatino Linotype"/>
      <w:sz w:val="24"/>
    </w:rPr>
  </w:style>
  <w:style w:type="character" w:styleId="Strong">
    <w:name w:val="Strong"/>
    <w:basedOn w:val="DefaultParagraphFont"/>
    <w:uiPriority w:val="22"/>
    <w:qFormat/>
    <w:rsid w:val="006554E1"/>
    <w:rPr>
      <w:b/>
      <w:bCs/>
    </w:rPr>
  </w:style>
  <w:style w:type="character" w:customStyle="1" w:styleId="FooterChar">
    <w:name w:val="Footer Char"/>
    <w:basedOn w:val="DefaultParagraphFont"/>
    <w:link w:val="Footer"/>
    <w:uiPriority w:val="99"/>
    <w:rsid w:val="00B602CF"/>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428118610">
      <w:bodyDiv w:val="1"/>
      <w:marLeft w:val="0"/>
      <w:marRight w:val="0"/>
      <w:marTop w:val="0"/>
      <w:marBottom w:val="0"/>
      <w:divBdr>
        <w:top w:val="none" w:sz="0" w:space="0" w:color="auto"/>
        <w:left w:val="none" w:sz="0" w:space="0" w:color="auto"/>
        <w:bottom w:val="none" w:sz="0" w:space="0" w:color="auto"/>
        <w:right w:val="none" w:sz="0" w:space="0" w:color="auto"/>
      </w:divBdr>
      <w:divsChild>
        <w:div w:id="622080839">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ariffsprd.socalgas.com/scg/tariffs/content/?utilId=SCG&amp;bookId=GAS&amp;sectId=G-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8" ma:contentTypeDescription="Create a new document." ma:contentTypeScope="" ma:versionID="aa5ccacd07e8af6d20adff4ed8c51ab3">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44a8edc6e080af2df33f4104e9195e8f"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F4D5-7357-4273-A47E-18BA59FD1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54526-F973-479E-9E6C-9A17D746A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AE118B-A6DC-45E7-BB8D-54B246C6E212}">
  <ds:schemaRefs>
    <ds:schemaRef ds:uri="http://schemas.microsoft.com/sharepoint/v3/contenttype/forms"/>
  </ds:schemaRefs>
</ds:datastoreItem>
</file>

<file path=customXml/itemProps4.xml><?xml version="1.0" encoding="utf-8"?>
<ds:datastoreItem xmlns:ds="http://schemas.openxmlformats.org/officeDocument/2006/customXml" ds:itemID="{6BDD8FB6-B88D-4BB8-947C-C315ACEAB67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3999</ap:Words>
  <ap:Characters>22796</ap:Characters>
  <ap:Application>Microsoft Office Word</ap:Application>
  <ap:DocSecurity>0</ap:DocSecurity>
  <ap:Lines>189</ap:Lines>
  <ap:Paragraphs>53</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26742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2026-07-08T15:35:01Z</dcterms:created>
  <dcterms:modified xsi:type="dcterms:W3CDTF">2026-07-08T15:35:01Z</dcterms:modified>
</cp:coreProperties>
</file>