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0AE0" w:rsidR="008023EF" w:rsidP="00D7074F" w:rsidRDefault="008023EF" w14:paraId="1E85E5ED" w14:textId="1D17307A">
      <w:pPr>
        <w:pStyle w:val="BodyText"/>
        <w:tabs>
          <w:tab w:val="left" w:pos="4320"/>
        </w:tabs>
        <w:ind w:firstLine="0"/>
        <w:rPr>
          <w:szCs w:val="26"/>
        </w:rPr>
      </w:pPr>
      <w:r w:rsidRPr="00020AE0">
        <w:rPr>
          <w:szCs w:val="26"/>
        </w:rPr>
        <w:t xml:space="preserve">Decision </w:t>
      </w:r>
      <w:r w:rsidRPr="006D7BE1" w:rsidR="006D7BE1">
        <w:rPr>
          <w:szCs w:val="26"/>
        </w:rPr>
        <w:t>26-07-033</w:t>
      </w:r>
      <w:r w:rsidR="006D7BE1">
        <w:rPr>
          <w:szCs w:val="26"/>
        </w:rPr>
        <w:tab/>
        <w:t>July 2, 2026</w:t>
      </w:r>
    </w:p>
    <w:bookmarkStart w:name="Initials" w:id="0"/>
    <w:bookmarkEnd w:id="0"/>
    <w:p w:rsidRPr="00020AE0" w:rsidR="008023EF" w:rsidRDefault="008023EF" w14:paraId="11D27A56" w14:textId="77777777">
      <w:pPr>
        <w:rPr>
          <w:szCs w:val="26"/>
        </w:rPr>
      </w:pPr>
      <w:r w:rsidRPr="00020AE0">
        <w:rPr>
          <w:szCs w:val="26"/>
        </w:rPr>
        <w:fldChar w:fldCharType="begin"/>
      </w:r>
      <w:r w:rsidRPr="00020AE0">
        <w:rPr>
          <w:szCs w:val="26"/>
        </w:rPr>
        <w:instrText xml:space="preserve"> ASK Initials "Enter your initials in all CAPS (e.g. ATTY)" [/d "ATTY"]Initials  \* MERGEFORMAT </w:instrText>
      </w:r>
      <w:r w:rsidRPr="00020AE0">
        <w:rPr>
          <w:szCs w:val="26"/>
        </w:rPr>
        <w:fldChar w:fldCharType="separate"/>
      </w:r>
      <w:r w:rsidRPr="00020AE0">
        <w:rPr>
          <w:szCs w:val="26"/>
        </w:rPr>
        <w:fldChar w:fldCharType="end"/>
      </w:r>
      <w:r w:rsidRPr="00020AE0">
        <w:rPr>
          <w:szCs w:val="26"/>
        </w:rPr>
        <w:t xml:space="preserve"> </w:t>
      </w:r>
    </w:p>
    <w:bookmarkStart w:name="AgendaNo" w:id="1"/>
    <w:bookmarkEnd w:id="1"/>
    <w:p w:rsidRPr="00020AE0" w:rsidR="008023EF" w:rsidP="00D7074F" w:rsidRDefault="008023EF" w14:paraId="52ABE26C" w14:textId="77777777">
      <w:pPr>
        <w:pStyle w:val="BriefHeading"/>
        <w:tabs>
          <w:tab w:val="clear" w:pos="5040"/>
        </w:tabs>
        <w:rPr>
          <w:sz w:val="26"/>
          <w:szCs w:val="26"/>
        </w:rPr>
      </w:pPr>
      <w:r w:rsidRPr="00020AE0">
        <w:rPr>
          <w:sz w:val="26"/>
          <w:szCs w:val="26"/>
        </w:rPr>
        <w:fldChar w:fldCharType="begin"/>
      </w:r>
      <w:r w:rsidRPr="00020AE0">
        <w:rPr>
          <w:sz w:val="26"/>
          <w:szCs w:val="26"/>
        </w:rPr>
        <w:instrText xml:space="preserve"> ASK AgendaNo "Enter the agenda item number (e.g. CA-4)" [/d "Agenda Item No."] \* MERGEFORMAT </w:instrText>
      </w:r>
      <w:r w:rsidRPr="00020AE0">
        <w:rPr>
          <w:sz w:val="26"/>
          <w:szCs w:val="26"/>
        </w:rPr>
        <w:fldChar w:fldCharType="separate"/>
      </w:r>
      <w:r w:rsidRPr="00020AE0">
        <w:rPr>
          <w:sz w:val="26"/>
          <w:szCs w:val="26"/>
        </w:rPr>
        <w:fldChar w:fldCharType="end"/>
      </w:r>
      <w:r w:rsidRPr="00020AE0">
        <w:rPr>
          <w:sz w:val="26"/>
          <w:szCs w:val="26"/>
        </w:rPr>
        <w:t>Before The Public Utilities Commission Of The State Of California</w:t>
      </w:r>
    </w:p>
    <w:p w:rsidRPr="00020AE0" w:rsidR="008023EF" w:rsidRDefault="008023EF" w14:paraId="271A3761" w14:textId="77777777">
      <w:pPr>
        <w:pStyle w:val="BriefHeading"/>
        <w:tabs>
          <w:tab w:val="clear" w:pos="5040"/>
        </w:tabs>
        <w:jc w:val="left"/>
        <w:rPr>
          <w:sz w:val="26"/>
          <w:szCs w:val="26"/>
        </w:rPr>
      </w:pPr>
    </w:p>
    <w:p w:rsidRPr="00020AE0" w:rsidR="008023EF" w:rsidP="00D7074F" w:rsidRDefault="008023EF" w14:paraId="33CB5E87" w14:textId="77777777">
      <w:pPr>
        <w:pStyle w:val="BriefHeading"/>
        <w:tabs>
          <w:tab w:val="clear" w:pos="5040"/>
        </w:tabs>
        <w:jc w:val="left"/>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428"/>
        <w:gridCol w:w="4428"/>
      </w:tblGrid>
      <w:tr w:rsidRPr="00020AE0" w:rsidR="008023EF" w14:paraId="107B353E" w14:textId="77777777">
        <w:tc>
          <w:tcPr>
            <w:tcW w:w="4428" w:type="dxa"/>
            <w:tcBorders>
              <w:top w:val="nil"/>
              <w:left w:val="nil"/>
              <w:bottom w:val="nil"/>
            </w:tcBorders>
          </w:tcPr>
          <w:p w:rsidRPr="00020AE0" w:rsidR="008023EF" w:rsidP="00D7074F" w:rsidRDefault="006C3BF0" w14:paraId="1BF6362A" w14:textId="72ACC32B">
            <w:pPr>
              <w:pStyle w:val="Caption"/>
              <w:tabs>
                <w:tab w:val="clear" w:pos="5040"/>
              </w:tabs>
              <w:rPr>
                <w:szCs w:val="26"/>
              </w:rPr>
            </w:pPr>
            <w:r>
              <w:rPr>
                <w:szCs w:val="26"/>
              </w:rPr>
              <w:t>Order Instituting Rulemaking Proceeding to Consider Amendments to General Order 133</w:t>
            </w:r>
            <w:r w:rsidR="00400C39">
              <w:rPr>
                <w:szCs w:val="26"/>
              </w:rPr>
              <w:t>.</w:t>
            </w:r>
            <w:r w:rsidRPr="00020AE0" w:rsidR="008023EF">
              <w:rPr>
                <w:szCs w:val="26"/>
              </w:rPr>
              <w:fldChar w:fldCharType="begin"/>
            </w:r>
            <w:r w:rsidRPr="00020AE0" w:rsidR="008023EF">
              <w:rPr>
                <w:szCs w:val="26"/>
              </w:rPr>
              <w:instrText xml:space="preserve"> FILLIN "Enter the caption for this decision.  If there is more than one case, separate with hard returns." [/d "Caption"] \* MERGEFORMAT </w:instrText>
            </w:r>
            <w:r w:rsidRPr="00020AE0" w:rsidR="008023EF">
              <w:rPr>
                <w:szCs w:val="26"/>
              </w:rPr>
              <w:fldChar w:fldCharType="end"/>
            </w:r>
          </w:p>
        </w:tc>
        <w:tc>
          <w:tcPr>
            <w:tcW w:w="4428" w:type="dxa"/>
            <w:tcBorders>
              <w:top w:val="nil"/>
              <w:bottom w:val="nil"/>
              <w:right w:val="nil"/>
            </w:tcBorders>
          </w:tcPr>
          <w:p w:rsidRPr="00020AE0" w:rsidR="008023EF" w:rsidP="001F1388" w:rsidRDefault="006C3BF0" w14:paraId="48EB9335" w14:textId="1F2166D4">
            <w:pPr>
              <w:pStyle w:val="Caption"/>
              <w:tabs>
                <w:tab w:val="clear" w:pos="5040"/>
              </w:tabs>
              <w:jc w:val="center"/>
              <w:rPr>
                <w:szCs w:val="26"/>
              </w:rPr>
            </w:pPr>
            <w:bookmarkStart w:name="Caption" w:id="2"/>
            <w:bookmarkStart w:name="CaseNo" w:id="3"/>
            <w:bookmarkEnd w:id="2"/>
            <w:bookmarkEnd w:id="3"/>
            <w:r>
              <w:rPr>
                <w:szCs w:val="26"/>
              </w:rPr>
              <w:t>R</w:t>
            </w:r>
            <w:r w:rsidR="00400C39">
              <w:rPr>
                <w:szCs w:val="26"/>
              </w:rPr>
              <w:t xml:space="preserve">ulemaking </w:t>
            </w:r>
            <w:r>
              <w:rPr>
                <w:szCs w:val="26"/>
              </w:rPr>
              <w:t>22-03-016</w:t>
            </w:r>
          </w:p>
        </w:tc>
      </w:tr>
      <w:tr w:rsidRPr="00020AE0" w:rsidR="008023EF" w14:paraId="5C051E95" w14:textId="77777777">
        <w:tc>
          <w:tcPr>
            <w:tcW w:w="4428" w:type="dxa"/>
            <w:tcBorders>
              <w:top w:val="nil"/>
              <w:left w:val="nil"/>
            </w:tcBorders>
          </w:tcPr>
          <w:p w:rsidRPr="00020AE0" w:rsidR="008023EF" w:rsidRDefault="008023EF" w14:paraId="61B64EF5" w14:textId="77777777">
            <w:pPr>
              <w:pStyle w:val="Caption"/>
              <w:rPr>
                <w:szCs w:val="26"/>
              </w:rPr>
            </w:pPr>
          </w:p>
        </w:tc>
        <w:tc>
          <w:tcPr>
            <w:tcW w:w="4428" w:type="dxa"/>
            <w:tcBorders>
              <w:top w:val="nil"/>
              <w:bottom w:val="nil"/>
              <w:right w:val="nil"/>
            </w:tcBorders>
          </w:tcPr>
          <w:p w:rsidRPr="00020AE0" w:rsidR="008023EF" w:rsidRDefault="008023EF" w14:paraId="29FFF921" w14:textId="77777777">
            <w:pPr>
              <w:pStyle w:val="Caption"/>
              <w:jc w:val="center"/>
              <w:rPr>
                <w:szCs w:val="26"/>
              </w:rPr>
            </w:pPr>
          </w:p>
        </w:tc>
      </w:tr>
    </w:tbl>
    <w:p w:rsidRPr="00020AE0" w:rsidR="008023EF" w:rsidP="00D7074F" w:rsidRDefault="008023EF" w14:paraId="4B7331CA" w14:textId="77777777">
      <w:pPr>
        <w:pStyle w:val="BriefHeading"/>
        <w:tabs>
          <w:tab w:val="clear" w:pos="5040"/>
        </w:tabs>
        <w:jc w:val="left"/>
        <w:rPr>
          <w:sz w:val="26"/>
          <w:szCs w:val="26"/>
        </w:rPr>
      </w:pPr>
    </w:p>
    <w:p w:rsidR="003B3293" w:rsidP="00D7074F" w:rsidRDefault="008023EF" w14:paraId="1E2C7D9E" w14:textId="77777777">
      <w:pPr>
        <w:pStyle w:val="BriefTitle"/>
        <w:tabs>
          <w:tab w:val="clear" w:pos="5040"/>
        </w:tabs>
        <w:rPr>
          <w:szCs w:val="26"/>
          <w:u w:val="single"/>
        </w:rPr>
      </w:pPr>
      <w:r w:rsidRPr="00006E1A">
        <w:rPr>
          <w:szCs w:val="26"/>
          <w:u w:val="single"/>
        </w:rPr>
        <w:t xml:space="preserve">ORDER </w:t>
      </w:r>
      <w:r w:rsidRPr="00006E1A" w:rsidR="0001476E">
        <w:rPr>
          <w:szCs w:val="26"/>
          <w:u w:val="single"/>
        </w:rPr>
        <w:t xml:space="preserve">MODIFYING </w:t>
      </w:r>
      <w:r w:rsidRPr="00006E1A" w:rsidR="00400C39">
        <w:rPr>
          <w:szCs w:val="26"/>
          <w:u w:val="single"/>
        </w:rPr>
        <w:t xml:space="preserve">DECISION 25-09-031 </w:t>
      </w:r>
      <w:r w:rsidRPr="00006E1A" w:rsidR="0001476E">
        <w:rPr>
          <w:szCs w:val="26"/>
          <w:u w:val="single"/>
        </w:rPr>
        <w:t xml:space="preserve">AND </w:t>
      </w:r>
    </w:p>
    <w:p w:rsidRPr="00006E1A" w:rsidR="008023EF" w:rsidP="00D7074F" w:rsidRDefault="008023EF" w14:paraId="1D49EF4C" w14:textId="137C2F3A">
      <w:pPr>
        <w:pStyle w:val="BriefTitle"/>
        <w:tabs>
          <w:tab w:val="clear" w:pos="5040"/>
        </w:tabs>
        <w:rPr>
          <w:szCs w:val="26"/>
          <w:u w:val="single"/>
        </w:rPr>
      </w:pPr>
      <w:r w:rsidRPr="00006E1A">
        <w:rPr>
          <w:szCs w:val="26"/>
          <w:u w:val="single"/>
        </w:rPr>
        <w:t>DENYING</w:t>
      </w:r>
      <w:r w:rsidRPr="00006E1A" w:rsidR="00400C39">
        <w:rPr>
          <w:szCs w:val="26"/>
          <w:u w:val="single"/>
        </w:rPr>
        <w:t xml:space="preserve"> REHEARING OF THE DECISION</w:t>
      </w:r>
      <w:r w:rsidRPr="00006E1A" w:rsidR="0001476E">
        <w:rPr>
          <w:szCs w:val="26"/>
          <w:u w:val="single"/>
        </w:rPr>
        <w:t xml:space="preserve"> AS MODIFIED</w:t>
      </w:r>
    </w:p>
    <w:p w:rsidRPr="00020AE0" w:rsidR="008023EF" w:rsidP="00D7074F" w:rsidRDefault="008023EF" w14:paraId="386DF314" w14:textId="77777777">
      <w:pPr>
        <w:pStyle w:val="BriefHeading"/>
        <w:tabs>
          <w:tab w:val="clear" w:pos="5040"/>
        </w:tabs>
        <w:spacing w:line="360" w:lineRule="auto"/>
        <w:jc w:val="left"/>
        <w:rPr>
          <w:sz w:val="26"/>
          <w:szCs w:val="26"/>
        </w:rPr>
      </w:pPr>
    </w:p>
    <w:p w:rsidR="000F4F2D" w:rsidP="000F4F2D" w:rsidRDefault="0001476E" w14:paraId="15B5B799" w14:textId="49CC8E83">
      <w:pPr>
        <w:pStyle w:val="BodyText"/>
      </w:pPr>
      <w:bookmarkStart w:name="Title" w:id="4"/>
      <w:bookmarkEnd w:id="4"/>
      <w:r>
        <w:t xml:space="preserve">This Order addresses the application for rehearing of Decision (D.) 25-09-031 </w:t>
      </w:r>
      <w:r w:rsidR="00BE187D">
        <w:t xml:space="preserve">(Decision) filed by </w:t>
      </w:r>
      <w:proofErr w:type="spellStart"/>
      <w:r w:rsidR="006F017B">
        <w:t>USTelecom</w:t>
      </w:r>
      <w:proofErr w:type="spellEnd"/>
      <w:r w:rsidR="006F017B">
        <w:t>-the Broadband Association and Pacific Bell Telephone Company D/B/A AT&amp;T California</w:t>
      </w:r>
      <w:r w:rsidR="00400C39">
        <w:t>,</w:t>
      </w:r>
      <w:r w:rsidR="006F017B">
        <w:t xml:space="preserve"> AT&amp;T Enterprises, LLC, and Teleport Communications America, LLC (collectively, the VoIP Providers) and </w:t>
      </w:r>
      <w:r w:rsidR="003D51D3">
        <w:t xml:space="preserve">the application for rehearing of the Decision filed </w:t>
      </w:r>
      <w:r w:rsidR="006F017B">
        <w:t>by CTIA and T-Mobile West LLC (collectively, the Wireless Parties).  The Decision adopted amendments to the Commission’s General Order (GO) 133</w:t>
      </w:r>
      <w:r w:rsidR="00400C39">
        <w:t>, which sets service quality standards for telecommunications services</w:t>
      </w:r>
      <w:r w:rsidR="001973BF">
        <w:t xml:space="preserve">.  </w:t>
      </w:r>
    </w:p>
    <w:p w:rsidR="001973BF" w:rsidP="000F4F2D" w:rsidRDefault="001973BF" w14:paraId="7362E2F4" w14:textId="1300BE5A">
      <w:pPr>
        <w:pStyle w:val="BodyText"/>
        <w:rPr>
          <w:szCs w:val="26"/>
        </w:rPr>
      </w:pPr>
      <w:r>
        <w:t xml:space="preserve">The VoIP Providers and the Wireless Parties both timely filed applications for rehearing on </w:t>
      </w:r>
      <w:r w:rsidR="00F42FC1">
        <w:t xml:space="preserve">October 27, 2025.  The VoIP Providers allege that the Decision erred by </w:t>
      </w:r>
      <w:r w:rsidR="00E947DC">
        <w:br/>
      </w:r>
      <w:r w:rsidR="001C7904">
        <w:rPr>
          <w:szCs w:val="26"/>
        </w:rPr>
        <w:t xml:space="preserve">(1) </w:t>
      </w:r>
      <w:r w:rsidRPr="009F5BC8" w:rsidR="001C7904">
        <w:rPr>
          <w:szCs w:val="26"/>
        </w:rPr>
        <w:t>not adequately establishing the need for, and not assessing the economic implications of, the service quality rules adopted in the Decision</w:t>
      </w:r>
      <w:r w:rsidR="001C7904">
        <w:rPr>
          <w:szCs w:val="26"/>
        </w:rPr>
        <w:t>; (2) lacking</w:t>
      </w:r>
      <w:r w:rsidRPr="00D63381" w:rsidR="001C7904">
        <w:rPr>
          <w:szCs w:val="26"/>
        </w:rPr>
        <w:t xml:space="preserve"> substantial evidence for the service quality rules adopted;</w:t>
      </w:r>
      <w:r w:rsidR="00C524DC">
        <w:rPr>
          <w:rStyle w:val="FootnoteReference"/>
          <w:szCs w:val="26"/>
        </w:rPr>
        <w:footnoteReference w:id="2"/>
      </w:r>
      <w:r w:rsidR="001C7904">
        <w:rPr>
          <w:szCs w:val="26"/>
        </w:rPr>
        <w:t xml:space="preserve"> </w:t>
      </w:r>
      <w:r w:rsidR="00400C39">
        <w:rPr>
          <w:szCs w:val="26"/>
        </w:rPr>
        <w:t xml:space="preserve">and </w:t>
      </w:r>
      <w:r w:rsidR="001C7904">
        <w:rPr>
          <w:szCs w:val="26"/>
        </w:rPr>
        <w:t xml:space="preserve">(3) </w:t>
      </w:r>
      <w:r w:rsidRPr="00D63381" w:rsidR="001C7904">
        <w:rPr>
          <w:szCs w:val="26"/>
        </w:rPr>
        <w:t>improperly address</w:t>
      </w:r>
      <w:r w:rsidR="001C7904">
        <w:rPr>
          <w:szCs w:val="26"/>
        </w:rPr>
        <w:t>ing</w:t>
      </w:r>
      <w:r w:rsidRPr="00D63381" w:rsidR="001C7904">
        <w:rPr>
          <w:szCs w:val="26"/>
        </w:rPr>
        <w:t xml:space="preserve"> issues relating to </w:t>
      </w:r>
      <w:r w:rsidR="00D3126D">
        <w:rPr>
          <w:szCs w:val="26"/>
        </w:rPr>
        <w:t>V</w:t>
      </w:r>
      <w:r w:rsidR="00400C39">
        <w:rPr>
          <w:szCs w:val="26"/>
        </w:rPr>
        <w:t xml:space="preserve">oice over </w:t>
      </w:r>
      <w:r w:rsidR="00D3126D">
        <w:rPr>
          <w:szCs w:val="26"/>
        </w:rPr>
        <w:t>I</w:t>
      </w:r>
      <w:r w:rsidR="00400C39">
        <w:rPr>
          <w:szCs w:val="26"/>
        </w:rPr>
        <w:t xml:space="preserve">nternet </w:t>
      </w:r>
      <w:r w:rsidR="00D3126D">
        <w:rPr>
          <w:szCs w:val="26"/>
        </w:rPr>
        <w:t>P</w:t>
      </w:r>
      <w:r w:rsidR="00400C39">
        <w:rPr>
          <w:szCs w:val="26"/>
        </w:rPr>
        <w:t>rotocol (</w:t>
      </w:r>
      <w:r w:rsidRPr="00D63381" w:rsidR="001C7904">
        <w:rPr>
          <w:szCs w:val="26"/>
        </w:rPr>
        <w:t>VoIP</w:t>
      </w:r>
      <w:r w:rsidR="00400C39">
        <w:rPr>
          <w:szCs w:val="26"/>
        </w:rPr>
        <w:t>)</w:t>
      </w:r>
      <w:r w:rsidRPr="00D63381" w:rsidR="001C7904">
        <w:rPr>
          <w:szCs w:val="26"/>
        </w:rPr>
        <w:t xml:space="preserve"> Installation and Out of Service Standards, which </w:t>
      </w:r>
      <w:r w:rsidR="001C7904">
        <w:rPr>
          <w:szCs w:val="26"/>
        </w:rPr>
        <w:t xml:space="preserve">the VoIP Providers argue </w:t>
      </w:r>
      <w:r w:rsidRPr="00D63381" w:rsidR="001C7904">
        <w:rPr>
          <w:szCs w:val="26"/>
        </w:rPr>
        <w:t xml:space="preserve">was deferred to </w:t>
      </w:r>
      <w:r w:rsidR="001C7904">
        <w:rPr>
          <w:szCs w:val="26"/>
        </w:rPr>
        <w:t>P</w:t>
      </w:r>
      <w:r w:rsidRPr="00D63381" w:rsidR="001C7904">
        <w:rPr>
          <w:szCs w:val="26"/>
        </w:rPr>
        <w:t>hase 2 of th</w:t>
      </w:r>
      <w:r w:rsidR="001C7904">
        <w:rPr>
          <w:szCs w:val="26"/>
        </w:rPr>
        <w:t>e</w:t>
      </w:r>
      <w:r w:rsidRPr="00D63381" w:rsidR="001C7904">
        <w:rPr>
          <w:szCs w:val="26"/>
        </w:rPr>
        <w:t xml:space="preserve"> proceeding</w:t>
      </w:r>
      <w:r w:rsidR="00400C39">
        <w:rPr>
          <w:szCs w:val="26"/>
        </w:rPr>
        <w:t>.  The VoIP Providers also allege</w:t>
      </w:r>
      <w:r w:rsidR="001C7904">
        <w:rPr>
          <w:szCs w:val="26"/>
        </w:rPr>
        <w:t xml:space="preserve"> that t</w:t>
      </w:r>
      <w:r w:rsidRPr="00046240" w:rsidR="001C7904">
        <w:rPr>
          <w:szCs w:val="26"/>
        </w:rPr>
        <w:t xml:space="preserve">hree of the individual rules </w:t>
      </w:r>
      <w:r w:rsidR="00400C39">
        <w:rPr>
          <w:szCs w:val="26"/>
        </w:rPr>
        <w:t>adopted</w:t>
      </w:r>
      <w:r w:rsidRPr="00046240" w:rsidR="00400C39">
        <w:rPr>
          <w:szCs w:val="26"/>
        </w:rPr>
        <w:t xml:space="preserve"> </w:t>
      </w:r>
      <w:r w:rsidRPr="00046240" w:rsidR="001C7904">
        <w:rPr>
          <w:szCs w:val="26"/>
        </w:rPr>
        <w:t>in the Decision are erroneous</w:t>
      </w:r>
      <w:r w:rsidR="001C7904">
        <w:rPr>
          <w:szCs w:val="26"/>
        </w:rPr>
        <w:t xml:space="preserve">. </w:t>
      </w:r>
      <w:r w:rsidR="001C7904">
        <w:rPr>
          <w:szCs w:val="26"/>
        </w:rPr>
        <w:lastRenderedPageBreak/>
        <w:t>Specifically, the VoIP Providers claim that t</w:t>
      </w:r>
      <w:r w:rsidRPr="00046240" w:rsidR="001C7904">
        <w:rPr>
          <w:szCs w:val="26"/>
        </w:rPr>
        <w:t>he Corrective Action Plan rule is an improper duplicative penalty;</w:t>
      </w:r>
      <w:r w:rsidR="001C7904">
        <w:rPr>
          <w:szCs w:val="26"/>
        </w:rPr>
        <w:t xml:space="preserve"> that t</w:t>
      </w:r>
      <w:r w:rsidRPr="00D3797D" w:rsidR="001C7904">
        <w:rPr>
          <w:szCs w:val="26"/>
        </w:rPr>
        <w:t xml:space="preserve">he Installation Standard is arbitrary and capricious and lacks substantial evidence supporting it; and </w:t>
      </w:r>
      <w:r w:rsidR="001C7904">
        <w:rPr>
          <w:szCs w:val="26"/>
        </w:rPr>
        <w:t>that t</w:t>
      </w:r>
      <w:r w:rsidRPr="00D3797D" w:rsidR="001C7904">
        <w:rPr>
          <w:szCs w:val="26"/>
        </w:rPr>
        <w:t>he fines and credits for</w:t>
      </w:r>
      <w:r w:rsidR="00400C39">
        <w:rPr>
          <w:szCs w:val="26"/>
        </w:rPr>
        <w:t xml:space="preserve"> the</w:t>
      </w:r>
      <w:r w:rsidRPr="00D3797D" w:rsidR="001C7904">
        <w:rPr>
          <w:szCs w:val="26"/>
        </w:rPr>
        <w:t xml:space="preserve"> </w:t>
      </w:r>
      <w:r w:rsidR="00400C39">
        <w:rPr>
          <w:szCs w:val="26"/>
        </w:rPr>
        <w:t xml:space="preserve">plain old telephone service </w:t>
      </w:r>
      <w:r w:rsidRPr="00D3797D" w:rsidR="001C7904">
        <w:rPr>
          <w:szCs w:val="26"/>
        </w:rPr>
        <w:t xml:space="preserve">and VoIP </w:t>
      </w:r>
      <w:r w:rsidR="00400C39">
        <w:rPr>
          <w:szCs w:val="26"/>
        </w:rPr>
        <w:t>Out of Service Standards</w:t>
      </w:r>
      <w:r w:rsidRPr="00D3797D" w:rsidR="001C7904">
        <w:rPr>
          <w:szCs w:val="26"/>
        </w:rPr>
        <w:t xml:space="preserve"> are not supported by the evidence and are therefore unlawful.</w:t>
      </w:r>
    </w:p>
    <w:p w:rsidR="001C7904" w:rsidP="000F4F2D" w:rsidRDefault="001C7904" w14:paraId="05BFBAE6" w14:textId="1F0474B9">
      <w:pPr>
        <w:pStyle w:val="BodyText"/>
        <w:rPr>
          <w:szCs w:val="26"/>
        </w:rPr>
      </w:pPr>
      <w:r>
        <w:rPr>
          <w:szCs w:val="26"/>
        </w:rPr>
        <w:t>The Wireless Parties allege that the Decision erred</w:t>
      </w:r>
      <w:r w:rsidR="00057847">
        <w:rPr>
          <w:szCs w:val="26"/>
        </w:rPr>
        <w:t>:</w:t>
      </w:r>
      <w:r w:rsidR="005045EC">
        <w:rPr>
          <w:szCs w:val="26"/>
        </w:rPr>
        <w:t xml:space="preserve"> (1) </w:t>
      </w:r>
      <w:r w:rsidR="00057847">
        <w:rPr>
          <w:szCs w:val="26"/>
        </w:rPr>
        <w:t>because the Decision’s</w:t>
      </w:r>
      <w:r w:rsidRPr="006B7BDA" w:rsidR="005045EC">
        <w:rPr>
          <w:szCs w:val="26"/>
        </w:rPr>
        <w:t xml:space="preserve"> </w:t>
      </w:r>
      <w:r w:rsidR="00057847">
        <w:rPr>
          <w:szCs w:val="26"/>
        </w:rPr>
        <w:t>references to wireless service, which the Wireless Parties refer to as “</w:t>
      </w:r>
      <w:r w:rsidRPr="006B7BDA" w:rsidR="005045EC">
        <w:rPr>
          <w:szCs w:val="26"/>
        </w:rPr>
        <w:t>Extraneous Wireless Material</w:t>
      </w:r>
      <w:r w:rsidR="00057847">
        <w:rPr>
          <w:szCs w:val="26"/>
        </w:rPr>
        <w:t>,”</w:t>
      </w:r>
      <w:r w:rsidRPr="006B7BDA" w:rsidR="005045EC">
        <w:rPr>
          <w:szCs w:val="26"/>
        </w:rPr>
        <w:t xml:space="preserve"> </w:t>
      </w:r>
      <w:r w:rsidR="00057847">
        <w:rPr>
          <w:szCs w:val="26"/>
        </w:rPr>
        <w:t>are</w:t>
      </w:r>
      <w:r w:rsidRPr="006B7BDA" w:rsidR="005045EC">
        <w:rPr>
          <w:szCs w:val="26"/>
        </w:rPr>
        <w:t xml:space="preserve"> inconsistent with the Commission’s choice to defer all wireless issues to Phase 2</w:t>
      </w:r>
      <w:r w:rsidR="00057847">
        <w:rPr>
          <w:szCs w:val="26"/>
        </w:rPr>
        <w:t xml:space="preserve"> and</w:t>
      </w:r>
      <w:r w:rsidR="005045EC">
        <w:rPr>
          <w:szCs w:val="26"/>
        </w:rPr>
        <w:t xml:space="preserve"> </w:t>
      </w:r>
      <w:r w:rsidRPr="006B7BDA" w:rsidR="005045EC">
        <w:rPr>
          <w:szCs w:val="26"/>
        </w:rPr>
        <w:t>prejudicial to the issues deferred to Phase 2; and</w:t>
      </w:r>
      <w:r w:rsidR="005045EC">
        <w:rPr>
          <w:szCs w:val="26"/>
        </w:rPr>
        <w:t xml:space="preserve"> (2) because the </w:t>
      </w:r>
      <w:r w:rsidR="00057847">
        <w:rPr>
          <w:szCs w:val="26"/>
        </w:rPr>
        <w:t>alleged</w:t>
      </w:r>
      <w:r w:rsidRPr="0017005B" w:rsidR="00057847">
        <w:rPr>
          <w:szCs w:val="26"/>
        </w:rPr>
        <w:t xml:space="preserve"> </w:t>
      </w:r>
      <w:r w:rsidR="00057847">
        <w:rPr>
          <w:szCs w:val="26"/>
        </w:rPr>
        <w:t>“</w:t>
      </w:r>
      <w:r w:rsidRPr="0017005B" w:rsidR="005045EC">
        <w:rPr>
          <w:szCs w:val="26"/>
        </w:rPr>
        <w:t>Extraneous Wireless Material</w:t>
      </w:r>
      <w:r w:rsidR="00057847">
        <w:rPr>
          <w:szCs w:val="26"/>
        </w:rPr>
        <w:t>”</w:t>
      </w:r>
      <w:r w:rsidRPr="0017005B" w:rsidR="005045EC">
        <w:rPr>
          <w:szCs w:val="26"/>
        </w:rPr>
        <w:t xml:space="preserve"> contains factual and legal errors.</w:t>
      </w:r>
    </w:p>
    <w:p w:rsidR="00C524DC" w:rsidP="00B64C0B" w:rsidRDefault="00057847" w14:paraId="38EF62DA" w14:textId="72E2BE62">
      <w:pPr>
        <w:pStyle w:val="BodyText"/>
        <w:rPr>
          <w:szCs w:val="26"/>
        </w:rPr>
      </w:pPr>
      <w:r w:rsidRPr="00057847">
        <w:rPr>
          <w:szCs w:val="26"/>
        </w:rPr>
        <w:t xml:space="preserve">The Center for Accessible Technology filed responses to both </w:t>
      </w:r>
      <w:r>
        <w:rPr>
          <w:szCs w:val="26"/>
        </w:rPr>
        <w:t>rehearing applications</w:t>
      </w:r>
      <w:r w:rsidRPr="00057847">
        <w:rPr>
          <w:szCs w:val="26"/>
        </w:rPr>
        <w:t xml:space="preserve"> on November 12, 2025.</w:t>
      </w:r>
    </w:p>
    <w:p w:rsidRPr="001C4F0E" w:rsidR="000F4F2D" w:rsidP="001C4F0E" w:rsidRDefault="00746307" w14:paraId="7C9A4988" w14:textId="6EB72BDD">
      <w:pPr>
        <w:pStyle w:val="BodyText"/>
        <w:rPr>
          <w:szCs w:val="26"/>
        </w:rPr>
      </w:pPr>
      <w:r>
        <w:rPr>
          <w:szCs w:val="26"/>
        </w:rPr>
        <w:t xml:space="preserve">We have carefully considered all the allegations of error raised in </w:t>
      </w:r>
      <w:r w:rsidR="00BB1D55">
        <w:rPr>
          <w:szCs w:val="26"/>
        </w:rPr>
        <w:t>both</w:t>
      </w:r>
      <w:r>
        <w:rPr>
          <w:szCs w:val="26"/>
        </w:rPr>
        <w:t xml:space="preserve"> rehearing applications.</w:t>
      </w:r>
      <w:r>
        <w:t xml:space="preserve"> </w:t>
      </w:r>
      <w:r w:rsidRPr="009E4BA6">
        <w:rPr>
          <w:szCs w:val="26"/>
        </w:rPr>
        <w:t xml:space="preserve"> </w:t>
      </w:r>
      <w:r>
        <w:rPr>
          <w:szCs w:val="26"/>
        </w:rPr>
        <w:t>We find that one modification</w:t>
      </w:r>
      <w:r w:rsidRPr="009E4BA6">
        <w:rPr>
          <w:szCs w:val="26"/>
        </w:rPr>
        <w:t xml:space="preserve"> to the </w:t>
      </w:r>
      <w:r>
        <w:rPr>
          <w:szCs w:val="26"/>
        </w:rPr>
        <w:t>D</w:t>
      </w:r>
      <w:r w:rsidRPr="009E4BA6">
        <w:rPr>
          <w:szCs w:val="26"/>
        </w:rPr>
        <w:t xml:space="preserve">ecision </w:t>
      </w:r>
      <w:r>
        <w:rPr>
          <w:szCs w:val="26"/>
        </w:rPr>
        <w:t>is</w:t>
      </w:r>
      <w:r w:rsidRPr="009E4BA6">
        <w:rPr>
          <w:szCs w:val="26"/>
        </w:rPr>
        <w:t xml:space="preserve"> warranted</w:t>
      </w:r>
      <w:r>
        <w:rPr>
          <w:szCs w:val="26"/>
        </w:rPr>
        <w:t xml:space="preserve"> to correct a citation error</w:t>
      </w:r>
      <w:r w:rsidR="000F13DF">
        <w:rPr>
          <w:szCs w:val="26"/>
        </w:rPr>
        <w:t>.  As modified, we do not find grounds for rehearing.</w:t>
      </w:r>
      <w:r w:rsidR="00D3126D">
        <w:rPr>
          <w:szCs w:val="26"/>
        </w:rPr>
        <w:t xml:space="preserve">  (See </w:t>
      </w:r>
      <w:r w:rsidR="00D3126D">
        <w:t xml:space="preserve">Pub. Util. </w:t>
      </w:r>
      <w:r w:rsidR="00E947DC">
        <w:br/>
      </w:r>
      <w:r w:rsidR="00D3126D">
        <w:t>Code, § 1732; Cal. Code Regs., tit. 20, § 16.1, subd. (c).)</w:t>
      </w:r>
      <w:r w:rsidR="000F13DF">
        <w:rPr>
          <w:szCs w:val="26"/>
        </w:rPr>
        <w:t xml:space="preserve">  Therefore, rehearing of the Decision is denied.  </w:t>
      </w:r>
    </w:p>
    <w:p w:rsidR="008023EF" w:rsidRDefault="00A847EB" w14:paraId="2D2B115A" w14:textId="2B050C54">
      <w:pPr>
        <w:pStyle w:val="BodyText10"/>
        <w:ind w:firstLine="1440"/>
        <w:rPr>
          <w:szCs w:val="26"/>
        </w:rPr>
      </w:pPr>
      <w:r>
        <w:rPr>
          <w:b/>
          <w:bCs/>
          <w:szCs w:val="26"/>
        </w:rPr>
        <w:t>THEREFORE,</w:t>
      </w:r>
      <w:r w:rsidRPr="00020AE0" w:rsidR="008023EF">
        <w:rPr>
          <w:szCs w:val="26"/>
        </w:rPr>
        <w:t xml:space="preserve"> </w:t>
      </w:r>
      <w:r w:rsidRPr="00020AE0" w:rsidR="008023EF">
        <w:rPr>
          <w:b/>
          <w:szCs w:val="26"/>
        </w:rPr>
        <w:t>IT IS ORDERED</w:t>
      </w:r>
      <w:r w:rsidRPr="00020AE0" w:rsidR="008023EF">
        <w:rPr>
          <w:szCs w:val="26"/>
        </w:rPr>
        <w:t xml:space="preserve"> that: </w:t>
      </w:r>
    </w:p>
    <w:p w:rsidR="000F13DF" w:rsidP="003B3293" w:rsidRDefault="000F13DF" w14:paraId="5D479E00" w14:textId="2CBC299D">
      <w:pPr>
        <w:pStyle w:val="BodyText10"/>
        <w:numPr>
          <w:ilvl w:val="0"/>
          <w:numId w:val="4"/>
        </w:numPr>
        <w:ind w:left="0" w:firstLine="1080"/>
        <w:rPr>
          <w:szCs w:val="26"/>
        </w:rPr>
      </w:pPr>
      <w:r>
        <w:rPr>
          <w:szCs w:val="26"/>
        </w:rPr>
        <w:t>Decision 25-</w:t>
      </w:r>
      <w:r w:rsidR="006819F0">
        <w:rPr>
          <w:szCs w:val="26"/>
        </w:rPr>
        <w:t xml:space="preserve">09-031 is modified as follows: </w:t>
      </w:r>
    </w:p>
    <w:p w:rsidR="00E947DC" w:rsidP="003B3293" w:rsidRDefault="00EC063B" w14:paraId="146EDB2C" w14:textId="77777777">
      <w:pPr>
        <w:pStyle w:val="BodyText"/>
        <w:overflowPunct/>
        <w:autoSpaceDE/>
        <w:autoSpaceDN/>
        <w:adjustRightInd/>
        <w:spacing w:after="120" w:line="240" w:lineRule="auto"/>
        <w:ind w:left="1440" w:right="1440" w:firstLine="0"/>
        <w:textAlignment w:val="auto"/>
      </w:pPr>
      <w:r>
        <w:t xml:space="preserve">On page 115, </w:t>
      </w:r>
      <w:r w:rsidR="00D3126D">
        <w:t xml:space="preserve">the first sentence </w:t>
      </w:r>
      <w:r>
        <w:t xml:space="preserve">in the last paragraph, which reads as follows: “Frontier and the Small LECs argue the proposed customer refund violates Pub. Util. Code Section 453.5(a) and Pub. Util. Code Section 453.5(b), which require refunds to apply equally to all customers.” </w:t>
      </w:r>
      <w:r w:rsidR="004C246F">
        <w:t>is deleted</w:t>
      </w:r>
      <w:r w:rsidR="00057847">
        <w:t>.</w:t>
      </w:r>
    </w:p>
    <w:p w:rsidR="00E947DC" w:rsidP="00C31AB2" w:rsidRDefault="004C246F" w14:paraId="48CB9090" w14:textId="77777777">
      <w:pPr>
        <w:pStyle w:val="BodyText10"/>
        <w:ind w:left="1440" w:firstLine="0"/>
      </w:pPr>
      <w:r w:rsidRPr="00C31AB2">
        <w:rPr>
          <w:szCs w:val="26"/>
        </w:rPr>
        <w:t>The</w:t>
      </w:r>
      <w:r>
        <w:t xml:space="preserve"> </w:t>
      </w:r>
      <w:r w:rsidRPr="00EF71CB">
        <w:rPr>
          <w:szCs w:val="26"/>
        </w:rPr>
        <w:t>following</w:t>
      </w:r>
      <w:r>
        <w:t xml:space="preserve"> is added in its place: </w:t>
      </w:r>
    </w:p>
    <w:p w:rsidR="006819F0" w:rsidP="003B3293" w:rsidRDefault="00EC063B" w14:paraId="492F6611" w14:textId="3874094B">
      <w:pPr>
        <w:pStyle w:val="BodyText"/>
        <w:overflowPunct/>
        <w:autoSpaceDE/>
        <w:autoSpaceDN/>
        <w:adjustRightInd/>
        <w:spacing w:after="120" w:line="240" w:lineRule="auto"/>
        <w:ind w:left="1440" w:right="1440" w:firstLine="0"/>
        <w:textAlignment w:val="auto"/>
      </w:pPr>
      <w:r>
        <w:t>“Frontier and the Small LECs argue the proposed customer refund violates Pub. Util. Code Section</w:t>
      </w:r>
      <w:r w:rsidR="00D3126D">
        <w:t>s</w:t>
      </w:r>
      <w:r>
        <w:t xml:space="preserve"> 453(a) and (b), which require refunds to apply equally to all customers.”</w:t>
      </w:r>
    </w:p>
    <w:p w:rsidR="00057847" w:rsidP="003B3293" w:rsidRDefault="00D3126D" w14:paraId="2E4B0D70" w14:textId="51522A5E">
      <w:pPr>
        <w:pStyle w:val="BodyText10"/>
        <w:numPr>
          <w:ilvl w:val="0"/>
          <w:numId w:val="4"/>
        </w:numPr>
        <w:ind w:left="0" w:firstLine="1080"/>
      </w:pPr>
      <w:r>
        <w:t>As modified, t</w:t>
      </w:r>
      <w:r w:rsidR="00057847">
        <w:t>he applications for rehearing of Decision 25-09-031</w:t>
      </w:r>
      <w:r>
        <w:t xml:space="preserve"> </w:t>
      </w:r>
      <w:r w:rsidR="00057847">
        <w:t>are denied.</w:t>
      </w:r>
    </w:p>
    <w:p w:rsidR="0010771B" w:rsidP="0010771B" w:rsidRDefault="0010771B" w14:paraId="1D4BEDC7" w14:textId="77777777">
      <w:pPr>
        <w:pStyle w:val="BodyText10"/>
        <w:ind w:firstLine="0"/>
      </w:pPr>
    </w:p>
    <w:p w:rsidRPr="004C246F" w:rsidR="00057847" w:rsidP="00C31AB2" w:rsidRDefault="00057847" w14:paraId="574D81B2" w14:textId="3BB4CE25">
      <w:pPr>
        <w:pStyle w:val="BodyText10"/>
        <w:numPr>
          <w:ilvl w:val="0"/>
          <w:numId w:val="4"/>
        </w:numPr>
        <w:ind w:left="1440"/>
      </w:pPr>
      <w:r>
        <w:lastRenderedPageBreak/>
        <w:t>Rulemaking 22-03-016 is closed.</w:t>
      </w:r>
    </w:p>
    <w:p w:rsidRPr="00020AE0" w:rsidR="008023EF" w:rsidP="008F210B" w:rsidRDefault="008023EF" w14:paraId="391C9585" w14:textId="5BDB8788">
      <w:pPr>
        <w:pStyle w:val="BodyText10"/>
        <w:ind w:firstLine="1440"/>
        <w:rPr>
          <w:szCs w:val="26"/>
        </w:rPr>
      </w:pPr>
      <w:r w:rsidRPr="00020AE0">
        <w:rPr>
          <w:szCs w:val="26"/>
        </w:rPr>
        <w:t>This order is effective today.</w:t>
      </w:r>
    </w:p>
    <w:p w:rsidRPr="00020AE0" w:rsidR="008023EF" w:rsidP="008F210B" w:rsidRDefault="008023EF" w14:paraId="18A0EE67" w14:textId="2159B5E9">
      <w:pPr>
        <w:pStyle w:val="BodyText10"/>
        <w:ind w:firstLine="1440"/>
        <w:rPr>
          <w:szCs w:val="26"/>
        </w:rPr>
      </w:pPr>
      <w:r w:rsidRPr="00020AE0">
        <w:rPr>
          <w:szCs w:val="26"/>
        </w:rPr>
        <w:t>Dated</w:t>
      </w:r>
      <w:r w:rsidR="00E947DC">
        <w:rPr>
          <w:szCs w:val="26"/>
        </w:rPr>
        <w:t>:</w:t>
      </w:r>
      <w:r w:rsidR="00E947DC">
        <w:rPr>
          <w:szCs w:val="26"/>
        </w:rPr>
        <w:tab/>
      </w:r>
      <w:r w:rsidR="008D2FF9">
        <w:rPr>
          <w:szCs w:val="26"/>
        </w:rPr>
        <w:t xml:space="preserve">July </w:t>
      </w:r>
      <w:r w:rsidR="00E97876">
        <w:rPr>
          <w:szCs w:val="26"/>
        </w:rPr>
        <w:t>2</w:t>
      </w:r>
      <w:r w:rsidR="008D2FF9">
        <w:rPr>
          <w:szCs w:val="26"/>
        </w:rPr>
        <w:t xml:space="preserve">, </w:t>
      </w:r>
      <w:r w:rsidR="00E947DC">
        <w:rPr>
          <w:szCs w:val="26"/>
        </w:rPr>
        <w:t>2026</w:t>
      </w:r>
      <w:r w:rsidR="004C246F">
        <w:rPr>
          <w:szCs w:val="26"/>
        </w:rPr>
        <w:t>,</w:t>
      </w:r>
      <w:r w:rsidRPr="00020AE0">
        <w:rPr>
          <w:szCs w:val="26"/>
        </w:rPr>
        <w:t xml:space="preserve"> at </w:t>
      </w:r>
      <w:r w:rsidR="001B60D9">
        <w:rPr>
          <w:szCs w:val="26"/>
        </w:rPr>
        <w:t>Fort Bragg</w:t>
      </w:r>
      <w:r w:rsidRPr="00020AE0">
        <w:rPr>
          <w:szCs w:val="26"/>
        </w:rPr>
        <w:t>, California.</w:t>
      </w:r>
    </w:p>
    <w:p w:rsidR="008D2FF9" w:rsidP="008D2FF9" w:rsidRDefault="008D2FF9" w14:paraId="53B6AAE6" w14:textId="77777777">
      <w:pPr>
        <w:pStyle w:val="Standard"/>
        <w:tabs>
          <w:tab w:val="clear" w:pos="5040"/>
        </w:tabs>
        <w:overflowPunct w:val="0"/>
        <w:spacing w:line="360" w:lineRule="auto"/>
        <w:ind w:left="1440"/>
        <w:textAlignment w:val="auto"/>
      </w:pPr>
    </w:p>
    <w:p w:rsidR="008D2FF9" w:rsidP="008D2FF9" w:rsidRDefault="008D2FF9" w14:paraId="21C713EC" w14:textId="77777777">
      <w:pPr>
        <w:pStyle w:val="Standard"/>
        <w:overflowPunct w:val="0"/>
        <w:ind w:left="4320"/>
        <w:textAlignment w:val="auto"/>
      </w:pPr>
      <w:r>
        <w:t>JOHN REYNOLDS</w:t>
      </w:r>
    </w:p>
    <w:p w:rsidR="008D2FF9" w:rsidP="008D2FF9" w:rsidRDefault="008D2FF9" w14:paraId="6D53FA75" w14:textId="77777777">
      <w:pPr>
        <w:pStyle w:val="Standard"/>
        <w:tabs>
          <w:tab w:val="clear" w:pos="5040"/>
          <w:tab w:val="left" w:pos="5850"/>
        </w:tabs>
        <w:overflowPunct w:val="0"/>
        <w:ind w:left="4320"/>
        <w:textAlignment w:val="auto"/>
      </w:pPr>
      <w:r>
        <w:tab/>
        <w:t>President</w:t>
      </w:r>
    </w:p>
    <w:p w:rsidR="008D2FF9" w:rsidP="008D2FF9" w:rsidRDefault="008D2FF9" w14:paraId="49BC3D69" w14:textId="77777777">
      <w:pPr>
        <w:pStyle w:val="Standard"/>
        <w:overflowPunct w:val="0"/>
        <w:ind w:left="4320"/>
        <w:textAlignment w:val="auto"/>
      </w:pPr>
    </w:p>
    <w:p w:rsidR="008D2FF9" w:rsidP="008D2FF9" w:rsidRDefault="008D2FF9" w14:paraId="558CB5FE" w14:textId="77777777">
      <w:pPr>
        <w:pStyle w:val="Standard"/>
        <w:overflowPunct w:val="0"/>
        <w:ind w:left="4320"/>
        <w:textAlignment w:val="auto"/>
      </w:pPr>
      <w:r>
        <w:t>DARCIE L. HOUCK</w:t>
      </w:r>
    </w:p>
    <w:p w:rsidR="008D2FF9" w:rsidP="008D2FF9" w:rsidRDefault="008D2FF9" w14:paraId="122EAABE" w14:textId="77777777">
      <w:pPr>
        <w:pStyle w:val="Standard"/>
        <w:overflowPunct w:val="0"/>
        <w:ind w:left="4320"/>
        <w:textAlignment w:val="auto"/>
      </w:pPr>
      <w:r>
        <w:t>KAREN DOUGLAS</w:t>
      </w:r>
    </w:p>
    <w:p w:rsidR="008D2FF9" w:rsidP="008D2FF9" w:rsidRDefault="008D2FF9" w14:paraId="2358E9DB" w14:textId="77777777">
      <w:pPr>
        <w:pStyle w:val="Standard"/>
        <w:tabs>
          <w:tab w:val="clear" w:pos="5040"/>
          <w:tab w:val="left" w:pos="5850"/>
        </w:tabs>
        <w:overflowPunct w:val="0"/>
        <w:ind w:left="4320"/>
        <w:textAlignment w:val="auto"/>
      </w:pPr>
      <w:r>
        <w:tab/>
        <w:t>Commissioners</w:t>
      </w:r>
    </w:p>
    <w:p w:rsidR="008D2FF9" w:rsidP="008D2FF9" w:rsidRDefault="008D2FF9" w14:paraId="25103E31" w14:textId="77777777">
      <w:pPr>
        <w:pStyle w:val="Standard"/>
        <w:overflowPunct w:val="0"/>
        <w:ind w:left="4320"/>
        <w:textAlignment w:val="auto"/>
      </w:pPr>
      <w:r>
        <w:t xml:space="preserve">Commissioner Matthew Baker recused himself and did not participate in the vote </w:t>
      </w:r>
      <w:proofErr w:type="gramStart"/>
      <w:r>
        <w:t>of</w:t>
      </w:r>
      <w:proofErr w:type="gramEnd"/>
      <w:r>
        <w:t xml:space="preserve"> this item.</w:t>
      </w:r>
    </w:p>
    <w:p w:rsidR="008D2FF9" w:rsidP="008D2FF9" w:rsidRDefault="008D2FF9" w14:paraId="7B2EAA26" w14:textId="77777777">
      <w:pPr>
        <w:pStyle w:val="Standard"/>
        <w:overflowPunct w:val="0"/>
        <w:ind w:left="4320"/>
        <w:textAlignment w:val="auto"/>
      </w:pPr>
    </w:p>
    <w:p w:rsidRPr="002B4582" w:rsidR="008D2FF9" w:rsidP="008D2FF9" w:rsidRDefault="008D2FF9" w14:paraId="48427787" w14:textId="77777777">
      <w:pPr>
        <w:pStyle w:val="Standard"/>
        <w:overflowPunct w:val="0"/>
        <w:ind w:left="4320"/>
        <w:textAlignment w:val="auto"/>
      </w:pPr>
      <w:r>
        <w:t xml:space="preserve">Commissioner Christine </w:t>
      </w:r>
      <w:proofErr w:type="gramStart"/>
      <w:r>
        <w:t>Harada</w:t>
      </w:r>
      <w:proofErr w:type="gramEnd"/>
      <w:r>
        <w:t xml:space="preserve"> being </w:t>
      </w:r>
      <w:proofErr w:type="gramStart"/>
      <w:r>
        <w:t>absent</w:t>
      </w:r>
      <w:proofErr w:type="gramEnd"/>
      <w:r>
        <w:t xml:space="preserve"> did not participate in the vote of this item.</w:t>
      </w:r>
    </w:p>
    <w:p w:rsidRPr="00020AE0" w:rsidR="008023EF" w:rsidRDefault="008023EF" w14:paraId="5C6719A0" w14:textId="77777777">
      <w:pPr>
        <w:pStyle w:val="Footer"/>
        <w:tabs>
          <w:tab w:val="clear" w:pos="4320"/>
          <w:tab w:val="clear" w:pos="5040"/>
          <w:tab w:val="clear" w:pos="8640"/>
        </w:tabs>
        <w:rPr>
          <w:szCs w:val="26"/>
        </w:rPr>
      </w:pPr>
    </w:p>
    <w:sectPr w:rsidRPr="00020AE0" w:rsidR="008023EF" w:rsidSect="00020AE0">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490D" w14:textId="77777777" w:rsidR="00D81CF0" w:rsidRDefault="00D81CF0">
      <w:r>
        <w:separator/>
      </w:r>
    </w:p>
  </w:endnote>
  <w:endnote w:type="continuationSeparator" w:id="0">
    <w:p w14:paraId="622DF417" w14:textId="77777777" w:rsidR="00D81CF0" w:rsidRDefault="00D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834" w14:textId="03123A8A" w:rsidR="00C8412E" w:rsidRDefault="00F13718" w:rsidP="006D7BE1">
    <w:pPr>
      <w:pStyle w:val="Footer"/>
      <w:tabs>
        <w:tab w:val="clear" w:pos="5040"/>
        <w:tab w:val="clear" w:pos="8640"/>
      </w:tabs>
    </w:pPr>
    <w:r w:rsidRPr="00F13718">
      <w:rPr>
        <w:sz w:val="20"/>
      </w:rPr>
      <w:t>610673062</w:t>
    </w:r>
    <w:r w:rsidR="006D7BE1">
      <w:rPr>
        <w:sz w:val="20"/>
      </w:rPr>
      <w:tab/>
    </w:r>
    <w:r w:rsidR="006D7BE1" w:rsidRPr="006D7BE1">
      <w:rPr>
        <w:sz w:val="20"/>
      </w:rPr>
      <w:fldChar w:fldCharType="begin"/>
    </w:r>
    <w:r w:rsidR="006D7BE1" w:rsidRPr="006D7BE1">
      <w:rPr>
        <w:sz w:val="20"/>
      </w:rPr>
      <w:instrText xml:space="preserve"> PAGE   \* MERGEFORMAT </w:instrText>
    </w:r>
    <w:r w:rsidR="006D7BE1" w:rsidRPr="006D7BE1">
      <w:rPr>
        <w:sz w:val="20"/>
      </w:rPr>
      <w:fldChar w:fldCharType="separate"/>
    </w:r>
    <w:r w:rsidR="006D7BE1" w:rsidRPr="006D7BE1">
      <w:rPr>
        <w:noProof/>
        <w:sz w:val="20"/>
      </w:rPr>
      <w:t>1</w:t>
    </w:r>
    <w:r w:rsidR="006D7BE1" w:rsidRPr="006D7BE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67A" w14:textId="776185E8" w:rsidR="00020AE0" w:rsidRPr="00020AE0" w:rsidRDefault="00F13718" w:rsidP="00C8412E">
    <w:pPr>
      <w:pStyle w:val="Footer"/>
      <w:tabs>
        <w:tab w:val="clear" w:pos="5040"/>
        <w:tab w:val="clear" w:pos="8640"/>
      </w:tabs>
      <w:rPr>
        <w:sz w:val="24"/>
        <w:szCs w:val="24"/>
      </w:rPr>
    </w:pPr>
    <w:r w:rsidRPr="00F13718">
      <w:rPr>
        <w:sz w:val="20"/>
      </w:rPr>
      <w:t>610673062</w:t>
    </w:r>
    <w:r w:rsidR="003C0982">
      <w:rPr>
        <w:sz w:val="24"/>
        <w:szCs w:val="24"/>
      </w:rPr>
      <w:tab/>
    </w:r>
    <w:r w:rsidR="00020AE0" w:rsidRPr="00020AE0">
      <w:rPr>
        <w:sz w:val="24"/>
        <w:szCs w:val="24"/>
      </w:rPr>
      <w:fldChar w:fldCharType="begin"/>
    </w:r>
    <w:r w:rsidR="00020AE0" w:rsidRPr="00020AE0">
      <w:rPr>
        <w:sz w:val="24"/>
        <w:szCs w:val="24"/>
      </w:rPr>
      <w:instrText xml:space="preserve"> PAGE   \* MERGEFORMAT </w:instrText>
    </w:r>
    <w:r w:rsidR="00020AE0" w:rsidRPr="00020AE0">
      <w:rPr>
        <w:sz w:val="24"/>
        <w:szCs w:val="24"/>
      </w:rPr>
      <w:fldChar w:fldCharType="separate"/>
    </w:r>
    <w:r w:rsidR="00020AE0">
      <w:rPr>
        <w:noProof/>
        <w:sz w:val="24"/>
        <w:szCs w:val="24"/>
      </w:rPr>
      <w:t>1</w:t>
    </w:r>
    <w:r w:rsidR="00020AE0" w:rsidRPr="00020AE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FF54" w14:textId="77777777" w:rsidR="00D81CF0" w:rsidRDefault="00D81CF0" w:rsidP="00E947DC">
      <w:pPr>
        <w:spacing w:after="120"/>
      </w:pPr>
      <w:r>
        <w:separator/>
      </w:r>
    </w:p>
  </w:footnote>
  <w:footnote w:type="continuationSeparator" w:id="0">
    <w:p w14:paraId="70923141" w14:textId="77777777" w:rsidR="00D81CF0" w:rsidRDefault="00D81CF0">
      <w:pPr>
        <w:rPr>
          <w:sz w:val="22"/>
        </w:rPr>
      </w:pPr>
      <w:r>
        <w:rPr>
          <w:sz w:val="22"/>
        </w:rPr>
        <w:separator/>
      </w:r>
    </w:p>
    <w:p w14:paraId="33786F78" w14:textId="77777777" w:rsidR="00D81CF0" w:rsidRDefault="00D81CF0">
      <w:pPr>
        <w:pStyle w:val="Footer"/>
        <w:spacing w:before="120" w:after="120"/>
        <w:rPr>
          <w:i/>
          <w:sz w:val="22"/>
        </w:rPr>
      </w:pPr>
      <w:r>
        <w:rPr>
          <w:i/>
          <w:sz w:val="22"/>
        </w:rPr>
        <w:t>(footnote continued from previous page)</w:t>
      </w:r>
    </w:p>
  </w:footnote>
  <w:footnote w:type="continuationNotice" w:id="1">
    <w:p w14:paraId="2A859D9F" w14:textId="77777777" w:rsidR="00D81CF0" w:rsidRDefault="00D81CF0">
      <w:pPr>
        <w:spacing w:before="120" w:after="120"/>
        <w:jc w:val="right"/>
        <w:rPr>
          <w:i/>
        </w:rPr>
      </w:pPr>
      <w:r>
        <w:rPr>
          <w:i/>
          <w:sz w:val="22"/>
        </w:rPr>
        <w:t>(footnote continued on next page)</w:t>
      </w:r>
    </w:p>
  </w:footnote>
  <w:footnote w:id="2">
    <w:p w14:paraId="7B66218C" w14:textId="47F720EE" w:rsidR="00C524DC" w:rsidRDefault="00C524DC">
      <w:pPr>
        <w:pStyle w:val="FootnoteText"/>
      </w:pPr>
      <w:r>
        <w:rPr>
          <w:rStyle w:val="FootnoteReference"/>
        </w:rPr>
        <w:footnoteRef/>
      </w:r>
      <w:r>
        <w:t xml:space="preserve"> Contrary to the VoIP Providers’ allegation, the abuse of discretion standard under Public Utilities </w:t>
      </w:r>
      <w:r w:rsidR="00E947DC">
        <w:br/>
      </w:r>
      <w:r>
        <w:t xml:space="preserve">Code section 1757.1, rather than the substantial evidence standard under Public Utilities Code section 1757, applies to rulemaking proceedings such as this one. </w:t>
      </w:r>
      <w:r w:rsidR="00E947DC">
        <w:t xml:space="preserve"> </w:t>
      </w:r>
      <w:r>
        <w:t>(</w:t>
      </w:r>
      <w:r w:rsidRPr="00A33A2E">
        <w:rPr>
          <w:i/>
          <w:iCs/>
        </w:rPr>
        <w:t xml:space="preserve">See Cal. Community Choice Assn. v. </w:t>
      </w:r>
      <w:r w:rsidR="00E947DC">
        <w:rPr>
          <w:i/>
          <w:iCs/>
        </w:rPr>
        <w:br/>
      </w:r>
      <w:r w:rsidRPr="00A33A2E">
        <w:rPr>
          <w:i/>
          <w:iCs/>
        </w:rPr>
        <w:t>Public Utilities Com.</w:t>
      </w:r>
      <w:r w:rsidRPr="00C524DC">
        <w:t xml:space="preserve"> (2024) 103 Cal.App.5th 845, 845.)  Under the abuse of discretion standard, a Commission decision will only be reversed if it is “arbitrary, capricious, or entirely lacking in evidentiary support.” (</w:t>
      </w:r>
      <w:r w:rsidRPr="00A33A2E">
        <w:rPr>
          <w:i/>
          <w:iCs/>
        </w:rPr>
        <w:t>Id.</w:t>
      </w:r>
      <w:r w:rsidRPr="00C524DC">
        <w:t xml:space="preserve"> at p. 856.)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240" w14:textId="55E09223" w:rsidR="00020AE0" w:rsidRDefault="00DD6CD6" w:rsidP="00C31AB2">
    <w:pPr>
      <w:pStyle w:val="Header"/>
      <w:tabs>
        <w:tab w:val="clear" w:pos="9360"/>
      </w:tabs>
    </w:pPr>
    <w:r>
      <w:rPr>
        <w:szCs w:val="26"/>
      </w:rPr>
      <w:t>R</w:t>
    </w:r>
    <w:r w:rsidR="00C31AB2">
      <w:rPr>
        <w:szCs w:val="26"/>
      </w:rPr>
      <w:t>.</w:t>
    </w:r>
    <w:r>
      <w:rPr>
        <w:szCs w:val="26"/>
      </w:rPr>
      <w:t>22-03-016</w:t>
    </w:r>
    <w:r w:rsidR="00020AE0">
      <w:tab/>
      <w:t>L</w:t>
    </w:r>
    <w:r w:rsidR="006D7BE1">
      <w:t>/</w:t>
    </w:r>
    <w:proofErr w:type="spellStart"/>
    <w:r w:rsidR="003E3772">
      <w:t>tlg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632C" w14:textId="69AF1A3C" w:rsidR="00020AE0" w:rsidRDefault="00020AE0">
    <w:pPr>
      <w:pStyle w:val="Header"/>
      <w:rPr>
        <w:b/>
        <w:bCs/>
      </w:rPr>
    </w:pPr>
    <w:r w:rsidRPr="003E3772">
      <w:t>L/</w:t>
    </w:r>
    <w:proofErr w:type="spellStart"/>
    <w:r w:rsidR="003E3772" w:rsidRPr="003E3772">
      <w:t>tl</w:t>
    </w:r>
    <w:r w:rsidR="003E3772">
      <w:t>g</w:t>
    </w:r>
    <w:proofErr w:type="spellEnd"/>
    <w:r w:rsidRPr="003E3772">
      <w:tab/>
    </w:r>
    <w:r w:rsidRPr="003E3772">
      <w:tab/>
    </w:r>
    <w:r w:rsidR="006D7BE1">
      <w:rPr>
        <w:b/>
        <w:bCs/>
      </w:rPr>
      <w:t>Date of Issuance</w:t>
    </w:r>
  </w:p>
  <w:p w14:paraId="59D09FAD" w14:textId="00027974" w:rsidR="006D7BE1" w:rsidRPr="003E3772" w:rsidRDefault="006D7BE1" w:rsidP="006D7BE1">
    <w:pPr>
      <w:pStyle w:val="Header"/>
      <w:tabs>
        <w:tab w:val="clear" w:pos="4680"/>
      </w:tabs>
    </w:pPr>
    <w:r>
      <w:rPr>
        <w:b/>
        <w:bCs/>
      </w:rPr>
      <w:tab/>
      <w:t xml:space="preserve">July </w:t>
    </w:r>
    <w:r w:rsidR="00F927E9">
      <w:rPr>
        <w:b/>
        <w:bCs/>
      </w:rPr>
      <w:t>10</w:t>
    </w:r>
    <w:r>
      <w:rPr>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abstractNum w:abstractNumId="3" w15:restartNumberingAfterBreak="0">
    <w:nsid w:val="1DF213EA"/>
    <w:multiLevelType w:val="hybridMultilevel"/>
    <w:tmpl w:val="2D44FA6E"/>
    <w:lvl w:ilvl="0" w:tplc="5D9204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C93B87"/>
    <w:multiLevelType w:val="hybridMultilevel"/>
    <w:tmpl w:val="EB24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265939">
    <w:abstractNumId w:val="0"/>
  </w:num>
  <w:num w:numId="2" w16cid:durableId="2015916281">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16cid:durableId="1358963965">
    <w:abstractNumId w:val="2"/>
  </w:num>
  <w:num w:numId="4" w16cid:durableId="1537617870">
    <w:abstractNumId w:val="3"/>
  </w:num>
  <w:num w:numId="5" w16cid:durableId="212789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D6"/>
    <w:rsid w:val="00006E1A"/>
    <w:rsid w:val="0001476E"/>
    <w:rsid w:val="00020AE0"/>
    <w:rsid w:val="00057847"/>
    <w:rsid w:val="000826A0"/>
    <w:rsid w:val="0009697F"/>
    <w:rsid w:val="000F13DF"/>
    <w:rsid w:val="000F4F2D"/>
    <w:rsid w:val="0010771B"/>
    <w:rsid w:val="00116F03"/>
    <w:rsid w:val="00124F27"/>
    <w:rsid w:val="001374E7"/>
    <w:rsid w:val="001622D6"/>
    <w:rsid w:val="001720B5"/>
    <w:rsid w:val="001973BF"/>
    <w:rsid w:val="001B60D9"/>
    <w:rsid w:val="001C4F0E"/>
    <w:rsid w:val="001C7904"/>
    <w:rsid w:val="001F1388"/>
    <w:rsid w:val="00225977"/>
    <w:rsid w:val="00255AD4"/>
    <w:rsid w:val="0025692F"/>
    <w:rsid w:val="0031126A"/>
    <w:rsid w:val="00323105"/>
    <w:rsid w:val="0032486B"/>
    <w:rsid w:val="00331981"/>
    <w:rsid w:val="00373C38"/>
    <w:rsid w:val="003836E3"/>
    <w:rsid w:val="003B3293"/>
    <w:rsid w:val="003C0982"/>
    <w:rsid w:val="003D51D3"/>
    <w:rsid w:val="003E10CA"/>
    <w:rsid w:val="003E3772"/>
    <w:rsid w:val="00400C39"/>
    <w:rsid w:val="00452E23"/>
    <w:rsid w:val="00461DD5"/>
    <w:rsid w:val="004C246F"/>
    <w:rsid w:val="005045EC"/>
    <w:rsid w:val="00547F06"/>
    <w:rsid w:val="00573758"/>
    <w:rsid w:val="0057486D"/>
    <w:rsid w:val="00581AD8"/>
    <w:rsid w:val="005F65D7"/>
    <w:rsid w:val="00633AF3"/>
    <w:rsid w:val="006340A3"/>
    <w:rsid w:val="006776DD"/>
    <w:rsid w:val="006819F0"/>
    <w:rsid w:val="006C1681"/>
    <w:rsid w:val="006C2636"/>
    <w:rsid w:val="006C3BF0"/>
    <w:rsid w:val="006D7BE1"/>
    <w:rsid w:val="006F017B"/>
    <w:rsid w:val="00743B75"/>
    <w:rsid w:val="00746307"/>
    <w:rsid w:val="00753F97"/>
    <w:rsid w:val="007E79C8"/>
    <w:rsid w:val="008023EF"/>
    <w:rsid w:val="00830CD9"/>
    <w:rsid w:val="00871E20"/>
    <w:rsid w:val="008874D9"/>
    <w:rsid w:val="008D2FF9"/>
    <w:rsid w:val="008F210B"/>
    <w:rsid w:val="009554F7"/>
    <w:rsid w:val="009A42C2"/>
    <w:rsid w:val="00A00B73"/>
    <w:rsid w:val="00A23DB6"/>
    <w:rsid w:val="00A33A2E"/>
    <w:rsid w:val="00A4675E"/>
    <w:rsid w:val="00A55C59"/>
    <w:rsid w:val="00A847EB"/>
    <w:rsid w:val="00B159C1"/>
    <w:rsid w:val="00B22A00"/>
    <w:rsid w:val="00B27984"/>
    <w:rsid w:val="00B46C78"/>
    <w:rsid w:val="00B531A4"/>
    <w:rsid w:val="00B64C0B"/>
    <w:rsid w:val="00B75D50"/>
    <w:rsid w:val="00B90887"/>
    <w:rsid w:val="00B97E58"/>
    <w:rsid w:val="00BB1D55"/>
    <w:rsid w:val="00BB68FA"/>
    <w:rsid w:val="00BC6D1A"/>
    <w:rsid w:val="00BE187D"/>
    <w:rsid w:val="00C0203C"/>
    <w:rsid w:val="00C2211D"/>
    <w:rsid w:val="00C31AB2"/>
    <w:rsid w:val="00C3521D"/>
    <w:rsid w:val="00C524DC"/>
    <w:rsid w:val="00C8412E"/>
    <w:rsid w:val="00C853F3"/>
    <w:rsid w:val="00CB6208"/>
    <w:rsid w:val="00CC64CE"/>
    <w:rsid w:val="00CC69F5"/>
    <w:rsid w:val="00D3126D"/>
    <w:rsid w:val="00D7074F"/>
    <w:rsid w:val="00D81CF0"/>
    <w:rsid w:val="00DC377C"/>
    <w:rsid w:val="00DD6CD6"/>
    <w:rsid w:val="00E20A33"/>
    <w:rsid w:val="00E4742D"/>
    <w:rsid w:val="00E91709"/>
    <w:rsid w:val="00E947DC"/>
    <w:rsid w:val="00E97876"/>
    <w:rsid w:val="00EC063B"/>
    <w:rsid w:val="00ED63AE"/>
    <w:rsid w:val="00EF71CB"/>
    <w:rsid w:val="00F13718"/>
    <w:rsid w:val="00F377B8"/>
    <w:rsid w:val="00F42FC1"/>
    <w:rsid w:val="00F51BF9"/>
    <w:rsid w:val="00F927E9"/>
    <w:rsid w:val="00FA590C"/>
    <w:rsid w:val="00FC36DE"/>
    <w:rsid w:val="00FD0A55"/>
    <w:rsid w:val="00FF359D"/>
    <w:rsid w:val="00FF3879"/>
    <w:rsid w:val="00FF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1B1A"/>
  <w15:chartTrackingRefBased/>
  <w15:docId w15:val="{CD934212-B777-4A71-8B0E-56AD505D3F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qFormat/>
    <w:pPr>
      <w:keepNext/>
      <w:keepLines/>
      <w:numPr>
        <w:numId w:val="1"/>
      </w:numPr>
      <w:spacing w:before="120" w:after="120" w:line="240" w:lineRule="auto"/>
      <w:ind w:right="720"/>
      <w:outlineLvl w:val="0"/>
    </w:pPr>
    <w:rPr>
      <w:b/>
      <w:kern w:val="28"/>
    </w:rPr>
  </w:style>
  <w:style w:type="paragraph" w:styleId="Heading2">
    <w:name w:val="heading 2"/>
    <w:basedOn w:val="BodyText"/>
    <w:next w:val="BodyText"/>
    <w:qFormat/>
    <w:pPr>
      <w:keepNext/>
      <w:numPr>
        <w:ilvl w:val="1"/>
        <w:numId w:val="1"/>
      </w:numPr>
      <w:spacing w:before="120" w:after="120" w:line="240" w:lineRule="auto"/>
      <w:ind w:right="1440"/>
      <w:outlineLvl w:val="1"/>
    </w:pPr>
    <w:rPr>
      <w:b/>
    </w:rPr>
  </w:style>
  <w:style w:type="paragraph" w:styleId="Heading3">
    <w:name w:val="heading 3"/>
    <w:basedOn w:val="BodyText"/>
    <w:next w:val="BodyText"/>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qFormat/>
    <w:pPr>
      <w:numPr>
        <w:ilvl w:val="4"/>
        <w:numId w:val="1"/>
      </w:numPr>
      <w:spacing w:before="120" w:after="120"/>
      <w:ind w:left="360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rPr>
  </w:style>
  <w:style w:type="paragraph" w:styleId="Heading9">
    <w:name w:val="heading 9"/>
    <w:basedOn w:val="Normal"/>
    <w:next w:val="Normal"/>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overflowPunct w:val="0"/>
      <w:autoSpaceDE w:val="0"/>
      <w:autoSpaceDN w:val="0"/>
      <w:adjustRightInd w:val="0"/>
      <w:spacing w:line="360" w:lineRule="auto"/>
      <w:ind w:firstLine="720"/>
      <w:textAlignment w:val="baseline"/>
    </w:pPr>
    <w:rPr>
      <w:sz w:val="26"/>
    </w:rPr>
  </w:style>
  <w:style w:type="paragraph" w:styleId="FootnoteText">
    <w:name w:val="footnote text"/>
    <w:basedOn w:val="Normal"/>
    <w:semiHidden/>
    <w:pPr>
      <w:widowControl w:val="0"/>
      <w:spacing w:after="120" w:line="240" w:lineRule="exact"/>
    </w:pPr>
    <w:rPr>
      <w:sz w:val="22"/>
    </w:rPr>
  </w:style>
  <w:style w:type="character" w:styleId="FootnoteReference">
    <w:name w:val="footnote reference"/>
    <w:semiHidden/>
    <w:rPr>
      <w:rFonts w:ascii="Times New Roman" w:hAnsi="Times New Roman"/>
      <w:b/>
      <w:sz w:val="28"/>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Header">
    <w:name w:val="header"/>
    <w:basedOn w:val="Normal"/>
    <w:link w:val="HeaderChar"/>
    <w:rsid w:val="00020AE0"/>
    <w:pPr>
      <w:tabs>
        <w:tab w:val="clear" w:pos="5040"/>
        <w:tab w:val="center" w:pos="4680"/>
        <w:tab w:val="right" w:pos="9360"/>
      </w:tabs>
    </w:p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character" w:customStyle="1" w:styleId="HeaderChar">
    <w:name w:val="Header Char"/>
    <w:link w:val="Header"/>
    <w:rsid w:val="00020AE0"/>
    <w:rPr>
      <w:sz w:val="26"/>
    </w:r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character" w:customStyle="1" w:styleId="FooterChar">
    <w:name w:val="Footer Char"/>
    <w:link w:val="Footer"/>
    <w:uiPriority w:val="99"/>
    <w:rsid w:val="00020AE0"/>
    <w:rPr>
      <w:sz w:val="26"/>
    </w:rPr>
  </w:style>
  <w:style w:type="paragraph" w:customStyle="1" w:styleId="BodyText10">
    <w:name w:val="Body Text 10"/>
    <w:basedOn w:val="BodyText"/>
    <w:pPr>
      <w:overflowPunct/>
      <w:autoSpaceDE/>
      <w:autoSpaceDN/>
      <w:adjustRightInd/>
      <w:ind w:firstLine="1296"/>
      <w:textAlignment w:val="auto"/>
    </w:pPr>
  </w:style>
  <w:style w:type="paragraph" w:customStyle="1" w:styleId="BodyText6">
    <w:name w:val="Body Text 6"/>
    <w:basedOn w:val="BodyText"/>
    <w:autoRedefine/>
    <w:pPr>
      <w:overflowPunct/>
      <w:autoSpaceDE/>
      <w:autoSpaceDN/>
      <w:adjustRightInd/>
      <w:ind w:firstLine="864"/>
      <w:textAlignment w:val="auto"/>
    </w:pPr>
  </w:style>
  <w:style w:type="paragraph" w:styleId="Revision">
    <w:name w:val="Revision"/>
    <w:hidden/>
    <w:uiPriority w:val="99"/>
    <w:semiHidden/>
    <w:rsid w:val="00400C39"/>
    <w:rPr>
      <w:sz w:val="26"/>
    </w:rPr>
  </w:style>
  <w:style w:type="paragraph" w:customStyle="1" w:styleId="Standard">
    <w:name w:val="Standard"/>
    <w:qFormat/>
    <w:rsid w:val="008D2FF9"/>
    <w:pPr>
      <w:tabs>
        <w:tab w:val="right" w:pos="5040"/>
      </w:tabs>
      <w:suppressAutoHyphens/>
      <w:autoSpaceDN w:val="0"/>
      <w:textAlignment w:val="baseline"/>
    </w:pPr>
    <w:rPr>
      <w:kern w:val="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F32F-888A-459A-A412-528074C842E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624</ap:Words>
  <ap:Characters>3560</ap:Characters>
  <ap:Application>Microsoft Office Word</ap:Application>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4176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1996-10-10T23:38:00Z</cp:lastPrinted>
  <dcterms:created xsi:type="dcterms:W3CDTF">2026-07-10T13:36:04Z</dcterms:created>
  <dcterms:modified xsi:type="dcterms:W3CDTF">2026-07-10T13:36:04Z</dcterms:modified>
</cp:coreProperties>
</file>