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7A776F" w14:paraId="136F96AB" w14:textId="163824CC">
      <w:pPr>
        <w:tabs>
          <w:tab w:val="center" w:pos="4680"/>
          <w:tab w:val="right" w:pos="9360"/>
        </w:tabs>
        <w:spacing w:line="240" w:lineRule="auto"/>
        <w:ind w:firstLine="0"/>
      </w:pPr>
      <w:r>
        <w:t>ALJ</w:t>
      </w:r>
      <w:r w:rsidR="00DA7B5D">
        <w:t>/</w:t>
      </w:r>
      <w:r>
        <w:t>VUK</w:t>
      </w:r>
      <w:r w:rsidR="00DA7B5D">
        <w:t>/</w:t>
      </w:r>
      <w:r w:rsidR="008405B9">
        <w:t>vj4</w:t>
      </w:r>
      <w:r w:rsidR="007E0FEE">
        <w:tab/>
      </w:r>
      <w:r w:rsidR="00DA7B5D">
        <w:tab/>
      </w:r>
      <w:r w:rsidR="00CD7C46">
        <w:rPr>
          <w:b/>
        </w:rPr>
        <w:t>Date of Issuance 7/10/2026</w:t>
      </w:r>
    </w:p>
    <w:p w:rsidR="00DA7B5D" w:rsidP="008F0116" w:rsidRDefault="00DA7B5D" w14:paraId="366F0FBF" w14:textId="77777777">
      <w:pPr>
        <w:ind w:firstLine="0"/>
      </w:pPr>
    </w:p>
    <w:p w:rsidRPr="00EE3060" w:rsidR="00DA7B5D" w:rsidP="0098655A" w:rsidRDefault="00DA7B5D" w14:paraId="5DBBE7F4" w14:textId="5D4E9AC2">
      <w:pPr>
        <w:ind w:left="1080" w:hanging="1080"/>
      </w:pPr>
      <w:r>
        <w:t xml:space="preserve">Decision </w:t>
      </w:r>
      <w:r w:rsidR="00565403">
        <w:t>26-07-</w:t>
      </w:r>
      <w:proofErr w:type="gramStart"/>
      <w:r w:rsidR="00565403">
        <w:t>009  July</w:t>
      </w:r>
      <w:proofErr w:type="gramEnd"/>
      <w:r w:rsidR="00565403">
        <w:t xml:space="preserve"> 2, 2026</w:t>
      </w:r>
    </w:p>
    <w:p w:rsidR="00DA7B5D" w:rsidP="00BB0243" w:rsidRDefault="00DA7B5D" w14:paraId="0CBE661E" w14:textId="77777777">
      <w:pPr>
        <w:spacing w:line="240" w:lineRule="auto"/>
        <w:jc w:val="center"/>
        <w:rPr>
          <w:u w:val="single"/>
        </w:rPr>
      </w:pPr>
    </w:p>
    <w:p w:rsidR="00DA7B5D" w:rsidP="00BB0243" w:rsidRDefault="00DA7B5D" w14:paraId="7F6044A4"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B364D2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7BE5DAFE" w14:textId="77777777">
        <w:trPr>
          <w:jc w:val="center"/>
        </w:trPr>
        <w:tc>
          <w:tcPr>
            <w:tcW w:w="5040" w:type="dxa"/>
            <w:tcBorders>
              <w:top w:val="nil"/>
              <w:left w:val="nil"/>
              <w:bottom w:val="single" w:color="auto" w:sz="4" w:space="0"/>
              <w:right w:val="single" w:color="auto" w:sz="4" w:space="0"/>
            </w:tcBorders>
          </w:tcPr>
          <w:p w:rsidR="00675A16" w:rsidP="00C10B5F" w:rsidRDefault="00675A16" w14:paraId="5F5C6D33" w14:textId="77777777">
            <w:pPr>
              <w:spacing w:line="240" w:lineRule="auto"/>
              <w:ind w:firstLine="0"/>
              <w:rPr>
                <w:rFonts w:cs="Arial"/>
                <w:szCs w:val="26"/>
              </w:rPr>
            </w:pPr>
            <w:r w:rsidRPr="00675A16">
              <w:rPr>
                <w:rFonts w:cs="Arial"/>
                <w:szCs w:val="26"/>
              </w:rPr>
              <w:t>Luis Enrique Landa Rodriguez,</w:t>
            </w:r>
          </w:p>
          <w:p w:rsidR="00496820" w:rsidP="00496820" w:rsidRDefault="00496820" w14:paraId="57BBF6ED" w14:textId="77777777">
            <w:pPr>
              <w:spacing w:line="240" w:lineRule="auto"/>
              <w:ind w:firstLine="0"/>
              <w:jc w:val="right"/>
              <w:rPr>
                <w:rFonts w:cs="Arial"/>
                <w:szCs w:val="26"/>
              </w:rPr>
            </w:pPr>
          </w:p>
          <w:p w:rsidR="00675A16" w:rsidP="00496820" w:rsidRDefault="00675A16" w14:paraId="0FD13486" w14:textId="4E98D1F8">
            <w:pPr>
              <w:spacing w:line="240" w:lineRule="auto"/>
              <w:ind w:firstLine="0"/>
              <w:jc w:val="right"/>
              <w:rPr>
                <w:rFonts w:cs="Arial"/>
                <w:szCs w:val="26"/>
              </w:rPr>
            </w:pPr>
            <w:r w:rsidRPr="00675A16">
              <w:rPr>
                <w:rFonts w:cs="Arial"/>
                <w:szCs w:val="26"/>
              </w:rPr>
              <w:t>Complainant,</w:t>
            </w:r>
          </w:p>
          <w:p w:rsidR="00496820" w:rsidP="00496820" w:rsidRDefault="00496820" w14:paraId="5C9742C7" w14:textId="77777777">
            <w:pPr>
              <w:spacing w:line="240" w:lineRule="auto"/>
              <w:ind w:firstLine="0"/>
              <w:jc w:val="center"/>
              <w:rPr>
                <w:rFonts w:cs="Arial"/>
                <w:szCs w:val="26"/>
              </w:rPr>
            </w:pPr>
          </w:p>
          <w:p w:rsidR="00675A16" w:rsidP="00496820" w:rsidRDefault="00675A16" w14:paraId="5468403A" w14:textId="60FCC826">
            <w:pPr>
              <w:spacing w:line="240" w:lineRule="auto"/>
              <w:ind w:firstLine="0"/>
              <w:jc w:val="center"/>
              <w:rPr>
                <w:rFonts w:cs="Arial"/>
                <w:szCs w:val="26"/>
              </w:rPr>
            </w:pPr>
            <w:r w:rsidRPr="00675A16">
              <w:rPr>
                <w:rFonts w:cs="Arial"/>
                <w:szCs w:val="26"/>
              </w:rPr>
              <w:t>vs.</w:t>
            </w:r>
          </w:p>
          <w:p w:rsidR="00496820" w:rsidP="00C10B5F" w:rsidRDefault="00496820" w14:paraId="6E577856" w14:textId="77777777">
            <w:pPr>
              <w:spacing w:line="240" w:lineRule="auto"/>
              <w:ind w:firstLine="0"/>
              <w:rPr>
                <w:rFonts w:cs="Arial"/>
                <w:szCs w:val="26"/>
              </w:rPr>
            </w:pPr>
          </w:p>
          <w:p w:rsidR="00675A16" w:rsidP="00C10B5F" w:rsidRDefault="00675A16" w14:paraId="042A01AC" w14:textId="31E9B87E">
            <w:pPr>
              <w:spacing w:line="240" w:lineRule="auto"/>
              <w:ind w:firstLine="0"/>
              <w:rPr>
                <w:rFonts w:cs="Arial"/>
                <w:szCs w:val="26"/>
              </w:rPr>
            </w:pPr>
            <w:r w:rsidRPr="00675A16">
              <w:rPr>
                <w:rFonts w:cs="Arial"/>
                <w:szCs w:val="26"/>
              </w:rPr>
              <w:t>Pacific Bell d/b/a AT&amp;T California and AT&amp;T Mobility Wireless Operation Holdings d/b/a AT&amp;T Mobility,</w:t>
            </w:r>
          </w:p>
          <w:p w:rsidR="00496820" w:rsidP="00496820" w:rsidRDefault="00496820" w14:paraId="0796CC18" w14:textId="77777777">
            <w:pPr>
              <w:spacing w:line="240" w:lineRule="auto"/>
              <w:ind w:firstLine="0"/>
              <w:jc w:val="right"/>
              <w:rPr>
                <w:rFonts w:cs="Arial"/>
                <w:szCs w:val="26"/>
              </w:rPr>
            </w:pPr>
          </w:p>
          <w:p w:rsidRPr="00DA7B5D" w:rsidR="00DA7B5D" w:rsidP="00173F68" w:rsidRDefault="00675A16" w14:paraId="5D3B8C17" w14:textId="2CB06EC8">
            <w:pPr>
              <w:spacing w:line="240" w:lineRule="auto"/>
              <w:ind w:right="162" w:firstLine="0"/>
              <w:jc w:val="right"/>
              <w:rPr>
                <w:rFonts w:cs="Arial"/>
                <w:szCs w:val="26"/>
              </w:rPr>
            </w:pPr>
            <w:r w:rsidRPr="00675A16">
              <w:rPr>
                <w:rFonts w:cs="Arial"/>
                <w:szCs w:val="26"/>
              </w:rPr>
              <w:t>Defendants</w:t>
            </w:r>
            <w:r>
              <w:rPr>
                <w:rFonts w:cs="Arial"/>
                <w:szCs w:val="26"/>
              </w:rPr>
              <w:t>.</w:t>
            </w:r>
            <w:r w:rsidRPr="00DA7B5D" w:rsidR="00DA7B5D">
              <w:rPr>
                <w:rFonts w:cs="Arial"/>
                <w:szCs w:val="26"/>
              </w:rPr>
              <w:br/>
            </w:r>
          </w:p>
        </w:tc>
        <w:tc>
          <w:tcPr>
            <w:tcW w:w="5040" w:type="dxa"/>
            <w:tcBorders>
              <w:top w:val="nil"/>
              <w:left w:val="single" w:color="auto" w:sz="4" w:space="0"/>
              <w:bottom w:val="nil"/>
              <w:right w:val="nil"/>
            </w:tcBorders>
            <w:vAlign w:val="center"/>
          </w:tcPr>
          <w:p w:rsidR="00DA7B5D" w:rsidP="00B02AE1" w:rsidRDefault="007A776F" w14:paraId="1EFDBE27" w14:textId="77777777">
            <w:pPr>
              <w:spacing w:line="240" w:lineRule="auto"/>
              <w:ind w:firstLine="0"/>
              <w:jc w:val="center"/>
              <w:rPr>
                <w:rFonts w:cs="Arial"/>
                <w:szCs w:val="26"/>
              </w:rPr>
            </w:pPr>
            <w:r>
              <w:rPr>
                <w:rFonts w:cs="Arial"/>
                <w:szCs w:val="26"/>
              </w:rPr>
              <w:t>(ECP)</w:t>
            </w:r>
          </w:p>
          <w:p w:rsidRPr="00DA7B5D" w:rsidR="007A776F" w:rsidP="00B02AE1" w:rsidRDefault="007A776F" w14:paraId="507A38E7" w14:textId="2443E457">
            <w:pPr>
              <w:spacing w:after="1440" w:line="240" w:lineRule="auto"/>
              <w:ind w:firstLine="0"/>
              <w:jc w:val="center"/>
              <w:rPr>
                <w:rFonts w:cs="Arial"/>
                <w:szCs w:val="26"/>
              </w:rPr>
            </w:pPr>
            <w:r>
              <w:rPr>
                <w:rFonts w:cs="Arial"/>
                <w:szCs w:val="26"/>
              </w:rPr>
              <w:t>Case 25-11-008</w:t>
            </w:r>
          </w:p>
        </w:tc>
      </w:tr>
    </w:tbl>
    <w:p w:rsidR="00DA7B5D" w:rsidP="008F0116" w:rsidRDefault="00DA7B5D" w14:paraId="3C0F43C0" w14:textId="77777777">
      <w:pPr>
        <w:spacing w:line="240" w:lineRule="auto"/>
        <w:ind w:firstLine="0"/>
        <w:rPr>
          <w:rFonts w:ascii="Arial" w:hAnsi="Arial" w:cs="Arial"/>
          <w:sz w:val="24"/>
          <w:szCs w:val="24"/>
        </w:rPr>
      </w:pPr>
    </w:p>
    <w:p w:rsidR="0098655A" w:rsidP="00D82A43" w:rsidRDefault="0077374F" w14:paraId="5EE8CE2F" w14:textId="219D83BE">
      <w:pPr>
        <w:pStyle w:val="Main"/>
        <w:spacing w:after="240"/>
      </w:pPr>
      <w:r>
        <w:t>Decision Granting Relief in Part and Denying Relief in Part</w:t>
      </w:r>
    </w:p>
    <w:p w:rsidR="005A148C" w:rsidP="005A148C" w:rsidRDefault="005A148C" w14:paraId="243AC0AF" w14:textId="77777777">
      <w:pPr>
        <w:pStyle w:val="Dummy"/>
      </w:pPr>
      <w:bookmarkStart w:name="_Toc8123714" w:id="0"/>
      <w:bookmarkStart w:name="_Toc133843842" w:id="1"/>
      <w:r>
        <w:t>Summary</w:t>
      </w:r>
      <w:bookmarkEnd w:id="0"/>
      <w:bookmarkEnd w:id="1"/>
    </w:p>
    <w:p w:rsidR="005A148C" w:rsidP="006E6574" w:rsidRDefault="005A148C" w14:paraId="7CFECAB8" w14:textId="5423C4EE">
      <w:pPr>
        <w:pStyle w:val="Standard"/>
      </w:pPr>
      <w:r>
        <w:t>Th</w:t>
      </w:r>
      <w:r w:rsidR="00F04A7C">
        <w:t>is decision finds that Complainant has failed to show by a preponderance of the evidence that Defendant violated any applicable Commission rule, law, tariff or statute.</w:t>
      </w:r>
      <w:r w:rsidR="00C66054">
        <w:t xml:space="preserve"> However, this decision finds that Defendant acted unreasonabl</w:t>
      </w:r>
      <w:r w:rsidR="00F4750D">
        <w:t>y</w:t>
      </w:r>
      <w:r w:rsidR="00C66054">
        <w:t xml:space="preserve"> in imposing </w:t>
      </w:r>
      <w:r w:rsidR="00E03956">
        <w:t xml:space="preserve">charges during timeframes when Defendant suspended or terminated Complainant’s </w:t>
      </w:r>
      <w:r w:rsidR="001434CB">
        <w:t xml:space="preserve">wireless </w:t>
      </w:r>
      <w:r w:rsidR="00E03956">
        <w:t>services.</w:t>
      </w:r>
      <w:r w:rsidR="00CF08D9">
        <w:t xml:space="preserve"> As a result, this decision directs Defendant to </w:t>
      </w:r>
      <w:r w:rsidR="00A12BEE">
        <w:t xml:space="preserve">deduct </w:t>
      </w:r>
      <w:r w:rsidR="001A1AB3">
        <w:t>$720.60</w:t>
      </w:r>
      <w:r w:rsidR="00A27479">
        <w:t xml:space="preserve"> from the outstanding balance on</w:t>
      </w:r>
      <w:r w:rsidR="00CF08D9">
        <w:t xml:space="preserve"> Complainant’s account</w:t>
      </w:r>
      <w:r w:rsidR="002C7FE9">
        <w:t>.</w:t>
      </w:r>
    </w:p>
    <w:p w:rsidR="0073353F" w:rsidP="00397D5C" w:rsidRDefault="00397D5C" w14:paraId="722BD1EE" w14:textId="34915213">
      <w:pPr>
        <w:pStyle w:val="Standard"/>
      </w:pPr>
      <w:r>
        <w:t>The Complainant’s request for relief is granted in part and denied in part</w:t>
      </w:r>
      <w:r w:rsidR="0073353F">
        <w:t>.</w:t>
      </w:r>
    </w:p>
    <w:p w:rsidR="00397D5C" w:rsidP="00397D5C" w:rsidRDefault="00397D5C" w14:paraId="7FDB6E7D" w14:textId="47C3BFA0">
      <w:pPr>
        <w:pStyle w:val="Standard"/>
      </w:pPr>
      <w:r>
        <w:t>Complaint 25-1</w:t>
      </w:r>
      <w:r w:rsidR="005152ED">
        <w:t>1</w:t>
      </w:r>
      <w:r>
        <w:t>-0</w:t>
      </w:r>
      <w:r w:rsidR="005152ED">
        <w:t>08</w:t>
      </w:r>
      <w:r>
        <w:t xml:space="preserve"> is closed.</w:t>
      </w:r>
    </w:p>
    <w:p w:rsidRPr="00121089" w:rsidR="005A148C" w:rsidP="00A55ACD" w:rsidRDefault="00856C7F" w14:paraId="162194E5" w14:textId="64A78C38">
      <w:pPr>
        <w:pStyle w:val="Heading1"/>
        <w:numPr>
          <w:ilvl w:val="0"/>
          <w:numId w:val="1"/>
        </w:numPr>
      </w:pPr>
      <w:bookmarkStart w:name="_Toc8123715" w:id="2"/>
      <w:bookmarkStart w:name="_Toc133843843" w:id="3"/>
      <w:r>
        <w:lastRenderedPageBreak/>
        <w:t xml:space="preserve">Factual and Procedural </w:t>
      </w:r>
      <w:r w:rsidRPr="00121089" w:rsidR="002C7FE9">
        <w:t>Background</w:t>
      </w:r>
      <w:bookmarkEnd w:id="2"/>
      <w:bookmarkEnd w:id="3"/>
    </w:p>
    <w:p w:rsidR="000D397F" w:rsidP="007B7F79" w:rsidRDefault="005152ED" w14:paraId="2E7FEEA4" w14:textId="4B8F2869">
      <w:pPr>
        <w:pStyle w:val="Standard"/>
      </w:pPr>
      <w:r>
        <w:t xml:space="preserve">On November </w:t>
      </w:r>
      <w:r w:rsidR="00492783">
        <w:t>14</w:t>
      </w:r>
      <w:r>
        <w:t>, 2025, Luis Enrique Landa Rodriguez (Complainant</w:t>
      </w:r>
      <w:r w:rsidR="00AD52F3">
        <w:t xml:space="preserve"> or Mr. Rodriguez) filed the instant complaint alleging </w:t>
      </w:r>
      <w:r w:rsidR="00DC37F3">
        <w:t xml:space="preserve">that </w:t>
      </w:r>
      <w:r w:rsidRPr="00540BA9" w:rsidR="00540BA9">
        <w:t xml:space="preserve">AT&amp;T Mobility Wireless Operation Holdings d/b/a AT&amp;T Mobility </w:t>
      </w:r>
      <w:r w:rsidR="00FD1138">
        <w:t>(AT&amp;T or Defendant) billed him for services not rendered and provided credits that were not properly applied</w:t>
      </w:r>
      <w:r w:rsidR="00AD52F3">
        <w:t xml:space="preserve">. </w:t>
      </w:r>
      <w:r w:rsidR="00AF7E02">
        <w:t xml:space="preserve">Complainant also alleges that Defendant improperly referred </w:t>
      </w:r>
      <w:r w:rsidR="00AD329D">
        <w:t>his account to collections</w:t>
      </w:r>
      <w:r w:rsidR="0095109F">
        <w:t>.</w:t>
      </w:r>
      <w:r w:rsidR="001F2D38">
        <w:rPr>
          <w:rStyle w:val="FootnoteReference"/>
        </w:rPr>
        <w:footnoteReference w:id="2"/>
      </w:r>
      <w:r w:rsidR="0095109F">
        <w:t xml:space="preserve"> </w:t>
      </w:r>
      <w:r w:rsidR="00AD52F3">
        <w:t xml:space="preserve">Defendant answered the complaint </w:t>
      </w:r>
      <w:r w:rsidR="000D397F">
        <w:t xml:space="preserve">on </w:t>
      </w:r>
      <w:r w:rsidR="00FF7950">
        <w:t>December 19</w:t>
      </w:r>
      <w:r w:rsidR="000D397F">
        <w:t>, 202</w:t>
      </w:r>
      <w:r w:rsidR="00FF7950">
        <w:t>5</w:t>
      </w:r>
      <w:r w:rsidR="000D397F">
        <w:t xml:space="preserve">. </w:t>
      </w:r>
    </w:p>
    <w:p w:rsidR="002C7FE9" w:rsidP="006E6574" w:rsidRDefault="000D397F" w14:paraId="2159CB5E" w14:textId="1235EBDB">
      <w:pPr>
        <w:pStyle w:val="Standard"/>
      </w:pPr>
      <w:r>
        <w:t xml:space="preserve">On </w:t>
      </w:r>
      <w:r w:rsidR="007B7F79">
        <w:t xml:space="preserve">January </w:t>
      </w:r>
      <w:r w:rsidR="00A70B9C">
        <w:t>23</w:t>
      </w:r>
      <w:r>
        <w:t xml:space="preserve">, 2026, </w:t>
      </w:r>
      <w:r w:rsidR="006271C1">
        <w:t xml:space="preserve">the </w:t>
      </w:r>
      <w:r w:rsidR="001434CB">
        <w:t xml:space="preserve">assigned </w:t>
      </w:r>
      <w:r w:rsidR="006271C1">
        <w:t xml:space="preserve">Administrative Law Judge </w:t>
      </w:r>
      <w:r w:rsidR="00C743B4">
        <w:t xml:space="preserve">(ALJ) </w:t>
      </w:r>
      <w:r w:rsidR="006271C1">
        <w:t>held a hearing in this expedited complaint</w:t>
      </w:r>
      <w:r w:rsidR="008C16D5">
        <w:t xml:space="preserve"> proceeding</w:t>
      </w:r>
      <w:r w:rsidR="006271C1">
        <w:t xml:space="preserve">. </w:t>
      </w:r>
      <w:r w:rsidR="00770265">
        <w:t>Following the January 23, 2026</w:t>
      </w:r>
      <w:r w:rsidR="74D8C1E1">
        <w:t>,</w:t>
      </w:r>
      <w:r w:rsidR="00770265">
        <w:t xml:space="preserve"> hearing, the </w:t>
      </w:r>
      <w:r w:rsidR="001434CB">
        <w:t xml:space="preserve">assigned </w:t>
      </w:r>
      <w:r w:rsidR="00770265">
        <w:t>ALJ issued several rulings</w:t>
      </w:r>
      <w:r w:rsidR="00B721F7">
        <w:t xml:space="preserve"> </w:t>
      </w:r>
      <w:r w:rsidR="00C743B4">
        <w:t xml:space="preserve">directing Defendant to </w:t>
      </w:r>
      <w:r w:rsidR="00B721F7">
        <w:t xml:space="preserve">file supplemental information addressing whether Defendant charged Complainant for services not rendered, </w:t>
      </w:r>
      <w:r w:rsidR="0023264B">
        <w:t xml:space="preserve">and if so by what amount. </w:t>
      </w:r>
      <w:r w:rsidR="002F5821">
        <w:t xml:space="preserve">This matter was submitted as of </w:t>
      </w:r>
      <w:r w:rsidR="0023264B">
        <w:t>April 1</w:t>
      </w:r>
      <w:r w:rsidR="002F5821">
        <w:t xml:space="preserve">, 2026, upon receipt of Defendant’s response to the </w:t>
      </w:r>
      <w:r w:rsidR="00971C14">
        <w:t xml:space="preserve">March </w:t>
      </w:r>
      <w:r w:rsidR="0003484D">
        <w:t>1</w:t>
      </w:r>
      <w:r w:rsidR="0023264B">
        <w:t>0</w:t>
      </w:r>
      <w:r w:rsidR="00971C14">
        <w:t xml:space="preserve">, </w:t>
      </w:r>
      <w:proofErr w:type="gramStart"/>
      <w:r w:rsidR="00971C14">
        <w:t>2026</w:t>
      </w:r>
      <w:proofErr w:type="gramEnd"/>
      <w:r w:rsidR="00971C14">
        <w:t xml:space="preserve"> </w:t>
      </w:r>
      <w:r w:rsidR="0003484D">
        <w:t xml:space="preserve">and March 25, </w:t>
      </w:r>
      <w:proofErr w:type="gramStart"/>
      <w:r w:rsidR="0003484D">
        <w:t>2026</w:t>
      </w:r>
      <w:proofErr w:type="gramEnd"/>
      <w:r w:rsidR="0023264B">
        <w:t xml:space="preserve"> </w:t>
      </w:r>
      <w:r w:rsidR="00971C14">
        <w:t>ruling</w:t>
      </w:r>
      <w:r w:rsidR="0003484D">
        <w:t>s</w:t>
      </w:r>
      <w:r w:rsidR="00971C14">
        <w:t xml:space="preserve">. </w:t>
      </w:r>
    </w:p>
    <w:p w:rsidR="00806119" w:rsidP="00806119" w:rsidRDefault="007D2183" w14:paraId="5EF53E33" w14:textId="6145D61B">
      <w:pPr>
        <w:pStyle w:val="Standard"/>
      </w:pPr>
      <w:r>
        <w:t xml:space="preserve">According to billing records provided by Defendant, </w:t>
      </w:r>
      <w:r w:rsidR="00971C14">
        <w:t>Complainant</w:t>
      </w:r>
      <w:r w:rsidR="00060840">
        <w:t xml:space="preserve"> </w:t>
      </w:r>
      <w:r w:rsidR="00143982">
        <w:t xml:space="preserve">received </w:t>
      </w:r>
      <w:r w:rsidR="007A671C">
        <w:t xml:space="preserve">wireless telephone </w:t>
      </w:r>
      <w:r w:rsidR="00143982">
        <w:t xml:space="preserve">service from Defendant </w:t>
      </w:r>
      <w:r w:rsidR="007A671C">
        <w:t>beginning in</w:t>
      </w:r>
      <w:r w:rsidR="00143982">
        <w:t xml:space="preserve"> </w:t>
      </w:r>
      <w:r w:rsidR="00375055">
        <w:t xml:space="preserve">May 2024. </w:t>
      </w:r>
      <w:r w:rsidR="002458C9">
        <w:t xml:space="preserve">Complainant also </w:t>
      </w:r>
      <w:proofErr w:type="gramStart"/>
      <w:r w:rsidR="00AB048E">
        <w:t>entered into</w:t>
      </w:r>
      <w:proofErr w:type="gramEnd"/>
      <w:r w:rsidR="00AB048E">
        <w:t xml:space="preserve"> financing arrangements with Defendant for multiple</w:t>
      </w:r>
      <w:r w:rsidR="002D750E">
        <w:t xml:space="preserve"> wireless devices. </w:t>
      </w:r>
      <w:r w:rsidR="00386071">
        <w:t xml:space="preserve">From </w:t>
      </w:r>
      <w:r w:rsidR="00726C12">
        <w:t xml:space="preserve">May 2024 to October 2025, Complainant </w:t>
      </w:r>
      <w:r w:rsidR="007259FB">
        <w:t xml:space="preserve">incurred </w:t>
      </w:r>
      <w:r w:rsidR="00C84D0F">
        <w:t>total charges greater than $6,000</w:t>
      </w:r>
      <w:r w:rsidR="008532A4">
        <w:t xml:space="preserve">. Complainant submitted payments totaling </w:t>
      </w:r>
      <w:r w:rsidR="005840BA">
        <w:t xml:space="preserve">$4,003.94, </w:t>
      </w:r>
      <w:r w:rsidR="00946F7E">
        <w:t>of which</w:t>
      </w:r>
      <w:r w:rsidR="00423B15">
        <w:t xml:space="preserve"> $2,279.74</w:t>
      </w:r>
      <w:r w:rsidR="00946F7E">
        <w:t xml:space="preserve"> was reversed</w:t>
      </w:r>
      <w:r w:rsidR="003E7DF4">
        <w:t xml:space="preserve">. Defendant suspended Complainant’s services for nonpayment </w:t>
      </w:r>
      <w:r w:rsidR="00DD6777">
        <w:t>during the following timeframes:</w:t>
      </w:r>
    </w:p>
    <w:p w:rsidR="00DD6777" w:rsidP="000E1C78" w:rsidRDefault="00DD6777" w14:paraId="0B536665" w14:textId="4C92E991">
      <w:pPr>
        <w:pStyle w:val="ListBullet"/>
      </w:pPr>
      <w:r>
        <w:t>June 5, 2024 – June 7, 2024</w:t>
      </w:r>
    </w:p>
    <w:p w:rsidR="00DD6777" w:rsidP="000E1C78" w:rsidRDefault="007E5BA3" w14:paraId="0414D97E" w14:textId="59C496ED">
      <w:pPr>
        <w:pStyle w:val="ListBullet"/>
      </w:pPr>
      <w:r>
        <w:t>September 6, 2024 (service restored on same day)</w:t>
      </w:r>
    </w:p>
    <w:p w:rsidR="007E5BA3" w:rsidP="000E1C78" w:rsidRDefault="007E5BA3" w14:paraId="35572D71" w14:textId="5B56AAB6">
      <w:pPr>
        <w:pStyle w:val="ListBullet"/>
      </w:pPr>
      <w:r>
        <w:t>March 13, 2025 (service restored on same day)</w:t>
      </w:r>
    </w:p>
    <w:p w:rsidR="00C63A40" w:rsidP="000E1C78" w:rsidRDefault="00C63A40" w14:paraId="68DFC985" w14:textId="77777777">
      <w:pPr>
        <w:pStyle w:val="ListBullet"/>
      </w:pPr>
      <w:r>
        <w:t>April 7, 2025 – April 15, 2025</w:t>
      </w:r>
    </w:p>
    <w:p w:rsidR="007E5BA3" w:rsidP="000E1C78" w:rsidRDefault="00C63A40" w14:paraId="758D69F1" w14:textId="4F366D77">
      <w:pPr>
        <w:pStyle w:val="ListBullet"/>
      </w:pPr>
      <w:r>
        <w:lastRenderedPageBreak/>
        <w:t>May 22, 2025 - June 4, 2025</w:t>
      </w:r>
    </w:p>
    <w:p w:rsidR="00C63A40" w:rsidP="000E1C78" w:rsidRDefault="00C63A40" w14:paraId="365DEC78" w14:textId="5452454C">
      <w:pPr>
        <w:pStyle w:val="ListBullet"/>
      </w:pPr>
      <w:r>
        <w:t>June 13, 2025 – June 20, 2025</w:t>
      </w:r>
    </w:p>
    <w:p w:rsidR="00C63A40" w:rsidP="000E1C78" w:rsidRDefault="00095C26" w14:paraId="7A2FB02D" w14:textId="1986FFAF">
      <w:pPr>
        <w:pStyle w:val="ListBullet"/>
      </w:pPr>
      <w:r>
        <w:t>July 18, 2025 – August 29, 2025</w:t>
      </w:r>
    </w:p>
    <w:p w:rsidR="00683B2C" w:rsidP="00B35D59" w:rsidRDefault="00095C26" w14:paraId="13A685E2" w14:textId="15FA009B">
      <w:pPr>
        <w:pStyle w:val="Standard"/>
      </w:pPr>
      <w:r>
        <w:t xml:space="preserve">On August 29, 2025, Defendant cancelled </w:t>
      </w:r>
      <w:r w:rsidR="00DF67E4">
        <w:t xml:space="preserve">Complainant’s account for nonpayment. As of August 29, 2025, Complainant’s outstanding charges </w:t>
      </w:r>
      <w:r w:rsidR="00A647D0">
        <w:t>totaled $5,132.56.</w:t>
      </w:r>
    </w:p>
    <w:p w:rsidR="005A148C" w:rsidP="00806119" w:rsidRDefault="00806119" w14:paraId="766AD9F5" w14:textId="5EA98466">
      <w:pPr>
        <w:pStyle w:val="Heading1"/>
        <w:numPr>
          <w:ilvl w:val="0"/>
          <w:numId w:val="1"/>
        </w:numPr>
      </w:pPr>
      <w:bookmarkStart w:name="_Toc8123718" w:id="4"/>
      <w:bookmarkStart w:name="_Toc133843847" w:id="5"/>
      <w:r>
        <w:t>Complainant’s Contentions</w:t>
      </w:r>
      <w:bookmarkEnd w:id="4"/>
      <w:bookmarkEnd w:id="5"/>
    </w:p>
    <w:p w:rsidR="0063491C" w:rsidP="006E6574" w:rsidRDefault="00CC0212" w14:paraId="7C38884E" w14:textId="199EB63A">
      <w:pPr>
        <w:pStyle w:val="Standard"/>
      </w:pPr>
      <w:r>
        <w:t xml:space="preserve">Complainant </w:t>
      </w:r>
      <w:r w:rsidR="001D7BB6">
        <w:t xml:space="preserve">asserts that Defendant billed him for services not rendered during multiple periods of </w:t>
      </w:r>
      <w:r w:rsidR="00BC0386">
        <w:t>suspended service</w:t>
      </w:r>
      <w:r w:rsidR="001434CB">
        <w:t xml:space="preserve"> </w:t>
      </w:r>
      <w:r w:rsidR="001D7BB6">
        <w:t xml:space="preserve">and </w:t>
      </w:r>
      <w:r w:rsidR="00FC49A1">
        <w:t>provided credits that were not properly applied. Complainant further asserts his account was improperly referred to collections</w:t>
      </w:r>
      <w:r w:rsidR="001E068C">
        <w:t xml:space="preserve"> despite “final credits and adjustments recognized by AT&amp;T’s Office of the President</w:t>
      </w:r>
      <w:r w:rsidR="00CA7BBA">
        <w:t xml:space="preserve">.” Complainant asserts that </w:t>
      </w:r>
      <w:r w:rsidR="003039C8">
        <w:t>Defendant’s interruption of his service directly impacted his ability to attend medical appointments and employment opportunities</w:t>
      </w:r>
      <w:r w:rsidR="0066314F">
        <w:t xml:space="preserve">. </w:t>
      </w:r>
      <w:r w:rsidR="0010517A">
        <w:t xml:space="preserve">The complaint lists the following </w:t>
      </w:r>
      <w:r w:rsidR="009333C7">
        <w:t>“</w:t>
      </w:r>
      <w:r w:rsidR="00200937">
        <w:t>key facts</w:t>
      </w:r>
      <w:r w:rsidR="009333C7">
        <w:t>”</w:t>
      </w:r>
      <w:r w:rsidR="00200937">
        <w:t>:</w:t>
      </w:r>
    </w:p>
    <w:p w:rsidRPr="002E3C9B" w:rsidR="00200937" w:rsidP="00561A4A" w:rsidRDefault="009333C7" w14:paraId="52AD7CE7" w14:textId="78C1956D">
      <w:pPr>
        <w:pStyle w:val="ListBullet"/>
        <w:ind w:right="1440"/>
      </w:pPr>
      <w:r w:rsidRPr="002E3C9B">
        <w:t>“</w:t>
      </w:r>
      <w:r w:rsidRPr="002E3C9B" w:rsidR="00200937">
        <w:t>AT&amp;T provided some credits ($568.23, $10</w:t>
      </w:r>
      <w:r w:rsidRPr="002E3C9B" w:rsidR="006E7896">
        <w:t>0, and $140.90 refund) but continued to claim and attempt to collect a final balance of $1,258.58</w:t>
      </w:r>
      <w:r w:rsidRPr="002E3C9B" w:rsidR="00320669">
        <w:t>.</w:t>
      </w:r>
    </w:p>
    <w:p w:rsidRPr="002E3C9B" w:rsidR="006E7896" w:rsidP="00561A4A" w:rsidRDefault="009333C7" w14:paraId="5985C194" w14:textId="0BC986C8">
      <w:pPr>
        <w:pStyle w:val="ListBullet"/>
        <w:ind w:right="1440"/>
      </w:pPr>
      <w:r w:rsidRPr="002E3C9B">
        <w:t>“</w:t>
      </w:r>
      <w:r w:rsidRPr="002E3C9B" w:rsidR="00320669">
        <w:t>Service was interrupted and repeatedly disconnected from May through August 2025.</w:t>
      </w:r>
    </w:p>
    <w:p w:rsidRPr="002E3C9B" w:rsidR="00320669" w:rsidP="00561A4A" w:rsidRDefault="009333C7" w14:paraId="1F16C61F" w14:textId="19DF6A75">
      <w:pPr>
        <w:pStyle w:val="ListBullet"/>
        <w:ind w:right="1440"/>
      </w:pPr>
      <w:r w:rsidRPr="002E3C9B">
        <w:t>“</w:t>
      </w:r>
      <w:r w:rsidRPr="002E3C9B" w:rsidR="00320669">
        <w:t>My attempts for informal and formal resolution with both AT&amp;T and regulatory agencies have not resulted in fair relief.</w:t>
      </w:r>
    </w:p>
    <w:p w:rsidRPr="002E3C9B" w:rsidR="00320669" w:rsidP="00561A4A" w:rsidRDefault="009333C7" w14:paraId="6C934C47" w14:textId="5D9D6463">
      <w:pPr>
        <w:pStyle w:val="ListBullet"/>
        <w:ind w:right="1440"/>
      </w:pPr>
      <w:r w:rsidRPr="002E3C9B">
        <w:t>“</w:t>
      </w:r>
      <w:r w:rsidRPr="002E3C9B" w:rsidR="00320669">
        <w:t>The disputed amount was sent to collections despite AT&amp;T admitting the existence of credits and errors.</w:t>
      </w:r>
      <w:r w:rsidRPr="002E3C9B">
        <w:t>”</w:t>
      </w:r>
      <w:r w:rsidRPr="002E3C9B" w:rsidR="00A818CB">
        <w:rPr>
          <w:rStyle w:val="FootnoteReference"/>
        </w:rPr>
        <w:footnoteReference w:id="3"/>
      </w:r>
    </w:p>
    <w:p w:rsidRPr="0063491C" w:rsidR="001765D9" w:rsidP="001765D9" w:rsidRDefault="001765D9" w14:paraId="1D35511B" w14:textId="77BE857E">
      <w:pPr>
        <w:pStyle w:val="Standard"/>
      </w:pPr>
      <w:r>
        <w:t xml:space="preserve">The complaint asks the Commission to determine whether AT&amp;T billed </w:t>
      </w:r>
      <w:r w:rsidR="00561178">
        <w:t xml:space="preserve">Complainant </w:t>
      </w:r>
      <w:r>
        <w:t xml:space="preserve">for services not provided, failed to properly apply credits, and </w:t>
      </w:r>
      <w:r>
        <w:lastRenderedPageBreak/>
        <w:t>improperly referred the balance to collections after confirming errors and credits.</w:t>
      </w:r>
      <w:r w:rsidR="00443E0C">
        <w:rPr>
          <w:rStyle w:val="FootnoteReference"/>
        </w:rPr>
        <w:footnoteReference w:id="4"/>
      </w:r>
      <w:r w:rsidR="000156F3">
        <w:t xml:space="preserve"> The complaint requests that </w:t>
      </w:r>
      <w:r w:rsidR="00A818CB">
        <w:t>“</w:t>
      </w:r>
      <w:r w:rsidR="000156F3">
        <w:t>AT&amp;T be ordered to remove all charges for periods without service, apply all acknowledged credits, withdraw my account from collections, and correct my consumer record.”</w:t>
      </w:r>
      <w:r w:rsidR="00443E0C">
        <w:rPr>
          <w:rStyle w:val="FootnoteReference"/>
        </w:rPr>
        <w:footnoteReference w:id="5"/>
      </w:r>
    </w:p>
    <w:p w:rsidR="005A148C" w:rsidP="00806119" w:rsidRDefault="00806119" w14:paraId="1FD225BA" w14:textId="4EBF87CF">
      <w:pPr>
        <w:pStyle w:val="Heading1"/>
        <w:numPr>
          <w:ilvl w:val="0"/>
          <w:numId w:val="1"/>
        </w:numPr>
      </w:pPr>
      <w:r>
        <w:t>Defendant’s Contentions</w:t>
      </w:r>
    </w:p>
    <w:p w:rsidR="005939A5" w:rsidP="00A44E8D" w:rsidRDefault="00DC0779" w14:paraId="5BFE211E" w14:textId="32E9A565">
      <w:pPr>
        <w:pStyle w:val="Standard"/>
      </w:pPr>
      <w:r>
        <w:t xml:space="preserve">Defendant denies </w:t>
      </w:r>
      <w:r w:rsidR="001434CB">
        <w:t>all</w:t>
      </w:r>
      <w:r w:rsidR="00000D7C">
        <w:t xml:space="preserve"> allegation</w:t>
      </w:r>
      <w:r w:rsidR="00BD3613">
        <w:t>s</w:t>
      </w:r>
      <w:r w:rsidR="00000D7C">
        <w:t xml:space="preserve"> of the complaint and further denies that Complainant is entitled to any relief.</w:t>
      </w:r>
      <w:r w:rsidR="00C22606">
        <w:rPr>
          <w:rStyle w:val="FootnoteReference"/>
        </w:rPr>
        <w:footnoteReference w:id="6"/>
      </w:r>
      <w:r w:rsidR="00000D7C">
        <w:t xml:space="preserve"> </w:t>
      </w:r>
    </w:p>
    <w:p w:rsidR="005939A5" w:rsidP="00806119" w:rsidRDefault="005939A5" w14:paraId="3F495FDA" w14:textId="5C8E36EB">
      <w:pPr>
        <w:pStyle w:val="Heading1"/>
        <w:numPr>
          <w:ilvl w:val="0"/>
          <w:numId w:val="1"/>
        </w:numPr>
      </w:pPr>
      <w:bookmarkStart w:name="_Toc8123720" w:id="6"/>
      <w:bookmarkStart w:name="_Toc133843849" w:id="7"/>
      <w:r>
        <w:t>Discussion</w:t>
      </w:r>
      <w:bookmarkEnd w:id="6"/>
      <w:bookmarkEnd w:id="7"/>
    </w:p>
    <w:p w:rsidR="0073353F" w:rsidP="006E6574" w:rsidRDefault="00241345" w14:paraId="7CEF13DF" w14:textId="62F34AAE">
      <w:pPr>
        <w:pStyle w:val="Standard"/>
      </w:pPr>
      <w:r>
        <w:t xml:space="preserve">To succeed in an expedited complaint, Complainant bears the burden of proving, by a preponderance of evidence, that </w:t>
      </w:r>
      <w:r w:rsidR="004551A8">
        <w:t xml:space="preserve">Defendant violated an applicable law, rule, tariff or statute administered by the Commission. Here, Complainant </w:t>
      </w:r>
      <w:r w:rsidR="00B816C5">
        <w:t xml:space="preserve">alleges that </w:t>
      </w:r>
      <w:r w:rsidR="00434679">
        <w:t>Defendant charged him for services not provided</w:t>
      </w:r>
      <w:r w:rsidR="003265A3">
        <w:t xml:space="preserve">, failed to properly apply credits, and improperly </w:t>
      </w:r>
      <w:proofErr w:type="gramStart"/>
      <w:r w:rsidR="003265A3">
        <w:t>referred</w:t>
      </w:r>
      <w:proofErr w:type="gramEnd"/>
      <w:r w:rsidR="003265A3">
        <w:t xml:space="preserve"> </w:t>
      </w:r>
      <w:r w:rsidR="00D82408">
        <w:t>the balance</w:t>
      </w:r>
      <w:r w:rsidR="0022507D">
        <w:t xml:space="preserve"> of </w:t>
      </w:r>
      <w:r w:rsidR="00A73919">
        <w:t xml:space="preserve">Complainant’s </w:t>
      </w:r>
      <w:r w:rsidR="006B62E8">
        <w:t>outstanding charges</w:t>
      </w:r>
      <w:r w:rsidR="00D82408">
        <w:t xml:space="preserve"> to collections</w:t>
      </w:r>
      <w:r w:rsidR="004551A8">
        <w:t xml:space="preserve">. </w:t>
      </w:r>
    </w:p>
    <w:p w:rsidR="007F37A2" w:rsidP="00051FD7" w:rsidRDefault="00E404BF" w14:paraId="7F1B3B7F" w14:textId="17D11C78">
      <w:pPr>
        <w:pStyle w:val="Heading2"/>
        <w:numPr>
          <w:ilvl w:val="1"/>
          <w:numId w:val="1"/>
        </w:numPr>
      </w:pPr>
      <w:r>
        <w:t>Charging for services not provided</w:t>
      </w:r>
    </w:p>
    <w:p w:rsidRPr="00F92914" w:rsidR="00F92914" w:rsidP="00F92914" w:rsidRDefault="00C60FB2" w14:paraId="2458C936" w14:textId="487ADB2C">
      <w:pPr>
        <w:pStyle w:val="Standard"/>
      </w:pPr>
      <w:r>
        <w:t xml:space="preserve">Complainant alleges that Defendant </w:t>
      </w:r>
      <w:r w:rsidR="005A744D">
        <w:t xml:space="preserve">charged </w:t>
      </w:r>
      <w:r w:rsidR="006B62E8">
        <w:t xml:space="preserve">him </w:t>
      </w:r>
      <w:r w:rsidR="005A744D">
        <w:t>for time periods during which Defendant had suspended or cancelled service.</w:t>
      </w:r>
      <w:r w:rsidR="0064237B">
        <w:t xml:space="preserve"> Defendant </w:t>
      </w:r>
      <w:r w:rsidR="004E1493">
        <w:t xml:space="preserve">confirms that </w:t>
      </w:r>
      <w:r w:rsidR="001434CB">
        <w:t>it charged</w:t>
      </w:r>
      <w:r w:rsidR="004E1493">
        <w:t xml:space="preserve"> Complainant for time periods during which service was </w:t>
      </w:r>
      <w:r w:rsidR="00B11FF1">
        <w:t xml:space="preserve">suspended or cancelled, and </w:t>
      </w:r>
      <w:r w:rsidR="00953982">
        <w:t>states these charges are consistent with</w:t>
      </w:r>
      <w:r w:rsidR="00B11FF1">
        <w:t xml:space="preserve"> the terms and conditions of Complainant’s service agreement</w:t>
      </w:r>
      <w:r w:rsidR="00953982">
        <w:t xml:space="preserve">. We find that Defendant acted improperly </w:t>
      </w:r>
      <w:r w:rsidR="00690B7D">
        <w:t>in maintaining that Complainant should pay for services he did not receive</w:t>
      </w:r>
      <w:r w:rsidR="0006197C">
        <w:t xml:space="preserve">. </w:t>
      </w:r>
      <w:r w:rsidR="00BA5A02">
        <w:t xml:space="preserve">According to </w:t>
      </w:r>
      <w:r w:rsidR="00E0167F">
        <w:t xml:space="preserve">Defendant’s billing records, Defendant </w:t>
      </w:r>
      <w:r w:rsidR="00CC33A0">
        <w:t>assessed</w:t>
      </w:r>
      <w:r w:rsidR="00E0167F">
        <w:t xml:space="preserve"> a total of </w:t>
      </w:r>
      <w:r w:rsidR="00423255">
        <w:t xml:space="preserve">$720.60 </w:t>
      </w:r>
      <w:r w:rsidR="00CC33A0">
        <w:t xml:space="preserve">to </w:t>
      </w:r>
      <w:r w:rsidR="00CC33A0">
        <w:lastRenderedPageBreak/>
        <w:t xml:space="preserve">Complainant’s account </w:t>
      </w:r>
      <w:r w:rsidR="00525288">
        <w:t xml:space="preserve">for time periods </w:t>
      </w:r>
      <w:r w:rsidR="00246C6F">
        <w:t>during which service was suspended or cancelled.</w:t>
      </w:r>
      <w:r w:rsidR="00EF03FF">
        <w:rPr>
          <w:rStyle w:val="FootnoteReference"/>
        </w:rPr>
        <w:footnoteReference w:id="7"/>
      </w:r>
      <w:r w:rsidR="00246C6F">
        <w:t xml:space="preserve"> </w:t>
      </w:r>
      <w:r w:rsidR="0006197C">
        <w:t xml:space="preserve">Defendant shall reduce Complainant’s outstanding account balance by </w:t>
      </w:r>
      <w:r w:rsidR="00D901EF">
        <w:t>$720.60.</w:t>
      </w:r>
    </w:p>
    <w:p w:rsidR="00E404BF" w:rsidP="00F4231F" w:rsidRDefault="003A1735" w14:paraId="7B82F949" w14:textId="5009659D">
      <w:pPr>
        <w:pStyle w:val="Heading2"/>
        <w:numPr>
          <w:ilvl w:val="1"/>
          <w:numId w:val="1"/>
        </w:numPr>
      </w:pPr>
      <w:r>
        <w:t>Alleged improper application of credits</w:t>
      </w:r>
    </w:p>
    <w:p w:rsidRPr="00CC4636" w:rsidR="00CC4636" w:rsidP="00CC4636" w:rsidRDefault="007167A7" w14:paraId="7057A0EB" w14:textId="2EE740CF">
      <w:pPr>
        <w:pStyle w:val="Standard"/>
      </w:pPr>
      <w:r>
        <w:t xml:space="preserve">Complainant alleges that </w:t>
      </w:r>
      <w:r w:rsidR="00D454C8">
        <w:t>Defendant improperly or incorrectly applied credits</w:t>
      </w:r>
      <w:r w:rsidR="00927B8E">
        <w:t xml:space="preserve"> to Complainant’s </w:t>
      </w:r>
      <w:r w:rsidR="00114E5E">
        <w:t xml:space="preserve">account balance. Defendant confirms that it provided </w:t>
      </w:r>
      <w:r w:rsidR="00F509FD">
        <w:t>courtesy credits</w:t>
      </w:r>
      <w:r w:rsidR="00B6616F">
        <w:t xml:space="preserve"> of </w:t>
      </w:r>
      <w:r w:rsidR="00E56E9C">
        <w:t>$563.19</w:t>
      </w:r>
      <w:r w:rsidR="001434CB">
        <w:t>, which was applied to the Complainant’s bill. Defendant</w:t>
      </w:r>
      <w:r w:rsidR="00F509FD">
        <w:t xml:space="preserve"> denies Complainant’s allegation of improper application of credits.</w:t>
      </w:r>
      <w:r w:rsidR="00113526">
        <w:rPr>
          <w:rStyle w:val="FootnoteReference"/>
        </w:rPr>
        <w:footnoteReference w:id="8"/>
      </w:r>
      <w:r w:rsidR="00D454C8">
        <w:t xml:space="preserve"> </w:t>
      </w:r>
      <w:r w:rsidR="00E253EE">
        <w:t xml:space="preserve">We find </w:t>
      </w:r>
      <w:r w:rsidR="00B6616F">
        <w:t xml:space="preserve">that the Complainant has not demonstrated by a preponderance of the evidence that Defendant has violated </w:t>
      </w:r>
      <w:r w:rsidR="00E253EE">
        <w:t>a</w:t>
      </w:r>
      <w:r w:rsidR="00B6616F">
        <w:t>n applicable law, rule, tariff or statute with regards to this allegation</w:t>
      </w:r>
      <w:r w:rsidR="001504A6">
        <w:t>.</w:t>
      </w:r>
      <w:r w:rsidR="00E253EE">
        <w:t xml:space="preserve"> </w:t>
      </w:r>
    </w:p>
    <w:p w:rsidR="003A1735" w:rsidP="00F4231F" w:rsidRDefault="003A1735" w14:paraId="01627B5C" w14:textId="4C480EDB">
      <w:pPr>
        <w:pStyle w:val="Heading2"/>
        <w:numPr>
          <w:ilvl w:val="1"/>
          <w:numId w:val="1"/>
        </w:numPr>
      </w:pPr>
      <w:r>
        <w:t>Alleged improper referral of account balance to collections</w:t>
      </w:r>
    </w:p>
    <w:p w:rsidRPr="00CC4636" w:rsidR="00CC4636" w:rsidP="00CC4636" w:rsidRDefault="001504A6" w14:paraId="7B39E11B" w14:textId="5D9F53E0">
      <w:pPr>
        <w:pStyle w:val="Standard"/>
      </w:pPr>
      <w:r>
        <w:t xml:space="preserve">Complainant alleges that </w:t>
      </w:r>
      <w:r w:rsidR="00D76674">
        <w:t xml:space="preserve">Defendant </w:t>
      </w:r>
      <w:r w:rsidR="00FD05E5">
        <w:t>improperly referred Complainant’s account balance to a</w:t>
      </w:r>
      <w:r w:rsidR="00710E6E">
        <w:t xml:space="preserve">n outside collection agency. Defendant </w:t>
      </w:r>
      <w:r w:rsidR="00943F56">
        <w:t>does not deny</w:t>
      </w:r>
      <w:r w:rsidR="00710E6E">
        <w:t xml:space="preserve"> that it refer</w:t>
      </w:r>
      <w:r w:rsidR="000B1034">
        <w:t>red</w:t>
      </w:r>
      <w:r w:rsidR="00710E6E">
        <w:t xml:space="preserve"> Complainant’s account to an outside collection agency</w:t>
      </w:r>
      <w:r w:rsidR="000B1034">
        <w:t>, noting that</w:t>
      </w:r>
      <w:r w:rsidR="00377434">
        <w:t xml:space="preserve"> it suspended and subsequently cancelled</w:t>
      </w:r>
      <w:r w:rsidR="006D46D6">
        <w:t xml:space="preserve"> service to</w:t>
      </w:r>
      <w:r w:rsidR="00710E6E">
        <w:t xml:space="preserve"> </w:t>
      </w:r>
      <w:r w:rsidR="004C083F">
        <w:t xml:space="preserve">Complainant </w:t>
      </w:r>
      <w:r w:rsidR="006D46D6">
        <w:t>due to non</w:t>
      </w:r>
      <w:r w:rsidR="009A4428">
        <w:t xml:space="preserve">payment. At the time of cancellation, Complainant </w:t>
      </w:r>
      <w:r w:rsidR="004C083F">
        <w:t xml:space="preserve">owed an outstanding balance of </w:t>
      </w:r>
      <w:r w:rsidR="00E3752B">
        <w:t>$5,132,56.</w:t>
      </w:r>
      <w:r w:rsidR="002A7E79">
        <w:rPr>
          <w:rStyle w:val="FootnoteReference"/>
        </w:rPr>
        <w:footnoteReference w:id="9"/>
      </w:r>
      <w:r w:rsidR="00E3752B">
        <w:t xml:space="preserve"> </w:t>
      </w:r>
      <w:r w:rsidR="001434CB">
        <w:t>There are consequences to non-payment of bills</w:t>
      </w:r>
      <w:r w:rsidR="00844628">
        <w:t xml:space="preserve"> and Complainant was </w:t>
      </w:r>
      <w:proofErr w:type="gramStart"/>
      <w:r w:rsidR="00844628">
        <w:t>apprised</w:t>
      </w:r>
      <w:proofErr w:type="gramEnd"/>
      <w:r w:rsidR="00844628">
        <w:t xml:space="preserve"> of this by the service agreement</w:t>
      </w:r>
      <w:r w:rsidR="001434CB">
        <w:t xml:space="preserve">. </w:t>
      </w:r>
      <w:r w:rsidR="00E3752B">
        <w:t xml:space="preserve">We find that the Complainant has not demonstrated by a preponderance of the evidence that </w:t>
      </w:r>
      <w:r w:rsidR="00E3752B">
        <w:lastRenderedPageBreak/>
        <w:t>Defendant has violated an applicable law, rule, tariff or statute with regards to this allegation.</w:t>
      </w:r>
    </w:p>
    <w:p w:rsidR="00051FD7" w:rsidP="007A6B55" w:rsidRDefault="00051FD7" w14:paraId="3B4078BB" w14:textId="77777777">
      <w:pPr>
        <w:pStyle w:val="Heading1"/>
        <w:numPr>
          <w:ilvl w:val="0"/>
          <w:numId w:val="1"/>
        </w:numPr>
      </w:pPr>
      <w:r>
        <w:t>Conclusion</w:t>
      </w:r>
    </w:p>
    <w:p w:rsidR="007F37A2" w:rsidP="00051FD7" w:rsidRDefault="00B70173" w14:paraId="245B6514" w14:textId="15961F6E">
      <w:pPr>
        <w:pStyle w:val="Standard"/>
      </w:pPr>
      <w:r>
        <w:t xml:space="preserve">For all the reasons discussed above, we find that Complainant has failed to show that Defendant violated any applicable Commission rule, law, tariff or statute. We find that Defendant acted </w:t>
      </w:r>
      <w:r w:rsidR="00207656">
        <w:t xml:space="preserve">unreasonably in demanding payment for time periods during which </w:t>
      </w:r>
      <w:r w:rsidR="00AE301A">
        <w:t xml:space="preserve">Complainant’s service was suspended or cancelled. Defendant shall </w:t>
      </w:r>
      <w:r w:rsidR="00D2144F">
        <w:t xml:space="preserve">reduce the amount of Complainant’s outstanding charges by </w:t>
      </w:r>
      <w:r w:rsidR="0022689D">
        <w:t>$720.60.</w:t>
      </w:r>
    </w:p>
    <w:p w:rsidR="0022689D" w:rsidP="006E6574" w:rsidRDefault="0022689D" w14:paraId="7D21357D" w14:textId="0E6EAF62">
      <w:pPr>
        <w:pStyle w:val="Standard"/>
      </w:pPr>
      <w:r>
        <w:t>The Complaint is granted in part and denied in part. The proceeding is closed.</w:t>
      </w:r>
    </w:p>
    <w:p w:rsidR="004A1EAD" w:rsidP="00806119" w:rsidRDefault="004A1EAD" w14:paraId="31566ED0" w14:textId="77777777">
      <w:pPr>
        <w:pStyle w:val="Heading1"/>
        <w:numPr>
          <w:ilvl w:val="0"/>
          <w:numId w:val="1"/>
        </w:numPr>
      </w:pPr>
      <w:bookmarkStart w:name="_Toc8123723" w:id="8"/>
      <w:bookmarkStart w:name="_Toc133843854" w:id="9"/>
      <w:r>
        <w:t>Procedural Matters</w:t>
      </w:r>
    </w:p>
    <w:p w:rsidR="00020876" w:rsidP="004A1EAD" w:rsidRDefault="00020876" w14:paraId="432A86EE" w14:textId="617E8680">
      <w:pPr>
        <w:pStyle w:val="Standard"/>
      </w:pPr>
      <w:r>
        <w:t xml:space="preserve">On </w:t>
      </w:r>
      <w:r w:rsidR="00C75FCF">
        <w:t>February 13</w:t>
      </w:r>
      <w:r>
        <w:t xml:space="preserve">, 2026, Defendant filed a motion </w:t>
      </w:r>
      <w:r w:rsidR="008804F0">
        <w:t xml:space="preserve">to file under seal </w:t>
      </w:r>
      <w:r w:rsidR="00B644D3">
        <w:t>Attachments A and B to</w:t>
      </w:r>
      <w:r w:rsidR="008804F0">
        <w:t xml:space="preserve"> its </w:t>
      </w:r>
      <w:r w:rsidR="00C75FCF">
        <w:t>February 13</w:t>
      </w:r>
      <w:r w:rsidR="008804F0">
        <w:t xml:space="preserve">, </w:t>
      </w:r>
      <w:proofErr w:type="gramStart"/>
      <w:r w:rsidR="008804F0">
        <w:t>2026</w:t>
      </w:r>
      <w:proofErr w:type="gramEnd"/>
      <w:r w:rsidR="008804F0">
        <w:t xml:space="preserve"> response.</w:t>
      </w:r>
      <w:r w:rsidR="00B644D3">
        <w:t xml:space="preserve"> Defendant </w:t>
      </w:r>
      <w:r w:rsidR="004951DC">
        <w:t xml:space="preserve">states that these documents contain </w:t>
      </w:r>
      <w:r w:rsidR="009B77A2">
        <w:t>confidential customer information, and that Defendant has duties under California and federal law to protect confidential subscriber information</w:t>
      </w:r>
      <w:r w:rsidR="00226152">
        <w:t>.</w:t>
      </w:r>
    </w:p>
    <w:p w:rsidR="006311D7" w:rsidP="004A1EAD" w:rsidRDefault="006311D7" w14:paraId="2984A929" w14:textId="0894F74D">
      <w:pPr>
        <w:pStyle w:val="Standard"/>
      </w:pPr>
      <w:r>
        <w:t xml:space="preserve">On </w:t>
      </w:r>
      <w:r w:rsidR="00093289">
        <w:t>March 20</w:t>
      </w:r>
      <w:r>
        <w:t xml:space="preserve">, 2026, </w:t>
      </w:r>
      <w:r w:rsidR="00093289">
        <w:t xml:space="preserve">Defendant filed a motion to file under seal Attachments A and B to its </w:t>
      </w:r>
      <w:r w:rsidR="005A7B18">
        <w:t>March</w:t>
      </w:r>
      <w:r w:rsidR="00093289">
        <w:t xml:space="preserve"> </w:t>
      </w:r>
      <w:r w:rsidR="005A7B18">
        <w:t>20</w:t>
      </w:r>
      <w:r w:rsidR="00093289">
        <w:t xml:space="preserve">, </w:t>
      </w:r>
      <w:proofErr w:type="gramStart"/>
      <w:r w:rsidR="00093289">
        <w:t>2026</w:t>
      </w:r>
      <w:proofErr w:type="gramEnd"/>
      <w:r w:rsidR="00093289">
        <w:t xml:space="preserve"> response. Defendant states that these documents contain confidential customer information, and that Defendant has </w:t>
      </w:r>
      <w:r w:rsidR="00EE4FCD">
        <w:t xml:space="preserve">a </w:t>
      </w:r>
      <w:r w:rsidR="00093289">
        <w:t>dut</w:t>
      </w:r>
      <w:r w:rsidR="00EE4FCD">
        <w:t>y</w:t>
      </w:r>
      <w:r w:rsidR="00093289">
        <w:t xml:space="preserve"> to protect confidential information</w:t>
      </w:r>
      <w:r w:rsidR="00EE4FCD">
        <w:t xml:space="preserve"> belonging to its customers</w:t>
      </w:r>
      <w:r w:rsidR="00093289">
        <w:t>.</w:t>
      </w:r>
    </w:p>
    <w:p w:rsidR="0038023E" w:rsidP="004A1EAD" w:rsidRDefault="0038023E" w14:paraId="2169A71E" w14:textId="20C36A7E">
      <w:pPr>
        <w:pStyle w:val="Standard"/>
      </w:pPr>
      <w:r>
        <w:t xml:space="preserve">On April 1, 2026, Defendant filed a motion to file under seal Attachment </w:t>
      </w:r>
      <w:r w:rsidR="00153431">
        <w:t>E</w:t>
      </w:r>
      <w:r>
        <w:t xml:space="preserve"> to its </w:t>
      </w:r>
      <w:r w:rsidR="00153431">
        <w:t>April</w:t>
      </w:r>
      <w:r>
        <w:t xml:space="preserve"> </w:t>
      </w:r>
      <w:r w:rsidR="00153431">
        <w:t>1</w:t>
      </w:r>
      <w:r>
        <w:t xml:space="preserve">, </w:t>
      </w:r>
      <w:proofErr w:type="gramStart"/>
      <w:r>
        <w:t>2026</w:t>
      </w:r>
      <w:proofErr w:type="gramEnd"/>
      <w:r>
        <w:t xml:space="preserve"> response. Defendant states that these documents contain customer </w:t>
      </w:r>
      <w:r w:rsidR="00AD0D79">
        <w:t xml:space="preserve">network proprietary </w:t>
      </w:r>
      <w:r>
        <w:t xml:space="preserve">information, and that Defendant has a duty to protect </w:t>
      </w:r>
      <w:r w:rsidR="005A31C9">
        <w:t>such</w:t>
      </w:r>
      <w:r>
        <w:t xml:space="preserve"> information </w:t>
      </w:r>
      <w:r w:rsidR="005A31C9">
        <w:t>under 47 U.S.C. Section 222.</w:t>
      </w:r>
    </w:p>
    <w:p w:rsidR="006311D7" w:rsidP="004A1EAD" w:rsidRDefault="006311D7" w14:paraId="158948AF" w14:textId="682E3922">
      <w:pPr>
        <w:pStyle w:val="Standard"/>
      </w:pPr>
      <w:r>
        <w:lastRenderedPageBreak/>
        <w:t>The Commission received no objection or other response</w:t>
      </w:r>
      <w:r w:rsidR="000D023A">
        <w:t xml:space="preserve"> to </w:t>
      </w:r>
      <w:r w:rsidR="005A31C9">
        <w:t>any</w:t>
      </w:r>
      <w:r w:rsidR="000D023A">
        <w:t xml:space="preserve"> of Defendant’s motions</w:t>
      </w:r>
      <w:r w:rsidR="007467B9">
        <w:t xml:space="preserve"> for confidential treatment</w:t>
      </w:r>
      <w:r w:rsidR="000D023A">
        <w:t xml:space="preserve">. </w:t>
      </w:r>
      <w:r w:rsidR="005E302F">
        <w:t xml:space="preserve">We have reviewed the </w:t>
      </w:r>
      <w:r w:rsidR="00BA35CB">
        <w:t>identified information and confirm</w:t>
      </w:r>
      <w:r w:rsidR="003E44D7">
        <w:t xml:space="preserve"> that it contains confidential customer information that </w:t>
      </w:r>
      <w:r w:rsidR="00DB6535">
        <w:t>should be filed under seal. We therefore grant Defendant’s February 13, 2026</w:t>
      </w:r>
      <w:r w:rsidR="007467B9">
        <w:t>,</w:t>
      </w:r>
      <w:r w:rsidR="00DB6535">
        <w:t xml:space="preserve"> March </w:t>
      </w:r>
      <w:r w:rsidR="007467B9">
        <w:t>20</w:t>
      </w:r>
      <w:r w:rsidR="00DB6535">
        <w:t>, 2026</w:t>
      </w:r>
      <w:r w:rsidR="007467B9">
        <w:t xml:space="preserve">, and April 1, </w:t>
      </w:r>
      <w:proofErr w:type="gramStart"/>
      <w:r w:rsidR="007467B9">
        <w:t>2026</w:t>
      </w:r>
      <w:proofErr w:type="gramEnd"/>
      <w:r w:rsidR="00DB6535">
        <w:t xml:space="preserve"> motions.</w:t>
      </w:r>
    </w:p>
    <w:p w:rsidRPr="008B175A" w:rsidR="004A1EAD" w:rsidP="004A1EAD" w:rsidRDefault="004A1EAD" w14:paraId="5BE5FD59" w14:textId="71522366">
      <w:pPr>
        <w:pStyle w:val="Standard"/>
      </w:pPr>
      <w:r w:rsidRPr="008B175A">
        <w:t xml:space="preserve">This decision affirms all rulings made by the Administrative Law Judge and assigned Commissioner in this proceeding. All </w:t>
      </w:r>
      <w:r w:rsidR="00D93B7A">
        <w:t xml:space="preserve">other </w:t>
      </w:r>
      <w:r w:rsidRPr="008B175A">
        <w:t xml:space="preserve">motions not </w:t>
      </w:r>
      <w:proofErr w:type="gramStart"/>
      <w:r w:rsidRPr="008B175A">
        <w:t>ruled</w:t>
      </w:r>
      <w:proofErr w:type="gramEnd"/>
      <w:r w:rsidRPr="008B175A">
        <w:t xml:space="preserve"> on are denied.</w:t>
      </w:r>
    </w:p>
    <w:p w:rsidR="005939A5" w:rsidP="00806119" w:rsidRDefault="0085140F" w14:paraId="21352CBB" w14:textId="14FE411C">
      <w:pPr>
        <w:pStyle w:val="Heading1"/>
        <w:numPr>
          <w:ilvl w:val="0"/>
          <w:numId w:val="1"/>
        </w:numPr>
      </w:pPr>
      <w:r>
        <w:t xml:space="preserve">Waiver of </w:t>
      </w:r>
      <w:r w:rsidR="005939A5">
        <w:t>Comment</w:t>
      </w:r>
      <w:r>
        <w:t xml:space="preserve"> Period</w:t>
      </w:r>
      <w:bookmarkEnd w:id="8"/>
      <w:bookmarkEnd w:id="9"/>
    </w:p>
    <w:p w:rsidR="00297D02" w:rsidP="005C58FA" w:rsidRDefault="00297D02" w14:paraId="08385809" w14:textId="5819C1AD">
      <w:pPr>
        <w:pStyle w:val="Standard"/>
      </w:pPr>
      <w:r w:rsidRPr="00297D02">
        <w:t>Under Rule 14.7(b), the Commission may waive the otherwise applicable 30-day period for public review and comment on the decision of the assigned ALJ in a complaint under the expedited complaint procedure. Under the circumstances of this case, it is appropriate to waive the 30-day period for public review and comment.</w:t>
      </w:r>
    </w:p>
    <w:p w:rsidR="005939A5" w:rsidP="00806119" w:rsidRDefault="005939A5" w14:paraId="23F2DE62" w14:textId="77777777">
      <w:pPr>
        <w:pStyle w:val="Heading1"/>
        <w:numPr>
          <w:ilvl w:val="0"/>
          <w:numId w:val="1"/>
        </w:numPr>
      </w:pPr>
      <w:bookmarkStart w:name="_Toc8123724" w:id="10"/>
      <w:bookmarkStart w:name="_Toc133843855" w:id="11"/>
      <w:r>
        <w:t>Assignment of Proceeding</w:t>
      </w:r>
      <w:bookmarkEnd w:id="10"/>
      <w:bookmarkEnd w:id="11"/>
    </w:p>
    <w:p w:rsidR="005939A5" w:rsidP="006E6574" w:rsidRDefault="009315EF" w14:paraId="374A22EE" w14:textId="602EE1B6">
      <w:pPr>
        <w:pStyle w:val="Standard"/>
      </w:pPr>
      <w:r>
        <w:t>Commissioner Karen Douglas</w:t>
      </w:r>
      <w:r w:rsidR="005939A5">
        <w:t xml:space="preserve"> is the assigned Commissioner and </w:t>
      </w:r>
      <w:r>
        <w:t>Valerie U. Kao</w:t>
      </w:r>
      <w:r w:rsidR="005939A5">
        <w:t xml:space="preserve"> is the assigned Administrative Law Judge in this proceeding.</w:t>
      </w:r>
    </w:p>
    <w:p w:rsidR="00BB0243" w:rsidP="000A6E05" w:rsidRDefault="005939A5" w14:paraId="1CBB3376" w14:textId="77777777">
      <w:pPr>
        <w:pStyle w:val="Mainex"/>
      </w:pPr>
      <w:bookmarkStart w:name="_Toc133843858" w:id="12"/>
      <w:r>
        <w:t>O</w:t>
      </w:r>
      <w:r w:rsidR="00722850">
        <w:t>RDER</w:t>
      </w:r>
      <w:bookmarkEnd w:id="12"/>
    </w:p>
    <w:p w:rsidR="00BB0243" w:rsidP="000A6E05" w:rsidRDefault="00BB0243" w14:paraId="54B1F328" w14:textId="77777777">
      <w:pPr>
        <w:keepNext/>
      </w:pPr>
      <w:r w:rsidRPr="00BB0243">
        <w:rPr>
          <w:b/>
        </w:rPr>
        <w:t>IT IS ORDERED</w:t>
      </w:r>
      <w:r>
        <w:t xml:space="preserve"> that:</w:t>
      </w:r>
    </w:p>
    <w:p w:rsidR="000D023A" w:rsidP="001E2A62" w:rsidRDefault="000D023A" w14:paraId="38661115" w14:textId="4A716EDA">
      <w:pPr>
        <w:pStyle w:val="OP"/>
      </w:pPr>
      <w:r>
        <w:t xml:space="preserve">Defendant’s </w:t>
      </w:r>
      <w:r w:rsidR="00C75FCF">
        <w:t>February 13</w:t>
      </w:r>
      <w:r>
        <w:t xml:space="preserve">, </w:t>
      </w:r>
      <w:proofErr w:type="gramStart"/>
      <w:r>
        <w:t>2026</w:t>
      </w:r>
      <w:proofErr w:type="gramEnd"/>
      <w:r>
        <w:t xml:space="preserve"> </w:t>
      </w:r>
      <w:r w:rsidR="001A592F">
        <w:t xml:space="preserve">motion </w:t>
      </w:r>
      <w:r w:rsidR="0085436D">
        <w:t>is</w:t>
      </w:r>
      <w:r w:rsidR="001A592F">
        <w:t xml:space="preserve"> granted.</w:t>
      </w:r>
      <w:r w:rsidR="00E061DF">
        <w:t xml:space="preserve"> The identified information shall be received under seal, shall remain under seal, and shall not be made accessible to the public or disclosed to anyone other than Commission staff, except upon further order or ruling of the Commission.</w:t>
      </w:r>
    </w:p>
    <w:p w:rsidR="0085436D" w:rsidP="001E2A62" w:rsidRDefault="0085436D" w14:paraId="0A9C5E04" w14:textId="10E8A51A">
      <w:pPr>
        <w:pStyle w:val="OP"/>
      </w:pPr>
      <w:r>
        <w:t xml:space="preserve">Defendant’s </w:t>
      </w:r>
      <w:r w:rsidR="008C41DB">
        <w:t>March 20</w:t>
      </w:r>
      <w:r>
        <w:t xml:space="preserve">, </w:t>
      </w:r>
      <w:proofErr w:type="gramStart"/>
      <w:r>
        <w:t>2026</w:t>
      </w:r>
      <w:proofErr w:type="gramEnd"/>
      <w:r w:rsidR="00A656A1">
        <w:t xml:space="preserve"> motion is granted. The identified information shall be received under seal, shall remain under seal, and shall not be made </w:t>
      </w:r>
      <w:r w:rsidR="00A656A1">
        <w:lastRenderedPageBreak/>
        <w:t>accessible to the public or disclosed to anyone other than Commission staff, except upon further order or ruling of the Commission.</w:t>
      </w:r>
    </w:p>
    <w:p w:rsidR="008C41DB" w:rsidP="001E2A62" w:rsidRDefault="008C41DB" w14:paraId="0DF9699A" w14:textId="2BC7D943">
      <w:pPr>
        <w:pStyle w:val="OP"/>
      </w:pPr>
      <w:r>
        <w:t xml:space="preserve">Defendant’s April 1, </w:t>
      </w:r>
      <w:proofErr w:type="gramStart"/>
      <w:r>
        <w:t>2026</w:t>
      </w:r>
      <w:proofErr w:type="gramEnd"/>
      <w:r>
        <w:t xml:space="preserve"> motion is granted. The identified information shall be received under seal, shall remain under seal, and shall not be made accessible to the public or disclosed to anyone other than Commission staff, except upon further order or ruling of the Commission.</w:t>
      </w:r>
    </w:p>
    <w:p w:rsidR="00932865" w:rsidP="001E2A62" w:rsidRDefault="00241345" w14:paraId="49CA35B3" w14:textId="6036FBC8">
      <w:pPr>
        <w:pStyle w:val="OP"/>
      </w:pPr>
      <w:r>
        <w:t>Complainant’s request for relief is granted in part and denied in part</w:t>
      </w:r>
      <w:r w:rsidRPr="001E2A62" w:rsidR="000A6E05">
        <w:t>.</w:t>
      </w:r>
    </w:p>
    <w:p w:rsidR="00241345" w:rsidP="001E2A62" w:rsidRDefault="00241345" w14:paraId="595029F2" w14:textId="1AB50E58">
      <w:pPr>
        <w:pStyle w:val="OP"/>
      </w:pPr>
      <w:r>
        <w:t xml:space="preserve">Defendant shall </w:t>
      </w:r>
      <w:r w:rsidR="008C41DB">
        <w:t>reduce</w:t>
      </w:r>
      <w:r>
        <w:t xml:space="preserve"> </w:t>
      </w:r>
      <w:r w:rsidR="0070484F">
        <w:t>the amount of Complainant’s outstanding charges by $720.60</w:t>
      </w:r>
      <w:r>
        <w:t>.</w:t>
      </w:r>
    </w:p>
    <w:p w:rsidRPr="001E2A62" w:rsidR="00D93B7A" w:rsidP="001E2A62" w:rsidRDefault="00D93B7A" w14:paraId="254510F1" w14:textId="5B203C86">
      <w:pPr>
        <w:pStyle w:val="OP"/>
      </w:pPr>
      <w:r>
        <w:t>All other claims, not granted in Ordering Paragraph 5, are denied.</w:t>
      </w:r>
    </w:p>
    <w:p w:rsidR="00F6397D" w:rsidP="00B3087D" w:rsidRDefault="00E23CBB" w14:paraId="6D7AEAA4" w14:textId="60C40DF1">
      <w:pPr>
        <w:pStyle w:val="OP"/>
      </w:pPr>
      <w:r w:rsidRPr="001E2A62">
        <w:t xml:space="preserve">Complaint </w:t>
      </w:r>
      <w:r w:rsidR="00743439">
        <w:t>25-11-008</w:t>
      </w:r>
      <w:r w:rsidRPr="001E2A62">
        <w:t xml:space="preserve"> is closed.</w:t>
      </w:r>
    </w:p>
    <w:p w:rsidR="008F0116" w:rsidP="008F0116" w:rsidRDefault="008F0116" w14:paraId="1F8894E2" w14:textId="77777777">
      <w:r>
        <w:t>This order is effective today.</w:t>
      </w:r>
    </w:p>
    <w:p w:rsidR="00714CF2" w:rsidP="00816E05" w:rsidRDefault="008F0116" w14:paraId="55C46CF4" w14:textId="509B54C8">
      <w:r>
        <w:t xml:space="preserve">Dated </w:t>
      </w:r>
      <w:r w:rsidRPr="00D848C4" w:rsidR="00D848C4">
        <w:t>July 2, 2026</w:t>
      </w:r>
      <w:r>
        <w:t xml:space="preserve">, at </w:t>
      </w:r>
      <w:r w:rsidR="00472841">
        <w:t>Fort Bragg</w:t>
      </w:r>
      <w:r>
        <w:t>, California</w:t>
      </w:r>
      <w:r w:rsidR="00B15619">
        <w:t>.</w:t>
      </w:r>
    </w:p>
    <w:p w:rsidR="0050417B" w:rsidP="0050417B" w:rsidRDefault="0050417B" w14:paraId="0B875ECF" w14:textId="77777777"/>
    <w:p w:rsidRPr="0050417B" w:rsidR="0050417B" w:rsidP="0050417B" w:rsidRDefault="0050417B" w14:paraId="51AF12C2" w14:textId="00594D6A">
      <w:pPr>
        <w:pStyle w:val="paragraph"/>
        <w:spacing w:before="0" w:beforeAutospacing="0" w:after="0" w:afterAutospacing="0"/>
        <w:ind w:left="3600" w:firstLine="720"/>
        <w:jc w:val="both"/>
        <w:textAlignment w:val="baseline"/>
        <w:rPr>
          <w:rFonts w:ascii="Book Antiqua" w:hAnsi="Book Antiqua"/>
          <w:sz w:val="26"/>
          <w:szCs w:val="26"/>
        </w:rPr>
      </w:pPr>
      <w:r w:rsidRPr="0050417B">
        <w:rPr>
          <w:rFonts w:ascii="Book Antiqua" w:hAnsi="Book Antiqua"/>
          <w:sz w:val="26"/>
          <w:szCs w:val="26"/>
        </w:rPr>
        <w:t>JOHN REYNOLDS </w:t>
      </w:r>
    </w:p>
    <w:p w:rsidRPr="0050417B" w:rsidR="0050417B" w:rsidP="0050417B" w:rsidRDefault="0050417B" w14:paraId="446F8108" w14:textId="77777777">
      <w:pPr>
        <w:spacing w:line="240" w:lineRule="auto"/>
        <w:ind w:left="720" w:firstLine="4320"/>
        <w:jc w:val="both"/>
        <w:textAlignment w:val="baseline"/>
        <w:rPr>
          <w:rFonts w:eastAsia="Times New Roman" w:cs="Times New Roman"/>
          <w:szCs w:val="26"/>
        </w:rPr>
      </w:pPr>
      <w:r w:rsidRPr="0050417B">
        <w:rPr>
          <w:rFonts w:eastAsia="Times New Roman" w:cs="Times New Roman"/>
          <w:szCs w:val="26"/>
        </w:rPr>
        <w:t>            President </w:t>
      </w:r>
    </w:p>
    <w:p w:rsidRPr="0050417B" w:rsidR="0050417B" w:rsidP="0050417B" w:rsidRDefault="0050417B" w14:paraId="04B5E09C" w14:textId="77777777">
      <w:pPr>
        <w:spacing w:line="240" w:lineRule="auto"/>
        <w:ind w:left="3600"/>
        <w:jc w:val="both"/>
        <w:textAlignment w:val="baseline"/>
        <w:rPr>
          <w:rFonts w:eastAsia="Times New Roman" w:cs="Times New Roman"/>
          <w:szCs w:val="26"/>
        </w:rPr>
      </w:pPr>
      <w:r w:rsidRPr="0050417B">
        <w:rPr>
          <w:rFonts w:eastAsia="Times New Roman" w:cs="Times New Roman"/>
          <w:szCs w:val="26"/>
        </w:rPr>
        <w:t>DARCIE L. HOUCK </w:t>
      </w:r>
    </w:p>
    <w:p w:rsidRPr="0050417B" w:rsidR="0050417B" w:rsidP="0050417B" w:rsidRDefault="0050417B" w14:paraId="507665D6" w14:textId="77777777">
      <w:pPr>
        <w:spacing w:line="240" w:lineRule="auto"/>
        <w:ind w:left="3600"/>
        <w:jc w:val="both"/>
        <w:textAlignment w:val="baseline"/>
        <w:rPr>
          <w:rFonts w:ascii="Times New Roman" w:hAnsi="Times New Roman" w:eastAsia="Times New Roman" w:cs="Times New Roman"/>
          <w:color w:val="000000"/>
          <w:sz w:val="24"/>
          <w:szCs w:val="24"/>
        </w:rPr>
      </w:pPr>
      <w:r w:rsidRPr="0050417B">
        <w:rPr>
          <w:rFonts w:eastAsia="Times New Roman" w:cs="Times New Roman"/>
          <w:color w:val="000000"/>
          <w:szCs w:val="26"/>
        </w:rPr>
        <w:t>KAREN DOUGLAS </w:t>
      </w:r>
    </w:p>
    <w:p w:rsidRPr="0050417B" w:rsidR="0050417B" w:rsidP="0050417B" w:rsidRDefault="0050417B" w14:paraId="692DA02D" w14:textId="77777777">
      <w:pPr>
        <w:spacing w:line="240" w:lineRule="auto"/>
        <w:ind w:left="3600"/>
        <w:jc w:val="both"/>
        <w:textAlignment w:val="baseline"/>
        <w:rPr>
          <w:rFonts w:ascii="Times New Roman" w:hAnsi="Times New Roman" w:eastAsia="Times New Roman" w:cs="Times New Roman"/>
          <w:sz w:val="24"/>
          <w:szCs w:val="24"/>
        </w:rPr>
      </w:pPr>
      <w:r w:rsidRPr="0050417B">
        <w:rPr>
          <w:rFonts w:eastAsia="Times New Roman" w:cs="Times New Roman"/>
          <w:color w:val="000000"/>
          <w:szCs w:val="26"/>
        </w:rPr>
        <w:t>MATTHEW BAKER</w:t>
      </w:r>
    </w:p>
    <w:p w:rsidRPr="0050417B" w:rsidR="0050417B" w:rsidP="0050417B" w:rsidRDefault="0050417B" w14:paraId="1666CB99" w14:textId="77777777">
      <w:pPr>
        <w:spacing w:line="240" w:lineRule="auto"/>
        <w:ind w:left="4320"/>
        <w:jc w:val="both"/>
        <w:textAlignment w:val="baseline"/>
        <w:rPr>
          <w:rFonts w:eastAsia="Times New Roman" w:cs="Times New Roman"/>
          <w:szCs w:val="26"/>
        </w:rPr>
      </w:pPr>
      <w:r w:rsidRPr="0050417B">
        <w:rPr>
          <w:rFonts w:eastAsia="Times New Roman" w:cs="Times New Roman"/>
          <w:szCs w:val="26"/>
        </w:rPr>
        <w:t>            Commissioners </w:t>
      </w:r>
    </w:p>
    <w:p w:rsidRPr="0050417B" w:rsidR="0050417B" w:rsidP="0050417B" w:rsidRDefault="0050417B" w14:paraId="009D599E" w14:textId="77777777">
      <w:pPr>
        <w:spacing w:line="240" w:lineRule="auto"/>
        <w:ind w:left="4380" w:firstLine="0"/>
        <w:textAlignment w:val="baseline"/>
        <w:rPr>
          <w:rFonts w:ascii="Times New Roman" w:hAnsi="Times New Roman" w:eastAsia="Times New Roman" w:cs="Times New Roman"/>
          <w:sz w:val="24"/>
          <w:szCs w:val="24"/>
        </w:rPr>
      </w:pPr>
      <w:r w:rsidRPr="0050417B">
        <w:rPr>
          <w:rFonts w:eastAsia="Times New Roman" w:cs="Times New Roman"/>
          <w:szCs w:val="26"/>
        </w:rPr>
        <w:br/>
        <w:t xml:space="preserve">Commissioner Christine </w:t>
      </w:r>
      <w:proofErr w:type="gramStart"/>
      <w:r w:rsidRPr="0050417B">
        <w:rPr>
          <w:rFonts w:eastAsia="Times New Roman" w:cs="Times New Roman"/>
          <w:szCs w:val="26"/>
        </w:rPr>
        <w:t>Harada</w:t>
      </w:r>
      <w:proofErr w:type="gramEnd"/>
      <w:r w:rsidRPr="0050417B">
        <w:rPr>
          <w:rFonts w:eastAsia="Times New Roman" w:cs="Times New Roman"/>
          <w:szCs w:val="26"/>
        </w:rPr>
        <w:t xml:space="preserve"> being </w:t>
      </w:r>
      <w:proofErr w:type="gramStart"/>
      <w:r w:rsidRPr="0050417B">
        <w:rPr>
          <w:rFonts w:eastAsia="Times New Roman" w:cs="Times New Roman"/>
          <w:szCs w:val="26"/>
        </w:rPr>
        <w:t>absent</w:t>
      </w:r>
      <w:proofErr w:type="gramEnd"/>
      <w:r w:rsidRPr="0050417B">
        <w:rPr>
          <w:rFonts w:eastAsia="Times New Roman" w:cs="Times New Roman"/>
          <w:szCs w:val="26"/>
        </w:rPr>
        <w:t xml:space="preserve"> did not participate in the vote of this item.</w:t>
      </w:r>
    </w:p>
    <w:p w:rsidRPr="0050417B" w:rsidR="0050417B" w:rsidP="0050417B" w:rsidRDefault="0050417B" w14:paraId="2F83BC3F" w14:textId="77777777">
      <w:pPr>
        <w:spacing w:line="240" w:lineRule="auto"/>
        <w:ind w:firstLine="0"/>
        <w:jc w:val="center"/>
        <w:rPr>
          <w:rFonts w:eastAsia="Times New Roman" w:cs="Times New Roman"/>
          <w:szCs w:val="20"/>
        </w:rPr>
      </w:pPr>
    </w:p>
    <w:p w:rsidRPr="0050417B" w:rsidR="0050417B" w:rsidP="0050417B" w:rsidRDefault="0050417B" w14:paraId="186EBFDC" w14:textId="6BD9790E">
      <w:pPr>
        <w:tabs>
          <w:tab w:val="left" w:pos="4425"/>
        </w:tabs>
      </w:pPr>
    </w:p>
    <w:sectPr w:rsidRPr="0050417B" w:rsidR="0050417B" w:rsidSect="00415E88">
      <w:headerReference w:type="default" r:id="rId11"/>
      <w:footerReference w:type="default" r:id="rId12"/>
      <w:footerReference w:type="first" r:id="rId13"/>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2A26" w14:textId="77777777" w:rsidR="00002945" w:rsidRDefault="00002945" w:rsidP="0098138E">
      <w:pPr>
        <w:spacing w:line="240" w:lineRule="auto"/>
      </w:pPr>
      <w:r>
        <w:separator/>
      </w:r>
    </w:p>
  </w:endnote>
  <w:endnote w:type="continuationSeparator" w:id="0">
    <w:p w14:paraId="670AD1BF" w14:textId="77777777" w:rsidR="00002945" w:rsidRDefault="0000294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700C" w14:textId="60F87716" w:rsidR="00E23CBB" w:rsidRDefault="00E17048" w:rsidP="00E17048">
    <w:pPr>
      <w:tabs>
        <w:tab w:val="left" w:pos="225"/>
        <w:tab w:val="center" w:pos="4680"/>
      </w:tabs>
      <w:ind w:firstLine="0"/>
    </w:pPr>
    <w:r>
      <w:tab/>
    </w:r>
    <w:r>
      <w:tab/>
    </w:r>
    <w:r w:rsidR="00E23CBB">
      <w:t>-</w:t>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sidR="00E23CBB">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49972"/>
      <w:docPartObj>
        <w:docPartGallery w:val="Page Numbers (Bottom of Page)"/>
        <w:docPartUnique/>
      </w:docPartObj>
    </w:sdtPr>
    <w:sdtEndPr>
      <w:rPr>
        <w:noProof/>
      </w:rPr>
    </w:sdtEndPr>
    <w:sdtContent>
      <w:p w14:paraId="210FE261" w14:textId="67624E52" w:rsidR="00DD10CB" w:rsidRDefault="000D5E45" w:rsidP="00DD10CB">
        <w:pPr>
          <w:pStyle w:val="Footer"/>
          <w:ind w:firstLine="0"/>
        </w:pPr>
        <w:r w:rsidRPr="000D5E45">
          <w:rPr>
            <w:rFonts w:cs="Arial"/>
            <w:sz w:val="16"/>
            <w:szCs w:val="16"/>
          </w:rPr>
          <w:t>610762172</w:t>
        </w:r>
        <w:r w:rsidR="00DD10CB">
          <w:tab/>
        </w:r>
        <w:r w:rsidR="00561A4A">
          <w:t xml:space="preserve">- </w:t>
        </w:r>
        <w:r w:rsidR="00DD10CB">
          <w:fldChar w:fldCharType="begin"/>
        </w:r>
        <w:r w:rsidR="00DD10CB">
          <w:instrText xml:space="preserve"> PAGE   \* MERGEFORMAT </w:instrText>
        </w:r>
        <w:r w:rsidR="00DD10CB">
          <w:fldChar w:fldCharType="separate"/>
        </w:r>
        <w:r w:rsidR="00DD10CB">
          <w:t>- 1 -</w:t>
        </w:r>
        <w:r w:rsidR="00DD10CB">
          <w:rPr>
            <w:noProof/>
          </w:rPr>
          <w:fldChar w:fldCharType="end"/>
        </w:r>
        <w:r w:rsidR="00561A4A">
          <w:rPr>
            <w:noProof/>
          </w:rPr>
          <w:t xml:space="preserve"> -</w:t>
        </w:r>
      </w:p>
    </w:sdtContent>
  </w:sdt>
  <w:p w14:paraId="77F3B1B1" w14:textId="27765D6A" w:rsidR="00E17048" w:rsidRPr="00E17048" w:rsidRDefault="00E17048" w:rsidP="00DD10CB">
    <w:pPr>
      <w:pStyle w:val="Footer"/>
      <w:tabs>
        <w:tab w:val="clear" w:pos="4680"/>
        <w:tab w:val="clear" w:pos="9360"/>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29E4" w14:textId="77777777" w:rsidR="00002945" w:rsidRDefault="00002945" w:rsidP="00DF58E7">
      <w:pPr>
        <w:spacing w:line="240" w:lineRule="auto"/>
        <w:ind w:firstLine="0"/>
      </w:pPr>
      <w:r>
        <w:separator/>
      </w:r>
    </w:p>
  </w:footnote>
  <w:footnote w:type="continuationSeparator" w:id="0">
    <w:p w14:paraId="58015401" w14:textId="77777777" w:rsidR="00002945" w:rsidRDefault="00002945" w:rsidP="00DF58E7">
      <w:pPr>
        <w:spacing w:line="240" w:lineRule="auto"/>
        <w:ind w:firstLine="0"/>
      </w:pPr>
      <w:r>
        <w:continuationSeparator/>
      </w:r>
    </w:p>
  </w:footnote>
  <w:footnote w:type="continuationNotice" w:id="1">
    <w:p w14:paraId="1D63AA7D" w14:textId="77777777" w:rsidR="00002945" w:rsidRPr="00DF58E7" w:rsidRDefault="00002945"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59CEB52C" w14:textId="18892096" w:rsidR="001F2D38" w:rsidRDefault="001F2D38">
      <w:pPr>
        <w:pStyle w:val="FootnoteText"/>
      </w:pPr>
      <w:r>
        <w:rPr>
          <w:rStyle w:val="FootnoteReference"/>
        </w:rPr>
        <w:footnoteRef/>
      </w:r>
      <w:r>
        <w:t xml:space="preserve"> Complaint at page 2.</w:t>
      </w:r>
    </w:p>
  </w:footnote>
  <w:footnote w:id="3">
    <w:p w14:paraId="7A210466" w14:textId="7D9F73E3" w:rsidR="00A818CB" w:rsidRDefault="00A818CB">
      <w:pPr>
        <w:pStyle w:val="FootnoteText"/>
      </w:pPr>
      <w:r>
        <w:rPr>
          <w:rStyle w:val="FootnoteReference"/>
        </w:rPr>
        <w:footnoteRef/>
      </w:r>
      <w:r>
        <w:t xml:space="preserve"> Complaint at </w:t>
      </w:r>
      <w:r w:rsidR="00443E0C">
        <w:t>page 2.</w:t>
      </w:r>
    </w:p>
  </w:footnote>
  <w:footnote w:id="4">
    <w:p w14:paraId="079B9D0C" w14:textId="2A6CB821" w:rsidR="00443E0C" w:rsidRDefault="00443E0C">
      <w:pPr>
        <w:pStyle w:val="FootnoteText"/>
      </w:pPr>
      <w:r>
        <w:rPr>
          <w:rStyle w:val="FootnoteReference"/>
        </w:rPr>
        <w:footnoteRef/>
      </w:r>
      <w:r>
        <w:t xml:space="preserve"> Id.</w:t>
      </w:r>
    </w:p>
  </w:footnote>
  <w:footnote w:id="5">
    <w:p w14:paraId="1AE8A7F2" w14:textId="1E308E36" w:rsidR="00443E0C" w:rsidRDefault="00443E0C">
      <w:pPr>
        <w:pStyle w:val="FootnoteText"/>
      </w:pPr>
      <w:r>
        <w:rPr>
          <w:rStyle w:val="FootnoteReference"/>
        </w:rPr>
        <w:footnoteRef/>
      </w:r>
      <w:r>
        <w:t xml:space="preserve"> Complaint at page 3.</w:t>
      </w:r>
    </w:p>
  </w:footnote>
  <w:footnote w:id="6">
    <w:p w14:paraId="1E62FCB0" w14:textId="1B8B11E5" w:rsidR="00C22606" w:rsidRDefault="00C22606">
      <w:pPr>
        <w:pStyle w:val="FootnoteText"/>
      </w:pPr>
      <w:r>
        <w:rPr>
          <w:rStyle w:val="FootnoteReference"/>
        </w:rPr>
        <w:footnoteRef/>
      </w:r>
      <w:r>
        <w:t xml:space="preserve"> </w:t>
      </w:r>
      <w:r w:rsidR="006933DE" w:rsidRPr="00655E8F">
        <w:rPr>
          <w:i/>
          <w:iCs/>
        </w:rPr>
        <w:t xml:space="preserve">Answer of Pacific Bell Telephone Company d/b/a AT&amp;T California (U1001C) and AT&amp;T Mobility Wireless Operation Holdings </w:t>
      </w:r>
      <w:r w:rsidR="001D5D77" w:rsidRPr="00655E8F">
        <w:rPr>
          <w:i/>
          <w:iCs/>
        </w:rPr>
        <w:t>d/b/a AT&amp;T Mobility (U3021C) to Expedited Complaint of Luis Enrique Landa Rodriguez</w:t>
      </w:r>
      <w:r w:rsidR="001D5D77">
        <w:t xml:space="preserve">, filed December 19, 2025 (Answer) at </w:t>
      </w:r>
      <w:r w:rsidR="00655E8F">
        <w:t>1-8.</w:t>
      </w:r>
    </w:p>
  </w:footnote>
  <w:footnote w:id="7">
    <w:p w14:paraId="26ED65EC" w14:textId="46581F76" w:rsidR="00EF03FF" w:rsidRDefault="00EF03FF">
      <w:pPr>
        <w:pStyle w:val="FootnoteText"/>
      </w:pPr>
      <w:r>
        <w:rPr>
          <w:rStyle w:val="FootnoteReference"/>
        </w:rPr>
        <w:footnoteRef/>
      </w:r>
      <w:r>
        <w:t xml:space="preserve"> </w:t>
      </w:r>
      <w:r w:rsidR="0023225F" w:rsidRPr="00E772A9">
        <w:rPr>
          <w:i/>
          <w:iCs/>
        </w:rPr>
        <w:t xml:space="preserve">AT&amp;T Mobility Wireless Operation Holdings d/b/a AT&amp;T Mobility’s Response to Administrative Law Judge’s Ruling </w:t>
      </w:r>
      <w:r w:rsidR="00E772A9" w:rsidRPr="00E772A9">
        <w:rPr>
          <w:i/>
          <w:iCs/>
        </w:rPr>
        <w:t>D</w:t>
      </w:r>
      <w:r w:rsidR="0023225F" w:rsidRPr="00E772A9">
        <w:rPr>
          <w:i/>
          <w:iCs/>
        </w:rPr>
        <w:t>irecting Supplemental Information</w:t>
      </w:r>
      <w:r w:rsidR="0023225F">
        <w:t xml:space="preserve">, filed </w:t>
      </w:r>
      <w:r w:rsidR="00BC1A46">
        <w:t>March 20, 2026 at Attachments C and D</w:t>
      </w:r>
      <w:r w:rsidR="00E772A9">
        <w:t>;</w:t>
      </w:r>
      <w:r w:rsidR="00BC1A46">
        <w:t xml:space="preserve"> </w:t>
      </w:r>
      <w:r w:rsidR="00F760A4" w:rsidRPr="004D22CE">
        <w:rPr>
          <w:i/>
          <w:iCs/>
        </w:rPr>
        <w:t>AT&amp;T</w:t>
      </w:r>
      <w:r w:rsidR="00B614E0" w:rsidRPr="004D22CE">
        <w:rPr>
          <w:i/>
          <w:iCs/>
        </w:rPr>
        <w:t xml:space="preserve"> Mobility Wireless Operation Holdings d/b/a AT&amp;T Mobility’s (U3021C) Response to Administrative Law Judge’s Ruling Setting Hearing</w:t>
      </w:r>
      <w:r w:rsidR="00B614E0">
        <w:t>, filed April 1, 2026</w:t>
      </w:r>
      <w:r w:rsidR="004D22CE">
        <w:t xml:space="preserve"> at Attachment E.</w:t>
      </w:r>
    </w:p>
  </w:footnote>
  <w:footnote w:id="8">
    <w:p w14:paraId="2615977B" w14:textId="0464F412" w:rsidR="00113526" w:rsidRDefault="00113526">
      <w:pPr>
        <w:pStyle w:val="FootnoteText"/>
      </w:pPr>
      <w:r>
        <w:rPr>
          <w:rStyle w:val="FootnoteReference"/>
        </w:rPr>
        <w:footnoteRef/>
      </w:r>
      <w:r>
        <w:t xml:space="preserve"> Answer at 1</w:t>
      </w:r>
      <w:r w:rsidR="00C06E30">
        <w:t>-4</w:t>
      </w:r>
      <w:r>
        <w:t>.</w:t>
      </w:r>
    </w:p>
  </w:footnote>
  <w:footnote w:id="9">
    <w:p w14:paraId="0B3F82C4" w14:textId="149A76EA" w:rsidR="002A7E79" w:rsidRDefault="002A7E79">
      <w:pPr>
        <w:pStyle w:val="FootnoteText"/>
      </w:pPr>
      <w:r>
        <w:rPr>
          <w:rStyle w:val="FootnoteReference"/>
        </w:rPr>
        <w:footnoteRef/>
      </w:r>
      <w:r>
        <w:t xml:space="preserve"> </w:t>
      </w:r>
      <w:r w:rsidR="003E36C2">
        <w:t xml:space="preserve">Answer at </w:t>
      </w:r>
      <w:r w:rsidR="0050694C">
        <w:t>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0229" w14:textId="569C80D1" w:rsidR="00FE2351" w:rsidRDefault="002E58C8" w:rsidP="00EE4315">
    <w:pPr>
      <w:pStyle w:val="Header"/>
      <w:tabs>
        <w:tab w:val="clear" w:pos="4680"/>
      </w:tabs>
      <w:ind w:firstLine="0"/>
      <w:rPr>
        <w:b/>
      </w:rPr>
    </w:pPr>
    <w:r>
      <w:t>C.25-11-</w:t>
    </w:r>
    <w:proofErr w:type="gramStart"/>
    <w:r>
      <w:t>008</w:t>
    </w:r>
    <w:r w:rsidR="00FE2351">
      <w:t xml:space="preserve">  </w:t>
    </w:r>
    <w:r>
      <w:t>ALJ</w:t>
    </w:r>
    <w:proofErr w:type="gramEnd"/>
    <w:r w:rsidR="00FE2351">
      <w:t>/</w:t>
    </w:r>
    <w:r>
      <w:t>VUK</w:t>
    </w:r>
    <w:r w:rsidR="00FE2351">
      <w:t>/</w:t>
    </w:r>
    <w:r w:rsidR="00BB79B0">
      <w:t>vj4</w:t>
    </w:r>
    <w:r w:rsidR="00FE2351">
      <w:tab/>
    </w:r>
  </w:p>
  <w:p w14:paraId="72405A9F" w14:textId="60BC0DAB" w:rsidR="00FE2351" w:rsidRPr="00B3087D" w:rsidRDefault="00FE2351"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366E3"/>
    <w:multiLevelType w:val="hybridMultilevel"/>
    <w:tmpl w:val="CCE4D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A085CB9"/>
    <w:multiLevelType w:val="hybridMultilevel"/>
    <w:tmpl w:val="D6947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9A0AFE"/>
    <w:multiLevelType w:val="multilevel"/>
    <w:tmpl w:val="18F4A5AC"/>
    <w:numStyleLink w:val="FoFCoLOP"/>
  </w:abstractNum>
  <w:num w:numId="1" w16cid:durableId="1354526949">
    <w:abstractNumId w:val="13"/>
  </w:num>
  <w:num w:numId="2" w16cid:durableId="140774137">
    <w:abstractNumId w:val="2"/>
  </w:num>
  <w:num w:numId="3" w16cid:durableId="1898543446">
    <w:abstractNumId w:val="12"/>
  </w:num>
  <w:num w:numId="4" w16cid:durableId="701521005">
    <w:abstractNumId w:val="3"/>
  </w:num>
  <w:num w:numId="5" w16cid:durableId="2017029027">
    <w:abstractNumId w:val="16"/>
  </w:num>
  <w:num w:numId="6" w16cid:durableId="973756952">
    <w:abstractNumId w:val="10"/>
  </w:num>
  <w:num w:numId="7" w16cid:durableId="827667741">
    <w:abstractNumId w:val="6"/>
  </w:num>
  <w:num w:numId="8" w16cid:durableId="1760327020">
    <w:abstractNumId w:val="15"/>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4"/>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300772479">
    <w:abstractNumId w:val="1"/>
  </w:num>
  <w:num w:numId="19" w16cid:durableId="722948770">
    <w:abstractNumId w:val="11"/>
  </w:num>
  <w:num w:numId="20" w16cid:durableId="1690137733">
    <w:abstractNumId w:val="14"/>
  </w:num>
  <w:num w:numId="21" w16cid:durableId="114908879">
    <w:abstractNumId w:val="14"/>
  </w:num>
  <w:num w:numId="22" w16cid:durableId="1692993986">
    <w:abstractNumId w:val="14"/>
  </w:num>
  <w:num w:numId="23" w16cid:durableId="207102924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16"/>
    <w:rsid w:val="00000D7C"/>
    <w:rsid w:val="00000F6A"/>
    <w:rsid w:val="00002945"/>
    <w:rsid w:val="000156F3"/>
    <w:rsid w:val="00020876"/>
    <w:rsid w:val="00021FBA"/>
    <w:rsid w:val="00025030"/>
    <w:rsid w:val="0003484D"/>
    <w:rsid w:val="00041D05"/>
    <w:rsid w:val="00051FD7"/>
    <w:rsid w:val="00060840"/>
    <w:rsid w:val="0006197C"/>
    <w:rsid w:val="0007115A"/>
    <w:rsid w:val="000823C7"/>
    <w:rsid w:val="00093289"/>
    <w:rsid w:val="00095C26"/>
    <w:rsid w:val="000960A5"/>
    <w:rsid w:val="000973C8"/>
    <w:rsid w:val="000A2AA9"/>
    <w:rsid w:val="000A56F2"/>
    <w:rsid w:val="000A6E05"/>
    <w:rsid w:val="000B1034"/>
    <w:rsid w:val="000B12FA"/>
    <w:rsid w:val="000C08BF"/>
    <w:rsid w:val="000C3B9A"/>
    <w:rsid w:val="000D023A"/>
    <w:rsid w:val="000D25A8"/>
    <w:rsid w:val="000D397F"/>
    <w:rsid w:val="000D5E45"/>
    <w:rsid w:val="000E1C78"/>
    <w:rsid w:val="000E270A"/>
    <w:rsid w:val="000E46D2"/>
    <w:rsid w:val="000E4C53"/>
    <w:rsid w:val="000E53E0"/>
    <w:rsid w:val="000E54B5"/>
    <w:rsid w:val="000F1655"/>
    <w:rsid w:val="000F229E"/>
    <w:rsid w:val="000F48C6"/>
    <w:rsid w:val="000F6BA1"/>
    <w:rsid w:val="000F727B"/>
    <w:rsid w:val="001042BA"/>
    <w:rsid w:val="0010517A"/>
    <w:rsid w:val="00113526"/>
    <w:rsid w:val="00114E5E"/>
    <w:rsid w:val="001166DC"/>
    <w:rsid w:val="00121089"/>
    <w:rsid w:val="001238C9"/>
    <w:rsid w:val="00124838"/>
    <w:rsid w:val="001327BD"/>
    <w:rsid w:val="001434CB"/>
    <w:rsid w:val="00143982"/>
    <w:rsid w:val="001504A6"/>
    <w:rsid w:val="00153431"/>
    <w:rsid w:val="001639CB"/>
    <w:rsid w:val="001730D4"/>
    <w:rsid w:val="00173F68"/>
    <w:rsid w:val="001765D9"/>
    <w:rsid w:val="00181079"/>
    <w:rsid w:val="00184A8F"/>
    <w:rsid w:val="0019264F"/>
    <w:rsid w:val="001A1AB3"/>
    <w:rsid w:val="001A592F"/>
    <w:rsid w:val="001A6F8E"/>
    <w:rsid w:val="001B0823"/>
    <w:rsid w:val="001C363F"/>
    <w:rsid w:val="001C5E9E"/>
    <w:rsid w:val="001D5D77"/>
    <w:rsid w:val="001D7BB6"/>
    <w:rsid w:val="001E068C"/>
    <w:rsid w:val="001E2A62"/>
    <w:rsid w:val="001E7305"/>
    <w:rsid w:val="001F2819"/>
    <w:rsid w:val="001F2D38"/>
    <w:rsid w:val="00200937"/>
    <w:rsid w:val="002043EC"/>
    <w:rsid w:val="00207656"/>
    <w:rsid w:val="002153EA"/>
    <w:rsid w:val="002160BE"/>
    <w:rsid w:val="0022056B"/>
    <w:rsid w:val="0022507D"/>
    <w:rsid w:val="00226152"/>
    <w:rsid w:val="0022689D"/>
    <w:rsid w:val="00227ED3"/>
    <w:rsid w:val="00227F80"/>
    <w:rsid w:val="0023225F"/>
    <w:rsid w:val="0023264B"/>
    <w:rsid w:val="00241345"/>
    <w:rsid w:val="00243DC0"/>
    <w:rsid w:val="002458C9"/>
    <w:rsid w:val="00246C6F"/>
    <w:rsid w:val="00247477"/>
    <w:rsid w:val="00252C1D"/>
    <w:rsid w:val="00256E23"/>
    <w:rsid w:val="002657D1"/>
    <w:rsid w:val="00270440"/>
    <w:rsid w:val="00272709"/>
    <w:rsid w:val="0027570E"/>
    <w:rsid w:val="00284D8D"/>
    <w:rsid w:val="00287BC5"/>
    <w:rsid w:val="00290700"/>
    <w:rsid w:val="00293C90"/>
    <w:rsid w:val="00293DEE"/>
    <w:rsid w:val="00297D02"/>
    <w:rsid w:val="002A0B5D"/>
    <w:rsid w:val="002A7E79"/>
    <w:rsid w:val="002C7FE9"/>
    <w:rsid w:val="002D0DC5"/>
    <w:rsid w:val="002D423A"/>
    <w:rsid w:val="002D4EFD"/>
    <w:rsid w:val="002D750E"/>
    <w:rsid w:val="002E3C9B"/>
    <w:rsid w:val="002E58C8"/>
    <w:rsid w:val="002F320F"/>
    <w:rsid w:val="002F5821"/>
    <w:rsid w:val="003039C8"/>
    <w:rsid w:val="003126D3"/>
    <w:rsid w:val="00315A97"/>
    <w:rsid w:val="00316071"/>
    <w:rsid w:val="00316E0D"/>
    <w:rsid w:val="00320669"/>
    <w:rsid w:val="003265A3"/>
    <w:rsid w:val="00331B17"/>
    <w:rsid w:val="00343E5C"/>
    <w:rsid w:val="00344FB8"/>
    <w:rsid w:val="00356A16"/>
    <w:rsid w:val="0036017B"/>
    <w:rsid w:val="00362755"/>
    <w:rsid w:val="00373B93"/>
    <w:rsid w:val="00375055"/>
    <w:rsid w:val="00377434"/>
    <w:rsid w:val="0038023E"/>
    <w:rsid w:val="00380CD1"/>
    <w:rsid w:val="00382885"/>
    <w:rsid w:val="00386071"/>
    <w:rsid w:val="003862B9"/>
    <w:rsid w:val="00392162"/>
    <w:rsid w:val="00392976"/>
    <w:rsid w:val="00397D5C"/>
    <w:rsid w:val="003A02CA"/>
    <w:rsid w:val="003A1735"/>
    <w:rsid w:val="003A38F0"/>
    <w:rsid w:val="003E36C2"/>
    <w:rsid w:val="003E44D7"/>
    <w:rsid w:val="003E7DF4"/>
    <w:rsid w:val="003F069A"/>
    <w:rsid w:val="003F272C"/>
    <w:rsid w:val="003F4329"/>
    <w:rsid w:val="00403719"/>
    <w:rsid w:val="00412534"/>
    <w:rsid w:val="00412C83"/>
    <w:rsid w:val="00415E88"/>
    <w:rsid w:val="00423255"/>
    <w:rsid w:val="00423B15"/>
    <w:rsid w:val="00426014"/>
    <w:rsid w:val="00434679"/>
    <w:rsid w:val="00443E0C"/>
    <w:rsid w:val="0044617E"/>
    <w:rsid w:val="004551A8"/>
    <w:rsid w:val="0046078B"/>
    <w:rsid w:val="00460B7D"/>
    <w:rsid w:val="00472841"/>
    <w:rsid w:val="00476AEE"/>
    <w:rsid w:val="00480CB0"/>
    <w:rsid w:val="00483603"/>
    <w:rsid w:val="00485558"/>
    <w:rsid w:val="00492783"/>
    <w:rsid w:val="004951DC"/>
    <w:rsid w:val="00496820"/>
    <w:rsid w:val="004A1EAD"/>
    <w:rsid w:val="004A47BE"/>
    <w:rsid w:val="004B34EA"/>
    <w:rsid w:val="004B50CE"/>
    <w:rsid w:val="004B5494"/>
    <w:rsid w:val="004B6FC7"/>
    <w:rsid w:val="004C083F"/>
    <w:rsid w:val="004C7A2B"/>
    <w:rsid w:val="004C7D3A"/>
    <w:rsid w:val="004D22CE"/>
    <w:rsid w:val="004E080F"/>
    <w:rsid w:val="004E1493"/>
    <w:rsid w:val="004F5C1C"/>
    <w:rsid w:val="005018A8"/>
    <w:rsid w:val="0050417B"/>
    <w:rsid w:val="00505A39"/>
    <w:rsid w:val="0050694C"/>
    <w:rsid w:val="005152ED"/>
    <w:rsid w:val="00521CCC"/>
    <w:rsid w:val="005232BF"/>
    <w:rsid w:val="005240BF"/>
    <w:rsid w:val="00525288"/>
    <w:rsid w:val="00531994"/>
    <w:rsid w:val="00534F1C"/>
    <w:rsid w:val="00535256"/>
    <w:rsid w:val="005369B9"/>
    <w:rsid w:val="00540BA9"/>
    <w:rsid w:val="00547586"/>
    <w:rsid w:val="00554579"/>
    <w:rsid w:val="00561178"/>
    <w:rsid w:val="00561A4A"/>
    <w:rsid w:val="00565403"/>
    <w:rsid w:val="00577FE3"/>
    <w:rsid w:val="005840BA"/>
    <w:rsid w:val="00585390"/>
    <w:rsid w:val="005918C3"/>
    <w:rsid w:val="005939A5"/>
    <w:rsid w:val="005A148C"/>
    <w:rsid w:val="005A31C9"/>
    <w:rsid w:val="005A744D"/>
    <w:rsid w:val="005A7B18"/>
    <w:rsid w:val="005C58FA"/>
    <w:rsid w:val="005E302F"/>
    <w:rsid w:val="005F073C"/>
    <w:rsid w:val="00603238"/>
    <w:rsid w:val="006047CC"/>
    <w:rsid w:val="006072B7"/>
    <w:rsid w:val="00612EF6"/>
    <w:rsid w:val="00624883"/>
    <w:rsid w:val="00626106"/>
    <w:rsid w:val="006271C1"/>
    <w:rsid w:val="006311D7"/>
    <w:rsid w:val="00632207"/>
    <w:rsid w:val="0063491C"/>
    <w:rsid w:val="006374C5"/>
    <w:rsid w:val="00641A5C"/>
    <w:rsid w:val="0064237B"/>
    <w:rsid w:val="00655E8F"/>
    <w:rsid w:val="00657386"/>
    <w:rsid w:val="00661AFE"/>
    <w:rsid w:val="0066314F"/>
    <w:rsid w:val="00675A16"/>
    <w:rsid w:val="00680F19"/>
    <w:rsid w:val="00681DEC"/>
    <w:rsid w:val="00683B2C"/>
    <w:rsid w:val="00690B7D"/>
    <w:rsid w:val="006924A7"/>
    <w:rsid w:val="006933DE"/>
    <w:rsid w:val="006B62E8"/>
    <w:rsid w:val="006C1F10"/>
    <w:rsid w:val="006D46D6"/>
    <w:rsid w:val="006D7CD0"/>
    <w:rsid w:val="006E5E28"/>
    <w:rsid w:val="006E6574"/>
    <w:rsid w:val="006E7896"/>
    <w:rsid w:val="0070484F"/>
    <w:rsid w:val="00710E6E"/>
    <w:rsid w:val="0071370B"/>
    <w:rsid w:val="00714CF2"/>
    <w:rsid w:val="007156B9"/>
    <w:rsid w:val="00716209"/>
    <w:rsid w:val="007167A7"/>
    <w:rsid w:val="00720817"/>
    <w:rsid w:val="00722850"/>
    <w:rsid w:val="00724405"/>
    <w:rsid w:val="007259FB"/>
    <w:rsid w:val="00726C12"/>
    <w:rsid w:val="007319CE"/>
    <w:rsid w:val="0073353F"/>
    <w:rsid w:val="00735A91"/>
    <w:rsid w:val="00742E45"/>
    <w:rsid w:val="00743439"/>
    <w:rsid w:val="00743ED9"/>
    <w:rsid w:val="007447AF"/>
    <w:rsid w:val="007467B9"/>
    <w:rsid w:val="00750816"/>
    <w:rsid w:val="007657C1"/>
    <w:rsid w:val="00767AF2"/>
    <w:rsid w:val="00770265"/>
    <w:rsid w:val="0077374F"/>
    <w:rsid w:val="0077755F"/>
    <w:rsid w:val="007800C3"/>
    <w:rsid w:val="00791792"/>
    <w:rsid w:val="00793359"/>
    <w:rsid w:val="007A406D"/>
    <w:rsid w:val="007A62B0"/>
    <w:rsid w:val="007A671C"/>
    <w:rsid w:val="007A6B55"/>
    <w:rsid w:val="007A776F"/>
    <w:rsid w:val="007B6765"/>
    <w:rsid w:val="007B7F79"/>
    <w:rsid w:val="007C1544"/>
    <w:rsid w:val="007C38B7"/>
    <w:rsid w:val="007C5A0C"/>
    <w:rsid w:val="007D2183"/>
    <w:rsid w:val="007D4436"/>
    <w:rsid w:val="007D4868"/>
    <w:rsid w:val="007E0FEE"/>
    <w:rsid w:val="007E5BA3"/>
    <w:rsid w:val="007F2017"/>
    <w:rsid w:val="007F37A2"/>
    <w:rsid w:val="007F403F"/>
    <w:rsid w:val="007F4EFB"/>
    <w:rsid w:val="0080390E"/>
    <w:rsid w:val="00806119"/>
    <w:rsid w:val="00806371"/>
    <w:rsid w:val="0081067C"/>
    <w:rsid w:val="008159CF"/>
    <w:rsid w:val="00816E05"/>
    <w:rsid w:val="00826D95"/>
    <w:rsid w:val="008339BB"/>
    <w:rsid w:val="00835509"/>
    <w:rsid w:val="00836547"/>
    <w:rsid w:val="008405B9"/>
    <w:rsid w:val="00844628"/>
    <w:rsid w:val="0085140F"/>
    <w:rsid w:val="008532A4"/>
    <w:rsid w:val="0085436D"/>
    <w:rsid w:val="00856C7F"/>
    <w:rsid w:val="0086419A"/>
    <w:rsid w:val="0087023B"/>
    <w:rsid w:val="00876541"/>
    <w:rsid w:val="008804F0"/>
    <w:rsid w:val="00883079"/>
    <w:rsid w:val="008835F0"/>
    <w:rsid w:val="008853D9"/>
    <w:rsid w:val="0088582B"/>
    <w:rsid w:val="008A08BF"/>
    <w:rsid w:val="008A179F"/>
    <w:rsid w:val="008A75EA"/>
    <w:rsid w:val="008B0864"/>
    <w:rsid w:val="008B175A"/>
    <w:rsid w:val="008C16D5"/>
    <w:rsid w:val="008C3CB7"/>
    <w:rsid w:val="008C41DB"/>
    <w:rsid w:val="008C7413"/>
    <w:rsid w:val="008D16B7"/>
    <w:rsid w:val="008D1EEC"/>
    <w:rsid w:val="008D3C3E"/>
    <w:rsid w:val="008D478B"/>
    <w:rsid w:val="008E6AE6"/>
    <w:rsid w:val="008F0116"/>
    <w:rsid w:val="008F143D"/>
    <w:rsid w:val="008F1F68"/>
    <w:rsid w:val="008F44E0"/>
    <w:rsid w:val="00913501"/>
    <w:rsid w:val="00920605"/>
    <w:rsid w:val="00927B8E"/>
    <w:rsid w:val="009315EF"/>
    <w:rsid w:val="00932865"/>
    <w:rsid w:val="009333C7"/>
    <w:rsid w:val="00943F56"/>
    <w:rsid w:val="00946F7E"/>
    <w:rsid w:val="0095109F"/>
    <w:rsid w:val="00953982"/>
    <w:rsid w:val="009658E2"/>
    <w:rsid w:val="00971C14"/>
    <w:rsid w:val="009769AB"/>
    <w:rsid w:val="0098138E"/>
    <w:rsid w:val="0098655A"/>
    <w:rsid w:val="00995C51"/>
    <w:rsid w:val="00996B55"/>
    <w:rsid w:val="009A2D65"/>
    <w:rsid w:val="009A4428"/>
    <w:rsid w:val="009A6E36"/>
    <w:rsid w:val="009B2446"/>
    <w:rsid w:val="009B77A2"/>
    <w:rsid w:val="009D60A0"/>
    <w:rsid w:val="009E6052"/>
    <w:rsid w:val="009E7C7F"/>
    <w:rsid w:val="00A04881"/>
    <w:rsid w:val="00A115A2"/>
    <w:rsid w:val="00A12BEE"/>
    <w:rsid w:val="00A17CE0"/>
    <w:rsid w:val="00A23D48"/>
    <w:rsid w:val="00A24C53"/>
    <w:rsid w:val="00A27479"/>
    <w:rsid w:val="00A42306"/>
    <w:rsid w:val="00A43D10"/>
    <w:rsid w:val="00A44E8D"/>
    <w:rsid w:val="00A46EA8"/>
    <w:rsid w:val="00A55ACD"/>
    <w:rsid w:val="00A647D0"/>
    <w:rsid w:val="00A656A1"/>
    <w:rsid w:val="00A70B9C"/>
    <w:rsid w:val="00A70EA1"/>
    <w:rsid w:val="00A73919"/>
    <w:rsid w:val="00A818CB"/>
    <w:rsid w:val="00A82637"/>
    <w:rsid w:val="00A85D27"/>
    <w:rsid w:val="00A87298"/>
    <w:rsid w:val="00A916E5"/>
    <w:rsid w:val="00AB048E"/>
    <w:rsid w:val="00AB7875"/>
    <w:rsid w:val="00AC68EE"/>
    <w:rsid w:val="00AD0D79"/>
    <w:rsid w:val="00AD329D"/>
    <w:rsid w:val="00AD52F3"/>
    <w:rsid w:val="00AE301A"/>
    <w:rsid w:val="00AF7E02"/>
    <w:rsid w:val="00B01F7E"/>
    <w:rsid w:val="00B02AE1"/>
    <w:rsid w:val="00B11FF1"/>
    <w:rsid w:val="00B15619"/>
    <w:rsid w:val="00B16C2A"/>
    <w:rsid w:val="00B3087D"/>
    <w:rsid w:val="00B34325"/>
    <w:rsid w:val="00B34794"/>
    <w:rsid w:val="00B35D59"/>
    <w:rsid w:val="00B57B24"/>
    <w:rsid w:val="00B60421"/>
    <w:rsid w:val="00B614E0"/>
    <w:rsid w:val="00B644D3"/>
    <w:rsid w:val="00B6616F"/>
    <w:rsid w:val="00B67DDD"/>
    <w:rsid w:val="00B70173"/>
    <w:rsid w:val="00B721F7"/>
    <w:rsid w:val="00B816C5"/>
    <w:rsid w:val="00B81EB6"/>
    <w:rsid w:val="00BA35CB"/>
    <w:rsid w:val="00BA3EBB"/>
    <w:rsid w:val="00BA5A02"/>
    <w:rsid w:val="00BA675A"/>
    <w:rsid w:val="00BB0243"/>
    <w:rsid w:val="00BB5032"/>
    <w:rsid w:val="00BB79B0"/>
    <w:rsid w:val="00BC0386"/>
    <w:rsid w:val="00BC1A46"/>
    <w:rsid w:val="00BD3613"/>
    <w:rsid w:val="00BE22A6"/>
    <w:rsid w:val="00BE2820"/>
    <w:rsid w:val="00BE4361"/>
    <w:rsid w:val="00C00976"/>
    <w:rsid w:val="00C06E30"/>
    <w:rsid w:val="00C10B5F"/>
    <w:rsid w:val="00C1376D"/>
    <w:rsid w:val="00C22606"/>
    <w:rsid w:val="00C60FB2"/>
    <w:rsid w:val="00C62FB7"/>
    <w:rsid w:val="00C63A40"/>
    <w:rsid w:val="00C66054"/>
    <w:rsid w:val="00C743B4"/>
    <w:rsid w:val="00C75FCF"/>
    <w:rsid w:val="00C84D0F"/>
    <w:rsid w:val="00C878D5"/>
    <w:rsid w:val="00C9033B"/>
    <w:rsid w:val="00C913A1"/>
    <w:rsid w:val="00C94A51"/>
    <w:rsid w:val="00CA016F"/>
    <w:rsid w:val="00CA7BBA"/>
    <w:rsid w:val="00CC0212"/>
    <w:rsid w:val="00CC1902"/>
    <w:rsid w:val="00CC33A0"/>
    <w:rsid w:val="00CC4636"/>
    <w:rsid w:val="00CC6A99"/>
    <w:rsid w:val="00CD2FA0"/>
    <w:rsid w:val="00CD7C46"/>
    <w:rsid w:val="00CE31B2"/>
    <w:rsid w:val="00CE7210"/>
    <w:rsid w:val="00CF08D9"/>
    <w:rsid w:val="00CF6F00"/>
    <w:rsid w:val="00D00AA3"/>
    <w:rsid w:val="00D0504E"/>
    <w:rsid w:val="00D07F73"/>
    <w:rsid w:val="00D11767"/>
    <w:rsid w:val="00D120F2"/>
    <w:rsid w:val="00D14102"/>
    <w:rsid w:val="00D14844"/>
    <w:rsid w:val="00D2041C"/>
    <w:rsid w:val="00D2144F"/>
    <w:rsid w:val="00D25ADE"/>
    <w:rsid w:val="00D306D2"/>
    <w:rsid w:val="00D40EF3"/>
    <w:rsid w:val="00D43297"/>
    <w:rsid w:val="00D44DB6"/>
    <w:rsid w:val="00D454C8"/>
    <w:rsid w:val="00D50119"/>
    <w:rsid w:val="00D50F58"/>
    <w:rsid w:val="00D76674"/>
    <w:rsid w:val="00D82408"/>
    <w:rsid w:val="00D82A43"/>
    <w:rsid w:val="00D848C4"/>
    <w:rsid w:val="00D901EF"/>
    <w:rsid w:val="00D93B7A"/>
    <w:rsid w:val="00DA4261"/>
    <w:rsid w:val="00DA7B5D"/>
    <w:rsid w:val="00DB6535"/>
    <w:rsid w:val="00DC0779"/>
    <w:rsid w:val="00DC1850"/>
    <w:rsid w:val="00DC37F3"/>
    <w:rsid w:val="00DD10CB"/>
    <w:rsid w:val="00DD48E7"/>
    <w:rsid w:val="00DD6777"/>
    <w:rsid w:val="00DF58E7"/>
    <w:rsid w:val="00DF624A"/>
    <w:rsid w:val="00DF67E4"/>
    <w:rsid w:val="00E0167F"/>
    <w:rsid w:val="00E03956"/>
    <w:rsid w:val="00E061DF"/>
    <w:rsid w:val="00E11876"/>
    <w:rsid w:val="00E17048"/>
    <w:rsid w:val="00E23CBB"/>
    <w:rsid w:val="00E23CDD"/>
    <w:rsid w:val="00E253EE"/>
    <w:rsid w:val="00E279E0"/>
    <w:rsid w:val="00E3752B"/>
    <w:rsid w:val="00E3778E"/>
    <w:rsid w:val="00E37B59"/>
    <w:rsid w:val="00E404BF"/>
    <w:rsid w:val="00E47FF5"/>
    <w:rsid w:val="00E5229D"/>
    <w:rsid w:val="00E53438"/>
    <w:rsid w:val="00E56484"/>
    <w:rsid w:val="00E56E9C"/>
    <w:rsid w:val="00E725FC"/>
    <w:rsid w:val="00E76C7B"/>
    <w:rsid w:val="00E772A9"/>
    <w:rsid w:val="00E807B3"/>
    <w:rsid w:val="00EA36C6"/>
    <w:rsid w:val="00EC30F9"/>
    <w:rsid w:val="00ED5725"/>
    <w:rsid w:val="00ED7031"/>
    <w:rsid w:val="00ED7EC0"/>
    <w:rsid w:val="00EE3060"/>
    <w:rsid w:val="00EE4227"/>
    <w:rsid w:val="00EE4315"/>
    <w:rsid w:val="00EE4FCD"/>
    <w:rsid w:val="00EE7483"/>
    <w:rsid w:val="00EF03FF"/>
    <w:rsid w:val="00EF6925"/>
    <w:rsid w:val="00F04A7C"/>
    <w:rsid w:val="00F12118"/>
    <w:rsid w:val="00F14AB3"/>
    <w:rsid w:val="00F20561"/>
    <w:rsid w:val="00F26BB5"/>
    <w:rsid w:val="00F26D63"/>
    <w:rsid w:val="00F26ED3"/>
    <w:rsid w:val="00F27E28"/>
    <w:rsid w:val="00F30271"/>
    <w:rsid w:val="00F4231F"/>
    <w:rsid w:val="00F4750D"/>
    <w:rsid w:val="00F509FD"/>
    <w:rsid w:val="00F530C8"/>
    <w:rsid w:val="00F62B7A"/>
    <w:rsid w:val="00F6397D"/>
    <w:rsid w:val="00F7293E"/>
    <w:rsid w:val="00F760A4"/>
    <w:rsid w:val="00F76650"/>
    <w:rsid w:val="00F9187B"/>
    <w:rsid w:val="00F92385"/>
    <w:rsid w:val="00F92914"/>
    <w:rsid w:val="00FA1B4F"/>
    <w:rsid w:val="00FA7EED"/>
    <w:rsid w:val="00FB0AD2"/>
    <w:rsid w:val="00FC47F9"/>
    <w:rsid w:val="00FC49A1"/>
    <w:rsid w:val="00FC6864"/>
    <w:rsid w:val="00FD05E5"/>
    <w:rsid w:val="00FD1138"/>
    <w:rsid w:val="00FD1613"/>
    <w:rsid w:val="00FE063E"/>
    <w:rsid w:val="00FE2351"/>
    <w:rsid w:val="00FE337D"/>
    <w:rsid w:val="00FE5580"/>
    <w:rsid w:val="00FF0163"/>
    <w:rsid w:val="00FF110C"/>
    <w:rsid w:val="00FF1E6D"/>
    <w:rsid w:val="00FF5A93"/>
    <w:rsid w:val="00FF6BAB"/>
    <w:rsid w:val="00FF7950"/>
    <w:rsid w:val="09B203C2"/>
    <w:rsid w:val="0D25E47E"/>
    <w:rsid w:val="18FD4396"/>
    <w:rsid w:val="2D989667"/>
    <w:rsid w:val="3A443DB8"/>
    <w:rsid w:val="5A5856D0"/>
    <w:rsid w:val="617A1203"/>
    <w:rsid w:val="6E630774"/>
    <w:rsid w:val="74D8C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2783"/>
  <w15:chartTrackingRefBased/>
  <w15:docId w15:val="{8D5853B2-081A-4496-AF26-4CC5EB741E1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1434CB"/>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D93B7A"/>
    <w:rPr>
      <w:sz w:val="16"/>
      <w:szCs w:val="16"/>
    </w:rPr>
  </w:style>
  <w:style w:type="paragraph" w:styleId="CommentText">
    <w:name w:val="annotation text"/>
    <w:basedOn w:val="Normal"/>
    <w:link w:val="CommentTextChar"/>
    <w:uiPriority w:val="99"/>
    <w:unhideWhenUsed/>
    <w:rsid w:val="00D93B7A"/>
    <w:pPr>
      <w:spacing w:line="240" w:lineRule="auto"/>
    </w:pPr>
    <w:rPr>
      <w:sz w:val="20"/>
      <w:szCs w:val="20"/>
    </w:rPr>
  </w:style>
  <w:style w:type="character" w:customStyle="1" w:styleId="CommentTextChar">
    <w:name w:val="Comment Text Char"/>
    <w:basedOn w:val="DefaultParagraphFont"/>
    <w:link w:val="CommentText"/>
    <w:uiPriority w:val="99"/>
    <w:rsid w:val="00D93B7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D93B7A"/>
    <w:rPr>
      <w:b/>
      <w:bCs/>
    </w:rPr>
  </w:style>
  <w:style w:type="character" w:customStyle="1" w:styleId="CommentSubjectChar">
    <w:name w:val="Comment Subject Char"/>
    <w:basedOn w:val="CommentTextChar"/>
    <w:link w:val="CommentSubject"/>
    <w:uiPriority w:val="99"/>
    <w:semiHidden/>
    <w:rsid w:val="00D93B7A"/>
    <w:rPr>
      <w:rFonts w:ascii="Book Antiqua" w:hAnsi="Book Antiqua"/>
      <w:b/>
      <w:bCs/>
      <w:sz w:val="20"/>
      <w:szCs w:val="20"/>
    </w:rPr>
  </w:style>
  <w:style w:type="character" w:styleId="UnresolvedMention">
    <w:name w:val="Unresolved Mention"/>
    <w:basedOn w:val="DefaultParagraphFont"/>
    <w:uiPriority w:val="99"/>
    <w:semiHidden/>
    <w:unhideWhenUsed/>
    <w:rsid w:val="00BD3613"/>
    <w:rPr>
      <w:color w:val="605E5C"/>
      <w:shd w:val="clear" w:color="auto" w:fill="E1DFDD"/>
    </w:rPr>
  </w:style>
  <w:style w:type="character" w:styleId="Mention">
    <w:name w:val="Mention"/>
    <w:basedOn w:val="DefaultParagraphFont"/>
    <w:uiPriority w:val="99"/>
    <w:unhideWhenUsed/>
    <w:rsid w:val="008C16D5"/>
    <w:rPr>
      <w:color w:val="2B579A"/>
      <w:shd w:val="clear" w:color="auto" w:fill="E1DFDD"/>
    </w:rPr>
  </w:style>
  <w:style w:type="paragraph" w:customStyle="1" w:styleId="paragraph">
    <w:name w:val="paragraph"/>
    <w:basedOn w:val="Normal"/>
    <w:rsid w:val="0050417B"/>
    <w:pPr>
      <w:spacing w:before="100" w:beforeAutospacing="1" w:after="100" w:afterAutospacing="1" w:line="240" w:lineRule="auto"/>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089705F9-C11C-436E-9F55-262F2C01E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1591</ap:Words>
  <ap:Characters>9072</ap:Characters>
  <ap:Application>Microsoft Office Word</ap:Application>
  <ap:DocSecurity>0</ap:DocSecurity>
  <ap:Lines>75</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10642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2026-07-10T11:47:55Z</dcterms:created>
  <dcterms:modified xsi:type="dcterms:W3CDTF">2026-07-10T11:47:55Z</dcterms:modified>
</cp:coreProperties>
</file>