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262" w:rsidP="00AA0262" w:rsidRDefault="00AA0262" w14:paraId="00C91CD6" w14:textId="176D81B2">
      <w:pPr>
        <w:suppressAutoHyphens/>
        <w:rPr>
          <w:b/>
          <w:bCs/>
          <w:color w:val="000000"/>
        </w:rPr>
      </w:pPr>
      <w:r w:rsidRPr="591AB3B4">
        <w:rPr>
          <w:color w:val="000000" w:themeColor="text1"/>
        </w:rPr>
        <w:t>ALJ/</w:t>
      </w:r>
      <w:r w:rsidR="00B33EAD">
        <w:rPr>
          <w:color w:val="000000" w:themeColor="text1"/>
        </w:rPr>
        <w:t>NIL</w:t>
      </w:r>
      <w:r w:rsidRPr="591AB3B4">
        <w:rPr>
          <w:color w:val="000000" w:themeColor="text1"/>
        </w:rPr>
        <w:t>/cg7</w:t>
      </w:r>
      <w:r>
        <w:tab/>
      </w:r>
      <w:r>
        <w:tab/>
      </w:r>
      <w:r w:rsidRPr="591AB3B4">
        <w:rPr>
          <w:b/>
          <w:bCs/>
          <w:color w:val="000000" w:themeColor="text1"/>
        </w:rPr>
        <w:t>PROPOSED DECISION</w:t>
      </w:r>
      <w:r>
        <w:tab/>
      </w:r>
      <w:r>
        <w:tab/>
      </w:r>
      <w:r w:rsidR="00B33EAD">
        <w:tab/>
      </w:r>
      <w:r w:rsidRPr="591AB3B4">
        <w:rPr>
          <w:b/>
          <w:bCs/>
          <w:color w:val="000000" w:themeColor="text1"/>
        </w:rPr>
        <w:t>Agenda ID #</w:t>
      </w:r>
      <w:r w:rsidR="009F2032">
        <w:rPr>
          <w:b/>
          <w:bCs/>
          <w:color w:val="000000" w:themeColor="text1"/>
        </w:rPr>
        <w:t>24317</w:t>
      </w:r>
      <w:r w:rsidR="004F5502">
        <w:rPr>
          <w:b/>
          <w:bCs/>
          <w:color w:val="000000" w:themeColor="text1"/>
        </w:rPr>
        <w:t xml:space="preserve"> </w:t>
      </w:r>
      <w:r w:rsidRPr="00D151BD" w:rsidR="004F5502">
        <w:rPr>
          <w:b/>
          <w:bCs/>
          <w:color w:val="000000" w:themeColor="text1"/>
        </w:rPr>
        <w:t>(Rev.1)</w:t>
      </w:r>
    </w:p>
    <w:p w:rsidR="00D12BE8" w:rsidP="00D12BE8" w:rsidRDefault="00AA0262" w14:paraId="18985D33" w14:textId="77777777">
      <w:pPr>
        <w:suppressAutoHyphens/>
        <w:jc w:val="center"/>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00D12BE8">
        <w:rPr>
          <w:b/>
          <w:bCs/>
          <w:color w:val="000000"/>
        </w:rPr>
        <w:t xml:space="preserve">   </w:t>
      </w:r>
      <w:r w:rsidRPr="591AB3B4" w:rsidR="00D12BE8">
        <w:rPr>
          <w:b/>
          <w:bCs/>
          <w:color w:val="000000"/>
        </w:rPr>
        <w:t>Ratesetting</w:t>
      </w:r>
    </w:p>
    <w:p w:rsidR="00D12BE8" w:rsidP="00D12BE8" w:rsidRDefault="00D12BE8" w14:paraId="283C208E" w14:textId="1888F68A">
      <w:pPr>
        <w:suppressAutoHyphens/>
        <w:jc w:val="center"/>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004A5B9F">
        <w:rPr>
          <w:b/>
          <w:bCs/>
          <w:color w:val="000000"/>
        </w:rPr>
        <w:t>07/16/</w:t>
      </w:r>
      <w:proofErr w:type="gramStart"/>
      <w:r w:rsidR="004A5B9F">
        <w:rPr>
          <w:b/>
          <w:bCs/>
          <w:color w:val="000000"/>
        </w:rPr>
        <w:t>2026  Item</w:t>
      </w:r>
      <w:proofErr w:type="gramEnd"/>
      <w:r w:rsidR="004A5B9F">
        <w:rPr>
          <w:b/>
          <w:bCs/>
          <w:color w:val="000000"/>
        </w:rPr>
        <w:t xml:space="preserve"> #34</w:t>
      </w:r>
    </w:p>
    <w:p w:rsidR="00AA0262" w:rsidP="00D12BE8" w:rsidRDefault="00AA0262" w14:paraId="1D8B279A" w14:textId="25B9B5D0">
      <w:pPr>
        <w:suppressAutoHyphens/>
        <w:rPr>
          <w:color w:val="000000"/>
        </w:rPr>
      </w:pPr>
    </w:p>
    <w:p w:rsidR="00AA0262" w:rsidP="00AA0262" w:rsidRDefault="00AA0262" w14:paraId="7E7B0620" w14:textId="77777777">
      <w:pPr>
        <w:suppressAutoHyphens/>
        <w:rPr>
          <w:color w:val="000000"/>
        </w:rPr>
      </w:pPr>
    </w:p>
    <w:p w:rsidRPr="008936E4" w:rsidR="00A92D0B" w:rsidRDefault="00A92D0B" w14:paraId="5BDA9FD4" w14:textId="492152FD">
      <w:pPr>
        <w:suppressAutoHyphens/>
        <w:rPr>
          <w:rFonts w:asciiTheme="majorBidi" w:hAnsiTheme="majorBidi" w:cstheme="majorBidi"/>
          <w:color w:val="000000"/>
        </w:rPr>
      </w:pPr>
      <w:r w:rsidRPr="008936E4">
        <w:rPr>
          <w:rFonts w:asciiTheme="majorBidi" w:hAnsiTheme="majorBidi" w:cstheme="majorBidi"/>
          <w:color w:val="000000"/>
        </w:rPr>
        <w:t xml:space="preserve">Decision </w:t>
      </w:r>
      <w:r w:rsidR="0024647A">
        <w:rPr>
          <w:rFonts w:asciiTheme="majorBidi" w:hAnsiTheme="majorBidi" w:cstheme="majorBidi"/>
          <w:color w:val="000000"/>
          <w:u w:val="single"/>
        </w:rPr>
        <w:t xml:space="preserve">PROPOSED DECISION OF ALJ ATAMTURK </w:t>
      </w:r>
      <w:r w:rsidR="0027082A">
        <w:rPr>
          <w:rFonts w:asciiTheme="majorBidi" w:hAnsiTheme="majorBidi" w:cstheme="majorBidi"/>
          <w:color w:val="000000"/>
          <w:u w:val="single"/>
        </w:rPr>
        <w:t xml:space="preserve">(Mailed </w:t>
      </w:r>
      <w:r w:rsidR="0024647A">
        <w:rPr>
          <w:rFonts w:asciiTheme="majorBidi" w:hAnsiTheme="majorBidi" w:cstheme="majorBidi"/>
          <w:color w:val="000000"/>
          <w:u w:val="single"/>
        </w:rPr>
        <w:t>06/15/2026</w:t>
      </w:r>
      <w:r w:rsidR="00D151BD">
        <w:rPr>
          <w:rFonts w:asciiTheme="majorBidi" w:hAnsiTheme="majorBidi" w:cstheme="majorBidi"/>
          <w:color w:val="000000"/>
          <w:u w:val="single"/>
        </w:rPr>
        <w:t>)</w:t>
      </w:r>
    </w:p>
    <w:p w:rsidRPr="008936E4" w:rsidR="00A92D0B" w:rsidP="00D151BD" w:rsidRDefault="00A92D0B" w14:paraId="44E03231" w14:textId="77777777">
      <w:pPr>
        <w:pStyle w:val="titlebar"/>
        <w:jc w:val="left"/>
        <w:rPr>
          <w:rFonts w:asciiTheme="majorBidi" w:hAnsiTheme="majorBidi" w:cstheme="majorBidi"/>
          <w:color w:val="000000"/>
          <w:sz w:val="24"/>
          <w:szCs w:val="24"/>
        </w:rPr>
      </w:pPr>
    </w:p>
    <w:p w:rsidRPr="008936E4" w:rsidR="00A92D0B" w:rsidRDefault="00A92D0B" w14:paraId="67F2520C" w14:textId="77777777">
      <w:pPr>
        <w:pStyle w:val="titlebar"/>
        <w:rPr>
          <w:rFonts w:asciiTheme="majorBidi" w:hAnsiTheme="majorBidi" w:cstheme="majorBidi"/>
          <w:color w:val="000000"/>
          <w:sz w:val="24"/>
          <w:szCs w:val="24"/>
        </w:rPr>
      </w:pPr>
      <w:r w:rsidRPr="008936E4">
        <w:rPr>
          <w:rFonts w:asciiTheme="majorBidi" w:hAnsiTheme="majorBidi" w:cstheme="majorBidi"/>
          <w:color w:val="000000"/>
          <w:sz w:val="24"/>
          <w:szCs w:val="24"/>
        </w:rPr>
        <w:t>BEFORE THE PUBLIC UTILITIES COMMISSION OF THE STATE OF CALIFORNIA</w:t>
      </w:r>
    </w:p>
    <w:p w:rsidRPr="008936E4" w:rsidR="00A92D0B" w:rsidRDefault="00A92D0B" w14:paraId="564284CD" w14:textId="77777777">
      <w:pPr>
        <w:suppressAutoHyphens/>
        <w:rPr>
          <w:rFonts w:asciiTheme="majorBidi" w:hAnsiTheme="majorBidi" w:cstheme="majorBidi"/>
          <w:color w:val="000000"/>
        </w:rPr>
      </w:pPr>
    </w:p>
    <w:tbl>
      <w:tblPr>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045"/>
        <w:gridCol w:w="4765"/>
      </w:tblGrid>
      <w:tr w:rsidRPr="00AB264D" w:rsidR="00903C95" w:rsidTr="005E2C12" w14:paraId="28550B83" w14:textId="77777777">
        <w:tc>
          <w:tcPr>
            <w:tcW w:w="5045" w:type="dxa"/>
            <w:tcBorders>
              <w:top w:val="nil"/>
              <w:left w:val="nil"/>
            </w:tcBorders>
          </w:tcPr>
          <w:p w:rsidRPr="00FA64A8" w:rsidR="005E2C12" w:rsidP="00984258" w:rsidRDefault="009856F8" w14:paraId="2EBD0C31" w14:textId="0413C000">
            <w:r w:rsidRPr="00753F6F">
              <w:t xml:space="preserve">Application of Pacific Gas and Electric Company to Recover in Customer Rates the Costs to Support Extended Operation of Diablo Canyon Power Plant from September 1, </w:t>
            </w:r>
            <w:proofErr w:type="gramStart"/>
            <w:r w:rsidRPr="00753F6F">
              <w:t>2023</w:t>
            </w:r>
            <w:proofErr w:type="gramEnd"/>
            <w:r w:rsidRPr="00753F6F">
              <w:t xml:space="preserve"> through December 31, </w:t>
            </w:r>
            <w:proofErr w:type="gramStart"/>
            <w:r w:rsidRPr="00753F6F">
              <w:t>2025</w:t>
            </w:r>
            <w:proofErr w:type="gramEnd"/>
            <w:r w:rsidRPr="00753F6F">
              <w:t xml:space="preserve"> and for Approval of Planned Expenditure of 2025 Volumetric Performance Fees. (U39E)</w:t>
            </w:r>
            <w:r w:rsidR="00984258">
              <w:br/>
            </w:r>
          </w:p>
        </w:tc>
        <w:tc>
          <w:tcPr>
            <w:tcW w:w="4765" w:type="dxa"/>
            <w:tcBorders>
              <w:top w:val="nil"/>
              <w:bottom w:val="nil"/>
              <w:right w:val="nil"/>
            </w:tcBorders>
          </w:tcPr>
          <w:p w:rsidR="003D5EA7" w:rsidP="003D5EA7" w:rsidRDefault="003D5EA7" w14:paraId="7641E323" w14:textId="77777777">
            <w:pPr>
              <w:pStyle w:val="Birdcage"/>
              <w:ind w:hanging="14"/>
              <w:jc w:val="center"/>
            </w:pPr>
          </w:p>
          <w:p w:rsidR="003D5EA7" w:rsidP="003D5EA7" w:rsidRDefault="003D5EA7" w14:paraId="013FCB28" w14:textId="77777777">
            <w:pPr>
              <w:pStyle w:val="Birdcage"/>
              <w:ind w:hanging="14"/>
              <w:jc w:val="center"/>
            </w:pPr>
          </w:p>
          <w:p w:rsidRPr="00FA64A8" w:rsidR="00903C95" w:rsidP="003D5EA7" w:rsidRDefault="00903C95" w14:paraId="27091567" w14:textId="58B3B551">
            <w:pPr>
              <w:pStyle w:val="Birdcage"/>
              <w:ind w:hanging="14"/>
              <w:jc w:val="center"/>
            </w:pPr>
            <w:r w:rsidRPr="00FA64A8">
              <w:t>A.24-03-018</w:t>
            </w:r>
          </w:p>
          <w:p w:rsidRPr="00AB264D" w:rsidR="00903C95" w:rsidP="003D5EA7" w:rsidRDefault="00903C95" w14:paraId="2286CC36" w14:textId="72F9AD87">
            <w:pPr>
              <w:pStyle w:val="Birdcage"/>
              <w:ind w:hanging="14"/>
              <w:jc w:val="center"/>
              <w:rPr>
                <w:b/>
                <w:bCs/>
              </w:rPr>
            </w:pPr>
            <w:r w:rsidRPr="00FA64A8">
              <w:t>(Filed March 29, 2024)</w:t>
            </w:r>
          </w:p>
        </w:tc>
      </w:tr>
    </w:tbl>
    <w:p w:rsidRPr="00AB264D" w:rsidR="00FC72B7" w:rsidRDefault="00FC72B7" w14:paraId="5459E071" w14:textId="77777777">
      <w:pPr>
        <w:jc w:val="center"/>
        <w:rPr>
          <w:b/>
          <w:bCs/>
        </w:rPr>
      </w:pPr>
    </w:p>
    <w:p w:rsidRPr="00AB264D" w:rsidR="00012736" w:rsidP="00475FD4" w:rsidRDefault="00012736" w14:paraId="02B4B221" w14:textId="0F991B28">
      <w:pPr>
        <w:jc w:val="center"/>
        <w:rPr>
          <w:b/>
          <w:bCs/>
        </w:rPr>
      </w:pPr>
      <w:r w:rsidRPr="00AB264D">
        <w:rPr>
          <w:b/>
          <w:bCs/>
        </w:rPr>
        <w:t xml:space="preserve">DECISION GRANTING </w:t>
      </w:r>
      <w:r w:rsidRPr="00AB264D" w:rsidR="00A92D0B">
        <w:rPr>
          <w:b/>
          <w:bCs/>
        </w:rPr>
        <w:t>COMPENSATION</w:t>
      </w:r>
      <w:r w:rsidRPr="00AB264D">
        <w:rPr>
          <w:b/>
          <w:bCs/>
        </w:rPr>
        <w:t xml:space="preserve"> TO</w:t>
      </w:r>
      <w:r w:rsidRPr="00AB264D" w:rsidR="00A92D0B">
        <w:rPr>
          <w:b/>
          <w:bCs/>
        </w:rPr>
        <w:t xml:space="preserve"> </w:t>
      </w:r>
      <w:r w:rsidRPr="00AB264D" w:rsidR="00475FD4">
        <w:rPr>
          <w:b/>
          <w:bCs/>
        </w:rPr>
        <w:t xml:space="preserve">SMALL BUSINESS UTILITY ADVOCATES </w:t>
      </w:r>
      <w:r w:rsidRPr="00AB264D">
        <w:rPr>
          <w:b/>
          <w:bCs/>
        </w:rPr>
        <w:t xml:space="preserve">FOR SUBSTANTIAL CONTRIBUTION TO </w:t>
      </w:r>
    </w:p>
    <w:p w:rsidRPr="00AB264D" w:rsidR="00A92D0B" w:rsidP="00475FD4" w:rsidRDefault="00012736" w14:paraId="17BB0C52" w14:textId="7EE6727E">
      <w:pPr>
        <w:jc w:val="center"/>
        <w:rPr>
          <w:b/>
          <w:bCs/>
        </w:rPr>
      </w:pPr>
      <w:r w:rsidRPr="00AB264D">
        <w:rPr>
          <w:b/>
          <w:bCs/>
        </w:rPr>
        <w:t>DECISIONS (D.)</w:t>
      </w:r>
      <w:r w:rsidRPr="006E1A6C">
        <w:rPr>
          <w:b/>
          <w:bCs/>
        </w:rPr>
        <w:t xml:space="preserve"> 24-12-033 </w:t>
      </w:r>
      <w:r w:rsidR="006B22D9">
        <w:rPr>
          <w:b/>
          <w:bCs/>
        </w:rPr>
        <w:t>AND</w:t>
      </w:r>
      <w:r w:rsidRPr="006E1A6C" w:rsidR="006B22D9">
        <w:rPr>
          <w:b/>
          <w:bCs/>
        </w:rPr>
        <w:t xml:space="preserve"> </w:t>
      </w:r>
      <w:r w:rsidRPr="006E1A6C">
        <w:rPr>
          <w:b/>
          <w:bCs/>
        </w:rPr>
        <w:t>D.25-07-041</w:t>
      </w:r>
    </w:p>
    <w:p w:rsidRPr="00AB264D" w:rsidR="00374FD1" w:rsidRDefault="00374FD1" w14:paraId="7DD45571" w14:textId="77777777">
      <w:pPr>
        <w:jc w:val="center"/>
      </w:pPr>
    </w:p>
    <w:p w:rsidRPr="00AB264D" w:rsidR="00A92D0B" w:rsidRDefault="00A92D0B" w14:paraId="4BEAFF75" w14:textId="77777777">
      <w:pPr>
        <w:suppressAutoHyphens/>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585"/>
        <w:gridCol w:w="5310"/>
      </w:tblGrid>
      <w:tr w:rsidRPr="00EC1184" w:rsidR="00A92D0B" w:rsidTr="00EA1FCF" w14:paraId="0FE98F62" w14:textId="77777777">
        <w:tc>
          <w:tcPr>
            <w:tcW w:w="4585" w:type="dxa"/>
          </w:tcPr>
          <w:p w:rsidRPr="00AB264D" w:rsidR="00A92D0B" w:rsidP="00475FD4" w:rsidRDefault="005A63D4" w14:paraId="11570D4A" w14:textId="02775AF5">
            <w:pPr>
              <w:tabs>
                <w:tab w:val="center" w:pos="1866"/>
              </w:tabs>
            </w:pPr>
            <w:r w:rsidRPr="00AB264D">
              <w:rPr>
                <w:b/>
                <w:bCs/>
              </w:rPr>
              <w:t>Intervenor</w:t>
            </w:r>
            <w:r w:rsidRPr="00AB264D" w:rsidR="006E1A6C">
              <w:rPr>
                <w:b/>
                <w:bCs/>
              </w:rPr>
              <w:t>:</w:t>
            </w:r>
            <w:r w:rsidRPr="00AB264D" w:rsidR="006E1A6C">
              <w:t xml:space="preserve"> Small</w:t>
            </w:r>
            <w:r w:rsidRPr="00AB264D" w:rsidR="00475FD4">
              <w:t xml:space="preserve"> Business Utility Advocates</w:t>
            </w:r>
          </w:p>
        </w:tc>
        <w:tc>
          <w:tcPr>
            <w:tcW w:w="5310" w:type="dxa"/>
          </w:tcPr>
          <w:p w:rsidRPr="00AB264D" w:rsidR="00A92D0B" w:rsidP="001F0CBB" w:rsidRDefault="00A92D0B" w14:paraId="53A584EE" w14:textId="5F5085FF">
            <w:pPr>
              <w:pStyle w:val="Default"/>
              <w:rPr>
                <w:b/>
                <w:bCs/>
              </w:rPr>
            </w:pPr>
            <w:r w:rsidRPr="00AB264D">
              <w:rPr>
                <w:b/>
                <w:bCs/>
              </w:rPr>
              <w:t>For contribution to D</w:t>
            </w:r>
            <w:r w:rsidRPr="00AB264D" w:rsidR="00DE3A5D">
              <w:rPr>
                <w:b/>
                <w:bCs/>
              </w:rPr>
              <w:t xml:space="preserve">ecision (D.) </w:t>
            </w:r>
            <w:r w:rsidRPr="00AB264D" w:rsidR="001F0CBB">
              <w:rPr>
                <w:b/>
                <w:bCs/>
              </w:rPr>
              <w:t>2</w:t>
            </w:r>
            <w:r w:rsidRPr="00AB264D" w:rsidR="00411E9E">
              <w:rPr>
                <w:b/>
                <w:bCs/>
              </w:rPr>
              <w:t>4-12-033</w:t>
            </w:r>
            <w:r w:rsidRPr="00EC1184" w:rsidR="00411E9E">
              <w:rPr>
                <w:b/>
                <w:bCs/>
              </w:rPr>
              <w:t xml:space="preserve"> </w:t>
            </w:r>
            <w:r w:rsidRPr="00AB264D" w:rsidR="00E60ED3">
              <w:rPr>
                <w:b/>
                <w:bCs/>
              </w:rPr>
              <w:t>and</w:t>
            </w:r>
            <w:r w:rsidRPr="00EC1184" w:rsidR="00E60ED3">
              <w:rPr>
                <w:b/>
                <w:bCs/>
              </w:rPr>
              <w:t xml:space="preserve"> </w:t>
            </w:r>
            <w:r w:rsidRPr="00AB264D" w:rsidR="00411E9E">
              <w:rPr>
                <w:b/>
                <w:bCs/>
              </w:rPr>
              <w:t>D.25-07-041</w:t>
            </w:r>
          </w:p>
        </w:tc>
      </w:tr>
      <w:tr w:rsidRPr="00EC1184" w:rsidR="00A92D0B" w:rsidTr="00EA1FCF" w14:paraId="47003B8E" w14:textId="77777777">
        <w:tc>
          <w:tcPr>
            <w:tcW w:w="4585" w:type="dxa"/>
          </w:tcPr>
          <w:p w:rsidRPr="00AB264D" w:rsidR="00A92D0B" w:rsidP="00C47A2B" w:rsidRDefault="00A92D0B" w14:paraId="0E2E4BD1" w14:textId="1EC6106D">
            <w:pPr>
              <w:tabs>
                <w:tab w:val="left" w:pos="1620"/>
                <w:tab w:val="right" w:pos="4500"/>
              </w:tabs>
            </w:pPr>
            <w:r w:rsidRPr="00AB264D">
              <w:rPr>
                <w:b/>
                <w:bCs/>
              </w:rPr>
              <w:t>Claimed:</w:t>
            </w:r>
            <w:r w:rsidRPr="00AB264D" w:rsidR="00F63C29">
              <w:t xml:space="preserve"> </w:t>
            </w:r>
            <w:r w:rsidRPr="00AB264D" w:rsidR="002D21CA">
              <w:t xml:space="preserve"> </w:t>
            </w:r>
            <w:r w:rsidRPr="00AB264D" w:rsidR="00475FD4">
              <w:t>$</w:t>
            </w:r>
            <w:r w:rsidRPr="00AB264D" w:rsidR="00D5288D">
              <w:t>94,957.78</w:t>
            </w:r>
          </w:p>
        </w:tc>
        <w:tc>
          <w:tcPr>
            <w:tcW w:w="5310" w:type="dxa"/>
            <w:tcBorders>
              <w:bottom w:val="single" w:color="auto" w:sz="4" w:space="0"/>
            </w:tcBorders>
          </w:tcPr>
          <w:p w:rsidRPr="00AB264D" w:rsidR="00A92D0B" w:rsidP="00C47A2B" w:rsidRDefault="00A92D0B" w14:paraId="211F40A8" w14:textId="0F325E21">
            <w:pPr>
              <w:tabs>
                <w:tab w:val="left" w:pos="1872"/>
                <w:tab w:val="right" w:pos="3672"/>
              </w:tabs>
            </w:pPr>
            <w:r w:rsidRPr="00AB264D">
              <w:rPr>
                <w:b/>
                <w:bCs/>
              </w:rPr>
              <w:t>Awarded:</w:t>
            </w:r>
            <w:r w:rsidRPr="00AB264D" w:rsidR="00FC72B7">
              <w:t xml:space="preserve">  </w:t>
            </w:r>
            <w:r w:rsidRPr="002E1712" w:rsidR="002E1712">
              <w:rPr>
                <w:rFonts w:asciiTheme="majorBidi" w:hAnsiTheme="majorBidi" w:cstheme="majorBidi"/>
                <w:bCs/>
                <w:iCs/>
              </w:rPr>
              <w:t>$</w:t>
            </w:r>
            <w:r w:rsidR="008A60B3">
              <w:rPr>
                <w:rFonts w:asciiTheme="majorBidi" w:hAnsiTheme="majorBidi" w:cstheme="majorBidi"/>
                <w:bCs/>
                <w:iCs/>
              </w:rPr>
              <w:t>52,567.00</w:t>
            </w:r>
          </w:p>
        </w:tc>
      </w:tr>
      <w:tr w:rsidRPr="00EC1184" w:rsidR="00A92D0B" w:rsidTr="00EA1FCF" w14:paraId="5C56877D" w14:textId="77777777">
        <w:tc>
          <w:tcPr>
            <w:tcW w:w="4585" w:type="dxa"/>
          </w:tcPr>
          <w:p w:rsidRPr="00AB264D" w:rsidR="00A92D0B" w:rsidP="00C47A2B" w:rsidRDefault="00A92D0B" w14:paraId="6EF99E36" w14:textId="2D440A9A">
            <w:pPr>
              <w:tabs>
                <w:tab w:val="left" w:pos="3060"/>
                <w:tab w:val="right" w:pos="4500"/>
              </w:tabs>
            </w:pPr>
            <w:r w:rsidRPr="00AB264D">
              <w:rPr>
                <w:b/>
                <w:bCs/>
              </w:rPr>
              <w:t>Assigned Commissioner:</w:t>
            </w:r>
            <w:r w:rsidRPr="00AB264D">
              <w:t xml:space="preserve"> </w:t>
            </w:r>
            <w:r w:rsidRPr="00AB264D" w:rsidR="00411E9E">
              <w:t>Karen Douglas</w:t>
            </w:r>
          </w:p>
        </w:tc>
        <w:tc>
          <w:tcPr>
            <w:tcW w:w="5310" w:type="dxa"/>
          </w:tcPr>
          <w:p w:rsidRPr="00AB264D" w:rsidR="00A92D0B" w:rsidP="00F051B7" w:rsidRDefault="00A92D0B" w14:paraId="79375F78" w14:textId="5B1FA69B">
            <w:pPr>
              <w:tabs>
                <w:tab w:val="center" w:pos="2597"/>
              </w:tabs>
            </w:pPr>
            <w:r w:rsidRPr="00AB264D">
              <w:rPr>
                <w:b/>
                <w:bCs/>
              </w:rPr>
              <w:t>Assigned ALJ:</w:t>
            </w:r>
            <w:r w:rsidRPr="00AB264D" w:rsidR="00F63C29">
              <w:t xml:space="preserve"> </w:t>
            </w:r>
            <w:r w:rsidRPr="00AB264D" w:rsidR="00411E9E">
              <w:t>Nilgun Atamturk</w:t>
            </w:r>
          </w:p>
        </w:tc>
      </w:tr>
    </w:tbl>
    <w:p w:rsidRPr="008936E4" w:rsidR="00691528" w:rsidP="00055843" w:rsidRDefault="00A92D0B" w14:paraId="3CEED871" w14:textId="77808077">
      <w:pPr>
        <w:keepNext/>
        <w:spacing w:before="480"/>
        <w:jc w:val="center"/>
        <w:rPr>
          <w:rFonts w:asciiTheme="majorBidi" w:hAnsiTheme="majorBidi" w:cstheme="majorBidi"/>
          <w:b/>
          <w:color w:val="000000"/>
        </w:rPr>
      </w:pPr>
      <w:r w:rsidRPr="008936E4">
        <w:rPr>
          <w:rFonts w:asciiTheme="majorBidi" w:hAnsiTheme="majorBidi" w:cstheme="majorBidi"/>
          <w:b/>
          <w:color w:val="000000"/>
        </w:rPr>
        <w:t>PART I</w:t>
      </w:r>
      <w:r w:rsidRPr="008936E4" w:rsidR="0098102F">
        <w:rPr>
          <w:rFonts w:asciiTheme="majorBidi" w:hAnsiTheme="majorBidi" w:cstheme="majorBidi"/>
          <w:b/>
          <w:color w:val="000000"/>
        </w:rPr>
        <w:t>: PROCEDURAL</w:t>
      </w:r>
      <w:r w:rsidRPr="008936E4">
        <w:rPr>
          <w:rFonts w:asciiTheme="majorBidi" w:hAnsiTheme="majorBidi" w:cstheme="majorBidi"/>
          <w:b/>
          <w:color w:val="000000"/>
        </w:rPr>
        <w:t xml:space="preserve"> ISSUES</w:t>
      </w:r>
    </w:p>
    <w:p w:rsidRPr="008936E4" w:rsidR="00A92D0B" w:rsidP="00055843" w:rsidRDefault="00A92D0B" w14:paraId="37AA25BD" w14:textId="77777777">
      <w:pPr>
        <w:keepNext/>
        <w:rPr>
          <w:rFonts w:asciiTheme="majorBidi" w:hAnsiTheme="majorBidi" w:cstheme="majorBidi"/>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8936E4" w:rsidR="00A92D0B" w:rsidTr="00AB264D" w14:paraId="3C5C25ED" w14:textId="77777777">
        <w:tc>
          <w:tcPr>
            <w:tcW w:w="3708" w:type="dxa"/>
          </w:tcPr>
          <w:p w:rsidRPr="008936E4" w:rsidR="00A92D0B" w:rsidP="00915118" w:rsidRDefault="00A92D0B" w14:paraId="1576A0A6" w14:textId="77777777">
            <w:pPr>
              <w:rPr>
                <w:rFonts w:asciiTheme="majorBidi" w:hAnsiTheme="majorBidi" w:cstheme="majorBidi"/>
                <w:b/>
                <w:color w:val="000000"/>
              </w:rPr>
            </w:pPr>
            <w:r w:rsidRPr="008936E4">
              <w:rPr>
                <w:rFonts w:asciiTheme="majorBidi" w:hAnsiTheme="majorBidi" w:cstheme="majorBidi"/>
                <w:b/>
                <w:color w:val="000000"/>
              </w:rPr>
              <w:t xml:space="preserve">A.  Brief </w:t>
            </w:r>
            <w:r w:rsidRPr="008936E4" w:rsidR="00A319DE">
              <w:rPr>
                <w:rFonts w:asciiTheme="majorBidi" w:hAnsiTheme="majorBidi" w:cstheme="majorBidi"/>
                <w:b/>
                <w:color w:val="000000"/>
              </w:rPr>
              <w:t>d</w:t>
            </w:r>
            <w:r w:rsidRPr="008936E4">
              <w:rPr>
                <w:rFonts w:asciiTheme="majorBidi" w:hAnsiTheme="majorBidi" w:cstheme="majorBidi"/>
                <w:b/>
                <w:color w:val="000000"/>
              </w:rPr>
              <w:t xml:space="preserve">escription of Decision: </w:t>
            </w:r>
          </w:p>
        </w:tc>
        <w:tc>
          <w:tcPr>
            <w:tcW w:w="6120" w:type="dxa"/>
          </w:tcPr>
          <w:p w:rsidRPr="00E60ED3" w:rsidR="00C02649" w:rsidP="00BA7B32" w:rsidRDefault="00654CF2" w14:paraId="2E3D1EC8" w14:textId="77777777">
            <w:pPr>
              <w:spacing w:after="120"/>
              <w:rPr>
                <w:rFonts w:asciiTheme="majorBidi" w:hAnsiTheme="majorBidi" w:cstheme="majorBidi"/>
                <w:bCs/>
                <w:color w:val="000000"/>
              </w:rPr>
            </w:pPr>
            <w:r w:rsidRPr="00E60ED3">
              <w:rPr>
                <w:rFonts w:asciiTheme="majorBidi" w:hAnsiTheme="majorBidi" w:cstheme="majorBidi"/>
                <w:bCs/>
                <w:color w:val="000000"/>
              </w:rPr>
              <w:t>D</w:t>
            </w:r>
            <w:r w:rsidRPr="00E60ED3" w:rsidR="00411E9E">
              <w:rPr>
                <w:rFonts w:asciiTheme="majorBidi" w:hAnsiTheme="majorBidi" w:cstheme="majorBidi"/>
                <w:bCs/>
                <w:color w:val="000000"/>
              </w:rPr>
              <w:t>.24-12-033 approves Pacific Gas &amp; Electric Company’s (PG&amp;E) 2024 Diablo Canyon extended operations revenue requirement of $722.6 million (reduced from requested $761 million) and conditionally approves PG&amp;E’s 2025 Volumetric Spending Plan.</w:t>
            </w:r>
          </w:p>
          <w:p w:rsidRPr="00E60ED3" w:rsidR="00E60ED3" w:rsidP="00522847" w:rsidRDefault="00E60ED3" w14:paraId="67B8ECAA" w14:textId="6BE66DD3">
            <w:pPr>
              <w:pStyle w:val="Default"/>
              <w:spacing w:before="240" w:after="120"/>
            </w:pPr>
            <w:r w:rsidRPr="00E60ED3">
              <w:rPr>
                <w:bCs/>
              </w:rPr>
              <w:t>D.25-07-041 denies the</w:t>
            </w:r>
            <w:r w:rsidRPr="00E60ED3">
              <w:t xml:space="preserve"> applications for rehearing of D.24-12-033 filed</w:t>
            </w:r>
            <w:r w:rsidR="00522847">
              <w:t xml:space="preserve">, respectively, </w:t>
            </w:r>
            <w:r w:rsidRPr="00E60ED3">
              <w:t>by PG&amp;E, Alliance for Nuclear Responsibility (A4NR), and San Luis Obispo Mothers for Peace (</w:t>
            </w:r>
            <w:r w:rsidR="00A84D00">
              <w:t>SLO</w:t>
            </w:r>
            <w:r w:rsidR="0077760E">
              <w:t>MFP</w:t>
            </w:r>
            <w:r w:rsidRPr="00E60ED3">
              <w:t>), subject to modifications.</w:t>
            </w:r>
          </w:p>
        </w:tc>
      </w:tr>
    </w:tbl>
    <w:p w:rsidRPr="008936E4" w:rsidR="00A92D0B" w:rsidP="00880855" w:rsidRDefault="005A63D4" w14:paraId="2FBF046C" w14:textId="77777777">
      <w:pPr>
        <w:keepNext/>
        <w:numPr>
          <w:ilvl w:val="0"/>
          <w:numId w:val="5"/>
        </w:numPr>
        <w:spacing w:before="240" w:after="240"/>
        <w:rPr>
          <w:rFonts w:asciiTheme="majorBidi" w:hAnsiTheme="majorBidi" w:cstheme="majorBidi"/>
          <w:b/>
          <w:color w:val="000000"/>
        </w:rPr>
      </w:pPr>
      <w:r w:rsidRPr="008936E4">
        <w:rPr>
          <w:rFonts w:asciiTheme="majorBidi" w:hAnsiTheme="majorBidi" w:cstheme="majorBidi"/>
          <w:b/>
          <w:color w:val="000000"/>
        </w:rPr>
        <w:lastRenderedPageBreak/>
        <w:t xml:space="preserve">Intervenor </w:t>
      </w:r>
      <w:r w:rsidRPr="008936E4" w:rsidR="00A92D0B">
        <w:rPr>
          <w:rFonts w:asciiTheme="majorBidi" w:hAnsiTheme="majorBidi" w:cstheme="majorBidi"/>
          <w:b/>
          <w:color w:val="000000"/>
        </w:rPr>
        <w:t xml:space="preserve">must satisfy intervenor compensation </w:t>
      </w:r>
      <w:r w:rsidRPr="008936E4" w:rsidR="00DE3A5D">
        <w:rPr>
          <w:rFonts w:asciiTheme="majorBidi" w:hAnsiTheme="majorBidi" w:cstheme="majorBidi"/>
          <w:b/>
          <w:color w:val="000000"/>
        </w:rPr>
        <w:t>requirements set forth in Pub. Util.</w:t>
      </w:r>
      <w:r w:rsidRPr="008936E4" w:rsidR="00A92D0B">
        <w:rPr>
          <w:rFonts w:asciiTheme="majorBidi" w:hAnsiTheme="majorBidi" w:cstheme="majorBidi"/>
          <w:b/>
          <w:color w:val="000000"/>
        </w:rPr>
        <w:t xml:space="preserve"> Code §§ 1801-1812</w:t>
      </w:r>
      <w:r w:rsidRPr="008936E4" w:rsidR="003B6A1B">
        <w:rPr>
          <w:rStyle w:val="FootnoteReference"/>
          <w:rFonts w:asciiTheme="majorBidi" w:hAnsiTheme="majorBidi" w:cstheme="majorBidi"/>
          <w:b/>
          <w:color w:val="000000"/>
        </w:rPr>
        <w:footnoteReference w:id="1"/>
      </w:r>
      <w:r w:rsidRPr="008936E4" w:rsidR="00A92D0B">
        <w:rPr>
          <w:rFonts w:asciiTheme="majorBidi" w:hAnsiTheme="majorBidi" w:cstheme="majorBidi"/>
          <w:b/>
          <w:color w:val="000000"/>
        </w:rPr>
        <w:t>:</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721"/>
      </w:tblGrid>
      <w:tr w:rsidRPr="008936E4" w:rsidR="00A92D0B" w:rsidTr="00EA1FCF" w14:paraId="640CF70A" w14:textId="77777777">
        <w:trPr>
          <w:tblHeader/>
        </w:trPr>
        <w:tc>
          <w:tcPr>
            <w:tcW w:w="4817" w:type="dxa"/>
            <w:tcBorders>
              <w:bottom w:val="single" w:color="auto" w:sz="4" w:space="0"/>
            </w:tcBorders>
          </w:tcPr>
          <w:p w:rsidRPr="008936E4" w:rsidR="00A92D0B" w:rsidP="00F028C8" w:rsidRDefault="00A92D0B" w14:paraId="409E4D92" w14:textId="77777777">
            <w:pPr>
              <w:tabs>
                <w:tab w:val="left" w:pos="360"/>
              </w:tabs>
              <w:jc w:val="center"/>
              <w:rPr>
                <w:rFonts w:asciiTheme="majorBidi" w:hAnsiTheme="majorBidi" w:cstheme="majorBidi"/>
                <w:color w:val="000000"/>
              </w:rPr>
            </w:pPr>
          </w:p>
        </w:tc>
        <w:tc>
          <w:tcPr>
            <w:tcW w:w="2267" w:type="dxa"/>
            <w:tcBorders>
              <w:bottom w:val="single" w:color="auto" w:sz="4" w:space="0"/>
            </w:tcBorders>
          </w:tcPr>
          <w:p w:rsidRPr="008936E4" w:rsidR="00A92D0B" w:rsidP="00F028C8" w:rsidRDefault="005A63D4" w14:paraId="1412A3C6" w14:textId="77777777">
            <w:pPr>
              <w:tabs>
                <w:tab w:val="left" w:pos="360"/>
              </w:tabs>
              <w:jc w:val="center"/>
              <w:rPr>
                <w:rFonts w:asciiTheme="majorBidi" w:hAnsiTheme="majorBidi" w:cstheme="majorBidi"/>
                <w:b/>
                <w:color w:val="000000"/>
              </w:rPr>
            </w:pPr>
            <w:r w:rsidRPr="008936E4">
              <w:rPr>
                <w:rFonts w:asciiTheme="majorBidi" w:hAnsiTheme="majorBidi" w:cstheme="majorBidi"/>
                <w:b/>
                <w:color w:val="000000"/>
              </w:rPr>
              <w:t>Intervenor</w:t>
            </w:r>
          </w:p>
        </w:tc>
        <w:tc>
          <w:tcPr>
            <w:tcW w:w="2721" w:type="dxa"/>
            <w:tcBorders>
              <w:bottom w:val="single" w:color="auto" w:sz="4" w:space="0"/>
            </w:tcBorders>
          </w:tcPr>
          <w:p w:rsidRPr="008936E4" w:rsidR="00A92D0B" w:rsidP="00F028C8" w:rsidRDefault="00A92D0B" w14:paraId="2A218C38" w14:textId="386C9A6A">
            <w:pPr>
              <w:tabs>
                <w:tab w:val="left" w:pos="360"/>
              </w:tabs>
              <w:jc w:val="center"/>
              <w:rPr>
                <w:rFonts w:asciiTheme="majorBidi" w:hAnsiTheme="majorBidi" w:cstheme="majorBidi"/>
                <w:b/>
                <w:color w:val="000000"/>
              </w:rPr>
            </w:pPr>
            <w:r w:rsidRPr="008936E4">
              <w:rPr>
                <w:rFonts w:asciiTheme="majorBidi" w:hAnsiTheme="majorBidi" w:cstheme="majorBidi"/>
                <w:b/>
                <w:color w:val="000000"/>
              </w:rPr>
              <w:t xml:space="preserve">CPUC </w:t>
            </w:r>
            <w:r w:rsidRPr="008936E4" w:rsidR="0081626F">
              <w:rPr>
                <w:rFonts w:asciiTheme="majorBidi" w:hAnsiTheme="majorBidi" w:cstheme="majorBidi"/>
                <w:b/>
                <w:color w:val="000000"/>
              </w:rPr>
              <w:t>Verification</w:t>
            </w:r>
          </w:p>
        </w:tc>
      </w:tr>
      <w:tr w:rsidRPr="008936E4" w:rsidR="00A92D0B" w:rsidTr="00EA1FCF" w14:paraId="7D83D00D"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936E4" w:rsidR="00A92D0B" w:rsidP="00F028C8" w:rsidRDefault="00A92D0B" w14:paraId="606E2B66" w14:textId="77777777">
            <w:pPr>
              <w:keepNext/>
              <w:tabs>
                <w:tab w:val="left" w:pos="360"/>
              </w:tabs>
              <w:jc w:val="center"/>
              <w:rPr>
                <w:rFonts w:asciiTheme="majorBidi" w:hAnsiTheme="majorBidi" w:cstheme="majorBidi"/>
                <w:b/>
              </w:rPr>
            </w:pPr>
            <w:r w:rsidRPr="008936E4">
              <w:rPr>
                <w:rFonts w:asciiTheme="majorBidi" w:hAnsiTheme="majorBidi" w:cstheme="majorBidi"/>
                <w:b/>
              </w:rPr>
              <w:t>Timely filing of notice of intent to claim compensation (NOI) (§ 1804(a)):</w:t>
            </w:r>
          </w:p>
        </w:tc>
      </w:tr>
      <w:tr w:rsidRPr="008936E4" w:rsidR="00654CF2" w:rsidTr="00EA1FCF" w14:paraId="160E284A" w14:textId="77777777">
        <w:tc>
          <w:tcPr>
            <w:tcW w:w="4817" w:type="dxa"/>
            <w:tcBorders>
              <w:top w:val="single" w:color="auto" w:sz="4" w:space="0"/>
            </w:tcBorders>
          </w:tcPr>
          <w:p w:rsidRPr="008936E4" w:rsidR="00654CF2" w:rsidP="00654CF2" w:rsidRDefault="00654CF2" w14:paraId="44D1876C" w14:textId="478A95F3">
            <w:pPr>
              <w:keepNext/>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1.</w:t>
            </w:r>
            <w:r w:rsidRPr="008936E4">
              <w:rPr>
                <w:rFonts w:asciiTheme="majorBidi" w:hAnsiTheme="majorBidi" w:cstheme="majorBidi"/>
                <w:color w:val="000000"/>
              </w:rPr>
              <w:tab/>
              <w:t>Date of Prehearing Conference:</w:t>
            </w:r>
          </w:p>
        </w:tc>
        <w:tc>
          <w:tcPr>
            <w:tcW w:w="2267" w:type="dxa"/>
            <w:tcBorders>
              <w:top w:val="single" w:color="auto" w:sz="4" w:space="0"/>
            </w:tcBorders>
          </w:tcPr>
          <w:p w:rsidRPr="00EC1184" w:rsidR="00654CF2" w:rsidP="00654CF2" w:rsidRDefault="00411E9E" w14:paraId="35450816" w14:textId="74936E83">
            <w:pPr>
              <w:keepNext/>
              <w:keepLines/>
              <w:tabs>
                <w:tab w:val="left" w:pos="360"/>
              </w:tabs>
              <w:ind w:left="360" w:hanging="360"/>
              <w:rPr>
                <w:rFonts w:asciiTheme="majorBidi" w:hAnsiTheme="majorBidi" w:cstheme="majorBidi"/>
                <w:color w:val="000000"/>
              </w:rPr>
            </w:pPr>
            <w:r w:rsidRPr="00EC1184">
              <w:rPr>
                <w:rFonts w:asciiTheme="majorBidi" w:hAnsiTheme="majorBidi" w:cstheme="majorBidi"/>
                <w:color w:val="000000"/>
              </w:rPr>
              <w:t>05/31/2024</w:t>
            </w:r>
          </w:p>
        </w:tc>
        <w:tc>
          <w:tcPr>
            <w:tcW w:w="2721" w:type="dxa"/>
            <w:tcBorders>
              <w:top w:val="single" w:color="auto" w:sz="4" w:space="0"/>
            </w:tcBorders>
          </w:tcPr>
          <w:p w:rsidRPr="008936E4" w:rsidR="00654CF2" w:rsidP="00A96FC6" w:rsidRDefault="00132EA2" w14:paraId="34540344" w14:textId="11524908">
            <w:pPr>
              <w:keepNext/>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654CF2" w:rsidTr="00EA1FCF" w14:paraId="24C85564" w14:textId="77777777">
        <w:tc>
          <w:tcPr>
            <w:tcW w:w="4817" w:type="dxa"/>
          </w:tcPr>
          <w:p w:rsidRPr="008936E4" w:rsidR="00654CF2" w:rsidP="00654CF2" w:rsidRDefault="00654CF2" w14:paraId="382C5788" w14:textId="49F0E39E">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2.</w:t>
            </w:r>
            <w:r w:rsidRPr="008936E4">
              <w:rPr>
                <w:rFonts w:asciiTheme="majorBidi" w:hAnsiTheme="majorBidi" w:cstheme="majorBidi"/>
                <w:color w:val="000000"/>
              </w:rPr>
              <w:tab/>
              <w:t>Other specified date for NOI:</w:t>
            </w:r>
          </w:p>
        </w:tc>
        <w:tc>
          <w:tcPr>
            <w:tcW w:w="2267" w:type="dxa"/>
          </w:tcPr>
          <w:p w:rsidRPr="00EC1184" w:rsidR="00654CF2" w:rsidP="00654CF2" w:rsidRDefault="00654CF2" w14:paraId="1826BC2C" w14:textId="082C9776">
            <w:pPr>
              <w:keepNext/>
              <w:keepLines/>
              <w:tabs>
                <w:tab w:val="left" w:pos="360"/>
              </w:tabs>
              <w:ind w:left="360" w:hanging="360"/>
              <w:rPr>
                <w:rFonts w:asciiTheme="majorBidi" w:hAnsiTheme="majorBidi" w:cstheme="majorBidi"/>
                <w:color w:val="000000"/>
              </w:rPr>
            </w:pPr>
          </w:p>
        </w:tc>
        <w:tc>
          <w:tcPr>
            <w:tcW w:w="2721" w:type="dxa"/>
          </w:tcPr>
          <w:p w:rsidRPr="008936E4" w:rsidR="00654CF2" w:rsidP="00654CF2" w:rsidRDefault="00654CF2" w14:paraId="210DAD91" w14:textId="77777777">
            <w:pPr>
              <w:tabs>
                <w:tab w:val="left" w:pos="360"/>
              </w:tabs>
              <w:jc w:val="both"/>
              <w:rPr>
                <w:rFonts w:asciiTheme="majorBidi" w:hAnsiTheme="majorBidi" w:cstheme="majorBidi"/>
                <w:color w:val="000000"/>
              </w:rPr>
            </w:pPr>
          </w:p>
        </w:tc>
      </w:tr>
      <w:tr w:rsidRPr="008936E4" w:rsidR="00654CF2" w:rsidTr="00EA1FCF" w14:paraId="4836EEA6" w14:textId="77777777">
        <w:tc>
          <w:tcPr>
            <w:tcW w:w="4817" w:type="dxa"/>
          </w:tcPr>
          <w:p w:rsidRPr="008936E4" w:rsidR="00654CF2" w:rsidP="00654CF2" w:rsidRDefault="00654CF2" w14:paraId="34809C45" w14:textId="2501A8A3">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3.</w:t>
            </w:r>
            <w:r w:rsidRPr="008936E4">
              <w:rPr>
                <w:rFonts w:asciiTheme="majorBidi" w:hAnsiTheme="majorBidi" w:cstheme="majorBidi"/>
                <w:color w:val="000000"/>
              </w:rPr>
              <w:tab/>
              <w:t>Date NOI filed:</w:t>
            </w:r>
          </w:p>
        </w:tc>
        <w:tc>
          <w:tcPr>
            <w:tcW w:w="2267" w:type="dxa"/>
            <w:tcBorders>
              <w:bottom w:val="single" w:color="auto" w:sz="4" w:space="0"/>
            </w:tcBorders>
          </w:tcPr>
          <w:p w:rsidRPr="00EC1184" w:rsidR="00654CF2" w:rsidP="00654CF2" w:rsidRDefault="00654CF2" w14:paraId="44F7CCB9" w14:textId="7AA4AF5B">
            <w:pPr>
              <w:keepNext/>
              <w:keepLines/>
              <w:tabs>
                <w:tab w:val="left" w:pos="360"/>
              </w:tabs>
              <w:ind w:left="360" w:hanging="360"/>
              <w:rPr>
                <w:rFonts w:asciiTheme="majorBidi" w:hAnsiTheme="majorBidi" w:cstheme="majorBidi"/>
                <w:color w:val="000000"/>
              </w:rPr>
            </w:pPr>
            <w:r w:rsidRPr="00EC1184">
              <w:rPr>
                <w:rFonts w:asciiTheme="majorBidi" w:hAnsiTheme="majorBidi" w:cstheme="majorBidi"/>
                <w:color w:val="000000"/>
              </w:rPr>
              <w:t>0</w:t>
            </w:r>
            <w:r w:rsidRPr="00EC1184" w:rsidR="00411E9E">
              <w:rPr>
                <w:rFonts w:asciiTheme="majorBidi" w:hAnsiTheme="majorBidi" w:cstheme="majorBidi"/>
                <w:color w:val="000000"/>
              </w:rPr>
              <w:t>7/01/2024</w:t>
            </w:r>
          </w:p>
        </w:tc>
        <w:tc>
          <w:tcPr>
            <w:tcW w:w="2721" w:type="dxa"/>
            <w:tcBorders>
              <w:bottom w:val="single" w:color="auto" w:sz="4" w:space="0"/>
            </w:tcBorders>
          </w:tcPr>
          <w:p w:rsidRPr="008936E4" w:rsidR="00654CF2" w:rsidP="00A96FC6" w:rsidRDefault="00323685" w14:paraId="71759DE3" w14:textId="277C0702">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A92D0B" w:rsidTr="00EA1FCF" w14:paraId="22BBCDE3" w14:textId="77777777">
        <w:tc>
          <w:tcPr>
            <w:tcW w:w="7084" w:type="dxa"/>
            <w:gridSpan w:val="2"/>
            <w:tcBorders>
              <w:bottom w:val="single" w:color="auto" w:sz="4" w:space="0"/>
            </w:tcBorders>
          </w:tcPr>
          <w:p w:rsidRPr="008936E4" w:rsidR="00A92D0B" w:rsidP="00F028C8" w:rsidRDefault="00A92D0B" w14:paraId="7E6E2068" w14:textId="1D4DD6B8">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4.</w:t>
            </w:r>
            <w:r w:rsidRPr="008936E4" w:rsidR="001E7EE2">
              <w:rPr>
                <w:rFonts w:asciiTheme="majorBidi" w:hAnsiTheme="majorBidi" w:cstheme="majorBidi"/>
                <w:color w:val="000000"/>
              </w:rPr>
              <w:tab/>
            </w:r>
            <w:r w:rsidRPr="008936E4">
              <w:rPr>
                <w:rFonts w:asciiTheme="majorBidi" w:hAnsiTheme="majorBidi" w:cstheme="majorBidi"/>
                <w:color w:val="000000"/>
              </w:rPr>
              <w:t>Was the NOI timely filed?</w:t>
            </w:r>
          </w:p>
        </w:tc>
        <w:tc>
          <w:tcPr>
            <w:tcW w:w="2721" w:type="dxa"/>
            <w:tcBorders>
              <w:bottom w:val="single" w:color="auto" w:sz="4" w:space="0"/>
            </w:tcBorders>
          </w:tcPr>
          <w:p w:rsidRPr="008936E4" w:rsidR="00A92D0B" w:rsidP="00A96FC6" w:rsidRDefault="00A96FC6" w14:paraId="61DE2845" w14:textId="24A7FF48">
            <w:pPr>
              <w:tabs>
                <w:tab w:val="left" w:pos="360"/>
              </w:tabs>
              <w:jc w:val="center"/>
              <w:rPr>
                <w:rFonts w:asciiTheme="majorBidi" w:hAnsiTheme="majorBidi" w:cstheme="majorBidi"/>
                <w:color w:val="000000"/>
              </w:rPr>
            </w:pPr>
            <w:r>
              <w:rPr>
                <w:rFonts w:asciiTheme="majorBidi" w:hAnsiTheme="majorBidi" w:cstheme="majorBidi"/>
                <w:color w:val="000000"/>
              </w:rPr>
              <w:t>Yes</w:t>
            </w:r>
          </w:p>
        </w:tc>
      </w:tr>
      <w:tr w:rsidRPr="008936E4" w:rsidR="00A92D0B" w:rsidTr="00EA1FCF" w14:paraId="4CD7D46A"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8936E4" w:rsidR="00F028C8" w:rsidP="00F028C8" w:rsidRDefault="00A92D0B" w14:paraId="003AB151" w14:textId="75841E30">
            <w:pPr>
              <w:keepNext/>
              <w:keepLines/>
              <w:tabs>
                <w:tab w:val="left" w:pos="360"/>
              </w:tabs>
              <w:jc w:val="center"/>
              <w:rPr>
                <w:rFonts w:asciiTheme="majorBidi" w:hAnsiTheme="majorBidi" w:cstheme="majorBidi"/>
                <w:b/>
                <w:color w:val="000000"/>
              </w:rPr>
            </w:pPr>
            <w:r w:rsidRPr="008936E4">
              <w:rPr>
                <w:rFonts w:asciiTheme="majorBidi" w:hAnsiTheme="majorBidi" w:cstheme="majorBidi"/>
                <w:b/>
                <w:color w:val="000000"/>
              </w:rPr>
              <w:t xml:space="preserve">Showing of </w:t>
            </w:r>
            <w:r w:rsidRPr="008936E4" w:rsidR="00F63C29">
              <w:rPr>
                <w:rFonts w:asciiTheme="majorBidi" w:hAnsiTheme="majorBidi" w:cstheme="majorBidi"/>
                <w:b/>
                <w:color w:val="000000"/>
              </w:rPr>
              <w:t xml:space="preserve">eligible </w:t>
            </w:r>
            <w:r w:rsidRPr="008936E4">
              <w:rPr>
                <w:rFonts w:asciiTheme="majorBidi" w:hAnsiTheme="majorBidi" w:cstheme="majorBidi"/>
                <w:b/>
                <w:color w:val="000000"/>
              </w:rPr>
              <w:t xml:space="preserve">customer </w:t>
            </w:r>
            <w:r w:rsidRPr="008936E4" w:rsidR="00F63C29">
              <w:rPr>
                <w:rFonts w:asciiTheme="majorBidi" w:hAnsiTheme="majorBidi" w:cstheme="majorBidi"/>
                <w:b/>
                <w:color w:val="000000"/>
              </w:rPr>
              <w:t>status (§ 1802(b)</w:t>
            </w:r>
            <w:r w:rsidRPr="008936E4" w:rsidR="00F028C8">
              <w:rPr>
                <w:rFonts w:asciiTheme="majorBidi" w:hAnsiTheme="majorBidi" w:cstheme="majorBidi"/>
                <w:b/>
                <w:color w:val="000000"/>
              </w:rPr>
              <w:t>)</w:t>
            </w:r>
          </w:p>
          <w:p w:rsidRPr="008936E4" w:rsidR="00A92D0B" w:rsidP="00F028C8" w:rsidRDefault="00F63C29" w14:paraId="19D649BF" w14:textId="31FAE647">
            <w:pPr>
              <w:keepNext/>
              <w:keepLines/>
              <w:tabs>
                <w:tab w:val="left" w:pos="360"/>
              </w:tabs>
              <w:jc w:val="center"/>
              <w:rPr>
                <w:rFonts w:asciiTheme="majorBidi" w:hAnsiTheme="majorBidi" w:cstheme="majorBidi"/>
                <w:b/>
                <w:color w:val="000000"/>
              </w:rPr>
            </w:pPr>
            <w:r w:rsidRPr="008936E4">
              <w:rPr>
                <w:rFonts w:asciiTheme="majorBidi" w:hAnsiTheme="majorBidi" w:cstheme="majorBidi"/>
                <w:b/>
                <w:color w:val="000000"/>
              </w:rPr>
              <w:t xml:space="preserve"> or eligible local government entity </w:t>
            </w:r>
            <w:r w:rsidRPr="008936E4" w:rsidR="00ED6B6B">
              <w:rPr>
                <w:rFonts w:asciiTheme="majorBidi" w:hAnsiTheme="majorBidi" w:cstheme="majorBidi"/>
                <w:b/>
                <w:color w:val="000000"/>
              </w:rPr>
              <w:t>status</w:t>
            </w:r>
            <w:r w:rsidRPr="008936E4" w:rsidR="00F028C8">
              <w:rPr>
                <w:rFonts w:asciiTheme="majorBidi" w:hAnsiTheme="majorBidi" w:cstheme="majorBidi"/>
                <w:b/>
                <w:color w:val="000000"/>
              </w:rPr>
              <w:t xml:space="preserve"> </w:t>
            </w:r>
            <w:r w:rsidRPr="008936E4">
              <w:rPr>
                <w:rFonts w:asciiTheme="majorBidi" w:hAnsiTheme="majorBidi" w:cstheme="majorBidi"/>
                <w:b/>
                <w:color w:val="000000"/>
              </w:rPr>
              <w:t>(§§ 1802(d), 1802.4)</w:t>
            </w:r>
            <w:r w:rsidRPr="008936E4" w:rsidR="00A92D0B">
              <w:rPr>
                <w:rFonts w:asciiTheme="majorBidi" w:hAnsiTheme="majorBidi" w:cstheme="majorBidi"/>
                <w:b/>
                <w:color w:val="000000"/>
              </w:rPr>
              <w:t>:</w:t>
            </w:r>
          </w:p>
        </w:tc>
      </w:tr>
      <w:tr w:rsidRPr="008936E4" w:rsidR="00B8775D" w:rsidTr="00EA1FCF" w14:paraId="259EC227" w14:textId="77777777">
        <w:tc>
          <w:tcPr>
            <w:tcW w:w="4817" w:type="dxa"/>
            <w:tcBorders>
              <w:top w:val="single" w:color="auto" w:sz="4" w:space="0"/>
            </w:tcBorders>
          </w:tcPr>
          <w:p w:rsidRPr="008936E4" w:rsidR="00B8775D" w:rsidP="00B8775D" w:rsidRDefault="00B8775D" w14:paraId="0EFCD0E9" w14:textId="1A5E3FBE">
            <w:pPr>
              <w:keepNext/>
              <w:keepLines/>
              <w:ind w:left="360" w:hanging="360"/>
              <w:rPr>
                <w:rFonts w:asciiTheme="majorBidi" w:hAnsiTheme="majorBidi" w:cstheme="majorBidi"/>
                <w:color w:val="000000"/>
              </w:rPr>
            </w:pPr>
            <w:r w:rsidRPr="008936E4">
              <w:rPr>
                <w:rFonts w:asciiTheme="majorBidi" w:hAnsiTheme="majorBidi" w:cstheme="majorBidi"/>
                <w:color w:val="000000"/>
              </w:rPr>
              <w:t>5.</w:t>
            </w:r>
            <w:r w:rsidRPr="008936E4">
              <w:rPr>
                <w:rFonts w:asciiTheme="majorBidi" w:hAnsiTheme="majorBidi" w:cstheme="majorBidi"/>
                <w:color w:val="000000"/>
              </w:rPr>
              <w:tab/>
              <w:t>Based on ALJ ruling issued in proceeding   number:</w:t>
            </w:r>
          </w:p>
        </w:tc>
        <w:tc>
          <w:tcPr>
            <w:tcW w:w="2267" w:type="dxa"/>
            <w:tcBorders>
              <w:top w:val="single" w:color="auto" w:sz="4" w:space="0"/>
            </w:tcBorders>
          </w:tcPr>
          <w:p w:rsidRPr="008936E4" w:rsidR="00B8775D" w:rsidP="00B8775D" w:rsidRDefault="00411E9E" w14:paraId="13E72B6D" w14:textId="55B371D7">
            <w:pPr>
              <w:keepNext/>
              <w:keepLines/>
              <w:tabs>
                <w:tab w:val="left" w:pos="360"/>
              </w:tabs>
              <w:ind w:left="360" w:hanging="360"/>
              <w:rPr>
                <w:rFonts w:asciiTheme="majorBidi" w:hAnsiTheme="majorBidi" w:cstheme="majorBidi"/>
                <w:color w:val="000000"/>
              </w:rPr>
            </w:pPr>
            <w:r w:rsidRPr="00411E9E">
              <w:rPr>
                <w:rFonts w:asciiTheme="majorBidi" w:hAnsiTheme="majorBidi" w:cstheme="majorBidi"/>
                <w:color w:val="000000"/>
              </w:rPr>
              <w:t>A.23-10-001</w:t>
            </w:r>
          </w:p>
        </w:tc>
        <w:tc>
          <w:tcPr>
            <w:tcW w:w="2721" w:type="dxa"/>
            <w:tcBorders>
              <w:top w:val="single" w:color="auto" w:sz="4" w:space="0"/>
            </w:tcBorders>
          </w:tcPr>
          <w:p w:rsidRPr="008936E4" w:rsidR="00B8775D" w:rsidP="00A96FC6" w:rsidRDefault="00132EA2" w14:paraId="2679B197" w14:textId="5532DC9C">
            <w:pPr>
              <w:keepNext/>
              <w:keepLines/>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B8775D" w:rsidTr="00EA1FCF" w14:paraId="4E0FB3B6" w14:textId="77777777">
        <w:tc>
          <w:tcPr>
            <w:tcW w:w="4817" w:type="dxa"/>
          </w:tcPr>
          <w:p w:rsidRPr="008936E4" w:rsidR="00B8775D" w:rsidP="00B8775D" w:rsidRDefault="00B8775D" w14:paraId="568B12E8" w14:textId="6121FC05">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6.</w:t>
            </w:r>
            <w:r w:rsidRPr="008936E4">
              <w:rPr>
                <w:rFonts w:asciiTheme="majorBidi" w:hAnsiTheme="majorBidi" w:cstheme="majorBidi"/>
                <w:color w:val="000000"/>
              </w:rPr>
              <w:tab/>
              <w:t>Date of ALJ ruling:</w:t>
            </w:r>
          </w:p>
        </w:tc>
        <w:tc>
          <w:tcPr>
            <w:tcW w:w="2267" w:type="dxa"/>
          </w:tcPr>
          <w:p w:rsidRPr="008936E4" w:rsidR="00B8775D" w:rsidP="00B8775D" w:rsidRDefault="00411E9E" w14:paraId="306125B9" w14:textId="2BF01A82">
            <w:pPr>
              <w:tabs>
                <w:tab w:val="left" w:pos="360"/>
              </w:tabs>
              <w:ind w:left="360" w:hanging="360"/>
              <w:rPr>
                <w:rFonts w:asciiTheme="majorBidi" w:hAnsiTheme="majorBidi" w:cstheme="majorBidi"/>
                <w:color w:val="000000"/>
              </w:rPr>
            </w:pPr>
            <w:r>
              <w:rPr>
                <w:rFonts w:asciiTheme="majorBidi" w:hAnsiTheme="majorBidi" w:cstheme="majorBidi"/>
                <w:color w:val="000000"/>
              </w:rPr>
              <w:t>06/03/2024</w:t>
            </w:r>
          </w:p>
        </w:tc>
        <w:tc>
          <w:tcPr>
            <w:tcW w:w="2721" w:type="dxa"/>
          </w:tcPr>
          <w:p w:rsidRPr="008936E4" w:rsidR="00B8775D" w:rsidP="00A96FC6" w:rsidRDefault="00132EA2" w14:paraId="19F10313" w14:textId="24C88C55">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A92D0B" w:rsidTr="00EA1FCF" w14:paraId="7F6C1E54" w14:textId="77777777">
        <w:tc>
          <w:tcPr>
            <w:tcW w:w="4817" w:type="dxa"/>
          </w:tcPr>
          <w:p w:rsidRPr="008936E4" w:rsidR="00A92D0B" w:rsidP="00F028C8" w:rsidRDefault="00A92D0B" w14:paraId="4B6E35B7" w14:textId="56E59D65">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7.</w:t>
            </w:r>
            <w:r w:rsidRPr="008936E4" w:rsidR="001E7EE2">
              <w:rPr>
                <w:rFonts w:asciiTheme="majorBidi" w:hAnsiTheme="majorBidi" w:cstheme="majorBidi"/>
                <w:color w:val="000000"/>
              </w:rPr>
              <w:tab/>
            </w:r>
            <w:r w:rsidRPr="008936E4">
              <w:rPr>
                <w:rFonts w:asciiTheme="majorBidi" w:hAnsiTheme="majorBidi" w:cstheme="majorBidi"/>
                <w:color w:val="000000"/>
              </w:rPr>
              <w:t>Based on another CPUC determination (specify):</w:t>
            </w:r>
          </w:p>
        </w:tc>
        <w:tc>
          <w:tcPr>
            <w:tcW w:w="2267" w:type="dxa"/>
            <w:tcBorders>
              <w:bottom w:val="single" w:color="auto" w:sz="4" w:space="0"/>
            </w:tcBorders>
          </w:tcPr>
          <w:p w:rsidRPr="008936E4" w:rsidR="00A92D0B" w:rsidP="00F028C8" w:rsidRDefault="00A92D0B" w14:paraId="5E0F9D32" w14:textId="77777777">
            <w:pPr>
              <w:tabs>
                <w:tab w:val="left" w:pos="360"/>
              </w:tabs>
              <w:ind w:left="360" w:hanging="360"/>
              <w:rPr>
                <w:rFonts w:asciiTheme="majorBidi" w:hAnsiTheme="majorBidi" w:cstheme="majorBidi"/>
                <w:color w:val="000000"/>
              </w:rPr>
            </w:pPr>
          </w:p>
        </w:tc>
        <w:tc>
          <w:tcPr>
            <w:tcW w:w="2721" w:type="dxa"/>
            <w:tcBorders>
              <w:bottom w:val="single" w:color="auto" w:sz="4" w:space="0"/>
            </w:tcBorders>
          </w:tcPr>
          <w:p w:rsidRPr="008936E4" w:rsidR="00A92D0B" w:rsidP="00F028C8" w:rsidRDefault="00A92D0B" w14:paraId="180E80B3" w14:textId="77777777">
            <w:pPr>
              <w:tabs>
                <w:tab w:val="left" w:pos="360"/>
              </w:tabs>
              <w:rPr>
                <w:rFonts w:asciiTheme="majorBidi" w:hAnsiTheme="majorBidi" w:cstheme="majorBidi"/>
                <w:color w:val="000000"/>
              </w:rPr>
            </w:pPr>
          </w:p>
        </w:tc>
      </w:tr>
      <w:tr w:rsidRPr="008936E4" w:rsidR="00A92D0B" w:rsidTr="00EA1FCF" w14:paraId="397CC4AD" w14:textId="77777777">
        <w:tc>
          <w:tcPr>
            <w:tcW w:w="7084" w:type="dxa"/>
            <w:gridSpan w:val="2"/>
            <w:tcBorders>
              <w:bottom w:val="single" w:color="auto" w:sz="4" w:space="0"/>
            </w:tcBorders>
          </w:tcPr>
          <w:p w:rsidRPr="008936E4" w:rsidR="00A92D0B" w:rsidP="00F028C8" w:rsidRDefault="00A92D0B" w14:paraId="71D46B68" w14:textId="56857D2E">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8.</w:t>
            </w:r>
            <w:r w:rsidRPr="008936E4" w:rsidR="001E7EE2">
              <w:rPr>
                <w:rFonts w:asciiTheme="majorBidi" w:hAnsiTheme="majorBidi" w:cstheme="majorBidi"/>
                <w:color w:val="000000"/>
              </w:rPr>
              <w:tab/>
            </w:r>
            <w:r w:rsidRPr="008936E4">
              <w:rPr>
                <w:rFonts w:asciiTheme="majorBidi" w:hAnsiTheme="majorBidi" w:cstheme="majorBidi"/>
                <w:color w:val="000000"/>
              </w:rPr>
              <w:t xml:space="preserve">Has the </w:t>
            </w:r>
            <w:r w:rsidRPr="008936E4" w:rsidR="005A63D4">
              <w:rPr>
                <w:rFonts w:asciiTheme="majorBidi" w:hAnsiTheme="majorBidi" w:cstheme="majorBidi"/>
                <w:color w:val="000000"/>
              </w:rPr>
              <w:t xml:space="preserve">Intervenor </w:t>
            </w:r>
            <w:r w:rsidRPr="008936E4">
              <w:rPr>
                <w:rFonts w:asciiTheme="majorBidi" w:hAnsiTheme="majorBidi" w:cstheme="majorBidi"/>
                <w:color w:val="000000"/>
              </w:rPr>
              <w:t xml:space="preserve">demonstrated </w:t>
            </w:r>
            <w:r w:rsidRPr="008936E4">
              <w:rPr>
                <w:rFonts w:asciiTheme="majorBidi" w:hAnsiTheme="majorBidi" w:cstheme="majorBidi"/>
              </w:rPr>
              <w:t>customer</w:t>
            </w:r>
            <w:r w:rsidRPr="008936E4">
              <w:rPr>
                <w:rFonts w:asciiTheme="majorBidi" w:hAnsiTheme="majorBidi" w:cstheme="majorBidi"/>
                <w:color w:val="000000"/>
              </w:rPr>
              <w:t xml:space="preserve"> </w:t>
            </w:r>
            <w:r w:rsidRPr="008936E4" w:rsidR="00ED6B6B">
              <w:rPr>
                <w:rFonts w:asciiTheme="majorBidi" w:hAnsiTheme="majorBidi" w:cstheme="majorBidi"/>
                <w:color w:val="000000"/>
              </w:rPr>
              <w:t>status or eligible government entity status</w:t>
            </w:r>
            <w:r w:rsidRPr="008936E4">
              <w:rPr>
                <w:rFonts w:asciiTheme="majorBidi" w:hAnsiTheme="majorBidi" w:cstheme="majorBidi"/>
                <w:color w:val="000000"/>
              </w:rPr>
              <w:t>?</w:t>
            </w:r>
          </w:p>
        </w:tc>
        <w:tc>
          <w:tcPr>
            <w:tcW w:w="2721" w:type="dxa"/>
            <w:tcBorders>
              <w:bottom w:val="single" w:color="auto" w:sz="4" w:space="0"/>
            </w:tcBorders>
          </w:tcPr>
          <w:p w:rsidRPr="008936E4" w:rsidR="00A92D0B" w:rsidP="00A96FC6" w:rsidRDefault="00132EA2" w14:paraId="7D296E63" w14:textId="4BE6E665">
            <w:pPr>
              <w:tabs>
                <w:tab w:val="left" w:pos="360"/>
              </w:tabs>
              <w:jc w:val="center"/>
              <w:rPr>
                <w:rFonts w:asciiTheme="majorBidi" w:hAnsiTheme="majorBidi" w:cstheme="majorBidi"/>
                <w:color w:val="000000"/>
              </w:rPr>
            </w:pPr>
            <w:r>
              <w:rPr>
                <w:rFonts w:asciiTheme="majorBidi" w:hAnsiTheme="majorBidi" w:cstheme="majorBidi"/>
                <w:color w:val="000000"/>
              </w:rPr>
              <w:t>Yes</w:t>
            </w:r>
          </w:p>
        </w:tc>
      </w:tr>
      <w:tr w:rsidRPr="008936E4" w:rsidR="00A92D0B" w:rsidTr="00EA1FCF" w14:paraId="33231C71"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8936E4" w:rsidR="00A92D0B" w:rsidP="00F028C8" w:rsidRDefault="00A92D0B" w14:paraId="0291EC4E" w14:textId="77777777">
            <w:pPr>
              <w:keepNext/>
              <w:tabs>
                <w:tab w:val="left" w:pos="360"/>
              </w:tabs>
              <w:jc w:val="center"/>
              <w:rPr>
                <w:rFonts w:asciiTheme="majorBidi" w:hAnsiTheme="majorBidi" w:cstheme="majorBidi"/>
                <w:color w:val="000000"/>
              </w:rPr>
            </w:pPr>
            <w:r w:rsidRPr="008936E4">
              <w:rPr>
                <w:rFonts w:asciiTheme="majorBidi" w:hAnsiTheme="majorBidi" w:cstheme="majorBidi"/>
                <w:b/>
                <w:color w:val="000000"/>
              </w:rPr>
              <w:t>Showing of “significant</w:t>
            </w:r>
            <w:r w:rsidRPr="008936E4" w:rsidR="00F63C29">
              <w:rPr>
                <w:rFonts w:asciiTheme="majorBidi" w:hAnsiTheme="majorBidi" w:cstheme="majorBidi"/>
                <w:b/>
                <w:color w:val="000000"/>
              </w:rPr>
              <w:t xml:space="preserve"> financial hardship” (§1802(</w:t>
            </w:r>
            <w:r w:rsidRPr="008936E4" w:rsidR="00175865">
              <w:rPr>
                <w:rFonts w:asciiTheme="majorBidi" w:hAnsiTheme="majorBidi" w:cstheme="majorBidi"/>
                <w:b/>
                <w:color w:val="000000"/>
              </w:rPr>
              <w:t>h</w:t>
            </w:r>
            <w:r w:rsidRPr="008936E4" w:rsidR="00F63C29">
              <w:rPr>
                <w:rFonts w:asciiTheme="majorBidi" w:hAnsiTheme="majorBidi" w:cstheme="majorBidi"/>
                <w:b/>
                <w:color w:val="000000"/>
              </w:rPr>
              <w:t xml:space="preserve">) or </w:t>
            </w:r>
            <w:r w:rsidRPr="008936E4" w:rsidR="00ED6B6B">
              <w:rPr>
                <w:rFonts w:asciiTheme="majorBidi" w:hAnsiTheme="majorBidi" w:cstheme="majorBidi"/>
                <w:b/>
                <w:color w:val="000000"/>
              </w:rPr>
              <w:t>§</w:t>
            </w:r>
            <w:r w:rsidRPr="008936E4" w:rsidR="00F63C29">
              <w:rPr>
                <w:rFonts w:asciiTheme="majorBidi" w:hAnsiTheme="majorBidi" w:cstheme="majorBidi"/>
                <w:b/>
                <w:color w:val="000000"/>
              </w:rPr>
              <w:t>1803.1(b))</w:t>
            </w:r>
            <w:r w:rsidRPr="008936E4" w:rsidR="00C02649">
              <w:rPr>
                <w:rFonts w:asciiTheme="majorBidi" w:hAnsiTheme="majorBidi" w:cstheme="majorBidi"/>
                <w:b/>
                <w:color w:val="000000"/>
              </w:rPr>
              <w:t>:</w:t>
            </w:r>
          </w:p>
        </w:tc>
      </w:tr>
      <w:tr w:rsidRPr="008936E4" w:rsidR="00411E9E" w:rsidTr="00EA1FCF" w14:paraId="77F91856" w14:textId="77777777">
        <w:tc>
          <w:tcPr>
            <w:tcW w:w="4817" w:type="dxa"/>
            <w:tcBorders>
              <w:top w:val="single" w:color="auto" w:sz="4" w:space="0"/>
            </w:tcBorders>
          </w:tcPr>
          <w:p w:rsidRPr="008936E4" w:rsidR="00411E9E" w:rsidP="00411E9E" w:rsidRDefault="00411E9E" w14:paraId="6506E60E" w14:textId="7F0FF6A0">
            <w:pPr>
              <w:tabs>
                <w:tab w:val="left" w:pos="315"/>
              </w:tabs>
              <w:ind w:left="360" w:hanging="360"/>
              <w:rPr>
                <w:rFonts w:asciiTheme="majorBidi" w:hAnsiTheme="majorBidi" w:cstheme="majorBidi"/>
                <w:color w:val="000000"/>
              </w:rPr>
            </w:pPr>
            <w:r w:rsidRPr="008936E4">
              <w:rPr>
                <w:rFonts w:asciiTheme="majorBidi" w:hAnsiTheme="majorBidi" w:cstheme="majorBidi"/>
                <w:color w:val="000000"/>
              </w:rPr>
              <w:t>9.</w:t>
            </w:r>
            <w:r w:rsidRPr="008936E4">
              <w:rPr>
                <w:rFonts w:asciiTheme="majorBidi" w:hAnsiTheme="majorBidi" w:cstheme="majorBidi"/>
                <w:color w:val="000000"/>
              </w:rPr>
              <w:tab/>
              <w:t>Based on ALJ ruling issued in proceeding number:</w:t>
            </w:r>
          </w:p>
        </w:tc>
        <w:tc>
          <w:tcPr>
            <w:tcW w:w="2267" w:type="dxa"/>
            <w:tcBorders>
              <w:top w:val="single" w:color="auto" w:sz="4" w:space="0"/>
            </w:tcBorders>
          </w:tcPr>
          <w:p w:rsidRPr="008936E4" w:rsidR="00411E9E" w:rsidP="00411E9E" w:rsidRDefault="00411E9E" w14:paraId="54B4911C" w14:textId="16F21E56">
            <w:pPr>
              <w:tabs>
                <w:tab w:val="left" w:pos="360"/>
              </w:tabs>
              <w:ind w:left="360" w:hanging="360"/>
              <w:rPr>
                <w:rFonts w:asciiTheme="majorBidi" w:hAnsiTheme="majorBidi" w:cstheme="majorBidi"/>
                <w:color w:val="000000"/>
              </w:rPr>
            </w:pPr>
            <w:r w:rsidRPr="00411E9E">
              <w:rPr>
                <w:rFonts w:asciiTheme="majorBidi" w:hAnsiTheme="majorBidi" w:cstheme="majorBidi"/>
                <w:color w:val="000000"/>
              </w:rPr>
              <w:t>A.23-10-001</w:t>
            </w:r>
          </w:p>
        </w:tc>
        <w:tc>
          <w:tcPr>
            <w:tcW w:w="2721" w:type="dxa"/>
            <w:tcBorders>
              <w:top w:val="single" w:color="auto" w:sz="4" w:space="0"/>
            </w:tcBorders>
          </w:tcPr>
          <w:p w:rsidRPr="008936E4" w:rsidR="00411E9E" w:rsidP="00A96FC6" w:rsidRDefault="00132EA2" w14:paraId="2E2FB9D6" w14:textId="2A5D5E7E">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411E9E" w:rsidTr="00EA1FCF" w14:paraId="4AD750C1" w14:textId="77777777">
        <w:tc>
          <w:tcPr>
            <w:tcW w:w="4817" w:type="dxa"/>
          </w:tcPr>
          <w:p w:rsidRPr="008936E4" w:rsidR="00411E9E" w:rsidP="00411E9E" w:rsidRDefault="00411E9E" w14:paraId="2A279407" w14:textId="1E831EEE">
            <w:pPr>
              <w:ind w:left="360" w:hanging="360"/>
              <w:rPr>
                <w:rFonts w:asciiTheme="majorBidi" w:hAnsiTheme="majorBidi" w:cstheme="majorBidi"/>
                <w:color w:val="000000"/>
              </w:rPr>
            </w:pPr>
            <w:r w:rsidRPr="008936E4">
              <w:rPr>
                <w:rFonts w:asciiTheme="majorBidi" w:hAnsiTheme="majorBidi" w:cstheme="majorBidi"/>
                <w:color w:val="000000"/>
              </w:rPr>
              <w:t>10.</w:t>
            </w:r>
            <w:r w:rsidRPr="008936E4">
              <w:rPr>
                <w:rFonts w:asciiTheme="majorBidi" w:hAnsiTheme="majorBidi" w:cstheme="majorBidi"/>
                <w:color w:val="000000"/>
              </w:rPr>
              <w:tab/>
              <w:t>Date of ALJ ruling:</w:t>
            </w:r>
          </w:p>
        </w:tc>
        <w:tc>
          <w:tcPr>
            <w:tcW w:w="2267" w:type="dxa"/>
          </w:tcPr>
          <w:p w:rsidRPr="008936E4" w:rsidR="00411E9E" w:rsidP="00411E9E" w:rsidRDefault="00411E9E" w14:paraId="4B66A2E4" w14:textId="64E93CAC">
            <w:pPr>
              <w:tabs>
                <w:tab w:val="left" w:pos="360"/>
              </w:tabs>
              <w:ind w:left="360" w:hanging="360"/>
              <w:rPr>
                <w:rFonts w:asciiTheme="majorBidi" w:hAnsiTheme="majorBidi" w:cstheme="majorBidi"/>
                <w:color w:val="000000"/>
              </w:rPr>
            </w:pPr>
            <w:r>
              <w:rPr>
                <w:rFonts w:asciiTheme="majorBidi" w:hAnsiTheme="majorBidi" w:cstheme="majorBidi"/>
                <w:color w:val="000000"/>
              </w:rPr>
              <w:t>06/03/2024</w:t>
            </w:r>
          </w:p>
        </w:tc>
        <w:tc>
          <w:tcPr>
            <w:tcW w:w="2721" w:type="dxa"/>
          </w:tcPr>
          <w:p w:rsidRPr="008936E4" w:rsidR="00411E9E" w:rsidP="00A96FC6" w:rsidRDefault="00132EA2" w14:paraId="3B83D035" w14:textId="0010D772">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357F1A" w:rsidTr="00EA1FCF" w14:paraId="7C183C5E" w14:textId="77777777">
        <w:tc>
          <w:tcPr>
            <w:tcW w:w="4817" w:type="dxa"/>
          </w:tcPr>
          <w:p w:rsidRPr="008936E4" w:rsidR="00357F1A" w:rsidP="00F028C8" w:rsidRDefault="00357F1A" w14:paraId="4141CB3D" w14:textId="2DCA8797">
            <w:pPr>
              <w:ind w:left="360" w:hanging="360"/>
              <w:rPr>
                <w:rFonts w:asciiTheme="majorBidi" w:hAnsiTheme="majorBidi" w:cstheme="majorBidi"/>
                <w:color w:val="000000"/>
              </w:rPr>
            </w:pPr>
            <w:r w:rsidRPr="008936E4">
              <w:rPr>
                <w:rFonts w:asciiTheme="majorBidi" w:hAnsiTheme="majorBidi" w:cstheme="majorBidi"/>
                <w:color w:val="000000"/>
              </w:rPr>
              <w:t>11.</w:t>
            </w:r>
            <w:r w:rsidRPr="008936E4" w:rsidR="001E7EE2">
              <w:rPr>
                <w:rFonts w:asciiTheme="majorBidi" w:hAnsiTheme="majorBidi" w:cstheme="majorBidi"/>
                <w:color w:val="000000"/>
              </w:rPr>
              <w:tab/>
            </w:r>
            <w:r w:rsidRPr="008936E4">
              <w:rPr>
                <w:rFonts w:asciiTheme="majorBidi" w:hAnsiTheme="majorBidi" w:cstheme="majorBidi"/>
                <w:color w:val="000000"/>
              </w:rPr>
              <w:t>Based on another CPUC determination (specify):</w:t>
            </w:r>
          </w:p>
        </w:tc>
        <w:tc>
          <w:tcPr>
            <w:tcW w:w="2267" w:type="dxa"/>
          </w:tcPr>
          <w:p w:rsidRPr="008936E4" w:rsidR="00357F1A" w:rsidP="00F028C8" w:rsidRDefault="00357F1A" w14:paraId="141EB5CF" w14:textId="77777777">
            <w:pPr>
              <w:tabs>
                <w:tab w:val="left" w:pos="360"/>
              </w:tabs>
              <w:ind w:left="360" w:hanging="360"/>
              <w:rPr>
                <w:rFonts w:asciiTheme="majorBidi" w:hAnsiTheme="majorBidi" w:cstheme="majorBidi"/>
                <w:color w:val="000000"/>
              </w:rPr>
            </w:pPr>
          </w:p>
        </w:tc>
        <w:tc>
          <w:tcPr>
            <w:tcW w:w="2721" w:type="dxa"/>
          </w:tcPr>
          <w:p w:rsidRPr="008936E4" w:rsidR="00357F1A" w:rsidP="00F028C8" w:rsidRDefault="00357F1A" w14:paraId="79318715" w14:textId="77777777">
            <w:pPr>
              <w:tabs>
                <w:tab w:val="left" w:pos="360"/>
              </w:tabs>
              <w:rPr>
                <w:rFonts w:asciiTheme="majorBidi" w:hAnsiTheme="majorBidi" w:cstheme="majorBidi"/>
                <w:color w:val="000000"/>
              </w:rPr>
            </w:pPr>
          </w:p>
        </w:tc>
      </w:tr>
      <w:tr w:rsidRPr="008936E4" w:rsidR="00A92D0B" w:rsidTr="00EA1FCF" w14:paraId="4E8D20BF" w14:textId="77777777">
        <w:tc>
          <w:tcPr>
            <w:tcW w:w="7084" w:type="dxa"/>
            <w:gridSpan w:val="2"/>
            <w:tcBorders>
              <w:bottom w:val="single" w:color="auto" w:sz="4" w:space="0"/>
            </w:tcBorders>
          </w:tcPr>
          <w:p w:rsidRPr="008936E4" w:rsidR="00A92D0B" w:rsidP="00F028C8" w:rsidRDefault="00180E8C" w14:paraId="48D0D936" w14:textId="6A3DF8B8">
            <w:pPr>
              <w:tabs>
                <w:tab w:val="left" w:pos="360"/>
              </w:tabs>
              <w:ind w:left="360" w:hanging="360"/>
              <w:rPr>
                <w:rFonts w:asciiTheme="majorBidi" w:hAnsiTheme="majorBidi" w:cstheme="majorBidi"/>
                <w:color w:val="000000"/>
              </w:rPr>
            </w:pPr>
            <w:r w:rsidRPr="008936E4">
              <w:rPr>
                <w:rFonts w:asciiTheme="majorBidi" w:hAnsiTheme="majorBidi" w:cstheme="majorBidi"/>
                <w:color w:val="000000"/>
              </w:rPr>
              <w:t>12</w:t>
            </w:r>
            <w:r w:rsidRPr="008936E4" w:rsidR="00A92D0B">
              <w:rPr>
                <w:rFonts w:asciiTheme="majorBidi" w:hAnsiTheme="majorBidi" w:cstheme="majorBidi"/>
                <w:color w:val="000000"/>
              </w:rPr>
              <w:t>.</w:t>
            </w:r>
            <w:r w:rsidRPr="008936E4" w:rsidR="001E7EE2">
              <w:rPr>
                <w:rFonts w:asciiTheme="majorBidi" w:hAnsiTheme="majorBidi" w:cstheme="majorBidi"/>
                <w:color w:val="000000"/>
              </w:rPr>
              <w:tab/>
            </w:r>
            <w:r w:rsidRPr="008936E4" w:rsidR="00A92D0B">
              <w:rPr>
                <w:rFonts w:asciiTheme="majorBidi" w:hAnsiTheme="majorBidi" w:cstheme="majorBidi"/>
                <w:color w:val="000000"/>
              </w:rPr>
              <w:t>Has the</w:t>
            </w:r>
            <w:r w:rsidRPr="008936E4" w:rsidR="00A319DE">
              <w:rPr>
                <w:rFonts w:asciiTheme="majorBidi" w:hAnsiTheme="majorBidi" w:cstheme="majorBidi"/>
                <w:color w:val="000000"/>
              </w:rPr>
              <w:t xml:space="preserve"> </w:t>
            </w:r>
            <w:r w:rsidRPr="008936E4" w:rsidR="005A63D4">
              <w:rPr>
                <w:rFonts w:asciiTheme="majorBidi" w:hAnsiTheme="majorBidi" w:cstheme="majorBidi"/>
                <w:color w:val="000000"/>
              </w:rPr>
              <w:t>Intervenor</w:t>
            </w:r>
            <w:r w:rsidRPr="008936E4" w:rsidR="00A92D0B">
              <w:rPr>
                <w:rFonts w:asciiTheme="majorBidi" w:hAnsiTheme="majorBidi" w:cstheme="majorBidi"/>
                <w:color w:val="000000"/>
              </w:rPr>
              <w:t xml:space="preserve"> demonstrated significant financial hardship?</w:t>
            </w:r>
          </w:p>
        </w:tc>
        <w:tc>
          <w:tcPr>
            <w:tcW w:w="2721" w:type="dxa"/>
            <w:tcBorders>
              <w:bottom w:val="single" w:color="auto" w:sz="4" w:space="0"/>
            </w:tcBorders>
          </w:tcPr>
          <w:p w:rsidRPr="008936E4" w:rsidR="00A92D0B" w:rsidP="00A96FC6" w:rsidRDefault="00132EA2" w14:paraId="0F29B839" w14:textId="1603A583">
            <w:pPr>
              <w:tabs>
                <w:tab w:val="left" w:pos="360"/>
              </w:tabs>
              <w:jc w:val="center"/>
              <w:rPr>
                <w:rFonts w:asciiTheme="majorBidi" w:hAnsiTheme="majorBidi" w:cstheme="majorBidi"/>
                <w:color w:val="000000"/>
              </w:rPr>
            </w:pPr>
            <w:r>
              <w:rPr>
                <w:rFonts w:asciiTheme="majorBidi" w:hAnsiTheme="majorBidi" w:cstheme="majorBidi"/>
                <w:color w:val="000000"/>
              </w:rPr>
              <w:t>Yes</w:t>
            </w:r>
          </w:p>
        </w:tc>
      </w:tr>
      <w:tr w:rsidRPr="008936E4" w:rsidR="00A92D0B" w:rsidTr="00EA1FCF" w14:paraId="60D4FD5C"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8936E4" w:rsidR="00A92D0B" w:rsidP="007056FC" w:rsidRDefault="00A92D0B" w14:paraId="172E2884" w14:textId="77777777">
            <w:pPr>
              <w:keepNext/>
              <w:tabs>
                <w:tab w:val="left" w:pos="360"/>
              </w:tabs>
              <w:jc w:val="center"/>
              <w:rPr>
                <w:rFonts w:asciiTheme="majorBidi" w:hAnsiTheme="majorBidi" w:cstheme="majorBidi"/>
                <w:color w:val="000000"/>
              </w:rPr>
            </w:pPr>
            <w:r w:rsidRPr="008936E4">
              <w:rPr>
                <w:rFonts w:asciiTheme="majorBidi" w:hAnsiTheme="majorBidi" w:cstheme="majorBidi"/>
                <w:b/>
                <w:color w:val="000000"/>
              </w:rPr>
              <w:t>Timely request for compensation (§ 1804(c)):</w:t>
            </w:r>
          </w:p>
        </w:tc>
      </w:tr>
      <w:tr w:rsidRPr="008936E4" w:rsidR="00654CF2" w:rsidTr="00EA1FCF" w14:paraId="3E7938B0" w14:textId="77777777">
        <w:tc>
          <w:tcPr>
            <w:tcW w:w="4817" w:type="dxa"/>
            <w:tcBorders>
              <w:top w:val="single" w:color="auto" w:sz="4" w:space="0"/>
            </w:tcBorders>
          </w:tcPr>
          <w:p w:rsidRPr="008936E4" w:rsidR="00654CF2" w:rsidP="00654CF2" w:rsidRDefault="00654CF2" w14:paraId="66088F1B" w14:textId="2DB4A731">
            <w:pPr>
              <w:keepNext/>
              <w:tabs>
                <w:tab w:val="left" w:pos="612"/>
              </w:tabs>
              <w:ind w:left="360" w:hanging="360"/>
              <w:rPr>
                <w:rFonts w:asciiTheme="majorBidi" w:hAnsiTheme="majorBidi" w:cstheme="majorBidi"/>
                <w:color w:val="000000"/>
              </w:rPr>
            </w:pPr>
            <w:r w:rsidRPr="008936E4">
              <w:rPr>
                <w:rFonts w:asciiTheme="majorBidi" w:hAnsiTheme="majorBidi" w:cstheme="majorBidi"/>
                <w:color w:val="000000"/>
              </w:rPr>
              <w:t>13.</w:t>
            </w:r>
            <w:r w:rsidRPr="008936E4">
              <w:rPr>
                <w:rFonts w:asciiTheme="majorBidi" w:hAnsiTheme="majorBidi" w:cstheme="majorBidi"/>
                <w:color w:val="000000"/>
              </w:rPr>
              <w:tab/>
              <w:t>Identify Final Decision:</w:t>
            </w:r>
          </w:p>
        </w:tc>
        <w:tc>
          <w:tcPr>
            <w:tcW w:w="2267" w:type="dxa"/>
            <w:tcBorders>
              <w:top w:val="single" w:color="auto" w:sz="4" w:space="0"/>
            </w:tcBorders>
          </w:tcPr>
          <w:p w:rsidRPr="008936E4" w:rsidR="00654CF2" w:rsidP="00654CF2" w:rsidRDefault="00411E9E" w14:paraId="7166F318" w14:textId="70013CF0">
            <w:pPr>
              <w:tabs>
                <w:tab w:val="left" w:pos="360"/>
              </w:tabs>
              <w:rPr>
                <w:rFonts w:asciiTheme="majorBidi" w:hAnsiTheme="majorBidi" w:cstheme="majorBidi"/>
                <w:color w:val="000000"/>
              </w:rPr>
            </w:pPr>
            <w:r>
              <w:rPr>
                <w:color w:val="000000"/>
              </w:rPr>
              <w:t xml:space="preserve">D.24-12-033 </w:t>
            </w:r>
            <w:r>
              <w:rPr>
                <w:rFonts w:asciiTheme="majorBidi" w:hAnsiTheme="majorBidi" w:cstheme="majorBidi"/>
                <w:color w:val="000000"/>
              </w:rPr>
              <w:t>for which the application</w:t>
            </w:r>
            <w:r w:rsidR="00E60ED3">
              <w:rPr>
                <w:rFonts w:asciiTheme="majorBidi" w:hAnsiTheme="majorBidi" w:cstheme="majorBidi"/>
                <w:color w:val="000000"/>
              </w:rPr>
              <w:t>s</w:t>
            </w:r>
            <w:r>
              <w:rPr>
                <w:rFonts w:asciiTheme="majorBidi" w:hAnsiTheme="majorBidi" w:cstheme="majorBidi"/>
                <w:color w:val="000000"/>
              </w:rPr>
              <w:t xml:space="preserve"> for rehearing w</w:t>
            </w:r>
            <w:r w:rsidR="00E60ED3">
              <w:rPr>
                <w:rFonts w:asciiTheme="majorBidi" w:hAnsiTheme="majorBidi" w:cstheme="majorBidi"/>
                <w:color w:val="000000"/>
              </w:rPr>
              <w:t>er</w:t>
            </w:r>
            <w:r w:rsidR="008C523E">
              <w:rPr>
                <w:rFonts w:asciiTheme="majorBidi" w:hAnsiTheme="majorBidi" w:cstheme="majorBidi"/>
                <w:color w:val="000000"/>
              </w:rPr>
              <w:t>e</w:t>
            </w:r>
            <w:r>
              <w:rPr>
                <w:rFonts w:asciiTheme="majorBidi" w:hAnsiTheme="majorBidi" w:cstheme="majorBidi"/>
                <w:color w:val="000000"/>
              </w:rPr>
              <w:t xml:space="preserve"> by D.25-07-041 denied</w:t>
            </w:r>
          </w:p>
        </w:tc>
        <w:tc>
          <w:tcPr>
            <w:tcW w:w="2721" w:type="dxa"/>
            <w:tcBorders>
              <w:top w:val="single" w:color="auto" w:sz="4" w:space="0"/>
            </w:tcBorders>
          </w:tcPr>
          <w:p w:rsidRPr="008936E4" w:rsidR="00654CF2" w:rsidP="00AB264D" w:rsidRDefault="00813CE6" w14:paraId="1588DC54" w14:textId="6C2FEF56">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654CF2" w:rsidTr="00EA1FCF" w14:paraId="6360DE59" w14:textId="77777777">
        <w:tc>
          <w:tcPr>
            <w:tcW w:w="4817" w:type="dxa"/>
          </w:tcPr>
          <w:p w:rsidRPr="008936E4" w:rsidR="00654CF2" w:rsidP="00654CF2" w:rsidRDefault="00654CF2" w14:paraId="4B809E4A" w14:textId="4BEED0BB">
            <w:pPr>
              <w:tabs>
                <w:tab w:val="left" w:pos="612"/>
              </w:tabs>
              <w:ind w:left="360" w:hanging="360"/>
              <w:rPr>
                <w:rFonts w:asciiTheme="majorBidi" w:hAnsiTheme="majorBidi" w:cstheme="majorBidi"/>
                <w:color w:val="000000"/>
              </w:rPr>
            </w:pPr>
            <w:r w:rsidRPr="008936E4">
              <w:rPr>
                <w:rFonts w:asciiTheme="majorBidi" w:hAnsiTheme="majorBidi" w:cstheme="majorBidi"/>
                <w:color w:val="000000"/>
              </w:rPr>
              <w:t>14.</w:t>
            </w:r>
            <w:r w:rsidRPr="008936E4">
              <w:rPr>
                <w:rFonts w:asciiTheme="majorBidi" w:hAnsiTheme="majorBidi" w:cstheme="majorBidi"/>
                <w:color w:val="000000"/>
              </w:rPr>
              <w:tab/>
              <w:t xml:space="preserve">Date of issuance of Final Order or Decision:    </w:t>
            </w:r>
          </w:p>
        </w:tc>
        <w:tc>
          <w:tcPr>
            <w:tcW w:w="2267" w:type="dxa"/>
          </w:tcPr>
          <w:p w:rsidRPr="008936E4" w:rsidR="00654CF2" w:rsidP="00654CF2" w:rsidRDefault="00411E9E" w14:paraId="20455B5F" w14:textId="17FFFF14">
            <w:pPr>
              <w:tabs>
                <w:tab w:val="left" w:pos="360"/>
              </w:tabs>
              <w:rPr>
                <w:rFonts w:asciiTheme="majorBidi" w:hAnsiTheme="majorBidi" w:cstheme="majorBidi"/>
                <w:color w:val="000000"/>
              </w:rPr>
            </w:pPr>
            <w:r>
              <w:rPr>
                <w:rFonts w:asciiTheme="majorBidi" w:hAnsiTheme="majorBidi" w:cstheme="majorBidi"/>
                <w:color w:val="000000"/>
              </w:rPr>
              <w:t>12/20/2024 and 07/25/2025</w:t>
            </w:r>
          </w:p>
        </w:tc>
        <w:tc>
          <w:tcPr>
            <w:tcW w:w="2721" w:type="dxa"/>
          </w:tcPr>
          <w:p w:rsidRPr="008936E4" w:rsidR="00654CF2" w:rsidP="00A96FC6" w:rsidRDefault="00475DC0" w14:paraId="1FCF00DD" w14:textId="1CA570E0">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475FD4" w:rsidTr="00EA1FCF" w14:paraId="723259E3" w14:textId="77777777">
        <w:tc>
          <w:tcPr>
            <w:tcW w:w="4817" w:type="dxa"/>
          </w:tcPr>
          <w:p w:rsidRPr="00307373" w:rsidR="00475FD4" w:rsidP="00475FD4" w:rsidRDefault="00475FD4" w14:paraId="163EE1CA" w14:textId="2B64EB9E">
            <w:pPr>
              <w:tabs>
                <w:tab w:val="left" w:pos="612"/>
              </w:tabs>
              <w:ind w:left="360" w:hanging="360"/>
              <w:rPr>
                <w:rFonts w:asciiTheme="majorBidi" w:hAnsiTheme="majorBidi" w:cstheme="majorBidi"/>
                <w:color w:val="000000"/>
              </w:rPr>
            </w:pPr>
            <w:r w:rsidRPr="00307373">
              <w:rPr>
                <w:rFonts w:asciiTheme="majorBidi" w:hAnsiTheme="majorBidi" w:cstheme="majorBidi"/>
                <w:color w:val="000000"/>
              </w:rPr>
              <w:t>15.</w:t>
            </w:r>
            <w:r w:rsidRPr="00307373">
              <w:rPr>
                <w:rFonts w:asciiTheme="majorBidi" w:hAnsiTheme="majorBidi" w:cstheme="majorBidi"/>
                <w:color w:val="000000"/>
              </w:rPr>
              <w:tab/>
              <w:t>File date of compensation request:</w:t>
            </w:r>
          </w:p>
        </w:tc>
        <w:tc>
          <w:tcPr>
            <w:tcW w:w="2267" w:type="dxa"/>
          </w:tcPr>
          <w:p w:rsidRPr="00307373" w:rsidR="00475FD4" w:rsidP="00475FD4" w:rsidRDefault="00411E9E" w14:paraId="0568B39D" w14:textId="1D89E699">
            <w:pPr>
              <w:tabs>
                <w:tab w:val="left" w:pos="360"/>
              </w:tabs>
              <w:rPr>
                <w:rFonts w:asciiTheme="majorBidi" w:hAnsiTheme="majorBidi" w:cstheme="majorBidi"/>
                <w:color w:val="000000"/>
              </w:rPr>
            </w:pPr>
            <w:r w:rsidRPr="00307373">
              <w:rPr>
                <w:rFonts w:asciiTheme="majorBidi" w:hAnsiTheme="majorBidi" w:cstheme="majorBidi"/>
                <w:color w:val="000000"/>
              </w:rPr>
              <w:t>09/23/2025</w:t>
            </w:r>
          </w:p>
        </w:tc>
        <w:tc>
          <w:tcPr>
            <w:tcW w:w="2721" w:type="dxa"/>
          </w:tcPr>
          <w:p w:rsidRPr="008936E4" w:rsidR="00475FD4" w:rsidP="00A96FC6" w:rsidRDefault="009315D6" w14:paraId="1CBF4E7A" w14:textId="16ABFD19">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8936E4" w:rsidR="00A92D0B" w:rsidTr="00EA1FCF" w14:paraId="406BCA3A" w14:textId="77777777">
        <w:tc>
          <w:tcPr>
            <w:tcW w:w="7084" w:type="dxa"/>
            <w:gridSpan w:val="2"/>
          </w:tcPr>
          <w:p w:rsidRPr="008936E4" w:rsidR="00A92D0B" w:rsidP="00F028C8" w:rsidRDefault="00A92D0B" w14:paraId="10AF42D1" w14:textId="67695104">
            <w:pPr>
              <w:tabs>
                <w:tab w:val="left" w:pos="360"/>
              </w:tabs>
              <w:ind w:left="360" w:hanging="360"/>
              <w:rPr>
                <w:rFonts w:asciiTheme="majorBidi" w:hAnsiTheme="majorBidi" w:cstheme="majorBidi"/>
                <w:color w:val="000000"/>
              </w:rPr>
            </w:pPr>
            <w:proofErr w:type="gramStart"/>
            <w:r w:rsidRPr="008936E4">
              <w:rPr>
                <w:rFonts w:asciiTheme="majorBidi" w:hAnsiTheme="majorBidi" w:cstheme="majorBidi"/>
                <w:color w:val="000000"/>
              </w:rPr>
              <w:lastRenderedPageBreak/>
              <w:t>16</w:t>
            </w:r>
            <w:r w:rsidRPr="008936E4" w:rsidR="001E7EE2">
              <w:rPr>
                <w:rFonts w:asciiTheme="majorBidi" w:hAnsiTheme="majorBidi" w:cstheme="majorBidi"/>
                <w:color w:val="000000"/>
              </w:rPr>
              <w:t>.</w:t>
            </w:r>
            <w:r w:rsidRPr="008936E4" w:rsidR="001E7EE2">
              <w:rPr>
                <w:rFonts w:asciiTheme="majorBidi" w:hAnsiTheme="majorBidi" w:cstheme="majorBidi"/>
                <w:color w:val="000000"/>
              </w:rPr>
              <w:tab/>
            </w:r>
            <w:r w:rsidRPr="008936E4">
              <w:rPr>
                <w:rFonts w:asciiTheme="majorBidi" w:hAnsiTheme="majorBidi" w:cstheme="majorBidi"/>
                <w:color w:val="000000"/>
              </w:rPr>
              <w:t>Was</w:t>
            </w:r>
            <w:proofErr w:type="gramEnd"/>
            <w:r w:rsidRPr="008936E4">
              <w:rPr>
                <w:rFonts w:asciiTheme="majorBidi" w:hAnsiTheme="majorBidi" w:cstheme="majorBidi"/>
                <w:color w:val="000000"/>
              </w:rPr>
              <w:t xml:space="preserve"> the request for compensation timely?</w:t>
            </w:r>
          </w:p>
        </w:tc>
        <w:tc>
          <w:tcPr>
            <w:tcW w:w="2721" w:type="dxa"/>
          </w:tcPr>
          <w:p w:rsidRPr="008936E4" w:rsidR="00A92D0B" w:rsidP="00A96FC6" w:rsidRDefault="002F709C" w14:paraId="2EA30E63" w14:textId="692EF767">
            <w:pPr>
              <w:tabs>
                <w:tab w:val="left" w:pos="360"/>
              </w:tabs>
              <w:jc w:val="center"/>
              <w:rPr>
                <w:rFonts w:asciiTheme="majorBidi" w:hAnsiTheme="majorBidi" w:cstheme="majorBidi"/>
                <w:color w:val="000000"/>
              </w:rPr>
            </w:pPr>
            <w:r>
              <w:rPr>
                <w:rFonts w:asciiTheme="majorBidi" w:hAnsiTheme="majorBidi" w:cstheme="majorBidi"/>
                <w:color w:val="000000"/>
              </w:rPr>
              <w:t>Yes</w:t>
            </w:r>
          </w:p>
        </w:tc>
      </w:tr>
    </w:tbl>
    <w:p w:rsidRPr="008936E4" w:rsidR="00A92D0B" w:rsidP="00880855" w:rsidRDefault="00A92D0B" w14:paraId="0068592B" w14:textId="704F4C65">
      <w:pPr>
        <w:keepNext/>
        <w:numPr>
          <w:ilvl w:val="0"/>
          <w:numId w:val="5"/>
        </w:numPr>
        <w:spacing w:before="240" w:after="240"/>
        <w:rPr>
          <w:rFonts w:asciiTheme="majorBidi" w:hAnsiTheme="majorBidi" w:cstheme="majorBidi"/>
          <w:b/>
          <w:color w:val="000000"/>
        </w:rPr>
      </w:pPr>
      <w:r w:rsidRPr="008936E4">
        <w:rPr>
          <w:rFonts w:asciiTheme="majorBidi" w:hAnsiTheme="majorBidi" w:cstheme="majorBidi"/>
          <w:b/>
          <w:color w:val="000000"/>
        </w:rPr>
        <w:t>Additional Comments on Part I</w:t>
      </w:r>
      <w:r w:rsidRPr="008936E4" w:rsidR="00C02649">
        <w:rPr>
          <w:rFonts w:asciiTheme="majorBidi" w:hAnsiTheme="majorBidi" w:cstheme="majorBidi"/>
          <w:b/>
          <w:color w:val="000000"/>
        </w:rPr>
        <w:t>:</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5186"/>
      </w:tblGrid>
      <w:tr w:rsidRPr="008936E4" w:rsidR="003C608A" w:rsidTr="00EA1FCF" w14:paraId="046F77BA" w14:textId="77777777">
        <w:trPr>
          <w:tblHeader/>
        </w:trPr>
        <w:tc>
          <w:tcPr>
            <w:tcW w:w="860" w:type="dxa"/>
            <w:tcBorders>
              <w:bottom w:val="single" w:color="auto" w:sz="4" w:space="0"/>
            </w:tcBorders>
            <w:shd w:val="clear" w:color="auto" w:fill="D9D9D9" w:themeFill="background1" w:themeFillShade="D9"/>
          </w:tcPr>
          <w:p w:rsidRPr="008936E4" w:rsidR="003C608A" w:rsidP="007056FC" w:rsidRDefault="003C608A" w14:paraId="0CB867A6" w14:textId="77777777">
            <w:pPr>
              <w:tabs>
                <w:tab w:val="left" w:pos="360"/>
              </w:tabs>
              <w:jc w:val="center"/>
              <w:rPr>
                <w:rFonts w:asciiTheme="majorBidi" w:hAnsiTheme="majorBidi" w:cstheme="majorBidi"/>
                <w:b/>
                <w:color w:val="000000"/>
              </w:rPr>
            </w:pPr>
            <w:r w:rsidRPr="008936E4">
              <w:rPr>
                <w:rFonts w:asciiTheme="majorBidi" w:hAnsiTheme="majorBidi" w:cstheme="majorBidi"/>
                <w:b/>
                <w:color w:val="000000"/>
              </w:rPr>
              <w:t>#</w:t>
            </w:r>
          </w:p>
        </w:tc>
        <w:tc>
          <w:tcPr>
            <w:tcW w:w="3759" w:type="dxa"/>
            <w:tcBorders>
              <w:bottom w:val="single" w:color="auto" w:sz="4" w:space="0"/>
            </w:tcBorders>
            <w:shd w:val="clear" w:color="auto" w:fill="D9D9D9" w:themeFill="background1" w:themeFillShade="D9"/>
          </w:tcPr>
          <w:p w:rsidRPr="008936E4" w:rsidR="003C608A" w:rsidP="007056FC" w:rsidRDefault="003C608A" w14:paraId="196D09DF" w14:textId="77777777">
            <w:pPr>
              <w:tabs>
                <w:tab w:val="left" w:pos="360"/>
              </w:tabs>
              <w:jc w:val="center"/>
              <w:rPr>
                <w:rFonts w:asciiTheme="majorBidi" w:hAnsiTheme="majorBidi" w:cstheme="majorBidi"/>
                <w:b/>
                <w:color w:val="000000"/>
              </w:rPr>
            </w:pPr>
            <w:r w:rsidRPr="008936E4">
              <w:rPr>
                <w:rFonts w:asciiTheme="majorBidi" w:hAnsiTheme="majorBidi" w:cstheme="majorBidi"/>
                <w:b/>
                <w:color w:val="000000"/>
              </w:rPr>
              <w:t>Intervenor’s Comment(s)</w:t>
            </w:r>
          </w:p>
        </w:tc>
        <w:tc>
          <w:tcPr>
            <w:tcW w:w="5186" w:type="dxa"/>
            <w:shd w:val="clear" w:color="auto" w:fill="D9D9D9" w:themeFill="background1" w:themeFillShade="D9"/>
          </w:tcPr>
          <w:p w:rsidRPr="008936E4" w:rsidR="003C608A" w:rsidP="007056FC" w:rsidRDefault="003C608A" w14:paraId="07207D31" w14:textId="77777777">
            <w:pPr>
              <w:tabs>
                <w:tab w:val="left" w:pos="360"/>
              </w:tabs>
              <w:jc w:val="center"/>
              <w:rPr>
                <w:rFonts w:asciiTheme="majorBidi" w:hAnsiTheme="majorBidi" w:cstheme="majorBidi"/>
                <w:b/>
                <w:color w:val="000000"/>
              </w:rPr>
            </w:pPr>
            <w:r w:rsidRPr="008936E4">
              <w:rPr>
                <w:rFonts w:asciiTheme="majorBidi" w:hAnsiTheme="majorBidi" w:cstheme="majorBidi"/>
                <w:b/>
                <w:color w:val="000000"/>
              </w:rPr>
              <w:t>CPUC Discussion</w:t>
            </w:r>
          </w:p>
        </w:tc>
      </w:tr>
      <w:tr w:rsidRPr="008936E4" w:rsidR="00011C7A" w:rsidTr="00EA1FCF" w14:paraId="030018BE" w14:textId="77777777">
        <w:trPr>
          <w:trHeight w:val="67"/>
        </w:trPr>
        <w:tc>
          <w:tcPr>
            <w:tcW w:w="860" w:type="dxa"/>
          </w:tcPr>
          <w:p w:rsidRPr="008936E4" w:rsidR="00011C7A" w:rsidP="00011C7A" w:rsidRDefault="00411E9E" w14:paraId="697B0C45" w14:textId="6DBAF531">
            <w:pPr>
              <w:rPr>
                <w:rFonts w:asciiTheme="majorBidi" w:hAnsiTheme="majorBidi" w:cstheme="majorBidi"/>
              </w:rPr>
            </w:pPr>
            <w:r>
              <w:rPr>
                <w:rFonts w:asciiTheme="majorBidi" w:hAnsiTheme="majorBidi" w:cstheme="majorBidi"/>
              </w:rPr>
              <w:t>B.1-4</w:t>
            </w:r>
            <w:r w:rsidR="00011C7A">
              <w:rPr>
                <w:rFonts w:asciiTheme="majorBidi" w:hAnsiTheme="majorBidi" w:cstheme="majorBidi"/>
              </w:rPr>
              <w:t xml:space="preserve"> </w:t>
            </w:r>
          </w:p>
        </w:tc>
        <w:tc>
          <w:tcPr>
            <w:tcW w:w="3759" w:type="dxa"/>
          </w:tcPr>
          <w:p w:rsidRPr="00BC6B3F" w:rsidR="00011C7A" w:rsidP="00011C7A" w:rsidRDefault="00411E9E" w14:paraId="30929812" w14:textId="0B2203C0">
            <w:pPr>
              <w:pStyle w:val="Default"/>
              <w:spacing w:after="120"/>
            </w:pPr>
            <w:r w:rsidRPr="00411E9E">
              <w:t>The Commission’s Rule 17.1(a) requires an NOI to be filed within 30 days of the prehearing conference. Pursuant to Rule 1.15, if the last day falls on a Saturday, Sunday, holiday or other day when the Commission offices are closed, the time limit is extended to include the next business day thereafter. Thirty days from the prehearing conference was Sunday, June 30, 2024; and SBUA filed its NOI on the next business day thereafter, which was Monday, Ju</w:t>
            </w:r>
            <w:r>
              <w:t>ly 1</w:t>
            </w:r>
            <w:r w:rsidRPr="00411E9E">
              <w:t>, 2024.</w:t>
            </w:r>
          </w:p>
        </w:tc>
        <w:tc>
          <w:tcPr>
            <w:tcW w:w="5186" w:type="dxa"/>
          </w:tcPr>
          <w:p w:rsidRPr="008936E4" w:rsidR="00011C7A" w:rsidP="006B56DC" w:rsidRDefault="00A61DA6" w14:paraId="02E0BEB0" w14:textId="3440ADCF">
            <w:pPr>
              <w:tabs>
                <w:tab w:val="left" w:pos="360"/>
              </w:tabs>
              <w:rPr>
                <w:rFonts w:asciiTheme="majorBidi" w:hAnsiTheme="majorBidi" w:cstheme="majorBidi"/>
                <w:color w:val="000000"/>
              </w:rPr>
            </w:pPr>
            <w:r w:rsidRPr="00AB264D">
              <w:rPr>
                <w:rFonts w:asciiTheme="majorBidi" w:hAnsiTheme="majorBidi" w:cstheme="majorBidi"/>
              </w:rPr>
              <w:t>Noted</w:t>
            </w:r>
          </w:p>
        </w:tc>
      </w:tr>
      <w:tr w:rsidRPr="008936E4" w:rsidR="00411E9E" w:rsidTr="00EA1FCF" w14:paraId="1C6180A4" w14:textId="77777777">
        <w:trPr>
          <w:trHeight w:val="67"/>
        </w:trPr>
        <w:tc>
          <w:tcPr>
            <w:tcW w:w="860" w:type="dxa"/>
          </w:tcPr>
          <w:p w:rsidRPr="008936E4" w:rsidR="00411E9E" w:rsidP="00411E9E" w:rsidRDefault="00411E9E" w14:paraId="4350D384" w14:textId="4039A979">
            <w:pPr>
              <w:rPr>
                <w:rFonts w:asciiTheme="majorBidi" w:hAnsiTheme="majorBidi" w:cstheme="majorBidi"/>
              </w:rPr>
            </w:pPr>
            <w:r>
              <w:rPr>
                <w:rFonts w:asciiTheme="majorBidi" w:hAnsiTheme="majorBidi" w:cstheme="majorBidi"/>
              </w:rPr>
              <w:t>B.13-15</w:t>
            </w:r>
          </w:p>
        </w:tc>
        <w:tc>
          <w:tcPr>
            <w:tcW w:w="3759" w:type="dxa"/>
          </w:tcPr>
          <w:p w:rsidRPr="00E60ED3" w:rsidR="00411E9E" w:rsidP="00822817" w:rsidRDefault="00411E9E" w14:paraId="0ECF4A98" w14:textId="55EAA84A">
            <w:pPr>
              <w:autoSpaceDE w:val="0"/>
              <w:autoSpaceDN w:val="0"/>
              <w:adjustRightInd w:val="0"/>
              <w:spacing w:after="120"/>
            </w:pPr>
            <w:r>
              <w:t xml:space="preserve">Rule 17.3 provides that a compensation request is timely if filed within 60 days of an order denying rehearing on </w:t>
            </w:r>
            <w:r w:rsidRPr="00411E9E">
              <w:rPr>
                <w:i/>
                <w:iCs/>
              </w:rPr>
              <w:t>an issue</w:t>
            </w:r>
            <w:r>
              <w:t xml:space="preserve"> to which the intervenor </w:t>
            </w:r>
            <w:r w:rsidRPr="00411E9E">
              <w:rPr>
                <w:rStyle w:val="Strong"/>
                <w:b w:val="0"/>
                <w:bCs w:val="0"/>
              </w:rPr>
              <w:t>believes</w:t>
            </w:r>
            <w:r w:rsidRPr="00411E9E">
              <w:rPr>
                <w:b/>
                <w:bCs/>
              </w:rPr>
              <w:t xml:space="preserve"> </w:t>
            </w:r>
            <w:r>
              <w:t>it contributed or upon closure of the proceeding. D.25-07-041, which denied the Application for Rehearing (AFR) of D.24-12-033 and closed the case, satisfies both triggers. Accordingly, SBUA’s request is timely because the denial of rehearing independently triggered Rule 17.3.</w:t>
            </w:r>
            <w:r w:rsidRPr="00601005">
              <w:rPr>
                <w:i/>
                <w:iCs/>
              </w:rPr>
              <w:t xml:space="preserve"> See, e.g</w:t>
            </w:r>
            <w:r w:rsidRPr="00601005">
              <w:t xml:space="preserve">., </w:t>
            </w:r>
            <w:r w:rsidRPr="00601005">
              <w:rPr>
                <w:color w:val="000000"/>
              </w:rPr>
              <w:t>D.2</w:t>
            </w:r>
            <w:r>
              <w:rPr>
                <w:color w:val="000000"/>
              </w:rPr>
              <w:t>3</w:t>
            </w:r>
            <w:r w:rsidRPr="00601005">
              <w:rPr>
                <w:color w:val="000000"/>
              </w:rPr>
              <w:t>-04-033 at 3-4</w:t>
            </w:r>
            <w:r>
              <w:rPr>
                <w:color w:val="000000"/>
              </w:rPr>
              <w:t xml:space="preserve">; </w:t>
            </w:r>
            <w:r>
              <w:t>D.11-06-016 at 2-3.</w:t>
            </w:r>
          </w:p>
        </w:tc>
        <w:tc>
          <w:tcPr>
            <w:tcW w:w="5186" w:type="dxa"/>
          </w:tcPr>
          <w:p w:rsidRPr="008936E4" w:rsidR="00411E9E" w:rsidP="006B56DC" w:rsidRDefault="00A61DA6" w14:paraId="416D6250" w14:textId="0FD9084B">
            <w:pPr>
              <w:tabs>
                <w:tab w:val="left" w:pos="360"/>
              </w:tabs>
              <w:rPr>
                <w:rFonts w:asciiTheme="majorBidi" w:hAnsiTheme="majorBidi" w:cstheme="majorBidi"/>
                <w:color w:val="000000"/>
              </w:rPr>
            </w:pPr>
            <w:r w:rsidRPr="00AB264D">
              <w:rPr>
                <w:rFonts w:asciiTheme="majorBidi" w:hAnsiTheme="majorBidi" w:cstheme="majorBidi"/>
              </w:rPr>
              <w:t>Noted</w:t>
            </w:r>
          </w:p>
        </w:tc>
      </w:tr>
    </w:tbl>
    <w:p w:rsidRPr="008936E4" w:rsidR="00A92D0B" w:rsidP="006E1A6C" w:rsidRDefault="00A92D0B" w14:paraId="45219348" w14:textId="56E8351F">
      <w:pPr>
        <w:keepNext/>
        <w:spacing w:before="480"/>
        <w:jc w:val="center"/>
        <w:rPr>
          <w:rFonts w:asciiTheme="majorBidi" w:hAnsiTheme="majorBidi" w:cstheme="majorBidi"/>
          <w:color w:val="000000"/>
        </w:rPr>
      </w:pPr>
      <w:r w:rsidRPr="008936E4">
        <w:rPr>
          <w:rFonts w:asciiTheme="majorBidi" w:hAnsiTheme="majorBidi" w:cstheme="majorBidi"/>
          <w:b/>
          <w:color w:val="000000"/>
        </w:rPr>
        <w:lastRenderedPageBreak/>
        <w:t>PART II</w:t>
      </w:r>
      <w:r w:rsidRPr="008936E4" w:rsidR="0098102F">
        <w:rPr>
          <w:rFonts w:asciiTheme="majorBidi" w:hAnsiTheme="majorBidi" w:cstheme="majorBidi"/>
          <w:b/>
          <w:color w:val="000000"/>
        </w:rPr>
        <w:t>: SUBSTANTIAL</w:t>
      </w:r>
      <w:r w:rsidRPr="008936E4">
        <w:rPr>
          <w:rFonts w:asciiTheme="majorBidi" w:hAnsiTheme="majorBidi" w:cstheme="majorBidi"/>
          <w:b/>
          <w:color w:val="000000"/>
        </w:rPr>
        <w:t xml:space="preserve"> CONTRIBUTION</w:t>
      </w:r>
    </w:p>
    <w:p w:rsidRPr="008936E4" w:rsidR="00A92D0B" w:rsidP="005B5B44" w:rsidRDefault="00D075B1" w14:paraId="337CC332" w14:textId="642FC24C">
      <w:pPr>
        <w:keepNext/>
        <w:numPr>
          <w:ilvl w:val="0"/>
          <w:numId w:val="8"/>
        </w:numPr>
        <w:spacing w:before="240" w:after="240"/>
        <w:rPr>
          <w:rFonts w:asciiTheme="majorBidi" w:hAnsiTheme="majorBidi" w:cstheme="majorBidi"/>
          <w:b/>
          <w:color w:val="000000"/>
        </w:rPr>
      </w:pPr>
      <w:r w:rsidRPr="008936E4">
        <w:rPr>
          <w:rFonts w:asciiTheme="majorBidi" w:hAnsiTheme="majorBidi" w:cstheme="majorBidi"/>
          <w:b/>
          <w:color w:val="000000"/>
        </w:rPr>
        <w:t xml:space="preserve">Did the </w:t>
      </w:r>
      <w:r w:rsidRPr="008936E4" w:rsidR="005A63D4">
        <w:rPr>
          <w:rFonts w:asciiTheme="majorBidi" w:hAnsiTheme="majorBidi" w:cstheme="majorBidi"/>
          <w:b/>
          <w:color w:val="000000"/>
        </w:rPr>
        <w:t>Intervenor</w:t>
      </w:r>
      <w:r w:rsidRPr="008936E4">
        <w:rPr>
          <w:rFonts w:asciiTheme="majorBidi" w:hAnsiTheme="majorBidi" w:cstheme="majorBidi"/>
          <w:b/>
          <w:color w:val="000000"/>
        </w:rPr>
        <w:t xml:space="preserve"> substantially contribute to the final decision</w:t>
      </w:r>
      <w:r w:rsidRPr="008936E4" w:rsidR="00A92D0B">
        <w:rPr>
          <w:rFonts w:asciiTheme="majorBidi" w:hAnsiTheme="majorBidi" w:cstheme="majorBidi"/>
          <w:b/>
          <w:color w:val="000000"/>
        </w:rPr>
        <w:t xml:space="preserve"> (</w:t>
      </w:r>
      <w:r w:rsidRPr="008936E4" w:rsidR="00A92D0B">
        <w:rPr>
          <w:rFonts w:asciiTheme="majorBidi" w:hAnsiTheme="majorBidi" w:cstheme="majorBidi"/>
          <w:b/>
          <w:i/>
          <w:color w:val="000000"/>
        </w:rPr>
        <w:t>see</w:t>
      </w:r>
      <w:r w:rsidRPr="008936E4" w:rsidR="00A92D0B">
        <w:rPr>
          <w:rFonts w:asciiTheme="majorBidi" w:hAnsiTheme="majorBidi" w:cstheme="majorBidi"/>
          <w:b/>
          <w:color w:val="000000"/>
        </w:rPr>
        <w:t xml:space="preserve"> § 1802(</w:t>
      </w:r>
      <w:r w:rsidRPr="008936E4" w:rsidR="00ED6B6B">
        <w:rPr>
          <w:rFonts w:asciiTheme="majorBidi" w:hAnsiTheme="majorBidi" w:cstheme="majorBidi"/>
          <w:b/>
          <w:color w:val="000000"/>
        </w:rPr>
        <w:t>j</w:t>
      </w:r>
      <w:r w:rsidRPr="008936E4" w:rsidR="00A92D0B">
        <w:rPr>
          <w:rFonts w:asciiTheme="majorBidi" w:hAnsiTheme="majorBidi" w:cstheme="majorBidi"/>
          <w:b/>
          <w:color w:val="000000"/>
        </w:rPr>
        <w:t xml:space="preserve">), </w:t>
      </w:r>
      <w:r w:rsidRPr="008936E4" w:rsidR="001E77CF">
        <w:rPr>
          <w:rFonts w:asciiTheme="majorBidi" w:hAnsiTheme="majorBidi" w:cstheme="majorBidi"/>
          <w:b/>
          <w:color w:val="000000"/>
        </w:rPr>
        <w:br/>
      </w:r>
      <w:r w:rsidRPr="008936E4" w:rsidR="00A92D0B">
        <w:rPr>
          <w:rFonts w:asciiTheme="majorBidi" w:hAnsiTheme="majorBidi" w:cstheme="majorBidi"/>
          <w:b/>
          <w:color w:val="000000"/>
        </w:rPr>
        <w:t>§ 1803(a)</w:t>
      </w:r>
      <w:r w:rsidRPr="008936E4" w:rsidR="00F30DA8">
        <w:rPr>
          <w:rFonts w:asciiTheme="majorBidi" w:hAnsiTheme="majorBidi" w:cstheme="majorBidi"/>
          <w:b/>
          <w:color w:val="000000"/>
        </w:rPr>
        <w:t>,</w:t>
      </w:r>
      <w:r w:rsidRPr="008936E4" w:rsidR="00A92D0B">
        <w:rPr>
          <w:rFonts w:asciiTheme="majorBidi" w:hAnsiTheme="majorBidi" w:cstheme="majorBidi"/>
          <w:b/>
          <w:color w:val="000000"/>
        </w:rPr>
        <w:t xml:space="preserve"> </w:t>
      </w:r>
      <w:r w:rsidRPr="008936E4" w:rsidR="00ED6B6B">
        <w:rPr>
          <w:rFonts w:asciiTheme="majorBidi" w:hAnsiTheme="majorBidi" w:cstheme="majorBidi"/>
          <w:b/>
          <w:color w:val="000000"/>
        </w:rPr>
        <w:t xml:space="preserve">1803.1(a) </w:t>
      </w:r>
      <w:r w:rsidRPr="008936E4" w:rsidR="00F30DA8">
        <w:rPr>
          <w:rFonts w:asciiTheme="majorBidi" w:hAnsiTheme="majorBidi" w:cstheme="majorBidi"/>
          <w:b/>
          <w:color w:val="000000"/>
        </w:rPr>
        <w:t>and</w:t>
      </w:r>
      <w:r w:rsidRPr="008936E4" w:rsidR="00A92D0B">
        <w:rPr>
          <w:rFonts w:asciiTheme="majorBidi" w:hAnsiTheme="majorBidi" w:cstheme="majorBidi"/>
          <w:b/>
          <w:color w:val="000000"/>
        </w:rPr>
        <w:t xml:space="preserve"> D.98-04-059)</w:t>
      </w:r>
      <w:r w:rsidRPr="008936E4" w:rsidR="00C02649">
        <w:rPr>
          <w:rFonts w:asciiTheme="majorBidi" w:hAnsiTheme="majorBidi" w:cstheme="majorBidi"/>
          <w:b/>
          <w:color w:val="000000"/>
        </w:rPr>
        <w:t>:</w:t>
      </w:r>
    </w:p>
    <w:tbl>
      <w:tblPr>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30"/>
        <w:gridCol w:w="3150"/>
        <w:gridCol w:w="3330"/>
      </w:tblGrid>
      <w:tr w:rsidRPr="008936E4" w:rsidR="00B8133B" w:rsidTr="00EA1FCF" w14:paraId="6EEE698A" w14:textId="77777777">
        <w:tc>
          <w:tcPr>
            <w:tcW w:w="3330" w:type="dxa"/>
            <w:tcBorders>
              <w:bottom w:val="single" w:color="auto" w:sz="4" w:space="0"/>
            </w:tcBorders>
            <w:shd w:val="pct12" w:color="auto" w:fill="auto"/>
          </w:tcPr>
          <w:p w:rsidRPr="008936E4" w:rsidR="006E7813" w:rsidRDefault="006E7813" w14:paraId="65B8C02A" w14:textId="77777777">
            <w:pPr>
              <w:spacing w:before="120"/>
              <w:jc w:val="center"/>
              <w:rPr>
                <w:rFonts w:asciiTheme="majorBidi" w:hAnsiTheme="majorBidi" w:cstheme="majorBidi"/>
                <w:b/>
                <w:color w:val="000000"/>
              </w:rPr>
            </w:pPr>
            <w:r w:rsidRPr="008936E4">
              <w:rPr>
                <w:rFonts w:asciiTheme="majorBidi" w:hAnsiTheme="majorBidi" w:cstheme="majorBidi"/>
                <w:b/>
                <w:color w:val="000000"/>
              </w:rPr>
              <w:t>Intervenor’s Claimed Contribution(s)</w:t>
            </w:r>
          </w:p>
        </w:tc>
        <w:tc>
          <w:tcPr>
            <w:tcW w:w="3150" w:type="dxa"/>
            <w:tcBorders>
              <w:bottom w:val="single" w:color="auto" w:sz="4" w:space="0"/>
            </w:tcBorders>
            <w:shd w:val="pct12" w:color="auto" w:fill="auto"/>
          </w:tcPr>
          <w:p w:rsidRPr="008936E4" w:rsidR="006E7813" w:rsidRDefault="006E7813" w14:paraId="7BB10144" w14:textId="77777777">
            <w:pPr>
              <w:spacing w:before="120"/>
              <w:jc w:val="center"/>
              <w:rPr>
                <w:rFonts w:asciiTheme="majorBidi" w:hAnsiTheme="majorBidi" w:cstheme="majorBidi"/>
                <w:b/>
                <w:color w:val="000000"/>
              </w:rPr>
            </w:pPr>
            <w:r w:rsidRPr="008936E4">
              <w:rPr>
                <w:rFonts w:asciiTheme="majorBidi" w:hAnsiTheme="majorBidi" w:cstheme="majorBidi"/>
                <w:b/>
                <w:color w:val="000000"/>
              </w:rPr>
              <w:t>Specific References to Intervenor’s Claimed Contribution(s)</w:t>
            </w:r>
          </w:p>
        </w:tc>
        <w:tc>
          <w:tcPr>
            <w:tcW w:w="3330" w:type="dxa"/>
            <w:shd w:val="pct12" w:color="auto" w:fill="auto"/>
          </w:tcPr>
          <w:p w:rsidRPr="008936E4" w:rsidR="006E7813" w:rsidRDefault="006E7813" w14:paraId="508A9120" w14:textId="77777777">
            <w:pPr>
              <w:spacing w:before="120"/>
              <w:jc w:val="center"/>
              <w:rPr>
                <w:rFonts w:asciiTheme="majorBidi" w:hAnsiTheme="majorBidi" w:cstheme="majorBidi"/>
                <w:b/>
                <w:color w:val="000000"/>
              </w:rPr>
            </w:pPr>
            <w:r w:rsidRPr="008936E4">
              <w:rPr>
                <w:rFonts w:asciiTheme="majorBidi" w:hAnsiTheme="majorBidi" w:cstheme="majorBidi"/>
                <w:b/>
                <w:color w:val="000000"/>
              </w:rPr>
              <w:t>CPUC Discussion</w:t>
            </w:r>
          </w:p>
        </w:tc>
      </w:tr>
      <w:tr w:rsidRPr="008936E4" w:rsidR="00B8133B" w:rsidTr="00EA1FCF" w14:paraId="4C106572" w14:textId="77777777">
        <w:trPr>
          <w:trHeight w:val="710"/>
        </w:trPr>
        <w:tc>
          <w:tcPr>
            <w:tcW w:w="3330" w:type="dxa"/>
          </w:tcPr>
          <w:p w:rsidRPr="0057166F" w:rsidR="0024372A" w:rsidP="005E3B86" w:rsidRDefault="005E3B86" w14:paraId="5AA8ADB1" w14:textId="274314A6">
            <w:pPr>
              <w:pStyle w:val="NormalWeb"/>
              <w:rPr>
                <w:b/>
                <w:bCs/>
              </w:rPr>
            </w:pPr>
            <w:r w:rsidRPr="0057166F">
              <w:rPr>
                <w:b/>
                <w:bCs/>
              </w:rPr>
              <w:t>1. Volumetric Performance Fees</w:t>
            </w:r>
          </w:p>
          <w:p w:rsidR="00B233E5" w:rsidP="005E3B86" w:rsidRDefault="00B233E5" w14:paraId="4F1A75E2" w14:textId="77777777">
            <w:pPr>
              <w:pStyle w:val="NormalWeb"/>
            </w:pPr>
          </w:p>
          <w:p w:rsidR="00DA3958" w:rsidP="00DA3958" w:rsidRDefault="00266202" w14:paraId="5CD0A734" w14:textId="2620BB42">
            <w:pPr>
              <w:pStyle w:val="NormalWeb"/>
            </w:pPr>
            <w:r>
              <w:t xml:space="preserve">SBUA advanced a proposal </w:t>
            </w:r>
            <w:r w:rsidRPr="005E6A06">
              <w:t xml:space="preserve">for the allocation of at least $2 million of VPF revenues specifically </w:t>
            </w:r>
            <w:r w:rsidRPr="00AB264D">
              <w:t>to programs helping small businesses comply with building decarbonization requirements</w:t>
            </w:r>
            <w:r w:rsidRPr="005E6A06">
              <w:t xml:space="preserve">. </w:t>
            </w:r>
            <w:r w:rsidRPr="005E6A06" w:rsidR="00C435BE">
              <w:t>SBUA argued that t</w:t>
            </w:r>
            <w:r w:rsidRPr="005E6A06">
              <w:t xml:space="preserve">his targeted allocation </w:t>
            </w:r>
            <w:r w:rsidRPr="005E6A06" w:rsidR="00DA3958">
              <w:t>would help</w:t>
            </w:r>
            <w:r w:rsidRPr="005E6A06" w:rsidR="00522847">
              <w:t xml:space="preserve"> improve</w:t>
            </w:r>
            <w:r w:rsidRPr="005E6A06">
              <w:t xml:space="preserve"> PG&amp;E</w:t>
            </w:r>
            <w:r w:rsidRPr="005E6A06" w:rsidR="00522847">
              <w:t>’</w:t>
            </w:r>
            <w:r w:rsidRPr="005E6A06">
              <w:t>s original VPF spending plan</w:t>
            </w:r>
            <w:r w:rsidRPr="005E6A06" w:rsidR="00DA3958">
              <w:t xml:space="preserve"> for small business ratepayers</w:t>
            </w:r>
            <w:r w:rsidRPr="005E6A06">
              <w:t xml:space="preserve">. Through testimony and briefing, SBUA demonstrated that small businesses face unique financial and informational barriers when implementing energy-efficient measures, and that dedicated funding was necessary to overcome these obstacles. Opening Brief </w:t>
            </w:r>
            <w:r w:rsidRPr="005E6A06" w:rsidR="004F56E7">
              <w:t>of Small Business Utility Advocates, Oct. 1, 2024 (</w:t>
            </w:r>
            <w:r w:rsidRPr="00AB264D" w:rsidR="004F56E7">
              <w:t>Opening Brief</w:t>
            </w:r>
            <w:r w:rsidRPr="005E6A06" w:rsidR="004F56E7">
              <w:t xml:space="preserve">), </w:t>
            </w:r>
            <w:r w:rsidRPr="005E6A06">
              <w:t>at 2</w:t>
            </w:r>
            <w:r w:rsidRPr="005E6A06" w:rsidR="004F56E7">
              <w:t>-</w:t>
            </w:r>
            <w:r w:rsidRPr="005E6A06">
              <w:t xml:space="preserve">4; Reply Brief </w:t>
            </w:r>
            <w:r w:rsidRPr="005E6A06" w:rsidR="004F56E7">
              <w:t>of Small Business Utility Advocates, Oct. 21, 2024 (</w:t>
            </w:r>
            <w:r w:rsidRPr="00AB264D" w:rsidR="004F56E7">
              <w:t>Reply Brief)</w:t>
            </w:r>
            <w:r w:rsidRPr="005E6A06" w:rsidR="004F56E7">
              <w:t xml:space="preserve">, </w:t>
            </w:r>
            <w:r w:rsidRPr="005E6A06">
              <w:t>at 2</w:t>
            </w:r>
            <w:r w:rsidRPr="005E6A06" w:rsidR="004F56E7">
              <w:t>-</w:t>
            </w:r>
            <w:r w:rsidRPr="005E6A06">
              <w:t>3</w:t>
            </w:r>
            <w:r w:rsidRPr="005E6A06" w:rsidR="0076566A">
              <w:t xml:space="preserve">; </w:t>
            </w:r>
            <w:r w:rsidRPr="005E6A06" w:rsidR="004F56E7">
              <w:rPr>
                <w:i/>
                <w:iCs/>
              </w:rPr>
              <w:t>see also</w:t>
            </w:r>
            <w:r w:rsidRPr="005E6A06" w:rsidR="004F56E7">
              <w:t xml:space="preserve"> Direct Testimony of Michael Brown </w:t>
            </w:r>
            <w:r w:rsidRPr="005E6A06" w:rsidR="00522847">
              <w:t>o</w:t>
            </w:r>
            <w:r w:rsidRPr="005E6A06" w:rsidR="004F56E7">
              <w:t>n Behalf of Small Business Utility Advocates, July 29, 2024 (</w:t>
            </w:r>
            <w:r w:rsidRPr="005E6A06" w:rsidR="00E4021E">
              <w:t>Ex. SBUA-01</w:t>
            </w:r>
            <w:r w:rsidRPr="005E6A06" w:rsidR="004F56E7">
              <w:t>), at 28-34 (</w:t>
            </w:r>
            <w:r w:rsidRPr="005E6A06" w:rsidR="002938A2">
              <w:t>analysis of VPF issues and proposals</w:t>
            </w:r>
            <w:r w:rsidRPr="005E6A06" w:rsidR="004F56E7">
              <w:t>).</w:t>
            </w:r>
            <w:r w:rsidRPr="005E6A06" w:rsidR="00DA3958">
              <w:t xml:space="preserve"> SBUA also supported</w:t>
            </w:r>
            <w:r w:rsidR="00DA3958">
              <w:t xml:space="preserve"> PG&amp;E’s proposal to reallocate funds of $30-$60 million previously </w:t>
            </w:r>
            <w:r w:rsidR="00DA3958">
              <w:lastRenderedPageBreak/>
              <w:t>allocated to the Customer Programs Investment Program toward accelerating the</w:t>
            </w:r>
          </w:p>
          <w:p w:rsidR="00266202" w:rsidP="00DA3958" w:rsidRDefault="00DA3958" w14:paraId="2DA48D70" w14:textId="776B28D6">
            <w:pPr>
              <w:pStyle w:val="NormalWeb"/>
            </w:pPr>
            <w:r>
              <w:t>integration of renewable energy, modernizing the grid, and supporting customer education around building electrification and electric vehicles. Opening Brief at 3-4.</w:t>
            </w:r>
          </w:p>
          <w:p w:rsidR="00266202" w:rsidP="00266202" w:rsidRDefault="00266202" w14:paraId="5E932EDA" w14:textId="77777777">
            <w:pPr>
              <w:pStyle w:val="NormalWeb"/>
            </w:pPr>
          </w:p>
          <w:p w:rsidRPr="005E3B86" w:rsidR="005E3B86" w:rsidP="00522847" w:rsidRDefault="00B233E5" w14:paraId="45E09985" w14:textId="7817A191">
            <w:pPr>
              <w:pStyle w:val="NormalWeb"/>
              <w:spacing w:after="120"/>
            </w:pPr>
            <w:r w:rsidRPr="00B233E5">
              <w:t>PG&amp;E a</w:t>
            </w:r>
            <w:r w:rsidR="00DA3958">
              <w:t>greed to</w:t>
            </w:r>
            <w:r w:rsidRPr="00B233E5">
              <w:t xml:space="preserve"> SBUA’s proposal</w:t>
            </w:r>
            <w:r w:rsidR="00DA3958">
              <w:t xml:space="preserve"> on support for small businesses</w:t>
            </w:r>
            <w:r w:rsidRPr="00B233E5">
              <w:t xml:space="preserve">, and the Commission conditionally approved the 2025 VPF Spending Plan, incorporating stakeholder guidance and calling for added specificity and transparency on VPF use going forward. </w:t>
            </w:r>
            <w:r w:rsidRPr="0076566A" w:rsidR="0076566A">
              <w:rPr>
                <w:i/>
                <w:iCs/>
              </w:rPr>
              <w:t>See</w:t>
            </w:r>
            <w:r w:rsidR="0076566A">
              <w:t xml:space="preserve"> Opening Comments of Small Business Utility Advocates on Proposed Decision on Pacific Gas and Electric Company’s Revenue Requirement to Support Extended Operation of </w:t>
            </w:r>
            <w:r w:rsidRPr="005E6A06" w:rsidR="0076566A">
              <w:t>Diablo Canyon Power Plant and 2025 Volumetric Performance Fees Proposal, Dec. 4, 2024 (Opening Comments on PD), at 7 (supporting VPF plan)</w:t>
            </w:r>
            <w:r w:rsidRPr="005E6A06" w:rsidR="002938A2">
              <w:t>; Reply Comments of Small Business Utility Advocates on Proposed Decision on Pacific Gas and Electric Company’s Revenue Requirement</w:t>
            </w:r>
            <w:r w:rsidR="002938A2">
              <w:t xml:space="preserve"> to Support Extended Operation of Diablo Canyon Power Plant and 2025 Volumetric Performance Fees Proposal, Dec. 9, 2024 (Reply Comments on PD), at 3</w:t>
            </w:r>
            <w:r w:rsidR="0076566A">
              <w:t xml:space="preserve">. </w:t>
            </w:r>
            <w:r w:rsidRPr="00B233E5">
              <w:t xml:space="preserve">SBUA’s advocacy thus materially shaped the record on VPF priorities and supported the Commission’s conditional approval framework. </w:t>
            </w:r>
          </w:p>
        </w:tc>
        <w:tc>
          <w:tcPr>
            <w:tcW w:w="3150" w:type="dxa"/>
          </w:tcPr>
          <w:p w:rsidRPr="005E6A06" w:rsidR="001D4341" w:rsidP="001D4341" w:rsidRDefault="001D4341" w14:paraId="5CEBB79D" w14:textId="3F669605">
            <w:pPr>
              <w:autoSpaceDE w:val="0"/>
              <w:autoSpaceDN w:val="0"/>
              <w:adjustRightInd w:val="0"/>
              <w:spacing w:before="120" w:after="240"/>
            </w:pPr>
            <w:r>
              <w:lastRenderedPageBreak/>
              <w:t xml:space="preserve">The plan for VPF expenditures includes: “Programs to support building decarbonization for small businesses (at least $2 million) aims to support </w:t>
            </w:r>
            <w:r w:rsidRPr="005E6A06">
              <w:t>new or expanded programs to support small business in pursuing building decarbonization objectives.</w:t>
            </w:r>
            <w:r w:rsidRPr="005E6A06" w:rsidR="00FE0562">
              <w:t>”</w:t>
            </w:r>
            <w:r w:rsidRPr="005E6A06">
              <w:t xml:space="preserve"> </w:t>
            </w:r>
            <w:r w:rsidRPr="005E6A06" w:rsidR="000C5E8F">
              <w:rPr>
                <w:color w:val="000000"/>
              </w:rPr>
              <w:t>D.24-12-033 (</w:t>
            </w:r>
            <w:r w:rsidRPr="005E6A06">
              <w:t>Decision</w:t>
            </w:r>
            <w:r w:rsidRPr="005E6A06" w:rsidR="000C5E8F">
              <w:t>)</w:t>
            </w:r>
            <w:r w:rsidRPr="005E6A06">
              <w:t xml:space="preserve"> at 59. </w:t>
            </w:r>
          </w:p>
          <w:p w:rsidRPr="005E6A06" w:rsidR="001D4341" w:rsidP="001D4341" w:rsidRDefault="001D4341" w14:paraId="34B5687E" w14:textId="3BC6548C">
            <w:pPr>
              <w:autoSpaceDE w:val="0"/>
              <w:autoSpaceDN w:val="0"/>
              <w:adjustRightInd w:val="0"/>
              <w:spacing w:before="120" w:after="240"/>
            </w:pPr>
            <w:r w:rsidRPr="005E6A06">
              <w:t xml:space="preserve">The Decision </w:t>
            </w:r>
            <w:r w:rsidRPr="005E6A06" w:rsidR="00EF7AF9">
              <w:t>considers party positions, including SBUA’s support for PG&amp;E’s VPF plan and the small-business allocation</w:t>
            </w:r>
            <w:r w:rsidRPr="005E6A06" w:rsidR="00FE0562">
              <w:t xml:space="preserve"> and Customer Programs Investment reallocation focus. </w:t>
            </w:r>
            <w:r w:rsidRPr="005E6A06" w:rsidR="00FE0562">
              <w:rPr>
                <w:i/>
                <w:iCs/>
              </w:rPr>
              <w:t>Id</w:t>
            </w:r>
            <w:r w:rsidRPr="005E6A06" w:rsidR="00FE0562">
              <w:t>. at 61.</w:t>
            </w:r>
          </w:p>
          <w:p w:rsidRPr="005E3B86" w:rsidR="00FE0562" w:rsidP="00FE0562" w:rsidRDefault="00D5347D" w14:paraId="546E6D7D" w14:textId="393F93C5">
            <w:pPr>
              <w:autoSpaceDE w:val="0"/>
              <w:autoSpaceDN w:val="0"/>
              <w:adjustRightInd w:val="0"/>
              <w:spacing w:before="120" w:after="240"/>
            </w:pPr>
            <w:r w:rsidRPr="005E6A06">
              <w:t>“PG&amp;E’s 2025 Volumetric Spending Plan is conditionally approved.”</w:t>
            </w:r>
            <w:r w:rsidRPr="005E6A06" w:rsidR="00266202">
              <w:t xml:space="preserve"> </w:t>
            </w:r>
            <w:r w:rsidRPr="005E6A06" w:rsidR="001D4341">
              <w:rPr>
                <w:i/>
                <w:iCs/>
              </w:rPr>
              <w:t>Id</w:t>
            </w:r>
            <w:r w:rsidRPr="005E6A06" w:rsidR="001D4341">
              <w:t>. at 67</w:t>
            </w:r>
            <w:r w:rsidRPr="005E6A06" w:rsidR="00FE0562">
              <w:t xml:space="preserve">; </w:t>
            </w:r>
            <w:r w:rsidRPr="005E6A06" w:rsidR="00FE0562">
              <w:rPr>
                <w:i/>
                <w:iCs/>
              </w:rPr>
              <w:t>see also id</w:t>
            </w:r>
            <w:r w:rsidRPr="005E6A06" w:rsidR="00FE0562">
              <w:t xml:space="preserve">. at </w:t>
            </w:r>
            <w:r w:rsidRPr="005E6A06" w:rsidR="0057166F">
              <w:t xml:space="preserve">80, </w:t>
            </w:r>
            <w:r w:rsidRPr="005E6A06" w:rsidR="00266202">
              <w:t>Finding of Fact 23</w:t>
            </w:r>
            <w:r w:rsidRPr="005E6A06" w:rsidR="0057166F">
              <w:t xml:space="preserve"> (</w:t>
            </w:r>
            <w:r w:rsidRPr="005E6A06" w:rsidR="00FE0562">
              <w:t>“PG&amp;E’s VPF spending plan provides sufficient detail showing how the</w:t>
            </w:r>
            <w:r w:rsidRPr="005E6A06" w:rsidR="0057166F">
              <w:t xml:space="preserve"> </w:t>
            </w:r>
            <w:r w:rsidRPr="005E6A06" w:rsidR="00FE0562">
              <w:t>plan is consistent with Section 712.8(s)(1) requirements, subject</w:t>
            </w:r>
            <w:r w:rsidR="00FE0562">
              <w:t xml:space="preserve"> to the compliance</w:t>
            </w:r>
            <w:r w:rsidR="0057166F">
              <w:t xml:space="preserve"> </w:t>
            </w:r>
            <w:r w:rsidR="00FE0562">
              <w:t>measures explained in the Decision.</w:t>
            </w:r>
            <w:r w:rsidR="0057166F">
              <w:t>”).</w:t>
            </w:r>
          </w:p>
        </w:tc>
        <w:tc>
          <w:tcPr>
            <w:tcW w:w="3330" w:type="dxa"/>
          </w:tcPr>
          <w:p w:rsidRPr="005E3B86" w:rsidR="0024372A" w:rsidP="002314D8" w:rsidRDefault="002658DA" w14:paraId="2B6B3D03" w14:textId="1BC91940">
            <w:pPr>
              <w:spacing w:before="120"/>
              <w:rPr>
                <w:rFonts w:asciiTheme="majorBidi" w:hAnsiTheme="majorBidi" w:cstheme="majorBidi"/>
                <w:color w:val="000000"/>
              </w:rPr>
            </w:pPr>
            <w:r>
              <w:rPr>
                <w:rFonts w:asciiTheme="majorBidi" w:hAnsiTheme="majorBidi" w:cstheme="majorBidi"/>
                <w:color w:val="000000"/>
              </w:rPr>
              <w:t>Verified</w:t>
            </w:r>
          </w:p>
        </w:tc>
      </w:tr>
      <w:tr w:rsidRPr="008936E4" w:rsidR="00B8133B" w:rsidTr="00EA1FCF" w14:paraId="18131455" w14:textId="77777777">
        <w:trPr>
          <w:trHeight w:val="710"/>
        </w:trPr>
        <w:tc>
          <w:tcPr>
            <w:tcW w:w="3330" w:type="dxa"/>
          </w:tcPr>
          <w:p w:rsidRPr="0000336C" w:rsidR="005E3B86" w:rsidP="00D5347D" w:rsidRDefault="005E3B86" w14:paraId="2F1ABCE8" w14:textId="560B86E9">
            <w:pPr>
              <w:rPr>
                <w:b/>
                <w:bCs/>
                <w:color w:val="000000"/>
              </w:rPr>
            </w:pPr>
            <w:r w:rsidRPr="00F671D3">
              <w:rPr>
                <w:b/>
                <w:bCs/>
                <w:color w:val="000000"/>
              </w:rPr>
              <w:lastRenderedPageBreak/>
              <w:t>2. Forecasted Costs and Revenue Requirement</w:t>
            </w:r>
          </w:p>
          <w:p w:rsidRPr="005E6A06" w:rsidR="00747675" w:rsidP="00747675" w:rsidRDefault="00904704" w14:paraId="1CE7F4FA" w14:textId="71B31A4E">
            <w:pPr>
              <w:snapToGrid w:val="0"/>
              <w:spacing w:before="240" w:after="120"/>
            </w:pPr>
            <w:r>
              <w:t xml:space="preserve">SBUA </w:t>
            </w:r>
            <w:r w:rsidRPr="005E6A06">
              <w:t xml:space="preserve">supported the continued operation of DCPP. </w:t>
            </w:r>
            <w:r w:rsidRPr="005E6A06">
              <w:rPr>
                <w:i/>
                <w:iCs/>
              </w:rPr>
              <w:t>See, e.g.</w:t>
            </w:r>
            <w:r w:rsidRPr="005E6A06">
              <w:t>, Rebuttal Testimony of Michael Brown on Behalf of Small Business Utility Advocate</w:t>
            </w:r>
            <w:r w:rsidRPr="005E6A06" w:rsidR="003C40C8">
              <w:t>s</w:t>
            </w:r>
            <w:r w:rsidRPr="005E6A06">
              <w:t xml:space="preserve">, Aug. 20, 2024 (Ex. SBUA-02), at 4 (keeping DCPP operational is important for California’s electric grid). However, </w:t>
            </w:r>
            <w:r w:rsidRPr="005E6A06" w:rsidR="00EF7AF9">
              <w:t xml:space="preserve">SBUA </w:t>
            </w:r>
            <w:r w:rsidRPr="005E6A06" w:rsidR="00AD02FD">
              <w:t>analyzed PG&amp;E’s forecasted costs</w:t>
            </w:r>
            <w:r w:rsidR="00AD02FD">
              <w:t xml:space="preserve"> and revenue requirements and raised </w:t>
            </w:r>
            <w:proofErr w:type="gramStart"/>
            <w:r w:rsidR="00AD02FD">
              <w:t>a number of</w:t>
            </w:r>
            <w:proofErr w:type="gramEnd"/>
            <w:r w:rsidR="00AD02FD">
              <w:t xml:space="preserve"> suggestions. SBUA pressed</w:t>
            </w:r>
            <w:r w:rsidR="00EF7AF9">
              <w:t xml:space="preserve"> for tighter justification and transparency around </w:t>
            </w:r>
            <w:r w:rsidRPr="005E6A06" w:rsidR="00EF7AF9">
              <w:t>O&amp;M forecasts, specifically questioning the $15.9 million labor-overhead forecast under Major Work Category BP and the $80 million license -renewal implementation forecast (Maintain</w:t>
            </w:r>
            <w:r w:rsidR="00EF7AF9">
              <w:t xml:space="preserve"> DCPP Plant Assets). </w:t>
            </w:r>
            <w:r w:rsidRPr="00D5347D" w:rsidR="00D5347D">
              <w:t>SBUA scrutinized PG&amp;E’s labor overhead and license-renewal forecasts as exceeding industry norms and pressed for greater detail and accountability. Opening Brief at 6</w:t>
            </w:r>
            <w:r w:rsidR="00B23933">
              <w:t>-</w:t>
            </w:r>
            <w:r w:rsidRPr="00D5347D" w:rsidR="00D5347D">
              <w:t>7</w:t>
            </w:r>
            <w:r w:rsidR="00B23933">
              <w:t xml:space="preserve">; </w:t>
            </w:r>
            <w:r w:rsidR="00E767E6">
              <w:t xml:space="preserve">Reply Brief at 3-4; </w:t>
            </w:r>
            <w:r w:rsidR="00E4021E">
              <w:t>Ex. SBUA-01</w:t>
            </w:r>
            <w:r w:rsidR="00E767E6">
              <w:t xml:space="preserve"> </w:t>
            </w:r>
            <w:r w:rsidR="00826B5E">
              <w:t xml:space="preserve">at </w:t>
            </w:r>
            <w:r w:rsidR="00B07164">
              <w:t>4-5</w:t>
            </w:r>
            <w:r w:rsidR="0070075B">
              <w:t>; Opening Comments on PD at 1-2</w:t>
            </w:r>
            <w:r w:rsidR="004C2AD1">
              <w:t xml:space="preserve">; </w:t>
            </w:r>
            <w:r w:rsidRPr="0000336C" w:rsidR="004C2AD1">
              <w:rPr>
                <w:i/>
                <w:iCs/>
              </w:rPr>
              <w:t>see also</w:t>
            </w:r>
            <w:r w:rsidR="004C2AD1">
              <w:t xml:space="preserve"> Reply Comments on PD at 1</w:t>
            </w:r>
            <w:r w:rsidRPr="00D5347D" w:rsidR="00D5347D">
              <w:t>.</w:t>
            </w:r>
            <w:r w:rsidR="00B07164">
              <w:t xml:space="preserve"> </w:t>
            </w:r>
            <w:r w:rsidR="00747675">
              <w:t>SBUA also urged t</w:t>
            </w:r>
            <w:r w:rsidRPr="005E6A06" w:rsidR="00747675">
              <w:t xml:space="preserve">he Commission to ensure transparency of all funds used by PG&amp;E from the State of California and U.S. Department of Energy for any expenses </w:t>
            </w:r>
            <w:r w:rsidRPr="005E6A06" w:rsidR="00747675">
              <w:lastRenderedPageBreak/>
              <w:t xml:space="preserve">related to operations of DCPP. </w:t>
            </w:r>
            <w:r w:rsidRPr="005E6A06" w:rsidR="00747675">
              <w:rPr>
                <w:i/>
                <w:iCs/>
              </w:rPr>
              <w:t>See, e.g.</w:t>
            </w:r>
            <w:r w:rsidRPr="005E6A06" w:rsidR="00747675">
              <w:t>, Ex. SBUA-02</w:t>
            </w:r>
            <w:r w:rsidRPr="005E6A06">
              <w:t xml:space="preserve"> </w:t>
            </w:r>
            <w:r w:rsidRPr="005E6A06" w:rsidR="00747675">
              <w:t xml:space="preserve">at 2. </w:t>
            </w:r>
          </w:p>
          <w:p w:rsidRPr="005E6A06" w:rsidR="0000336C" w:rsidP="0000336C" w:rsidRDefault="00B07164" w14:paraId="028F9663" w14:textId="698F594A">
            <w:pPr>
              <w:snapToGrid w:val="0"/>
              <w:spacing w:before="240" w:after="120"/>
            </w:pPr>
            <w:r w:rsidRPr="005E6A06">
              <w:t xml:space="preserve">SBUA addressed statutory-fee treatment, agreeing PG&amp;E’s cost-recovery request was appropriate while pressing for clearer specification of how liquidated-damages funds will be used and returned to customers. </w:t>
            </w:r>
            <w:r w:rsidRPr="005E6A06" w:rsidR="0070075B">
              <w:t xml:space="preserve">Opening Comments on PD at 3-4; </w:t>
            </w:r>
            <w:r w:rsidRPr="005E6A06" w:rsidR="004C2AD1">
              <w:t xml:space="preserve">Reply Comments on PD at 2-3; </w:t>
            </w:r>
            <w:r w:rsidRPr="005E6A06" w:rsidR="00E4021E">
              <w:t xml:space="preserve">Ex. SBUA-01 </w:t>
            </w:r>
            <w:r w:rsidRPr="005E6A06">
              <w:t>at 10-15.</w:t>
            </w:r>
            <w:r w:rsidRPr="005E6A06" w:rsidR="004C2AD1">
              <w:t xml:space="preserve"> </w:t>
            </w:r>
          </w:p>
          <w:p w:rsidRPr="005E6A06" w:rsidR="0000336C" w:rsidP="0000336C" w:rsidRDefault="004C2AD1" w14:paraId="77BE996E" w14:textId="2E1EC424">
            <w:pPr>
              <w:snapToGrid w:val="0"/>
              <w:spacing w:before="240" w:after="120"/>
            </w:pPr>
            <w:r w:rsidRPr="005E6A06">
              <w:t xml:space="preserve">SBUA opposed PG&amp;E’s proposal to include additional revenue requirements for potential tax law normalization violations. </w:t>
            </w:r>
            <w:r w:rsidRPr="005E6A06" w:rsidR="0070075B">
              <w:t xml:space="preserve">Opening Comments on </w:t>
            </w:r>
            <w:proofErr w:type="gramStart"/>
            <w:r w:rsidRPr="005E6A06" w:rsidR="0070075B">
              <w:t>PD at</w:t>
            </w:r>
            <w:proofErr w:type="gramEnd"/>
            <w:r w:rsidRPr="005E6A06" w:rsidR="0070075B">
              <w:t xml:space="preserve"> 4-6; </w:t>
            </w:r>
            <w:r w:rsidRPr="005E6A06" w:rsidR="00E4021E">
              <w:t xml:space="preserve">Ex. SBUA-01 </w:t>
            </w:r>
            <w:r w:rsidRPr="005E6A06">
              <w:t xml:space="preserve">at </w:t>
            </w:r>
            <w:r w:rsidRPr="005E6A06" w:rsidR="009535AC">
              <w:t>19-21.</w:t>
            </w:r>
            <w:r w:rsidRPr="005E6A06" w:rsidR="0000336C">
              <w:t xml:space="preserve"> </w:t>
            </w:r>
          </w:p>
          <w:p w:rsidRPr="005E3B86" w:rsidR="00D5347D" w:rsidP="000B68FF" w:rsidRDefault="0000336C" w14:paraId="67D7E1B4" w14:textId="30501FAC">
            <w:pPr>
              <w:snapToGrid w:val="0"/>
              <w:spacing w:before="240" w:after="120"/>
            </w:pPr>
            <w:r w:rsidRPr="005E6A06">
              <w:t xml:space="preserve">SBUA also opposed PG&amp;E’s attempt to recover federal and state income tax </w:t>
            </w:r>
            <w:proofErr w:type="gramStart"/>
            <w:r w:rsidRPr="005E6A06">
              <w:t>gross-ups</w:t>
            </w:r>
            <w:proofErr w:type="gramEnd"/>
            <w:r w:rsidRPr="005E6A06">
              <w:t xml:space="preserve"> on fixed management fees. SBUA argued that </w:t>
            </w:r>
            <w:r w:rsidRPr="005E6A06" w:rsidR="000B68FF">
              <w:t xml:space="preserve">management fees be treated as </w:t>
            </w:r>
            <w:proofErr w:type="gramStart"/>
            <w:r w:rsidRPr="005E6A06" w:rsidR="000B68FF">
              <w:t>pre-tax, and</w:t>
            </w:r>
            <w:proofErr w:type="gramEnd"/>
            <w:r w:rsidRPr="005E6A06" w:rsidR="000B68FF">
              <w:t xml:space="preserve"> noted that the legislature would have probably affirmatively stated if it wanted the management fees to be treated as after-tax earnings</w:t>
            </w:r>
            <w:r w:rsidRPr="005E6A06">
              <w:t>.</w:t>
            </w:r>
            <w:r w:rsidRPr="005E6A06" w:rsidR="00E4021E">
              <w:t xml:space="preserve"> Ex. SBUA-01</w:t>
            </w:r>
            <w:r w:rsidRPr="005E6A06" w:rsidR="00800BC1">
              <w:t xml:space="preserve"> </w:t>
            </w:r>
            <w:r w:rsidRPr="005E6A06" w:rsidR="000B68FF">
              <w:t>at 22-23.</w:t>
            </w:r>
          </w:p>
        </w:tc>
        <w:tc>
          <w:tcPr>
            <w:tcW w:w="3150" w:type="dxa"/>
          </w:tcPr>
          <w:p w:rsidRPr="00B975AF" w:rsidR="005E3B86" w:rsidP="005E3B86" w:rsidRDefault="00826B5E" w14:paraId="12363409" w14:textId="29A17668">
            <w:pPr>
              <w:autoSpaceDE w:val="0"/>
              <w:autoSpaceDN w:val="0"/>
              <w:adjustRightInd w:val="0"/>
              <w:spacing w:before="120" w:after="240"/>
            </w:pPr>
            <w:r w:rsidRPr="00B975AF">
              <w:lastRenderedPageBreak/>
              <w:t xml:space="preserve">The </w:t>
            </w:r>
            <w:r w:rsidRPr="00B975AF" w:rsidR="00D5347D">
              <w:t xml:space="preserve">Decision discusses SBUA’s claim that the $15.9M labor overhead under Major Work Category BP and $80M license-renewal implementation costs exceed norms; </w:t>
            </w:r>
            <w:r w:rsidRPr="00B975AF" w:rsidR="00AD02FD">
              <w:t xml:space="preserve">but </w:t>
            </w:r>
            <w:r w:rsidRPr="00B975AF" w:rsidR="00D5347D">
              <w:t xml:space="preserve">does </w:t>
            </w:r>
            <w:r w:rsidRPr="00B975AF" w:rsidR="004B00A2">
              <w:t>not find</w:t>
            </w:r>
            <w:r w:rsidRPr="00B975AF" w:rsidR="00D5347D">
              <w:t xml:space="preserve"> SBUA’s proposed reductions</w:t>
            </w:r>
            <w:r w:rsidRPr="00B975AF" w:rsidR="004B00A2">
              <w:t xml:space="preserve"> sufficiently detailed</w:t>
            </w:r>
            <w:r w:rsidRPr="00B975AF" w:rsidR="00D5347D">
              <w:t xml:space="preserve">. </w:t>
            </w:r>
            <w:r w:rsidRPr="00B975AF" w:rsidR="0000336C">
              <w:t xml:space="preserve">Decision at 20. </w:t>
            </w:r>
            <w:r w:rsidRPr="00B975AF" w:rsidR="00EF7AF9">
              <w:t xml:space="preserve">While the Commission did not adopt SBUA’s proposed reductions, it directed PG&amp;E, in its next application, to (1) provide detailed information for all projects over $1 million and (2) explain why government funding was not pursued or was unavailable, transparency measures aligned with SBUA’s </w:t>
            </w:r>
            <w:r w:rsidRPr="00B975AF" w:rsidR="00AD02FD">
              <w:t xml:space="preserve">concerns and </w:t>
            </w:r>
            <w:r w:rsidRPr="00B975AF" w:rsidR="00EF7AF9">
              <w:t>advocacy</w:t>
            </w:r>
            <w:r w:rsidRPr="00B975AF" w:rsidR="0000336C">
              <w:t xml:space="preserve">. </w:t>
            </w:r>
            <w:r w:rsidRPr="00B975AF" w:rsidR="0000336C">
              <w:rPr>
                <w:i/>
                <w:iCs/>
              </w:rPr>
              <w:t>Id</w:t>
            </w:r>
            <w:r w:rsidRPr="00B975AF" w:rsidR="0000336C">
              <w:t>. at 20.</w:t>
            </w:r>
          </w:p>
          <w:p w:rsidRPr="00B975AF" w:rsidR="000B68FF" w:rsidP="005E3B86" w:rsidRDefault="000C5E8F" w14:paraId="16A4C801" w14:textId="55967A0C">
            <w:pPr>
              <w:autoSpaceDE w:val="0"/>
              <w:autoSpaceDN w:val="0"/>
              <w:adjustRightInd w:val="0"/>
              <w:spacing w:before="120" w:after="240"/>
            </w:pPr>
            <w:r w:rsidRPr="00B975AF">
              <w:t xml:space="preserve">The Commission acknowledged SBUA’s request for specificity on </w:t>
            </w:r>
            <w:proofErr w:type="gramStart"/>
            <w:r w:rsidRPr="00B975AF">
              <w:t>liquidated-damages</w:t>
            </w:r>
            <w:proofErr w:type="gramEnd"/>
            <w:r w:rsidRPr="00B975AF">
              <w:t xml:space="preserve"> use and returns to customers but declined to delay the schedule for a supplement</w:t>
            </w:r>
            <w:r w:rsidRPr="00B975AF" w:rsidR="00AD02FD">
              <w:t xml:space="preserve"> to the Application</w:t>
            </w:r>
            <w:r w:rsidRPr="00B975AF" w:rsidR="00AA7CE1">
              <w:t>.</w:t>
            </w:r>
            <w:r w:rsidRPr="00B975AF" w:rsidR="00AA7CE1">
              <w:rPr>
                <w:b/>
                <w:bCs/>
              </w:rPr>
              <w:t xml:space="preserve"> </w:t>
            </w:r>
            <w:r w:rsidRPr="00B975AF" w:rsidR="00AA7CE1">
              <w:rPr>
                <w:i/>
                <w:iCs/>
              </w:rPr>
              <w:t>Id</w:t>
            </w:r>
            <w:r w:rsidRPr="00B975AF" w:rsidR="00AA7CE1">
              <w:t xml:space="preserve">. </w:t>
            </w:r>
            <w:proofErr w:type="gramStart"/>
            <w:r w:rsidRPr="00B975AF" w:rsidR="00AA7CE1">
              <w:t>at</w:t>
            </w:r>
            <w:proofErr w:type="gramEnd"/>
            <w:r w:rsidRPr="00B975AF" w:rsidR="00AA7CE1">
              <w:t xml:space="preserve"> 27.</w:t>
            </w:r>
          </w:p>
          <w:p w:rsidRPr="00B975AF" w:rsidR="00D5347D" w:rsidP="000B68FF" w:rsidRDefault="00AD02FD" w14:paraId="23D4A87A" w14:textId="60FB6E82">
            <w:pPr>
              <w:autoSpaceDE w:val="0"/>
              <w:autoSpaceDN w:val="0"/>
              <w:adjustRightInd w:val="0"/>
              <w:spacing w:before="120" w:after="240"/>
            </w:pPr>
            <w:r w:rsidRPr="00B975AF">
              <w:t>In accord with SBUA</w:t>
            </w:r>
            <w:r w:rsidRPr="00B975AF" w:rsidR="00135211">
              <w:t>’s positions</w:t>
            </w:r>
            <w:r w:rsidRPr="00B975AF">
              <w:t>, t</w:t>
            </w:r>
            <w:r w:rsidRPr="00B975AF" w:rsidR="00800BC1">
              <w:t xml:space="preserve">he Commission rejected PG&amp;E’s request to embed an additional revenue requirement in the Results of Operation model to address potential normalization violations and instead adopted PG&amp;E’s alternative approach: </w:t>
            </w:r>
            <w:r w:rsidRPr="00B975AF" w:rsidR="00800BC1">
              <w:lastRenderedPageBreak/>
              <w:t>record any potential deferred taxes in an SB 846 ratemaking memorandum account and seek an IRS private-letter ruling</w:t>
            </w:r>
            <w:r w:rsidRPr="00B975AF" w:rsidR="00AA7CE1">
              <w:t xml:space="preserve">. </w:t>
            </w:r>
            <w:r w:rsidRPr="00B975AF" w:rsidR="00AA7CE1">
              <w:rPr>
                <w:i/>
                <w:iCs/>
              </w:rPr>
              <w:t>Id.</w:t>
            </w:r>
            <w:r w:rsidRPr="00B975AF" w:rsidR="00AA7CE1">
              <w:t xml:space="preserve"> at 38-40.</w:t>
            </w:r>
          </w:p>
          <w:p w:rsidRPr="00B975AF" w:rsidR="00800BC1" w:rsidP="00962F67" w:rsidRDefault="00800BC1" w14:paraId="5FFA9F37" w14:textId="69FD3E7C">
            <w:pPr>
              <w:autoSpaceDE w:val="0"/>
              <w:autoSpaceDN w:val="0"/>
              <w:adjustRightInd w:val="0"/>
              <w:spacing w:before="120" w:after="120"/>
            </w:pPr>
            <w:r w:rsidRPr="00B975AF">
              <w:t xml:space="preserve">The Commission agreed with SBUA and others that there is no reason to allow a “gross up” on a fixed management fee. </w:t>
            </w:r>
            <w:r w:rsidRPr="00B975AF">
              <w:rPr>
                <w:i/>
                <w:iCs/>
              </w:rPr>
              <w:t>Id</w:t>
            </w:r>
            <w:r w:rsidRPr="00B975AF">
              <w:t>. at 40-43. (This position was also upheld on rehearing, discussed below.)</w:t>
            </w:r>
          </w:p>
        </w:tc>
        <w:tc>
          <w:tcPr>
            <w:tcW w:w="3330" w:type="dxa"/>
          </w:tcPr>
          <w:p w:rsidR="00952883" w:rsidP="00E06CBB" w:rsidRDefault="00CF1DEE" w14:paraId="0C21035A" w14:textId="1BA7BB89">
            <w:pPr>
              <w:rPr>
                <w:rFonts w:asciiTheme="majorBidi" w:hAnsiTheme="majorBidi" w:cstheme="majorBidi"/>
                <w:color w:val="000000"/>
              </w:rPr>
            </w:pPr>
            <w:r w:rsidRPr="00B975AF">
              <w:rPr>
                <w:rFonts w:asciiTheme="majorBidi" w:hAnsiTheme="majorBidi" w:cstheme="majorBidi"/>
                <w:color w:val="000000"/>
              </w:rPr>
              <w:lastRenderedPageBreak/>
              <w:t xml:space="preserve">SBUA’s support for </w:t>
            </w:r>
            <w:r w:rsidRPr="00B975AF" w:rsidR="008C410E">
              <w:rPr>
                <w:rFonts w:asciiTheme="majorBidi" w:hAnsiTheme="majorBidi" w:cstheme="majorBidi"/>
                <w:color w:val="000000"/>
              </w:rPr>
              <w:t xml:space="preserve">the continued operation of DCPP </w:t>
            </w:r>
            <w:r w:rsidRPr="00B975AF" w:rsidR="002314D8">
              <w:rPr>
                <w:rFonts w:asciiTheme="majorBidi" w:hAnsiTheme="majorBidi" w:cstheme="majorBidi"/>
                <w:color w:val="000000"/>
              </w:rPr>
              <w:t>is</w:t>
            </w:r>
            <w:r w:rsidRPr="00B975AF" w:rsidR="008C410E">
              <w:rPr>
                <w:rFonts w:asciiTheme="majorBidi" w:hAnsiTheme="majorBidi" w:cstheme="majorBidi"/>
                <w:color w:val="000000"/>
              </w:rPr>
              <w:t xml:space="preserve"> </w:t>
            </w:r>
            <w:r w:rsidR="00BF3B9B">
              <w:rPr>
                <w:rFonts w:asciiTheme="majorBidi" w:hAnsiTheme="majorBidi" w:cstheme="majorBidi"/>
                <w:color w:val="000000"/>
              </w:rPr>
              <w:t xml:space="preserve">deemed out of </w:t>
            </w:r>
            <w:r w:rsidRPr="00B975AF" w:rsidR="008C410E">
              <w:rPr>
                <w:rFonts w:asciiTheme="majorBidi" w:hAnsiTheme="majorBidi" w:cstheme="majorBidi"/>
                <w:color w:val="000000"/>
              </w:rPr>
              <w:t xml:space="preserve">scope </w:t>
            </w:r>
            <w:r w:rsidR="00952883">
              <w:rPr>
                <w:rFonts w:asciiTheme="majorBidi" w:hAnsiTheme="majorBidi" w:cstheme="majorBidi"/>
                <w:color w:val="000000"/>
              </w:rPr>
              <w:t>for</w:t>
            </w:r>
            <w:r w:rsidRPr="00B975AF" w:rsidR="008C410E">
              <w:rPr>
                <w:rFonts w:asciiTheme="majorBidi" w:hAnsiTheme="majorBidi" w:cstheme="majorBidi"/>
                <w:color w:val="000000"/>
              </w:rPr>
              <w:t xml:space="preserve"> th</w:t>
            </w:r>
            <w:r w:rsidR="00952883">
              <w:rPr>
                <w:rFonts w:asciiTheme="majorBidi" w:hAnsiTheme="majorBidi" w:cstheme="majorBidi"/>
                <w:color w:val="000000"/>
              </w:rPr>
              <w:t>is</w:t>
            </w:r>
            <w:r w:rsidRPr="00B975AF" w:rsidR="00D832E7">
              <w:rPr>
                <w:rFonts w:asciiTheme="majorBidi" w:hAnsiTheme="majorBidi" w:cstheme="majorBidi"/>
                <w:color w:val="000000"/>
              </w:rPr>
              <w:t xml:space="preserve"> </w:t>
            </w:r>
            <w:r w:rsidRPr="00B975AF" w:rsidR="008C410E">
              <w:rPr>
                <w:rFonts w:asciiTheme="majorBidi" w:hAnsiTheme="majorBidi" w:cstheme="majorBidi"/>
                <w:color w:val="000000"/>
              </w:rPr>
              <w:t>proceeding</w:t>
            </w:r>
            <w:r w:rsidRPr="00B975AF" w:rsidR="006576F1">
              <w:rPr>
                <w:rFonts w:asciiTheme="majorBidi" w:hAnsiTheme="majorBidi" w:cstheme="majorBidi"/>
                <w:color w:val="000000"/>
              </w:rPr>
              <w:t xml:space="preserve">. </w:t>
            </w:r>
            <w:r w:rsidR="00952883">
              <w:rPr>
                <w:rFonts w:asciiTheme="majorBidi" w:hAnsiTheme="majorBidi" w:cstheme="majorBidi"/>
                <w:color w:val="000000"/>
              </w:rPr>
              <w:t>Ongoing long-term system reliability needs are already considered and addressed through the</w:t>
            </w:r>
            <w:r w:rsidR="003B453D">
              <w:rPr>
                <w:rFonts w:asciiTheme="majorBidi" w:hAnsiTheme="majorBidi" w:cstheme="majorBidi"/>
                <w:color w:val="000000"/>
              </w:rPr>
              <w:t xml:space="preserve"> </w:t>
            </w:r>
            <w:r w:rsidR="00952883">
              <w:rPr>
                <w:rFonts w:asciiTheme="majorBidi" w:hAnsiTheme="majorBidi" w:cstheme="majorBidi"/>
                <w:color w:val="000000"/>
              </w:rPr>
              <w:t xml:space="preserve">Commission’s </w:t>
            </w:r>
            <w:r w:rsidRPr="006B22D9" w:rsidR="006B22D9">
              <w:rPr>
                <w:rFonts w:asciiTheme="majorBidi" w:hAnsiTheme="majorBidi" w:cstheme="majorBidi"/>
                <w:color w:val="000000"/>
              </w:rPr>
              <w:t>Integrated Resource Planning</w:t>
            </w:r>
            <w:r w:rsidR="006B22D9">
              <w:rPr>
                <w:rFonts w:asciiTheme="majorBidi" w:hAnsiTheme="majorBidi" w:cstheme="majorBidi"/>
                <w:color w:val="000000"/>
              </w:rPr>
              <w:t xml:space="preserve"> </w:t>
            </w:r>
            <w:r w:rsidR="00952883">
              <w:rPr>
                <w:rFonts w:asciiTheme="majorBidi" w:hAnsiTheme="majorBidi" w:cstheme="majorBidi"/>
                <w:color w:val="000000"/>
              </w:rPr>
              <w:t>proceeding.</w:t>
            </w:r>
            <w:r w:rsidR="00952883">
              <w:rPr>
                <w:rStyle w:val="FootnoteReference"/>
                <w:rFonts w:asciiTheme="majorBidi" w:hAnsiTheme="majorBidi" w:cstheme="majorBidi"/>
                <w:color w:val="000000"/>
              </w:rPr>
              <w:footnoteReference w:id="2"/>
            </w:r>
            <w:r w:rsidR="00AB6B1E">
              <w:rPr>
                <w:rFonts w:asciiTheme="majorBidi" w:hAnsiTheme="majorBidi" w:cstheme="majorBidi"/>
                <w:color w:val="000000"/>
              </w:rPr>
              <w:t xml:space="preserve"> </w:t>
            </w:r>
          </w:p>
          <w:p w:rsidR="00952883" w:rsidP="00E06CBB" w:rsidRDefault="00952883" w14:paraId="12580C74" w14:textId="77777777">
            <w:pPr>
              <w:rPr>
                <w:rFonts w:asciiTheme="majorBidi" w:hAnsiTheme="majorBidi" w:cstheme="majorBidi"/>
                <w:color w:val="000000"/>
              </w:rPr>
            </w:pPr>
          </w:p>
          <w:p w:rsidRPr="00B975AF" w:rsidR="00843C03" w:rsidP="00E06CBB" w:rsidRDefault="006576F1" w14:paraId="264DC20C" w14:textId="30836FB8">
            <w:pPr>
              <w:rPr>
                <w:rFonts w:asciiTheme="majorBidi" w:hAnsiTheme="majorBidi" w:cstheme="majorBidi"/>
                <w:color w:val="000000"/>
              </w:rPr>
            </w:pPr>
            <w:r w:rsidRPr="00B975AF">
              <w:rPr>
                <w:rFonts w:asciiTheme="majorBidi" w:hAnsiTheme="majorBidi" w:cstheme="majorBidi"/>
                <w:color w:val="000000"/>
              </w:rPr>
              <w:t>SBUA</w:t>
            </w:r>
            <w:r w:rsidR="00AB6B1E">
              <w:rPr>
                <w:rFonts w:asciiTheme="majorBidi" w:hAnsiTheme="majorBidi" w:cstheme="majorBidi"/>
                <w:color w:val="000000"/>
              </w:rPr>
              <w:t>’s arguments regarding</w:t>
            </w:r>
            <w:r w:rsidRPr="00B975AF">
              <w:rPr>
                <w:rFonts w:asciiTheme="majorBidi" w:hAnsiTheme="majorBidi" w:cstheme="majorBidi"/>
                <w:color w:val="000000"/>
              </w:rPr>
              <w:t xml:space="preserve"> </w:t>
            </w:r>
            <w:r w:rsidR="00AB6B1E">
              <w:rPr>
                <w:rFonts w:asciiTheme="majorBidi" w:hAnsiTheme="majorBidi" w:cstheme="majorBidi"/>
                <w:color w:val="000000"/>
              </w:rPr>
              <w:t xml:space="preserve">the projected </w:t>
            </w:r>
            <w:r w:rsidRPr="00B975AF">
              <w:rPr>
                <w:rFonts w:asciiTheme="majorBidi" w:hAnsiTheme="majorBidi" w:cstheme="majorBidi"/>
                <w:color w:val="000000"/>
              </w:rPr>
              <w:t>labor overhead</w:t>
            </w:r>
            <w:r w:rsidR="00AB6B1E">
              <w:rPr>
                <w:rFonts w:asciiTheme="majorBidi" w:hAnsiTheme="majorBidi" w:cstheme="majorBidi"/>
                <w:color w:val="000000"/>
              </w:rPr>
              <w:t xml:space="preserve"> costs</w:t>
            </w:r>
            <w:r w:rsidRPr="00B975AF">
              <w:rPr>
                <w:rFonts w:asciiTheme="majorBidi" w:hAnsiTheme="majorBidi" w:cstheme="majorBidi"/>
                <w:color w:val="000000"/>
              </w:rPr>
              <w:t xml:space="preserve"> and license renewal </w:t>
            </w:r>
            <w:r w:rsidR="00AB6B1E">
              <w:rPr>
                <w:rFonts w:asciiTheme="majorBidi" w:hAnsiTheme="majorBidi" w:cstheme="majorBidi"/>
                <w:color w:val="000000"/>
              </w:rPr>
              <w:t xml:space="preserve">implementation </w:t>
            </w:r>
            <w:r w:rsidRPr="00B975AF">
              <w:rPr>
                <w:rFonts w:asciiTheme="majorBidi" w:hAnsiTheme="majorBidi" w:cstheme="majorBidi"/>
                <w:color w:val="000000"/>
              </w:rPr>
              <w:t xml:space="preserve">forecast </w:t>
            </w:r>
            <w:r w:rsidR="006B22D9">
              <w:rPr>
                <w:rFonts w:asciiTheme="majorBidi" w:hAnsiTheme="majorBidi" w:cstheme="majorBidi"/>
                <w:color w:val="000000"/>
              </w:rPr>
              <w:t xml:space="preserve">were </w:t>
            </w:r>
            <w:r w:rsidR="00AB6B1E">
              <w:rPr>
                <w:rFonts w:asciiTheme="majorBidi" w:hAnsiTheme="majorBidi" w:cstheme="majorBidi"/>
                <w:color w:val="000000"/>
              </w:rPr>
              <w:t xml:space="preserve">not well supported and </w:t>
            </w:r>
            <w:r w:rsidR="006B22D9">
              <w:rPr>
                <w:rFonts w:asciiTheme="majorBidi" w:hAnsiTheme="majorBidi" w:cstheme="majorBidi"/>
                <w:color w:val="000000"/>
              </w:rPr>
              <w:t xml:space="preserve">did </w:t>
            </w:r>
            <w:r w:rsidRPr="00B975AF" w:rsidR="00CF1DEE">
              <w:rPr>
                <w:rFonts w:asciiTheme="majorBidi" w:hAnsiTheme="majorBidi" w:cstheme="majorBidi"/>
                <w:color w:val="000000"/>
              </w:rPr>
              <w:t>not provide sufficient details for the Commission to consider the reductions proposed</w:t>
            </w:r>
            <w:r w:rsidR="00E06CBB">
              <w:rPr>
                <w:rFonts w:asciiTheme="majorBidi" w:hAnsiTheme="majorBidi" w:cstheme="majorBidi"/>
                <w:color w:val="000000"/>
              </w:rPr>
              <w:t>.</w:t>
            </w:r>
            <w:r w:rsidRPr="00B975AF" w:rsidR="00E06CBB">
              <w:rPr>
                <w:rStyle w:val="FootnoteReference"/>
                <w:rFonts w:asciiTheme="majorBidi" w:hAnsiTheme="majorBidi" w:cstheme="majorBidi"/>
                <w:color w:val="000000"/>
              </w:rPr>
              <w:footnoteReference w:id="3"/>
            </w:r>
            <w:r w:rsidR="00E06CBB">
              <w:rPr>
                <w:rFonts w:asciiTheme="majorBidi" w:hAnsiTheme="majorBidi" w:cstheme="majorBidi"/>
                <w:color w:val="000000"/>
              </w:rPr>
              <w:t xml:space="preserve"> </w:t>
            </w:r>
            <w:r w:rsidR="0089658E">
              <w:rPr>
                <w:rFonts w:asciiTheme="majorBidi" w:hAnsiTheme="majorBidi" w:cstheme="majorBidi"/>
                <w:color w:val="000000"/>
              </w:rPr>
              <w:t xml:space="preserve">As such, </w:t>
            </w:r>
            <w:r w:rsidR="00866FCB">
              <w:rPr>
                <w:rFonts w:asciiTheme="majorBidi" w:hAnsiTheme="majorBidi" w:cstheme="majorBidi"/>
                <w:color w:val="000000"/>
              </w:rPr>
              <w:t>SBUA’s position was not adopted</w:t>
            </w:r>
            <w:r w:rsidR="00E06CBB">
              <w:rPr>
                <w:rFonts w:asciiTheme="majorBidi" w:hAnsiTheme="majorBidi" w:cstheme="majorBidi"/>
                <w:color w:val="000000"/>
              </w:rPr>
              <w:t>.</w:t>
            </w:r>
          </w:p>
          <w:p w:rsidR="00D00C93" w:rsidP="008C410E" w:rsidRDefault="007658B8" w14:paraId="02293A48" w14:textId="4AF5151E">
            <w:pPr>
              <w:spacing w:before="120"/>
              <w:rPr>
                <w:rFonts w:asciiTheme="majorBidi" w:hAnsiTheme="majorBidi" w:cstheme="majorBidi"/>
                <w:color w:val="000000"/>
              </w:rPr>
            </w:pPr>
            <w:r w:rsidRPr="00B975AF">
              <w:rPr>
                <w:rFonts w:asciiTheme="majorBidi" w:hAnsiTheme="majorBidi" w:cstheme="majorBidi"/>
                <w:color w:val="000000"/>
              </w:rPr>
              <w:t>Several parties dispute</w:t>
            </w:r>
            <w:r w:rsidR="00CF405D">
              <w:rPr>
                <w:rFonts w:asciiTheme="majorBidi" w:hAnsiTheme="majorBidi" w:cstheme="majorBidi"/>
                <w:color w:val="000000"/>
              </w:rPr>
              <w:t>d</w:t>
            </w:r>
            <w:r w:rsidRPr="00B975AF">
              <w:rPr>
                <w:rFonts w:asciiTheme="majorBidi" w:hAnsiTheme="majorBidi" w:cstheme="majorBidi"/>
                <w:color w:val="000000"/>
              </w:rPr>
              <w:t xml:space="preserve"> PG&amp;E’s </w:t>
            </w:r>
            <w:proofErr w:type="gramStart"/>
            <w:r w:rsidRPr="00B975AF">
              <w:rPr>
                <w:rFonts w:asciiTheme="majorBidi" w:hAnsiTheme="majorBidi" w:cstheme="majorBidi"/>
                <w:color w:val="000000"/>
              </w:rPr>
              <w:t>forecasted</w:t>
            </w:r>
            <w:proofErr w:type="gramEnd"/>
            <w:r w:rsidRPr="00B975AF">
              <w:rPr>
                <w:rFonts w:asciiTheme="majorBidi" w:hAnsiTheme="majorBidi" w:cstheme="majorBidi"/>
                <w:color w:val="000000"/>
              </w:rPr>
              <w:t xml:space="preserve"> O&amp;M cost components</w:t>
            </w:r>
            <w:r w:rsidR="00AD702B">
              <w:rPr>
                <w:rFonts w:asciiTheme="majorBidi" w:hAnsiTheme="majorBidi" w:cstheme="majorBidi"/>
                <w:color w:val="000000"/>
              </w:rPr>
              <w:t>, and the</w:t>
            </w:r>
            <w:r w:rsidRPr="00B975AF" w:rsidR="0002357B">
              <w:rPr>
                <w:rFonts w:asciiTheme="majorBidi" w:hAnsiTheme="majorBidi" w:cstheme="majorBidi"/>
                <w:color w:val="000000"/>
              </w:rPr>
              <w:t xml:space="preserve"> Commission directive for PG&amp;E to provide detailed </w:t>
            </w:r>
            <w:r w:rsidRPr="00AD702B" w:rsidR="0002357B">
              <w:rPr>
                <w:rFonts w:asciiTheme="majorBidi" w:hAnsiTheme="majorBidi" w:cstheme="majorBidi"/>
                <w:color w:val="000000"/>
              </w:rPr>
              <w:t xml:space="preserve">information for </w:t>
            </w:r>
            <w:r w:rsidRPr="00AD702B" w:rsidR="00F06389">
              <w:rPr>
                <w:rFonts w:asciiTheme="majorBidi" w:hAnsiTheme="majorBidi" w:cstheme="majorBidi"/>
                <w:color w:val="000000"/>
              </w:rPr>
              <w:t>projects</w:t>
            </w:r>
            <w:r w:rsidRPr="00AD702B" w:rsidR="0002357B">
              <w:rPr>
                <w:rFonts w:asciiTheme="majorBidi" w:hAnsiTheme="majorBidi" w:cstheme="majorBidi"/>
                <w:color w:val="000000"/>
              </w:rPr>
              <w:t xml:space="preserve"> over </w:t>
            </w:r>
            <w:r w:rsidRPr="0053313F" w:rsidR="0002357B">
              <w:rPr>
                <w:rFonts w:asciiTheme="majorBidi" w:hAnsiTheme="majorBidi" w:cstheme="majorBidi"/>
                <w:color w:val="000000"/>
              </w:rPr>
              <w:t>$1 Million</w:t>
            </w:r>
            <w:r w:rsidR="00B56A75">
              <w:rPr>
                <w:rFonts w:asciiTheme="majorBidi" w:hAnsiTheme="majorBidi" w:cstheme="majorBidi"/>
                <w:color w:val="000000"/>
              </w:rPr>
              <w:t>,</w:t>
            </w:r>
            <w:r w:rsidRPr="00AD702B" w:rsidR="0002357B">
              <w:rPr>
                <w:rFonts w:asciiTheme="majorBidi" w:hAnsiTheme="majorBidi" w:cstheme="majorBidi"/>
                <w:color w:val="000000"/>
              </w:rPr>
              <w:t xml:space="preserve"> was in response to Cal Advocates’ arguments.</w:t>
            </w:r>
            <w:r w:rsidRPr="00AD702B" w:rsidR="0002357B">
              <w:rPr>
                <w:rStyle w:val="FootnoteReference"/>
                <w:rFonts w:asciiTheme="majorBidi" w:hAnsiTheme="majorBidi" w:cstheme="majorBidi"/>
                <w:color w:val="000000"/>
              </w:rPr>
              <w:footnoteReference w:id="4"/>
            </w:r>
            <w:r w:rsidRPr="00AD702B" w:rsidR="003E65EA">
              <w:rPr>
                <w:rFonts w:asciiTheme="majorBidi" w:hAnsiTheme="majorBidi" w:cstheme="majorBidi"/>
                <w:color w:val="000000"/>
              </w:rPr>
              <w:t xml:space="preserve"> </w:t>
            </w:r>
          </w:p>
          <w:p w:rsidRPr="003B453D" w:rsidR="008C410E" w:rsidP="008C410E" w:rsidRDefault="00D00C93" w14:paraId="67F26034" w14:textId="2948FC51">
            <w:pPr>
              <w:spacing w:before="120"/>
            </w:pPr>
            <w:r>
              <w:rPr>
                <w:rFonts w:asciiTheme="majorBidi" w:hAnsiTheme="majorBidi" w:cstheme="majorBidi"/>
                <w:color w:val="000000"/>
              </w:rPr>
              <w:t>In addition, several parties argued the</w:t>
            </w:r>
            <w:r w:rsidR="00CF405D">
              <w:rPr>
                <w:rFonts w:asciiTheme="majorBidi" w:hAnsiTheme="majorBidi" w:cstheme="majorBidi"/>
                <w:color w:val="000000"/>
              </w:rPr>
              <w:t xml:space="preserve"> cost components </w:t>
            </w:r>
            <w:r>
              <w:rPr>
                <w:rFonts w:asciiTheme="majorBidi" w:hAnsiTheme="majorBidi" w:cstheme="majorBidi"/>
                <w:color w:val="000000"/>
              </w:rPr>
              <w:t xml:space="preserve">should not be recovered from ratepayers and should instead be covered by government funding. </w:t>
            </w:r>
            <w:r w:rsidR="0092045E">
              <w:rPr>
                <w:rFonts w:asciiTheme="majorBidi" w:hAnsiTheme="majorBidi" w:cstheme="majorBidi"/>
                <w:color w:val="000000"/>
              </w:rPr>
              <w:t>In D.24-12-033, t</w:t>
            </w:r>
            <w:r>
              <w:rPr>
                <w:rFonts w:asciiTheme="majorBidi" w:hAnsiTheme="majorBidi" w:cstheme="majorBidi"/>
                <w:color w:val="000000"/>
              </w:rPr>
              <w:t xml:space="preserve">he Commission </w:t>
            </w:r>
            <w:r w:rsidR="006B22D9">
              <w:rPr>
                <w:rFonts w:asciiTheme="majorBidi" w:hAnsiTheme="majorBidi" w:cstheme="majorBidi"/>
                <w:color w:val="000000"/>
              </w:rPr>
              <w:t xml:space="preserve">found </w:t>
            </w:r>
            <w:r>
              <w:rPr>
                <w:rFonts w:asciiTheme="majorBidi" w:hAnsiTheme="majorBidi" w:cstheme="majorBidi"/>
                <w:color w:val="000000"/>
              </w:rPr>
              <w:t xml:space="preserve">that PG&amp;E’s approach is consistent with the intent of SB 846 and compliant with Commission </w:t>
            </w:r>
            <w:r w:rsidR="00B56A75">
              <w:rPr>
                <w:rFonts w:asciiTheme="majorBidi" w:hAnsiTheme="majorBidi" w:cstheme="majorBidi"/>
                <w:color w:val="000000"/>
              </w:rPr>
              <w:t>decisions but</w:t>
            </w:r>
            <w:r>
              <w:rPr>
                <w:rFonts w:asciiTheme="majorBidi" w:hAnsiTheme="majorBidi" w:cstheme="majorBidi"/>
                <w:color w:val="000000"/>
              </w:rPr>
              <w:t xml:space="preserve"> agree</w:t>
            </w:r>
            <w:r w:rsidR="006B22D9">
              <w:rPr>
                <w:rFonts w:asciiTheme="majorBidi" w:hAnsiTheme="majorBidi" w:cstheme="majorBidi"/>
                <w:color w:val="000000"/>
              </w:rPr>
              <w:t>d</w:t>
            </w:r>
            <w:r>
              <w:rPr>
                <w:rFonts w:asciiTheme="majorBidi" w:hAnsiTheme="majorBidi" w:cstheme="majorBidi"/>
                <w:color w:val="000000"/>
              </w:rPr>
              <w:t xml:space="preserve"> that PG&amp;E should attempt to recover the </w:t>
            </w:r>
            <w:r>
              <w:rPr>
                <w:rFonts w:asciiTheme="majorBidi" w:hAnsiTheme="majorBidi" w:cstheme="majorBidi"/>
                <w:color w:val="000000"/>
              </w:rPr>
              <w:lastRenderedPageBreak/>
              <w:t>transition and extended operations costs using government funding in its next application as directed in D.22-12-005.</w:t>
            </w:r>
            <w:r>
              <w:rPr>
                <w:rStyle w:val="FootnoteReference"/>
                <w:rFonts w:asciiTheme="majorBidi" w:hAnsiTheme="majorBidi" w:cstheme="majorBidi"/>
                <w:color w:val="000000"/>
              </w:rPr>
              <w:footnoteReference w:id="5"/>
            </w:r>
            <w:r>
              <w:rPr>
                <w:rFonts w:asciiTheme="majorBidi" w:hAnsiTheme="majorBidi" w:cstheme="majorBidi"/>
                <w:color w:val="000000"/>
              </w:rPr>
              <w:t xml:space="preserve"> The Commission </w:t>
            </w:r>
            <w:r w:rsidR="006B22D9">
              <w:rPr>
                <w:rFonts w:asciiTheme="majorBidi" w:hAnsiTheme="majorBidi" w:cstheme="majorBidi"/>
                <w:color w:val="000000"/>
              </w:rPr>
              <w:t xml:space="preserve">acknowledged </w:t>
            </w:r>
            <w:r>
              <w:rPr>
                <w:rFonts w:asciiTheme="majorBidi" w:hAnsiTheme="majorBidi" w:cstheme="majorBidi"/>
                <w:color w:val="000000"/>
              </w:rPr>
              <w:t>A</w:t>
            </w:r>
            <w:r w:rsidR="006B22D9">
              <w:rPr>
                <w:rFonts w:asciiTheme="majorBidi" w:hAnsiTheme="majorBidi" w:cstheme="majorBidi"/>
                <w:color w:val="000000"/>
              </w:rPr>
              <w:t xml:space="preserve">lliance for Nuclear </w:t>
            </w:r>
            <w:r>
              <w:rPr>
                <w:rFonts w:asciiTheme="majorBidi" w:hAnsiTheme="majorBidi" w:cstheme="majorBidi"/>
                <w:color w:val="000000"/>
              </w:rPr>
              <w:t>R</w:t>
            </w:r>
            <w:r w:rsidR="006B22D9">
              <w:rPr>
                <w:rFonts w:asciiTheme="majorBidi" w:hAnsiTheme="majorBidi" w:cstheme="majorBidi"/>
                <w:color w:val="000000"/>
              </w:rPr>
              <w:t>esponsibility</w:t>
            </w:r>
            <w:r>
              <w:rPr>
                <w:rFonts w:asciiTheme="majorBidi" w:hAnsiTheme="majorBidi" w:cstheme="majorBidi"/>
                <w:color w:val="000000"/>
              </w:rPr>
              <w:t>’s</w:t>
            </w:r>
            <w:r w:rsidR="006B22D9">
              <w:rPr>
                <w:rFonts w:asciiTheme="majorBidi" w:hAnsiTheme="majorBidi" w:cstheme="majorBidi"/>
                <w:color w:val="000000"/>
              </w:rPr>
              <w:t xml:space="preserve"> (A4NR)</w:t>
            </w:r>
            <w:r>
              <w:rPr>
                <w:rFonts w:asciiTheme="majorBidi" w:hAnsiTheme="majorBidi" w:cstheme="majorBidi"/>
                <w:color w:val="000000"/>
              </w:rPr>
              <w:t xml:space="preserve"> interpretations of ‘preparatory costs for extended operations’ as overly broad and </w:t>
            </w:r>
            <w:proofErr w:type="spellStart"/>
            <w:r w:rsidRPr="006B22D9" w:rsidR="006B22D9">
              <w:rPr>
                <w:rFonts w:asciiTheme="majorBidi" w:hAnsiTheme="majorBidi" w:cstheme="majorBidi"/>
                <w:color w:val="000000"/>
              </w:rPr>
              <w:t>CAlifornians</w:t>
            </w:r>
            <w:proofErr w:type="spellEnd"/>
            <w:r w:rsidRPr="006B22D9" w:rsidR="006B22D9">
              <w:rPr>
                <w:rFonts w:asciiTheme="majorBidi" w:hAnsiTheme="majorBidi" w:cstheme="majorBidi"/>
                <w:color w:val="000000"/>
              </w:rPr>
              <w:t xml:space="preserve"> for Renewable Energy, Inc.</w:t>
            </w:r>
            <w:r w:rsidR="006B22D9">
              <w:rPr>
                <w:rFonts w:asciiTheme="majorBidi" w:hAnsiTheme="majorBidi" w:cstheme="majorBidi"/>
                <w:color w:val="000000"/>
              </w:rPr>
              <w:t>’s</w:t>
            </w:r>
            <w:r>
              <w:rPr>
                <w:rFonts w:asciiTheme="majorBidi" w:hAnsiTheme="majorBidi" w:cstheme="majorBidi"/>
                <w:color w:val="000000"/>
              </w:rPr>
              <w:t xml:space="preserve"> argument that PG&amp;E is attempting to cost-shift O&amp;M expenses onto ratepayers, however, the Commission d</w:t>
            </w:r>
            <w:r w:rsidR="006B22D9">
              <w:rPr>
                <w:rFonts w:asciiTheme="majorBidi" w:hAnsiTheme="majorBidi" w:cstheme="majorBidi"/>
                <w:color w:val="000000"/>
              </w:rPr>
              <w:t>id</w:t>
            </w:r>
            <w:r>
              <w:rPr>
                <w:rFonts w:asciiTheme="majorBidi" w:hAnsiTheme="majorBidi" w:cstheme="majorBidi"/>
                <w:color w:val="000000"/>
              </w:rPr>
              <w:t xml:space="preserve"> not mention SBUA’s concerns or advocacy regarding government funding. </w:t>
            </w:r>
            <w:r w:rsidR="00952883">
              <w:rPr>
                <w:rFonts w:asciiTheme="majorBidi" w:hAnsiTheme="majorBidi" w:cstheme="majorBidi"/>
                <w:color w:val="000000"/>
              </w:rPr>
              <w:t xml:space="preserve">SBUA’s input on these issues had minimal influence on the decision-making process. </w:t>
            </w:r>
            <w:r w:rsidRPr="00FC39DF" w:rsidR="00453FC9">
              <w:rPr>
                <w:bCs/>
                <w:color w:val="000000"/>
              </w:rPr>
              <w:t>Merely supporting the positions of other parties</w:t>
            </w:r>
            <w:r w:rsidR="00453FC9">
              <w:rPr>
                <w:bCs/>
                <w:color w:val="000000"/>
              </w:rPr>
              <w:t xml:space="preserve"> </w:t>
            </w:r>
            <w:r w:rsidRPr="00FC39DF" w:rsidR="00453FC9">
              <w:rPr>
                <w:bCs/>
                <w:color w:val="000000"/>
              </w:rPr>
              <w:t>without offering additional analysis, a distinct perspective, or unique factual or legal contribution</w:t>
            </w:r>
            <w:r w:rsidR="00453FC9">
              <w:rPr>
                <w:bCs/>
                <w:color w:val="000000"/>
              </w:rPr>
              <w:t xml:space="preserve">, </w:t>
            </w:r>
            <w:r w:rsidRPr="00FC39DF" w:rsidR="00453FC9">
              <w:rPr>
                <w:bCs/>
                <w:color w:val="000000"/>
              </w:rPr>
              <w:t xml:space="preserve">does not constitute a significant contribution. </w:t>
            </w:r>
          </w:p>
          <w:p w:rsidRPr="00B975AF" w:rsidR="00843C03" w:rsidP="008C410E" w:rsidRDefault="000C4189" w14:paraId="58BBDC42" w14:textId="46974FAD">
            <w:pPr>
              <w:spacing w:before="120"/>
              <w:rPr>
                <w:rFonts w:asciiTheme="majorBidi" w:hAnsiTheme="majorBidi" w:cstheme="majorBidi"/>
                <w:color w:val="000000"/>
              </w:rPr>
            </w:pPr>
            <w:r w:rsidRPr="00B975AF">
              <w:rPr>
                <w:rFonts w:asciiTheme="majorBidi" w:hAnsiTheme="majorBidi" w:cstheme="majorBidi"/>
                <w:color w:val="000000"/>
              </w:rPr>
              <w:t xml:space="preserve">As indicated, </w:t>
            </w:r>
            <w:r w:rsidRPr="00B975AF" w:rsidR="00007239">
              <w:rPr>
                <w:rFonts w:asciiTheme="majorBidi" w:hAnsiTheme="majorBidi" w:cstheme="majorBidi"/>
                <w:color w:val="000000"/>
              </w:rPr>
              <w:t xml:space="preserve">SBUA requested that PG&amp;E be required to supplement its </w:t>
            </w:r>
            <w:r w:rsidRPr="00465636" w:rsidR="00007239">
              <w:rPr>
                <w:rFonts w:asciiTheme="majorBidi" w:hAnsiTheme="majorBidi" w:cstheme="majorBidi"/>
                <w:color w:val="000000"/>
              </w:rPr>
              <w:t>testimony or file a new application to specify how liquidated damage funds will be used and returned to customers. The Commission</w:t>
            </w:r>
            <w:r w:rsidRPr="00B975AF" w:rsidR="00007239">
              <w:rPr>
                <w:rFonts w:asciiTheme="majorBidi" w:hAnsiTheme="majorBidi" w:cstheme="majorBidi"/>
                <w:color w:val="000000"/>
              </w:rPr>
              <w:t xml:space="preserve"> did not think it </w:t>
            </w:r>
            <w:r w:rsidR="002E0406">
              <w:rPr>
                <w:rFonts w:asciiTheme="majorBidi" w:hAnsiTheme="majorBidi" w:cstheme="majorBidi"/>
                <w:color w:val="000000"/>
              </w:rPr>
              <w:t xml:space="preserve">was </w:t>
            </w:r>
            <w:r w:rsidRPr="00465636" w:rsidR="00007239">
              <w:rPr>
                <w:rFonts w:asciiTheme="majorBidi" w:hAnsiTheme="majorBidi" w:cstheme="majorBidi"/>
                <w:color w:val="000000"/>
              </w:rPr>
              <w:t>appropriate to delay the proceeding schedule</w:t>
            </w:r>
            <w:r w:rsidR="0089658E">
              <w:rPr>
                <w:rFonts w:asciiTheme="majorBidi" w:hAnsiTheme="majorBidi" w:cstheme="majorBidi"/>
                <w:color w:val="000000"/>
              </w:rPr>
              <w:t>.</w:t>
            </w:r>
            <w:r w:rsidRPr="00465636" w:rsidR="0089658E">
              <w:rPr>
                <w:rStyle w:val="FootnoteReference"/>
                <w:rFonts w:asciiTheme="majorBidi" w:hAnsiTheme="majorBidi" w:cstheme="majorBidi"/>
                <w:color w:val="000000"/>
              </w:rPr>
              <w:footnoteReference w:id="6"/>
            </w:r>
            <w:r w:rsidR="0089658E">
              <w:rPr>
                <w:rFonts w:asciiTheme="majorBidi" w:hAnsiTheme="majorBidi" w:cstheme="majorBidi"/>
                <w:color w:val="000000"/>
              </w:rPr>
              <w:t xml:space="preserve">  As such</w:t>
            </w:r>
            <w:r w:rsidRPr="00465636">
              <w:rPr>
                <w:rFonts w:asciiTheme="majorBidi" w:hAnsiTheme="majorBidi" w:cstheme="majorBidi"/>
                <w:color w:val="000000"/>
              </w:rPr>
              <w:t xml:space="preserve">, </w:t>
            </w:r>
            <w:r w:rsidRPr="00465636" w:rsidR="00465636">
              <w:rPr>
                <w:rFonts w:asciiTheme="majorBidi" w:hAnsiTheme="majorBidi" w:cstheme="majorBidi"/>
                <w:color w:val="000000"/>
              </w:rPr>
              <w:t>SBUA’s position was not adopted</w:t>
            </w:r>
            <w:r w:rsidR="00AD583F">
              <w:rPr>
                <w:rFonts w:asciiTheme="majorBidi" w:hAnsiTheme="majorBidi" w:cstheme="majorBidi"/>
                <w:color w:val="000000"/>
              </w:rPr>
              <w:t xml:space="preserve">. We find that </w:t>
            </w:r>
            <w:r w:rsidR="003B453D">
              <w:rPr>
                <w:rFonts w:asciiTheme="majorBidi" w:hAnsiTheme="majorBidi" w:cstheme="majorBidi"/>
                <w:color w:val="000000"/>
              </w:rPr>
              <w:t xml:space="preserve">SBUA’s input on these issues had minimal influence on the decision-making </w:t>
            </w:r>
            <w:r w:rsidR="00A0185F">
              <w:rPr>
                <w:rFonts w:asciiTheme="majorBidi" w:hAnsiTheme="majorBidi" w:cstheme="majorBidi"/>
                <w:color w:val="000000"/>
              </w:rPr>
              <w:t>process.</w:t>
            </w:r>
          </w:p>
          <w:p w:rsidRPr="00B975AF" w:rsidR="00843C03" w:rsidP="008C410E" w:rsidRDefault="00843C03" w14:paraId="27F1C956" w14:textId="70047D20">
            <w:pPr>
              <w:spacing w:before="120"/>
              <w:rPr>
                <w:rFonts w:asciiTheme="majorBidi" w:hAnsiTheme="majorBidi" w:cstheme="majorBidi"/>
                <w:color w:val="000000"/>
              </w:rPr>
            </w:pPr>
            <w:r w:rsidRPr="00B975AF">
              <w:rPr>
                <w:rFonts w:asciiTheme="majorBidi" w:hAnsiTheme="majorBidi" w:cstheme="majorBidi"/>
                <w:color w:val="000000"/>
              </w:rPr>
              <w:lastRenderedPageBreak/>
              <w:t xml:space="preserve">SBUA opposed </w:t>
            </w:r>
            <w:r w:rsidRPr="00B975AF" w:rsidR="000C4189">
              <w:rPr>
                <w:rFonts w:asciiTheme="majorBidi" w:hAnsiTheme="majorBidi" w:cstheme="majorBidi"/>
                <w:color w:val="000000"/>
              </w:rPr>
              <w:t xml:space="preserve">PG&amp;E’s proposal to include an additional revenue requirement in the RO Model to mitigate for the </w:t>
            </w:r>
            <w:r w:rsidRPr="00B975AF">
              <w:rPr>
                <w:rFonts w:asciiTheme="majorBidi" w:hAnsiTheme="majorBidi" w:cstheme="majorBidi"/>
                <w:color w:val="000000"/>
              </w:rPr>
              <w:t xml:space="preserve">potential </w:t>
            </w:r>
            <w:r w:rsidR="006B22D9">
              <w:rPr>
                <w:rFonts w:asciiTheme="majorBidi" w:hAnsiTheme="majorBidi" w:cstheme="majorBidi"/>
                <w:color w:val="000000"/>
              </w:rPr>
              <w:t>n</w:t>
            </w:r>
            <w:r w:rsidRPr="00B975AF">
              <w:rPr>
                <w:rFonts w:asciiTheme="majorBidi" w:hAnsiTheme="majorBidi" w:cstheme="majorBidi"/>
                <w:color w:val="000000"/>
              </w:rPr>
              <w:t>ormalization</w:t>
            </w:r>
            <w:r w:rsidRPr="00B975AF" w:rsidR="000C4189">
              <w:rPr>
                <w:rFonts w:asciiTheme="majorBidi" w:hAnsiTheme="majorBidi" w:cstheme="majorBidi"/>
                <w:color w:val="000000"/>
              </w:rPr>
              <w:t xml:space="preserve"> violation but</w:t>
            </w:r>
            <w:r w:rsidRPr="00B975AF">
              <w:rPr>
                <w:rFonts w:asciiTheme="majorBidi" w:hAnsiTheme="majorBidi" w:cstheme="majorBidi"/>
                <w:color w:val="000000"/>
              </w:rPr>
              <w:t xml:space="preserve"> did not provide a solution.</w:t>
            </w:r>
            <w:r w:rsidRPr="00B975AF" w:rsidR="00C13B27">
              <w:rPr>
                <w:rStyle w:val="FootnoteReference"/>
                <w:rFonts w:asciiTheme="majorBidi" w:hAnsiTheme="majorBidi" w:cstheme="majorBidi"/>
                <w:color w:val="000000"/>
              </w:rPr>
              <w:footnoteReference w:id="7"/>
            </w:r>
            <w:r w:rsidRPr="00B975AF">
              <w:rPr>
                <w:rFonts w:asciiTheme="majorBidi" w:hAnsiTheme="majorBidi" w:cstheme="majorBidi"/>
                <w:color w:val="000000"/>
              </w:rPr>
              <w:t xml:space="preserve"> The decision to approve PG&amp;E’</w:t>
            </w:r>
            <w:r w:rsidRPr="00B975AF" w:rsidR="00B8133B">
              <w:rPr>
                <w:rFonts w:asciiTheme="majorBidi" w:hAnsiTheme="majorBidi" w:cstheme="majorBidi"/>
                <w:color w:val="000000"/>
              </w:rPr>
              <w:t>s</w:t>
            </w:r>
            <w:r w:rsidRPr="00B975AF">
              <w:rPr>
                <w:rFonts w:asciiTheme="majorBidi" w:hAnsiTheme="majorBidi" w:cstheme="majorBidi"/>
                <w:color w:val="000000"/>
              </w:rPr>
              <w:t xml:space="preserve"> alternate proposal was </w:t>
            </w:r>
            <w:r w:rsidRPr="00B975AF" w:rsidR="000C4189">
              <w:rPr>
                <w:rFonts w:asciiTheme="majorBidi" w:hAnsiTheme="majorBidi" w:cstheme="majorBidi"/>
                <w:color w:val="000000"/>
              </w:rPr>
              <w:t>based on T</w:t>
            </w:r>
            <w:r w:rsidR="006B22D9">
              <w:rPr>
                <w:rFonts w:asciiTheme="majorBidi" w:hAnsiTheme="majorBidi" w:cstheme="majorBidi"/>
                <w:color w:val="000000"/>
              </w:rPr>
              <w:t xml:space="preserve">he Utility </w:t>
            </w:r>
            <w:r w:rsidRPr="00B975AF" w:rsidR="000C4189">
              <w:rPr>
                <w:rFonts w:asciiTheme="majorBidi" w:hAnsiTheme="majorBidi" w:cstheme="majorBidi"/>
                <w:color w:val="000000"/>
              </w:rPr>
              <w:t>R</w:t>
            </w:r>
            <w:r w:rsidR="006B22D9">
              <w:rPr>
                <w:rFonts w:asciiTheme="majorBidi" w:hAnsiTheme="majorBidi" w:cstheme="majorBidi"/>
                <w:color w:val="000000"/>
              </w:rPr>
              <w:t xml:space="preserve">eform </w:t>
            </w:r>
            <w:r w:rsidRPr="00B975AF" w:rsidR="000C4189">
              <w:rPr>
                <w:rFonts w:asciiTheme="majorBidi" w:hAnsiTheme="majorBidi" w:cstheme="majorBidi"/>
                <w:color w:val="000000"/>
              </w:rPr>
              <w:t>N</w:t>
            </w:r>
            <w:r w:rsidR="006B22D9">
              <w:rPr>
                <w:rFonts w:asciiTheme="majorBidi" w:hAnsiTheme="majorBidi" w:cstheme="majorBidi"/>
                <w:color w:val="000000"/>
              </w:rPr>
              <w:t>etwork</w:t>
            </w:r>
            <w:r w:rsidRPr="00B975AF" w:rsidR="000C4189">
              <w:rPr>
                <w:rFonts w:asciiTheme="majorBidi" w:hAnsiTheme="majorBidi" w:cstheme="majorBidi"/>
                <w:color w:val="000000"/>
              </w:rPr>
              <w:t>’s</w:t>
            </w:r>
            <w:r w:rsidR="006B22D9">
              <w:rPr>
                <w:rFonts w:asciiTheme="majorBidi" w:hAnsiTheme="majorBidi" w:cstheme="majorBidi"/>
                <w:color w:val="000000"/>
              </w:rPr>
              <w:t xml:space="preserve"> (TURN)</w:t>
            </w:r>
            <w:r w:rsidRPr="00B975AF" w:rsidR="000C4189">
              <w:rPr>
                <w:rFonts w:asciiTheme="majorBidi" w:hAnsiTheme="majorBidi" w:cstheme="majorBidi"/>
                <w:color w:val="000000"/>
              </w:rPr>
              <w:t xml:space="preserve"> testimony</w:t>
            </w:r>
            <w:r w:rsidRPr="00B975AF" w:rsidR="00F365C0">
              <w:rPr>
                <w:rFonts w:asciiTheme="majorBidi" w:hAnsiTheme="majorBidi" w:cstheme="majorBidi"/>
                <w:color w:val="000000"/>
              </w:rPr>
              <w:t>,</w:t>
            </w:r>
            <w:r w:rsidRPr="00B975AF" w:rsidR="00C13B27">
              <w:rPr>
                <w:rStyle w:val="FootnoteReference"/>
                <w:rFonts w:asciiTheme="majorBidi" w:hAnsiTheme="majorBidi" w:cstheme="majorBidi"/>
                <w:color w:val="000000"/>
              </w:rPr>
              <w:footnoteReference w:id="8"/>
            </w:r>
            <w:r w:rsidRPr="00B975AF" w:rsidR="000C4189">
              <w:rPr>
                <w:rFonts w:asciiTheme="majorBidi" w:hAnsiTheme="majorBidi" w:cstheme="majorBidi"/>
                <w:color w:val="000000"/>
              </w:rPr>
              <w:t xml:space="preserve"> not SBUA’s proposal</w:t>
            </w:r>
            <w:r w:rsidRPr="00B975AF" w:rsidR="00B8133B">
              <w:rPr>
                <w:rFonts w:asciiTheme="majorBidi" w:hAnsiTheme="majorBidi" w:cstheme="majorBidi"/>
                <w:color w:val="000000"/>
              </w:rPr>
              <w:t xml:space="preserve">, </w:t>
            </w:r>
            <w:r w:rsidR="003B453D">
              <w:rPr>
                <w:rFonts w:asciiTheme="majorBidi" w:hAnsiTheme="majorBidi" w:cstheme="majorBidi"/>
                <w:color w:val="000000"/>
              </w:rPr>
              <w:t>and we find that</w:t>
            </w:r>
            <w:r w:rsidR="00C91E2B">
              <w:rPr>
                <w:rFonts w:asciiTheme="majorBidi" w:hAnsiTheme="majorBidi" w:cstheme="majorBidi"/>
                <w:color w:val="000000"/>
              </w:rPr>
              <w:t xml:space="preserve"> </w:t>
            </w:r>
            <w:r w:rsidR="003B453D">
              <w:rPr>
                <w:rFonts w:asciiTheme="majorBidi" w:hAnsiTheme="majorBidi" w:cstheme="majorBidi"/>
                <w:color w:val="000000"/>
              </w:rPr>
              <w:t xml:space="preserve">SBUA’s input on these issues had minimal influence on the decision-making process. </w:t>
            </w:r>
            <w:r w:rsidR="00B01B43">
              <w:rPr>
                <w:rFonts w:asciiTheme="majorBidi" w:hAnsiTheme="majorBidi" w:cstheme="majorBidi"/>
                <w:color w:val="000000"/>
              </w:rPr>
              <w:t xml:space="preserve">As such, </w:t>
            </w:r>
            <w:r w:rsidRPr="00B975AF" w:rsidR="00B8133B">
              <w:rPr>
                <w:rFonts w:asciiTheme="majorBidi" w:hAnsiTheme="majorBidi" w:cstheme="majorBidi"/>
                <w:color w:val="000000"/>
              </w:rPr>
              <w:t>SBUA did not provide a unique position</w:t>
            </w:r>
            <w:r w:rsidR="00C91E2B">
              <w:rPr>
                <w:rFonts w:asciiTheme="majorBidi" w:hAnsiTheme="majorBidi" w:cstheme="majorBidi"/>
                <w:color w:val="000000"/>
              </w:rPr>
              <w:t xml:space="preserve"> that substantially contributed to the decision-making process</w:t>
            </w:r>
            <w:r w:rsidRPr="00B975AF" w:rsidR="00B8133B">
              <w:rPr>
                <w:rFonts w:asciiTheme="majorBidi" w:hAnsiTheme="majorBidi" w:cstheme="majorBidi"/>
                <w:color w:val="000000"/>
              </w:rPr>
              <w:t>.</w:t>
            </w:r>
            <w:r w:rsidR="00AD702B">
              <w:rPr>
                <w:rFonts w:asciiTheme="majorBidi" w:hAnsiTheme="majorBidi" w:cstheme="majorBidi"/>
                <w:color w:val="000000"/>
              </w:rPr>
              <w:t xml:space="preserve"> </w:t>
            </w:r>
          </w:p>
          <w:p w:rsidR="003B453D" w:rsidP="00AD583F" w:rsidRDefault="003B453D" w14:paraId="77918108" w14:textId="77777777">
            <w:pPr>
              <w:tabs>
                <w:tab w:val="left" w:pos="1440"/>
              </w:tabs>
              <w:rPr>
                <w:rFonts w:asciiTheme="majorBidi" w:hAnsiTheme="majorBidi" w:cstheme="majorBidi"/>
                <w:color w:val="000000"/>
              </w:rPr>
            </w:pPr>
          </w:p>
          <w:p w:rsidR="001E4097" w:rsidP="00AD583F" w:rsidRDefault="00765C7A" w14:paraId="3CD9ACBE" w14:textId="006B38FB">
            <w:pPr>
              <w:tabs>
                <w:tab w:val="left" w:pos="1440"/>
              </w:tabs>
              <w:rPr>
                <w:bCs/>
                <w:color w:val="000000"/>
              </w:rPr>
            </w:pPr>
            <w:r w:rsidRPr="00C91E2B">
              <w:rPr>
                <w:rFonts w:asciiTheme="majorBidi" w:hAnsiTheme="majorBidi" w:cstheme="majorBidi"/>
                <w:color w:val="000000"/>
              </w:rPr>
              <w:t xml:space="preserve">The Commission acknowledges that SBUA made arguments </w:t>
            </w:r>
            <w:r w:rsidR="002E0406">
              <w:rPr>
                <w:rFonts w:asciiTheme="majorBidi" w:hAnsiTheme="majorBidi" w:cstheme="majorBidi"/>
                <w:color w:val="000000"/>
              </w:rPr>
              <w:t xml:space="preserve">similar </w:t>
            </w:r>
            <w:r w:rsidRPr="00C91E2B" w:rsidR="00B8133B">
              <w:rPr>
                <w:rFonts w:asciiTheme="majorBidi" w:hAnsiTheme="majorBidi" w:cstheme="majorBidi"/>
                <w:color w:val="000000"/>
              </w:rPr>
              <w:t>to</w:t>
            </w:r>
            <w:r w:rsidRPr="00C91E2B">
              <w:rPr>
                <w:rFonts w:asciiTheme="majorBidi" w:hAnsiTheme="majorBidi" w:cstheme="majorBidi"/>
                <w:color w:val="000000"/>
              </w:rPr>
              <w:t xml:space="preserve"> </w:t>
            </w:r>
            <w:r w:rsidR="002E0406">
              <w:rPr>
                <w:rFonts w:asciiTheme="majorBidi" w:hAnsiTheme="majorBidi" w:cstheme="majorBidi"/>
                <w:color w:val="000000"/>
              </w:rPr>
              <w:t xml:space="preserve">those by </w:t>
            </w:r>
            <w:r w:rsidRPr="00C91E2B" w:rsidR="00F365C0">
              <w:rPr>
                <w:rFonts w:asciiTheme="majorBidi" w:hAnsiTheme="majorBidi" w:cstheme="majorBidi"/>
                <w:color w:val="000000"/>
              </w:rPr>
              <w:t xml:space="preserve">A4NR, </w:t>
            </w:r>
            <w:r w:rsidRPr="00C91E2B">
              <w:rPr>
                <w:rFonts w:asciiTheme="majorBidi" w:hAnsiTheme="majorBidi" w:cstheme="majorBidi"/>
                <w:color w:val="000000"/>
              </w:rPr>
              <w:t xml:space="preserve">Energy Producers </w:t>
            </w:r>
            <w:r w:rsidRPr="00C91E2B" w:rsidR="00B8133B">
              <w:rPr>
                <w:rFonts w:asciiTheme="majorBidi" w:hAnsiTheme="majorBidi" w:cstheme="majorBidi"/>
                <w:color w:val="000000"/>
              </w:rPr>
              <w:t>&amp;</w:t>
            </w:r>
            <w:r w:rsidRPr="00C91E2B">
              <w:rPr>
                <w:rFonts w:asciiTheme="majorBidi" w:hAnsiTheme="majorBidi" w:cstheme="majorBidi"/>
                <w:color w:val="000000"/>
              </w:rPr>
              <w:t xml:space="preserve"> Users Coalition</w:t>
            </w:r>
            <w:r w:rsidRPr="00C91E2B" w:rsidR="00F365C0">
              <w:rPr>
                <w:rFonts w:asciiTheme="majorBidi" w:hAnsiTheme="majorBidi" w:cstheme="majorBidi"/>
                <w:color w:val="000000"/>
              </w:rPr>
              <w:t>,</w:t>
            </w:r>
            <w:r w:rsidRPr="00C91E2B">
              <w:rPr>
                <w:rFonts w:asciiTheme="majorBidi" w:hAnsiTheme="majorBidi" w:cstheme="majorBidi"/>
                <w:color w:val="000000"/>
              </w:rPr>
              <w:t xml:space="preserve"> and </w:t>
            </w:r>
            <w:r w:rsidRPr="00C91E2B" w:rsidR="00F365C0">
              <w:rPr>
                <w:rFonts w:asciiTheme="majorBidi" w:hAnsiTheme="majorBidi" w:cstheme="majorBidi"/>
                <w:color w:val="000000"/>
              </w:rPr>
              <w:t xml:space="preserve">TURN, </w:t>
            </w:r>
            <w:r w:rsidR="002E0406">
              <w:rPr>
                <w:rFonts w:asciiTheme="majorBidi" w:hAnsiTheme="majorBidi" w:cstheme="majorBidi"/>
                <w:color w:val="000000"/>
              </w:rPr>
              <w:t>opposing</w:t>
            </w:r>
            <w:r w:rsidRPr="00C91E2B">
              <w:rPr>
                <w:rFonts w:asciiTheme="majorBidi" w:hAnsiTheme="majorBidi" w:cstheme="majorBidi"/>
                <w:color w:val="000000"/>
              </w:rPr>
              <w:t xml:space="preserve"> to</w:t>
            </w:r>
            <w:r w:rsidRPr="00C91E2B" w:rsidR="00F365C0">
              <w:rPr>
                <w:rFonts w:asciiTheme="majorBidi" w:hAnsiTheme="majorBidi" w:cstheme="majorBidi"/>
                <w:color w:val="000000"/>
              </w:rPr>
              <w:t xml:space="preserve"> authoriz</w:t>
            </w:r>
            <w:r w:rsidRPr="00C91E2B" w:rsidR="00B8133B">
              <w:rPr>
                <w:rFonts w:asciiTheme="majorBidi" w:hAnsiTheme="majorBidi" w:cstheme="majorBidi"/>
                <w:color w:val="000000"/>
              </w:rPr>
              <w:t>e</w:t>
            </w:r>
            <w:r w:rsidRPr="00C91E2B">
              <w:rPr>
                <w:rFonts w:asciiTheme="majorBidi" w:hAnsiTheme="majorBidi" w:cstheme="majorBidi"/>
                <w:color w:val="000000"/>
              </w:rPr>
              <w:t xml:space="preserve"> PG&amp;E to include federal and state income taxes and the related tax gross up</w:t>
            </w:r>
            <w:r w:rsidR="005F6691">
              <w:rPr>
                <w:rFonts w:asciiTheme="majorBidi" w:hAnsiTheme="majorBidi" w:cstheme="majorBidi"/>
                <w:color w:val="000000"/>
              </w:rPr>
              <w:t>.</w:t>
            </w:r>
            <w:r w:rsidR="00922396">
              <w:rPr>
                <w:rStyle w:val="FootnoteReference"/>
                <w:rFonts w:asciiTheme="majorBidi" w:hAnsiTheme="majorBidi" w:cstheme="majorBidi"/>
                <w:color w:val="000000"/>
              </w:rPr>
              <w:footnoteReference w:id="9"/>
            </w:r>
            <w:r w:rsidRPr="00B975AF">
              <w:rPr>
                <w:rFonts w:asciiTheme="majorBidi" w:hAnsiTheme="majorBidi" w:cstheme="majorBidi"/>
                <w:color w:val="000000"/>
              </w:rPr>
              <w:t xml:space="preserve"> </w:t>
            </w:r>
            <w:r w:rsidRPr="00B975AF" w:rsidR="00B975AF">
              <w:rPr>
                <w:rFonts w:asciiTheme="majorBidi" w:hAnsiTheme="majorBidi" w:cstheme="majorBidi"/>
                <w:color w:val="000000"/>
              </w:rPr>
              <w:t>T</w:t>
            </w:r>
            <w:r w:rsidRPr="00B975AF">
              <w:rPr>
                <w:rFonts w:asciiTheme="majorBidi" w:hAnsiTheme="majorBidi" w:cstheme="majorBidi"/>
                <w:color w:val="000000"/>
              </w:rPr>
              <w:t xml:space="preserve">he Commission </w:t>
            </w:r>
            <w:r w:rsidRPr="00B975AF" w:rsidR="006B22D9">
              <w:rPr>
                <w:rFonts w:asciiTheme="majorBidi" w:hAnsiTheme="majorBidi" w:cstheme="majorBidi"/>
                <w:color w:val="000000"/>
              </w:rPr>
              <w:t>d</w:t>
            </w:r>
            <w:r w:rsidR="006B22D9">
              <w:rPr>
                <w:rFonts w:asciiTheme="majorBidi" w:hAnsiTheme="majorBidi" w:cstheme="majorBidi"/>
                <w:color w:val="000000"/>
              </w:rPr>
              <w:t>id</w:t>
            </w:r>
            <w:r w:rsidRPr="00B975AF" w:rsidR="006B22D9">
              <w:rPr>
                <w:rFonts w:asciiTheme="majorBidi" w:hAnsiTheme="majorBidi" w:cstheme="majorBidi"/>
                <w:color w:val="000000"/>
              </w:rPr>
              <w:t xml:space="preserve"> </w:t>
            </w:r>
            <w:r w:rsidRPr="00B975AF">
              <w:rPr>
                <w:rFonts w:asciiTheme="majorBidi" w:hAnsiTheme="majorBidi" w:cstheme="majorBidi"/>
                <w:color w:val="000000"/>
              </w:rPr>
              <w:t>not mention SBUA</w:t>
            </w:r>
            <w:r w:rsidR="00AD583F">
              <w:rPr>
                <w:rFonts w:asciiTheme="majorBidi" w:hAnsiTheme="majorBidi" w:cstheme="majorBidi"/>
                <w:color w:val="000000"/>
              </w:rPr>
              <w:t>’s contribution</w:t>
            </w:r>
            <w:r w:rsidRPr="00B975AF">
              <w:rPr>
                <w:rFonts w:asciiTheme="majorBidi" w:hAnsiTheme="majorBidi" w:cstheme="majorBidi"/>
                <w:color w:val="000000"/>
              </w:rPr>
              <w:t xml:space="preserve"> regarding this issue and </w:t>
            </w:r>
            <w:r w:rsidR="00081A68">
              <w:rPr>
                <w:rFonts w:asciiTheme="majorBidi" w:hAnsiTheme="majorBidi" w:cstheme="majorBidi"/>
                <w:color w:val="000000"/>
              </w:rPr>
              <w:t xml:space="preserve">extensively discussed </w:t>
            </w:r>
            <w:r w:rsidRPr="00B975AF">
              <w:rPr>
                <w:rFonts w:asciiTheme="majorBidi" w:hAnsiTheme="majorBidi" w:cstheme="majorBidi"/>
                <w:color w:val="000000"/>
              </w:rPr>
              <w:t xml:space="preserve">TURN’s </w:t>
            </w:r>
            <w:r w:rsidR="00081A68">
              <w:rPr>
                <w:rFonts w:asciiTheme="majorBidi" w:hAnsiTheme="majorBidi" w:cstheme="majorBidi"/>
                <w:color w:val="000000"/>
              </w:rPr>
              <w:t>position</w:t>
            </w:r>
            <w:r w:rsidRPr="00B975AF">
              <w:rPr>
                <w:rFonts w:asciiTheme="majorBidi" w:hAnsiTheme="majorBidi" w:cstheme="majorBidi"/>
                <w:color w:val="000000"/>
              </w:rPr>
              <w:t xml:space="preserve"> that “</w:t>
            </w:r>
            <w:r w:rsidRPr="00B975AF" w:rsidR="00C13B27">
              <w:rPr>
                <w:rFonts w:asciiTheme="majorBidi" w:hAnsiTheme="majorBidi" w:cstheme="majorBidi"/>
                <w:color w:val="000000"/>
              </w:rPr>
              <w:t>SB 846 does not allow for a tax gross-up on incentive payments collected from ratepayers</w:t>
            </w:r>
            <w:r w:rsidRPr="00B975AF" w:rsidR="00DB2D8E">
              <w:rPr>
                <w:rFonts w:asciiTheme="majorBidi" w:hAnsiTheme="majorBidi" w:cstheme="majorBidi"/>
                <w:color w:val="000000"/>
              </w:rPr>
              <w:t>,”</w:t>
            </w:r>
            <w:r w:rsidRPr="00B975AF" w:rsidR="00B975AF">
              <w:rPr>
                <w:rFonts w:asciiTheme="majorBidi" w:hAnsiTheme="majorBidi" w:cstheme="majorBidi"/>
                <w:color w:val="000000"/>
              </w:rPr>
              <w:t xml:space="preserve"> </w:t>
            </w:r>
            <w:r w:rsidRPr="00B975AF" w:rsidR="00DB2D8E">
              <w:rPr>
                <w:rFonts w:asciiTheme="majorBidi" w:hAnsiTheme="majorBidi" w:cstheme="majorBidi"/>
                <w:color w:val="000000"/>
              </w:rPr>
              <w:t>therefore</w:t>
            </w:r>
            <w:r w:rsidR="00C91E2B">
              <w:rPr>
                <w:rFonts w:asciiTheme="majorBidi" w:hAnsiTheme="majorBidi" w:cstheme="majorBidi"/>
                <w:color w:val="000000"/>
              </w:rPr>
              <w:t>,</w:t>
            </w:r>
            <w:r w:rsidRPr="00B975AF" w:rsidR="00B975AF">
              <w:rPr>
                <w:rFonts w:asciiTheme="majorBidi" w:hAnsiTheme="majorBidi" w:cstheme="majorBidi"/>
                <w:color w:val="000000"/>
              </w:rPr>
              <w:t xml:space="preserve"> </w:t>
            </w:r>
            <w:r w:rsidR="0002357B">
              <w:rPr>
                <w:rFonts w:asciiTheme="majorBidi" w:hAnsiTheme="majorBidi" w:cstheme="majorBidi"/>
                <w:color w:val="000000"/>
              </w:rPr>
              <w:t>concluding</w:t>
            </w:r>
            <w:r w:rsidRPr="00B975AF" w:rsidR="00B975AF">
              <w:rPr>
                <w:rFonts w:asciiTheme="majorBidi" w:hAnsiTheme="majorBidi" w:cstheme="majorBidi"/>
                <w:color w:val="000000"/>
              </w:rPr>
              <w:t xml:space="preserve"> that</w:t>
            </w:r>
            <w:r w:rsidRPr="00B975AF" w:rsidR="00DB2D8E">
              <w:rPr>
                <w:rFonts w:asciiTheme="majorBidi" w:hAnsiTheme="majorBidi" w:cstheme="majorBidi"/>
                <w:color w:val="000000"/>
              </w:rPr>
              <w:t xml:space="preserve"> “</w:t>
            </w:r>
            <w:r w:rsidRPr="00B975AF">
              <w:rPr>
                <w:rFonts w:asciiTheme="majorBidi" w:hAnsiTheme="majorBidi" w:cstheme="majorBidi"/>
                <w:color w:val="000000"/>
              </w:rPr>
              <w:t xml:space="preserve">PG&amp;E </w:t>
            </w:r>
            <w:r w:rsidR="003E65EA">
              <w:rPr>
                <w:rFonts w:asciiTheme="majorBidi" w:hAnsiTheme="majorBidi" w:cstheme="majorBidi"/>
                <w:color w:val="000000"/>
              </w:rPr>
              <w:t>is</w:t>
            </w:r>
            <w:r w:rsidRPr="00B975AF">
              <w:rPr>
                <w:rFonts w:asciiTheme="majorBidi" w:hAnsiTheme="majorBidi" w:cstheme="majorBidi"/>
                <w:color w:val="000000"/>
              </w:rPr>
              <w:t xml:space="preserve"> not authorized to recover any tax gross-up on the fixed </w:t>
            </w:r>
            <w:r w:rsidRPr="00B975AF">
              <w:rPr>
                <w:rFonts w:asciiTheme="majorBidi" w:hAnsiTheme="majorBidi" w:cstheme="majorBidi"/>
                <w:color w:val="000000"/>
              </w:rPr>
              <w:lastRenderedPageBreak/>
              <w:t>management fee.</w:t>
            </w:r>
            <w:r w:rsidR="00922396">
              <w:rPr>
                <w:rStyle w:val="FootnoteReference"/>
                <w:rFonts w:asciiTheme="majorBidi" w:hAnsiTheme="majorBidi" w:cstheme="majorBidi"/>
                <w:color w:val="000000"/>
              </w:rPr>
              <w:footnoteReference w:id="10"/>
            </w:r>
            <w:r w:rsidRPr="00B975AF">
              <w:rPr>
                <w:rFonts w:asciiTheme="majorBidi" w:hAnsiTheme="majorBidi" w:cstheme="majorBidi"/>
                <w:color w:val="000000"/>
              </w:rPr>
              <w:t>”</w:t>
            </w:r>
            <w:r w:rsidR="00922396">
              <w:rPr>
                <w:rFonts w:asciiTheme="majorBidi" w:hAnsiTheme="majorBidi" w:cstheme="majorBidi"/>
                <w:color w:val="000000"/>
              </w:rPr>
              <w:t xml:space="preserve"> </w:t>
            </w:r>
            <w:r w:rsidR="00E06CBB">
              <w:rPr>
                <w:rFonts w:asciiTheme="majorBidi" w:hAnsiTheme="majorBidi" w:cstheme="majorBidi"/>
                <w:color w:val="000000"/>
              </w:rPr>
              <w:t>M</w:t>
            </w:r>
            <w:r w:rsidR="00E06CBB">
              <w:t>ost of SBUA’s filings lacked substance, and therefore, did not contribute to the Commission’s decision-making process.</w:t>
            </w:r>
          </w:p>
          <w:p w:rsidRPr="00B975AF" w:rsidR="00191245" w:rsidP="00843C03" w:rsidRDefault="00191245" w14:paraId="2CBADF3E" w14:textId="4731FFF8">
            <w:pPr>
              <w:spacing w:before="120"/>
              <w:rPr>
                <w:rFonts w:asciiTheme="majorBidi" w:hAnsiTheme="majorBidi" w:cstheme="majorBidi"/>
                <w:color w:val="000000"/>
              </w:rPr>
            </w:pPr>
            <w:r w:rsidRPr="00C91E2B">
              <w:rPr>
                <w:rFonts w:asciiTheme="majorBidi" w:hAnsiTheme="majorBidi" w:cstheme="majorBidi"/>
                <w:i/>
                <w:iCs/>
                <w:color w:val="000000"/>
              </w:rPr>
              <w:t>See</w:t>
            </w:r>
            <w:r w:rsidRPr="00B975AF">
              <w:rPr>
                <w:rFonts w:asciiTheme="majorBidi" w:hAnsiTheme="majorBidi" w:cstheme="majorBidi"/>
                <w:color w:val="000000"/>
              </w:rPr>
              <w:t xml:space="preserve"> Part III.D</w:t>
            </w:r>
            <w:r w:rsidR="009B1735">
              <w:rPr>
                <w:rFonts w:asciiTheme="majorBidi" w:hAnsiTheme="majorBidi" w:cstheme="majorBidi"/>
                <w:color w:val="000000"/>
              </w:rPr>
              <w:t xml:space="preserve">. </w:t>
            </w:r>
            <w:r w:rsidRPr="00B975AF">
              <w:rPr>
                <w:rFonts w:asciiTheme="majorBidi" w:hAnsiTheme="majorBidi" w:cstheme="majorBidi"/>
                <w:color w:val="000000"/>
              </w:rPr>
              <w:t xml:space="preserve">CPUC Comments, Disallowances, and Adjustments. </w:t>
            </w:r>
          </w:p>
        </w:tc>
      </w:tr>
      <w:tr w:rsidRPr="008936E4" w:rsidR="00B8133B" w:rsidTr="00EA1FCF" w14:paraId="71B02E69" w14:textId="77777777">
        <w:trPr>
          <w:trHeight w:val="710"/>
        </w:trPr>
        <w:tc>
          <w:tcPr>
            <w:tcW w:w="3330" w:type="dxa"/>
          </w:tcPr>
          <w:p w:rsidRPr="00B036F1" w:rsidR="005E3B86" w:rsidP="000004A2" w:rsidRDefault="005E3B86" w14:paraId="6F1F81E4" w14:textId="2DAC5676">
            <w:pPr>
              <w:spacing w:after="240"/>
              <w:rPr>
                <w:b/>
                <w:bCs/>
              </w:rPr>
            </w:pPr>
            <w:r w:rsidRPr="00B036F1">
              <w:rPr>
                <w:b/>
                <w:bCs/>
              </w:rPr>
              <w:lastRenderedPageBreak/>
              <w:t>3. Non-</w:t>
            </w:r>
            <w:proofErr w:type="spellStart"/>
            <w:r w:rsidRPr="00B036F1">
              <w:rPr>
                <w:b/>
                <w:bCs/>
              </w:rPr>
              <w:t>Bypassable</w:t>
            </w:r>
            <w:proofErr w:type="spellEnd"/>
            <w:r w:rsidRPr="00B036F1">
              <w:rPr>
                <w:b/>
                <w:bCs/>
              </w:rPr>
              <w:t xml:space="preserve"> Charge</w:t>
            </w:r>
            <w:r w:rsidR="00E767E6">
              <w:rPr>
                <w:b/>
                <w:bCs/>
              </w:rPr>
              <w:t xml:space="preserve"> (NBC)</w:t>
            </w:r>
          </w:p>
          <w:p w:rsidRPr="005E3B86" w:rsidR="005E3B86" w:rsidP="000C5E8F" w:rsidRDefault="00F671D3" w14:paraId="4E4F9E9F" w14:textId="170026C7">
            <w:pPr>
              <w:pStyle w:val="whitespace-normal"/>
              <w:spacing w:before="0" w:beforeAutospacing="0" w:after="120" w:afterAutospacing="0"/>
            </w:pPr>
            <w:r>
              <w:t>SBUA</w:t>
            </w:r>
            <w:r w:rsidR="008238EE">
              <w:t xml:space="preserve"> presented testimony</w:t>
            </w:r>
            <w:r w:rsidR="00AD02FD">
              <w:t xml:space="preserve">. </w:t>
            </w:r>
            <w:r w:rsidR="008238EE">
              <w:t>recommending</w:t>
            </w:r>
            <w:r>
              <w:t xml:space="preserve"> modifications to the NBC allocation methodology to better </w:t>
            </w:r>
            <w:r w:rsidRPr="005E6A06">
              <w:t xml:space="preserve">reflect cost causation principles and protect small businesses from disproportionate rate impacts. SBUA proposed using future </w:t>
            </w:r>
            <w:r w:rsidRPr="00AB264D">
              <w:t>General Rate Case marginal costs</w:t>
            </w:r>
            <w:r w:rsidRPr="005E6A06">
              <w:t xml:space="preserve"> rather than the 12-CP demand-based allocation, arguing this would more fairly distribute costs based on actual usage patterns and cost drivers. </w:t>
            </w:r>
            <w:r w:rsidRPr="005E6A06" w:rsidR="00135211">
              <w:t>Ex. SBUA-01 at 25-26</w:t>
            </w:r>
            <w:r w:rsidR="00135211">
              <w:t xml:space="preserve">. </w:t>
            </w:r>
            <w:r>
              <w:t>While the Commission retained the 12-CP methodology established in D.23-12-036, SBUA</w:t>
            </w:r>
            <w:r w:rsidR="0077760E">
              <w:t>’</w:t>
            </w:r>
            <w:r>
              <w:t>s advocacy</w:t>
            </w:r>
            <w:r w:rsidRPr="00D5347D" w:rsidR="008238EE">
              <w:t xml:space="preserve"> </w:t>
            </w:r>
            <w:r w:rsidR="003C366D">
              <w:t>develop</w:t>
            </w:r>
            <w:r w:rsidR="0077760E">
              <w:t>ed</w:t>
            </w:r>
            <w:r w:rsidR="003C366D">
              <w:t xml:space="preserve"> the record and </w:t>
            </w:r>
            <w:r w:rsidR="0077760E">
              <w:t>help</w:t>
            </w:r>
            <w:r w:rsidR="00AD02FD">
              <w:t>ed</w:t>
            </w:r>
            <w:r w:rsidR="0077760E">
              <w:t xml:space="preserve"> </w:t>
            </w:r>
            <w:r w:rsidRPr="00D5347D" w:rsidR="008238EE">
              <w:t>frame the issues the Commission addressed in adopting the 12-CP-based approach.</w:t>
            </w:r>
            <w:r w:rsidR="008238EE">
              <w:t xml:space="preserve"> </w:t>
            </w:r>
          </w:p>
        </w:tc>
        <w:tc>
          <w:tcPr>
            <w:tcW w:w="3150" w:type="dxa"/>
          </w:tcPr>
          <w:p w:rsidRPr="005E3B86" w:rsidR="005E3B86" w:rsidP="00F671D3" w:rsidRDefault="008238EE" w14:paraId="5F851699" w14:textId="4B625111">
            <w:pPr>
              <w:autoSpaceDE w:val="0"/>
              <w:autoSpaceDN w:val="0"/>
              <w:adjustRightInd w:val="0"/>
              <w:spacing w:before="120" w:after="240"/>
            </w:pPr>
            <w:r>
              <w:t>The Decision discusses</w:t>
            </w:r>
            <w:r w:rsidR="00F671D3">
              <w:t xml:space="preserve"> SBUA</w:t>
            </w:r>
            <w:r>
              <w:t>’</w:t>
            </w:r>
            <w:r w:rsidR="00F671D3">
              <w:t xml:space="preserve">s proposal to </w:t>
            </w:r>
            <w:r>
              <w:t>“</w:t>
            </w:r>
            <w:r w:rsidR="00F671D3">
              <w:t>modify the methodology established in D.23-12-036 to replace the 12-CP demand-</w:t>
            </w:r>
            <w:r w:rsidRPr="005E6A06" w:rsidR="00F671D3">
              <w:t xml:space="preserve">based allocation with an allocation based on future GRC </w:t>
            </w:r>
            <w:r w:rsidRPr="00AB264D" w:rsidR="00F671D3">
              <w:t>marginal costs.</w:t>
            </w:r>
            <w:r w:rsidRPr="00AB264D">
              <w:t>” Decision at 48-49.</w:t>
            </w:r>
            <w:r w:rsidRPr="005E6A06">
              <w:t xml:space="preserve"> But the Decision does </w:t>
            </w:r>
            <w:r w:rsidRPr="005E6A06" w:rsidR="000C5E8F">
              <w:t xml:space="preserve">not </w:t>
            </w:r>
            <w:r w:rsidRPr="005E6A06">
              <w:t>adopt the suggestion:</w:t>
            </w:r>
            <w:r>
              <w:t xml:space="preserve"> “</w:t>
            </w:r>
            <w:r w:rsidR="00F671D3">
              <w:t>After reviewing the IOUs</w:t>
            </w:r>
            <w:r w:rsidR="000C5E8F">
              <w:t>’</w:t>
            </w:r>
            <w:r w:rsidR="00F671D3">
              <w:t xml:space="preserve"> proposed methodology, the Commission concludes that the IOUs' proposed methodology and rate design for allocating the DCPP costs, complies with the Commission's directives in D.23-12-036.</w:t>
            </w:r>
            <w:r>
              <w:t>”</w:t>
            </w:r>
          </w:p>
        </w:tc>
        <w:tc>
          <w:tcPr>
            <w:tcW w:w="3330" w:type="dxa"/>
          </w:tcPr>
          <w:p w:rsidRPr="005E3B86" w:rsidR="00191245" w:rsidP="00D832E7" w:rsidRDefault="007E5FA8" w14:paraId="0FC0C773" w14:textId="4872398F">
            <w:pPr>
              <w:spacing w:before="120"/>
              <w:rPr>
                <w:rFonts w:asciiTheme="majorBidi" w:hAnsiTheme="majorBidi" w:cstheme="majorBidi"/>
                <w:color w:val="000000"/>
              </w:rPr>
            </w:pPr>
            <w:r>
              <w:rPr>
                <w:rFonts w:asciiTheme="majorBidi" w:hAnsiTheme="majorBidi" w:cstheme="majorBidi"/>
                <w:color w:val="000000"/>
              </w:rPr>
              <w:t>Noted</w:t>
            </w:r>
            <w:r w:rsidR="002A6045">
              <w:rPr>
                <w:rFonts w:asciiTheme="majorBidi" w:hAnsiTheme="majorBidi" w:cstheme="majorBidi"/>
                <w:color w:val="000000"/>
              </w:rPr>
              <w:t>;</w:t>
            </w:r>
            <w:r>
              <w:rPr>
                <w:rFonts w:asciiTheme="majorBidi" w:hAnsiTheme="majorBidi" w:cstheme="majorBidi"/>
                <w:color w:val="000000"/>
              </w:rPr>
              <w:t xml:space="preserve"> however, </w:t>
            </w:r>
            <w:r w:rsidR="003D75A1">
              <w:rPr>
                <w:rFonts w:asciiTheme="majorBidi" w:hAnsiTheme="majorBidi" w:cstheme="majorBidi"/>
                <w:color w:val="000000"/>
              </w:rPr>
              <w:t>SBUA did not explain how</w:t>
            </w:r>
            <w:r w:rsidR="00D832E7">
              <w:rPr>
                <w:rFonts w:asciiTheme="majorBidi" w:hAnsiTheme="majorBidi" w:cstheme="majorBidi"/>
                <w:color w:val="000000"/>
              </w:rPr>
              <w:t xml:space="preserve"> their proposal to modify the methodology</w:t>
            </w:r>
            <w:r w:rsidR="003D75A1">
              <w:rPr>
                <w:rFonts w:asciiTheme="majorBidi" w:hAnsiTheme="majorBidi" w:cstheme="majorBidi"/>
                <w:color w:val="000000"/>
              </w:rPr>
              <w:t xml:space="preserve"> complie</w:t>
            </w:r>
            <w:r w:rsidR="00D832E7">
              <w:rPr>
                <w:rFonts w:asciiTheme="majorBidi" w:hAnsiTheme="majorBidi" w:cstheme="majorBidi"/>
                <w:color w:val="000000"/>
              </w:rPr>
              <w:t>d</w:t>
            </w:r>
            <w:r w:rsidR="003D75A1">
              <w:rPr>
                <w:rFonts w:asciiTheme="majorBidi" w:hAnsiTheme="majorBidi" w:cstheme="majorBidi"/>
                <w:color w:val="000000"/>
              </w:rPr>
              <w:t xml:space="preserve"> with the requirements of D.23-12-036</w:t>
            </w:r>
            <w:r w:rsidR="007F643C">
              <w:rPr>
                <w:rFonts w:asciiTheme="majorBidi" w:hAnsiTheme="majorBidi" w:cstheme="majorBidi"/>
                <w:color w:val="000000"/>
              </w:rPr>
              <w:t>.</w:t>
            </w:r>
            <w:r w:rsidR="00C91E2B">
              <w:rPr>
                <w:rFonts w:asciiTheme="majorBidi" w:hAnsiTheme="majorBidi" w:cstheme="majorBidi"/>
                <w:color w:val="000000"/>
              </w:rPr>
              <w:t xml:space="preserve"> </w:t>
            </w:r>
            <w:r w:rsidR="007F643C">
              <w:rPr>
                <w:rFonts w:asciiTheme="majorBidi" w:hAnsiTheme="majorBidi" w:cstheme="majorBidi"/>
                <w:color w:val="000000"/>
              </w:rPr>
              <w:t>T</w:t>
            </w:r>
            <w:r w:rsidR="00581FFD">
              <w:rPr>
                <w:rFonts w:asciiTheme="majorBidi" w:hAnsiTheme="majorBidi" w:cstheme="majorBidi"/>
                <w:color w:val="000000"/>
              </w:rPr>
              <w:t xml:space="preserve">he Commission concluded that </w:t>
            </w:r>
            <w:r w:rsidR="00735B06">
              <w:rPr>
                <w:rFonts w:asciiTheme="majorBidi" w:hAnsiTheme="majorBidi" w:cstheme="majorBidi"/>
                <w:color w:val="000000"/>
              </w:rPr>
              <w:t>t</w:t>
            </w:r>
            <w:r w:rsidR="00735B06">
              <w:t>he IOU’s</w:t>
            </w:r>
            <w:r w:rsidR="00581FFD">
              <w:rPr>
                <w:rFonts w:asciiTheme="majorBidi" w:hAnsiTheme="majorBidi" w:cstheme="majorBidi"/>
                <w:color w:val="000000"/>
              </w:rPr>
              <w:t xml:space="preserve"> proposed methodology and rate design </w:t>
            </w:r>
            <w:r w:rsidRPr="00465636" w:rsidR="00581FFD">
              <w:rPr>
                <w:rFonts w:asciiTheme="majorBidi" w:hAnsiTheme="majorBidi" w:cstheme="majorBidi"/>
                <w:color w:val="000000"/>
              </w:rPr>
              <w:t>complied with directives in D.23-12-036</w:t>
            </w:r>
            <w:r w:rsidR="00E06CBB">
              <w:rPr>
                <w:rFonts w:asciiTheme="majorBidi" w:hAnsiTheme="majorBidi" w:cstheme="majorBidi"/>
                <w:color w:val="000000"/>
              </w:rPr>
              <w:t>.</w:t>
            </w:r>
            <w:r w:rsidR="00AD583F">
              <w:rPr>
                <w:rStyle w:val="FootnoteReference"/>
                <w:rFonts w:asciiTheme="majorBidi" w:hAnsiTheme="majorBidi" w:cstheme="majorBidi"/>
                <w:color w:val="000000"/>
              </w:rPr>
              <w:t xml:space="preserve"> </w:t>
            </w:r>
            <w:r w:rsidR="00AD583F">
              <w:rPr>
                <w:rStyle w:val="FootnoteReference"/>
                <w:rFonts w:asciiTheme="majorBidi" w:hAnsiTheme="majorBidi" w:cstheme="majorBidi"/>
                <w:color w:val="000000"/>
              </w:rPr>
              <w:footnoteReference w:id="11"/>
            </w:r>
            <w:r w:rsidRPr="00465636" w:rsidR="00581FFD">
              <w:rPr>
                <w:rFonts w:asciiTheme="majorBidi" w:hAnsiTheme="majorBidi" w:cstheme="majorBidi"/>
                <w:color w:val="000000"/>
              </w:rPr>
              <w:t xml:space="preserve"> </w:t>
            </w:r>
            <w:r w:rsidRPr="00465636" w:rsidR="00465636">
              <w:rPr>
                <w:rFonts w:asciiTheme="majorBidi" w:hAnsiTheme="majorBidi" w:cstheme="majorBidi"/>
                <w:color w:val="000000"/>
              </w:rPr>
              <w:t>SBUA’s position was not adopted</w:t>
            </w:r>
            <w:r w:rsidR="003B453D">
              <w:rPr>
                <w:rFonts w:asciiTheme="majorBidi" w:hAnsiTheme="majorBidi" w:cstheme="majorBidi"/>
                <w:color w:val="000000"/>
              </w:rPr>
              <w:t>, and we find that</w:t>
            </w:r>
            <w:r w:rsidR="00316599">
              <w:rPr>
                <w:rFonts w:asciiTheme="majorBidi" w:hAnsiTheme="majorBidi" w:cstheme="majorBidi"/>
                <w:color w:val="000000"/>
              </w:rPr>
              <w:t xml:space="preserve"> </w:t>
            </w:r>
            <w:r w:rsidR="003B453D">
              <w:rPr>
                <w:rFonts w:asciiTheme="majorBidi" w:hAnsiTheme="majorBidi" w:cstheme="majorBidi"/>
                <w:color w:val="000000"/>
              </w:rPr>
              <w:t xml:space="preserve">SBUA’s input on these issues had minimal influence on the decision-making process. </w:t>
            </w:r>
            <w:r w:rsidRPr="00A45ACF" w:rsidR="00191245">
              <w:rPr>
                <w:rFonts w:asciiTheme="majorBidi" w:hAnsiTheme="majorBidi" w:cstheme="majorBidi"/>
                <w:i/>
                <w:iCs/>
                <w:color w:val="000000"/>
              </w:rPr>
              <w:t>See</w:t>
            </w:r>
            <w:r w:rsidR="00191245">
              <w:rPr>
                <w:rFonts w:asciiTheme="majorBidi" w:hAnsiTheme="majorBidi" w:cstheme="majorBidi"/>
                <w:color w:val="000000"/>
              </w:rPr>
              <w:t xml:space="preserve"> Part III.D</w:t>
            </w:r>
            <w:r w:rsidR="009B1735">
              <w:rPr>
                <w:rFonts w:asciiTheme="majorBidi" w:hAnsiTheme="majorBidi" w:cstheme="majorBidi"/>
                <w:color w:val="000000"/>
              </w:rPr>
              <w:t>.</w:t>
            </w:r>
            <w:r w:rsidR="00191245">
              <w:rPr>
                <w:rFonts w:asciiTheme="majorBidi" w:hAnsiTheme="majorBidi" w:cstheme="majorBidi"/>
                <w:color w:val="000000"/>
              </w:rPr>
              <w:t xml:space="preserve"> CPUC Comments, Disallowances, and Adjustments.</w:t>
            </w:r>
          </w:p>
        </w:tc>
      </w:tr>
      <w:tr w:rsidRPr="008936E4" w:rsidR="00B8133B" w:rsidTr="00EA1FCF" w14:paraId="41FF1877" w14:textId="77777777">
        <w:trPr>
          <w:trHeight w:val="710"/>
        </w:trPr>
        <w:tc>
          <w:tcPr>
            <w:tcW w:w="3330" w:type="dxa"/>
          </w:tcPr>
          <w:p w:rsidRPr="005E6A06" w:rsidR="005A481C" w:rsidP="00135211" w:rsidRDefault="005E3B86" w14:paraId="2303F0E7" w14:textId="7BDC51BE">
            <w:pPr>
              <w:spacing w:after="240"/>
              <w:rPr>
                <w:b/>
                <w:bCs/>
                <w:color w:val="000000"/>
              </w:rPr>
            </w:pPr>
            <w:r w:rsidRPr="005A481C">
              <w:rPr>
                <w:b/>
                <w:bCs/>
                <w:color w:val="000000"/>
              </w:rPr>
              <w:t xml:space="preserve">4. RA Attributes and </w:t>
            </w:r>
            <w:r w:rsidRPr="005E6A06">
              <w:rPr>
                <w:b/>
                <w:bCs/>
                <w:color w:val="000000"/>
              </w:rPr>
              <w:t>GHG-Free Energy</w:t>
            </w:r>
          </w:p>
          <w:p w:rsidRPr="005E3B86" w:rsidR="005A481C" w:rsidP="005A481C" w:rsidRDefault="005A481C" w14:paraId="0EF175B9" w14:textId="68D4FC71">
            <w:r w:rsidRPr="005E6A06">
              <w:t xml:space="preserve">SBUA supported adjusting </w:t>
            </w:r>
            <w:r w:rsidRPr="005E6A06" w:rsidR="000004A2">
              <w:t xml:space="preserve">the Resource Adequacy (RA) and Greenhouse Gas (GHG) </w:t>
            </w:r>
            <w:r w:rsidRPr="005E6A06">
              <w:t xml:space="preserve">benefit allocation to reflect the </w:t>
            </w:r>
            <w:r w:rsidRPr="005E6A06" w:rsidR="000004A2">
              <w:lastRenderedPageBreak/>
              <w:t>disproportionate cost</w:t>
            </w:r>
            <w:r w:rsidRPr="005E6A06">
              <w:t xml:space="preserve"> burden on PG&amp;E customers, ensuring that small-business equity considerations were squarely presented. </w:t>
            </w:r>
            <w:r w:rsidRPr="005E6A06" w:rsidR="000004A2">
              <w:t>SBUA Opening Brief at 4-6; SBUA Reply Brief at 4-5; Ex. SBUA-01 at 25-26. SBUA was one of only three parties (along with PG&amp;E and Green Power Institute (GPI)) to advocate for this more equitable allocation approach</w:t>
            </w:r>
            <w:r w:rsidRPr="005E6A06">
              <w:t>.</w:t>
            </w:r>
            <w:r w:rsidRPr="005E6A06" w:rsidR="003C366D">
              <w:t xml:space="preserve"> Although the Commis</w:t>
            </w:r>
            <w:r w:rsidRPr="005E6A06" w:rsidR="00EF7AF9">
              <w:t>si</w:t>
            </w:r>
            <w:r w:rsidRPr="005E6A06" w:rsidR="003C366D">
              <w:t>on did not change the methodology, SBUA’s advocacy was valuable to inform the record and resulted</w:t>
            </w:r>
            <w:r w:rsidR="003C366D">
              <w:t xml:space="preserve"> in more robust decision-making.</w:t>
            </w:r>
          </w:p>
        </w:tc>
        <w:tc>
          <w:tcPr>
            <w:tcW w:w="3150" w:type="dxa"/>
          </w:tcPr>
          <w:p w:rsidRPr="005E6A06" w:rsidR="00350DEC" w:rsidP="00350DEC" w:rsidRDefault="005A481C" w14:paraId="5428E346" w14:textId="3A4D3018">
            <w:pPr>
              <w:autoSpaceDE w:val="0"/>
              <w:autoSpaceDN w:val="0"/>
              <w:adjustRightInd w:val="0"/>
              <w:spacing w:before="120" w:after="240"/>
            </w:pPr>
            <w:r>
              <w:lastRenderedPageBreak/>
              <w:t xml:space="preserve">The Decision </w:t>
            </w:r>
            <w:r w:rsidR="00135211">
              <w:t>considers</w:t>
            </w:r>
            <w:r>
              <w:t xml:space="preserve"> that “[</w:t>
            </w:r>
            <w:proofErr w:type="spellStart"/>
            <w:r>
              <w:t>i</w:t>
            </w:r>
            <w:proofErr w:type="spellEnd"/>
            <w:r>
              <w:t xml:space="preserve">]n support of PG&amp;E’s proposal, SBUA argues that the proposed adjustment recognizes the disproportionate financial </w:t>
            </w:r>
            <w:r>
              <w:lastRenderedPageBreak/>
              <w:t xml:space="preserve">burden borne by PG&amp;E's customers for the </w:t>
            </w:r>
            <w:r w:rsidRPr="005E6A06">
              <w:t>extended operations of DCPP.” D</w:t>
            </w:r>
            <w:r w:rsidRPr="005E6A06" w:rsidR="00350DEC">
              <w:t>ecision</w:t>
            </w:r>
            <w:r w:rsidRPr="005E6A06">
              <w:t xml:space="preserve"> at 52.</w:t>
            </w:r>
          </w:p>
          <w:p w:rsidRPr="00350DEC" w:rsidR="005A481C" w:rsidP="00350DEC" w:rsidRDefault="00350DEC" w14:paraId="603DEC2F" w14:textId="091D1A74">
            <w:pPr>
              <w:autoSpaceDE w:val="0"/>
              <w:autoSpaceDN w:val="0"/>
              <w:adjustRightInd w:val="0"/>
              <w:spacing w:before="120" w:after="120"/>
            </w:pPr>
            <w:r w:rsidRPr="005E6A06">
              <w:t xml:space="preserve">The </w:t>
            </w:r>
            <w:r w:rsidRPr="005E6A06" w:rsidR="0017592C">
              <w:t>Commission</w:t>
            </w:r>
            <w:r w:rsidRPr="005E6A06" w:rsidR="005A481C">
              <w:t xml:space="preserve"> </w:t>
            </w:r>
            <w:r w:rsidRPr="005E6A06">
              <w:t xml:space="preserve">discusses </w:t>
            </w:r>
            <w:r w:rsidRPr="005E6A06" w:rsidR="0017592C">
              <w:t xml:space="preserve">its </w:t>
            </w:r>
            <w:r w:rsidRPr="005E6A06">
              <w:t>authority under Pub. Util. Code Section 712.8(q) for the Commission to consider the higher costs to customers in PG&amp;E’s service area in benefit allocation</w:t>
            </w:r>
            <w:r w:rsidRPr="005E6A06" w:rsidR="00E33B71">
              <w:t>; however, it</w:t>
            </w:r>
            <w:r w:rsidRPr="005E6A06" w:rsidR="005A481C">
              <w:t xml:space="preserve"> declines</w:t>
            </w:r>
            <w:r w:rsidRPr="005E6A06">
              <w:t xml:space="preserve"> </w:t>
            </w:r>
            <w:r w:rsidRPr="005E6A06" w:rsidR="005A481C">
              <w:t xml:space="preserve">PG&amp;E’s and supporting parties’ proposals to change the methodology, </w:t>
            </w:r>
            <w:r w:rsidRPr="005E6A06">
              <w:t>relying instead on the RA allocation methodology adopted in D.23-12-036</w:t>
            </w:r>
            <w:r w:rsidRPr="005E6A06" w:rsidR="005A481C">
              <w:t xml:space="preserve">. </w:t>
            </w:r>
            <w:r w:rsidRPr="005E6A06">
              <w:rPr>
                <w:i/>
                <w:iCs/>
              </w:rPr>
              <w:t>Id</w:t>
            </w:r>
            <w:r w:rsidRPr="005E6A06">
              <w:t>. at 54-55.</w:t>
            </w:r>
          </w:p>
        </w:tc>
        <w:tc>
          <w:tcPr>
            <w:tcW w:w="3330" w:type="dxa"/>
          </w:tcPr>
          <w:p w:rsidR="009A51C8" w:rsidP="00540A76" w:rsidRDefault="00477D3A" w14:paraId="18D5165A" w14:textId="00136384">
            <w:pPr>
              <w:spacing w:before="120"/>
              <w:rPr>
                <w:rFonts w:asciiTheme="majorBidi" w:hAnsiTheme="majorBidi" w:cstheme="majorBidi"/>
                <w:color w:val="000000"/>
              </w:rPr>
            </w:pPr>
            <w:r>
              <w:rPr>
                <w:rFonts w:asciiTheme="majorBidi" w:hAnsiTheme="majorBidi" w:cstheme="majorBidi"/>
                <w:color w:val="000000"/>
              </w:rPr>
              <w:lastRenderedPageBreak/>
              <w:t>Noted</w:t>
            </w:r>
            <w:r w:rsidR="002A6045">
              <w:rPr>
                <w:rFonts w:asciiTheme="majorBidi" w:hAnsiTheme="majorBidi" w:cstheme="majorBidi"/>
                <w:color w:val="000000"/>
              </w:rPr>
              <w:t>;</w:t>
            </w:r>
            <w:r>
              <w:rPr>
                <w:rFonts w:asciiTheme="majorBidi" w:hAnsiTheme="majorBidi" w:cstheme="majorBidi"/>
                <w:color w:val="000000"/>
              </w:rPr>
              <w:t xml:space="preserve"> however</w:t>
            </w:r>
            <w:r w:rsidR="009D24A4">
              <w:rPr>
                <w:rFonts w:asciiTheme="majorBidi" w:hAnsiTheme="majorBidi" w:cstheme="majorBidi"/>
                <w:color w:val="000000"/>
              </w:rPr>
              <w:t>,</w:t>
            </w:r>
            <w:r w:rsidR="00767CAB">
              <w:rPr>
                <w:rFonts w:asciiTheme="majorBidi" w:hAnsiTheme="majorBidi" w:cstheme="majorBidi"/>
                <w:color w:val="000000"/>
              </w:rPr>
              <w:t xml:space="preserve"> </w:t>
            </w:r>
            <w:r>
              <w:rPr>
                <w:rFonts w:asciiTheme="majorBidi" w:hAnsiTheme="majorBidi" w:cstheme="majorBidi"/>
                <w:color w:val="000000"/>
              </w:rPr>
              <w:t>t</w:t>
            </w:r>
            <w:r w:rsidR="00306847">
              <w:rPr>
                <w:rFonts w:asciiTheme="majorBidi" w:hAnsiTheme="majorBidi" w:cstheme="majorBidi"/>
                <w:color w:val="000000"/>
              </w:rPr>
              <w:t xml:space="preserve">he Commission concluded that PG&amp;E’s proposal did </w:t>
            </w:r>
            <w:r w:rsidR="00843C03">
              <w:rPr>
                <w:rFonts w:asciiTheme="majorBidi" w:hAnsiTheme="majorBidi" w:cstheme="majorBidi"/>
                <w:color w:val="000000"/>
              </w:rPr>
              <w:t>n</w:t>
            </w:r>
            <w:r w:rsidR="008D07A0">
              <w:rPr>
                <w:rFonts w:asciiTheme="majorBidi" w:hAnsiTheme="majorBidi" w:cstheme="majorBidi"/>
                <w:color w:val="000000"/>
              </w:rPr>
              <w:t>ot</w:t>
            </w:r>
            <w:r w:rsidR="00306847">
              <w:rPr>
                <w:rFonts w:asciiTheme="majorBidi" w:hAnsiTheme="majorBidi" w:cstheme="majorBidi"/>
                <w:color w:val="000000"/>
              </w:rPr>
              <w:t xml:space="preserve"> comply </w:t>
            </w:r>
            <w:r w:rsidR="005F6691">
              <w:rPr>
                <w:rFonts w:asciiTheme="majorBidi" w:hAnsiTheme="majorBidi" w:cstheme="majorBidi"/>
                <w:color w:val="000000"/>
              </w:rPr>
              <w:t>with implementation</w:t>
            </w:r>
            <w:r w:rsidR="00306847">
              <w:rPr>
                <w:rFonts w:asciiTheme="majorBidi" w:hAnsiTheme="majorBidi" w:cstheme="majorBidi"/>
                <w:color w:val="000000"/>
              </w:rPr>
              <w:t xml:space="preserve"> of the RA allocation methodology adopted in D.23-12-</w:t>
            </w:r>
            <w:r w:rsidR="00F54294">
              <w:rPr>
                <w:rFonts w:asciiTheme="majorBidi" w:hAnsiTheme="majorBidi" w:cstheme="majorBidi"/>
                <w:color w:val="000000"/>
              </w:rPr>
              <w:t>036 and</w:t>
            </w:r>
            <w:r w:rsidR="00306847">
              <w:rPr>
                <w:rFonts w:asciiTheme="majorBidi" w:hAnsiTheme="majorBidi" w:cstheme="majorBidi"/>
                <w:color w:val="000000"/>
              </w:rPr>
              <w:t xml:space="preserve"> </w:t>
            </w:r>
            <w:r>
              <w:rPr>
                <w:rFonts w:asciiTheme="majorBidi" w:hAnsiTheme="majorBidi" w:cstheme="majorBidi"/>
                <w:color w:val="000000"/>
              </w:rPr>
              <w:lastRenderedPageBreak/>
              <w:t>therefore rejected it</w:t>
            </w:r>
            <w:r w:rsidR="001E4097">
              <w:rPr>
                <w:rFonts w:asciiTheme="majorBidi" w:hAnsiTheme="majorBidi" w:cstheme="majorBidi"/>
                <w:color w:val="000000"/>
              </w:rPr>
              <w:t>.</w:t>
            </w:r>
            <w:r w:rsidR="00316599">
              <w:rPr>
                <w:rStyle w:val="FootnoteReference"/>
                <w:rFonts w:asciiTheme="majorBidi" w:hAnsiTheme="majorBidi" w:cstheme="majorBidi"/>
                <w:color w:val="000000"/>
              </w:rPr>
              <w:footnoteReference w:id="12"/>
            </w:r>
            <w:r w:rsidR="00BF3B9B">
              <w:rPr>
                <w:rFonts w:asciiTheme="majorBidi" w:hAnsiTheme="majorBidi" w:cstheme="majorBidi"/>
                <w:color w:val="000000"/>
              </w:rPr>
              <w:t xml:space="preserve"> SBUA’s input on these issues had minimal influence on the decision-making process.</w:t>
            </w:r>
            <w:r w:rsidR="00316599">
              <w:rPr>
                <w:rFonts w:asciiTheme="majorBidi" w:hAnsiTheme="majorBidi" w:cstheme="majorBidi"/>
                <w:color w:val="000000"/>
              </w:rPr>
              <w:t xml:space="preserve"> </w:t>
            </w:r>
            <w:r w:rsidRPr="00B975AF" w:rsidR="009A51C8">
              <w:rPr>
                <w:rFonts w:asciiTheme="majorBidi" w:hAnsiTheme="majorBidi" w:cstheme="majorBidi"/>
                <w:color w:val="000000"/>
              </w:rPr>
              <w:t>We remind SBUA to delineate a unique position to prevent future</w:t>
            </w:r>
            <w:r w:rsidR="009A51C8">
              <w:rPr>
                <w:rFonts w:asciiTheme="majorBidi" w:hAnsiTheme="majorBidi" w:cstheme="majorBidi"/>
                <w:color w:val="000000"/>
              </w:rPr>
              <w:t xml:space="preserve"> </w:t>
            </w:r>
            <w:r w:rsidRPr="00B975AF" w:rsidR="009A51C8">
              <w:rPr>
                <w:rFonts w:asciiTheme="majorBidi" w:hAnsiTheme="majorBidi" w:cstheme="majorBidi"/>
                <w:color w:val="000000"/>
              </w:rPr>
              <w:t>reductions.</w:t>
            </w:r>
          </w:p>
          <w:p w:rsidRPr="005E3B86" w:rsidR="00191245" w:rsidP="00540A76" w:rsidRDefault="00191245" w14:paraId="429AA6D5" w14:textId="796E3772">
            <w:pPr>
              <w:spacing w:before="120"/>
              <w:rPr>
                <w:rFonts w:asciiTheme="majorBidi" w:hAnsiTheme="majorBidi" w:cstheme="majorBidi"/>
                <w:color w:val="000000"/>
              </w:rPr>
            </w:pPr>
            <w:r w:rsidRPr="00A45ACF">
              <w:rPr>
                <w:rFonts w:asciiTheme="majorBidi" w:hAnsiTheme="majorBidi" w:cstheme="majorBidi"/>
                <w:i/>
                <w:iCs/>
                <w:color w:val="000000"/>
              </w:rPr>
              <w:t>See</w:t>
            </w:r>
            <w:r>
              <w:rPr>
                <w:rFonts w:asciiTheme="majorBidi" w:hAnsiTheme="majorBidi" w:cstheme="majorBidi"/>
                <w:color w:val="000000"/>
              </w:rPr>
              <w:t xml:space="preserve"> Part III.D</w:t>
            </w:r>
            <w:r w:rsidR="009B1735">
              <w:rPr>
                <w:rFonts w:asciiTheme="majorBidi" w:hAnsiTheme="majorBidi" w:cstheme="majorBidi"/>
                <w:color w:val="000000"/>
              </w:rPr>
              <w:t>.</w:t>
            </w:r>
            <w:r>
              <w:rPr>
                <w:rFonts w:asciiTheme="majorBidi" w:hAnsiTheme="majorBidi" w:cstheme="majorBidi"/>
                <w:color w:val="000000"/>
              </w:rPr>
              <w:t xml:space="preserve"> CPUC Comments, Disallowances, and Adjustments.</w:t>
            </w:r>
          </w:p>
        </w:tc>
      </w:tr>
      <w:tr w:rsidRPr="008936E4" w:rsidR="00B8133B" w:rsidTr="00EA1FCF" w14:paraId="434CB632" w14:textId="77777777">
        <w:trPr>
          <w:trHeight w:val="710"/>
        </w:trPr>
        <w:tc>
          <w:tcPr>
            <w:tcW w:w="3330" w:type="dxa"/>
          </w:tcPr>
          <w:p w:rsidRPr="005E6A06" w:rsidR="00C54F31" w:rsidP="00350DEC" w:rsidRDefault="005E3B86" w14:paraId="3BDFD016" w14:textId="58380922">
            <w:pPr>
              <w:spacing w:after="240"/>
              <w:rPr>
                <w:b/>
                <w:bCs/>
                <w:color w:val="000000"/>
              </w:rPr>
            </w:pPr>
            <w:r w:rsidRPr="00C54F31">
              <w:rPr>
                <w:b/>
                <w:bCs/>
                <w:color w:val="000000"/>
              </w:rPr>
              <w:lastRenderedPageBreak/>
              <w:t xml:space="preserve">5. Application for </w:t>
            </w:r>
            <w:r w:rsidRPr="005E6A06">
              <w:rPr>
                <w:b/>
                <w:bCs/>
                <w:color w:val="000000"/>
              </w:rPr>
              <w:t>Rehearing</w:t>
            </w:r>
          </w:p>
          <w:p w:rsidRPr="005E3B86" w:rsidR="00C54F31" w:rsidP="00D21982" w:rsidRDefault="00C54F31" w14:paraId="0088E783" w14:textId="5D148EA5">
            <w:pPr>
              <w:spacing w:after="120"/>
              <w:rPr>
                <w:color w:val="000000"/>
              </w:rPr>
            </w:pPr>
            <w:r w:rsidRPr="005E6A06">
              <w:t>SBUA made a substantial contribution to the rehearing phase by filing a Response to Applications for Rehearing that addressed ratemaking and policy issues</w:t>
            </w:r>
            <w:r>
              <w:t xml:space="preserve"> raised by PG&amp;E, A4NR, and SLOMFP. </w:t>
            </w:r>
            <w:r w:rsidR="002D7D07">
              <w:t xml:space="preserve">Among other things, </w:t>
            </w:r>
            <w:r w:rsidRPr="00C54F31">
              <w:rPr>
                <w:color w:val="000000"/>
              </w:rPr>
              <w:t xml:space="preserve">SBUA opposed PG&amp;E’s rehearing request to “gross-up” the fixed-management fee for income taxes, arguing that SB 846’s text limits ratepayer responsibility to expressly authorized items and that the Legislature did not provide for a tax gross-up on the fixed fee. SBUA emphasized ratepayer impacts on small businesses and urged the Commission to clarify that this special mechanism does not disturb traditional </w:t>
            </w:r>
            <w:r w:rsidRPr="00C54F31">
              <w:rPr>
                <w:color w:val="000000"/>
              </w:rPr>
              <w:lastRenderedPageBreak/>
              <w:t>G</w:t>
            </w:r>
            <w:r w:rsidR="00E33B71">
              <w:rPr>
                <w:color w:val="000000"/>
              </w:rPr>
              <w:t>eneral Rate Case (GRC)</w:t>
            </w:r>
            <w:r w:rsidRPr="00C54F31">
              <w:rPr>
                <w:color w:val="000000"/>
              </w:rPr>
              <w:t xml:space="preserve"> tax-gross-up practices.</w:t>
            </w:r>
            <w:r>
              <w:rPr>
                <w:color w:val="000000"/>
              </w:rPr>
              <w:t xml:space="preserve"> </w:t>
            </w:r>
            <w:r w:rsidR="0056213C">
              <w:t xml:space="preserve">Response of Small Business Utility Advocates to Applications for Rehearing of Decision 24-12-033, Feb. 5, 2025, </w:t>
            </w:r>
            <w:r w:rsidRPr="00C54F31">
              <w:rPr>
                <w:color w:val="000000"/>
              </w:rPr>
              <w:t>at 4</w:t>
            </w:r>
            <w:r w:rsidR="00A533C0">
              <w:rPr>
                <w:color w:val="000000"/>
              </w:rPr>
              <w:t>-</w:t>
            </w:r>
            <w:r w:rsidRPr="00C54F31">
              <w:rPr>
                <w:color w:val="000000"/>
              </w:rPr>
              <w:t>5</w:t>
            </w:r>
            <w:r w:rsidR="002D7D07">
              <w:t>.</w:t>
            </w:r>
          </w:p>
        </w:tc>
        <w:tc>
          <w:tcPr>
            <w:tcW w:w="3150" w:type="dxa"/>
          </w:tcPr>
          <w:p w:rsidRPr="005E6A06" w:rsidR="009042CA" w:rsidP="002D7D07" w:rsidRDefault="002D7D07" w14:paraId="2E5BF4FA" w14:textId="4767BC19">
            <w:pPr>
              <w:autoSpaceDE w:val="0"/>
              <w:autoSpaceDN w:val="0"/>
              <w:adjustRightInd w:val="0"/>
              <w:spacing w:before="120" w:after="240"/>
            </w:pPr>
            <w:r>
              <w:lastRenderedPageBreak/>
              <w:t>“As SBUA’s Response to PG&amp;E’s Application for Rehearing aptly notes, ‘[</w:t>
            </w:r>
            <w:proofErr w:type="spellStart"/>
            <w:r>
              <w:t>i</w:t>
            </w:r>
            <w:proofErr w:type="spellEnd"/>
            <w:r>
              <w:t>]f the state legislature wanted to pay for PG&amp;E’s taxes on its profit, it would have said so</w:t>
            </w:r>
            <w:proofErr w:type="gramStart"/>
            <w:r>
              <w:t>. . . .</w:t>
            </w:r>
            <w:proofErr w:type="gramEnd"/>
            <w:r>
              <w:t xml:space="preserve"> The fact that the Legislature did not expressly include tax obligations within the scope of allowable cost recovery underscores that PG&amp;E, as a profit seeking entity, should bear the tax consequences </w:t>
            </w:r>
            <w:r w:rsidRPr="005E6A06">
              <w:t xml:space="preserve">of that profit.’ </w:t>
            </w:r>
            <w:r w:rsidRPr="005E6A06" w:rsidR="009042CA">
              <w:t>[Fn. omitted]</w:t>
            </w:r>
            <w:r w:rsidRPr="005E6A06">
              <w:t xml:space="preserve"> We agree with this argument and the Decision’s finding on this issue.</w:t>
            </w:r>
            <w:r w:rsidRPr="005E6A06" w:rsidR="00210761">
              <w:t>” D.25-07-041</w:t>
            </w:r>
            <w:r w:rsidRPr="005E6A06" w:rsidR="00E33B71">
              <w:t xml:space="preserve"> at 6-7</w:t>
            </w:r>
            <w:r w:rsidRPr="005E6A06" w:rsidR="00210761">
              <w:t>.</w:t>
            </w:r>
            <w:r w:rsidRPr="005E6A06" w:rsidR="009042CA">
              <w:t xml:space="preserve"> </w:t>
            </w:r>
          </w:p>
          <w:p w:rsidRPr="005E3B86" w:rsidR="005E3B86" w:rsidP="002D7D07" w:rsidRDefault="009042CA" w14:paraId="1F2645EA" w14:textId="39603C12">
            <w:pPr>
              <w:autoSpaceDE w:val="0"/>
              <w:autoSpaceDN w:val="0"/>
              <w:adjustRightInd w:val="0"/>
              <w:spacing w:before="120" w:after="240"/>
            </w:pPr>
            <w:r w:rsidRPr="005E6A06">
              <w:t xml:space="preserve">The Commission therefore affirmed the original decision’s denial of tax </w:t>
            </w:r>
            <w:proofErr w:type="gramStart"/>
            <w:r w:rsidRPr="005E6A06">
              <w:t>gross-</w:t>
            </w:r>
            <w:r w:rsidRPr="005E6A06">
              <w:lastRenderedPageBreak/>
              <w:t>ups</w:t>
            </w:r>
            <w:proofErr w:type="gramEnd"/>
            <w:r w:rsidRPr="005E6A06">
              <w:t xml:space="preserve"> with minor modifications. </w:t>
            </w:r>
            <w:r w:rsidRPr="005E6A06" w:rsidR="00D21982">
              <w:rPr>
                <w:i/>
                <w:iCs/>
              </w:rPr>
              <w:t>See</w:t>
            </w:r>
            <w:r w:rsidRPr="005E6A06" w:rsidR="00D21982">
              <w:t xml:space="preserve"> </w:t>
            </w:r>
            <w:r w:rsidRPr="005E6A06">
              <w:t>D.25-07-041 at 34-35</w:t>
            </w:r>
            <w:r w:rsidRPr="005E6A06" w:rsidR="00C54F31">
              <w:t>.</w:t>
            </w:r>
          </w:p>
        </w:tc>
        <w:tc>
          <w:tcPr>
            <w:tcW w:w="3330" w:type="dxa"/>
          </w:tcPr>
          <w:p w:rsidRPr="005E3B86" w:rsidR="005E3B86" w:rsidP="00767CAB" w:rsidRDefault="008D249C" w14:paraId="1A54D3C4" w14:textId="79B249C6">
            <w:pPr>
              <w:spacing w:before="120"/>
              <w:rPr>
                <w:rFonts w:asciiTheme="majorBidi" w:hAnsiTheme="majorBidi" w:cstheme="majorBidi"/>
                <w:color w:val="000000"/>
              </w:rPr>
            </w:pPr>
            <w:r>
              <w:rPr>
                <w:rFonts w:asciiTheme="majorBidi" w:hAnsiTheme="majorBidi" w:cstheme="majorBidi"/>
                <w:color w:val="000000"/>
              </w:rPr>
              <w:lastRenderedPageBreak/>
              <w:t>Verified</w:t>
            </w:r>
          </w:p>
        </w:tc>
      </w:tr>
    </w:tbl>
    <w:p w:rsidRPr="00E746B1" w:rsidR="00A92D0B" w:rsidP="00FA64A8" w:rsidRDefault="00A92D0B" w14:paraId="0D4BCD3A" w14:textId="5D5331BC">
      <w:pPr>
        <w:pStyle w:val="ListParagraph"/>
        <w:keepNext/>
        <w:numPr>
          <w:ilvl w:val="0"/>
          <w:numId w:val="8"/>
        </w:numPr>
        <w:spacing w:before="240" w:after="240"/>
        <w:rPr>
          <w:rFonts w:asciiTheme="majorBidi" w:hAnsiTheme="majorBidi" w:cstheme="majorBidi"/>
          <w:b/>
          <w:color w:val="000000"/>
          <w:sz w:val="24"/>
          <w:szCs w:val="24"/>
        </w:rPr>
      </w:pPr>
      <w:r w:rsidRPr="00E746B1">
        <w:rPr>
          <w:rFonts w:asciiTheme="majorBidi" w:hAnsiTheme="majorBidi" w:cstheme="majorBidi"/>
          <w:b/>
          <w:color w:val="000000"/>
          <w:sz w:val="24"/>
          <w:szCs w:val="24"/>
        </w:rPr>
        <w:t xml:space="preserve">Duplication of Effort (§ 1801.3(f) </w:t>
      </w:r>
      <w:r w:rsidRPr="00E746B1" w:rsidR="00F30DA8">
        <w:rPr>
          <w:rFonts w:asciiTheme="majorBidi" w:hAnsiTheme="majorBidi" w:cstheme="majorBidi"/>
          <w:b/>
          <w:color w:val="000000"/>
          <w:sz w:val="24"/>
          <w:szCs w:val="24"/>
        </w:rPr>
        <w:t xml:space="preserve">and § </w:t>
      </w:r>
      <w:r w:rsidRPr="00E746B1" w:rsidR="0022302F">
        <w:rPr>
          <w:rFonts w:asciiTheme="majorBidi" w:hAnsiTheme="majorBidi" w:cstheme="majorBidi"/>
          <w:b/>
          <w:color w:val="000000"/>
          <w:sz w:val="24"/>
          <w:szCs w:val="24"/>
        </w:rPr>
        <w:t>1802.5)</w:t>
      </w:r>
      <w:r w:rsidRPr="00E746B1" w:rsidR="00C02649">
        <w:rPr>
          <w:rFonts w:asciiTheme="majorBidi" w:hAnsiTheme="majorBidi" w:cstheme="majorBidi"/>
          <w:b/>
          <w:color w:val="000000"/>
          <w:sz w:val="24"/>
          <w:szCs w:val="24"/>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8936E4" w:rsidR="00A92D0B" w:rsidTr="00616CBF" w14:paraId="76F3266C" w14:textId="77777777">
        <w:tc>
          <w:tcPr>
            <w:tcW w:w="6048" w:type="dxa"/>
            <w:shd w:val="clear" w:color="auto" w:fill="D9D9D9" w:themeFill="background1" w:themeFillShade="D9"/>
          </w:tcPr>
          <w:p w:rsidRPr="008936E4" w:rsidR="00A92D0B" w:rsidP="00073262" w:rsidRDefault="00A92D0B" w14:paraId="300CEDBC" w14:textId="77777777">
            <w:pPr>
              <w:keepNext/>
              <w:keepLines/>
              <w:rPr>
                <w:rFonts w:asciiTheme="majorBidi" w:hAnsiTheme="majorBidi" w:cstheme="majorBidi"/>
                <w:color w:val="000000"/>
              </w:rPr>
            </w:pPr>
          </w:p>
        </w:tc>
        <w:tc>
          <w:tcPr>
            <w:tcW w:w="1710" w:type="dxa"/>
            <w:tcBorders>
              <w:bottom w:val="single" w:color="auto" w:sz="4" w:space="0"/>
            </w:tcBorders>
            <w:shd w:val="clear" w:color="auto" w:fill="D9D9D9" w:themeFill="background1" w:themeFillShade="D9"/>
          </w:tcPr>
          <w:p w:rsidRPr="008936E4" w:rsidR="00A92D0B" w:rsidP="00073262" w:rsidRDefault="005A63D4" w14:paraId="7B091096" w14:textId="77777777">
            <w:pPr>
              <w:keepNext/>
              <w:keepLines/>
              <w:jc w:val="center"/>
              <w:rPr>
                <w:rFonts w:asciiTheme="majorBidi" w:hAnsiTheme="majorBidi" w:cstheme="majorBidi"/>
                <w:b/>
                <w:color w:val="000000"/>
              </w:rPr>
            </w:pPr>
            <w:r w:rsidRPr="008936E4">
              <w:rPr>
                <w:rFonts w:asciiTheme="majorBidi" w:hAnsiTheme="majorBidi" w:cstheme="majorBidi"/>
                <w:b/>
                <w:color w:val="000000"/>
              </w:rPr>
              <w:t>Interveno</w:t>
            </w:r>
            <w:r w:rsidRPr="008936E4" w:rsidR="00204E3A">
              <w:rPr>
                <w:rFonts w:asciiTheme="majorBidi" w:hAnsiTheme="majorBidi" w:cstheme="majorBidi"/>
                <w:b/>
                <w:color w:val="000000"/>
              </w:rPr>
              <w:t>r</w:t>
            </w:r>
            <w:r w:rsidRPr="008936E4">
              <w:rPr>
                <w:rFonts w:asciiTheme="majorBidi" w:hAnsiTheme="majorBidi" w:cstheme="majorBidi"/>
                <w:b/>
                <w:color w:val="000000"/>
              </w:rPr>
              <w:t xml:space="preserve">’s </w:t>
            </w:r>
            <w:r w:rsidRPr="008936E4" w:rsidR="00D075B1">
              <w:rPr>
                <w:rFonts w:asciiTheme="majorBidi" w:hAnsiTheme="majorBidi" w:cstheme="majorBidi"/>
                <w:b/>
                <w:color w:val="000000"/>
              </w:rPr>
              <w:t>Assertion</w:t>
            </w:r>
          </w:p>
        </w:tc>
        <w:tc>
          <w:tcPr>
            <w:tcW w:w="1980" w:type="dxa"/>
            <w:shd w:val="clear" w:color="auto" w:fill="D9D9D9" w:themeFill="background1" w:themeFillShade="D9"/>
          </w:tcPr>
          <w:p w:rsidRPr="008936E4" w:rsidR="00A92D0B" w:rsidP="00073262" w:rsidRDefault="00A92D0B" w14:paraId="25CE5081" w14:textId="77777777">
            <w:pPr>
              <w:keepNext/>
              <w:keepLines/>
              <w:jc w:val="center"/>
              <w:rPr>
                <w:rFonts w:asciiTheme="majorBidi" w:hAnsiTheme="majorBidi" w:cstheme="majorBidi"/>
                <w:b/>
                <w:color w:val="000000"/>
              </w:rPr>
            </w:pPr>
            <w:r w:rsidRPr="008936E4">
              <w:rPr>
                <w:rFonts w:asciiTheme="majorBidi" w:hAnsiTheme="majorBidi" w:cstheme="majorBidi"/>
                <w:b/>
                <w:color w:val="000000"/>
              </w:rPr>
              <w:t xml:space="preserve">CPUC </w:t>
            </w:r>
            <w:r w:rsidRPr="008936E4" w:rsidR="00D075B1">
              <w:rPr>
                <w:rFonts w:asciiTheme="majorBidi" w:hAnsiTheme="majorBidi" w:cstheme="majorBidi"/>
                <w:b/>
                <w:color w:val="000000"/>
              </w:rPr>
              <w:t>Discussion</w:t>
            </w:r>
          </w:p>
        </w:tc>
      </w:tr>
      <w:tr w:rsidRPr="008936E4" w:rsidR="006E7813" w:rsidTr="002D4317" w14:paraId="24A12BE1" w14:textId="77777777">
        <w:trPr>
          <w:tblHeader/>
        </w:trPr>
        <w:tc>
          <w:tcPr>
            <w:tcW w:w="6048" w:type="dxa"/>
          </w:tcPr>
          <w:p w:rsidRPr="002D4317" w:rsidR="006E7813" w:rsidP="006E7813" w:rsidRDefault="006E7813" w14:paraId="6915FAF6" w14:textId="1E30C3C7">
            <w:pPr>
              <w:keepLines/>
              <w:ind w:left="360" w:hanging="360"/>
              <w:rPr>
                <w:rFonts w:asciiTheme="majorBidi" w:hAnsiTheme="majorBidi" w:cstheme="majorBidi"/>
                <w:b/>
                <w:color w:val="000000"/>
              </w:rPr>
            </w:pPr>
            <w:r w:rsidRPr="002D4317">
              <w:rPr>
                <w:rFonts w:asciiTheme="majorBidi" w:hAnsiTheme="majorBidi" w:cstheme="majorBidi"/>
                <w:b/>
                <w:color w:val="000000"/>
              </w:rPr>
              <w:t>a.</w:t>
            </w:r>
            <w:r w:rsidRPr="002D4317">
              <w:rPr>
                <w:rFonts w:asciiTheme="majorBidi" w:hAnsiTheme="majorBidi" w:cstheme="majorBidi"/>
                <w:b/>
                <w:color w:val="000000"/>
              </w:rPr>
              <w:tab/>
            </w:r>
            <w:r w:rsidRPr="002D4317">
              <w:rPr>
                <w:rFonts w:asciiTheme="majorBidi" w:hAnsiTheme="majorBidi" w:cstheme="majorBidi"/>
                <w:b/>
              </w:rPr>
              <w:t xml:space="preserve">Was the </w:t>
            </w:r>
            <w:r w:rsidRPr="002D4317">
              <w:rPr>
                <w:rFonts w:asciiTheme="majorBidi" w:hAnsiTheme="majorBidi" w:cstheme="majorBidi"/>
                <w:b/>
                <w:color w:val="000000"/>
              </w:rPr>
              <w:t>Public Advocate’s Office of the Public Utilities Commission</w:t>
            </w:r>
            <w:r w:rsidRPr="002D4317">
              <w:rPr>
                <w:rFonts w:asciiTheme="majorBidi" w:hAnsiTheme="majorBidi" w:cstheme="majorBidi"/>
                <w:b/>
              </w:rPr>
              <w:t xml:space="preserve"> </w:t>
            </w:r>
            <w:r w:rsidRPr="002D4317">
              <w:rPr>
                <w:rFonts w:asciiTheme="majorBidi" w:hAnsiTheme="majorBidi" w:cstheme="majorBidi"/>
                <w:b/>
                <w:color w:val="000000"/>
              </w:rPr>
              <w:t>(Cal Advocates</w:t>
            </w:r>
            <w:r w:rsidRPr="002D4317">
              <w:rPr>
                <w:rFonts w:asciiTheme="majorBidi" w:hAnsiTheme="majorBidi" w:cstheme="majorBidi"/>
                <w:b/>
              </w:rPr>
              <w:t>) a party to the proceeding</w:t>
            </w:r>
            <w:r w:rsidRPr="002D4317">
              <w:rPr>
                <w:rFonts w:asciiTheme="majorBidi" w:hAnsiTheme="majorBidi" w:cstheme="majorBidi"/>
                <w:b/>
                <w:color w:val="000000"/>
              </w:rPr>
              <w:t>?</w:t>
            </w:r>
          </w:p>
        </w:tc>
        <w:tc>
          <w:tcPr>
            <w:tcW w:w="1710" w:type="dxa"/>
          </w:tcPr>
          <w:p w:rsidRPr="002D4317" w:rsidR="006E7813" w:rsidP="006E7813" w:rsidRDefault="00152100" w14:paraId="0B49A7C8" w14:textId="26B4EB7F">
            <w:pPr>
              <w:keepNext/>
              <w:keepLines/>
              <w:rPr>
                <w:rFonts w:asciiTheme="majorBidi" w:hAnsiTheme="majorBidi" w:cstheme="majorBidi"/>
                <w:color w:val="000000"/>
              </w:rPr>
            </w:pPr>
            <w:r w:rsidRPr="002D4317">
              <w:rPr>
                <w:rFonts w:asciiTheme="majorBidi" w:hAnsiTheme="majorBidi" w:cstheme="majorBidi"/>
                <w:color w:val="000000"/>
              </w:rPr>
              <w:t>Yes</w:t>
            </w:r>
            <w:r w:rsidRPr="002D4317" w:rsidR="006E7813">
              <w:rPr>
                <w:rFonts w:asciiTheme="majorBidi" w:hAnsiTheme="majorBidi" w:cstheme="majorBidi"/>
                <w:color w:val="000000"/>
              </w:rPr>
              <w:t>.</w:t>
            </w:r>
          </w:p>
        </w:tc>
        <w:tc>
          <w:tcPr>
            <w:tcW w:w="1980" w:type="dxa"/>
          </w:tcPr>
          <w:p w:rsidRPr="008936E4" w:rsidR="006E7813" w:rsidP="00526F0B" w:rsidRDefault="00DC2776" w14:paraId="23B6532A" w14:textId="353D4797">
            <w:pPr>
              <w:keepNext/>
              <w:keepLines/>
              <w:rPr>
                <w:rFonts w:asciiTheme="majorBidi" w:hAnsiTheme="majorBidi" w:cstheme="majorBidi"/>
                <w:color w:val="000000"/>
              </w:rPr>
            </w:pPr>
            <w:r>
              <w:rPr>
                <w:rFonts w:asciiTheme="majorBidi" w:hAnsiTheme="majorBidi" w:cstheme="majorBidi"/>
                <w:color w:val="000000"/>
              </w:rPr>
              <w:t>Verified</w:t>
            </w:r>
          </w:p>
        </w:tc>
      </w:tr>
      <w:tr w:rsidRPr="008936E4" w:rsidR="006E7813" w:rsidTr="002D4317" w14:paraId="3317BD71" w14:textId="77777777">
        <w:tc>
          <w:tcPr>
            <w:tcW w:w="6048" w:type="dxa"/>
          </w:tcPr>
          <w:p w:rsidRPr="002D4317" w:rsidR="006E7813" w:rsidP="006E7813" w:rsidRDefault="006E7813" w14:paraId="561D245D" w14:textId="77777777">
            <w:pPr>
              <w:tabs>
                <w:tab w:val="left" w:pos="360"/>
              </w:tabs>
              <w:ind w:left="360" w:hanging="360"/>
              <w:rPr>
                <w:rFonts w:asciiTheme="majorBidi" w:hAnsiTheme="majorBidi" w:cstheme="majorBidi"/>
                <w:b/>
                <w:color w:val="000000"/>
              </w:rPr>
            </w:pPr>
            <w:r w:rsidRPr="002D4317">
              <w:rPr>
                <w:rFonts w:asciiTheme="majorBidi" w:hAnsiTheme="majorBidi" w:cstheme="majorBidi"/>
                <w:b/>
                <w:color w:val="000000"/>
              </w:rPr>
              <w:t>b.</w:t>
            </w:r>
            <w:r w:rsidRPr="002D4317">
              <w:rPr>
                <w:rFonts w:asciiTheme="majorBidi" w:hAnsiTheme="majorBidi" w:cstheme="majorBidi"/>
                <w:b/>
                <w:color w:val="000000"/>
              </w:rPr>
              <w:tab/>
              <w:t xml:space="preserve">Were there other parties to </w:t>
            </w:r>
            <w:proofErr w:type="gramStart"/>
            <w:r w:rsidRPr="002D4317">
              <w:rPr>
                <w:rFonts w:asciiTheme="majorBidi" w:hAnsiTheme="majorBidi" w:cstheme="majorBidi"/>
                <w:b/>
                <w:color w:val="000000"/>
              </w:rPr>
              <w:t>the proceeding</w:t>
            </w:r>
            <w:proofErr w:type="gramEnd"/>
            <w:r w:rsidRPr="002D4317">
              <w:rPr>
                <w:rFonts w:asciiTheme="majorBidi" w:hAnsiTheme="majorBidi" w:cstheme="majorBidi"/>
                <w:b/>
                <w:color w:val="000000"/>
              </w:rPr>
              <w:t xml:space="preserve"> with positions </w:t>
            </w:r>
            <w:proofErr w:type="gramStart"/>
            <w:r w:rsidRPr="002D4317">
              <w:rPr>
                <w:rFonts w:asciiTheme="majorBidi" w:hAnsiTheme="majorBidi" w:cstheme="majorBidi"/>
                <w:b/>
                <w:color w:val="000000"/>
              </w:rPr>
              <w:t>similar to</w:t>
            </w:r>
            <w:proofErr w:type="gramEnd"/>
            <w:r w:rsidRPr="002D4317">
              <w:rPr>
                <w:rFonts w:asciiTheme="majorBidi" w:hAnsiTheme="majorBidi" w:cstheme="majorBidi"/>
                <w:b/>
                <w:color w:val="000000"/>
              </w:rPr>
              <w:t xml:space="preserve"> yours? </w:t>
            </w:r>
          </w:p>
        </w:tc>
        <w:tc>
          <w:tcPr>
            <w:tcW w:w="1710" w:type="dxa"/>
          </w:tcPr>
          <w:p w:rsidRPr="002D4317" w:rsidR="006E7813" w:rsidP="006E7813" w:rsidRDefault="00A84D00" w14:paraId="3708E485" w14:textId="77BC75F4">
            <w:pPr>
              <w:rPr>
                <w:rFonts w:asciiTheme="majorBidi" w:hAnsiTheme="majorBidi" w:cstheme="majorBidi"/>
                <w:color w:val="000000"/>
              </w:rPr>
            </w:pPr>
            <w:r w:rsidRPr="002D4317">
              <w:rPr>
                <w:rFonts w:asciiTheme="majorBidi" w:hAnsiTheme="majorBidi" w:cstheme="majorBidi"/>
                <w:color w:val="000000"/>
              </w:rPr>
              <w:t>Yes</w:t>
            </w:r>
            <w:r w:rsidRPr="002D4317" w:rsidR="006E7813">
              <w:rPr>
                <w:rFonts w:asciiTheme="majorBidi" w:hAnsiTheme="majorBidi" w:cstheme="majorBidi"/>
                <w:color w:val="000000"/>
              </w:rPr>
              <w:t>.</w:t>
            </w:r>
          </w:p>
        </w:tc>
        <w:tc>
          <w:tcPr>
            <w:tcW w:w="1980" w:type="dxa"/>
          </w:tcPr>
          <w:p w:rsidRPr="008936E4" w:rsidR="006E7813" w:rsidP="00526F0B" w:rsidRDefault="00DC2776" w14:paraId="6B3388E6" w14:textId="27B9C4E3">
            <w:pPr>
              <w:rPr>
                <w:rFonts w:asciiTheme="majorBidi" w:hAnsiTheme="majorBidi" w:cstheme="majorBidi"/>
                <w:color w:val="000000"/>
              </w:rPr>
            </w:pPr>
            <w:r>
              <w:rPr>
                <w:rFonts w:asciiTheme="majorBidi" w:hAnsiTheme="majorBidi" w:cstheme="majorBidi"/>
                <w:color w:val="000000"/>
              </w:rPr>
              <w:t>Verified</w:t>
            </w:r>
          </w:p>
        </w:tc>
      </w:tr>
      <w:tr w:rsidRPr="008936E4" w:rsidR="00A92D0B" w:rsidTr="002D4317" w14:paraId="0A51B7D4" w14:textId="77777777">
        <w:tc>
          <w:tcPr>
            <w:tcW w:w="7758" w:type="dxa"/>
            <w:gridSpan w:val="2"/>
          </w:tcPr>
          <w:p w:rsidRPr="002D4317" w:rsidR="00A92D0B" w:rsidP="00526F0B" w:rsidRDefault="00A92D0B" w14:paraId="096EE2AD" w14:textId="3AC0B51B">
            <w:pPr>
              <w:tabs>
                <w:tab w:val="left" w:pos="720"/>
                <w:tab w:val="left" w:pos="1440"/>
                <w:tab w:val="left" w:pos="2160"/>
                <w:tab w:val="left" w:pos="2880"/>
                <w:tab w:val="left" w:pos="3600"/>
                <w:tab w:val="right" w:pos="7542"/>
              </w:tabs>
              <w:ind w:left="360" w:hanging="360"/>
              <w:rPr>
                <w:rFonts w:asciiTheme="majorBidi" w:hAnsiTheme="majorBidi" w:cstheme="majorBidi"/>
                <w:color w:val="000000"/>
              </w:rPr>
            </w:pPr>
            <w:proofErr w:type="gramStart"/>
            <w:r w:rsidRPr="002D4317">
              <w:rPr>
                <w:rFonts w:asciiTheme="majorBidi" w:hAnsiTheme="majorBidi" w:cstheme="majorBidi"/>
                <w:b/>
                <w:color w:val="000000"/>
              </w:rPr>
              <w:t>c.</w:t>
            </w:r>
            <w:r w:rsidRPr="002D4317">
              <w:rPr>
                <w:rFonts w:asciiTheme="majorBidi" w:hAnsiTheme="majorBidi" w:cstheme="majorBidi"/>
                <w:b/>
                <w:color w:val="000000"/>
              </w:rPr>
              <w:tab/>
              <w:t>If</w:t>
            </w:r>
            <w:proofErr w:type="gramEnd"/>
            <w:r w:rsidRPr="002D4317">
              <w:rPr>
                <w:rFonts w:asciiTheme="majorBidi" w:hAnsiTheme="majorBidi" w:cstheme="majorBidi"/>
                <w:b/>
                <w:color w:val="000000"/>
              </w:rPr>
              <w:t xml:space="preserve"> so, provide name of other parties:</w:t>
            </w:r>
            <w:r w:rsidRPr="002D4317" w:rsidR="00E25078">
              <w:rPr>
                <w:rFonts w:asciiTheme="majorBidi" w:hAnsiTheme="majorBidi" w:cstheme="majorBidi"/>
                <w:color w:val="000000"/>
              </w:rPr>
              <w:t xml:space="preserve"> </w:t>
            </w:r>
            <w:r w:rsidR="00F21BAA">
              <w:rPr>
                <w:rFonts w:asciiTheme="majorBidi" w:hAnsiTheme="majorBidi" w:cstheme="majorBidi"/>
                <w:color w:val="000000"/>
              </w:rPr>
              <w:tab/>
            </w:r>
          </w:p>
          <w:p w:rsidRPr="002D4317" w:rsidR="00A84D00" w:rsidP="00A533C0" w:rsidRDefault="00A84D00" w14:paraId="0919176B" w14:textId="4C67F8F4">
            <w:pPr>
              <w:autoSpaceDE w:val="0"/>
              <w:autoSpaceDN w:val="0"/>
              <w:adjustRightInd w:val="0"/>
              <w:spacing w:before="240" w:after="120"/>
            </w:pPr>
            <w:r w:rsidRPr="002D4317">
              <w:t xml:space="preserve">A4NR, SLO, </w:t>
            </w:r>
            <w:r w:rsidRPr="002D4317" w:rsidR="00A2060E">
              <w:t>GPI</w:t>
            </w:r>
            <w:r w:rsidRPr="002D4317">
              <w:t>, Californians for Renewable Energy, The Utility Reform Network</w:t>
            </w:r>
            <w:r w:rsidRPr="002D4317" w:rsidR="001D7F38">
              <w:t>.</w:t>
            </w:r>
          </w:p>
        </w:tc>
        <w:tc>
          <w:tcPr>
            <w:tcW w:w="1980" w:type="dxa"/>
          </w:tcPr>
          <w:p w:rsidRPr="008936E4" w:rsidR="00A92D0B" w:rsidP="00526F0B" w:rsidRDefault="00937E1D" w14:paraId="22A40B49" w14:textId="7653998D">
            <w:pPr>
              <w:rPr>
                <w:rFonts w:asciiTheme="majorBidi" w:hAnsiTheme="majorBidi" w:cstheme="majorBidi"/>
                <w:color w:val="000000"/>
              </w:rPr>
            </w:pPr>
            <w:r>
              <w:rPr>
                <w:rFonts w:asciiTheme="majorBidi" w:hAnsiTheme="majorBidi" w:cstheme="majorBidi"/>
                <w:color w:val="000000"/>
              </w:rPr>
              <w:t>Noted</w:t>
            </w:r>
          </w:p>
        </w:tc>
      </w:tr>
      <w:tr w:rsidRPr="008936E4" w:rsidR="00A92D0B" w:rsidTr="002D4317" w14:paraId="744830F5" w14:textId="77777777">
        <w:tc>
          <w:tcPr>
            <w:tcW w:w="7758" w:type="dxa"/>
            <w:gridSpan w:val="2"/>
          </w:tcPr>
          <w:p w:rsidRPr="002D4317" w:rsidR="00616CBF" w:rsidP="00E36980" w:rsidRDefault="00A92D0B" w14:paraId="1A6DA1EC" w14:textId="42E29686">
            <w:pPr>
              <w:tabs>
                <w:tab w:val="left" w:pos="360"/>
              </w:tabs>
              <w:spacing w:after="240"/>
              <w:ind w:left="360" w:hanging="360"/>
              <w:rPr>
                <w:rFonts w:asciiTheme="majorBidi" w:hAnsiTheme="majorBidi" w:cstheme="majorBidi"/>
                <w:color w:val="000000"/>
              </w:rPr>
            </w:pPr>
            <w:r w:rsidRPr="002D4317">
              <w:rPr>
                <w:rFonts w:asciiTheme="majorBidi" w:hAnsiTheme="majorBidi" w:cstheme="majorBidi"/>
                <w:b/>
                <w:color w:val="000000"/>
              </w:rPr>
              <w:t>d.</w:t>
            </w:r>
            <w:r w:rsidRPr="002D4317">
              <w:rPr>
                <w:rFonts w:asciiTheme="majorBidi" w:hAnsiTheme="majorBidi" w:cstheme="majorBidi"/>
                <w:b/>
                <w:color w:val="000000"/>
              </w:rPr>
              <w:tab/>
            </w:r>
            <w:r w:rsidRPr="002D4317" w:rsidR="00D075B1">
              <w:rPr>
                <w:rFonts w:asciiTheme="majorBidi" w:hAnsiTheme="majorBidi" w:cstheme="majorBidi"/>
                <w:b/>
                <w:color w:val="000000"/>
              </w:rPr>
              <w:t xml:space="preserve">Intervenor’s </w:t>
            </w:r>
            <w:r w:rsidRPr="002D4317" w:rsidR="00A319DE">
              <w:rPr>
                <w:rFonts w:asciiTheme="majorBidi" w:hAnsiTheme="majorBidi" w:cstheme="majorBidi"/>
                <w:b/>
                <w:color w:val="000000"/>
              </w:rPr>
              <w:t>c</w:t>
            </w:r>
            <w:r w:rsidRPr="002D4317" w:rsidR="00D075B1">
              <w:rPr>
                <w:rFonts w:asciiTheme="majorBidi" w:hAnsiTheme="majorBidi" w:cstheme="majorBidi"/>
                <w:b/>
                <w:color w:val="000000"/>
              </w:rPr>
              <w:t xml:space="preserve">laim of </w:t>
            </w:r>
            <w:r w:rsidRPr="002D4317" w:rsidR="00A319DE">
              <w:rPr>
                <w:rFonts w:asciiTheme="majorBidi" w:hAnsiTheme="majorBidi" w:cstheme="majorBidi"/>
                <w:b/>
                <w:color w:val="000000"/>
              </w:rPr>
              <w:t>n</w:t>
            </w:r>
            <w:r w:rsidRPr="002D4317" w:rsidR="00D075B1">
              <w:rPr>
                <w:rFonts w:asciiTheme="majorBidi" w:hAnsiTheme="majorBidi" w:cstheme="majorBidi"/>
                <w:b/>
                <w:color w:val="000000"/>
              </w:rPr>
              <w:t>on-</w:t>
            </w:r>
            <w:r w:rsidRPr="002D4317" w:rsidR="00A319DE">
              <w:rPr>
                <w:rFonts w:asciiTheme="majorBidi" w:hAnsiTheme="majorBidi" w:cstheme="majorBidi"/>
                <w:b/>
                <w:color w:val="000000"/>
              </w:rPr>
              <w:t>d</w:t>
            </w:r>
            <w:r w:rsidRPr="002D4317" w:rsidR="00D075B1">
              <w:rPr>
                <w:rFonts w:asciiTheme="majorBidi" w:hAnsiTheme="majorBidi" w:cstheme="majorBidi"/>
                <w:b/>
                <w:color w:val="000000"/>
              </w:rPr>
              <w:t>uplication:</w:t>
            </w:r>
            <w:r w:rsidRPr="002D4317" w:rsidR="00E25078">
              <w:rPr>
                <w:rFonts w:asciiTheme="majorBidi" w:hAnsiTheme="majorBidi" w:cstheme="majorBidi"/>
                <w:color w:val="000000"/>
              </w:rPr>
              <w:t xml:space="preserve"> </w:t>
            </w:r>
          </w:p>
          <w:p w:rsidRPr="002D4317" w:rsidR="00A533C0" w:rsidP="00E36980" w:rsidRDefault="00A533C0" w14:paraId="38D826FB" w14:textId="644052EF">
            <w:pPr>
              <w:pStyle w:val="whitespace-normal"/>
              <w:spacing w:before="0" w:beforeAutospacing="0" w:after="0" w:afterAutospacing="0"/>
            </w:pPr>
            <w:r w:rsidRPr="002D4317">
              <w:t>SBUA sought to reduce overlap of efforts by presenting unique perspectives on the concerns of small business ratepayers as a distinct customer class. SBUA’s expert, Michael Brown, offered independent analysis on many issues through his testimony, and SBUA was the only party that specifically analyzed and presented the perspectives of small commercial customers. Although the interests of various customer classes can overlap, SBUA’s positions did not mirror other parties’ advocacy.</w:t>
            </w:r>
          </w:p>
          <w:p w:rsidRPr="002D4317" w:rsidR="00A533C0" w:rsidP="00A533C0" w:rsidRDefault="00A533C0" w14:paraId="459E4F6C" w14:textId="2FE5A181">
            <w:pPr>
              <w:pStyle w:val="whitespace-normal"/>
            </w:pPr>
            <w:r w:rsidRPr="002D4317">
              <w:t xml:space="preserve">For </w:t>
            </w:r>
            <w:r w:rsidRPr="002D4317" w:rsidR="00D21982">
              <w:t>example, o</w:t>
            </w:r>
            <w:r w:rsidRPr="002D4317" w:rsidR="00540E73">
              <w:t xml:space="preserve">n </w:t>
            </w:r>
            <w:r w:rsidRPr="002D4317" w:rsidR="00D21982">
              <w:t xml:space="preserve">VPF allocation, SBUA was the sole advocate for dedicating funds specifically to small business decarbonization assistance. </w:t>
            </w:r>
            <w:r w:rsidRPr="002D4317" w:rsidR="00540E73">
              <w:t>W</w:t>
            </w:r>
            <w:r w:rsidRPr="002D4317">
              <w:t>hile SBUA joined others in opposing tax gross-ups, SBUA uniquely emphasized the disproportionate burden on small businesses</w:t>
            </w:r>
            <w:r w:rsidRPr="002D4317" w:rsidR="00540E73">
              <w:t xml:space="preserve"> rates that are already too high</w:t>
            </w:r>
            <w:r w:rsidRPr="002D4317">
              <w:t>.</w:t>
            </w:r>
            <w:r w:rsidRPr="002D4317" w:rsidR="00540E73">
              <w:t xml:space="preserve"> </w:t>
            </w:r>
            <w:r w:rsidRPr="002D4317" w:rsidR="00540E73">
              <w:rPr>
                <w:i/>
                <w:iCs/>
              </w:rPr>
              <w:t>See, e.g</w:t>
            </w:r>
            <w:r w:rsidRPr="002D4317" w:rsidR="00540E73">
              <w:t>., Ex. SBUA-01 at 23.</w:t>
            </w:r>
            <w:r w:rsidRPr="002D4317">
              <w:t xml:space="preserve"> Even where positions converged with other parties on certain issues, SBUA provided distinct expert analysis.</w:t>
            </w:r>
          </w:p>
          <w:p w:rsidRPr="002D4317" w:rsidR="00916E7A" w:rsidP="00A533C0" w:rsidRDefault="00A533C0" w14:paraId="3228BB07" w14:textId="73BA452A">
            <w:pPr>
              <w:pStyle w:val="whitespace-normal"/>
              <w:spacing w:after="120" w:afterAutospacing="0"/>
            </w:pPr>
            <w:r w:rsidRPr="002D4317">
              <w:t xml:space="preserve">Therefore, while other parties may have had positions that were </w:t>
            </w:r>
            <w:proofErr w:type="gramStart"/>
            <w:r w:rsidRPr="002D4317">
              <w:t>similar to</w:t>
            </w:r>
            <w:proofErr w:type="gramEnd"/>
            <w:r w:rsidRPr="002D4317">
              <w:t xml:space="preserve"> SBUA in some respects, our perspectives and goals were necessarily different, and efforts on common issues were supplemented, not duplicated</w:t>
            </w:r>
            <w:r w:rsidRPr="002D4317" w:rsidR="00916E7A">
              <w:t>.</w:t>
            </w:r>
          </w:p>
        </w:tc>
        <w:tc>
          <w:tcPr>
            <w:tcW w:w="1980" w:type="dxa"/>
          </w:tcPr>
          <w:p w:rsidR="00395571" w:rsidP="0042760F" w:rsidRDefault="0042760F" w14:paraId="3E3C2E6E" w14:textId="77777777">
            <w:pPr>
              <w:tabs>
                <w:tab w:val="left" w:pos="360"/>
              </w:tabs>
              <w:rPr>
                <w:color w:val="000000"/>
              </w:rPr>
            </w:pPr>
            <w:r>
              <w:rPr>
                <w:color w:val="000000"/>
              </w:rPr>
              <w:t xml:space="preserve">Noted, but </w:t>
            </w:r>
            <w:r w:rsidRPr="00B017AE">
              <w:rPr>
                <w:i/>
                <w:iCs/>
                <w:color w:val="000000"/>
              </w:rPr>
              <w:t xml:space="preserve">See </w:t>
            </w:r>
            <w:r>
              <w:rPr>
                <w:color w:val="000000"/>
              </w:rPr>
              <w:t xml:space="preserve">CPUC Disallowances and Adjustments in Section III.D. </w:t>
            </w:r>
          </w:p>
          <w:p w:rsidR="00395571" w:rsidP="0042760F" w:rsidRDefault="00395571" w14:paraId="17E884FB" w14:textId="77777777">
            <w:pPr>
              <w:tabs>
                <w:tab w:val="left" w:pos="360"/>
              </w:tabs>
              <w:rPr>
                <w:color w:val="000000"/>
              </w:rPr>
            </w:pPr>
          </w:p>
          <w:p w:rsidRPr="008936E4" w:rsidR="00A92D0B" w:rsidP="0042760F" w:rsidRDefault="00A92D0B" w14:paraId="5F9BBA55" w14:textId="40207E44">
            <w:pPr>
              <w:tabs>
                <w:tab w:val="left" w:pos="360"/>
              </w:tabs>
              <w:rPr>
                <w:rFonts w:asciiTheme="majorBidi" w:hAnsiTheme="majorBidi" w:cstheme="majorBidi"/>
                <w:color w:val="000000"/>
              </w:rPr>
            </w:pPr>
          </w:p>
        </w:tc>
      </w:tr>
    </w:tbl>
    <w:p w:rsidRPr="008936E4" w:rsidR="00A92D0B" w:rsidP="006E1A6C" w:rsidRDefault="00A92D0B" w14:paraId="48FE39F8" w14:textId="0B504AB9">
      <w:pPr>
        <w:keepNext/>
        <w:tabs>
          <w:tab w:val="left" w:pos="1260"/>
        </w:tabs>
        <w:spacing w:before="480"/>
        <w:ind w:left="1267" w:hanging="1267"/>
        <w:jc w:val="center"/>
        <w:rPr>
          <w:rFonts w:asciiTheme="majorBidi" w:hAnsiTheme="majorBidi" w:cstheme="majorBidi"/>
          <w:i/>
          <w:color w:val="000000"/>
          <w:u w:val="single"/>
        </w:rPr>
      </w:pPr>
      <w:r w:rsidRPr="008936E4">
        <w:rPr>
          <w:rFonts w:asciiTheme="majorBidi" w:hAnsiTheme="majorBidi" w:cstheme="majorBidi"/>
          <w:b/>
          <w:color w:val="000000"/>
        </w:rPr>
        <w:lastRenderedPageBreak/>
        <w:t>PART III</w:t>
      </w:r>
      <w:r w:rsidRPr="008936E4" w:rsidR="00F63B3C">
        <w:rPr>
          <w:rFonts w:asciiTheme="majorBidi" w:hAnsiTheme="majorBidi" w:cstheme="majorBidi"/>
          <w:b/>
          <w:color w:val="000000"/>
        </w:rPr>
        <w:t>: REASONABLENESS</w:t>
      </w:r>
      <w:r w:rsidRPr="008936E4">
        <w:rPr>
          <w:rFonts w:asciiTheme="majorBidi" w:hAnsiTheme="majorBidi" w:cstheme="majorBidi"/>
          <w:b/>
          <w:color w:val="000000"/>
        </w:rPr>
        <w:t xml:space="preserve"> OF REQUESTED COMPENSATION</w:t>
      </w:r>
    </w:p>
    <w:p w:rsidRPr="008936E4" w:rsidR="00A92D0B" w:rsidP="005B5B44" w:rsidRDefault="00A92D0B" w14:paraId="6F74DAE2" w14:textId="77777777">
      <w:pPr>
        <w:keepNext/>
        <w:numPr>
          <w:ilvl w:val="0"/>
          <w:numId w:val="9"/>
        </w:numPr>
        <w:spacing w:before="240" w:after="240"/>
        <w:rPr>
          <w:rFonts w:asciiTheme="majorBidi" w:hAnsiTheme="majorBidi" w:cstheme="majorBidi"/>
          <w:b/>
          <w:color w:val="000000"/>
        </w:rPr>
      </w:pPr>
      <w:r w:rsidRPr="008936E4">
        <w:rPr>
          <w:rFonts w:asciiTheme="majorBidi" w:hAnsiTheme="majorBidi" w:cstheme="majorBidi"/>
          <w:b/>
          <w:color w:val="000000"/>
        </w:rPr>
        <w:t xml:space="preserve">General Claim of Reasonableness </w:t>
      </w:r>
      <w:r w:rsidRPr="008936E4" w:rsidR="00F30DA8">
        <w:rPr>
          <w:rFonts w:asciiTheme="majorBidi" w:hAnsiTheme="majorBidi" w:cstheme="majorBidi"/>
          <w:b/>
          <w:color w:val="000000"/>
        </w:rPr>
        <w:t xml:space="preserve">(§ </w:t>
      </w:r>
      <w:r w:rsidRPr="008936E4">
        <w:rPr>
          <w:rFonts w:asciiTheme="majorBidi" w:hAnsiTheme="majorBidi" w:cstheme="majorBidi"/>
          <w:b/>
          <w:color w:val="000000"/>
        </w:rPr>
        <w:t xml:space="preserve">1801 </w:t>
      </w:r>
      <w:r w:rsidRPr="008936E4" w:rsidR="00F30DA8">
        <w:rPr>
          <w:rFonts w:asciiTheme="majorBidi" w:hAnsiTheme="majorBidi" w:cstheme="majorBidi"/>
          <w:b/>
          <w:color w:val="000000"/>
        </w:rPr>
        <w:t>and §</w:t>
      </w:r>
      <w:r w:rsidRPr="008936E4" w:rsidR="0022302F">
        <w:rPr>
          <w:rFonts w:asciiTheme="majorBidi" w:hAnsiTheme="majorBidi" w:cstheme="majorBidi"/>
          <w:b/>
          <w:color w:val="000000"/>
        </w:rPr>
        <w:t xml:space="preserve"> 1806)</w:t>
      </w:r>
      <w:r w:rsidRPr="008936E4" w:rsidR="00C02649">
        <w:rPr>
          <w:rFonts w:asciiTheme="majorBidi" w:hAnsiTheme="majorBidi" w:cstheme="majorBidi"/>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8936E4"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8936E4" w:rsidR="00FE3BAE" w:rsidP="00EC6387" w:rsidRDefault="00FE3BAE" w14:paraId="70FDF5DA" w14:textId="77777777">
            <w:pPr>
              <w:rPr>
                <w:rFonts w:asciiTheme="majorBidi" w:hAnsiTheme="majorBidi" w:cstheme="majorBidi"/>
                <w:b/>
                <w:color w:val="000000"/>
              </w:rPr>
            </w:pPr>
          </w:p>
        </w:tc>
        <w:tc>
          <w:tcPr>
            <w:tcW w:w="2250" w:type="dxa"/>
            <w:shd w:val="clear" w:color="auto" w:fill="D9D9D9" w:themeFill="background1" w:themeFillShade="D9"/>
          </w:tcPr>
          <w:p w:rsidRPr="008936E4" w:rsidR="00FE3BAE" w:rsidP="00EC6387" w:rsidRDefault="00FE3BAE" w14:paraId="59CD9FCF" w14:textId="77777777">
            <w:pPr>
              <w:rPr>
                <w:rFonts w:asciiTheme="majorBidi" w:hAnsiTheme="majorBidi" w:cstheme="majorBidi"/>
                <w:color w:val="000000"/>
              </w:rPr>
            </w:pPr>
            <w:r w:rsidRPr="008936E4">
              <w:rPr>
                <w:rFonts w:asciiTheme="majorBidi" w:hAnsiTheme="majorBidi" w:cstheme="majorBidi"/>
                <w:b/>
                <w:color w:val="000000"/>
              </w:rPr>
              <w:t>CPUC Discussion</w:t>
            </w:r>
          </w:p>
        </w:tc>
      </w:tr>
      <w:tr w:rsidRPr="008936E4" w:rsidR="00FE3BAE" w:rsidTr="00AB264D" w14:paraId="5708510E" w14:textId="77777777">
        <w:tc>
          <w:tcPr>
            <w:tcW w:w="7488" w:type="dxa"/>
            <w:tcBorders>
              <w:bottom w:val="single" w:color="auto" w:sz="4" w:space="0"/>
            </w:tcBorders>
          </w:tcPr>
          <w:p w:rsidRPr="00813CE6" w:rsidR="00BC698F" w:rsidP="00BC698F" w:rsidRDefault="00FE3BAE" w14:paraId="00EF1D9D" w14:textId="77777777">
            <w:pPr>
              <w:rPr>
                <w:rFonts w:asciiTheme="majorBidi" w:hAnsiTheme="majorBidi" w:cstheme="majorBidi"/>
                <w:color w:val="000000"/>
              </w:rPr>
            </w:pPr>
            <w:r w:rsidRPr="00813CE6">
              <w:rPr>
                <w:rFonts w:asciiTheme="majorBidi" w:hAnsiTheme="majorBidi" w:cstheme="majorBidi"/>
                <w:b/>
                <w:color w:val="000000"/>
              </w:rPr>
              <w:t>a. Intervenor’s claim of cost reasonableness:</w:t>
            </w:r>
            <w:r w:rsidRPr="00813CE6" w:rsidR="00E25078">
              <w:rPr>
                <w:rFonts w:asciiTheme="majorBidi" w:hAnsiTheme="majorBidi" w:cstheme="majorBidi"/>
                <w:color w:val="000000"/>
              </w:rPr>
              <w:t xml:space="preserve"> </w:t>
            </w:r>
          </w:p>
          <w:p w:rsidRPr="00813CE6" w:rsidR="00540E73" w:rsidP="00540E73" w:rsidRDefault="00540E73" w14:paraId="57618262" w14:textId="2E771431">
            <w:pPr>
              <w:pStyle w:val="whitespace-normal"/>
            </w:pPr>
            <w:r w:rsidRPr="00813CE6">
              <w:t xml:space="preserve">SBUA seeks compensation for actively participating in this proceeding by filing a </w:t>
            </w:r>
            <w:r w:rsidRPr="00813CE6" w:rsidR="00C44B6F">
              <w:t>response</w:t>
            </w:r>
            <w:r w:rsidRPr="00813CE6">
              <w:t xml:space="preserve"> to the Application, engaging in discovery, submitting direct and rebuttal testimony into the record, filing opening and </w:t>
            </w:r>
            <w:proofErr w:type="gramStart"/>
            <w:r w:rsidRPr="00813CE6">
              <w:t>reply</w:t>
            </w:r>
            <w:proofErr w:type="gramEnd"/>
            <w:r w:rsidRPr="00813CE6">
              <w:t xml:space="preserve"> legal briefs, filing opening and </w:t>
            </w:r>
            <w:proofErr w:type="gramStart"/>
            <w:r w:rsidRPr="00813CE6">
              <w:t>reply</w:t>
            </w:r>
            <w:proofErr w:type="gramEnd"/>
            <w:r w:rsidRPr="00813CE6">
              <w:t xml:space="preserve"> comments on the proposed decision, and filing a response to the applications for rehearing.</w:t>
            </w:r>
          </w:p>
          <w:p w:rsidRPr="00813CE6" w:rsidR="009A3222" w:rsidP="00540E73" w:rsidRDefault="00540E73" w14:paraId="4C98D68F" w14:textId="2FD01563">
            <w:pPr>
              <w:pStyle w:val="whitespace-normal"/>
            </w:pPr>
            <w:r w:rsidRPr="00813CE6">
              <w:t>SBUA</w:t>
            </w:r>
            <w:r w:rsidRPr="00813CE6" w:rsidR="00C44B6F">
              <w:t>’s</w:t>
            </w:r>
            <w:r w:rsidRPr="00813CE6">
              <w:t xml:space="preserve"> claimed costs reflect the time and resources reasonably expended to represent small business customers and participate meaningfully in this complex proceeding on DCPP extended operations. Small business ratepayers have a significant interest in this Application, given that the approved $722.6 million revenue requirement will flow through to rates, </w:t>
            </w:r>
            <w:r w:rsidRPr="00813CE6" w:rsidR="009A3222">
              <w:t>including for</w:t>
            </w:r>
            <w:r w:rsidRPr="00813CE6">
              <w:t xml:space="preserve"> small commercial customers.</w:t>
            </w:r>
          </w:p>
          <w:p w:rsidRPr="00813CE6" w:rsidR="00E33B71" w:rsidP="00E33B71" w:rsidRDefault="00540E73" w14:paraId="13189E43" w14:textId="0FEB1E88">
            <w:pPr>
              <w:pStyle w:val="whitespace-normal"/>
            </w:pPr>
            <w:r w:rsidRPr="00813CE6">
              <w:t>SBUA</w:t>
            </w:r>
            <w:r w:rsidRPr="00813CE6" w:rsidR="009A3222">
              <w:t>’</w:t>
            </w:r>
            <w:r w:rsidRPr="00813CE6">
              <w:t xml:space="preserve">s participation created a more robust record on cost reasonableness, </w:t>
            </w:r>
            <w:r w:rsidRPr="00813CE6" w:rsidR="00E33B71">
              <w:t>advocated for</w:t>
            </w:r>
            <w:r w:rsidRPr="00813CE6">
              <w:t xml:space="preserve"> VPF funding for small business decarbonization programs, helped prevent </w:t>
            </w:r>
            <w:r w:rsidRPr="00813CE6" w:rsidR="00C244FF">
              <w:t xml:space="preserve">tens of </w:t>
            </w:r>
            <w:r w:rsidRPr="00813CE6">
              <w:t>million</w:t>
            </w:r>
            <w:r w:rsidRPr="00813CE6" w:rsidR="009A3222">
              <w:t>s</w:t>
            </w:r>
            <w:r w:rsidRPr="00813CE6">
              <w:t xml:space="preserve"> in tax </w:t>
            </w:r>
            <w:proofErr w:type="gramStart"/>
            <w:r w:rsidRPr="00813CE6">
              <w:t>gross-ups</w:t>
            </w:r>
            <w:proofErr w:type="gramEnd"/>
            <w:r w:rsidRPr="00813CE6">
              <w:t xml:space="preserve"> from being passed to ratepayers, and contributed to enhanced transparency requirements for future DCPP cost applications. </w:t>
            </w:r>
            <w:r w:rsidRPr="00813CE6" w:rsidR="00E33B71">
              <w:t xml:space="preserve">Additionally, SBUA’s advocacy for a $2 million dedicated </w:t>
            </w:r>
            <w:proofErr w:type="gramStart"/>
            <w:r w:rsidRPr="00813CE6" w:rsidR="00E33B71">
              <w:t>small-business</w:t>
            </w:r>
            <w:proofErr w:type="gramEnd"/>
            <w:r w:rsidRPr="00813CE6" w:rsidR="00E33B71">
              <w:t xml:space="preserve"> decarbonization assistance allocation was conditionally approved and has the potential to deliver direct benefits to this underserved customer class.</w:t>
            </w:r>
          </w:p>
          <w:p w:rsidRPr="00813CE6" w:rsidR="004B68CC" w:rsidP="00E33B71" w:rsidRDefault="00540E73" w14:paraId="2B1A1242" w14:textId="6C9B0B97">
            <w:pPr>
              <w:pStyle w:val="whitespace-normal"/>
            </w:pPr>
            <w:r w:rsidRPr="00813CE6">
              <w:t>For these reasons, the Commission should find that SBUA</w:t>
            </w:r>
            <w:r w:rsidRPr="00813CE6" w:rsidR="00E33B71">
              <w:t>’</w:t>
            </w:r>
            <w:r w:rsidRPr="00813CE6">
              <w:t xml:space="preserve">s efforts on behalf of small businesses served the public interest and constituted a substantial contribution to </w:t>
            </w:r>
            <w:r w:rsidRPr="00813CE6" w:rsidR="009A3222">
              <w:t>this proceeding</w:t>
            </w:r>
            <w:r w:rsidRPr="00813CE6" w:rsidR="004B68CC">
              <w:rPr>
                <w:rFonts w:asciiTheme="majorBidi" w:hAnsiTheme="majorBidi" w:cstheme="majorBidi"/>
                <w:color w:val="000000"/>
              </w:rPr>
              <w:t>.</w:t>
            </w:r>
          </w:p>
        </w:tc>
        <w:tc>
          <w:tcPr>
            <w:tcW w:w="2250" w:type="dxa"/>
          </w:tcPr>
          <w:p w:rsidR="00395571" w:rsidP="00395571" w:rsidRDefault="00395571" w14:paraId="36C5EEDD" w14:textId="7E7A76E2">
            <w:pPr>
              <w:tabs>
                <w:tab w:val="left" w:pos="360"/>
              </w:tabs>
              <w:rPr>
                <w:color w:val="000000"/>
              </w:rPr>
            </w:pPr>
          </w:p>
          <w:p w:rsidR="00395571" w:rsidP="00395571" w:rsidRDefault="00395571" w14:paraId="62696595" w14:textId="77777777">
            <w:pPr>
              <w:tabs>
                <w:tab w:val="left" w:pos="360"/>
              </w:tabs>
              <w:rPr>
                <w:color w:val="000000"/>
              </w:rPr>
            </w:pPr>
          </w:p>
          <w:p w:rsidR="001A5735" w:rsidP="001A5735" w:rsidRDefault="00395571" w14:paraId="417C46EC" w14:textId="6104FC56">
            <w:pPr>
              <w:tabs>
                <w:tab w:val="left" w:pos="360"/>
              </w:tabs>
              <w:rPr>
                <w:color w:val="000000"/>
              </w:rPr>
            </w:pPr>
            <w:r>
              <w:rPr>
                <w:color w:val="000000"/>
              </w:rPr>
              <w:t xml:space="preserve">After the adjustments and disallowances made to this claim, the remainder of the claimed </w:t>
            </w:r>
            <w:r w:rsidR="001A5735">
              <w:rPr>
                <w:color w:val="000000"/>
              </w:rPr>
              <w:t xml:space="preserve">costs </w:t>
            </w:r>
            <w:r>
              <w:rPr>
                <w:color w:val="000000"/>
              </w:rPr>
              <w:t>are reasonable.</w:t>
            </w:r>
            <w:r w:rsidRPr="00B017AE" w:rsidR="001A5735">
              <w:rPr>
                <w:i/>
                <w:iCs/>
                <w:color w:val="000000"/>
              </w:rPr>
              <w:t xml:space="preserve"> See </w:t>
            </w:r>
            <w:r w:rsidR="001A5735">
              <w:rPr>
                <w:color w:val="000000"/>
              </w:rPr>
              <w:t xml:space="preserve">CPUC Disallowances and Adjustments in Section III.D. </w:t>
            </w:r>
          </w:p>
          <w:p w:rsidRPr="008936E4" w:rsidR="00FE3BAE" w:rsidP="00395571" w:rsidRDefault="00FE3BAE" w14:paraId="223B4665" w14:textId="57B9928A">
            <w:pPr>
              <w:rPr>
                <w:rFonts w:asciiTheme="majorBidi" w:hAnsiTheme="majorBidi" w:cstheme="majorBidi"/>
                <w:color w:val="000000"/>
              </w:rPr>
            </w:pPr>
          </w:p>
        </w:tc>
      </w:tr>
      <w:tr w:rsidRPr="008936E4" w:rsidR="00FE3BAE" w:rsidTr="00AB264D" w14:paraId="5548029C" w14:textId="77777777">
        <w:tc>
          <w:tcPr>
            <w:tcW w:w="7488" w:type="dxa"/>
          </w:tcPr>
          <w:p w:rsidRPr="00814EE0" w:rsidR="00E36980" w:rsidP="00145E6C" w:rsidRDefault="00FE3BAE" w14:paraId="439C3B3A" w14:textId="49A22F26">
            <w:pPr>
              <w:rPr>
                <w:rFonts w:asciiTheme="majorBidi" w:hAnsiTheme="majorBidi" w:cstheme="majorBidi"/>
                <w:color w:val="000000"/>
              </w:rPr>
            </w:pPr>
            <w:r w:rsidRPr="00814EE0">
              <w:rPr>
                <w:rFonts w:asciiTheme="majorBidi" w:hAnsiTheme="majorBidi" w:cstheme="majorBidi"/>
                <w:b/>
                <w:color w:val="000000"/>
              </w:rPr>
              <w:t>b. Reasonableness of hours claimed:</w:t>
            </w:r>
            <w:r w:rsidRPr="00814EE0" w:rsidR="00E25078">
              <w:rPr>
                <w:rFonts w:asciiTheme="majorBidi" w:hAnsiTheme="majorBidi" w:cstheme="majorBidi"/>
                <w:color w:val="000000"/>
              </w:rPr>
              <w:t xml:space="preserve"> </w:t>
            </w:r>
          </w:p>
          <w:p w:rsidRPr="00814EE0" w:rsidR="0066548B" w:rsidP="003068CD" w:rsidRDefault="0066548B" w14:paraId="15CB030D" w14:textId="2840B57C">
            <w:pPr>
              <w:spacing w:before="240"/>
              <w:rPr>
                <w:color w:val="000000"/>
              </w:rPr>
            </w:pPr>
            <w:r w:rsidRPr="00814EE0">
              <w:rPr>
                <w:color w:val="000000"/>
              </w:rPr>
              <w:t xml:space="preserve">SBUA seeks recovery for 177.85 hours of professional time, excluding time associated with travel and preparing this compensation request, as detailed below. SBUA’s outside consultant and expert witness, Michael Brown, devoted 106.6 hours to this proceeding. He led development of SBUA’s testimony, engaged in discovery, contributed to comments on the Proposed Decision, and prepared SBUA’s response to the applications for rehearing. Mr. Brown analyzed PG&amp;E’s proposals and other parties’ </w:t>
            </w:r>
            <w:proofErr w:type="gramStart"/>
            <w:r w:rsidRPr="00814EE0">
              <w:rPr>
                <w:color w:val="000000"/>
              </w:rPr>
              <w:t>positions, and</w:t>
            </w:r>
            <w:proofErr w:type="gramEnd"/>
            <w:r w:rsidRPr="00814EE0">
              <w:rPr>
                <w:color w:val="000000"/>
              </w:rPr>
              <w:t xml:space="preserve"> played an instrumental role in formulating and advancing SBUA’s recommendations. </w:t>
            </w:r>
            <w:r w:rsidRPr="00814EE0">
              <w:rPr>
                <w:i/>
                <w:iCs/>
                <w:color w:val="000000"/>
              </w:rPr>
              <w:t>See</w:t>
            </w:r>
            <w:r w:rsidRPr="00814EE0">
              <w:rPr>
                <w:color w:val="000000"/>
              </w:rPr>
              <w:t xml:space="preserve"> </w:t>
            </w:r>
            <w:r w:rsidRPr="00814EE0">
              <w:rPr>
                <w:color w:val="000000"/>
                <w:u w:val="single"/>
              </w:rPr>
              <w:t>Attachment 4</w:t>
            </w:r>
            <w:r w:rsidRPr="00814EE0">
              <w:rPr>
                <w:color w:val="000000"/>
              </w:rPr>
              <w:t xml:space="preserve"> (SBUA contract with Mr. Brown).</w:t>
            </w:r>
          </w:p>
          <w:p w:rsidRPr="00814EE0" w:rsidR="009C2051" w:rsidP="003068CD" w:rsidRDefault="000D69AE" w14:paraId="4564B675" w14:textId="27CF6216">
            <w:pPr>
              <w:spacing w:before="240"/>
              <w:rPr>
                <w:color w:val="000000"/>
              </w:rPr>
            </w:pPr>
            <w:r w:rsidRPr="00814EE0">
              <w:lastRenderedPageBreak/>
              <w:t xml:space="preserve">SBUA’s General Counsel, James Birkelund, devoted approximately </w:t>
            </w:r>
            <w:r w:rsidRPr="00814EE0" w:rsidR="00386207">
              <w:t>62.5</w:t>
            </w:r>
            <w:r w:rsidRPr="00814EE0">
              <w:t xml:space="preserve"> hours to this proceeding. He oversaw litigation strategy, assisted in developing SBUA’s positions, and took primary responsibility for legal briefing</w:t>
            </w:r>
            <w:r w:rsidRPr="00814EE0" w:rsidR="00BC698F">
              <w:t xml:space="preserve">. </w:t>
            </w:r>
            <w:r w:rsidRPr="00814EE0" w:rsidR="00905D74">
              <w:t>Mr. Birkelund</w:t>
            </w:r>
            <w:r w:rsidRPr="00814EE0" w:rsidR="00BC698F">
              <w:t xml:space="preserve"> served on a contingency basis through E&amp;E Law Corp. at prevailing market rates. </w:t>
            </w:r>
            <w:r w:rsidRPr="00814EE0" w:rsidR="00285CDB">
              <w:rPr>
                <w:i/>
                <w:iCs/>
              </w:rPr>
              <w:t>See</w:t>
            </w:r>
            <w:r w:rsidRPr="00814EE0" w:rsidR="00285CDB">
              <w:t xml:space="preserve"> </w:t>
            </w:r>
            <w:r w:rsidRPr="00814EE0" w:rsidR="00285CDB">
              <w:rPr>
                <w:u w:val="single"/>
              </w:rPr>
              <w:t xml:space="preserve">Attachment </w:t>
            </w:r>
            <w:r w:rsidRPr="00814EE0" w:rsidR="00B41664">
              <w:rPr>
                <w:u w:val="single"/>
              </w:rPr>
              <w:t>5</w:t>
            </w:r>
            <w:r w:rsidRPr="00814EE0" w:rsidR="00285CDB">
              <w:t xml:space="preserve"> (attorney-client agreement, filed under seal). The Commission has previously approved this outside consultant arrangement. </w:t>
            </w:r>
            <w:r w:rsidRPr="00814EE0" w:rsidR="00285CDB">
              <w:rPr>
                <w:i/>
                <w:iCs/>
              </w:rPr>
              <w:t>See, e.g.,</w:t>
            </w:r>
            <w:r w:rsidRPr="00814EE0" w:rsidR="00285CDB">
              <w:t xml:space="preserve"> D.25-05-023 (approving Mr. Birkelund’s outside counsel relationship at market rates), D.25-05-021,</w:t>
            </w:r>
            <w:r w:rsidRPr="00814EE0" w:rsidR="00285CDB">
              <w:rPr>
                <w:i/>
                <w:iCs/>
              </w:rPr>
              <w:t xml:space="preserve"> </w:t>
            </w:r>
            <w:r w:rsidRPr="00814EE0" w:rsidR="00285CDB">
              <w:t xml:space="preserve">D.25-03-029, D.25-04-012, and D.25-02-025. </w:t>
            </w:r>
            <w:r w:rsidRPr="00814EE0" w:rsidR="00145E6C">
              <w:t>In addition, two other attorneys, Michael Raykher (assist</w:t>
            </w:r>
            <w:r w:rsidRPr="00814EE0" w:rsidR="004871D1">
              <w:t>ance on</w:t>
            </w:r>
            <w:r w:rsidRPr="00814EE0" w:rsidR="00145E6C">
              <w:t xml:space="preserve"> SBUA response to</w:t>
            </w:r>
            <w:r w:rsidRPr="00814EE0" w:rsidR="004871D1">
              <w:t xml:space="preserve"> Application</w:t>
            </w:r>
            <w:r w:rsidRPr="00814EE0" w:rsidR="00145E6C">
              <w:t xml:space="preserve">) and Andrew Pomaville (attended the PHC), provided </w:t>
            </w:r>
            <w:r w:rsidRPr="00814EE0">
              <w:t>limited early support</w:t>
            </w:r>
            <w:r w:rsidRPr="00814EE0" w:rsidR="0066548B">
              <w:t>. Given their limited involvement and to further ensure reasonableness, SBUA does not seek recovery for their time.</w:t>
            </w:r>
          </w:p>
          <w:p w:rsidRPr="00814EE0" w:rsidR="00145E6C" w:rsidP="00285CDB" w:rsidRDefault="00145E6C" w14:paraId="0C1BA395" w14:textId="7FFC3BE2">
            <w:pPr>
              <w:spacing w:before="240" w:after="120"/>
            </w:pPr>
            <w:r w:rsidRPr="00814EE0">
              <w:t>SBUA</w:t>
            </w:r>
            <w:r w:rsidRPr="00814EE0" w:rsidR="000D69AE">
              <w:t>’</w:t>
            </w:r>
            <w:r w:rsidRPr="00814EE0">
              <w:t xml:space="preserve">s Executive Director, Britt Marra, also assisted in this proceeding. She </w:t>
            </w:r>
            <w:r w:rsidRPr="00814EE0" w:rsidR="00FA6F95">
              <w:t xml:space="preserve">primarily </w:t>
            </w:r>
            <w:r w:rsidRPr="00814EE0">
              <w:t xml:space="preserve">attended the DCPP site tour to better understand operational complexities </w:t>
            </w:r>
            <w:r w:rsidRPr="00814EE0" w:rsidR="00FA6F95">
              <w:t>but also assisted in feedback and developing</w:t>
            </w:r>
            <w:r w:rsidRPr="00814EE0">
              <w:t xml:space="preserve"> SBUA</w:t>
            </w:r>
            <w:r w:rsidRPr="00814EE0" w:rsidR="000D69AE">
              <w:t>’</w:t>
            </w:r>
            <w:r w:rsidRPr="00814EE0">
              <w:t>s positions in legal briefs. Ms. Marra is an employee of SBUA</w:t>
            </w:r>
            <w:r w:rsidRPr="00814EE0" w:rsidR="00285CDB">
              <w:t xml:space="preserve">. </w:t>
            </w:r>
          </w:p>
          <w:p w:rsidRPr="00814EE0" w:rsidR="00E36980" w:rsidP="00285CDB" w:rsidRDefault="00145E6C" w14:paraId="694F0B63" w14:textId="61B62B4A">
            <w:pPr>
              <w:spacing w:before="240" w:after="120"/>
            </w:pPr>
            <w:r w:rsidRPr="00814EE0">
              <w:t xml:space="preserve">SBUA took care to coordinate its efforts between experienced </w:t>
            </w:r>
            <w:proofErr w:type="gramStart"/>
            <w:r w:rsidRPr="00814EE0">
              <w:t>professionals, and</w:t>
            </w:r>
            <w:proofErr w:type="gramEnd"/>
            <w:r w:rsidRPr="00814EE0">
              <w:t xml:space="preserve"> given the $722.6 million revenue requirement’s impact on small business customers and the precedential importance of DCPP extended operations for California</w:t>
            </w:r>
            <w:r w:rsidRPr="00814EE0" w:rsidR="00FA6F95">
              <w:t>’s</w:t>
            </w:r>
            <w:r w:rsidRPr="00814EE0">
              <w:t xml:space="preserve"> energy future, SBUA</w:t>
            </w:r>
            <w:r w:rsidRPr="00814EE0" w:rsidR="00B41664">
              <w:t>’s</w:t>
            </w:r>
            <w:r w:rsidRPr="00814EE0">
              <w:t xml:space="preserve"> time spent represents an appropriate level of engagement and effort. Therefore, SBUA seeks compensation for all hours recorded by our attorneys and experts and included in this request</w:t>
            </w:r>
            <w:r w:rsidRPr="00814EE0" w:rsidR="00E36980">
              <w:t>.</w:t>
            </w:r>
            <w:r w:rsidRPr="00814EE0" w:rsidR="00E36980">
              <w:rPr>
                <w:sz w:val="23"/>
                <w:szCs w:val="23"/>
              </w:rPr>
              <w:t xml:space="preserve"> </w:t>
            </w:r>
          </w:p>
        </w:tc>
        <w:tc>
          <w:tcPr>
            <w:tcW w:w="2250" w:type="dxa"/>
          </w:tcPr>
          <w:p w:rsidR="00395571" w:rsidP="00395571" w:rsidRDefault="00395571" w14:paraId="41D54369" w14:textId="3C12DE52">
            <w:pPr>
              <w:tabs>
                <w:tab w:val="left" w:pos="360"/>
              </w:tabs>
              <w:rPr>
                <w:color w:val="000000"/>
              </w:rPr>
            </w:pPr>
            <w:r>
              <w:rPr>
                <w:color w:val="000000"/>
              </w:rPr>
              <w:lastRenderedPageBreak/>
              <w:t xml:space="preserve"> </w:t>
            </w:r>
          </w:p>
          <w:p w:rsidR="00395571" w:rsidP="00395571" w:rsidRDefault="00395571" w14:paraId="2D87F4B4" w14:textId="77777777">
            <w:pPr>
              <w:tabs>
                <w:tab w:val="left" w:pos="360"/>
              </w:tabs>
              <w:rPr>
                <w:color w:val="000000"/>
              </w:rPr>
            </w:pPr>
          </w:p>
          <w:p w:rsidR="001A5735" w:rsidP="001A5735" w:rsidRDefault="00395571" w14:paraId="5068C354" w14:textId="77777777">
            <w:pPr>
              <w:tabs>
                <w:tab w:val="left" w:pos="360"/>
              </w:tabs>
              <w:rPr>
                <w:color w:val="000000"/>
              </w:rPr>
            </w:pPr>
            <w:r>
              <w:rPr>
                <w:color w:val="000000"/>
              </w:rPr>
              <w:t>After the adjustments and disallowances made to this claim, the remainder of the claimed hours are reasonable.</w:t>
            </w:r>
            <w:r w:rsidR="001A5735">
              <w:rPr>
                <w:color w:val="000000"/>
              </w:rPr>
              <w:t xml:space="preserve"> </w:t>
            </w:r>
            <w:r w:rsidRPr="00B017AE" w:rsidR="001A5735">
              <w:rPr>
                <w:i/>
                <w:iCs/>
                <w:color w:val="000000"/>
              </w:rPr>
              <w:t xml:space="preserve">See </w:t>
            </w:r>
            <w:r w:rsidR="001A5735">
              <w:rPr>
                <w:color w:val="000000"/>
              </w:rPr>
              <w:t xml:space="preserve">CPUC Disallowances and Adjustments in Section III.D. </w:t>
            </w:r>
          </w:p>
          <w:p w:rsidRPr="00992BAF" w:rsidR="00FE3BAE" w:rsidP="00395571" w:rsidRDefault="00FE3BAE" w14:paraId="1874D625" w14:textId="5E1A51B1">
            <w:pPr>
              <w:rPr>
                <w:rFonts w:asciiTheme="majorBidi" w:hAnsiTheme="majorBidi" w:cstheme="majorBidi"/>
                <w:color w:val="000000"/>
              </w:rPr>
            </w:pPr>
          </w:p>
        </w:tc>
      </w:tr>
      <w:tr w:rsidRPr="008936E4" w:rsidR="00FE3BAE" w:rsidTr="00AB264D" w14:paraId="3FD38B74" w14:textId="77777777">
        <w:tc>
          <w:tcPr>
            <w:tcW w:w="7488" w:type="dxa"/>
          </w:tcPr>
          <w:p w:rsidRPr="0078745E" w:rsidR="0009083D" w:rsidP="006E7813" w:rsidRDefault="00FE3BAE" w14:paraId="605AE3AE" w14:textId="05D3A26A">
            <w:pPr>
              <w:rPr>
                <w:rFonts w:asciiTheme="majorBidi" w:hAnsiTheme="majorBidi" w:cstheme="majorBidi"/>
                <w:color w:val="000000"/>
              </w:rPr>
            </w:pPr>
            <w:r w:rsidRPr="008936E4">
              <w:rPr>
                <w:rFonts w:asciiTheme="majorBidi" w:hAnsiTheme="majorBidi" w:cstheme="majorBidi"/>
                <w:b/>
                <w:color w:val="000000"/>
              </w:rPr>
              <w:lastRenderedPageBreak/>
              <w:t>c. Allocation of hours by issue:</w:t>
            </w:r>
            <w:r w:rsidRPr="008936E4" w:rsidR="00E25078">
              <w:rPr>
                <w:rFonts w:asciiTheme="majorBidi" w:hAnsiTheme="majorBidi" w:cstheme="majorBidi"/>
                <w:color w:val="000000"/>
              </w:rPr>
              <w:t xml:space="preserve"> </w:t>
            </w:r>
          </w:p>
          <w:p w:rsidRPr="00CC6171" w:rsidR="00352A3C" w:rsidP="006E7813" w:rsidRDefault="00352A3C" w14:paraId="53365C7B" w14:textId="77777777">
            <w:pPr>
              <w:rPr>
                <w:color w:val="000000"/>
              </w:rPr>
            </w:pPr>
          </w:p>
          <w:p w:rsidRPr="0078745E" w:rsidR="0078745E" w:rsidP="006D5976" w:rsidRDefault="0078745E" w14:paraId="1F20AC87" w14:textId="3F80C119">
            <w:pPr>
              <w:pStyle w:val="ListParagraph"/>
              <w:numPr>
                <w:ilvl w:val="0"/>
                <w:numId w:val="23"/>
              </w:numPr>
              <w:snapToGrid w:val="0"/>
              <w:rPr>
                <w:rFonts w:ascii="Times New Roman" w:hAnsi="Times New Roman"/>
                <w:sz w:val="24"/>
                <w:szCs w:val="24"/>
              </w:rPr>
            </w:pPr>
            <w:r w:rsidRPr="0078745E">
              <w:rPr>
                <w:rFonts w:ascii="Times New Roman" w:hAnsi="Times New Roman"/>
                <w:sz w:val="24"/>
                <w:szCs w:val="24"/>
              </w:rPr>
              <w:t xml:space="preserve">Volumetric Performance Fees </w:t>
            </w:r>
            <w:r w:rsidR="00386207">
              <w:rPr>
                <w:rFonts w:ascii="Times New Roman" w:hAnsi="Times New Roman"/>
                <w:sz w:val="24"/>
                <w:szCs w:val="24"/>
              </w:rPr>
              <w:t>–</w:t>
            </w:r>
            <w:r>
              <w:rPr>
                <w:rFonts w:ascii="Times New Roman" w:hAnsi="Times New Roman"/>
                <w:sz w:val="24"/>
                <w:szCs w:val="24"/>
              </w:rPr>
              <w:t xml:space="preserve"> </w:t>
            </w:r>
            <w:r w:rsidR="003B590B">
              <w:rPr>
                <w:rFonts w:ascii="Times New Roman" w:hAnsi="Times New Roman"/>
                <w:sz w:val="24"/>
                <w:szCs w:val="24"/>
              </w:rPr>
              <w:t>40.7 hrs. or 22.9%</w:t>
            </w:r>
            <w:r w:rsidRPr="0078745E">
              <w:rPr>
                <w:rFonts w:ascii="Times New Roman" w:hAnsi="Times New Roman"/>
                <w:sz w:val="24"/>
                <w:szCs w:val="24"/>
              </w:rPr>
              <w:tab/>
              <w:t xml:space="preserve"> </w:t>
            </w:r>
            <w:r w:rsidRPr="0078745E">
              <w:rPr>
                <w:rFonts w:ascii="Times New Roman" w:hAnsi="Times New Roman"/>
                <w:sz w:val="24"/>
                <w:szCs w:val="24"/>
              </w:rPr>
              <w:tab/>
              <w:t xml:space="preserve"> </w:t>
            </w:r>
            <w:r w:rsidRPr="0078745E">
              <w:rPr>
                <w:rFonts w:ascii="Times New Roman" w:hAnsi="Times New Roman"/>
                <w:sz w:val="24"/>
                <w:szCs w:val="24"/>
              </w:rPr>
              <w:tab/>
              <w:t xml:space="preserve"> </w:t>
            </w:r>
          </w:p>
          <w:p w:rsidRPr="004410F5" w:rsidR="0078745E" w:rsidP="006D5976" w:rsidRDefault="0078745E" w14:paraId="438772B0" w14:textId="1A7E573C">
            <w:pPr>
              <w:pStyle w:val="ListParagraph"/>
              <w:numPr>
                <w:ilvl w:val="0"/>
                <w:numId w:val="23"/>
              </w:numPr>
              <w:snapToGrid w:val="0"/>
              <w:rPr>
                <w:rFonts w:ascii="Times New Roman" w:hAnsi="Times New Roman"/>
                <w:sz w:val="24"/>
                <w:szCs w:val="24"/>
              </w:rPr>
            </w:pPr>
            <w:r w:rsidRPr="004410F5">
              <w:rPr>
                <w:rFonts w:ascii="Times New Roman" w:hAnsi="Times New Roman"/>
                <w:sz w:val="24"/>
                <w:szCs w:val="24"/>
              </w:rPr>
              <w:t>Forecasted Costs and Revenue Requirement</w:t>
            </w:r>
            <w:r w:rsidRPr="004410F5">
              <w:rPr>
                <w:rFonts w:ascii="Times New Roman" w:hAnsi="Times New Roman"/>
                <w:sz w:val="24"/>
                <w:szCs w:val="24"/>
              </w:rPr>
              <w:tab/>
            </w:r>
            <w:r w:rsidRPr="004410F5" w:rsidR="00386207">
              <w:rPr>
                <w:rFonts w:ascii="Times New Roman" w:hAnsi="Times New Roman"/>
                <w:sz w:val="24"/>
                <w:szCs w:val="24"/>
              </w:rPr>
              <w:t>–</w:t>
            </w:r>
            <w:r w:rsidRPr="004410F5" w:rsidR="003B590B">
              <w:rPr>
                <w:rFonts w:ascii="Times New Roman" w:hAnsi="Times New Roman"/>
                <w:sz w:val="24"/>
                <w:szCs w:val="24"/>
              </w:rPr>
              <w:t>73.8 hrs. or 41.5%</w:t>
            </w:r>
            <w:r w:rsidRPr="004410F5">
              <w:rPr>
                <w:rFonts w:ascii="Times New Roman" w:hAnsi="Times New Roman"/>
                <w:sz w:val="24"/>
                <w:szCs w:val="24"/>
              </w:rPr>
              <w:tab/>
              <w:t xml:space="preserve"> </w:t>
            </w:r>
          </w:p>
          <w:p w:rsidRPr="004410F5" w:rsidR="0078745E" w:rsidP="006D5976" w:rsidRDefault="0078745E" w14:paraId="3E4793E4" w14:textId="46BD1692">
            <w:pPr>
              <w:pStyle w:val="ListParagraph"/>
              <w:numPr>
                <w:ilvl w:val="0"/>
                <w:numId w:val="23"/>
              </w:numPr>
              <w:snapToGrid w:val="0"/>
              <w:rPr>
                <w:rFonts w:ascii="Times New Roman" w:hAnsi="Times New Roman"/>
                <w:sz w:val="24"/>
                <w:szCs w:val="24"/>
              </w:rPr>
            </w:pPr>
            <w:r w:rsidRPr="004410F5">
              <w:rPr>
                <w:rFonts w:ascii="Times New Roman" w:hAnsi="Times New Roman"/>
                <w:sz w:val="24"/>
                <w:szCs w:val="24"/>
              </w:rPr>
              <w:t>Non-</w:t>
            </w:r>
            <w:proofErr w:type="spellStart"/>
            <w:r w:rsidRPr="004410F5">
              <w:rPr>
                <w:rFonts w:ascii="Times New Roman" w:hAnsi="Times New Roman"/>
                <w:sz w:val="24"/>
                <w:szCs w:val="24"/>
              </w:rPr>
              <w:t>Bypassable</w:t>
            </w:r>
            <w:proofErr w:type="spellEnd"/>
            <w:r w:rsidRPr="004410F5">
              <w:rPr>
                <w:rFonts w:ascii="Times New Roman" w:hAnsi="Times New Roman"/>
                <w:sz w:val="24"/>
                <w:szCs w:val="24"/>
              </w:rPr>
              <w:t xml:space="preserve"> Charge</w:t>
            </w:r>
            <w:r w:rsidRPr="004410F5" w:rsidR="003B590B">
              <w:rPr>
                <w:rFonts w:ascii="Times New Roman" w:hAnsi="Times New Roman"/>
                <w:sz w:val="24"/>
                <w:szCs w:val="24"/>
              </w:rPr>
              <w:t xml:space="preserve"> –</w:t>
            </w:r>
            <w:r w:rsidRPr="004410F5" w:rsidR="00386207">
              <w:rPr>
                <w:rFonts w:ascii="Times New Roman" w:hAnsi="Times New Roman"/>
                <w:sz w:val="24"/>
                <w:szCs w:val="24"/>
              </w:rPr>
              <w:t xml:space="preserve"> </w:t>
            </w:r>
            <w:r w:rsidRPr="004410F5" w:rsidR="003B590B">
              <w:rPr>
                <w:rFonts w:ascii="Times New Roman" w:hAnsi="Times New Roman"/>
                <w:sz w:val="24"/>
                <w:szCs w:val="24"/>
              </w:rPr>
              <w:t>10.35 hrs. or 5.8%</w:t>
            </w:r>
            <w:r w:rsidRPr="004410F5" w:rsidR="00592B0B">
              <w:rPr>
                <w:rFonts w:ascii="Times New Roman" w:hAnsi="Times New Roman"/>
                <w:sz w:val="24"/>
                <w:szCs w:val="24"/>
              </w:rPr>
              <w:t xml:space="preserve"> </w:t>
            </w:r>
          </w:p>
          <w:p w:rsidRPr="004410F5" w:rsidR="0078745E" w:rsidP="006D5976" w:rsidRDefault="0078745E" w14:paraId="5B017661" w14:textId="463100C9">
            <w:pPr>
              <w:pStyle w:val="ListParagraph"/>
              <w:numPr>
                <w:ilvl w:val="0"/>
                <w:numId w:val="23"/>
              </w:numPr>
              <w:snapToGrid w:val="0"/>
              <w:rPr>
                <w:rFonts w:ascii="Times New Roman" w:hAnsi="Times New Roman"/>
                <w:sz w:val="24"/>
                <w:szCs w:val="24"/>
              </w:rPr>
            </w:pPr>
            <w:r w:rsidRPr="004410F5">
              <w:rPr>
                <w:rFonts w:ascii="Times New Roman" w:hAnsi="Times New Roman"/>
                <w:sz w:val="24"/>
                <w:szCs w:val="24"/>
              </w:rPr>
              <w:t>RA Attributes and GHG-Free Energy</w:t>
            </w:r>
            <w:r w:rsidRPr="004410F5">
              <w:rPr>
                <w:rFonts w:ascii="Times New Roman" w:hAnsi="Times New Roman"/>
                <w:sz w:val="24"/>
                <w:szCs w:val="24"/>
              </w:rPr>
              <w:tab/>
            </w:r>
            <w:r w:rsidRPr="004410F5" w:rsidR="003B590B">
              <w:rPr>
                <w:rFonts w:ascii="Times New Roman" w:hAnsi="Times New Roman"/>
                <w:sz w:val="24"/>
                <w:szCs w:val="24"/>
              </w:rPr>
              <w:t xml:space="preserve"> </w:t>
            </w:r>
            <w:r w:rsidRPr="004410F5" w:rsidR="00386207">
              <w:rPr>
                <w:rFonts w:ascii="Times New Roman" w:hAnsi="Times New Roman"/>
                <w:sz w:val="24"/>
                <w:szCs w:val="24"/>
              </w:rPr>
              <w:t>–</w:t>
            </w:r>
            <w:r w:rsidRPr="004410F5" w:rsidR="003B590B">
              <w:rPr>
                <w:rFonts w:ascii="Times New Roman" w:hAnsi="Times New Roman"/>
                <w:sz w:val="24"/>
                <w:szCs w:val="24"/>
              </w:rPr>
              <w:t xml:space="preserve"> 15.6 hrs. or 8.8%</w:t>
            </w:r>
            <w:r w:rsidRPr="004410F5" w:rsidR="00592B0B">
              <w:rPr>
                <w:rFonts w:ascii="Times New Roman" w:hAnsi="Times New Roman"/>
                <w:sz w:val="24"/>
                <w:szCs w:val="24"/>
              </w:rPr>
              <w:t xml:space="preserve"> </w:t>
            </w:r>
          </w:p>
          <w:p w:rsidRPr="00813CE6" w:rsidR="00342E47" w:rsidP="00342E47" w:rsidRDefault="0078745E" w14:paraId="489F6079" w14:textId="7A5338FA">
            <w:pPr>
              <w:pStyle w:val="ListParagraph"/>
              <w:numPr>
                <w:ilvl w:val="0"/>
                <w:numId w:val="23"/>
              </w:numPr>
              <w:snapToGrid w:val="0"/>
              <w:rPr>
                <w:rFonts w:ascii="Times New Roman" w:hAnsi="Times New Roman"/>
                <w:sz w:val="24"/>
                <w:szCs w:val="24"/>
              </w:rPr>
            </w:pPr>
            <w:r w:rsidRPr="00813CE6">
              <w:rPr>
                <w:rFonts w:ascii="Times New Roman" w:hAnsi="Times New Roman"/>
                <w:sz w:val="24"/>
                <w:szCs w:val="24"/>
              </w:rPr>
              <w:t>Application for Rehearing</w:t>
            </w:r>
            <w:r w:rsidRPr="00813CE6" w:rsidR="003B590B">
              <w:rPr>
                <w:rFonts w:ascii="Times New Roman" w:hAnsi="Times New Roman"/>
                <w:sz w:val="24"/>
                <w:szCs w:val="24"/>
              </w:rPr>
              <w:t xml:space="preserve"> </w:t>
            </w:r>
            <w:r w:rsidRPr="00813CE6" w:rsidR="00386207">
              <w:rPr>
                <w:rFonts w:ascii="Times New Roman" w:hAnsi="Times New Roman"/>
                <w:sz w:val="24"/>
                <w:szCs w:val="24"/>
              </w:rPr>
              <w:t>–</w:t>
            </w:r>
            <w:r w:rsidRPr="00813CE6" w:rsidR="003B590B">
              <w:rPr>
                <w:rFonts w:ascii="Times New Roman" w:hAnsi="Times New Roman"/>
                <w:sz w:val="24"/>
                <w:szCs w:val="24"/>
              </w:rPr>
              <w:t xml:space="preserve"> </w:t>
            </w:r>
            <w:r w:rsidRPr="00813CE6" w:rsidR="00386207">
              <w:rPr>
                <w:rFonts w:ascii="Times New Roman" w:hAnsi="Times New Roman"/>
                <w:sz w:val="24"/>
                <w:szCs w:val="24"/>
              </w:rPr>
              <w:t>16.65 hrs. or 9.4%</w:t>
            </w:r>
            <w:r w:rsidR="00592B0B">
              <w:rPr>
                <w:rFonts w:ascii="Times New Roman" w:hAnsi="Times New Roman"/>
                <w:sz w:val="24"/>
                <w:szCs w:val="24"/>
              </w:rPr>
              <w:t xml:space="preserve"> </w:t>
            </w:r>
          </w:p>
          <w:p w:rsidRPr="00813CE6" w:rsidR="0078745E" w:rsidP="00342E47" w:rsidRDefault="00342E47" w14:paraId="62275E4C" w14:textId="1730C69A">
            <w:pPr>
              <w:pStyle w:val="ListParagraph"/>
              <w:numPr>
                <w:ilvl w:val="0"/>
                <w:numId w:val="23"/>
              </w:numPr>
              <w:snapToGrid w:val="0"/>
              <w:rPr>
                <w:rFonts w:ascii="Times New Roman" w:hAnsi="Times New Roman"/>
                <w:sz w:val="24"/>
                <w:szCs w:val="24"/>
              </w:rPr>
            </w:pPr>
            <w:r w:rsidRPr="00AB264D">
              <w:rPr>
                <w:rFonts w:ascii="Times New Roman" w:hAnsi="Times New Roman"/>
                <w:color w:val="000000"/>
                <w:sz w:val="24"/>
                <w:szCs w:val="24"/>
              </w:rPr>
              <w:t>Workshop</w:t>
            </w:r>
            <w:r w:rsidRPr="00813CE6">
              <w:rPr>
                <w:rFonts w:ascii="Times New Roman" w:hAnsi="Times New Roman"/>
                <w:color w:val="000000"/>
                <w:sz w:val="24"/>
                <w:szCs w:val="24"/>
              </w:rPr>
              <w:t xml:space="preserve"> and Hearing prep, </w:t>
            </w:r>
            <w:r w:rsidRPr="00AB264D">
              <w:rPr>
                <w:rFonts w:ascii="Times New Roman" w:hAnsi="Times New Roman"/>
                <w:color w:val="000000"/>
                <w:sz w:val="24"/>
                <w:szCs w:val="24"/>
              </w:rPr>
              <w:t>Meet and Confers</w:t>
            </w:r>
            <w:r w:rsidRPr="00813CE6">
              <w:rPr>
                <w:rFonts w:ascii="Times New Roman" w:hAnsi="Times New Roman"/>
                <w:color w:val="000000"/>
                <w:sz w:val="24"/>
                <w:szCs w:val="24"/>
              </w:rPr>
              <w:t xml:space="preserve">, </w:t>
            </w:r>
            <w:r w:rsidRPr="004410F5">
              <w:rPr>
                <w:rFonts w:ascii="Times New Roman" w:hAnsi="Times New Roman"/>
                <w:color w:val="000000"/>
                <w:sz w:val="24"/>
                <w:szCs w:val="24"/>
              </w:rPr>
              <w:t>DCPP tour</w:t>
            </w:r>
            <w:r w:rsidRPr="004410F5" w:rsidR="00386207">
              <w:rPr>
                <w:rFonts w:ascii="Times New Roman" w:hAnsi="Times New Roman"/>
                <w:color w:val="000000"/>
                <w:sz w:val="24"/>
                <w:szCs w:val="24"/>
              </w:rPr>
              <w:t xml:space="preserve"> – 13.5</w:t>
            </w:r>
            <w:r w:rsidRPr="00813CE6" w:rsidR="00386207">
              <w:rPr>
                <w:rFonts w:ascii="Times New Roman" w:hAnsi="Times New Roman"/>
                <w:color w:val="000000"/>
                <w:sz w:val="24"/>
                <w:szCs w:val="24"/>
              </w:rPr>
              <w:t xml:space="preserve"> hrs. or 7.6%</w:t>
            </w:r>
            <w:r w:rsidR="00592B0B">
              <w:rPr>
                <w:rFonts w:ascii="Times New Roman" w:hAnsi="Times New Roman"/>
                <w:color w:val="000000"/>
                <w:sz w:val="24"/>
                <w:szCs w:val="24"/>
              </w:rPr>
              <w:t xml:space="preserve"> </w:t>
            </w:r>
          </w:p>
          <w:p w:rsidRPr="006D5976" w:rsidR="0078745E" w:rsidP="006D5976" w:rsidRDefault="0078745E" w14:paraId="3285939A" w14:textId="62291AB2">
            <w:pPr>
              <w:pStyle w:val="ListParagraph"/>
              <w:numPr>
                <w:ilvl w:val="0"/>
                <w:numId w:val="23"/>
              </w:numPr>
              <w:snapToGrid w:val="0"/>
              <w:spacing w:after="120"/>
              <w:rPr>
                <w:rFonts w:ascii="Times New Roman" w:hAnsi="Times New Roman"/>
                <w:sz w:val="24"/>
                <w:szCs w:val="24"/>
              </w:rPr>
            </w:pPr>
            <w:r w:rsidRPr="00813CE6">
              <w:rPr>
                <w:rFonts w:ascii="Times New Roman" w:hAnsi="Times New Roman"/>
                <w:sz w:val="24"/>
                <w:szCs w:val="24"/>
              </w:rPr>
              <w:t>General Participation</w:t>
            </w:r>
            <w:r w:rsidRPr="00813CE6" w:rsidR="00386207">
              <w:rPr>
                <w:rFonts w:ascii="Times New Roman" w:hAnsi="Times New Roman"/>
                <w:sz w:val="24"/>
                <w:szCs w:val="24"/>
              </w:rPr>
              <w:t xml:space="preserve"> – 7.25 hrs. or 4.1%</w:t>
            </w:r>
            <w:r w:rsidR="00592B0B">
              <w:rPr>
                <w:rFonts w:ascii="Times New Roman" w:hAnsi="Times New Roman"/>
                <w:sz w:val="24"/>
                <w:szCs w:val="24"/>
              </w:rPr>
              <w:t xml:space="preserve"> </w:t>
            </w:r>
          </w:p>
        </w:tc>
        <w:tc>
          <w:tcPr>
            <w:tcW w:w="2250" w:type="dxa"/>
          </w:tcPr>
          <w:p w:rsidRPr="008936E4" w:rsidR="00FE3BAE" w:rsidP="00814EE0" w:rsidRDefault="00B05C23" w14:paraId="497C4799" w14:textId="0D9391DE">
            <w:pPr>
              <w:rPr>
                <w:rFonts w:asciiTheme="majorBidi" w:hAnsiTheme="majorBidi" w:cstheme="majorBidi"/>
                <w:color w:val="000000"/>
              </w:rPr>
            </w:pPr>
            <w:r>
              <w:rPr>
                <w:rFonts w:asciiTheme="majorBidi" w:hAnsiTheme="majorBidi" w:cstheme="majorBidi"/>
                <w:color w:val="000000"/>
              </w:rPr>
              <w:t>Noted</w:t>
            </w:r>
            <w:r w:rsidR="002A6045">
              <w:rPr>
                <w:rFonts w:asciiTheme="majorBidi" w:hAnsiTheme="majorBidi" w:cstheme="majorBidi"/>
                <w:color w:val="000000"/>
              </w:rPr>
              <w:t>;</w:t>
            </w:r>
            <w:r w:rsidR="000A7DED">
              <w:rPr>
                <w:rFonts w:asciiTheme="majorBidi" w:hAnsiTheme="majorBidi" w:cstheme="majorBidi"/>
                <w:color w:val="000000"/>
              </w:rPr>
              <w:t xml:space="preserve"> however, when rounded, the total adds up to 100.10%.</w:t>
            </w:r>
          </w:p>
        </w:tc>
      </w:tr>
    </w:tbl>
    <w:p w:rsidRPr="008936E4" w:rsidR="00A92D0B" w:rsidP="005B5B44" w:rsidRDefault="00A92D0B" w14:paraId="710BC7D6" w14:textId="2E5B8959">
      <w:pPr>
        <w:keepNext/>
        <w:numPr>
          <w:ilvl w:val="0"/>
          <w:numId w:val="9"/>
        </w:numPr>
        <w:spacing w:before="240" w:after="240"/>
        <w:rPr>
          <w:rFonts w:asciiTheme="majorBidi" w:hAnsiTheme="majorBidi" w:cstheme="majorBidi"/>
          <w:b/>
          <w:color w:val="000000"/>
        </w:rPr>
      </w:pPr>
      <w:r w:rsidRPr="008936E4">
        <w:rPr>
          <w:rFonts w:asciiTheme="majorBidi" w:hAnsiTheme="majorBidi" w:cstheme="majorBidi"/>
          <w:b/>
          <w:color w:val="000000"/>
        </w:rPr>
        <w:lastRenderedPageBreak/>
        <w:t xml:space="preserve">Specific </w:t>
      </w:r>
      <w:r w:rsidRPr="008936E4" w:rsidR="00F63B3C">
        <w:rPr>
          <w:rFonts w:asciiTheme="majorBidi" w:hAnsiTheme="majorBidi" w:cstheme="majorBidi"/>
          <w:b/>
          <w:color w:val="000000"/>
        </w:rPr>
        <w:t>Claim: *</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
        <w:gridCol w:w="993"/>
        <w:gridCol w:w="726"/>
        <w:gridCol w:w="95"/>
        <w:gridCol w:w="382"/>
        <w:gridCol w:w="502"/>
        <w:gridCol w:w="930"/>
        <w:gridCol w:w="477"/>
        <w:gridCol w:w="1244"/>
        <w:gridCol w:w="1047"/>
        <w:gridCol w:w="286"/>
        <w:gridCol w:w="955"/>
        <w:gridCol w:w="1146"/>
        <w:gridCol w:w="1881"/>
      </w:tblGrid>
      <w:tr w:rsidRPr="008936E4" w:rsidR="00A92D0B" w:rsidTr="00EC6387" w14:paraId="780664A2" w14:textId="77777777">
        <w:trPr>
          <w:tblHeader/>
          <w:jc w:val="center"/>
        </w:trPr>
        <w:tc>
          <w:tcPr>
            <w:tcW w:w="7178" w:type="dxa"/>
            <w:gridSpan w:val="11"/>
            <w:tcBorders>
              <w:bottom w:val="single" w:color="auto" w:sz="4" w:space="0"/>
              <w:right w:val="single" w:color="auto" w:sz="24" w:space="0"/>
            </w:tcBorders>
          </w:tcPr>
          <w:p w:rsidRPr="008936E4" w:rsidR="00A92D0B" w:rsidP="00DE3A5D" w:rsidRDefault="00A92D0B" w14:paraId="6BFE54DA" w14:textId="77777777">
            <w:pPr>
              <w:keepNext/>
              <w:keepLines/>
              <w:spacing w:before="60" w:after="60"/>
              <w:jc w:val="center"/>
              <w:rPr>
                <w:rFonts w:asciiTheme="majorBidi" w:hAnsiTheme="majorBidi" w:cstheme="majorBidi"/>
                <w:b/>
                <w:smallCaps/>
                <w:color w:val="000000"/>
              </w:rPr>
            </w:pPr>
            <w:r w:rsidRPr="008936E4">
              <w:rPr>
                <w:rFonts w:asciiTheme="majorBidi" w:hAnsiTheme="majorBidi" w:cstheme="majorBidi"/>
                <w:b/>
                <w:smallCaps/>
                <w:color w:val="000000"/>
              </w:rPr>
              <w:t>Claimed</w:t>
            </w:r>
          </w:p>
        </w:tc>
        <w:tc>
          <w:tcPr>
            <w:tcW w:w="3982" w:type="dxa"/>
            <w:gridSpan w:val="3"/>
            <w:tcBorders>
              <w:left w:val="single" w:color="auto" w:sz="24" w:space="0"/>
              <w:bottom w:val="single" w:color="auto" w:sz="4" w:space="0"/>
            </w:tcBorders>
          </w:tcPr>
          <w:p w:rsidRPr="008936E4" w:rsidR="00A92D0B" w:rsidP="00DE3A5D" w:rsidRDefault="00A92D0B" w14:paraId="170A0FA1" w14:textId="77777777">
            <w:pPr>
              <w:keepNext/>
              <w:keepLines/>
              <w:spacing w:before="60" w:after="60"/>
              <w:jc w:val="center"/>
              <w:rPr>
                <w:rFonts w:asciiTheme="majorBidi" w:hAnsiTheme="majorBidi" w:cstheme="majorBidi"/>
                <w:b/>
                <w:smallCaps/>
                <w:color w:val="000000"/>
              </w:rPr>
            </w:pPr>
            <w:r w:rsidRPr="008936E4">
              <w:rPr>
                <w:rFonts w:asciiTheme="majorBidi" w:hAnsiTheme="majorBidi" w:cstheme="majorBidi"/>
                <w:b/>
                <w:smallCaps/>
                <w:color w:val="000000"/>
              </w:rPr>
              <w:t>CPUC Award</w:t>
            </w:r>
          </w:p>
        </w:tc>
      </w:tr>
      <w:tr w:rsidRPr="008936E4" w:rsidR="00A92D0B" w:rsidTr="00EC6387" w14:paraId="0F5B6CAA"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E6E6E6"/>
          </w:tcPr>
          <w:p w:rsidRPr="008936E4" w:rsidR="00A92D0B" w:rsidP="00DE3A5D" w:rsidRDefault="00A92D0B" w14:paraId="284F9031" w14:textId="77777777">
            <w:pPr>
              <w:keepNext/>
              <w:keepLines/>
              <w:spacing w:before="60" w:after="60"/>
              <w:jc w:val="center"/>
              <w:rPr>
                <w:rFonts w:asciiTheme="majorBidi" w:hAnsiTheme="majorBidi" w:cstheme="majorBidi"/>
                <w:b/>
              </w:rPr>
            </w:pPr>
            <w:r w:rsidRPr="008936E4">
              <w:rPr>
                <w:rFonts w:asciiTheme="majorBidi" w:hAnsiTheme="majorBidi" w:cstheme="majorBidi"/>
                <w:b/>
              </w:rPr>
              <w:t>ATTORNEY, EXPERT, AND ADVOCATE FEES</w:t>
            </w:r>
          </w:p>
        </w:tc>
      </w:tr>
      <w:tr w:rsidRPr="008936E4" w:rsidR="00A92D0B" w:rsidTr="00763797" w14:paraId="5A70C962" w14:textId="77777777">
        <w:trPr>
          <w:jc w:val="center"/>
        </w:trPr>
        <w:tc>
          <w:tcPr>
            <w:tcW w:w="1489" w:type="dxa"/>
            <w:gridSpan w:val="2"/>
            <w:tcBorders>
              <w:top w:val="single" w:color="auto" w:sz="4" w:space="0"/>
              <w:bottom w:val="single" w:color="auto" w:sz="4" w:space="0"/>
            </w:tcBorders>
            <w:vAlign w:val="bottom"/>
          </w:tcPr>
          <w:p w:rsidRPr="008936E4" w:rsidR="00A92D0B" w:rsidP="003B6A1B" w:rsidRDefault="00A92D0B" w14:paraId="41646676"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Item</w:t>
            </w:r>
          </w:p>
        </w:tc>
        <w:tc>
          <w:tcPr>
            <w:tcW w:w="821" w:type="dxa"/>
            <w:gridSpan w:val="2"/>
            <w:tcBorders>
              <w:top w:val="single" w:color="auto" w:sz="4" w:space="0"/>
              <w:bottom w:val="single" w:color="auto" w:sz="4" w:space="0"/>
            </w:tcBorders>
            <w:vAlign w:val="bottom"/>
          </w:tcPr>
          <w:p w:rsidRPr="008936E4" w:rsidR="00A92D0B" w:rsidP="003B6A1B" w:rsidRDefault="00A92D0B" w14:paraId="43BB9941"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Year</w:t>
            </w:r>
          </w:p>
        </w:tc>
        <w:tc>
          <w:tcPr>
            <w:tcW w:w="884" w:type="dxa"/>
            <w:gridSpan w:val="2"/>
            <w:tcBorders>
              <w:top w:val="single" w:color="auto" w:sz="4" w:space="0"/>
              <w:bottom w:val="single" w:color="auto" w:sz="4" w:space="0"/>
            </w:tcBorders>
            <w:vAlign w:val="bottom"/>
          </w:tcPr>
          <w:p w:rsidRPr="008936E4" w:rsidR="00A92D0B" w:rsidP="003B6A1B" w:rsidRDefault="00A92D0B" w14:paraId="0EF32B08"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Hours</w:t>
            </w:r>
          </w:p>
        </w:tc>
        <w:tc>
          <w:tcPr>
            <w:tcW w:w="930" w:type="dxa"/>
            <w:tcBorders>
              <w:top w:val="single" w:color="auto" w:sz="4" w:space="0"/>
              <w:bottom w:val="single" w:color="auto" w:sz="4" w:space="0"/>
            </w:tcBorders>
            <w:vAlign w:val="bottom"/>
          </w:tcPr>
          <w:p w:rsidRPr="008936E4" w:rsidR="00A92D0B" w:rsidP="003B6A1B" w:rsidRDefault="00A92D0B" w14:paraId="21C69246"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Rate</w:t>
            </w:r>
            <w:r w:rsidRPr="008936E4" w:rsidR="00E3786F">
              <w:rPr>
                <w:rFonts w:asciiTheme="majorBidi" w:hAnsiTheme="majorBidi" w:cstheme="majorBidi"/>
                <w:b/>
                <w:color w:val="000000"/>
              </w:rPr>
              <w:t xml:space="preserve"> $</w:t>
            </w:r>
          </w:p>
        </w:tc>
        <w:tc>
          <w:tcPr>
            <w:tcW w:w="1721" w:type="dxa"/>
            <w:gridSpan w:val="2"/>
            <w:tcBorders>
              <w:top w:val="single" w:color="auto" w:sz="4" w:space="0"/>
              <w:bottom w:val="single" w:color="auto" w:sz="4" w:space="0"/>
              <w:right w:val="single" w:color="auto" w:sz="4" w:space="0"/>
            </w:tcBorders>
            <w:vAlign w:val="bottom"/>
          </w:tcPr>
          <w:p w:rsidRPr="008936E4" w:rsidR="00A92D0B" w:rsidP="003B6A1B" w:rsidRDefault="00A92D0B" w14:paraId="59E63C07"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8936E4" w:rsidR="00A92D0B" w:rsidP="003B6A1B" w:rsidRDefault="00A92D0B" w14:paraId="7099C603"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Total $</w:t>
            </w:r>
          </w:p>
        </w:tc>
        <w:tc>
          <w:tcPr>
            <w:tcW w:w="955" w:type="dxa"/>
            <w:tcBorders>
              <w:top w:val="single" w:color="auto" w:sz="4" w:space="0"/>
              <w:left w:val="single" w:color="auto" w:sz="4" w:space="0"/>
            </w:tcBorders>
            <w:vAlign w:val="bottom"/>
          </w:tcPr>
          <w:p w:rsidRPr="008936E4" w:rsidR="00A92D0B" w:rsidP="003B6A1B" w:rsidRDefault="00A92D0B" w14:paraId="564E4964"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Hours</w:t>
            </w:r>
          </w:p>
        </w:tc>
        <w:tc>
          <w:tcPr>
            <w:tcW w:w="1146" w:type="dxa"/>
            <w:tcBorders>
              <w:top w:val="single" w:color="auto" w:sz="4" w:space="0"/>
            </w:tcBorders>
            <w:vAlign w:val="bottom"/>
          </w:tcPr>
          <w:p w:rsidRPr="008936E4" w:rsidR="00A92D0B" w:rsidP="003B6A1B" w:rsidRDefault="00A92D0B" w14:paraId="1462552D"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Rate</w:t>
            </w:r>
            <w:r w:rsidRPr="008936E4" w:rsidR="00E3786F">
              <w:rPr>
                <w:rFonts w:asciiTheme="majorBidi" w:hAnsiTheme="majorBidi" w:cstheme="majorBidi"/>
                <w:b/>
                <w:color w:val="000000"/>
              </w:rPr>
              <w:t xml:space="preserve"> $</w:t>
            </w:r>
          </w:p>
        </w:tc>
        <w:tc>
          <w:tcPr>
            <w:tcW w:w="1881" w:type="dxa"/>
            <w:tcBorders>
              <w:top w:val="single" w:color="auto" w:sz="4" w:space="0"/>
            </w:tcBorders>
            <w:vAlign w:val="bottom"/>
          </w:tcPr>
          <w:p w:rsidRPr="008936E4" w:rsidR="00A92D0B" w:rsidP="003B6A1B" w:rsidRDefault="00A92D0B" w14:paraId="1B6A5CA4"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color w:val="000000"/>
              </w:rPr>
              <w:t>Total $</w:t>
            </w:r>
          </w:p>
        </w:tc>
      </w:tr>
      <w:tr w:rsidRPr="008936E4" w:rsidR="00754132" w:rsidTr="00AB264D" w14:paraId="3CEDEA6E" w14:textId="77777777">
        <w:trPr>
          <w:jc w:val="center"/>
        </w:trPr>
        <w:tc>
          <w:tcPr>
            <w:tcW w:w="1489" w:type="dxa"/>
            <w:gridSpan w:val="2"/>
          </w:tcPr>
          <w:p w:rsidRPr="00813CE6" w:rsidR="00754132" w:rsidP="00754132" w:rsidRDefault="00754132" w14:paraId="75C526BD" w14:textId="5A985B71">
            <w:pPr>
              <w:spacing w:before="60" w:after="60"/>
              <w:rPr>
                <w:rFonts w:asciiTheme="majorBidi" w:hAnsiTheme="majorBidi" w:cstheme="majorBidi"/>
                <w:color w:val="000000" w:themeColor="text1"/>
              </w:rPr>
            </w:pPr>
            <w:r w:rsidRPr="00813CE6">
              <w:t>Michael Brown</w:t>
            </w:r>
          </w:p>
        </w:tc>
        <w:tc>
          <w:tcPr>
            <w:tcW w:w="821" w:type="dxa"/>
            <w:gridSpan w:val="2"/>
          </w:tcPr>
          <w:p w:rsidRPr="00813CE6" w:rsidR="00754132" w:rsidP="00754132" w:rsidRDefault="00754132" w14:paraId="276C0FC8" w14:textId="480F2920">
            <w:pPr>
              <w:spacing w:before="60" w:after="60"/>
              <w:jc w:val="center"/>
              <w:rPr>
                <w:rFonts w:asciiTheme="majorBidi" w:hAnsiTheme="majorBidi" w:cstheme="majorBidi"/>
                <w:color w:val="000000" w:themeColor="text1"/>
              </w:rPr>
            </w:pPr>
            <w:r w:rsidRPr="003342C3">
              <w:rPr>
                <w:rFonts w:asciiTheme="majorBidi" w:hAnsiTheme="majorBidi" w:cstheme="majorBidi"/>
                <w:color w:val="000000" w:themeColor="text1"/>
              </w:rPr>
              <w:t>2024</w:t>
            </w:r>
          </w:p>
        </w:tc>
        <w:tc>
          <w:tcPr>
            <w:tcW w:w="884" w:type="dxa"/>
            <w:gridSpan w:val="2"/>
          </w:tcPr>
          <w:p w:rsidRPr="00813CE6" w:rsidR="00754132" w:rsidP="00754132" w:rsidRDefault="00754132" w14:paraId="77A62D84" w14:textId="70F82FD7">
            <w:pPr>
              <w:spacing w:before="60" w:after="60"/>
              <w:jc w:val="center"/>
              <w:rPr>
                <w:rFonts w:asciiTheme="majorBidi" w:hAnsiTheme="majorBidi" w:cstheme="majorBidi"/>
                <w:color w:val="000000" w:themeColor="text1"/>
              </w:rPr>
            </w:pPr>
            <w:r w:rsidRPr="00813CE6">
              <w:rPr>
                <w:rFonts w:asciiTheme="majorBidi" w:hAnsiTheme="majorBidi" w:cstheme="majorBidi"/>
                <w:color w:val="000000" w:themeColor="text1"/>
              </w:rPr>
              <w:t>91.4</w:t>
            </w:r>
          </w:p>
        </w:tc>
        <w:tc>
          <w:tcPr>
            <w:tcW w:w="930" w:type="dxa"/>
          </w:tcPr>
          <w:p w:rsidRPr="00813CE6" w:rsidR="00754132" w:rsidP="00754132" w:rsidRDefault="00754132" w14:paraId="3D2D1431" w14:textId="01764E7A">
            <w:pPr>
              <w:spacing w:before="60" w:after="60"/>
              <w:jc w:val="right"/>
              <w:rPr>
                <w:rFonts w:asciiTheme="majorBidi" w:hAnsiTheme="majorBidi" w:cstheme="majorBidi"/>
                <w:color w:val="000000" w:themeColor="text1"/>
              </w:rPr>
            </w:pPr>
            <w:r w:rsidRPr="00813CE6">
              <w:t>$325</w:t>
            </w:r>
          </w:p>
        </w:tc>
        <w:tc>
          <w:tcPr>
            <w:tcW w:w="1721" w:type="dxa"/>
            <w:gridSpan w:val="2"/>
            <w:tcBorders>
              <w:right w:val="single" w:color="auto" w:sz="4" w:space="0"/>
            </w:tcBorders>
          </w:tcPr>
          <w:p w:rsidRPr="00813CE6" w:rsidR="00754132" w:rsidP="00754132" w:rsidRDefault="00754132" w14:paraId="056C8395" w14:textId="368B7BBC">
            <w:pPr>
              <w:spacing w:before="60" w:after="60"/>
              <w:rPr>
                <w:rFonts w:asciiTheme="majorBidi" w:hAnsiTheme="majorBidi" w:cstheme="majorBidi"/>
                <w:color w:val="000000"/>
                <w:sz w:val="23"/>
                <w:szCs w:val="23"/>
              </w:rPr>
            </w:pPr>
            <w:r w:rsidRPr="00813CE6">
              <w:rPr>
                <w:rFonts w:asciiTheme="majorBidi" w:hAnsiTheme="majorBidi" w:cstheme="majorBidi"/>
                <w:sz w:val="23"/>
                <w:szCs w:val="23"/>
              </w:rPr>
              <w:t>D.25-05-023 setting 2023 rate at $310, escalated by 4.07% for 2024</w:t>
            </w:r>
          </w:p>
        </w:tc>
        <w:tc>
          <w:tcPr>
            <w:tcW w:w="1333" w:type="dxa"/>
            <w:gridSpan w:val="2"/>
            <w:tcBorders>
              <w:top w:val="single" w:color="auto" w:sz="4" w:space="0"/>
              <w:left w:val="single" w:color="auto" w:sz="4" w:space="0"/>
              <w:bottom w:val="single" w:color="auto" w:sz="4" w:space="0"/>
              <w:right w:val="single" w:color="auto" w:sz="24" w:space="0"/>
            </w:tcBorders>
          </w:tcPr>
          <w:p w:rsidRPr="00813CE6" w:rsidR="00754132" w:rsidP="00754132" w:rsidRDefault="00754132" w14:paraId="2F008E32" w14:textId="65273892">
            <w:pPr>
              <w:spacing w:before="60" w:after="60"/>
              <w:jc w:val="right"/>
              <w:rPr>
                <w:rFonts w:asciiTheme="majorBidi" w:hAnsiTheme="majorBidi" w:cstheme="majorBidi"/>
                <w:color w:val="000000"/>
              </w:rPr>
            </w:pPr>
            <w:r w:rsidRPr="00813CE6">
              <w:t xml:space="preserve">$29,705.00 </w:t>
            </w:r>
          </w:p>
        </w:tc>
        <w:tc>
          <w:tcPr>
            <w:tcW w:w="955" w:type="dxa"/>
            <w:tcBorders>
              <w:left w:val="single" w:color="auto" w:sz="4" w:space="0"/>
            </w:tcBorders>
          </w:tcPr>
          <w:p w:rsidR="00C41AE3" w:rsidP="00475DC0" w:rsidRDefault="003342C3" w14:paraId="386A5735" w14:textId="02CEFE66">
            <w:pPr>
              <w:spacing w:before="60" w:after="60"/>
              <w:jc w:val="center"/>
              <w:rPr>
                <w:rFonts w:asciiTheme="majorBidi" w:hAnsiTheme="majorBidi" w:cstheme="majorBidi"/>
                <w:color w:val="000000"/>
              </w:rPr>
            </w:pPr>
            <w:r>
              <w:rPr>
                <w:rFonts w:asciiTheme="majorBidi" w:hAnsiTheme="majorBidi" w:cstheme="majorBidi"/>
                <w:color w:val="000000"/>
              </w:rPr>
              <w:t>25.65</w:t>
            </w:r>
          </w:p>
          <w:p w:rsidRPr="008936E4" w:rsidR="00B21A4D" w:rsidP="00475DC0" w:rsidRDefault="00B21A4D" w14:paraId="435BEE4E" w14:textId="5FEA3E71">
            <w:pPr>
              <w:spacing w:before="60" w:after="60"/>
              <w:jc w:val="center"/>
              <w:rPr>
                <w:rFonts w:asciiTheme="majorBidi" w:hAnsiTheme="majorBidi" w:cstheme="majorBidi"/>
                <w:color w:val="000000"/>
              </w:rPr>
            </w:pPr>
            <w:r>
              <w:rPr>
                <w:rFonts w:asciiTheme="majorBidi" w:hAnsiTheme="majorBidi" w:cstheme="majorBidi"/>
                <w:color w:val="000000"/>
              </w:rPr>
              <w:t>[4]</w:t>
            </w:r>
          </w:p>
        </w:tc>
        <w:tc>
          <w:tcPr>
            <w:tcW w:w="1146" w:type="dxa"/>
          </w:tcPr>
          <w:p w:rsidR="00754132" w:rsidP="00475DC0" w:rsidRDefault="00D87E57" w14:paraId="71613F35" w14:textId="77777777">
            <w:pPr>
              <w:spacing w:before="60" w:after="60"/>
              <w:jc w:val="center"/>
              <w:rPr>
                <w:rFonts w:asciiTheme="majorBidi" w:hAnsiTheme="majorBidi" w:cstheme="majorBidi"/>
                <w:color w:val="000000"/>
              </w:rPr>
            </w:pPr>
            <w:r>
              <w:rPr>
                <w:rFonts w:asciiTheme="majorBidi" w:hAnsiTheme="majorBidi" w:cstheme="majorBidi"/>
                <w:color w:val="000000"/>
              </w:rPr>
              <w:t>$325.00</w:t>
            </w:r>
          </w:p>
          <w:p w:rsidRPr="008936E4" w:rsidR="00397F5C" w:rsidP="00475DC0" w:rsidRDefault="00397F5C" w14:paraId="38D1ED85" w14:textId="6B1BD650">
            <w:pPr>
              <w:spacing w:before="60" w:after="60"/>
              <w:jc w:val="center"/>
              <w:rPr>
                <w:rFonts w:asciiTheme="majorBidi" w:hAnsiTheme="majorBidi" w:cstheme="majorBidi"/>
                <w:color w:val="000000"/>
              </w:rPr>
            </w:pPr>
            <w:r>
              <w:rPr>
                <w:rFonts w:asciiTheme="majorBidi" w:hAnsiTheme="majorBidi" w:cstheme="majorBidi"/>
                <w:color w:val="000000"/>
              </w:rPr>
              <w:t>[</w:t>
            </w:r>
            <w:r w:rsidR="00AE396A">
              <w:rPr>
                <w:rFonts w:asciiTheme="majorBidi" w:hAnsiTheme="majorBidi" w:cstheme="majorBidi"/>
                <w:color w:val="000000"/>
              </w:rPr>
              <w:t>1</w:t>
            </w:r>
            <w:r>
              <w:rPr>
                <w:rFonts w:asciiTheme="majorBidi" w:hAnsiTheme="majorBidi" w:cstheme="majorBidi"/>
                <w:color w:val="000000"/>
              </w:rPr>
              <w:t>]</w:t>
            </w:r>
            <w:r w:rsidR="003F4951">
              <w:rPr>
                <w:rFonts w:asciiTheme="majorBidi" w:hAnsiTheme="majorBidi" w:cstheme="majorBidi"/>
                <w:color w:val="000000"/>
              </w:rPr>
              <w:t xml:space="preserve"> </w:t>
            </w:r>
          </w:p>
        </w:tc>
        <w:tc>
          <w:tcPr>
            <w:tcW w:w="1881" w:type="dxa"/>
          </w:tcPr>
          <w:p w:rsidRPr="008936E4" w:rsidR="00754132" w:rsidP="00754132" w:rsidRDefault="003342C3" w14:paraId="6891D038" w14:textId="7AAECBA5">
            <w:pPr>
              <w:spacing w:before="60" w:after="60"/>
              <w:jc w:val="right"/>
              <w:rPr>
                <w:rFonts w:asciiTheme="majorBidi" w:hAnsiTheme="majorBidi" w:cstheme="majorBidi"/>
                <w:color w:val="000000"/>
              </w:rPr>
            </w:pPr>
            <w:r>
              <w:rPr>
                <w:rFonts w:asciiTheme="majorBidi" w:hAnsiTheme="majorBidi" w:cstheme="majorBidi"/>
                <w:color w:val="000000"/>
              </w:rPr>
              <w:t>$8,336.25</w:t>
            </w:r>
          </w:p>
        </w:tc>
      </w:tr>
      <w:tr w:rsidRPr="008936E4" w:rsidR="00754132" w:rsidTr="00AB264D" w14:paraId="51DDBE50" w14:textId="77777777">
        <w:trPr>
          <w:jc w:val="center"/>
        </w:trPr>
        <w:tc>
          <w:tcPr>
            <w:tcW w:w="1489" w:type="dxa"/>
            <w:gridSpan w:val="2"/>
          </w:tcPr>
          <w:p w:rsidR="00754132" w:rsidP="00754132" w:rsidRDefault="00754132" w14:paraId="387C5FC9" w14:textId="76E6B370">
            <w:pPr>
              <w:spacing w:before="60" w:after="60"/>
              <w:rPr>
                <w:rFonts w:asciiTheme="majorBidi" w:hAnsiTheme="majorBidi" w:cstheme="majorBidi"/>
                <w:color w:val="000000" w:themeColor="text1"/>
              </w:rPr>
            </w:pPr>
            <w:r>
              <w:t>Michael Brown</w:t>
            </w:r>
          </w:p>
        </w:tc>
        <w:tc>
          <w:tcPr>
            <w:tcW w:w="821" w:type="dxa"/>
            <w:gridSpan w:val="2"/>
          </w:tcPr>
          <w:p w:rsidRPr="008936E4" w:rsidR="00754132" w:rsidP="00754132" w:rsidRDefault="00754132" w14:paraId="1673708C" w14:textId="57B5C923">
            <w:pPr>
              <w:spacing w:before="60" w:after="60"/>
              <w:jc w:val="center"/>
              <w:rPr>
                <w:rFonts w:asciiTheme="majorBidi" w:hAnsiTheme="majorBidi" w:cstheme="majorBidi"/>
                <w:color w:val="000000" w:themeColor="text1"/>
              </w:rPr>
            </w:pPr>
            <w:r>
              <w:rPr>
                <w:rFonts w:asciiTheme="majorBidi" w:hAnsiTheme="majorBidi" w:cstheme="majorBidi"/>
                <w:color w:val="000000" w:themeColor="text1"/>
              </w:rPr>
              <w:t>2025</w:t>
            </w:r>
          </w:p>
        </w:tc>
        <w:tc>
          <w:tcPr>
            <w:tcW w:w="884" w:type="dxa"/>
            <w:gridSpan w:val="2"/>
          </w:tcPr>
          <w:p w:rsidRPr="008936E4" w:rsidR="00754132" w:rsidP="00754132" w:rsidRDefault="00754132" w14:paraId="65B16C1F" w14:textId="4CBBCDA9">
            <w:pPr>
              <w:spacing w:before="60" w:after="60"/>
              <w:jc w:val="center"/>
              <w:rPr>
                <w:rFonts w:asciiTheme="majorBidi" w:hAnsiTheme="majorBidi" w:cstheme="majorBidi"/>
                <w:color w:val="000000"/>
              </w:rPr>
            </w:pPr>
            <w:r>
              <w:rPr>
                <w:rFonts w:asciiTheme="majorBidi" w:hAnsiTheme="majorBidi" w:cstheme="majorBidi"/>
                <w:color w:val="000000"/>
              </w:rPr>
              <w:t>15.2</w:t>
            </w:r>
          </w:p>
        </w:tc>
        <w:tc>
          <w:tcPr>
            <w:tcW w:w="930" w:type="dxa"/>
          </w:tcPr>
          <w:p w:rsidRPr="008936E4" w:rsidR="00754132" w:rsidP="00754132" w:rsidRDefault="00754132" w14:paraId="628DC31E" w14:textId="7F626CF5">
            <w:pPr>
              <w:spacing w:before="60" w:after="60"/>
              <w:jc w:val="right"/>
              <w:rPr>
                <w:rFonts w:asciiTheme="majorBidi" w:hAnsiTheme="majorBidi" w:cstheme="majorBidi"/>
                <w:color w:val="000000" w:themeColor="text1"/>
              </w:rPr>
            </w:pPr>
            <w:r w:rsidRPr="00F94B7C">
              <w:t>$</w:t>
            </w:r>
            <w:r>
              <w:t>335</w:t>
            </w:r>
          </w:p>
        </w:tc>
        <w:tc>
          <w:tcPr>
            <w:tcW w:w="1721" w:type="dxa"/>
            <w:gridSpan w:val="2"/>
            <w:tcBorders>
              <w:right w:val="single" w:color="auto" w:sz="4" w:space="0"/>
            </w:tcBorders>
          </w:tcPr>
          <w:p w:rsidRPr="00013677" w:rsidR="00754132" w:rsidP="00754132" w:rsidRDefault="00754132" w14:paraId="73833847" w14:textId="7A3AA2FB">
            <w:pPr>
              <w:spacing w:before="60" w:after="60"/>
              <w:rPr>
                <w:rFonts w:asciiTheme="majorBidi" w:hAnsiTheme="majorBidi" w:cstheme="majorBidi"/>
                <w:color w:val="000000"/>
                <w:sz w:val="23"/>
                <w:szCs w:val="23"/>
              </w:rPr>
            </w:pPr>
            <w:r>
              <w:rPr>
                <w:rFonts w:asciiTheme="majorBidi" w:hAnsiTheme="majorBidi" w:cstheme="majorBidi"/>
                <w:sz w:val="23"/>
                <w:szCs w:val="23"/>
              </w:rPr>
              <w:t>As above, escalated by 3.46% for 2025</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754132" w:rsidP="00754132" w:rsidRDefault="00754132" w14:paraId="0C12E898" w14:textId="477F686B">
            <w:pPr>
              <w:spacing w:before="60" w:after="60"/>
              <w:jc w:val="right"/>
              <w:rPr>
                <w:rFonts w:asciiTheme="majorBidi" w:hAnsiTheme="majorBidi" w:cstheme="majorBidi"/>
                <w:color w:val="000000"/>
              </w:rPr>
            </w:pPr>
            <w:r w:rsidRPr="00ED07F8">
              <w:t xml:space="preserve">$5,092.00 </w:t>
            </w:r>
          </w:p>
        </w:tc>
        <w:tc>
          <w:tcPr>
            <w:tcW w:w="955" w:type="dxa"/>
            <w:tcBorders>
              <w:left w:val="single" w:color="auto" w:sz="4" w:space="0"/>
            </w:tcBorders>
          </w:tcPr>
          <w:p w:rsidR="00754132" w:rsidP="00475DC0" w:rsidRDefault="00F80068" w14:paraId="2C3D9C8C" w14:textId="555535E6">
            <w:pPr>
              <w:spacing w:before="60" w:after="60"/>
              <w:jc w:val="center"/>
              <w:rPr>
                <w:rFonts w:asciiTheme="majorBidi" w:hAnsiTheme="majorBidi" w:cstheme="majorBidi"/>
                <w:color w:val="000000"/>
              </w:rPr>
            </w:pPr>
            <w:r>
              <w:rPr>
                <w:rFonts w:asciiTheme="majorBidi" w:hAnsiTheme="majorBidi" w:cstheme="majorBidi"/>
                <w:color w:val="000000"/>
              </w:rPr>
              <w:t>15.2</w:t>
            </w:r>
            <w:r w:rsidR="00475DC0">
              <w:rPr>
                <w:rFonts w:asciiTheme="majorBidi" w:hAnsiTheme="majorBidi" w:cstheme="majorBidi"/>
                <w:color w:val="000000"/>
              </w:rPr>
              <w:t>0</w:t>
            </w:r>
          </w:p>
          <w:p w:rsidRPr="008936E4" w:rsidR="00B21A4D" w:rsidP="00795450" w:rsidRDefault="00B21A4D" w14:paraId="4C71B8CE" w14:textId="3F46759D">
            <w:pPr>
              <w:spacing w:before="60" w:after="60"/>
              <w:jc w:val="center"/>
              <w:rPr>
                <w:rFonts w:asciiTheme="majorBidi" w:hAnsiTheme="majorBidi" w:cstheme="majorBidi"/>
                <w:color w:val="000000"/>
              </w:rPr>
            </w:pPr>
          </w:p>
        </w:tc>
        <w:tc>
          <w:tcPr>
            <w:tcW w:w="1146" w:type="dxa"/>
          </w:tcPr>
          <w:p w:rsidRPr="00AB264D" w:rsidR="00754132" w:rsidP="00475DC0" w:rsidRDefault="00D87E57" w14:paraId="6ED51FB3" w14:textId="5849C297">
            <w:pPr>
              <w:spacing w:before="60" w:after="60"/>
              <w:jc w:val="center"/>
              <w:rPr>
                <w:rFonts w:asciiTheme="majorBidi" w:hAnsiTheme="majorBidi" w:cstheme="majorBidi"/>
              </w:rPr>
            </w:pPr>
            <w:r w:rsidRPr="00AB264D">
              <w:rPr>
                <w:rFonts w:asciiTheme="majorBidi" w:hAnsiTheme="majorBidi" w:cstheme="majorBidi"/>
              </w:rPr>
              <w:t>$</w:t>
            </w:r>
            <w:r w:rsidRPr="00AB264D" w:rsidR="002D2C7A">
              <w:rPr>
                <w:rFonts w:asciiTheme="majorBidi" w:hAnsiTheme="majorBidi" w:cstheme="majorBidi"/>
              </w:rPr>
              <w:t>3</w:t>
            </w:r>
            <w:r w:rsidRPr="00AB264D" w:rsidR="00616177">
              <w:rPr>
                <w:rFonts w:asciiTheme="majorBidi" w:hAnsiTheme="majorBidi" w:cstheme="majorBidi"/>
              </w:rPr>
              <w:t>35</w:t>
            </w:r>
            <w:r w:rsidRPr="00AB264D" w:rsidR="002D2C7A">
              <w:rPr>
                <w:rFonts w:asciiTheme="majorBidi" w:hAnsiTheme="majorBidi" w:cstheme="majorBidi"/>
              </w:rPr>
              <w:t>.00</w:t>
            </w:r>
          </w:p>
          <w:p w:rsidR="00397F5C" w:rsidP="00475DC0" w:rsidRDefault="00397F5C" w14:paraId="0461A033" w14:textId="3742B96B">
            <w:pPr>
              <w:spacing w:before="60" w:after="60"/>
              <w:jc w:val="center"/>
              <w:rPr>
                <w:rFonts w:asciiTheme="majorBidi" w:hAnsiTheme="majorBidi" w:cstheme="majorBidi"/>
                <w:color w:val="000000"/>
              </w:rPr>
            </w:pPr>
            <w:r>
              <w:rPr>
                <w:rFonts w:asciiTheme="majorBidi" w:hAnsiTheme="majorBidi" w:cstheme="majorBidi"/>
                <w:color w:val="000000"/>
              </w:rPr>
              <w:t>[</w:t>
            </w:r>
            <w:r w:rsidR="00AE396A">
              <w:rPr>
                <w:rFonts w:asciiTheme="majorBidi" w:hAnsiTheme="majorBidi" w:cstheme="majorBidi"/>
                <w:color w:val="000000"/>
              </w:rPr>
              <w:t>1</w:t>
            </w:r>
            <w:r>
              <w:rPr>
                <w:rFonts w:asciiTheme="majorBidi" w:hAnsiTheme="majorBidi" w:cstheme="majorBidi"/>
                <w:color w:val="000000"/>
              </w:rPr>
              <w:t>]</w:t>
            </w:r>
          </w:p>
          <w:p w:rsidRPr="008936E4" w:rsidR="00D87E57" w:rsidP="00475DC0" w:rsidRDefault="00D87E57" w14:paraId="41CB8968" w14:textId="0519A6F8">
            <w:pPr>
              <w:spacing w:before="60" w:after="60"/>
              <w:jc w:val="center"/>
              <w:rPr>
                <w:rFonts w:asciiTheme="majorBidi" w:hAnsiTheme="majorBidi" w:cstheme="majorBidi"/>
                <w:color w:val="000000"/>
              </w:rPr>
            </w:pPr>
          </w:p>
        </w:tc>
        <w:tc>
          <w:tcPr>
            <w:tcW w:w="1881" w:type="dxa"/>
          </w:tcPr>
          <w:p w:rsidRPr="008936E4" w:rsidR="00754132" w:rsidP="00754132" w:rsidRDefault="00F80068" w14:paraId="38633B11" w14:textId="756ABFCA">
            <w:pPr>
              <w:spacing w:before="60" w:after="60"/>
              <w:jc w:val="right"/>
              <w:rPr>
                <w:rFonts w:asciiTheme="majorBidi" w:hAnsiTheme="majorBidi" w:cstheme="majorBidi"/>
                <w:color w:val="000000"/>
              </w:rPr>
            </w:pPr>
            <w:r>
              <w:rPr>
                <w:rFonts w:asciiTheme="majorBidi" w:hAnsiTheme="majorBidi" w:cstheme="majorBidi"/>
                <w:color w:val="000000"/>
              </w:rPr>
              <w:t>$5,092.00</w:t>
            </w:r>
          </w:p>
        </w:tc>
      </w:tr>
      <w:tr w:rsidRPr="008936E4" w:rsidR="00754132" w:rsidTr="00AB264D" w14:paraId="48D7D1E4" w14:textId="77777777">
        <w:trPr>
          <w:jc w:val="center"/>
        </w:trPr>
        <w:tc>
          <w:tcPr>
            <w:tcW w:w="1489" w:type="dxa"/>
            <w:gridSpan w:val="2"/>
          </w:tcPr>
          <w:p w:rsidR="00754132" w:rsidP="00754132" w:rsidRDefault="00754132" w14:paraId="129C3406" w14:textId="552B077C">
            <w:pPr>
              <w:spacing w:before="60" w:after="60"/>
              <w:rPr>
                <w:rFonts w:asciiTheme="majorBidi" w:hAnsiTheme="majorBidi" w:cstheme="majorBidi"/>
                <w:color w:val="000000" w:themeColor="text1"/>
              </w:rPr>
            </w:pPr>
            <w:r>
              <w:rPr>
                <w:rFonts w:asciiTheme="majorBidi" w:hAnsiTheme="majorBidi" w:cstheme="majorBidi"/>
                <w:color w:val="000000" w:themeColor="text1"/>
              </w:rPr>
              <w:t>James Birkelund</w:t>
            </w:r>
          </w:p>
        </w:tc>
        <w:tc>
          <w:tcPr>
            <w:tcW w:w="821" w:type="dxa"/>
            <w:gridSpan w:val="2"/>
          </w:tcPr>
          <w:p w:rsidRPr="008936E4" w:rsidR="00754132" w:rsidP="00754132" w:rsidRDefault="00754132" w14:paraId="0D847797" w14:textId="235AF751">
            <w:pPr>
              <w:spacing w:before="60" w:after="60"/>
              <w:jc w:val="center"/>
              <w:rPr>
                <w:rFonts w:asciiTheme="majorBidi" w:hAnsiTheme="majorBidi" w:cstheme="majorBidi"/>
                <w:color w:val="000000" w:themeColor="text1"/>
              </w:rPr>
            </w:pPr>
            <w:r w:rsidRPr="003342C3">
              <w:rPr>
                <w:rFonts w:asciiTheme="majorBidi" w:hAnsiTheme="majorBidi" w:cstheme="majorBidi"/>
                <w:color w:val="000000" w:themeColor="text1"/>
              </w:rPr>
              <w:t>2024</w:t>
            </w:r>
          </w:p>
        </w:tc>
        <w:tc>
          <w:tcPr>
            <w:tcW w:w="884" w:type="dxa"/>
            <w:gridSpan w:val="2"/>
          </w:tcPr>
          <w:p w:rsidRPr="008936E4" w:rsidR="00754132" w:rsidP="00754132" w:rsidRDefault="00754132" w14:paraId="2DEC922E" w14:textId="5973212E">
            <w:pPr>
              <w:spacing w:before="60" w:after="60"/>
              <w:jc w:val="center"/>
              <w:rPr>
                <w:rFonts w:asciiTheme="majorBidi" w:hAnsiTheme="majorBidi" w:cstheme="majorBidi"/>
                <w:color w:val="000000"/>
              </w:rPr>
            </w:pPr>
            <w:r>
              <w:rPr>
                <w:rFonts w:asciiTheme="majorBidi" w:hAnsiTheme="majorBidi" w:cstheme="majorBidi"/>
                <w:color w:val="000000"/>
              </w:rPr>
              <w:t>56.25</w:t>
            </w:r>
          </w:p>
        </w:tc>
        <w:tc>
          <w:tcPr>
            <w:tcW w:w="930" w:type="dxa"/>
          </w:tcPr>
          <w:p w:rsidRPr="008936E4" w:rsidR="00754132" w:rsidP="00754132" w:rsidRDefault="00754132" w14:paraId="67B0BCA2" w14:textId="3A1743FE">
            <w:pPr>
              <w:spacing w:before="60" w:after="60"/>
              <w:jc w:val="right"/>
              <w:rPr>
                <w:rFonts w:asciiTheme="majorBidi" w:hAnsiTheme="majorBidi" w:cstheme="majorBidi"/>
                <w:color w:val="000000" w:themeColor="text1"/>
              </w:rPr>
            </w:pPr>
            <w:r w:rsidRPr="008936E4">
              <w:rPr>
                <w:rFonts w:asciiTheme="majorBidi" w:hAnsiTheme="majorBidi" w:cstheme="majorBidi"/>
                <w:color w:val="000000" w:themeColor="text1"/>
              </w:rPr>
              <w:t>$</w:t>
            </w:r>
            <w:r>
              <w:rPr>
                <w:rFonts w:asciiTheme="majorBidi" w:hAnsiTheme="majorBidi" w:cstheme="majorBidi"/>
                <w:color w:val="000000" w:themeColor="text1"/>
              </w:rPr>
              <w:t>800</w:t>
            </w:r>
          </w:p>
        </w:tc>
        <w:tc>
          <w:tcPr>
            <w:tcW w:w="1721" w:type="dxa"/>
            <w:gridSpan w:val="2"/>
            <w:tcBorders>
              <w:right w:val="single" w:color="auto" w:sz="4" w:space="0"/>
            </w:tcBorders>
          </w:tcPr>
          <w:p w:rsidRPr="00013677" w:rsidR="00754132" w:rsidP="00754132" w:rsidRDefault="00754132" w14:paraId="02418F76" w14:textId="6ACF2945">
            <w:pPr>
              <w:spacing w:before="60" w:after="60"/>
              <w:rPr>
                <w:rFonts w:asciiTheme="majorBidi" w:hAnsiTheme="majorBidi" w:cstheme="majorBidi"/>
                <w:color w:val="000000"/>
                <w:sz w:val="23"/>
                <w:szCs w:val="23"/>
              </w:rPr>
            </w:pPr>
            <w:r w:rsidRPr="008460F9">
              <w:rPr>
                <w:rFonts w:asciiTheme="majorBidi" w:hAnsiTheme="majorBidi" w:cstheme="majorBidi"/>
                <w:color w:val="000000"/>
                <w:sz w:val="22"/>
                <w:szCs w:val="22"/>
              </w:rPr>
              <w:t>D.24-12-069</w:t>
            </w:r>
            <w:r>
              <w:rPr>
                <w:rFonts w:asciiTheme="majorBidi" w:hAnsiTheme="majorBidi" w:cstheme="majorBidi"/>
                <w:color w:val="000000"/>
                <w:sz w:val="22"/>
                <w:szCs w:val="22"/>
              </w:rPr>
              <w:t xml:space="preserve"> </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754132" w:rsidP="00754132" w:rsidRDefault="00754132" w14:paraId="282957F8" w14:textId="0831033C">
            <w:pPr>
              <w:spacing w:before="60" w:after="60"/>
              <w:jc w:val="right"/>
              <w:rPr>
                <w:rFonts w:asciiTheme="majorBidi" w:hAnsiTheme="majorBidi" w:cstheme="majorBidi"/>
                <w:color w:val="000000"/>
              </w:rPr>
            </w:pPr>
            <w:r w:rsidRPr="00ED07F8">
              <w:t xml:space="preserve">$45,000.00 </w:t>
            </w:r>
          </w:p>
        </w:tc>
        <w:tc>
          <w:tcPr>
            <w:tcW w:w="955" w:type="dxa"/>
            <w:tcBorders>
              <w:left w:val="single" w:color="auto" w:sz="4" w:space="0"/>
            </w:tcBorders>
          </w:tcPr>
          <w:p w:rsidR="00754132" w:rsidP="00475DC0" w:rsidRDefault="008A60B3" w14:paraId="029EEDC6" w14:textId="7B86FF8B">
            <w:pPr>
              <w:spacing w:before="60" w:after="60"/>
              <w:jc w:val="center"/>
              <w:rPr>
                <w:rFonts w:asciiTheme="majorBidi" w:hAnsiTheme="majorBidi" w:cstheme="majorBidi"/>
                <w:color w:val="000000"/>
              </w:rPr>
            </w:pPr>
            <w:r>
              <w:rPr>
                <w:rFonts w:asciiTheme="majorBidi" w:hAnsiTheme="majorBidi" w:cstheme="majorBidi"/>
                <w:color w:val="000000"/>
              </w:rPr>
              <w:t>33.85</w:t>
            </w:r>
          </w:p>
          <w:p w:rsidRPr="008936E4" w:rsidR="00B21A4D" w:rsidP="00475DC0" w:rsidRDefault="004651C4" w14:paraId="55207E1E" w14:textId="63700841">
            <w:pPr>
              <w:spacing w:before="60" w:after="60"/>
              <w:jc w:val="center"/>
              <w:rPr>
                <w:rFonts w:asciiTheme="majorBidi" w:hAnsiTheme="majorBidi" w:cstheme="majorBidi"/>
                <w:color w:val="000000"/>
              </w:rPr>
            </w:pPr>
            <w:r>
              <w:rPr>
                <w:rFonts w:asciiTheme="majorBidi" w:hAnsiTheme="majorBidi" w:cstheme="majorBidi"/>
                <w:color w:val="000000"/>
              </w:rPr>
              <w:t>[4</w:t>
            </w:r>
            <w:r w:rsidRPr="007D20C3" w:rsidR="00B21A4D">
              <w:rPr>
                <w:rFonts w:asciiTheme="majorBidi" w:hAnsiTheme="majorBidi" w:cstheme="majorBidi"/>
                <w:color w:val="000000"/>
              </w:rPr>
              <w:t>]</w:t>
            </w:r>
          </w:p>
        </w:tc>
        <w:tc>
          <w:tcPr>
            <w:tcW w:w="1146" w:type="dxa"/>
          </w:tcPr>
          <w:p w:rsidR="00397F5C" w:rsidP="00475DC0" w:rsidRDefault="00397F5C" w14:paraId="59ED36E7" w14:textId="20BAA6F7">
            <w:pPr>
              <w:spacing w:before="60" w:after="60"/>
              <w:jc w:val="center"/>
              <w:rPr>
                <w:rFonts w:asciiTheme="majorBidi" w:hAnsiTheme="majorBidi" w:cstheme="majorBidi"/>
                <w:color w:val="000000"/>
              </w:rPr>
            </w:pPr>
            <w:r>
              <w:rPr>
                <w:rFonts w:asciiTheme="majorBidi" w:hAnsiTheme="majorBidi" w:cstheme="majorBidi"/>
                <w:color w:val="000000"/>
              </w:rPr>
              <w:t>$</w:t>
            </w:r>
            <w:r w:rsidR="00E400DF">
              <w:rPr>
                <w:rFonts w:asciiTheme="majorBidi" w:hAnsiTheme="majorBidi" w:cstheme="majorBidi"/>
                <w:color w:val="000000"/>
              </w:rPr>
              <w:t>80</w:t>
            </w:r>
            <w:r w:rsidR="00E02A26">
              <w:rPr>
                <w:rFonts w:asciiTheme="majorBidi" w:hAnsiTheme="majorBidi" w:cstheme="majorBidi"/>
                <w:color w:val="000000"/>
              </w:rPr>
              <w:t>0</w:t>
            </w:r>
            <w:r>
              <w:rPr>
                <w:rFonts w:asciiTheme="majorBidi" w:hAnsiTheme="majorBidi" w:cstheme="majorBidi"/>
                <w:color w:val="000000"/>
              </w:rPr>
              <w:t>.00</w:t>
            </w:r>
          </w:p>
          <w:p w:rsidRPr="008936E4" w:rsidR="00397F5C" w:rsidP="00475DC0" w:rsidRDefault="00397F5C" w14:paraId="5A931824" w14:textId="083333F6">
            <w:pPr>
              <w:spacing w:before="60" w:after="60"/>
              <w:jc w:val="center"/>
              <w:rPr>
                <w:rFonts w:asciiTheme="majorBidi" w:hAnsiTheme="majorBidi" w:cstheme="majorBidi"/>
                <w:color w:val="000000"/>
              </w:rPr>
            </w:pPr>
            <w:r>
              <w:rPr>
                <w:rFonts w:asciiTheme="majorBidi" w:hAnsiTheme="majorBidi" w:cstheme="majorBidi"/>
                <w:color w:val="000000"/>
              </w:rPr>
              <w:t>[</w:t>
            </w:r>
            <w:r w:rsidR="00AE396A">
              <w:rPr>
                <w:rFonts w:asciiTheme="majorBidi" w:hAnsiTheme="majorBidi" w:cstheme="majorBidi"/>
                <w:color w:val="000000"/>
              </w:rPr>
              <w:t>2</w:t>
            </w:r>
            <w:r>
              <w:rPr>
                <w:rFonts w:asciiTheme="majorBidi" w:hAnsiTheme="majorBidi" w:cstheme="majorBidi"/>
                <w:color w:val="000000"/>
              </w:rPr>
              <w:t>]</w:t>
            </w:r>
          </w:p>
        </w:tc>
        <w:tc>
          <w:tcPr>
            <w:tcW w:w="1881" w:type="dxa"/>
          </w:tcPr>
          <w:p w:rsidRPr="008936E4" w:rsidR="00754132" w:rsidP="00754132" w:rsidRDefault="007D20C3" w14:paraId="581215B6" w14:textId="0F86E0B3">
            <w:pPr>
              <w:spacing w:before="60" w:after="60"/>
              <w:jc w:val="right"/>
              <w:rPr>
                <w:rFonts w:asciiTheme="majorBidi" w:hAnsiTheme="majorBidi" w:cstheme="majorBidi"/>
                <w:color w:val="000000"/>
              </w:rPr>
            </w:pPr>
            <w:r>
              <w:rPr>
                <w:rFonts w:asciiTheme="majorBidi" w:hAnsiTheme="majorBidi" w:cstheme="majorBidi"/>
                <w:color w:val="000000"/>
              </w:rPr>
              <w:t>$</w:t>
            </w:r>
            <w:r w:rsidR="008A60B3">
              <w:rPr>
                <w:rFonts w:asciiTheme="majorBidi" w:hAnsiTheme="majorBidi" w:cstheme="majorBidi"/>
                <w:color w:val="000000"/>
              </w:rPr>
              <w:t>27,080.00</w:t>
            </w:r>
          </w:p>
        </w:tc>
      </w:tr>
      <w:tr w:rsidRPr="008936E4" w:rsidR="00754132" w:rsidTr="00AB264D" w14:paraId="38E0B4EA" w14:textId="77777777">
        <w:trPr>
          <w:jc w:val="center"/>
        </w:trPr>
        <w:tc>
          <w:tcPr>
            <w:tcW w:w="1489" w:type="dxa"/>
            <w:gridSpan w:val="2"/>
          </w:tcPr>
          <w:p w:rsidRPr="008936E4" w:rsidR="00754132" w:rsidP="00754132" w:rsidRDefault="00754132" w14:paraId="1F980DF3" w14:textId="1FFEBE9C">
            <w:pPr>
              <w:spacing w:before="60" w:after="60"/>
              <w:rPr>
                <w:rFonts w:asciiTheme="majorBidi" w:hAnsiTheme="majorBidi" w:cstheme="majorBidi"/>
                <w:color w:val="000000"/>
              </w:rPr>
            </w:pPr>
            <w:r>
              <w:rPr>
                <w:rFonts w:asciiTheme="majorBidi" w:hAnsiTheme="majorBidi" w:cstheme="majorBidi"/>
                <w:color w:val="000000" w:themeColor="text1"/>
              </w:rPr>
              <w:t>James Birkelund</w:t>
            </w:r>
          </w:p>
        </w:tc>
        <w:tc>
          <w:tcPr>
            <w:tcW w:w="821" w:type="dxa"/>
            <w:gridSpan w:val="2"/>
          </w:tcPr>
          <w:p w:rsidRPr="008936E4" w:rsidR="00754132" w:rsidP="00754132" w:rsidRDefault="00754132" w14:paraId="275BF57A" w14:textId="73C69214">
            <w:pPr>
              <w:spacing w:before="60" w:after="60"/>
              <w:jc w:val="center"/>
              <w:rPr>
                <w:rFonts w:asciiTheme="majorBidi" w:hAnsiTheme="majorBidi" w:cstheme="majorBidi"/>
                <w:color w:val="000000"/>
              </w:rPr>
            </w:pPr>
            <w:r w:rsidRPr="008936E4">
              <w:rPr>
                <w:rFonts w:asciiTheme="majorBidi" w:hAnsiTheme="majorBidi" w:cstheme="majorBidi"/>
                <w:color w:val="000000" w:themeColor="text1"/>
              </w:rPr>
              <w:t>202</w:t>
            </w:r>
            <w:r>
              <w:rPr>
                <w:rFonts w:asciiTheme="majorBidi" w:hAnsiTheme="majorBidi" w:cstheme="majorBidi"/>
                <w:color w:val="000000" w:themeColor="text1"/>
              </w:rPr>
              <w:t>5</w:t>
            </w:r>
          </w:p>
        </w:tc>
        <w:tc>
          <w:tcPr>
            <w:tcW w:w="884" w:type="dxa"/>
            <w:gridSpan w:val="2"/>
          </w:tcPr>
          <w:p w:rsidRPr="008936E4" w:rsidR="00754132" w:rsidP="00754132" w:rsidRDefault="00754132" w14:paraId="0DE506C4" w14:textId="7D272E8C">
            <w:pPr>
              <w:spacing w:before="60" w:after="60"/>
              <w:jc w:val="center"/>
              <w:rPr>
                <w:rFonts w:asciiTheme="majorBidi" w:hAnsiTheme="majorBidi" w:cstheme="majorBidi"/>
                <w:color w:val="000000"/>
              </w:rPr>
            </w:pPr>
            <w:r>
              <w:rPr>
                <w:rFonts w:asciiTheme="majorBidi" w:hAnsiTheme="majorBidi" w:cstheme="majorBidi"/>
                <w:color w:val="000000"/>
              </w:rPr>
              <w:t>6.25</w:t>
            </w:r>
          </w:p>
        </w:tc>
        <w:tc>
          <w:tcPr>
            <w:tcW w:w="930" w:type="dxa"/>
          </w:tcPr>
          <w:p w:rsidRPr="008936E4" w:rsidR="00754132" w:rsidP="00754132" w:rsidRDefault="00754132" w14:paraId="26413E95" w14:textId="66439437">
            <w:pPr>
              <w:spacing w:before="60" w:after="60"/>
              <w:jc w:val="right"/>
              <w:rPr>
                <w:rFonts w:asciiTheme="majorBidi" w:hAnsiTheme="majorBidi" w:cstheme="majorBidi"/>
                <w:color w:val="000000"/>
              </w:rPr>
            </w:pPr>
            <w:r w:rsidRPr="008936E4">
              <w:rPr>
                <w:rFonts w:asciiTheme="majorBidi" w:hAnsiTheme="majorBidi" w:cstheme="majorBidi"/>
                <w:color w:val="000000" w:themeColor="text1"/>
              </w:rPr>
              <w:t>$</w:t>
            </w:r>
            <w:r>
              <w:rPr>
                <w:rFonts w:asciiTheme="majorBidi" w:hAnsiTheme="majorBidi" w:cstheme="majorBidi"/>
                <w:color w:val="000000" w:themeColor="text1"/>
              </w:rPr>
              <w:t>830</w:t>
            </w:r>
          </w:p>
        </w:tc>
        <w:tc>
          <w:tcPr>
            <w:tcW w:w="1721" w:type="dxa"/>
            <w:gridSpan w:val="2"/>
            <w:tcBorders>
              <w:right w:val="single" w:color="auto" w:sz="4" w:space="0"/>
            </w:tcBorders>
          </w:tcPr>
          <w:p w:rsidRPr="00013677" w:rsidR="00754132" w:rsidP="00754132" w:rsidRDefault="00754132" w14:paraId="300AA881" w14:textId="4C234EF0">
            <w:pPr>
              <w:spacing w:before="60" w:after="60"/>
              <w:rPr>
                <w:rFonts w:asciiTheme="majorBidi" w:hAnsiTheme="majorBidi" w:cstheme="majorBidi"/>
                <w:color w:val="000000"/>
                <w:sz w:val="23"/>
                <w:szCs w:val="23"/>
              </w:rPr>
            </w:pPr>
            <w:r>
              <w:rPr>
                <w:rFonts w:asciiTheme="majorBidi" w:hAnsiTheme="majorBidi" w:cstheme="majorBidi"/>
                <w:color w:val="000000"/>
                <w:sz w:val="22"/>
                <w:szCs w:val="22"/>
              </w:rPr>
              <w:t>D.25-07-036</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754132" w:rsidP="00754132" w:rsidRDefault="00754132" w14:paraId="23EF368E" w14:textId="03F9C23A">
            <w:pPr>
              <w:spacing w:before="60" w:after="60"/>
              <w:jc w:val="right"/>
              <w:rPr>
                <w:rFonts w:asciiTheme="majorBidi" w:hAnsiTheme="majorBidi" w:cstheme="majorBidi"/>
                <w:color w:val="000000"/>
              </w:rPr>
            </w:pPr>
            <w:r w:rsidRPr="00ED07F8">
              <w:t xml:space="preserve">$5,187.50 </w:t>
            </w:r>
          </w:p>
        </w:tc>
        <w:tc>
          <w:tcPr>
            <w:tcW w:w="955" w:type="dxa"/>
            <w:tcBorders>
              <w:left w:val="single" w:color="auto" w:sz="4" w:space="0"/>
            </w:tcBorders>
          </w:tcPr>
          <w:p w:rsidR="00754132" w:rsidP="00475DC0" w:rsidRDefault="00F80068" w14:paraId="59ECC10D" w14:textId="0389902A">
            <w:pPr>
              <w:spacing w:before="60" w:after="60"/>
              <w:jc w:val="center"/>
              <w:rPr>
                <w:rFonts w:asciiTheme="majorBidi" w:hAnsiTheme="majorBidi" w:cstheme="majorBidi"/>
                <w:color w:val="000000"/>
              </w:rPr>
            </w:pPr>
            <w:r>
              <w:rPr>
                <w:rFonts w:asciiTheme="majorBidi" w:hAnsiTheme="majorBidi" w:cstheme="majorBidi"/>
                <w:color w:val="000000"/>
              </w:rPr>
              <w:t>6.25</w:t>
            </w:r>
          </w:p>
          <w:p w:rsidRPr="008936E4" w:rsidR="004651C4" w:rsidP="00795450" w:rsidRDefault="004651C4" w14:paraId="2B0CA953" w14:textId="055955C2">
            <w:pPr>
              <w:spacing w:before="60" w:after="60"/>
              <w:jc w:val="center"/>
              <w:rPr>
                <w:rFonts w:asciiTheme="majorBidi" w:hAnsiTheme="majorBidi" w:cstheme="majorBidi"/>
                <w:color w:val="000000"/>
              </w:rPr>
            </w:pPr>
          </w:p>
        </w:tc>
        <w:tc>
          <w:tcPr>
            <w:tcW w:w="1146" w:type="dxa"/>
          </w:tcPr>
          <w:p w:rsidR="00754132" w:rsidP="00475DC0" w:rsidRDefault="00397F5C" w14:paraId="36381AC1" w14:textId="3D70B09D">
            <w:pPr>
              <w:spacing w:before="60" w:after="60"/>
              <w:jc w:val="center"/>
              <w:rPr>
                <w:rFonts w:asciiTheme="majorBidi" w:hAnsiTheme="majorBidi" w:cstheme="majorBidi"/>
                <w:color w:val="000000"/>
              </w:rPr>
            </w:pPr>
            <w:r>
              <w:rPr>
                <w:rFonts w:asciiTheme="majorBidi" w:hAnsiTheme="majorBidi" w:cstheme="majorBidi"/>
                <w:color w:val="000000"/>
              </w:rPr>
              <w:t>$</w:t>
            </w:r>
            <w:r w:rsidR="00E400DF">
              <w:rPr>
                <w:rFonts w:asciiTheme="majorBidi" w:hAnsiTheme="majorBidi" w:cstheme="majorBidi"/>
                <w:color w:val="000000"/>
              </w:rPr>
              <w:t>830</w:t>
            </w:r>
            <w:r>
              <w:rPr>
                <w:rFonts w:asciiTheme="majorBidi" w:hAnsiTheme="majorBidi" w:cstheme="majorBidi"/>
                <w:color w:val="000000"/>
              </w:rPr>
              <w:t>.00</w:t>
            </w:r>
          </w:p>
          <w:p w:rsidRPr="008936E4" w:rsidR="00397F5C" w:rsidP="00475DC0" w:rsidRDefault="00397F5C" w14:paraId="1FC8906C" w14:textId="0F68DF35">
            <w:pPr>
              <w:spacing w:before="60" w:after="60"/>
              <w:jc w:val="center"/>
              <w:rPr>
                <w:rFonts w:asciiTheme="majorBidi" w:hAnsiTheme="majorBidi" w:cstheme="majorBidi"/>
                <w:color w:val="000000"/>
              </w:rPr>
            </w:pPr>
            <w:r>
              <w:rPr>
                <w:rFonts w:asciiTheme="majorBidi" w:hAnsiTheme="majorBidi" w:cstheme="majorBidi"/>
                <w:color w:val="000000"/>
              </w:rPr>
              <w:t>[</w:t>
            </w:r>
            <w:r w:rsidR="00AE396A">
              <w:rPr>
                <w:rFonts w:asciiTheme="majorBidi" w:hAnsiTheme="majorBidi" w:cstheme="majorBidi"/>
                <w:color w:val="000000"/>
              </w:rPr>
              <w:t>2</w:t>
            </w:r>
            <w:r>
              <w:rPr>
                <w:rFonts w:asciiTheme="majorBidi" w:hAnsiTheme="majorBidi" w:cstheme="majorBidi"/>
                <w:color w:val="000000"/>
              </w:rPr>
              <w:t>]</w:t>
            </w:r>
          </w:p>
        </w:tc>
        <w:tc>
          <w:tcPr>
            <w:tcW w:w="1881" w:type="dxa"/>
          </w:tcPr>
          <w:p w:rsidRPr="008936E4" w:rsidR="00754132" w:rsidP="00754132" w:rsidRDefault="00F80068" w14:paraId="6C594CB5" w14:textId="3D232183">
            <w:pPr>
              <w:spacing w:before="60" w:after="60"/>
              <w:jc w:val="right"/>
              <w:rPr>
                <w:rFonts w:asciiTheme="majorBidi" w:hAnsiTheme="majorBidi" w:cstheme="majorBidi"/>
                <w:color w:val="000000"/>
              </w:rPr>
            </w:pPr>
            <w:r>
              <w:rPr>
                <w:rFonts w:asciiTheme="majorBidi" w:hAnsiTheme="majorBidi" w:cstheme="majorBidi"/>
                <w:color w:val="000000"/>
              </w:rPr>
              <w:t>$5,187.50</w:t>
            </w:r>
          </w:p>
        </w:tc>
      </w:tr>
      <w:tr w:rsidRPr="008936E4" w:rsidR="00754132" w:rsidTr="00AB264D" w14:paraId="0480DFB8" w14:textId="77777777">
        <w:trPr>
          <w:jc w:val="center"/>
        </w:trPr>
        <w:tc>
          <w:tcPr>
            <w:tcW w:w="1489" w:type="dxa"/>
            <w:gridSpan w:val="2"/>
          </w:tcPr>
          <w:p w:rsidRPr="003342C3" w:rsidR="00754132" w:rsidP="00754132" w:rsidRDefault="00754132" w14:paraId="6D0A9A8C" w14:textId="6461E2C0">
            <w:pPr>
              <w:spacing w:before="60" w:after="60"/>
              <w:rPr>
                <w:rFonts w:asciiTheme="majorBidi" w:hAnsiTheme="majorBidi" w:cstheme="majorBidi"/>
                <w:color w:val="000000"/>
              </w:rPr>
            </w:pPr>
            <w:r w:rsidRPr="003342C3">
              <w:rPr>
                <w:rFonts w:asciiTheme="majorBidi" w:hAnsiTheme="majorBidi" w:cstheme="majorBidi"/>
                <w:color w:val="000000" w:themeColor="text1"/>
              </w:rPr>
              <w:t>Britt Marra</w:t>
            </w:r>
          </w:p>
        </w:tc>
        <w:tc>
          <w:tcPr>
            <w:tcW w:w="821" w:type="dxa"/>
            <w:gridSpan w:val="2"/>
          </w:tcPr>
          <w:p w:rsidRPr="003342C3" w:rsidR="00754132" w:rsidP="00754132" w:rsidRDefault="00754132" w14:paraId="4AD7D310" w14:textId="450539CB">
            <w:pPr>
              <w:spacing w:before="60" w:after="60"/>
              <w:jc w:val="center"/>
              <w:rPr>
                <w:rFonts w:asciiTheme="majorBidi" w:hAnsiTheme="majorBidi" w:cstheme="majorBidi"/>
                <w:color w:val="000000"/>
              </w:rPr>
            </w:pPr>
            <w:r w:rsidRPr="003342C3">
              <w:rPr>
                <w:rFonts w:asciiTheme="majorBidi" w:hAnsiTheme="majorBidi" w:cstheme="majorBidi"/>
                <w:color w:val="000000" w:themeColor="text1"/>
              </w:rPr>
              <w:t>2024</w:t>
            </w:r>
          </w:p>
        </w:tc>
        <w:tc>
          <w:tcPr>
            <w:tcW w:w="884" w:type="dxa"/>
            <w:gridSpan w:val="2"/>
          </w:tcPr>
          <w:p w:rsidRPr="008936E4" w:rsidR="00754132" w:rsidP="00754132" w:rsidRDefault="00754132" w14:paraId="54C8DD5C" w14:textId="36DB880E">
            <w:pPr>
              <w:spacing w:before="60" w:after="60"/>
              <w:jc w:val="center"/>
              <w:rPr>
                <w:rFonts w:asciiTheme="majorBidi" w:hAnsiTheme="majorBidi" w:cstheme="majorBidi"/>
                <w:color w:val="000000"/>
              </w:rPr>
            </w:pPr>
            <w:r>
              <w:rPr>
                <w:rFonts w:asciiTheme="majorBidi" w:hAnsiTheme="majorBidi" w:cstheme="majorBidi"/>
                <w:color w:val="000000"/>
              </w:rPr>
              <w:t>8.75</w:t>
            </w:r>
          </w:p>
        </w:tc>
        <w:tc>
          <w:tcPr>
            <w:tcW w:w="930" w:type="dxa"/>
          </w:tcPr>
          <w:p w:rsidRPr="00AE396A" w:rsidR="00754132" w:rsidP="00754132" w:rsidRDefault="00754132" w14:paraId="38E0F661" w14:textId="542B7843">
            <w:pPr>
              <w:spacing w:before="60" w:after="60"/>
              <w:jc w:val="right"/>
              <w:rPr>
                <w:rFonts w:asciiTheme="majorBidi" w:hAnsiTheme="majorBidi" w:cstheme="majorBidi"/>
                <w:color w:val="000000"/>
              </w:rPr>
            </w:pPr>
            <w:r w:rsidRPr="00AE396A">
              <w:rPr>
                <w:rFonts w:asciiTheme="majorBidi" w:hAnsiTheme="majorBidi" w:cstheme="majorBidi"/>
                <w:color w:val="000000" w:themeColor="text1"/>
              </w:rPr>
              <w:t>$250</w:t>
            </w:r>
          </w:p>
        </w:tc>
        <w:tc>
          <w:tcPr>
            <w:tcW w:w="1721" w:type="dxa"/>
            <w:gridSpan w:val="2"/>
            <w:tcBorders>
              <w:right w:val="single" w:color="auto" w:sz="4" w:space="0"/>
            </w:tcBorders>
          </w:tcPr>
          <w:p w:rsidRPr="00AE396A" w:rsidR="00754132" w:rsidP="00754132" w:rsidRDefault="00754132" w14:paraId="2958A68E" w14:textId="1F0BFE1A">
            <w:pPr>
              <w:spacing w:before="60" w:after="60"/>
              <w:rPr>
                <w:rFonts w:asciiTheme="majorBidi" w:hAnsiTheme="majorBidi" w:cstheme="majorBidi"/>
                <w:color w:val="000000"/>
                <w:sz w:val="23"/>
                <w:szCs w:val="23"/>
              </w:rPr>
            </w:pPr>
            <w:r w:rsidRPr="00AE396A">
              <w:rPr>
                <w:rFonts w:asciiTheme="majorBidi" w:hAnsiTheme="majorBidi" w:cstheme="majorBidi"/>
                <w:color w:val="000000"/>
                <w:sz w:val="22"/>
                <w:szCs w:val="22"/>
              </w:rPr>
              <w:t xml:space="preserve">Res. ALJ-393; </w:t>
            </w:r>
            <w:r w:rsidRPr="00AE396A">
              <w:rPr>
                <w:rFonts w:asciiTheme="majorBidi" w:hAnsiTheme="majorBidi" w:cstheme="majorBidi"/>
                <w:i/>
                <w:iCs/>
                <w:color w:val="000000"/>
                <w:sz w:val="22"/>
                <w:szCs w:val="22"/>
              </w:rPr>
              <w:t>see</w:t>
            </w:r>
            <w:r w:rsidRPr="00AE396A">
              <w:rPr>
                <w:rFonts w:asciiTheme="majorBidi" w:hAnsiTheme="majorBidi" w:cstheme="majorBidi"/>
                <w:color w:val="000000"/>
                <w:sz w:val="22"/>
                <w:szCs w:val="22"/>
              </w:rPr>
              <w:t xml:space="preserve"> Comment #1 below</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754132" w:rsidP="00754132" w:rsidRDefault="00754132" w14:paraId="48FA5BB8" w14:textId="615FE387">
            <w:pPr>
              <w:spacing w:before="60" w:after="60"/>
              <w:jc w:val="right"/>
              <w:rPr>
                <w:rFonts w:asciiTheme="majorBidi" w:hAnsiTheme="majorBidi" w:cstheme="majorBidi"/>
                <w:color w:val="000000"/>
              </w:rPr>
            </w:pPr>
            <w:r w:rsidRPr="00ED07F8">
              <w:t xml:space="preserve">$2,187.50 </w:t>
            </w:r>
          </w:p>
        </w:tc>
        <w:tc>
          <w:tcPr>
            <w:tcW w:w="955" w:type="dxa"/>
            <w:tcBorders>
              <w:left w:val="single" w:color="auto" w:sz="4" w:space="0"/>
            </w:tcBorders>
          </w:tcPr>
          <w:p w:rsidR="00754132" w:rsidP="00475DC0" w:rsidRDefault="002B66D6" w14:paraId="4B16E202" w14:textId="7DBD475F">
            <w:pPr>
              <w:spacing w:before="60" w:after="60"/>
              <w:jc w:val="center"/>
              <w:rPr>
                <w:rFonts w:asciiTheme="majorBidi" w:hAnsiTheme="majorBidi" w:cstheme="majorBidi"/>
                <w:color w:val="000000"/>
              </w:rPr>
            </w:pPr>
            <w:r>
              <w:rPr>
                <w:rFonts w:asciiTheme="majorBidi" w:hAnsiTheme="majorBidi" w:cstheme="majorBidi"/>
                <w:color w:val="000000"/>
              </w:rPr>
              <w:t>1.</w:t>
            </w:r>
            <w:r w:rsidR="00F36D40">
              <w:rPr>
                <w:rFonts w:asciiTheme="majorBidi" w:hAnsiTheme="majorBidi" w:cstheme="majorBidi"/>
                <w:color w:val="000000"/>
              </w:rPr>
              <w:t>40</w:t>
            </w:r>
          </w:p>
          <w:p w:rsidRPr="008936E4" w:rsidR="004651C4" w:rsidP="00475DC0" w:rsidRDefault="004651C4" w14:paraId="479D7C48" w14:textId="4466FE41">
            <w:pPr>
              <w:spacing w:before="60" w:after="60"/>
              <w:jc w:val="center"/>
              <w:rPr>
                <w:rFonts w:asciiTheme="majorBidi" w:hAnsiTheme="majorBidi" w:cstheme="majorBidi"/>
                <w:color w:val="000000"/>
              </w:rPr>
            </w:pPr>
            <w:r>
              <w:rPr>
                <w:rFonts w:asciiTheme="majorBidi" w:hAnsiTheme="majorBidi" w:cstheme="majorBidi"/>
                <w:color w:val="000000"/>
              </w:rPr>
              <w:t>[4</w:t>
            </w:r>
            <w:r w:rsidR="008131C9">
              <w:rPr>
                <w:rFonts w:asciiTheme="majorBidi" w:hAnsiTheme="majorBidi" w:cstheme="majorBidi"/>
                <w:color w:val="000000"/>
              </w:rPr>
              <w:t xml:space="preserve">, </w:t>
            </w:r>
            <w:r w:rsidR="00CC1FAE">
              <w:rPr>
                <w:rFonts w:asciiTheme="majorBidi" w:hAnsiTheme="majorBidi" w:cstheme="majorBidi"/>
                <w:color w:val="000000"/>
              </w:rPr>
              <w:t>5</w:t>
            </w:r>
            <w:r w:rsidRPr="007D20C3" w:rsidR="00F57AAF">
              <w:rPr>
                <w:rFonts w:asciiTheme="majorBidi" w:hAnsiTheme="majorBidi" w:cstheme="majorBidi"/>
                <w:color w:val="000000"/>
              </w:rPr>
              <w:t>]</w:t>
            </w:r>
          </w:p>
        </w:tc>
        <w:tc>
          <w:tcPr>
            <w:tcW w:w="1146" w:type="dxa"/>
          </w:tcPr>
          <w:p w:rsidR="00754132" w:rsidP="00475DC0" w:rsidRDefault="00AE396A" w14:paraId="50277253" w14:textId="77777777">
            <w:pPr>
              <w:spacing w:before="60" w:after="60"/>
              <w:jc w:val="center"/>
              <w:rPr>
                <w:rFonts w:asciiTheme="majorBidi" w:hAnsiTheme="majorBidi" w:cstheme="majorBidi"/>
                <w:color w:val="000000"/>
              </w:rPr>
            </w:pPr>
            <w:r>
              <w:rPr>
                <w:rFonts w:asciiTheme="majorBidi" w:hAnsiTheme="majorBidi" w:cstheme="majorBidi"/>
                <w:color w:val="000000"/>
              </w:rPr>
              <w:t>$250.00</w:t>
            </w:r>
          </w:p>
          <w:p w:rsidRPr="008936E4" w:rsidR="00AE396A" w:rsidP="00475DC0" w:rsidRDefault="00AE396A" w14:paraId="7FB5B935" w14:textId="2A213A47">
            <w:pPr>
              <w:spacing w:before="60" w:after="60"/>
              <w:jc w:val="center"/>
              <w:rPr>
                <w:rFonts w:asciiTheme="majorBidi" w:hAnsiTheme="majorBidi" w:cstheme="majorBidi"/>
                <w:color w:val="000000"/>
              </w:rPr>
            </w:pPr>
            <w:r>
              <w:rPr>
                <w:rFonts w:asciiTheme="majorBidi" w:hAnsiTheme="majorBidi" w:cstheme="majorBidi"/>
                <w:color w:val="000000"/>
              </w:rPr>
              <w:t>[3]</w:t>
            </w:r>
          </w:p>
        </w:tc>
        <w:tc>
          <w:tcPr>
            <w:tcW w:w="1881" w:type="dxa"/>
          </w:tcPr>
          <w:p w:rsidRPr="008936E4" w:rsidR="00754132" w:rsidP="00754132" w:rsidRDefault="00F36D40" w14:paraId="798F2B66" w14:textId="1751C868">
            <w:pPr>
              <w:spacing w:before="60" w:after="60"/>
              <w:jc w:val="right"/>
              <w:rPr>
                <w:rFonts w:asciiTheme="majorBidi" w:hAnsiTheme="majorBidi" w:cstheme="majorBidi"/>
                <w:color w:val="000000"/>
              </w:rPr>
            </w:pPr>
            <w:r>
              <w:rPr>
                <w:rFonts w:asciiTheme="majorBidi" w:hAnsiTheme="majorBidi" w:cstheme="majorBidi"/>
                <w:color w:val="000000"/>
              </w:rPr>
              <w:t>$350.00</w:t>
            </w:r>
          </w:p>
        </w:tc>
      </w:tr>
      <w:tr w:rsidRPr="008936E4" w:rsidR="00E965EB" w:rsidTr="00EC6387" w14:paraId="1B237C11" w14:textId="77777777">
        <w:trPr>
          <w:jc w:val="center"/>
        </w:trPr>
        <w:tc>
          <w:tcPr>
            <w:tcW w:w="7178" w:type="dxa"/>
            <w:gridSpan w:val="11"/>
            <w:tcBorders>
              <w:bottom w:val="single" w:color="auto" w:sz="4" w:space="0"/>
              <w:right w:val="single" w:color="auto" w:sz="24" w:space="0"/>
            </w:tcBorders>
            <w:vAlign w:val="bottom"/>
          </w:tcPr>
          <w:p w:rsidRPr="008936E4" w:rsidR="00E965EB" w:rsidP="00E965EB" w:rsidRDefault="00E965EB" w14:paraId="2ECB6744" w14:textId="661AF295">
            <w:pPr>
              <w:tabs>
                <w:tab w:val="left" w:pos="957"/>
              </w:tabs>
              <w:spacing w:before="60" w:after="60"/>
              <w:ind w:right="162"/>
              <w:jc w:val="right"/>
              <w:rPr>
                <w:rFonts w:asciiTheme="majorBidi" w:hAnsiTheme="majorBidi" w:cstheme="majorBidi"/>
                <w:b/>
                <w:i/>
                <w:color w:val="000000"/>
              </w:rPr>
            </w:pPr>
            <w:r w:rsidRPr="008936E4">
              <w:rPr>
                <w:rFonts w:asciiTheme="majorBidi" w:hAnsiTheme="majorBidi" w:cstheme="majorBidi"/>
                <w:b/>
                <w:i/>
                <w:color w:val="000000"/>
              </w:rPr>
              <w:t xml:space="preserve">Subtotal: </w:t>
            </w:r>
            <w:r w:rsidRPr="00754132" w:rsidR="00754132">
              <w:rPr>
                <w:rFonts w:asciiTheme="majorBidi" w:hAnsiTheme="majorBidi" w:cstheme="majorBidi"/>
                <w:b/>
                <w:i/>
                <w:color w:val="000000"/>
              </w:rPr>
              <w:t>$87,172.00</w:t>
            </w:r>
          </w:p>
        </w:tc>
        <w:tc>
          <w:tcPr>
            <w:tcW w:w="3982" w:type="dxa"/>
            <w:gridSpan w:val="3"/>
            <w:tcBorders>
              <w:left w:val="single" w:color="auto" w:sz="24" w:space="0"/>
              <w:bottom w:val="single" w:color="auto" w:sz="4" w:space="0"/>
            </w:tcBorders>
            <w:vAlign w:val="bottom"/>
          </w:tcPr>
          <w:p w:rsidRPr="00475DC0" w:rsidR="00E965EB" w:rsidP="00E965EB" w:rsidRDefault="00E965EB" w14:paraId="4C4556E5" w14:textId="3E34EB8A">
            <w:pPr>
              <w:tabs>
                <w:tab w:val="left" w:pos="957"/>
              </w:tabs>
              <w:spacing w:before="60" w:after="60"/>
              <w:ind w:right="162"/>
              <w:jc w:val="right"/>
              <w:rPr>
                <w:rFonts w:asciiTheme="majorBidi" w:hAnsiTheme="majorBidi" w:cstheme="majorBidi"/>
                <w:i/>
                <w:color w:val="000000"/>
              </w:rPr>
            </w:pPr>
            <w:r w:rsidRPr="002D6E3C">
              <w:rPr>
                <w:rFonts w:asciiTheme="majorBidi" w:hAnsiTheme="majorBidi" w:cstheme="majorBidi"/>
                <w:b/>
                <w:i/>
                <w:color w:val="000000"/>
              </w:rPr>
              <w:t xml:space="preserve">Subtotal: </w:t>
            </w:r>
            <w:r w:rsidRPr="00475DC0">
              <w:rPr>
                <w:rFonts w:asciiTheme="majorBidi" w:hAnsiTheme="majorBidi" w:cstheme="majorBidi"/>
                <w:b/>
                <w:i/>
                <w:color w:val="000000"/>
              </w:rPr>
              <w:t>$</w:t>
            </w:r>
            <w:r w:rsidR="008A60B3">
              <w:rPr>
                <w:rFonts w:asciiTheme="majorBidi" w:hAnsiTheme="majorBidi" w:cstheme="majorBidi"/>
                <w:b/>
                <w:i/>
                <w:color w:val="000000"/>
              </w:rPr>
              <w:t>46,045.75</w:t>
            </w:r>
          </w:p>
        </w:tc>
      </w:tr>
      <w:tr w:rsidRPr="008936E4" w:rsidR="00E965EB" w:rsidTr="00763797" w14:paraId="3F3C1C42"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E6E6E6"/>
            <w:vAlign w:val="bottom"/>
          </w:tcPr>
          <w:p w:rsidRPr="008936E4" w:rsidR="00E965EB" w:rsidP="00E965EB" w:rsidRDefault="00E965EB" w14:paraId="3B5B48BB"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OTHER FEES</w:t>
            </w:r>
          </w:p>
          <w:p w:rsidRPr="008936E4" w:rsidR="00E965EB" w:rsidP="00E965EB" w:rsidRDefault="00E965EB" w14:paraId="3801FC62"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Describe here what OTHER HOURLY FEES you are Claiming (paralegal, travel **, etc.):</w:t>
            </w:r>
          </w:p>
        </w:tc>
      </w:tr>
      <w:tr w:rsidRPr="008936E4" w:rsidR="00E965EB" w:rsidTr="00763797" w14:paraId="48E38006" w14:textId="77777777">
        <w:trPr>
          <w:jc w:val="center"/>
        </w:trPr>
        <w:tc>
          <w:tcPr>
            <w:tcW w:w="1489" w:type="dxa"/>
            <w:gridSpan w:val="2"/>
            <w:tcBorders>
              <w:top w:val="single" w:color="auto" w:sz="4" w:space="0"/>
              <w:bottom w:val="single" w:color="auto" w:sz="4" w:space="0"/>
            </w:tcBorders>
            <w:vAlign w:val="bottom"/>
          </w:tcPr>
          <w:p w:rsidRPr="008936E4" w:rsidR="00E965EB" w:rsidP="00E965EB" w:rsidRDefault="00E965EB" w14:paraId="0014F5F5"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Item</w:t>
            </w:r>
          </w:p>
        </w:tc>
        <w:tc>
          <w:tcPr>
            <w:tcW w:w="821" w:type="dxa"/>
            <w:gridSpan w:val="2"/>
            <w:tcBorders>
              <w:top w:val="single" w:color="auto" w:sz="4" w:space="0"/>
              <w:bottom w:val="single" w:color="auto" w:sz="4" w:space="0"/>
            </w:tcBorders>
            <w:vAlign w:val="bottom"/>
          </w:tcPr>
          <w:p w:rsidRPr="008936E4" w:rsidR="00E965EB" w:rsidP="00E965EB" w:rsidRDefault="00E965EB" w14:paraId="3F2C73A6"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Year</w:t>
            </w:r>
          </w:p>
        </w:tc>
        <w:tc>
          <w:tcPr>
            <w:tcW w:w="884" w:type="dxa"/>
            <w:gridSpan w:val="2"/>
            <w:tcBorders>
              <w:top w:val="single" w:color="auto" w:sz="4" w:space="0"/>
              <w:bottom w:val="single" w:color="auto" w:sz="4" w:space="0"/>
            </w:tcBorders>
            <w:vAlign w:val="bottom"/>
          </w:tcPr>
          <w:p w:rsidRPr="008936E4" w:rsidR="00E965EB" w:rsidP="00E965EB" w:rsidRDefault="00E965EB" w14:paraId="275D7143"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Hours</w:t>
            </w:r>
          </w:p>
        </w:tc>
        <w:tc>
          <w:tcPr>
            <w:tcW w:w="930" w:type="dxa"/>
            <w:tcBorders>
              <w:top w:val="single" w:color="auto" w:sz="4" w:space="0"/>
              <w:bottom w:val="single" w:color="auto" w:sz="4" w:space="0"/>
            </w:tcBorders>
            <w:vAlign w:val="bottom"/>
          </w:tcPr>
          <w:p w:rsidRPr="008936E4" w:rsidR="00E965EB" w:rsidP="00E965EB" w:rsidRDefault="00E965EB" w14:paraId="46CEE32B" w14:textId="61F58D09">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Rate $</w:t>
            </w:r>
          </w:p>
        </w:tc>
        <w:tc>
          <w:tcPr>
            <w:tcW w:w="1721" w:type="dxa"/>
            <w:gridSpan w:val="2"/>
            <w:tcBorders>
              <w:top w:val="single" w:color="auto" w:sz="4" w:space="0"/>
              <w:bottom w:val="single" w:color="auto" w:sz="4" w:space="0"/>
              <w:right w:val="single" w:color="auto" w:sz="4" w:space="0"/>
            </w:tcBorders>
            <w:vAlign w:val="bottom"/>
          </w:tcPr>
          <w:p w:rsidRPr="008936E4" w:rsidR="00E965EB" w:rsidP="00E965EB" w:rsidRDefault="00E965EB" w14:paraId="09EDBB92"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8936E4" w:rsidR="00E965EB" w:rsidP="00E965EB" w:rsidRDefault="00E965EB" w14:paraId="00418671"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Total $</w:t>
            </w:r>
          </w:p>
        </w:tc>
        <w:tc>
          <w:tcPr>
            <w:tcW w:w="955" w:type="dxa"/>
            <w:tcBorders>
              <w:top w:val="single" w:color="auto" w:sz="4" w:space="0"/>
              <w:left w:val="single" w:color="auto" w:sz="4" w:space="0"/>
            </w:tcBorders>
            <w:vAlign w:val="bottom"/>
          </w:tcPr>
          <w:p w:rsidRPr="008936E4" w:rsidR="00E965EB" w:rsidP="00E965EB" w:rsidRDefault="00E965EB" w14:paraId="6CCF4B94"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Hours</w:t>
            </w:r>
          </w:p>
        </w:tc>
        <w:tc>
          <w:tcPr>
            <w:tcW w:w="1146" w:type="dxa"/>
            <w:tcBorders>
              <w:top w:val="single" w:color="auto" w:sz="4" w:space="0"/>
            </w:tcBorders>
            <w:vAlign w:val="bottom"/>
          </w:tcPr>
          <w:p w:rsidRPr="008936E4" w:rsidR="00E965EB" w:rsidP="00E965EB" w:rsidRDefault="00E965EB" w14:paraId="67936540" w14:textId="3D6F9D1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Rate $</w:t>
            </w:r>
          </w:p>
        </w:tc>
        <w:tc>
          <w:tcPr>
            <w:tcW w:w="1881" w:type="dxa"/>
            <w:tcBorders>
              <w:top w:val="single" w:color="auto" w:sz="4" w:space="0"/>
            </w:tcBorders>
            <w:vAlign w:val="bottom"/>
          </w:tcPr>
          <w:p w:rsidRPr="008936E4" w:rsidR="00E965EB" w:rsidP="00E965EB" w:rsidRDefault="00E965EB" w14:paraId="1CA0337A"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Total $</w:t>
            </w:r>
          </w:p>
        </w:tc>
      </w:tr>
      <w:tr w:rsidRPr="008936E4" w:rsidR="00E965EB" w:rsidTr="00E71497" w14:paraId="09CFB749" w14:textId="77777777">
        <w:trPr>
          <w:jc w:val="center"/>
        </w:trPr>
        <w:tc>
          <w:tcPr>
            <w:tcW w:w="1489" w:type="dxa"/>
            <w:gridSpan w:val="2"/>
          </w:tcPr>
          <w:p w:rsidRPr="00E71497" w:rsidR="00E965EB" w:rsidP="00E965EB" w:rsidRDefault="00E965EB" w14:paraId="5AB34291" w14:textId="791309FE">
            <w:pPr>
              <w:spacing w:before="60" w:after="60"/>
              <w:rPr>
                <w:rFonts w:asciiTheme="majorBidi" w:hAnsiTheme="majorBidi" w:cstheme="majorBidi"/>
                <w:color w:val="000000"/>
              </w:rPr>
            </w:pPr>
            <w:r w:rsidRPr="00E71497">
              <w:rPr>
                <w:rFonts w:asciiTheme="majorBidi" w:hAnsiTheme="majorBidi" w:cstheme="majorBidi"/>
                <w:color w:val="000000"/>
              </w:rPr>
              <w:t>Britt Marra</w:t>
            </w:r>
          </w:p>
        </w:tc>
        <w:tc>
          <w:tcPr>
            <w:tcW w:w="821" w:type="dxa"/>
            <w:gridSpan w:val="2"/>
          </w:tcPr>
          <w:p w:rsidRPr="00E71497" w:rsidR="00E965EB" w:rsidP="00E965EB" w:rsidRDefault="00E965EB" w14:paraId="2A0D8D18" w14:textId="0F5315B7">
            <w:pPr>
              <w:spacing w:before="60" w:after="60"/>
              <w:jc w:val="center"/>
              <w:rPr>
                <w:rFonts w:asciiTheme="majorBidi" w:hAnsiTheme="majorBidi" w:cstheme="majorBidi"/>
                <w:color w:val="000000"/>
              </w:rPr>
            </w:pPr>
            <w:r w:rsidRPr="002B66D6">
              <w:rPr>
                <w:rFonts w:asciiTheme="majorBidi" w:hAnsiTheme="majorBidi" w:cstheme="majorBidi"/>
                <w:color w:val="000000"/>
              </w:rPr>
              <w:t>2024</w:t>
            </w:r>
          </w:p>
        </w:tc>
        <w:tc>
          <w:tcPr>
            <w:tcW w:w="884" w:type="dxa"/>
            <w:gridSpan w:val="2"/>
          </w:tcPr>
          <w:p w:rsidRPr="00E71497" w:rsidR="00E965EB" w:rsidP="00E965EB" w:rsidRDefault="004A76C3" w14:paraId="64EA9215" w14:textId="451C4A19">
            <w:pPr>
              <w:spacing w:before="60" w:after="60"/>
              <w:jc w:val="center"/>
              <w:rPr>
                <w:rFonts w:asciiTheme="majorBidi" w:hAnsiTheme="majorBidi" w:cstheme="majorBidi"/>
                <w:color w:val="000000"/>
              </w:rPr>
            </w:pPr>
            <w:r w:rsidRPr="00E71497">
              <w:rPr>
                <w:rFonts w:asciiTheme="majorBidi" w:hAnsiTheme="majorBidi" w:cstheme="majorBidi"/>
                <w:color w:val="000000"/>
              </w:rPr>
              <w:t>9</w:t>
            </w:r>
            <w:r w:rsidRPr="00E71497" w:rsidR="00E965EB">
              <w:rPr>
                <w:rFonts w:asciiTheme="majorBidi" w:hAnsiTheme="majorBidi" w:cstheme="majorBidi"/>
                <w:color w:val="000000"/>
              </w:rPr>
              <w:t>.25</w:t>
            </w:r>
          </w:p>
        </w:tc>
        <w:tc>
          <w:tcPr>
            <w:tcW w:w="930" w:type="dxa"/>
          </w:tcPr>
          <w:p w:rsidRPr="00E71497" w:rsidR="00E965EB" w:rsidP="00E965EB" w:rsidRDefault="0086557E" w14:paraId="15F30A98" w14:textId="6FC30F93">
            <w:pPr>
              <w:spacing w:before="60" w:after="60"/>
              <w:jc w:val="right"/>
              <w:rPr>
                <w:rFonts w:asciiTheme="majorBidi" w:hAnsiTheme="majorBidi" w:cstheme="majorBidi"/>
                <w:color w:val="000000"/>
              </w:rPr>
            </w:pPr>
            <w:r w:rsidRPr="00E71497">
              <w:rPr>
                <w:rFonts w:asciiTheme="majorBidi" w:hAnsiTheme="majorBidi" w:cstheme="majorBidi"/>
                <w:color w:val="000000"/>
              </w:rPr>
              <w:t>$125</w:t>
            </w:r>
          </w:p>
        </w:tc>
        <w:tc>
          <w:tcPr>
            <w:tcW w:w="1721" w:type="dxa"/>
            <w:gridSpan w:val="2"/>
            <w:tcBorders>
              <w:right w:val="single" w:color="auto" w:sz="4" w:space="0"/>
            </w:tcBorders>
          </w:tcPr>
          <w:p w:rsidRPr="00E71497" w:rsidR="00E965EB" w:rsidP="00E965EB" w:rsidRDefault="0086557E" w14:paraId="27EA3054" w14:textId="6EC8D9B8">
            <w:pPr>
              <w:spacing w:before="60" w:after="60"/>
              <w:rPr>
                <w:rFonts w:asciiTheme="majorBidi" w:hAnsiTheme="majorBidi" w:cstheme="majorBidi"/>
                <w:color w:val="000000"/>
              </w:rPr>
            </w:pPr>
            <w:r w:rsidRPr="00E71497">
              <w:rPr>
                <w:rFonts w:asciiTheme="majorBidi" w:hAnsiTheme="majorBidi" w:cstheme="majorBidi"/>
                <w:color w:val="000000"/>
              </w:rPr>
              <w:t>50% of 2024 rate</w:t>
            </w:r>
          </w:p>
        </w:tc>
        <w:tc>
          <w:tcPr>
            <w:tcW w:w="1333" w:type="dxa"/>
            <w:gridSpan w:val="2"/>
            <w:tcBorders>
              <w:top w:val="single" w:color="auto" w:sz="4" w:space="0"/>
              <w:left w:val="single" w:color="auto" w:sz="4" w:space="0"/>
              <w:bottom w:val="single" w:color="auto" w:sz="4" w:space="0"/>
              <w:right w:val="single" w:color="auto" w:sz="24" w:space="0"/>
            </w:tcBorders>
          </w:tcPr>
          <w:p w:rsidRPr="00E71497" w:rsidR="00E965EB" w:rsidP="00E965EB" w:rsidRDefault="00754132" w14:paraId="5E4CC873" w14:textId="236FC890">
            <w:pPr>
              <w:spacing w:before="60" w:after="60"/>
              <w:jc w:val="right"/>
              <w:rPr>
                <w:rFonts w:asciiTheme="majorBidi" w:hAnsiTheme="majorBidi" w:cstheme="majorBidi"/>
                <w:color w:val="000000"/>
              </w:rPr>
            </w:pPr>
            <w:r w:rsidRPr="00E71497">
              <w:rPr>
                <w:rFonts w:asciiTheme="majorBidi" w:hAnsiTheme="majorBidi" w:cstheme="majorBidi"/>
                <w:color w:val="000000"/>
              </w:rPr>
              <w:t>$1,156.25</w:t>
            </w:r>
          </w:p>
        </w:tc>
        <w:tc>
          <w:tcPr>
            <w:tcW w:w="955" w:type="dxa"/>
            <w:tcBorders>
              <w:left w:val="single" w:color="auto" w:sz="4" w:space="0"/>
              <w:right w:val="single" w:color="auto" w:sz="4" w:space="0"/>
            </w:tcBorders>
          </w:tcPr>
          <w:p w:rsidR="00E965EB" w:rsidP="00475DC0" w:rsidRDefault="0064089F" w14:paraId="11F0B5BA" w14:textId="77777777">
            <w:pPr>
              <w:spacing w:before="60" w:after="60"/>
              <w:jc w:val="center"/>
              <w:rPr>
                <w:rFonts w:asciiTheme="majorBidi" w:hAnsiTheme="majorBidi" w:cstheme="majorBidi"/>
                <w:color w:val="000000"/>
              </w:rPr>
            </w:pPr>
            <w:r>
              <w:rPr>
                <w:rFonts w:asciiTheme="majorBidi" w:hAnsiTheme="majorBidi" w:cstheme="majorBidi"/>
                <w:color w:val="000000"/>
              </w:rPr>
              <w:t>0.00</w:t>
            </w:r>
          </w:p>
          <w:p w:rsidRPr="008936E4" w:rsidR="0064089F" w:rsidP="00475DC0" w:rsidRDefault="0064089F" w14:paraId="42B2DDFC" w14:textId="0F3CE481">
            <w:pPr>
              <w:spacing w:before="60" w:after="60"/>
              <w:jc w:val="center"/>
              <w:rPr>
                <w:rFonts w:asciiTheme="majorBidi" w:hAnsiTheme="majorBidi" w:cstheme="majorBidi"/>
                <w:color w:val="000000"/>
              </w:rPr>
            </w:pPr>
            <w:r>
              <w:rPr>
                <w:rFonts w:asciiTheme="majorBidi" w:hAnsiTheme="majorBidi" w:cstheme="majorBidi"/>
                <w:color w:val="000000"/>
              </w:rPr>
              <w:t>[</w:t>
            </w:r>
            <w:r w:rsidR="00CC1FAE">
              <w:rPr>
                <w:rFonts w:asciiTheme="majorBidi" w:hAnsiTheme="majorBidi" w:cstheme="majorBidi"/>
                <w:color w:val="000000"/>
              </w:rPr>
              <w:t>5</w:t>
            </w:r>
            <w:r>
              <w:rPr>
                <w:rFonts w:asciiTheme="majorBidi" w:hAnsiTheme="majorBidi" w:cstheme="majorBidi"/>
                <w:color w:val="000000"/>
              </w:rPr>
              <w:t>]</w:t>
            </w:r>
          </w:p>
        </w:tc>
        <w:tc>
          <w:tcPr>
            <w:tcW w:w="1146" w:type="dxa"/>
            <w:tcBorders>
              <w:left w:val="single" w:color="auto" w:sz="4" w:space="0"/>
            </w:tcBorders>
          </w:tcPr>
          <w:p w:rsidR="00E965EB" w:rsidP="00475DC0" w:rsidRDefault="00AE396A" w14:paraId="71008393" w14:textId="77777777">
            <w:pPr>
              <w:spacing w:before="60" w:after="60"/>
              <w:jc w:val="center"/>
              <w:rPr>
                <w:rFonts w:asciiTheme="majorBidi" w:hAnsiTheme="majorBidi" w:cstheme="majorBidi"/>
                <w:color w:val="000000"/>
              </w:rPr>
            </w:pPr>
            <w:r>
              <w:rPr>
                <w:rFonts w:asciiTheme="majorBidi" w:hAnsiTheme="majorBidi" w:cstheme="majorBidi"/>
                <w:color w:val="000000"/>
              </w:rPr>
              <w:t>$125.00</w:t>
            </w:r>
          </w:p>
          <w:p w:rsidRPr="008936E4" w:rsidR="00AE396A" w:rsidP="00475DC0" w:rsidRDefault="00AE396A" w14:paraId="62FAF033" w14:textId="50852DEB">
            <w:pPr>
              <w:spacing w:before="60" w:after="60"/>
              <w:jc w:val="center"/>
              <w:rPr>
                <w:rFonts w:asciiTheme="majorBidi" w:hAnsiTheme="majorBidi" w:cstheme="majorBidi"/>
                <w:color w:val="000000"/>
              </w:rPr>
            </w:pPr>
            <w:r>
              <w:rPr>
                <w:rFonts w:asciiTheme="majorBidi" w:hAnsiTheme="majorBidi" w:cstheme="majorBidi"/>
                <w:color w:val="000000"/>
              </w:rPr>
              <w:t>[3]</w:t>
            </w:r>
          </w:p>
        </w:tc>
        <w:tc>
          <w:tcPr>
            <w:tcW w:w="1881" w:type="dxa"/>
          </w:tcPr>
          <w:p w:rsidRPr="008936E4" w:rsidR="00E965EB" w:rsidP="00E965EB" w:rsidRDefault="00F80068" w14:paraId="4FDDC4B2" w14:textId="07C97968">
            <w:pPr>
              <w:spacing w:before="60" w:after="60"/>
              <w:jc w:val="right"/>
              <w:rPr>
                <w:rFonts w:asciiTheme="majorBidi" w:hAnsiTheme="majorBidi" w:cstheme="majorBidi"/>
                <w:color w:val="000000"/>
              </w:rPr>
            </w:pPr>
            <w:r>
              <w:rPr>
                <w:rFonts w:asciiTheme="majorBidi" w:hAnsiTheme="majorBidi" w:cstheme="majorBidi"/>
                <w:color w:val="000000"/>
              </w:rPr>
              <w:t>$</w:t>
            </w:r>
            <w:r w:rsidR="005F6401">
              <w:rPr>
                <w:rFonts w:asciiTheme="majorBidi" w:hAnsiTheme="majorBidi" w:cstheme="majorBidi"/>
                <w:color w:val="000000"/>
              </w:rPr>
              <w:t>0.00</w:t>
            </w:r>
          </w:p>
        </w:tc>
      </w:tr>
      <w:tr w:rsidRPr="008936E4" w:rsidR="00E965EB" w:rsidTr="00EC6387" w14:paraId="63BC1854" w14:textId="77777777">
        <w:trPr>
          <w:jc w:val="center"/>
        </w:trPr>
        <w:tc>
          <w:tcPr>
            <w:tcW w:w="7178" w:type="dxa"/>
            <w:gridSpan w:val="11"/>
            <w:tcBorders>
              <w:bottom w:val="single" w:color="auto" w:sz="4" w:space="0"/>
              <w:right w:val="single" w:color="auto" w:sz="24" w:space="0"/>
            </w:tcBorders>
            <w:vAlign w:val="bottom"/>
          </w:tcPr>
          <w:p w:rsidRPr="008936E4" w:rsidR="00E965EB" w:rsidP="00E965EB" w:rsidRDefault="00E965EB" w14:paraId="3A471360" w14:textId="1B603548">
            <w:pPr>
              <w:tabs>
                <w:tab w:val="left" w:pos="957"/>
              </w:tabs>
              <w:spacing w:before="60" w:after="60"/>
              <w:ind w:right="162"/>
              <w:jc w:val="right"/>
              <w:rPr>
                <w:rFonts w:asciiTheme="majorBidi" w:hAnsiTheme="majorBidi" w:cstheme="majorBidi"/>
                <w:b/>
                <w:i/>
                <w:color w:val="000000"/>
              </w:rPr>
            </w:pPr>
            <w:r w:rsidRPr="008936E4">
              <w:rPr>
                <w:rFonts w:asciiTheme="majorBidi" w:hAnsiTheme="majorBidi" w:cstheme="majorBidi"/>
                <w:b/>
                <w:i/>
                <w:color w:val="000000"/>
              </w:rPr>
              <w:t>Subtotal: $</w:t>
            </w:r>
            <w:r w:rsidRPr="00754132" w:rsidR="00754132">
              <w:rPr>
                <w:rFonts w:asciiTheme="majorBidi" w:hAnsiTheme="majorBidi" w:cstheme="majorBidi"/>
                <w:b/>
                <w:i/>
                <w:color w:val="000000"/>
              </w:rPr>
              <w:t>1,156.25</w:t>
            </w:r>
          </w:p>
        </w:tc>
        <w:tc>
          <w:tcPr>
            <w:tcW w:w="3982" w:type="dxa"/>
            <w:gridSpan w:val="3"/>
            <w:tcBorders>
              <w:left w:val="single" w:color="auto" w:sz="24" w:space="0"/>
              <w:bottom w:val="single" w:color="auto" w:sz="4" w:space="0"/>
            </w:tcBorders>
            <w:vAlign w:val="bottom"/>
          </w:tcPr>
          <w:p w:rsidRPr="008936E4" w:rsidR="00E965EB" w:rsidP="00E965EB" w:rsidRDefault="00E965EB" w14:paraId="53BF0F55" w14:textId="174742F4">
            <w:pPr>
              <w:tabs>
                <w:tab w:val="left" w:pos="957"/>
              </w:tabs>
              <w:spacing w:before="60" w:after="60"/>
              <w:ind w:right="162"/>
              <w:jc w:val="right"/>
              <w:rPr>
                <w:rFonts w:asciiTheme="majorBidi" w:hAnsiTheme="majorBidi" w:cstheme="majorBidi"/>
                <w:b/>
                <w:i/>
                <w:color w:val="000000"/>
              </w:rPr>
            </w:pPr>
            <w:r w:rsidRPr="008936E4">
              <w:rPr>
                <w:rFonts w:asciiTheme="majorBidi" w:hAnsiTheme="majorBidi" w:cstheme="majorBidi"/>
                <w:b/>
                <w:i/>
                <w:color w:val="000000"/>
              </w:rPr>
              <w:t xml:space="preserve">Subtotal:  </w:t>
            </w:r>
            <w:r w:rsidR="0064089F">
              <w:rPr>
                <w:rFonts w:asciiTheme="majorBidi" w:hAnsiTheme="majorBidi" w:cstheme="majorBidi"/>
                <w:b/>
                <w:i/>
                <w:color w:val="000000"/>
              </w:rPr>
              <w:t>$</w:t>
            </w:r>
            <w:r w:rsidR="005F6401">
              <w:rPr>
                <w:rFonts w:asciiTheme="majorBidi" w:hAnsiTheme="majorBidi" w:cstheme="majorBidi"/>
                <w:b/>
                <w:i/>
                <w:color w:val="000000"/>
              </w:rPr>
              <w:t>0.00</w:t>
            </w:r>
          </w:p>
        </w:tc>
      </w:tr>
      <w:tr w:rsidRPr="008936E4" w:rsidR="00E965EB" w:rsidTr="00EC6387" w14:paraId="4F8FAF05"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E6E6E6"/>
          </w:tcPr>
          <w:p w:rsidRPr="008936E4" w:rsidR="00E965EB" w:rsidP="00E965EB" w:rsidRDefault="00E965EB" w14:paraId="41FE304C" w14:textId="77777777">
            <w:pPr>
              <w:keepNext/>
              <w:spacing w:before="60" w:after="60"/>
              <w:jc w:val="center"/>
              <w:rPr>
                <w:rFonts w:asciiTheme="majorBidi" w:hAnsiTheme="majorBidi" w:cstheme="majorBidi"/>
                <w:color w:val="000000"/>
              </w:rPr>
            </w:pPr>
            <w:r w:rsidRPr="008936E4">
              <w:rPr>
                <w:rFonts w:asciiTheme="majorBidi" w:hAnsiTheme="majorBidi" w:cstheme="majorBidi"/>
                <w:b/>
                <w:color w:val="000000"/>
              </w:rPr>
              <w:t xml:space="preserve">INTERVENOR COMPENSATION CLAIM </w:t>
            </w:r>
            <w:proofErr w:type="gramStart"/>
            <w:r w:rsidRPr="008936E4">
              <w:rPr>
                <w:rFonts w:asciiTheme="majorBidi" w:hAnsiTheme="majorBidi" w:cstheme="majorBidi"/>
                <w:b/>
                <w:color w:val="000000"/>
              </w:rPr>
              <w:t xml:space="preserve">PREPARATION </w:t>
            </w:r>
            <w:r w:rsidRPr="008936E4">
              <w:rPr>
                <w:rFonts w:asciiTheme="majorBidi" w:hAnsiTheme="majorBidi" w:cstheme="majorBidi"/>
                <w:b/>
                <w:smallCaps/>
                <w:color w:val="000000"/>
              </w:rPr>
              <w:t xml:space="preserve"> *</w:t>
            </w:r>
            <w:proofErr w:type="gramEnd"/>
            <w:r w:rsidRPr="008936E4">
              <w:rPr>
                <w:rFonts w:asciiTheme="majorBidi" w:hAnsiTheme="majorBidi" w:cstheme="majorBidi"/>
                <w:b/>
                <w:smallCaps/>
                <w:color w:val="000000"/>
              </w:rPr>
              <w:t>*</w:t>
            </w:r>
          </w:p>
        </w:tc>
      </w:tr>
      <w:tr w:rsidRPr="008936E4" w:rsidR="00E965EB" w:rsidTr="00763797" w14:paraId="48B3E535" w14:textId="77777777">
        <w:trPr>
          <w:jc w:val="center"/>
        </w:trPr>
        <w:tc>
          <w:tcPr>
            <w:tcW w:w="1489" w:type="dxa"/>
            <w:gridSpan w:val="2"/>
            <w:tcBorders>
              <w:top w:val="single" w:color="auto" w:sz="4" w:space="0"/>
              <w:bottom w:val="single" w:color="auto" w:sz="4" w:space="0"/>
            </w:tcBorders>
            <w:vAlign w:val="bottom"/>
          </w:tcPr>
          <w:p w:rsidRPr="008936E4" w:rsidR="00E965EB" w:rsidP="00E965EB" w:rsidRDefault="00E965EB" w14:paraId="563A43BB"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Item</w:t>
            </w:r>
          </w:p>
        </w:tc>
        <w:tc>
          <w:tcPr>
            <w:tcW w:w="821" w:type="dxa"/>
            <w:gridSpan w:val="2"/>
            <w:tcBorders>
              <w:top w:val="single" w:color="auto" w:sz="4" w:space="0"/>
              <w:bottom w:val="single" w:color="auto" w:sz="4" w:space="0"/>
            </w:tcBorders>
            <w:vAlign w:val="bottom"/>
          </w:tcPr>
          <w:p w:rsidRPr="008936E4" w:rsidR="00E965EB" w:rsidP="00E965EB" w:rsidRDefault="00E965EB" w14:paraId="144552E0"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Year</w:t>
            </w:r>
          </w:p>
        </w:tc>
        <w:tc>
          <w:tcPr>
            <w:tcW w:w="884" w:type="dxa"/>
            <w:gridSpan w:val="2"/>
            <w:tcBorders>
              <w:top w:val="single" w:color="auto" w:sz="4" w:space="0"/>
              <w:bottom w:val="single" w:color="auto" w:sz="4" w:space="0"/>
            </w:tcBorders>
            <w:vAlign w:val="bottom"/>
          </w:tcPr>
          <w:p w:rsidRPr="008936E4" w:rsidR="00E965EB" w:rsidP="00E965EB" w:rsidRDefault="00E965EB" w14:paraId="42890B1B"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Hours</w:t>
            </w:r>
          </w:p>
        </w:tc>
        <w:tc>
          <w:tcPr>
            <w:tcW w:w="930" w:type="dxa"/>
            <w:tcBorders>
              <w:top w:val="single" w:color="auto" w:sz="4" w:space="0"/>
              <w:bottom w:val="single" w:color="auto" w:sz="4" w:space="0"/>
            </w:tcBorders>
            <w:vAlign w:val="bottom"/>
          </w:tcPr>
          <w:p w:rsidRPr="008936E4" w:rsidR="00E965EB" w:rsidP="00E965EB" w:rsidRDefault="00E965EB" w14:paraId="1E7BD956" w14:textId="243077B9">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Rate $</w:t>
            </w:r>
          </w:p>
        </w:tc>
        <w:tc>
          <w:tcPr>
            <w:tcW w:w="1721" w:type="dxa"/>
            <w:gridSpan w:val="2"/>
            <w:tcBorders>
              <w:top w:val="single" w:color="auto" w:sz="4" w:space="0"/>
              <w:bottom w:val="single" w:color="auto" w:sz="4" w:space="0"/>
              <w:right w:val="single" w:color="auto" w:sz="4" w:space="0"/>
            </w:tcBorders>
            <w:vAlign w:val="bottom"/>
          </w:tcPr>
          <w:p w:rsidRPr="008936E4" w:rsidR="00E965EB" w:rsidP="00E965EB" w:rsidRDefault="00E965EB" w14:paraId="104D7982"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8936E4" w:rsidR="00E965EB" w:rsidP="00E965EB" w:rsidRDefault="00E965EB" w14:paraId="073B2BB9"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Total $</w:t>
            </w:r>
          </w:p>
        </w:tc>
        <w:tc>
          <w:tcPr>
            <w:tcW w:w="955" w:type="dxa"/>
            <w:tcBorders>
              <w:top w:val="single" w:color="auto" w:sz="4" w:space="0"/>
              <w:left w:val="single" w:color="auto" w:sz="4" w:space="0"/>
            </w:tcBorders>
            <w:vAlign w:val="bottom"/>
          </w:tcPr>
          <w:p w:rsidRPr="008936E4" w:rsidR="00E965EB" w:rsidP="00E965EB" w:rsidRDefault="00E965EB" w14:paraId="0409143B"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Hours</w:t>
            </w:r>
          </w:p>
        </w:tc>
        <w:tc>
          <w:tcPr>
            <w:tcW w:w="1146" w:type="dxa"/>
            <w:tcBorders>
              <w:top w:val="single" w:color="auto" w:sz="4" w:space="0"/>
            </w:tcBorders>
            <w:vAlign w:val="bottom"/>
          </w:tcPr>
          <w:p w:rsidRPr="008936E4" w:rsidR="00E965EB" w:rsidP="00E965EB" w:rsidRDefault="00E965EB" w14:paraId="6B59BB80" w14:textId="2C791D8E">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Rate $</w:t>
            </w:r>
          </w:p>
        </w:tc>
        <w:tc>
          <w:tcPr>
            <w:tcW w:w="1881" w:type="dxa"/>
            <w:tcBorders>
              <w:top w:val="single" w:color="auto" w:sz="4" w:space="0"/>
            </w:tcBorders>
            <w:vAlign w:val="bottom"/>
          </w:tcPr>
          <w:p w:rsidRPr="008936E4" w:rsidR="00E965EB" w:rsidP="00E965EB" w:rsidRDefault="00E965EB" w14:paraId="6C7B13CF"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Total $</w:t>
            </w:r>
          </w:p>
        </w:tc>
      </w:tr>
      <w:tr w:rsidRPr="008936E4" w:rsidR="00754132" w:rsidTr="00AB264D" w14:paraId="12E93EF9" w14:textId="77777777">
        <w:trPr>
          <w:jc w:val="center"/>
        </w:trPr>
        <w:tc>
          <w:tcPr>
            <w:tcW w:w="1489" w:type="dxa"/>
            <w:gridSpan w:val="2"/>
          </w:tcPr>
          <w:p w:rsidRPr="008936E4" w:rsidR="00754132" w:rsidP="00754132" w:rsidRDefault="00754132" w14:paraId="114E51A5" w14:textId="4541DB7A">
            <w:pPr>
              <w:spacing w:before="60" w:after="60"/>
              <w:rPr>
                <w:rFonts w:asciiTheme="majorBidi" w:hAnsiTheme="majorBidi" w:cstheme="majorBidi"/>
                <w:color w:val="000000"/>
              </w:rPr>
            </w:pPr>
            <w:r w:rsidRPr="008936E4">
              <w:rPr>
                <w:rFonts w:asciiTheme="majorBidi" w:hAnsiTheme="majorBidi" w:cstheme="majorBidi"/>
                <w:color w:val="000000"/>
              </w:rPr>
              <w:t>James Birkelund</w:t>
            </w:r>
          </w:p>
        </w:tc>
        <w:tc>
          <w:tcPr>
            <w:tcW w:w="821" w:type="dxa"/>
            <w:gridSpan w:val="2"/>
          </w:tcPr>
          <w:p w:rsidRPr="008936E4" w:rsidR="00754132" w:rsidP="00754132" w:rsidRDefault="00754132" w14:paraId="049ED780" w14:textId="7EB7CDF9">
            <w:pPr>
              <w:spacing w:before="60" w:after="60"/>
              <w:jc w:val="center"/>
              <w:rPr>
                <w:rFonts w:asciiTheme="majorBidi" w:hAnsiTheme="majorBidi" w:cstheme="majorBidi"/>
                <w:color w:val="000000"/>
              </w:rPr>
            </w:pPr>
            <w:r w:rsidRPr="008936E4">
              <w:rPr>
                <w:rFonts w:asciiTheme="majorBidi" w:hAnsiTheme="majorBidi" w:cstheme="majorBidi"/>
                <w:color w:val="000000"/>
              </w:rPr>
              <w:t>202</w:t>
            </w:r>
            <w:r>
              <w:rPr>
                <w:rFonts w:asciiTheme="majorBidi" w:hAnsiTheme="majorBidi" w:cstheme="majorBidi"/>
                <w:color w:val="000000"/>
              </w:rPr>
              <w:t>4</w:t>
            </w:r>
          </w:p>
        </w:tc>
        <w:tc>
          <w:tcPr>
            <w:tcW w:w="884" w:type="dxa"/>
            <w:gridSpan w:val="2"/>
          </w:tcPr>
          <w:p w:rsidR="00754132" w:rsidP="00754132" w:rsidRDefault="00754132" w14:paraId="5CBDF196" w14:textId="1C09BB11">
            <w:pPr>
              <w:spacing w:before="60" w:after="60"/>
              <w:jc w:val="center"/>
              <w:rPr>
                <w:rFonts w:asciiTheme="majorBidi" w:hAnsiTheme="majorBidi" w:cstheme="majorBidi"/>
                <w:color w:val="000000"/>
              </w:rPr>
            </w:pPr>
            <w:r>
              <w:rPr>
                <w:rFonts w:asciiTheme="majorBidi" w:hAnsiTheme="majorBidi" w:cstheme="majorBidi"/>
                <w:color w:val="000000"/>
              </w:rPr>
              <w:t>1</w:t>
            </w:r>
          </w:p>
        </w:tc>
        <w:tc>
          <w:tcPr>
            <w:tcW w:w="930" w:type="dxa"/>
          </w:tcPr>
          <w:p w:rsidRPr="008936E4" w:rsidR="00754132" w:rsidP="00754132" w:rsidRDefault="00754132" w14:paraId="7DE9E825" w14:textId="58D33D6A">
            <w:pPr>
              <w:spacing w:before="60" w:after="60"/>
              <w:rPr>
                <w:rFonts w:asciiTheme="majorBidi" w:hAnsiTheme="majorBidi" w:cstheme="majorBidi"/>
              </w:rPr>
            </w:pPr>
            <w:r>
              <w:rPr>
                <w:rFonts w:asciiTheme="majorBidi" w:hAnsiTheme="majorBidi" w:cstheme="majorBidi"/>
              </w:rPr>
              <w:t>$400</w:t>
            </w:r>
          </w:p>
        </w:tc>
        <w:tc>
          <w:tcPr>
            <w:tcW w:w="1721" w:type="dxa"/>
            <w:gridSpan w:val="2"/>
            <w:tcBorders>
              <w:right w:val="single" w:color="auto" w:sz="4" w:space="0"/>
            </w:tcBorders>
          </w:tcPr>
          <w:p w:rsidRPr="00794784" w:rsidR="00754132" w:rsidP="00754132" w:rsidRDefault="00754132" w14:paraId="117BDFC9" w14:textId="76F9BA11">
            <w:pPr>
              <w:spacing w:before="60" w:after="60"/>
              <w:rPr>
                <w:color w:val="000000"/>
                <w:sz w:val="23"/>
                <w:szCs w:val="23"/>
              </w:rPr>
            </w:pPr>
            <w:r w:rsidRPr="00794784">
              <w:rPr>
                <w:color w:val="000000"/>
                <w:sz w:val="23"/>
                <w:szCs w:val="23"/>
              </w:rPr>
              <w:t>50% of 202</w:t>
            </w:r>
            <w:r>
              <w:rPr>
                <w:color w:val="000000"/>
                <w:sz w:val="23"/>
                <w:szCs w:val="23"/>
              </w:rPr>
              <w:t>4</w:t>
            </w:r>
            <w:r w:rsidRPr="00794784">
              <w:rPr>
                <w:color w:val="000000"/>
                <w:sz w:val="23"/>
                <w:szCs w:val="23"/>
              </w:rPr>
              <w:t xml:space="preserve"> rate</w:t>
            </w:r>
          </w:p>
        </w:tc>
        <w:tc>
          <w:tcPr>
            <w:tcW w:w="1333" w:type="dxa"/>
            <w:gridSpan w:val="2"/>
            <w:tcBorders>
              <w:top w:val="single" w:color="auto" w:sz="4" w:space="0"/>
              <w:left w:val="single" w:color="auto" w:sz="4" w:space="0"/>
              <w:bottom w:val="single" w:color="auto" w:sz="4" w:space="0"/>
              <w:right w:val="single" w:color="auto" w:sz="24" w:space="0"/>
            </w:tcBorders>
          </w:tcPr>
          <w:p w:rsidR="00754132" w:rsidP="00754132" w:rsidRDefault="00754132" w14:paraId="5844DDBC" w14:textId="3A8AA1B9">
            <w:pPr>
              <w:spacing w:before="60" w:after="60"/>
              <w:jc w:val="right"/>
              <w:rPr>
                <w:rFonts w:asciiTheme="majorBidi" w:hAnsiTheme="majorBidi" w:cstheme="majorBidi"/>
                <w:color w:val="000000"/>
              </w:rPr>
            </w:pPr>
            <w:r w:rsidRPr="00222B7F">
              <w:t xml:space="preserve">$400.00 </w:t>
            </w:r>
          </w:p>
        </w:tc>
        <w:tc>
          <w:tcPr>
            <w:tcW w:w="955" w:type="dxa"/>
            <w:tcBorders>
              <w:left w:val="single" w:color="auto" w:sz="4" w:space="0"/>
              <w:right w:val="single" w:color="auto" w:sz="4" w:space="0"/>
            </w:tcBorders>
          </w:tcPr>
          <w:p w:rsidRPr="008936E4" w:rsidR="00754132" w:rsidP="00475DC0" w:rsidRDefault="004651C4" w14:paraId="64FB6C95" w14:textId="37B60627">
            <w:pPr>
              <w:spacing w:before="60" w:after="60"/>
              <w:jc w:val="center"/>
              <w:rPr>
                <w:rFonts w:asciiTheme="majorBidi" w:hAnsiTheme="majorBidi" w:cstheme="majorBidi"/>
                <w:color w:val="000000"/>
              </w:rPr>
            </w:pPr>
            <w:r>
              <w:rPr>
                <w:rFonts w:asciiTheme="majorBidi" w:hAnsiTheme="majorBidi" w:cstheme="majorBidi"/>
                <w:color w:val="000000"/>
              </w:rPr>
              <w:t>1</w:t>
            </w:r>
            <w:r w:rsidR="002D6E3C">
              <w:rPr>
                <w:rFonts w:asciiTheme="majorBidi" w:hAnsiTheme="majorBidi" w:cstheme="majorBidi"/>
                <w:color w:val="000000"/>
              </w:rPr>
              <w:t>.00</w:t>
            </w:r>
          </w:p>
        </w:tc>
        <w:tc>
          <w:tcPr>
            <w:tcW w:w="1146" w:type="dxa"/>
            <w:tcBorders>
              <w:left w:val="single" w:color="auto" w:sz="4" w:space="0"/>
            </w:tcBorders>
          </w:tcPr>
          <w:p w:rsidR="00754132" w:rsidP="00475DC0" w:rsidRDefault="00630DE9" w14:paraId="1E8A1242" w14:textId="4AEFEFC1">
            <w:pPr>
              <w:spacing w:before="60" w:after="60"/>
              <w:jc w:val="center"/>
              <w:rPr>
                <w:rFonts w:asciiTheme="majorBidi" w:hAnsiTheme="majorBidi" w:cstheme="majorBidi"/>
                <w:color w:val="000000"/>
              </w:rPr>
            </w:pPr>
            <w:r>
              <w:rPr>
                <w:rFonts w:asciiTheme="majorBidi" w:hAnsiTheme="majorBidi" w:cstheme="majorBidi"/>
                <w:color w:val="000000"/>
              </w:rPr>
              <w:t>$400.00</w:t>
            </w:r>
          </w:p>
          <w:p w:rsidRPr="008936E4" w:rsidR="00AE396A" w:rsidP="00475DC0" w:rsidRDefault="00AE396A" w14:paraId="1C817090" w14:textId="0C7D14E3">
            <w:pPr>
              <w:spacing w:before="60" w:after="60"/>
              <w:jc w:val="center"/>
              <w:rPr>
                <w:rFonts w:asciiTheme="majorBidi" w:hAnsiTheme="majorBidi" w:cstheme="majorBidi"/>
                <w:color w:val="000000"/>
              </w:rPr>
            </w:pPr>
            <w:r>
              <w:rPr>
                <w:rFonts w:asciiTheme="majorBidi" w:hAnsiTheme="majorBidi" w:cstheme="majorBidi"/>
                <w:color w:val="000000"/>
              </w:rPr>
              <w:t>[2]</w:t>
            </w:r>
          </w:p>
        </w:tc>
        <w:tc>
          <w:tcPr>
            <w:tcW w:w="1881" w:type="dxa"/>
          </w:tcPr>
          <w:p w:rsidRPr="008936E4" w:rsidR="00754132" w:rsidP="00754132" w:rsidRDefault="004651C4" w14:paraId="2CC81563" w14:textId="6ADF4BCE">
            <w:pPr>
              <w:spacing w:before="60" w:after="60"/>
              <w:jc w:val="right"/>
              <w:rPr>
                <w:rFonts w:asciiTheme="majorBidi" w:hAnsiTheme="majorBidi" w:cstheme="majorBidi"/>
                <w:color w:val="000000"/>
              </w:rPr>
            </w:pPr>
            <w:r>
              <w:rPr>
                <w:rFonts w:asciiTheme="majorBidi" w:hAnsiTheme="majorBidi" w:cstheme="majorBidi"/>
                <w:color w:val="000000"/>
              </w:rPr>
              <w:t>$400.00</w:t>
            </w:r>
          </w:p>
        </w:tc>
      </w:tr>
      <w:tr w:rsidRPr="008936E4" w:rsidR="00754132" w:rsidTr="00AB264D" w14:paraId="25086E67" w14:textId="77777777">
        <w:trPr>
          <w:jc w:val="center"/>
        </w:trPr>
        <w:tc>
          <w:tcPr>
            <w:tcW w:w="1489" w:type="dxa"/>
            <w:gridSpan w:val="2"/>
          </w:tcPr>
          <w:p w:rsidRPr="008936E4" w:rsidR="00754132" w:rsidP="00754132" w:rsidRDefault="00754132" w14:paraId="386D0995" w14:textId="2DE1BABA">
            <w:pPr>
              <w:spacing w:before="60" w:after="60"/>
              <w:rPr>
                <w:rFonts w:asciiTheme="majorBidi" w:hAnsiTheme="majorBidi" w:cstheme="majorBidi"/>
                <w:color w:val="000000"/>
              </w:rPr>
            </w:pPr>
            <w:r w:rsidRPr="008936E4">
              <w:rPr>
                <w:rFonts w:asciiTheme="majorBidi" w:hAnsiTheme="majorBidi" w:cstheme="majorBidi"/>
                <w:color w:val="000000"/>
              </w:rPr>
              <w:t>James Birkelund</w:t>
            </w:r>
          </w:p>
        </w:tc>
        <w:tc>
          <w:tcPr>
            <w:tcW w:w="821" w:type="dxa"/>
            <w:gridSpan w:val="2"/>
          </w:tcPr>
          <w:p w:rsidRPr="008936E4" w:rsidR="00754132" w:rsidP="00754132" w:rsidRDefault="00754132" w14:paraId="4A155F1D" w14:textId="7111EA85">
            <w:pPr>
              <w:spacing w:before="60" w:after="60"/>
              <w:jc w:val="center"/>
              <w:rPr>
                <w:rFonts w:asciiTheme="majorBidi" w:hAnsiTheme="majorBidi" w:cstheme="majorBidi"/>
                <w:color w:val="000000"/>
              </w:rPr>
            </w:pPr>
            <w:r w:rsidRPr="008936E4">
              <w:rPr>
                <w:rFonts w:asciiTheme="majorBidi" w:hAnsiTheme="majorBidi" w:cstheme="majorBidi"/>
                <w:color w:val="000000"/>
              </w:rPr>
              <w:t>202</w:t>
            </w:r>
            <w:r>
              <w:rPr>
                <w:rFonts w:asciiTheme="majorBidi" w:hAnsiTheme="majorBidi" w:cstheme="majorBidi"/>
                <w:color w:val="000000"/>
              </w:rPr>
              <w:t>5</w:t>
            </w:r>
          </w:p>
        </w:tc>
        <w:tc>
          <w:tcPr>
            <w:tcW w:w="884" w:type="dxa"/>
            <w:gridSpan w:val="2"/>
          </w:tcPr>
          <w:p w:rsidRPr="008936E4" w:rsidR="00754132" w:rsidP="00754132" w:rsidRDefault="00754132" w14:paraId="30EEA80A" w14:textId="34C7CF0C">
            <w:pPr>
              <w:spacing w:before="60" w:after="60"/>
              <w:jc w:val="center"/>
              <w:rPr>
                <w:rFonts w:asciiTheme="majorBidi" w:hAnsiTheme="majorBidi" w:cstheme="majorBidi"/>
                <w:color w:val="000000"/>
              </w:rPr>
            </w:pPr>
            <w:r>
              <w:rPr>
                <w:rFonts w:asciiTheme="majorBidi" w:hAnsiTheme="majorBidi" w:cstheme="majorBidi"/>
                <w:color w:val="000000"/>
              </w:rPr>
              <w:t>14.75</w:t>
            </w:r>
          </w:p>
        </w:tc>
        <w:tc>
          <w:tcPr>
            <w:tcW w:w="930" w:type="dxa"/>
          </w:tcPr>
          <w:p w:rsidRPr="008936E4" w:rsidR="00754132" w:rsidP="00754132" w:rsidRDefault="00754132" w14:paraId="4EB14C91" w14:textId="34C6D6C5">
            <w:pPr>
              <w:spacing w:before="60" w:after="60"/>
              <w:rPr>
                <w:rFonts w:asciiTheme="majorBidi" w:hAnsiTheme="majorBidi" w:cstheme="majorBidi"/>
                <w:color w:val="000000"/>
              </w:rPr>
            </w:pPr>
            <w:r w:rsidRPr="008936E4">
              <w:rPr>
                <w:rFonts w:asciiTheme="majorBidi" w:hAnsiTheme="majorBidi" w:cstheme="majorBidi"/>
              </w:rPr>
              <w:t>$</w:t>
            </w:r>
            <w:r>
              <w:rPr>
                <w:rFonts w:asciiTheme="majorBidi" w:hAnsiTheme="majorBidi" w:cstheme="majorBidi"/>
              </w:rPr>
              <w:t>415</w:t>
            </w:r>
          </w:p>
        </w:tc>
        <w:tc>
          <w:tcPr>
            <w:tcW w:w="1721" w:type="dxa"/>
            <w:gridSpan w:val="2"/>
            <w:tcBorders>
              <w:right w:val="single" w:color="auto" w:sz="4" w:space="0"/>
            </w:tcBorders>
          </w:tcPr>
          <w:p w:rsidRPr="00794784" w:rsidR="00754132" w:rsidP="00754132" w:rsidRDefault="00754132" w14:paraId="02D334B7" w14:textId="6564038D">
            <w:pPr>
              <w:spacing w:before="60" w:after="60"/>
              <w:rPr>
                <w:color w:val="000000"/>
                <w:sz w:val="23"/>
                <w:szCs w:val="23"/>
              </w:rPr>
            </w:pPr>
            <w:r w:rsidRPr="00794784">
              <w:rPr>
                <w:color w:val="000000"/>
                <w:sz w:val="23"/>
                <w:szCs w:val="23"/>
              </w:rPr>
              <w:t xml:space="preserve">50% of 2025 rate </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754132" w:rsidP="00754132" w:rsidRDefault="00754132" w14:paraId="7B9A0261" w14:textId="6C6A9881">
            <w:pPr>
              <w:spacing w:before="60" w:after="60"/>
              <w:jc w:val="right"/>
              <w:rPr>
                <w:rFonts w:asciiTheme="majorBidi" w:hAnsiTheme="majorBidi" w:cstheme="majorBidi"/>
                <w:color w:val="000000"/>
              </w:rPr>
            </w:pPr>
            <w:r w:rsidRPr="00222B7F">
              <w:t xml:space="preserve">$6,121.25 </w:t>
            </w:r>
          </w:p>
        </w:tc>
        <w:tc>
          <w:tcPr>
            <w:tcW w:w="955" w:type="dxa"/>
            <w:tcBorders>
              <w:left w:val="single" w:color="auto" w:sz="4" w:space="0"/>
              <w:right w:val="single" w:color="auto" w:sz="4" w:space="0"/>
            </w:tcBorders>
          </w:tcPr>
          <w:p w:rsidR="00754132" w:rsidP="00475DC0" w:rsidRDefault="008A60B3" w14:paraId="43B2BD5B" w14:textId="2E16D466">
            <w:pPr>
              <w:spacing w:before="60" w:after="60"/>
              <w:jc w:val="center"/>
              <w:rPr>
                <w:rFonts w:asciiTheme="majorBidi" w:hAnsiTheme="majorBidi" w:cstheme="majorBidi"/>
                <w:color w:val="000000"/>
              </w:rPr>
            </w:pPr>
            <w:r>
              <w:rPr>
                <w:rFonts w:asciiTheme="majorBidi" w:hAnsiTheme="majorBidi" w:cstheme="majorBidi"/>
                <w:color w:val="000000"/>
              </w:rPr>
              <w:t>14.75</w:t>
            </w:r>
          </w:p>
          <w:p w:rsidRPr="008936E4" w:rsidR="00F473A6" w:rsidP="00475DC0" w:rsidRDefault="00F473A6" w14:paraId="5E5A4264" w14:textId="3CDF14FD">
            <w:pPr>
              <w:spacing w:before="60" w:after="60"/>
              <w:jc w:val="center"/>
              <w:rPr>
                <w:rFonts w:asciiTheme="majorBidi" w:hAnsiTheme="majorBidi" w:cstheme="majorBidi"/>
                <w:color w:val="000000"/>
              </w:rPr>
            </w:pPr>
          </w:p>
        </w:tc>
        <w:tc>
          <w:tcPr>
            <w:tcW w:w="1146" w:type="dxa"/>
            <w:tcBorders>
              <w:left w:val="single" w:color="auto" w:sz="4" w:space="0"/>
            </w:tcBorders>
          </w:tcPr>
          <w:p w:rsidR="00754132" w:rsidP="00475DC0" w:rsidRDefault="00630DE9" w14:paraId="27B71605" w14:textId="42F842FA">
            <w:pPr>
              <w:spacing w:before="60" w:after="60"/>
              <w:jc w:val="center"/>
              <w:rPr>
                <w:rFonts w:asciiTheme="majorBidi" w:hAnsiTheme="majorBidi" w:cstheme="majorBidi"/>
                <w:color w:val="000000"/>
              </w:rPr>
            </w:pPr>
            <w:r>
              <w:rPr>
                <w:rFonts w:asciiTheme="majorBidi" w:hAnsiTheme="majorBidi" w:cstheme="majorBidi"/>
                <w:color w:val="000000"/>
              </w:rPr>
              <w:t>$415.00</w:t>
            </w:r>
          </w:p>
          <w:p w:rsidRPr="008936E4" w:rsidR="00AE396A" w:rsidP="00475DC0" w:rsidRDefault="00AE396A" w14:paraId="47B1F089" w14:textId="7DBC0DAA">
            <w:pPr>
              <w:spacing w:before="60" w:after="60"/>
              <w:jc w:val="center"/>
              <w:rPr>
                <w:rFonts w:asciiTheme="majorBidi" w:hAnsiTheme="majorBidi" w:cstheme="majorBidi"/>
                <w:color w:val="000000"/>
              </w:rPr>
            </w:pPr>
            <w:r>
              <w:rPr>
                <w:rFonts w:asciiTheme="majorBidi" w:hAnsiTheme="majorBidi" w:cstheme="majorBidi"/>
                <w:color w:val="000000"/>
              </w:rPr>
              <w:t>[2]</w:t>
            </w:r>
          </w:p>
        </w:tc>
        <w:tc>
          <w:tcPr>
            <w:tcW w:w="1881" w:type="dxa"/>
          </w:tcPr>
          <w:p w:rsidRPr="008936E4" w:rsidR="00754132" w:rsidP="00754132" w:rsidRDefault="004651C4" w14:paraId="10659B6D" w14:textId="5534EFC5">
            <w:pPr>
              <w:spacing w:before="60" w:after="60"/>
              <w:jc w:val="right"/>
              <w:rPr>
                <w:rFonts w:asciiTheme="majorBidi" w:hAnsiTheme="majorBidi" w:cstheme="majorBidi"/>
                <w:color w:val="000000"/>
              </w:rPr>
            </w:pPr>
            <w:r>
              <w:rPr>
                <w:rFonts w:asciiTheme="majorBidi" w:hAnsiTheme="majorBidi" w:cstheme="majorBidi"/>
                <w:color w:val="000000"/>
              </w:rPr>
              <w:t>$</w:t>
            </w:r>
            <w:r w:rsidR="008A60B3">
              <w:rPr>
                <w:rFonts w:asciiTheme="majorBidi" w:hAnsiTheme="majorBidi" w:cstheme="majorBidi"/>
                <w:color w:val="000000"/>
              </w:rPr>
              <w:t>6,521.25</w:t>
            </w:r>
          </w:p>
        </w:tc>
      </w:tr>
      <w:tr w:rsidRPr="008936E4" w:rsidR="00DE7D1B" w:rsidTr="00EC6387" w14:paraId="266CEDD5" w14:textId="77777777">
        <w:trPr>
          <w:jc w:val="center"/>
        </w:trPr>
        <w:tc>
          <w:tcPr>
            <w:tcW w:w="7178" w:type="dxa"/>
            <w:gridSpan w:val="11"/>
            <w:tcBorders>
              <w:bottom w:val="single" w:color="auto" w:sz="4" w:space="0"/>
              <w:right w:val="single" w:color="auto" w:sz="24" w:space="0"/>
            </w:tcBorders>
            <w:vAlign w:val="bottom"/>
          </w:tcPr>
          <w:p w:rsidRPr="008936E4" w:rsidR="00DE7D1B" w:rsidP="00DE7D1B" w:rsidRDefault="00DE7D1B" w14:paraId="4A1F5988" w14:textId="010C0293">
            <w:pPr>
              <w:tabs>
                <w:tab w:val="left" w:pos="957"/>
              </w:tabs>
              <w:spacing w:before="60" w:after="60"/>
              <w:ind w:right="162"/>
              <w:jc w:val="right"/>
              <w:rPr>
                <w:rFonts w:asciiTheme="majorBidi" w:hAnsiTheme="majorBidi" w:cstheme="majorBidi"/>
                <w:b/>
                <w:i/>
                <w:color w:val="000000"/>
              </w:rPr>
            </w:pPr>
            <w:r w:rsidRPr="008936E4">
              <w:rPr>
                <w:rFonts w:asciiTheme="majorBidi" w:hAnsiTheme="majorBidi" w:cstheme="majorBidi"/>
                <w:b/>
                <w:i/>
                <w:color w:val="000000"/>
              </w:rPr>
              <w:lastRenderedPageBreak/>
              <w:t xml:space="preserve">Subtotal: </w:t>
            </w:r>
            <w:r w:rsidRPr="00754132" w:rsidR="00754132">
              <w:rPr>
                <w:rFonts w:asciiTheme="majorBidi" w:hAnsiTheme="majorBidi" w:cstheme="majorBidi"/>
                <w:b/>
                <w:i/>
                <w:color w:val="000000"/>
              </w:rPr>
              <w:t>$6,521.25</w:t>
            </w:r>
          </w:p>
        </w:tc>
        <w:tc>
          <w:tcPr>
            <w:tcW w:w="3982" w:type="dxa"/>
            <w:gridSpan w:val="3"/>
            <w:tcBorders>
              <w:left w:val="single" w:color="auto" w:sz="24" w:space="0"/>
              <w:bottom w:val="single" w:color="auto" w:sz="4" w:space="0"/>
            </w:tcBorders>
            <w:vAlign w:val="bottom"/>
          </w:tcPr>
          <w:p w:rsidRPr="002D6E3C" w:rsidR="00DE7D1B" w:rsidP="00DE7D1B" w:rsidRDefault="00DE7D1B" w14:paraId="2FBAA587" w14:textId="136C059D">
            <w:pPr>
              <w:tabs>
                <w:tab w:val="left" w:pos="957"/>
              </w:tabs>
              <w:spacing w:before="60" w:after="60"/>
              <w:ind w:right="162"/>
              <w:jc w:val="right"/>
              <w:rPr>
                <w:rFonts w:asciiTheme="majorBidi" w:hAnsiTheme="majorBidi" w:cstheme="majorBidi"/>
                <w:b/>
                <w:i/>
                <w:color w:val="000000"/>
              </w:rPr>
            </w:pPr>
            <w:r w:rsidRPr="002D6E3C">
              <w:rPr>
                <w:rFonts w:asciiTheme="majorBidi" w:hAnsiTheme="majorBidi" w:cstheme="majorBidi"/>
                <w:b/>
                <w:i/>
                <w:color w:val="000000"/>
              </w:rPr>
              <w:t>Subtotal: $</w:t>
            </w:r>
            <w:r w:rsidR="008A60B3">
              <w:rPr>
                <w:rFonts w:asciiTheme="majorBidi" w:hAnsiTheme="majorBidi" w:cstheme="majorBidi"/>
                <w:b/>
                <w:i/>
                <w:color w:val="000000"/>
              </w:rPr>
              <w:t>6,521.25</w:t>
            </w:r>
          </w:p>
        </w:tc>
      </w:tr>
      <w:tr w:rsidRPr="008936E4" w:rsidR="00DE7D1B" w:rsidTr="00EC6387" w14:paraId="06193E6C"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E6E6E6"/>
          </w:tcPr>
          <w:p w:rsidRPr="008936E4" w:rsidR="00DE7D1B" w:rsidP="00DE7D1B" w:rsidRDefault="00DE7D1B" w14:paraId="3BECCA4A" w14:textId="77777777">
            <w:pPr>
              <w:keepNext/>
              <w:spacing w:before="60" w:after="60"/>
              <w:jc w:val="center"/>
              <w:rPr>
                <w:rFonts w:asciiTheme="majorBidi" w:hAnsiTheme="majorBidi" w:cstheme="majorBidi"/>
                <w:b/>
                <w:smallCaps/>
                <w:color w:val="000000"/>
              </w:rPr>
            </w:pPr>
            <w:r w:rsidRPr="008936E4">
              <w:rPr>
                <w:rFonts w:asciiTheme="majorBidi" w:hAnsiTheme="majorBidi" w:cstheme="majorBidi"/>
                <w:b/>
                <w:smallCaps/>
                <w:color w:val="000000"/>
              </w:rPr>
              <w:t>COSTS</w:t>
            </w:r>
          </w:p>
        </w:tc>
      </w:tr>
      <w:tr w:rsidRPr="008936E4" w:rsidR="00DE7D1B" w:rsidTr="00763797" w14:paraId="72A80274" w14:textId="77777777">
        <w:trPr>
          <w:jc w:val="center"/>
        </w:trPr>
        <w:tc>
          <w:tcPr>
            <w:tcW w:w="496" w:type="dxa"/>
            <w:tcBorders>
              <w:top w:val="single" w:color="auto" w:sz="4" w:space="0"/>
              <w:bottom w:val="single" w:color="auto" w:sz="4" w:space="0"/>
            </w:tcBorders>
          </w:tcPr>
          <w:p w:rsidRPr="008936E4" w:rsidR="00DE7D1B" w:rsidP="00DE7D1B" w:rsidRDefault="00DE7D1B" w14:paraId="117C57EE"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w:t>
            </w:r>
          </w:p>
        </w:tc>
        <w:tc>
          <w:tcPr>
            <w:tcW w:w="1719" w:type="dxa"/>
            <w:gridSpan w:val="2"/>
            <w:tcBorders>
              <w:top w:val="single" w:color="auto" w:sz="4" w:space="0"/>
              <w:bottom w:val="single" w:color="auto" w:sz="4" w:space="0"/>
            </w:tcBorders>
          </w:tcPr>
          <w:p w:rsidRPr="008936E4" w:rsidR="00DE7D1B" w:rsidP="00DE7D1B" w:rsidRDefault="00DE7D1B" w14:paraId="6A45FCC1"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Item</w:t>
            </w:r>
          </w:p>
        </w:tc>
        <w:tc>
          <w:tcPr>
            <w:tcW w:w="3630" w:type="dxa"/>
            <w:gridSpan w:val="6"/>
            <w:tcBorders>
              <w:top w:val="single" w:color="auto" w:sz="4" w:space="0"/>
              <w:left w:val="single" w:color="auto" w:sz="4" w:space="0"/>
              <w:bottom w:val="single" w:color="auto" w:sz="4" w:space="0"/>
              <w:right w:val="single" w:color="auto" w:sz="4" w:space="0"/>
            </w:tcBorders>
            <w:shd w:val="clear" w:color="auto" w:fill="FFFFFF"/>
          </w:tcPr>
          <w:p w:rsidRPr="008936E4" w:rsidR="00DE7D1B" w:rsidP="00DE7D1B" w:rsidRDefault="00DE7D1B" w14:paraId="19FE7A44"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Detail</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DE7D1B" w:rsidP="00DE7D1B" w:rsidRDefault="00DE7D1B" w14:paraId="52A549BC"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Amount</w:t>
            </w:r>
          </w:p>
        </w:tc>
        <w:tc>
          <w:tcPr>
            <w:tcW w:w="3982" w:type="dxa"/>
            <w:gridSpan w:val="3"/>
            <w:tcBorders>
              <w:top w:val="single" w:color="auto" w:sz="4" w:space="0"/>
              <w:left w:val="single" w:color="auto" w:sz="24" w:space="0"/>
            </w:tcBorders>
          </w:tcPr>
          <w:p w:rsidRPr="008936E4" w:rsidR="00DE7D1B" w:rsidP="00DE7D1B" w:rsidRDefault="00DE7D1B" w14:paraId="2A0A92A1" w14:textId="77777777">
            <w:pPr>
              <w:keepNext/>
              <w:spacing w:before="60" w:after="60"/>
              <w:jc w:val="center"/>
              <w:rPr>
                <w:rFonts w:asciiTheme="majorBidi" w:hAnsiTheme="majorBidi" w:cstheme="majorBidi"/>
                <w:b/>
                <w:color w:val="000000"/>
              </w:rPr>
            </w:pPr>
            <w:r w:rsidRPr="008936E4">
              <w:rPr>
                <w:rFonts w:asciiTheme="majorBidi" w:hAnsiTheme="majorBidi" w:cstheme="majorBidi"/>
                <w:b/>
                <w:color w:val="000000"/>
              </w:rPr>
              <w:t>Amount</w:t>
            </w:r>
          </w:p>
        </w:tc>
      </w:tr>
      <w:tr w:rsidRPr="008936E4" w:rsidR="00DE7D1B" w:rsidTr="00E71497" w14:paraId="14B6D61A" w14:textId="77777777">
        <w:trPr>
          <w:jc w:val="center"/>
        </w:trPr>
        <w:tc>
          <w:tcPr>
            <w:tcW w:w="496" w:type="dxa"/>
            <w:tcBorders>
              <w:bottom w:val="single" w:color="auto" w:sz="4" w:space="0"/>
            </w:tcBorders>
          </w:tcPr>
          <w:p w:rsidRPr="008936E4" w:rsidR="00DE7D1B" w:rsidP="00DE7D1B" w:rsidRDefault="00DE7D1B" w14:paraId="3272FF6C" w14:textId="77777777">
            <w:pPr>
              <w:spacing w:before="60" w:after="60"/>
              <w:rPr>
                <w:rFonts w:asciiTheme="majorBidi" w:hAnsiTheme="majorBidi" w:cstheme="majorBidi"/>
                <w:color w:val="000000"/>
              </w:rPr>
            </w:pPr>
            <w:r w:rsidRPr="008936E4">
              <w:rPr>
                <w:rFonts w:asciiTheme="majorBidi" w:hAnsiTheme="majorBidi" w:cstheme="majorBidi"/>
                <w:color w:val="000000"/>
              </w:rPr>
              <w:t>1.</w:t>
            </w:r>
          </w:p>
        </w:tc>
        <w:tc>
          <w:tcPr>
            <w:tcW w:w="1719" w:type="dxa"/>
            <w:gridSpan w:val="2"/>
            <w:tcBorders>
              <w:bottom w:val="single" w:color="auto" w:sz="4" w:space="0"/>
            </w:tcBorders>
          </w:tcPr>
          <w:p w:rsidRPr="008936E4" w:rsidR="00DE7D1B" w:rsidP="00DE7D1B" w:rsidRDefault="00DE7D1B" w14:paraId="00BD9FA4" w14:textId="10DDD510">
            <w:pPr>
              <w:spacing w:before="60" w:after="60"/>
              <w:rPr>
                <w:rFonts w:asciiTheme="majorBidi" w:hAnsiTheme="majorBidi" w:cstheme="majorBidi"/>
                <w:color w:val="000000"/>
              </w:rPr>
            </w:pPr>
            <w:r>
              <w:rPr>
                <w:rFonts w:asciiTheme="majorBidi" w:hAnsiTheme="majorBidi" w:cstheme="majorBidi"/>
                <w:color w:val="000000"/>
              </w:rPr>
              <w:t>Hotel</w:t>
            </w:r>
          </w:p>
        </w:tc>
        <w:tc>
          <w:tcPr>
            <w:tcW w:w="3630" w:type="dxa"/>
            <w:gridSpan w:val="6"/>
            <w:tcBorders>
              <w:top w:val="single" w:color="auto" w:sz="4" w:space="0"/>
              <w:left w:val="single" w:color="auto" w:sz="4" w:space="0"/>
              <w:bottom w:val="single" w:color="auto" w:sz="4" w:space="0"/>
              <w:right w:val="single" w:color="auto" w:sz="4" w:space="0"/>
            </w:tcBorders>
          </w:tcPr>
          <w:p w:rsidRPr="006622D6" w:rsidR="00DE7D1B" w:rsidP="00DE7D1B" w:rsidRDefault="00DE7D1B" w14:paraId="05A1FC0C" w14:textId="75146F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6622D6">
              <w:rPr>
                <w:color w:val="000000"/>
              </w:rPr>
              <w:t xml:space="preserve">Marra lodging for July 19, </w:t>
            </w:r>
            <w:proofErr w:type="gramStart"/>
            <w:r w:rsidRPr="006622D6">
              <w:rPr>
                <w:color w:val="000000"/>
              </w:rPr>
              <w:t>2024</w:t>
            </w:r>
            <w:proofErr w:type="gramEnd"/>
            <w:r w:rsidRPr="006622D6">
              <w:rPr>
                <w:color w:val="000000"/>
              </w:rPr>
              <w:t xml:space="preserve"> DCPP tour</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DE7D1B" w:rsidP="00DE7D1B" w:rsidRDefault="00DE7D1B" w14:paraId="324F04F2" w14:textId="6064C498">
            <w:pPr>
              <w:spacing w:before="60" w:after="60"/>
              <w:jc w:val="right"/>
              <w:rPr>
                <w:rFonts w:asciiTheme="majorBidi" w:hAnsiTheme="majorBidi" w:cstheme="majorBidi"/>
                <w:color w:val="000000"/>
              </w:rPr>
            </w:pPr>
            <w:r>
              <w:rPr>
                <w:rFonts w:asciiTheme="majorBidi" w:hAnsiTheme="majorBidi" w:cstheme="majorBidi"/>
                <w:color w:val="000000"/>
              </w:rPr>
              <w:t>$417.69</w:t>
            </w:r>
          </w:p>
        </w:tc>
        <w:tc>
          <w:tcPr>
            <w:tcW w:w="3982" w:type="dxa"/>
            <w:gridSpan w:val="3"/>
            <w:tcBorders>
              <w:left w:val="single" w:color="auto" w:sz="24" w:space="0"/>
            </w:tcBorders>
          </w:tcPr>
          <w:p w:rsidR="005F6717" w:rsidP="00DE7D1B" w:rsidRDefault="00F80068" w14:paraId="3A915700" w14:textId="0DA42A97">
            <w:pPr>
              <w:spacing w:before="60" w:after="60"/>
              <w:jc w:val="right"/>
              <w:rPr>
                <w:rFonts w:asciiTheme="majorBidi" w:hAnsiTheme="majorBidi" w:cstheme="majorBidi"/>
                <w:color w:val="000000"/>
              </w:rPr>
            </w:pPr>
            <w:r>
              <w:rPr>
                <w:rFonts w:asciiTheme="majorBidi" w:hAnsiTheme="majorBidi" w:cstheme="majorBidi"/>
                <w:color w:val="000000"/>
              </w:rPr>
              <w:t>$</w:t>
            </w:r>
            <w:r w:rsidR="00DD574E">
              <w:rPr>
                <w:rFonts w:asciiTheme="majorBidi" w:hAnsiTheme="majorBidi" w:cstheme="majorBidi"/>
                <w:color w:val="000000"/>
              </w:rPr>
              <w:t>0.00</w:t>
            </w:r>
          </w:p>
          <w:p w:rsidRPr="008936E4" w:rsidR="00DE7D1B" w:rsidP="00DE7D1B" w:rsidRDefault="005F6717" w14:paraId="1C7D79D0" w14:textId="740B5A15">
            <w:pPr>
              <w:spacing w:before="60" w:after="60"/>
              <w:jc w:val="right"/>
              <w:rPr>
                <w:rFonts w:asciiTheme="majorBidi" w:hAnsiTheme="majorBidi" w:cstheme="majorBidi"/>
                <w:color w:val="000000"/>
              </w:rPr>
            </w:pPr>
            <w:r>
              <w:rPr>
                <w:rFonts w:asciiTheme="majorBidi" w:hAnsiTheme="majorBidi" w:cstheme="majorBidi"/>
                <w:color w:val="000000"/>
              </w:rPr>
              <w:t>[</w:t>
            </w:r>
            <w:r w:rsidR="000D603F">
              <w:rPr>
                <w:rFonts w:asciiTheme="majorBidi" w:hAnsiTheme="majorBidi" w:cstheme="majorBidi"/>
                <w:color w:val="000000"/>
              </w:rPr>
              <w:t>6</w:t>
            </w:r>
            <w:r>
              <w:rPr>
                <w:rFonts w:asciiTheme="majorBidi" w:hAnsiTheme="majorBidi" w:cstheme="majorBidi"/>
                <w:color w:val="000000"/>
              </w:rPr>
              <w:t>]</w:t>
            </w:r>
          </w:p>
        </w:tc>
      </w:tr>
      <w:tr w:rsidRPr="008936E4" w:rsidR="00DE7D1B" w:rsidTr="00E71497" w14:paraId="5988A992" w14:textId="77777777">
        <w:trPr>
          <w:jc w:val="center"/>
        </w:trPr>
        <w:tc>
          <w:tcPr>
            <w:tcW w:w="496" w:type="dxa"/>
            <w:tcBorders>
              <w:bottom w:val="single" w:color="auto" w:sz="4" w:space="0"/>
            </w:tcBorders>
          </w:tcPr>
          <w:p w:rsidRPr="008936E4" w:rsidR="00DE7D1B" w:rsidP="00DE7D1B" w:rsidRDefault="00DE7D1B" w14:paraId="454061C0" w14:textId="77777777">
            <w:pPr>
              <w:spacing w:before="60" w:after="60"/>
              <w:rPr>
                <w:rFonts w:asciiTheme="majorBidi" w:hAnsiTheme="majorBidi" w:cstheme="majorBidi"/>
                <w:color w:val="000000"/>
              </w:rPr>
            </w:pPr>
            <w:r w:rsidRPr="008936E4">
              <w:rPr>
                <w:rFonts w:asciiTheme="majorBidi" w:hAnsiTheme="majorBidi" w:cstheme="majorBidi"/>
                <w:color w:val="000000"/>
              </w:rPr>
              <w:t>2.</w:t>
            </w:r>
          </w:p>
        </w:tc>
        <w:tc>
          <w:tcPr>
            <w:tcW w:w="1719" w:type="dxa"/>
            <w:gridSpan w:val="2"/>
            <w:tcBorders>
              <w:bottom w:val="single" w:color="auto" w:sz="4" w:space="0"/>
            </w:tcBorders>
          </w:tcPr>
          <w:p w:rsidRPr="008936E4" w:rsidR="00DE7D1B" w:rsidP="00DE7D1B" w:rsidRDefault="00DE7D1B" w14:paraId="51F2CAB8" w14:textId="7031EF75">
            <w:pPr>
              <w:spacing w:before="60" w:after="60"/>
              <w:rPr>
                <w:rFonts w:asciiTheme="majorBidi" w:hAnsiTheme="majorBidi" w:cstheme="majorBidi"/>
                <w:color w:val="000000"/>
              </w:rPr>
            </w:pPr>
            <w:r>
              <w:rPr>
                <w:rFonts w:asciiTheme="majorBidi" w:hAnsiTheme="majorBidi" w:cstheme="majorBidi"/>
                <w:color w:val="000000"/>
              </w:rPr>
              <w:t>Flight</w:t>
            </w:r>
          </w:p>
        </w:tc>
        <w:tc>
          <w:tcPr>
            <w:tcW w:w="3630" w:type="dxa"/>
            <w:gridSpan w:val="6"/>
            <w:tcBorders>
              <w:top w:val="single" w:color="auto" w:sz="4" w:space="0"/>
              <w:left w:val="single" w:color="auto" w:sz="4" w:space="0"/>
              <w:bottom w:val="single" w:color="auto" w:sz="4" w:space="0"/>
              <w:right w:val="single" w:color="auto" w:sz="4" w:space="0"/>
            </w:tcBorders>
          </w:tcPr>
          <w:p w:rsidRPr="006622D6" w:rsidR="00DE7D1B" w:rsidP="00DE7D1B" w:rsidRDefault="00DE7D1B" w14:paraId="6A57CD68" w14:textId="2C0C6DBA">
            <w:pPr>
              <w:spacing w:before="60" w:after="60"/>
              <w:rPr>
                <w:color w:val="000000"/>
              </w:rPr>
            </w:pPr>
            <w:r w:rsidRPr="006622D6">
              <w:rPr>
                <w:color w:val="000000"/>
              </w:rPr>
              <w:t xml:space="preserve">Marra flight for July 19, </w:t>
            </w:r>
            <w:proofErr w:type="gramStart"/>
            <w:r w:rsidRPr="006622D6">
              <w:rPr>
                <w:color w:val="000000"/>
              </w:rPr>
              <w:t>2024</w:t>
            </w:r>
            <w:proofErr w:type="gramEnd"/>
            <w:r w:rsidRPr="006622D6">
              <w:rPr>
                <w:color w:val="000000"/>
              </w:rPr>
              <w:t xml:space="preserve"> DCPP tour</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DE7D1B" w:rsidP="00DE7D1B" w:rsidRDefault="00DE7D1B" w14:paraId="45700372" w14:textId="02C4C74F">
            <w:pPr>
              <w:spacing w:before="60" w:after="60"/>
              <w:jc w:val="right"/>
              <w:rPr>
                <w:rFonts w:asciiTheme="majorBidi" w:hAnsiTheme="majorBidi" w:cstheme="majorBidi"/>
                <w:color w:val="000000"/>
              </w:rPr>
            </w:pPr>
            <w:r>
              <w:rPr>
                <w:rFonts w:asciiTheme="majorBidi" w:hAnsiTheme="majorBidi" w:cstheme="majorBidi"/>
                <w:color w:val="000000"/>
              </w:rPr>
              <w:t>$316.20</w:t>
            </w:r>
          </w:p>
        </w:tc>
        <w:tc>
          <w:tcPr>
            <w:tcW w:w="3982" w:type="dxa"/>
            <w:gridSpan w:val="3"/>
            <w:tcBorders>
              <w:left w:val="single" w:color="auto" w:sz="24" w:space="0"/>
            </w:tcBorders>
          </w:tcPr>
          <w:p w:rsidR="000549F6" w:rsidP="000549F6" w:rsidRDefault="00F80068" w14:paraId="3F220FC8" w14:textId="6E02919C">
            <w:pPr>
              <w:spacing w:before="60" w:after="60"/>
              <w:jc w:val="right"/>
              <w:rPr>
                <w:rFonts w:asciiTheme="majorBidi" w:hAnsiTheme="majorBidi" w:cstheme="majorBidi"/>
                <w:color w:val="000000"/>
              </w:rPr>
            </w:pPr>
            <w:r>
              <w:rPr>
                <w:rFonts w:asciiTheme="majorBidi" w:hAnsiTheme="majorBidi" w:cstheme="majorBidi"/>
                <w:color w:val="000000"/>
              </w:rPr>
              <w:t>$</w:t>
            </w:r>
            <w:r w:rsidR="00DD574E">
              <w:rPr>
                <w:rFonts w:asciiTheme="majorBidi" w:hAnsiTheme="majorBidi" w:cstheme="majorBidi"/>
                <w:color w:val="000000"/>
              </w:rPr>
              <w:t>0.00</w:t>
            </w:r>
          </w:p>
          <w:p w:rsidRPr="008936E4" w:rsidR="000549F6" w:rsidP="00DE7D1B" w:rsidRDefault="000549F6" w14:paraId="7540FF22" w14:textId="29F87A4D">
            <w:pPr>
              <w:spacing w:before="60" w:after="60"/>
              <w:jc w:val="right"/>
              <w:rPr>
                <w:rFonts w:asciiTheme="majorBidi" w:hAnsiTheme="majorBidi" w:cstheme="majorBidi"/>
                <w:color w:val="000000"/>
              </w:rPr>
            </w:pPr>
            <w:r>
              <w:rPr>
                <w:rFonts w:asciiTheme="majorBidi" w:hAnsiTheme="majorBidi" w:cstheme="majorBidi"/>
                <w:color w:val="000000"/>
              </w:rPr>
              <w:t>[</w:t>
            </w:r>
            <w:r w:rsidR="000D603F">
              <w:rPr>
                <w:rFonts w:asciiTheme="majorBidi" w:hAnsiTheme="majorBidi" w:cstheme="majorBidi"/>
                <w:color w:val="000000"/>
              </w:rPr>
              <w:t>6</w:t>
            </w:r>
            <w:r>
              <w:rPr>
                <w:rFonts w:asciiTheme="majorBidi" w:hAnsiTheme="majorBidi" w:cstheme="majorBidi"/>
                <w:color w:val="000000"/>
              </w:rPr>
              <w:t>]</w:t>
            </w:r>
          </w:p>
        </w:tc>
      </w:tr>
      <w:tr w:rsidRPr="008936E4" w:rsidR="00DE7D1B" w:rsidTr="00E71497" w14:paraId="08AF55C8" w14:textId="77777777">
        <w:trPr>
          <w:jc w:val="center"/>
        </w:trPr>
        <w:tc>
          <w:tcPr>
            <w:tcW w:w="496" w:type="dxa"/>
            <w:tcBorders>
              <w:bottom w:val="single" w:color="auto" w:sz="4" w:space="0"/>
            </w:tcBorders>
          </w:tcPr>
          <w:p w:rsidRPr="008936E4" w:rsidR="00DE7D1B" w:rsidP="00DE7D1B" w:rsidRDefault="00DE7D1B" w14:paraId="52DAF3ED" w14:textId="00901FFB">
            <w:pPr>
              <w:spacing w:before="60" w:after="60"/>
              <w:rPr>
                <w:rFonts w:asciiTheme="majorBidi" w:hAnsiTheme="majorBidi" w:cstheme="majorBidi"/>
                <w:color w:val="000000"/>
              </w:rPr>
            </w:pPr>
            <w:r>
              <w:rPr>
                <w:rFonts w:asciiTheme="majorBidi" w:hAnsiTheme="majorBidi" w:cstheme="majorBidi"/>
                <w:color w:val="000000"/>
              </w:rPr>
              <w:t>3.</w:t>
            </w:r>
          </w:p>
        </w:tc>
        <w:tc>
          <w:tcPr>
            <w:tcW w:w="1719" w:type="dxa"/>
            <w:gridSpan w:val="2"/>
            <w:tcBorders>
              <w:bottom w:val="single" w:color="auto" w:sz="4" w:space="0"/>
            </w:tcBorders>
          </w:tcPr>
          <w:p w:rsidR="00DE7D1B" w:rsidP="00DE7D1B" w:rsidRDefault="00DE7D1B" w14:paraId="34CCA324" w14:textId="0D0C8899">
            <w:pPr>
              <w:spacing w:before="60" w:after="60"/>
              <w:rPr>
                <w:rFonts w:asciiTheme="majorBidi" w:hAnsiTheme="majorBidi" w:cstheme="majorBidi"/>
                <w:color w:val="000000"/>
              </w:rPr>
            </w:pPr>
            <w:r>
              <w:rPr>
                <w:rFonts w:asciiTheme="majorBidi" w:hAnsiTheme="majorBidi" w:cstheme="majorBidi"/>
                <w:color w:val="000000"/>
              </w:rPr>
              <w:t>Rental Car</w:t>
            </w:r>
          </w:p>
        </w:tc>
        <w:tc>
          <w:tcPr>
            <w:tcW w:w="3630" w:type="dxa"/>
            <w:gridSpan w:val="6"/>
            <w:tcBorders>
              <w:top w:val="single" w:color="auto" w:sz="4" w:space="0"/>
              <w:left w:val="single" w:color="auto" w:sz="4" w:space="0"/>
              <w:bottom w:val="single" w:color="auto" w:sz="4" w:space="0"/>
              <w:right w:val="single" w:color="auto" w:sz="4" w:space="0"/>
            </w:tcBorders>
          </w:tcPr>
          <w:p w:rsidRPr="006622D6" w:rsidR="00DE7D1B" w:rsidP="00DE7D1B" w:rsidRDefault="00DE7D1B" w14:paraId="299B5FF7" w14:textId="73DA4F69">
            <w:pPr>
              <w:spacing w:before="60" w:after="60"/>
              <w:rPr>
                <w:color w:val="000000"/>
              </w:rPr>
            </w:pPr>
            <w:r w:rsidRPr="006622D6">
              <w:rPr>
                <w:color w:val="000000"/>
              </w:rPr>
              <w:t xml:space="preserve">Marra rental car for July 19, </w:t>
            </w:r>
            <w:proofErr w:type="gramStart"/>
            <w:r w:rsidRPr="006622D6">
              <w:rPr>
                <w:color w:val="000000"/>
              </w:rPr>
              <w:t>2024</w:t>
            </w:r>
            <w:proofErr w:type="gramEnd"/>
            <w:r w:rsidRPr="006622D6">
              <w:rPr>
                <w:color w:val="000000"/>
              </w:rPr>
              <w:t xml:space="preserve"> DCPP tour</w:t>
            </w:r>
          </w:p>
        </w:tc>
        <w:tc>
          <w:tcPr>
            <w:tcW w:w="1333" w:type="dxa"/>
            <w:gridSpan w:val="2"/>
            <w:tcBorders>
              <w:top w:val="single" w:color="auto" w:sz="4" w:space="0"/>
              <w:left w:val="single" w:color="auto" w:sz="4" w:space="0"/>
              <w:bottom w:val="single" w:color="auto" w:sz="4" w:space="0"/>
              <w:right w:val="single" w:color="auto" w:sz="24" w:space="0"/>
            </w:tcBorders>
          </w:tcPr>
          <w:p w:rsidRPr="008936E4" w:rsidR="00DE7D1B" w:rsidP="00DE7D1B" w:rsidRDefault="00DE7D1B" w14:paraId="48BD4FEF" w14:textId="3C9C9EC3">
            <w:pPr>
              <w:spacing w:before="60" w:after="60"/>
              <w:jc w:val="right"/>
              <w:rPr>
                <w:rFonts w:asciiTheme="majorBidi" w:hAnsiTheme="majorBidi" w:cstheme="majorBidi"/>
                <w:color w:val="000000"/>
              </w:rPr>
            </w:pPr>
            <w:r>
              <w:rPr>
                <w:rFonts w:asciiTheme="majorBidi" w:hAnsiTheme="majorBidi" w:cstheme="majorBidi"/>
                <w:color w:val="000000"/>
              </w:rPr>
              <w:t>$108.28</w:t>
            </w:r>
          </w:p>
        </w:tc>
        <w:tc>
          <w:tcPr>
            <w:tcW w:w="3982" w:type="dxa"/>
            <w:gridSpan w:val="3"/>
            <w:tcBorders>
              <w:left w:val="single" w:color="auto" w:sz="24" w:space="0"/>
            </w:tcBorders>
          </w:tcPr>
          <w:p w:rsidR="000549F6" w:rsidP="00DE7D1B" w:rsidRDefault="00F80068" w14:paraId="73E6901A" w14:textId="2C7EFBD3">
            <w:pPr>
              <w:spacing w:before="60" w:after="60"/>
              <w:jc w:val="right"/>
              <w:rPr>
                <w:rFonts w:asciiTheme="majorBidi" w:hAnsiTheme="majorBidi" w:cstheme="majorBidi"/>
                <w:color w:val="000000"/>
              </w:rPr>
            </w:pPr>
            <w:r>
              <w:rPr>
                <w:rFonts w:asciiTheme="majorBidi" w:hAnsiTheme="majorBidi" w:cstheme="majorBidi"/>
                <w:color w:val="000000"/>
              </w:rPr>
              <w:t>$</w:t>
            </w:r>
            <w:r w:rsidR="00DD574E">
              <w:rPr>
                <w:rFonts w:asciiTheme="majorBidi" w:hAnsiTheme="majorBidi" w:cstheme="majorBidi"/>
                <w:color w:val="000000"/>
              </w:rPr>
              <w:t>0.00</w:t>
            </w:r>
          </w:p>
          <w:p w:rsidRPr="008936E4" w:rsidR="00DE7D1B" w:rsidP="00DE7D1B" w:rsidRDefault="000549F6" w14:paraId="21B06F6C" w14:textId="0CA72C0E">
            <w:pPr>
              <w:spacing w:before="60" w:after="60"/>
              <w:jc w:val="right"/>
              <w:rPr>
                <w:rFonts w:asciiTheme="majorBidi" w:hAnsiTheme="majorBidi" w:cstheme="majorBidi"/>
                <w:color w:val="000000"/>
              </w:rPr>
            </w:pPr>
            <w:r>
              <w:rPr>
                <w:rFonts w:asciiTheme="majorBidi" w:hAnsiTheme="majorBidi" w:cstheme="majorBidi"/>
                <w:color w:val="000000"/>
              </w:rPr>
              <w:t>[</w:t>
            </w:r>
            <w:r w:rsidR="000D603F">
              <w:rPr>
                <w:rFonts w:asciiTheme="majorBidi" w:hAnsiTheme="majorBidi" w:cstheme="majorBidi"/>
                <w:color w:val="000000"/>
              </w:rPr>
              <w:t>6</w:t>
            </w:r>
            <w:r>
              <w:rPr>
                <w:rFonts w:asciiTheme="majorBidi" w:hAnsiTheme="majorBidi" w:cstheme="majorBidi"/>
                <w:color w:val="000000"/>
              </w:rPr>
              <w:t>]</w:t>
            </w:r>
          </w:p>
        </w:tc>
      </w:tr>
      <w:tr w:rsidRPr="008936E4" w:rsidR="00DE7D1B" w:rsidTr="00EC6387" w14:paraId="7D250EBF" w14:textId="77777777">
        <w:trPr>
          <w:jc w:val="center"/>
        </w:trPr>
        <w:tc>
          <w:tcPr>
            <w:tcW w:w="7178" w:type="dxa"/>
            <w:gridSpan w:val="11"/>
            <w:tcBorders>
              <w:bottom w:val="single" w:color="auto" w:sz="4" w:space="0"/>
              <w:right w:val="single" w:color="auto" w:sz="24" w:space="0"/>
            </w:tcBorders>
            <w:vAlign w:val="bottom"/>
          </w:tcPr>
          <w:p w:rsidRPr="008936E4" w:rsidR="00DE7D1B" w:rsidP="00DE7D1B" w:rsidRDefault="00DE7D1B" w14:paraId="6ADE275E" w14:textId="0DF38D5D">
            <w:pPr>
              <w:keepNext/>
              <w:tabs>
                <w:tab w:val="left" w:pos="957"/>
              </w:tabs>
              <w:spacing w:before="60" w:after="60"/>
              <w:ind w:right="158"/>
              <w:jc w:val="right"/>
              <w:rPr>
                <w:rFonts w:asciiTheme="majorBidi" w:hAnsiTheme="majorBidi" w:cstheme="majorBidi"/>
                <w:b/>
                <w:i/>
                <w:color w:val="000000"/>
              </w:rPr>
            </w:pPr>
            <w:r w:rsidRPr="008936E4">
              <w:rPr>
                <w:rFonts w:asciiTheme="majorBidi" w:hAnsiTheme="majorBidi" w:cstheme="majorBidi"/>
                <w:b/>
                <w:i/>
                <w:color w:val="000000"/>
              </w:rPr>
              <w:t>Subtotal: $</w:t>
            </w:r>
            <w:r>
              <w:rPr>
                <w:rFonts w:asciiTheme="majorBidi" w:hAnsiTheme="majorBidi" w:cstheme="majorBidi"/>
                <w:b/>
                <w:i/>
                <w:color w:val="000000"/>
              </w:rPr>
              <w:t>842.17</w:t>
            </w:r>
          </w:p>
        </w:tc>
        <w:tc>
          <w:tcPr>
            <w:tcW w:w="3982" w:type="dxa"/>
            <w:gridSpan w:val="3"/>
            <w:tcBorders>
              <w:left w:val="single" w:color="auto" w:sz="24" w:space="0"/>
            </w:tcBorders>
            <w:vAlign w:val="bottom"/>
          </w:tcPr>
          <w:p w:rsidRPr="008936E4" w:rsidR="00DE7D1B" w:rsidP="00DE7D1B" w:rsidRDefault="00DE7D1B" w14:paraId="67993F7A" w14:textId="6960AE8B">
            <w:pPr>
              <w:keepNext/>
              <w:tabs>
                <w:tab w:val="left" w:pos="957"/>
              </w:tabs>
              <w:spacing w:before="60" w:after="60"/>
              <w:ind w:right="158"/>
              <w:jc w:val="right"/>
              <w:rPr>
                <w:rFonts w:asciiTheme="majorBidi" w:hAnsiTheme="majorBidi" w:cstheme="majorBidi"/>
                <w:b/>
                <w:i/>
                <w:color w:val="000000"/>
              </w:rPr>
            </w:pPr>
            <w:r w:rsidRPr="008936E4">
              <w:rPr>
                <w:rFonts w:asciiTheme="majorBidi" w:hAnsiTheme="majorBidi" w:cstheme="majorBidi"/>
                <w:b/>
                <w:i/>
                <w:color w:val="000000"/>
              </w:rPr>
              <w:t>Subtotal: $</w:t>
            </w:r>
            <w:r w:rsidR="00DD574E">
              <w:rPr>
                <w:rFonts w:asciiTheme="majorBidi" w:hAnsiTheme="majorBidi" w:cstheme="majorBidi"/>
                <w:b/>
                <w:i/>
                <w:color w:val="000000"/>
              </w:rPr>
              <w:t>0.00</w:t>
            </w:r>
          </w:p>
        </w:tc>
      </w:tr>
      <w:tr w:rsidRPr="008936E4" w:rsidR="00DE7D1B" w:rsidTr="00EC6387" w14:paraId="06E7371A" w14:textId="77777777">
        <w:trPr>
          <w:jc w:val="center"/>
        </w:trPr>
        <w:tc>
          <w:tcPr>
            <w:tcW w:w="7178" w:type="dxa"/>
            <w:gridSpan w:val="11"/>
            <w:tcBorders>
              <w:top w:val="single" w:color="auto" w:sz="4" w:space="0"/>
              <w:bottom w:val="single" w:color="auto" w:sz="4" w:space="0"/>
              <w:right w:val="single" w:color="auto" w:sz="24" w:space="0"/>
            </w:tcBorders>
            <w:shd w:val="clear" w:color="auto" w:fill="E6E6E6"/>
            <w:vAlign w:val="bottom"/>
          </w:tcPr>
          <w:p w:rsidRPr="008936E4" w:rsidR="00DE7D1B" w:rsidP="00DE7D1B" w:rsidRDefault="00DE7D1B" w14:paraId="11B3B704" w14:textId="752D60EE">
            <w:pPr>
              <w:tabs>
                <w:tab w:val="left" w:pos="957"/>
              </w:tabs>
              <w:spacing w:before="60" w:after="60"/>
              <w:ind w:right="72"/>
              <w:jc w:val="right"/>
              <w:rPr>
                <w:rFonts w:asciiTheme="majorBidi" w:hAnsiTheme="majorBidi" w:cstheme="majorBidi"/>
                <w:b/>
                <w:color w:val="000000"/>
              </w:rPr>
            </w:pPr>
            <w:r w:rsidRPr="008936E4">
              <w:rPr>
                <w:rFonts w:asciiTheme="majorBidi" w:hAnsiTheme="majorBidi" w:cstheme="majorBidi"/>
                <w:b/>
                <w:i/>
                <w:color w:val="000000"/>
              </w:rPr>
              <w:t>TOTAL REQUEST: $</w:t>
            </w:r>
            <w:r w:rsidRPr="00D5288D" w:rsidR="00D5288D">
              <w:rPr>
                <w:rFonts w:asciiTheme="majorBidi" w:hAnsiTheme="majorBidi" w:cstheme="majorBidi"/>
                <w:b/>
                <w:i/>
                <w:color w:val="000000"/>
              </w:rPr>
              <w:t>94,957.78</w:t>
            </w:r>
            <w:r w:rsidR="00F64962">
              <w:rPr>
                <w:rStyle w:val="FootnoteReference"/>
                <w:rFonts w:asciiTheme="majorBidi" w:hAnsiTheme="majorBidi" w:cstheme="majorBidi"/>
                <w:b/>
                <w:i/>
                <w:color w:val="000000"/>
              </w:rPr>
              <w:footnoteReference w:id="13"/>
            </w:r>
          </w:p>
        </w:tc>
        <w:tc>
          <w:tcPr>
            <w:tcW w:w="3982" w:type="dxa"/>
            <w:gridSpan w:val="3"/>
            <w:tcBorders>
              <w:left w:val="single" w:color="auto" w:sz="24" w:space="0"/>
            </w:tcBorders>
            <w:shd w:val="clear" w:color="auto" w:fill="E6E6E6"/>
            <w:vAlign w:val="bottom"/>
          </w:tcPr>
          <w:p w:rsidRPr="008936E4" w:rsidR="00DE7D1B" w:rsidP="00DE7D1B" w:rsidRDefault="00DE7D1B" w14:paraId="3680D139" w14:textId="3220218A">
            <w:pPr>
              <w:tabs>
                <w:tab w:val="left" w:pos="957"/>
              </w:tabs>
              <w:spacing w:before="60" w:after="60"/>
              <w:ind w:right="72"/>
              <w:jc w:val="right"/>
              <w:rPr>
                <w:rFonts w:asciiTheme="majorBidi" w:hAnsiTheme="majorBidi" w:cstheme="majorBidi"/>
                <w:b/>
                <w:color w:val="000000"/>
              </w:rPr>
            </w:pPr>
            <w:r w:rsidRPr="00F63B3C">
              <w:rPr>
                <w:rFonts w:asciiTheme="majorBidi" w:hAnsiTheme="majorBidi" w:cstheme="majorBidi"/>
                <w:b/>
                <w:i/>
              </w:rPr>
              <w:t>TOTAL AWARD</w:t>
            </w:r>
            <w:r w:rsidRPr="002E1712">
              <w:rPr>
                <w:rFonts w:asciiTheme="majorBidi" w:hAnsiTheme="majorBidi" w:cstheme="majorBidi"/>
                <w:b/>
                <w:i/>
              </w:rPr>
              <w:t>: $</w:t>
            </w:r>
            <w:r w:rsidR="008A60B3">
              <w:rPr>
                <w:rFonts w:asciiTheme="majorBidi" w:hAnsiTheme="majorBidi" w:cstheme="majorBidi"/>
                <w:b/>
                <w:i/>
              </w:rPr>
              <w:t>52,567.</w:t>
            </w:r>
            <w:r w:rsidR="009B1735">
              <w:rPr>
                <w:rFonts w:asciiTheme="majorBidi" w:hAnsiTheme="majorBidi" w:cstheme="majorBidi"/>
                <w:b/>
                <w:i/>
              </w:rPr>
              <w:t>00</w:t>
            </w:r>
          </w:p>
        </w:tc>
      </w:tr>
      <w:tr w:rsidRPr="008936E4" w:rsidR="00DE7D1B" w:rsidTr="00EC6387" w14:paraId="6A909BC1" w14:textId="77777777">
        <w:trPr>
          <w:jc w:val="center"/>
        </w:trPr>
        <w:tc>
          <w:tcPr>
            <w:tcW w:w="11160" w:type="dxa"/>
            <w:gridSpan w:val="14"/>
            <w:tcBorders>
              <w:top w:val="single" w:color="auto" w:sz="4" w:space="0"/>
              <w:bottom w:val="single" w:color="auto" w:sz="4" w:space="0"/>
            </w:tcBorders>
          </w:tcPr>
          <w:p w:rsidRPr="008936E4" w:rsidR="00DE7D1B" w:rsidP="00DE7D1B" w:rsidRDefault="00DE7D1B" w14:paraId="6F39872E" w14:textId="77777777">
            <w:pPr>
              <w:spacing w:before="60" w:after="60"/>
              <w:rPr>
                <w:rFonts w:asciiTheme="majorBidi" w:hAnsiTheme="majorBidi" w:cstheme="majorBidi"/>
                <w:color w:val="000000"/>
              </w:rPr>
            </w:pPr>
            <w:r w:rsidRPr="008936E4">
              <w:rPr>
                <w:rFonts w:asciiTheme="majorBidi" w:hAnsiTheme="majorBidi" w:cstheme="majorBidi"/>
                <w:color w:val="000000"/>
              </w:rPr>
              <w:t xml:space="preserve">  *We remind all intervenors that Commission staff may audit </w:t>
            </w:r>
            <w:r w:rsidRPr="008936E4">
              <w:rPr>
                <w:rFonts w:asciiTheme="majorBidi" w:hAnsiTheme="majorBidi" w:cstheme="majorBidi"/>
              </w:rPr>
              <w:t>the records and books of the intervenors to the extent necessary to verify the basis for the award (§1804(d)).  I</w:t>
            </w:r>
            <w:r w:rsidRPr="008936E4">
              <w:rPr>
                <w:rFonts w:asciiTheme="majorBidi" w:hAnsiTheme="majorBidi" w:cstheme="majorBidi"/>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8936E4" w:rsidR="00DE7D1B" w:rsidP="00DE7D1B" w:rsidRDefault="00DE7D1B" w14:paraId="0D03EC65" w14:textId="77777777">
            <w:pPr>
              <w:spacing w:before="60" w:after="60"/>
              <w:rPr>
                <w:rFonts w:asciiTheme="majorBidi" w:hAnsiTheme="majorBidi" w:cstheme="majorBidi"/>
                <w:color w:val="000000"/>
              </w:rPr>
            </w:pPr>
            <w:r w:rsidRPr="008936E4">
              <w:rPr>
                <w:rFonts w:asciiTheme="majorBidi" w:hAnsiTheme="majorBidi" w:cstheme="majorBidi"/>
                <w:color w:val="000000"/>
              </w:rPr>
              <w:t>**Travel and Reasonable Claim preparation time are typically compensated at ½ of preparer’s normal hourly rate</w:t>
            </w:r>
            <w:r w:rsidRPr="008936E4" w:rsidDel="00D075B1">
              <w:rPr>
                <w:rFonts w:asciiTheme="majorBidi" w:hAnsiTheme="majorBidi" w:cstheme="majorBidi"/>
                <w:color w:val="000000"/>
              </w:rPr>
              <w:t xml:space="preserve"> </w:t>
            </w:r>
          </w:p>
        </w:tc>
      </w:tr>
      <w:tr w:rsidRPr="008936E4" w:rsidR="00DE7D1B" w:rsidTr="00EC6387" w14:paraId="458B01A4"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936E4" w:rsidR="00DE7D1B" w:rsidP="00DE7D1B" w:rsidRDefault="00DE7D1B" w14:paraId="48B43CBD" w14:textId="77777777">
            <w:pPr>
              <w:keepNext/>
              <w:spacing w:before="60" w:after="60"/>
              <w:jc w:val="center"/>
              <w:rPr>
                <w:rFonts w:asciiTheme="majorBidi" w:hAnsiTheme="majorBidi" w:cstheme="majorBidi"/>
                <w:b/>
                <w:smallCaps/>
                <w:color w:val="000000"/>
              </w:rPr>
            </w:pPr>
            <w:r w:rsidRPr="008936E4">
              <w:rPr>
                <w:rFonts w:asciiTheme="majorBidi" w:hAnsiTheme="majorBidi" w:cstheme="majorBidi"/>
                <w:b/>
                <w:smallCaps/>
                <w:color w:val="000000"/>
              </w:rPr>
              <w:t>ATTORNEY INFORMATION</w:t>
            </w:r>
          </w:p>
        </w:tc>
      </w:tr>
      <w:tr w:rsidRPr="008936E4" w:rsidR="00DE7D1B" w:rsidTr="00EC6387" w14:paraId="790C92C0" w14:textId="77777777">
        <w:trPr>
          <w:trHeight w:val="173"/>
          <w:jc w:val="center"/>
        </w:trPr>
        <w:tc>
          <w:tcPr>
            <w:tcW w:w="2692" w:type="dxa"/>
            <w:gridSpan w:val="5"/>
            <w:tcBorders>
              <w:top w:val="single" w:color="auto" w:sz="4" w:space="0"/>
              <w:bottom w:val="single" w:color="auto" w:sz="4" w:space="0"/>
            </w:tcBorders>
            <w:shd w:val="clear" w:color="auto" w:fill="FFFFFF"/>
            <w:vAlign w:val="bottom"/>
          </w:tcPr>
          <w:p w:rsidRPr="008936E4" w:rsidR="00DE7D1B" w:rsidP="00DE7D1B" w:rsidRDefault="00DE7D1B" w14:paraId="00CAC866"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rPr>
              <w:t>Attorney</w:t>
            </w:r>
          </w:p>
        </w:tc>
        <w:tc>
          <w:tcPr>
            <w:tcW w:w="1909" w:type="dxa"/>
            <w:gridSpan w:val="3"/>
            <w:tcBorders>
              <w:top w:val="single" w:color="auto" w:sz="4" w:space="0"/>
              <w:bottom w:val="single" w:color="auto" w:sz="4" w:space="0"/>
            </w:tcBorders>
            <w:shd w:val="clear" w:color="auto" w:fill="FFFFFF"/>
            <w:vAlign w:val="bottom"/>
          </w:tcPr>
          <w:p w:rsidRPr="008936E4" w:rsidR="00DE7D1B" w:rsidP="00DE7D1B" w:rsidRDefault="00DE7D1B" w14:paraId="7E76A008"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rPr>
              <w:t>Date Admitted to CA BAR</w:t>
            </w:r>
            <w:r w:rsidRPr="008936E4">
              <w:rPr>
                <w:rStyle w:val="FootnoteReference"/>
                <w:rFonts w:asciiTheme="majorBidi" w:hAnsiTheme="majorBidi" w:cstheme="majorBidi"/>
                <w:b/>
              </w:rPr>
              <w:footnoteReference w:id="14"/>
            </w:r>
          </w:p>
        </w:tc>
        <w:tc>
          <w:tcPr>
            <w:tcW w:w="2291" w:type="dxa"/>
            <w:gridSpan w:val="2"/>
            <w:tcBorders>
              <w:top w:val="single" w:color="auto" w:sz="4" w:space="0"/>
              <w:bottom w:val="single" w:color="auto" w:sz="4" w:space="0"/>
            </w:tcBorders>
            <w:shd w:val="clear" w:color="auto" w:fill="FFFFFF"/>
            <w:vAlign w:val="bottom"/>
          </w:tcPr>
          <w:p w:rsidRPr="008936E4" w:rsidR="00DE7D1B" w:rsidP="00DE7D1B" w:rsidRDefault="00DE7D1B" w14:paraId="27E64ED7"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rPr>
              <w:t>Member Number</w:t>
            </w:r>
          </w:p>
        </w:tc>
        <w:tc>
          <w:tcPr>
            <w:tcW w:w="4268" w:type="dxa"/>
            <w:gridSpan w:val="4"/>
            <w:tcBorders>
              <w:top w:val="single" w:color="auto" w:sz="4" w:space="0"/>
              <w:bottom w:val="single" w:color="auto" w:sz="4" w:space="0"/>
            </w:tcBorders>
            <w:shd w:val="clear" w:color="auto" w:fill="FFFFFF"/>
            <w:vAlign w:val="bottom"/>
          </w:tcPr>
          <w:p w:rsidRPr="008936E4" w:rsidR="00DE7D1B" w:rsidP="00DE7D1B" w:rsidRDefault="00DE7D1B" w14:paraId="496B5DC1" w14:textId="77777777">
            <w:pPr>
              <w:keepNext/>
              <w:keepLines/>
              <w:spacing w:before="60" w:after="60"/>
              <w:jc w:val="center"/>
              <w:rPr>
                <w:rFonts w:asciiTheme="majorBidi" w:hAnsiTheme="majorBidi" w:cstheme="majorBidi"/>
                <w:b/>
              </w:rPr>
            </w:pPr>
            <w:r w:rsidRPr="008936E4">
              <w:rPr>
                <w:rFonts w:asciiTheme="majorBidi" w:hAnsiTheme="majorBidi" w:cstheme="majorBidi"/>
                <w:b/>
              </w:rPr>
              <w:t>Actions Affecting Eligibility (Yes/No?)</w:t>
            </w:r>
          </w:p>
          <w:p w:rsidRPr="008936E4" w:rsidR="00DE7D1B" w:rsidP="00DE7D1B" w:rsidRDefault="00DE7D1B" w14:paraId="36F8922D" w14:textId="77777777">
            <w:pPr>
              <w:keepNext/>
              <w:keepLines/>
              <w:spacing w:before="60" w:after="60"/>
              <w:jc w:val="center"/>
              <w:rPr>
                <w:rFonts w:asciiTheme="majorBidi" w:hAnsiTheme="majorBidi" w:cstheme="majorBidi"/>
                <w:b/>
                <w:color w:val="000000"/>
              </w:rPr>
            </w:pPr>
            <w:r w:rsidRPr="008936E4">
              <w:rPr>
                <w:rFonts w:asciiTheme="majorBidi" w:hAnsiTheme="majorBidi" w:cstheme="majorBidi"/>
                <w:b/>
              </w:rPr>
              <w:t>If “Yes”, attach explanation</w:t>
            </w:r>
          </w:p>
        </w:tc>
      </w:tr>
      <w:tr w:rsidRPr="008936E4" w:rsidR="00DE7D1B" w:rsidTr="00AB264D" w14:paraId="4DC5EE9B" w14:textId="77777777">
        <w:trPr>
          <w:trHeight w:val="172"/>
          <w:jc w:val="center"/>
        </w:trPr>
        <w:tc>
          <w:tcPr>
            <w:tcW w:w="2692" w:type="dxa"/>
            <w:gridSpan w:val="5"/>
            <w:tcBorders>
              <w:top w:val="single" w:color="auto" w:sz="4" w:space="0"/>
              <w:bottom w:val="single" w:color="auto" w:sz="4" w:space="0"/>
            </w:tcBorders>
          </w:tcPr>
          <w:p w:rsidRPr="008936E4" w:rsidR="00DE7D1B" w:rsidP="00DE7D1B" w:rsidRDefault="00DE7D1B" w14:paraId="7266B7BF" w14:textId="7F1792FF">
            <w:pPr>
              <w:keepLines/>
              <w:spacing w:before="60" w:after="60"/>
              <w:jc w:val="center"/>
              <w:rPr>
                <w:rFonts w:asciiTheme="majorBidi" w:hAnsiTheme="majorBidi" w:cstheme="majorBidi"/>
                <w:color w:val="000000"/>
              </w:rPr>
            </w:pPr>
            <w:r w:rsidRPr="008936E4">
              <w:rPr>
                <w:rFonts w:asciiTheme="majorBidi" w:hAnsiTheme="majorBidi" w:cstheme="majorBidi"/>
                <w:color w:val="000000"/>
              </w:rPr>
              <w:t>James M. Birkelund</w:t>
            </w:r>
          </w:p>
        </w:tc>
        <w:tc>
          <w:tcPr>
            <w:tcW w:w="1909" w:type="dxa"/>
            <w:gridSpan w:val="3"/>
            <w:tcBorders>
              <w:top w:val="single" w:color="auto" w:sz="4" w:space="0"/>
              <w:bottom w:val="single" w:color="auto" w:sz="4" w:space="0"/>
            </w:tcBorders>
          </w:tcPr>
          <w:p w:rsidRPr="008936E4" w:rsidR="00DE7D1B" w:rsidP="00DE7D1B" w:rsidRDefault="00DE7D1B" w14:paraId="69A41F15" w14:textId="466F4C4E">
            <w:pPr>
              <w:keepLines/>
              <w:spacing w:before="60" w:after="60"/>
              <w:jc w:val="center"/>
              <w:rPr>
                <w:rFonts w:asciiTheme="majorBidi" w:hAnsiTheme="majorBidi" w:cstheme="majorBidi"/>
                <w:color w:val="000000"/>
              </w:rPr>
            </w:pPr>
            <w:r w:rsidRPr="008936E4">
              <w:rPr>
                <w:rFonts w:asciiTheme="majorBidi" w:hAnsiTheme="majorBidi" w:cstheme="majorBidi"/>
                <w:color w:val="000000"/>
              </w:rPr>
              <w:t>March 2000</w:t>
            </w:r>
          </w:p>
        </w:tc>
        <w:tc>
          <w:tcPr>
            <w:tcW w:w="2291" w:type="dxa"/>
            <w:gridSpan w:val="2"/>
            <w:tcBorders>
              <w:top w:val="single" w:color="auto" w:sz="4" w:space="0"/>
              <w:bottom w:val="single" w:color="auto" w:sz="4" w:space="0"/>
            </w:tcBorders>
          </w:tcPr>
          <w:p w:rsidRPr="008936E4" w:rsidR="00DE7D1B" w:rsidP="00DE7D1B" w:rsidRDefault="00DE7D1B" w14:paraId="58495CD7" w14:textId="36CF15FE">
            <w:pPr>
              <w:keepLines/>
              <w:spacing w:before="60" w:after="60"/>
              <w:jc w:val="center"/>
              <w:rPr>
                <w:rFonts w:asciiTheme="majorBidi" w:hAnsiTheme="majorBidi" w:cstheme="majorBidi"/>
                <w:color w:val="000000"/>
              </w:rPr>
            </w:pPr>
            <w:r w:rsidRPr="008936E4">
              <w:rPr>
                <w:rFonts w:asciiTheme="majorBidi" w:hAnsiTheme="majorBidi" w:cstheme="majorBidi"/>
                <w:color w:val="000000"/>
              </w:rPr>
              <w:t>206328</w:t>
            </w:r>
          </w:p>
        </w:tc>
        <w:tc>
          <w:tcPr>
            <w:tcW w:w="4268" w:type="dxa"/>
            <w:gridSpan w:val="4"/>
            <w:tcBorders>
              <w:top w:val="single" w:color="auto" w:sz="4" w:space="0"/>
              <w:bottom w:val="single" w:color="auto" w:sz="4" w:space="0"/>
            </w:tcBorders>
          </w:tcPr>
          <w:p w:rsidRPr="008936E4" w:rsidR="00DE7D1B" w:rsidP="00DE7D1B" w:rsidRDefault="00DE7D1B" w14:paraId="117B99BF" w14:textId="418B79F4">
            <w:pPr>
              <w:keepLines/>
              <w:spacing w:before="60" w:after="60"/>
              <w:jc w:val="center"/>
              <w:rPr>
                <w:rFonts w:asciiTheme="majorBidi" w:hAnsiTheme="majorBidi" w:cstheme="majorBidi"/>
                <w:color w:val="000000"/>
              </w:rPr>
            </w:pPr>
            <w:r w:rsidRPr="008936E4">
              <w:rPr>
                <w:rFonts w:asciiTheme="majorBidi" w:hAnsiTheme="majorBidi" w:cstheme="majorBidi"/>
                <w:color w:val="000000"/>
              </w:rPr>
              <w:t>No</w:t>
            </w:r>
          </w:p>
        </w:tc>
      </w:tr>
    </w:tbl>
    <w:p w:rsidRPr="008936E4" w:rsidR="0022302F" w:rsidP="005B5B44" w:rsidRDefault="00A92D0B" w14:paraId="67A6CABA" w14:textId="239867E6">
      <w:pPr>
        <w:keepNext/>
        <w:numPr>
          <w:ilvl w:val="0"/>
          <w:numId w:val="9"/>
        </w:numPr>
        <w:spacing w:before="240"/>
        <w:rPr>
          <w:rFonts w:asciiTheme="majorBidi" w:hAnsiTheme="majorBidi" w:cstheme="majorBidi"/>
          <w:b/>
          <w:color w:val="000000"/>
        </w:rPr>
      </w:pPr>
      <w:r w:rsidRPr="008936E4">
        <w:rPr>
          <w:rFonts w:asciiTheme="majorBidi" w:hAnsiTheme="majorBidi" w:cstheme="majorBidi"/>
          <w:b/>
          <w:color w:val="000000"/>
        </w:rPr>
        <w:t>Attachments</w:t>
      </w:r>
      <w:r w:rsidRPr="008936E4">
        <w:rPr>
          <w:rFonts w:asciiTheme="majorBidi" w:hAnsiTheme="majorBidi" w:cstheme="majorBidi"/>
          <w:b/>
        </w:rPr>
        <w:t xml:space="preserve"> Documenting Specific Claim and Comments on Part III</w:t>
      </w:r>
      <w:r w:rsidRPr="008936E4" w:rsidR="00C02649">
        <w:rPr>
          <w:rFonts w:asciiTheme="majorBidi" w:hAnsiTheme="majorBidi" w:cstheme="majorBidi"/>
          <w:b/>
        </w:rPr>
        <w:t>:</w:t>
      </w:r>
      <w:r w:rsidR="00C12976">
        <w:rPr>
          <w:rStyle w:val="FootnoteReference"/>
          <w:rFonts w:asciiTheme="majorBidi" w:hAnsiTheme="majorBidi" w:cstheme="majorBidi"/>
          <w:b/>
        </w:rPr>
        <w:footnoteReference w:id="15"/>
      </w:r>
    </w:p>
    <w:p w:rsidRPr="008936E4" w:rsidR="00A92D0B" w:rsidP="0022302F" w:rsidRDefault="00A92D0B" w14:paraId="04BC309E" w14:textId="63D63C8B">
      <w:pPr>
        <w:spacing w:after="240"/>
        <w:ind w:left="360"/>
        <w:rPr>
          <w:rFonts w:asciiTheme="majorBidi" w:hAnsiTheme="majorBidi" w:cstheme="majorBidi"/>
          <w:b/>
          <w:i/>
          <w:color w:val="000000"/>
          <w:u w:val="single"/>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8936E4" w:rsidR="00A92D0B" w:rsidTr="001A3CF3" w14:paraId="0C2B760A" w14:textId="77777777">
        <w:trPr>
          <w:tblHeader/>
        </w:trPr>
        <w:tc>
          <w:tcPr>
            <w:tcW w:w="1795" w:type="dxa"/>
            <w:shd w:val="clear" w:color="auto" w:fill="D9D9D9" w:themeFill="background1" w:themeFillShade="D9"/>
            <w:vAlign w:val="bottom"/>
          </w:tcPr>
          <w:p w:rsidRPr="008936E4" w:rsidR="00A92D0B" w:rsidP="001A3CF3" w:rsidRDefault="00A92D0B" w14:paraId="42A1D838" w14:textId="77777777">
            <w:pPr>
              <w:tabs>
                <w:tab w:val="left" w:pos="1260"/>
              </w:tabs>
              <w:jc w:val="center"/>
              <w:rPr>
                <w:rFonts w:asciiTheme="majorBidi" w:hAnsiTheme="majorBidi" w:cstheme="majorBidi"/>
                <w:b/>
                <w:color w:val="000000"/>
              </w:rPr>
            </w:pPr>
            <w:r w:rsidRPr="008936E4">
              <w:rPr>
                <w:rFonts w:asciiTheme="majorBidi" w:hAnsiTheme="majorBidi" w:cstheme="majorBidi"/>
                <w:b/>
                <w:color w:val="000000"/>
              </w:rPr>
              <w:t xml:space="preserve">Attachment or </w:t>
            </w:r>
            <w:proofErr w:type="gramStart"/>
            <w:r w:rsidRPr="008936E4">
              <w:rPr>
                <w:rFonts w:asciiTheme="majorBidi" w:hAnsiTheme="majorBidi" w:cstheme="majorBidi"/>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8936E4" w:rsidR="00A92D0B" w:rsidP="001A3CF3" w:rsidRDefault="00A92D0B" w14:paraId="55F0A65F" w14:textId="77777777">
            <w:pPr>
              <w:tabs>
                <w:tab w:val="left" w:pos="1260"/>
              </w:tabs>
              <w:jc w:val="center"/>
              <w:rPr>
                <w:rFonts w:asciiTheme="majorBidi" w:hAnsiTheme="majorBidi" w:cstheme="majorBidi"/>
                <w:b/>
                <w:color w:val="000000"/>
              </w:rPr>
            </w:pPr>
            <w:r w:rsidRPr="008936E4">
              <w:rPr>
                <w:rFonts w:asciiTheme="majorBidi" w:hAnsiTheme="majorBidi" w:cstheme="majorBidi"/>
                <w:b/>
                <w:color w:val="000000"/>
              </w:rPr>
              <w:t>Description/Comment</w:t>
            </w:r>
          </w:p>
        </w:tc>
      </w:tr>
      <w:tr w:rsidRPr="008936E4" w:rsidR="00676C89" w:rsidTr="00AB264D" w14:paraId="39603476" w14:textId="77777777">
        <w:tc>
          <w:tcPr>
            <w:tcW w:w="1795" w:type="dxa"/>
            <w:tcBorders>
              <w:bottom w:val="single" w:color="auto" w:sz="4" w:space="0"/>
            </w:tcBorders>
          </w:tcPr>
          <w:p w:rsidRPr="008936E4" w:rsidR="00676C89" w:rsidP="00676C89" w:rsidRDefault="00676C89" w14:paraId="09D8B2DA" w14:textId="2AC9B6EF">
            <w:pPr>
              <w:tabs>
                <w:tab w:val="left" w:pos="1260"/>
              </w:tabs>
              <w:rPr>
                <w:rFonts w:asciiTheme="majorBidi" w:hAnsiTheme="majorBidi" w:cstheme="majorBidi"/>
                <w:color w:val="000000" w:themeColor="text1"/>
              </w:rPr>
            </w:pPr>
            <w:bookmarkStart w:name="_Hlk222238009" w:id="0"/>
            <w:r>
              <w:rPr>
                <w:rFonts w:asciiTheme="majorBidi" w:hAnsiTheme="majorBidi" w:cstheme="majorBidi"/>
                <w:color w:val="000000" w:themeColor="text1"/>
              </w:rPr>
              <w:t>Comment 1</w:t>
            </w:r>
          </w:p>
        </w:tc>
        <w:tc>
          <w:tcPr>
            <w:tcW w:w="7565" w:type="dxa"/>
            <w:tcBorders>
              <w:bottom w:val="single" w:color="auto" w:sz="4" w:space="0"/>
            </w:tcBorders>
          </w:tcPr>
          <w:p w:rsidRPr="003A034E" w:rsidR="001717D0" w:rsidP="003A034E" w:rsidRDefault="00676C89" w14:paraId="70F4FFE0" w14:textId="080F8A00">
            <w:pPr>
              <w:tabs>
                <w:tab w:val="left" w:pos="1260"/>
              </w:tabs>
              <w:spacing w:after="240"/>
              <w:rPr>
                <w:bCs/>
                <w:u w:val="single"/>
              </w:rPr>
            </w:pPr>
            <w:bookmarkStart w:name="_Hlk222237971" w:id="1"/>
            <w:r w:rsidRPr="00DD3B06">
              <w:rPr>
                <w:bCs/>
                <w:u w:val="single"/>
              </w:rPr>
              <w:t>202</w:t>
            </w:r>
            <w:r w:rsidR="006721DD">
              <w:rPr>
                <w:bCs/>
                <w:u w:val="single"/>
              </w:rPr>
              <w:t>4</w:t>
            </w:r>
            <w:r w:rsidRPr="00DD3B06">
              <w:rPr>
                <w:bCs/>
                <w:u w:val="single"/>
              </w:rPr>
              <w:t xml:space="preserve"> Hourly Rate for </w:t>
            </w:r>
            <w:r w:rsidR="006721DD">
              <w:rPr>
                <w:bCs/>
                <w:u w:val="single"/>
              </w:rPr>
              <w:t>Executive Director Marra</w:t>
            </w:r>
          </w:p>
          <w:p w:rsidR="00C244FF" w:rsidP="00C244FF" w:rsidRDefault="006A1648" w14:paraId="13B7A12A" w14:textId="77777777">
            <w:pPr>
              <w:pStyle w:val="NormalWeb"/>
            </w:pPr>
            <w:r>
              <w:lastRenderedPageBreak/>
              <w:t>SBUA requests that the Commission set Britt K. Marra’s 2024 hourly rate at $2</w:t>
            </w:r>
            <w:r w:rsidR="009B2BAE">
              <w:t>50</w:t>
            </w:r>
            <w:r>
              <w:t xml:space="preserve"> under the Level II range for the Executive Director category (2–5 years’ experience). This request is consistent with the Market Rate Study and Resolution ALJ-</w:t>
            </w:r>
            <w:proofErr w:type="gramStart"/>
            <w:r>
              <w:t>393, and</w:t>
            </w:r>
            <w:proofErr w:type="gramEnd"/>
            <w:r>
              <w:t xml:space="preserve"> is equivalent to </w:t>
            </w:r>
            <w:r w:rsidR="009B2BAE">
              <w:t xml:space="preserve">approximately </w:t>
            </w:r>
            <w:r>
              <w:t>$2</w:t>
            </w:r>
            <w:r w:rsidR="009B2BAE">
              <w:t>23</w:t>
            </w:r>
            <w:r>
              <w:t>/hour in 2021. The Level II 2021 range was $106.29 (low) / $178.91 (median) / $285.87 (high).</w:t>
            </w:r>
          </w:p>
          <w:p w:rsidRPr="00A41AA8" w:rsidR="000C7F84" w:rsidP="00C244FF" w:rsidRDefault="006A1648" w14:paraId="5951FCE8" w14:textId="3E3509C4">
            <w:pPr>
              <w:pStyle w:val="NormalWeb"/>
              <w:spacing w:before="240" w:after="120"/>
            </w:pPr>
            <w:r>
              <w:t xml:space="preserve">Ms. Marra is an </w:t>
            </w:r>
            <w:r w:rsidRPr="00813CE6">
              <w:t xml:space="preserve">employee of SBUA, and her professional background is provided as </w:t>
            </w:r>
            <w:r w:rsidRPr="00813CE6">
              <w:rPr>
                <w:u w:val="single"/>
              </w:rPr>
              <w:t>Attachment 3</w:t>
            </w:r>
            <w:r w:rsidRPr="00813CE6">
              <w:t xml:space="preserve">. </w:t>
            </w:r>
            <w:r w:rsidRPr="00813CE6" w:rsidR="009E1C18">
              <w:t xml:space="preserve">The requested rate, slightly above the median at </w:t>
            </w:r>
            <w:bookmarkEnd w:id="1"/>
            <w:r w:rsidRPr="00813CE6" w:rsidR="009E1C18">
              <w:t xml:space="preserve">approximately the </w:t>
            </w:r>
            <w:r w:rsidRPr="00813CE6" w:rsidR="00854CC1">
              <w:t>6</w:t>
            </w:r>
            <w:r w:rsidRPr="00813CE6" w:rsidR="009B2BAE">
              <w:t>5</w:t>
            </w:r>
            <w:r w:rsidRPr="00813CE6" w:rsidR="009E1C18">
              <w:t xml:space="preserve">th percentile of the Level II range, is justified given Ms. Marra’s more than a decade of leadership in small-business utility advocacy (Executive </w:t>
            </w:r>
            <w:r w:rsidRPr="0099420C" w:rsidR="009E1C18">
              <w:t>Director since 2023; previously</w:t>
            </w:r>
            <w:r w:rsidRPr="00813CE6" w:rsidR="009E1C18">
              <w:t xml:space="preserve"> Assistant Executive Director). </w:t>
            </w:r>
            <w:r w:rsidRPr="00813CE6">
              <w:t>Her experience includes significant utility-regulatory work coordinating attorneys, experts, and outreach in C</w:t>
            </w:r>
            <w:r w:rsidRPr="00813CE6" w:rsidR="00C244FF">
              <w:t>alifornia and other jurisdictions</w:t>
            </w:r>
            <w:r w:rsidRPr="00813CE6">
              <w:t>. Accordingly, the</w:t>
            </w:r>
            <w:r>
              <w:t xml:space="preserve"> requested $2</w:t>
            </w:r>
            <w:r w:rsidR="009B2BAE">
              <w:t>50</w:t>
            </w:r>
            <w:r>
              <w:t>/hour is reasonable, falls within the Level II range, and is consistent with Commission precedent.</w:t>
            </w:r>
          </w:p>
        </w:tc>
      </w:tr>
      <w:bookmarkEnd w:id="0"/>
      <w:tr w:rsidRPr="008936E4" w:rsidR="00676C89" w:rsidTr="00AB264D" w14:paraId="71F47148" w14:textId="77777777">
        <w:tc>
          <w:tcPr>
            <w:tcW w:w="1795" w:type="dxa"/>
            <w:tcBorders>
              <w:bottom w:val="single" w:color="auto" w:sz="4" w:space="0"/>
            </w:tcBorders>
          </w:tcPr>
          <w:p w:rsidRPr="008936E4" w:rsidR="00676C89" w:rsidP="00676C89" w:rsidRDefault="00676C89" w14:paraId="7A5C03D8" w14:textId="6AAE64A1">
            <w:pPr>
              <w:tabs>
                <w:tab w:val="left" w:pos="1260"/>
              </w:tabs>
              <w:rPr>
                <w:rFonts w:asciiTheme="majorBidi" w:hAnsiTheme="majorBidi" w:cstheme="majorBidi"/>
                <w:color w:val="000000"/>
              </w:rPr>
            </w:pPr>
            <w:r w:rsidRPr="008936E4">
              <w:rPr>
                <w:rFonts w:asciiTheme="majorBidi" w:hAnsiTheme="majorBidi" w:cstheme="majorBidi"/>
                <w:color w:val="000000" w:themeColor="text1"/>
              </w:rPr>
              <w:lastRenderedPageBreak/>
              <w:t>Attachment 1</w:t>
            </w:r>
          </w:p>
        </w:tc>
        <w:tc>
          <w:tcPr>
            <w:tcW w:w="7565" w:type="dxa"/>
            <w:tcBorders>
              <w:bottom w:val="single" w:color="auto" w:sz="4" w:space="0"/>
            </w:tcBorders>
          </w:tcPr>
          <w:p w:rsidRPr="008936E4" w:rsidR="00676C89" w:rsidP="00676C89" w:rsidRDefault="00676C89" w14:paraId="370C67BC" w14:textId="3F5776CA">
            <w:pPr>
              <w:tabs>
                <w:tab w:val="left" w:pos="1260"/>
              </w:tabs>
              <w:rPr>
                <w:rFonts w:asciiTheme="majorBidi" w:hAnsiTheme="majorBidi" w:cstheme="majorBidi"/>
                <w:color w:val="000000"/>
              </w:rPr>
            </w:pPr>
            <w:r w:rsidRPr="008936E4">
              <w:rPr>
                <w:rFonts w:asciiTheme="majorBidi" w:hAnsiTheme="majorBidi" w:cstheme="majorBidi"/>
                <w:color w:val="000000" w:themeColor="text1"/>
              </w:rPr>
              <w:t>Certificate of Service (</w:t>
            </w:r>
            <w:r w:rsidRPr="008936E4">
              <w:rPr>
                <w:rFonts w:asciiTheme="majorBidi" w:hAnsiTheme="majorBidi" w:cstheme="majorBidi"/>
                <w:i/>
                <w:iCs/>
                <w:color w:val="000000" w:themeColor="text1"/>
              </w:rPr>
              <w:t>see</w:t>
            </w:r>
            <w:r w:rsidRPr="008936E4">
              <w:rPr>
                <w:rFonts w:asciiTheme="majorBidi" w:hAnsiTheme="majorBidi" w:cstheme="majorBidi"/>
                <w:color w:val="000000" w:themeColor="text1"/>
              </w:rPr>
              <w:t xml:space="preserve"> attachment under separate cover)</w:t>
            </w:r>
          </w:p>
        </w:tc>
      </w:tr>
      <w:tr w:rsidRPr="008936E4" w:rsidR="00676C89" w:rsidTr="00AB264D" w14:paraId="320647D2" w14:textId="77777777">
        <w:tc>
          <w:tcPr>
            <w:tcW w:w="1795" w:type="dxa"/>
          </w:tcPr>
          <w:p w:rsidRPr="008936E4" w:rsidR="00676C89" w:rsidP="00676C89" w:rsidRDefault="00676C89" w14:paraId="514127C2" w14:textId="0DF58C1A">
            <w:pPr>
              <w:tabs>
                <w:tab w:val="left" w:pos="1260"/>
              </w:tabs>
              <w:rPr>
                <w:rFonts w:asciiTheme="majorBidi" w:hAnsiTheme="majorBidi" w:cstheme="majorBidi"/>
                <w:color w:val="000000"/>
              </w:rPr>
            </w:pPr>
            <w:r w:rsidRPr="008936E4">
              <w:rPr>
                <w:rFonts w:asciiTheme="majorBidi" w:hAnsiTheme="majorBidi" w:cstheme="majorBidi"/>
                <w:color w:val="000000" w:themeColor="text1"/>
              </w:rPr>
              <w:t>Attachment 2</w:t>
            </w:r>
          </w:p>
        </w:tc>
        <w:tc>
          <w:tcPr>
            <w:tcW w:w="7565" w:type="dxa"/>
          </w:tcPr>
          <w:p w:rsidRPr="008936E4" w:rsidR="00676C89" w:rsidP="00676C89" w:rsidRDefault="00676C89" w14:paraId="4B9F1C1C" w14:textId="46E55889">
            <w:pPr>
              <w:tabs>
                <w:tab w:val="left" w:pos="1260"/>
              </w:tabs>
              <w:rPr>
                <w:rFonts w:asciiTheme="majorBidi" w:hAnsiTheme="majorBidi" w:cstheme="majorBidi"/>
                <w:b/>
                <w:color w:val="000000"/>
              </w:rPr>
            </w:pPr>
            <w:bookmarkStart w:name="_Hlk42264180" w:id="2"/>
            <w:r w:rsidRPr="008936E4">
              <w:rPr>
                <w:rFonts w:asciiTheme="majorBidi" w:hAnsiTheme="majorBidi" w:cstheme="majorBidi"/>
                <w:bCs/>
                <w:color w:val="000000" w:themeColor="text1"/>
              </w:rPr>
              <w:t>Time Sheet Records with Allocation of Hours by Issue</w:t>
            </w:r>
            <w:bookmarkEnd w:id="2"/>
            <w:r w:rsidRPr="008936E4">
              <w:rPr>
                <w:rFonts w:asciiTheme="majorBidi" w:hAnsiTheme="majorBidi" w:cstheme="majorBidi"/>
                <w:bCs/>
                <w:color w:val="000000" w:themeColor="text1"/>
              </w:rPr>
              <w:t xml:space="preserve"> </w:t>
            </w:r>
          </w:p>
        </w:tc>
      </w:tr>
      <w:tr w:rsidRPr="008936E4" w:rsidR="00B41664" w:rsidTr="00AB264D" w14:paraId="5E76ACE5" w14:textId="77777777">
        <w:tc>
          <w:tcPr>
            <w:tcW w:w="1795" w:type="dxa"/>
          </w:tcPr>
          <w:p w:rsidRPr="004A738A" w:rsidR="00B41664" w:rsidP="00676C89" w:rsidRDefault="00B41664" w14:paraId="0CFB9D9A" w14:textId="1FA07667">
            <w:pPr>
              <w:tabs>
                <w:tab w:val="left" w:pos="1260"/>
              </w:tabs>
              <w:rPr>
                <w:rFonts w:asciiTheme="majorBidi" w:hAnsiTheme="majorBidi" w:cstheme="majorBidi"/>
                <w:color w:val="000000" w:themeColor="text1"/>
              </w:rPr>
            </w:pPr>
            <w:r w:rsidRPr="004A738A">
              <w:rPr>
                <w:rFonts w:asciiTheme="majorBidi" w:hAnsiTheme="majorBidi" w:cstheme="majorBidi"/>
                <w:color w:val="000000" w:themeColor="text1"/>
              </w:rPr>
              <w:t>Attachment 3</w:t>
            </w:r>
          </w:p>
        </w:tc>
        <w:tc>
          <w:tcPr>
            <w:tcW w:w="7565" w:type="dxa"/>
          </w:tcPr>
          <w:p w:rsidRPr="004A738A" w:rsidR="00B41664" w:rsidP="00676C89" w:rsidRDefault="00B41664" w14:paraId="2BD9D2BF" w14:textId="29D8B450">
            <w:pPr>
              <w:tabs>
                <w:tab w:val="left" w:pos="1260"/>
              </w:tabs>
              <w:rPr>
                <w:rFonts w:asciiTheme="majorBidi" w:hAnsiTheme="majorBidi" w:cstheme="majorBidi"/>
                <w:bCs/>
                <w:color w:val="000000" w:themeColor="text1"/>
              </w:rPr>
            </w:pPr>
            <w:r w:rsidRPr="004A738A">
              <w:rPr>
                <w:rFonts w:asciiTheme="majorBidi" w:hAnsiTheme="majorBidi" w:cstheme="majorBidi"/>
                <w:bCs/>
                <w:color w:val="000000" w:themeColor="text1"/>
              </w:rPr>
              <w:t xml:space="preserve">Professional background of Britt </w:t>
            </w:r>
            <w:r w:rsidRPr="004A738A" w:rsidR="00CF6A9D">
              <w:rPr>
                <w:rFonts w:asciiTheme="majorBidi" w:hAnsiTheme="majorBidi" w:cstheme="majorBidi"/>
                <w:bCs/>
                <w:color w:val="000000" w:themeColor="text1"/>
              </w:rPr>
              <w:t xml:space="preserve">K. </w:t>
            </w:r>
            <w:r w:rsidRPr="004A738A">
              <w:rPr>
                <w:rFonts w:asciiTheme="majorBidi" w:hAnsiTheme="majorBidi" w:cstheme="majorBidi"/>
                <w:bCs/>
                <w:color w:val="000000" w:themeColor="text1"/>
              </w:rPr>
              <w:t>Marra</w:t>
            </w:r>
          </w:p>
        </w:tc>
      </w:tr>
      <w:tr w:rsidRPr="008936E4" w:rsidR="00676C89" w:rsidTr="00AB264D" w14:paraId="5D78A872" w14:textId="77777777">
        <w:tc>
          <w:tcPr>
            <w:tcW w:w="1795" w:type="dxa"/>
          </w:tcPr>
          <w:p w:rsidRPr="008936E4" w:rsidR="00676C89" w:rsidP="00676C89" w:rsidRDefault="00676C89" w14:paraId="1607213D" w14:textId="2029BB1E">
            <w:pPr>
              <w:tabs>
                <w:tab w:val="left" w:pos="1260"/>
              </w:tabs>
              <w:rPr>
                <w:rFonts w:asciiTheme="majorBidi" w:hAnsiTheme="majorBidi" w:cstheme="majorBidi"/>
                <w:color w:val="000000" w:themeColor="text1"/>
              </w:rPr>
            </w:pPr>
            <w:r w:rsidRPr="008936E4">
              <w:rPr>
                <w:rFonts w:asciiTheme="majorBidi" w:hAnsiTheme="majorBidi" w:cstheme="majorBidi"/>
                <w:color w:val="000000" w:themeColor="text1"/>
              </w:rPr>
              <w:t xml:space="preserve">Attachment </w:t>
            </w:r>
            <w:r w:rsidR="00B41664">
              <w:rPr>
                <w:rFonts w:asciiTheme="majorBidi" w:hAnsiTheme="majorBidi" w:cstheme="majorBidi"/>
                <w:color w:val="000000" w:themeColor="text1"/>
              </w:rPr>
              <w:t>4</w:t>
            </w:r>
          </w:p>
        </w:tc>
        <w:tc>
          <w:tcPr>
            <w:tcW w:w="7565" w:type="dxa"/>
          </w:tcPr>
          <w:p w:rsidRPr="008936E4" w:rsidR="00676C89" w:rsidP="00676C89" w:rsidRDefault="00B41664" w14:paraId="2A92D16A" w14:textId="0ABD758E">
            <w:pPr>
              <w:tabs>
                <w:tab w:val="left" w:pos="1260"/>
              </w:tabs>
              <w:rPr>
                <w:rFonts w:asciiTheme="majorBidi" w:hAnsiTheme="majorBidi" w:cstheme="majorBidi"/>
                <w:bCs/>
                <w:color w:val="000000" w:themeColor="text1"/>
              </w:rPr>
            </w:pPr>
            <w:r>
              <w:rPr>
                <w:rFonts w:asciiTheme="majorBidi" w:hAnsiTheme="majorBidi" w:cstheme="majorBidi"/>
                <w:bCs/>
                <w:color w:val="000000" w:themeColor="text1"/>
              </w:rPr>
              <w:t>Contract with Michael Brown</w:t>
            </w:r>
          </w:p>
        </w:tc>
      </w:tr>
      <w:tr w:rsidRPr="008936E4" w:rsidR="001717D0" w:rsidTr="00AB264D" w14:paraId="359FCF6E" w14:textId="77777777">
        <w:tc>
          <w:tcPr>
            <w:tcW w:w="1795" w:type="dxa"/>
          </w:tcPr>
          <w:p w:rsidRPr="008936E4" w:rsidR="001717D0" w:rsidP="00676C89" w:rsidRDefault="001717D0" w14:paraId="673C2AF7" w14:textId="1270F35C">
            <w:pPr>
              <w:tabs>
                <w:tab w:val="left" w:pos="1260"/>
              </w:tabs>
              <w:rPr>
                <w:rFonts w:asciiTheme="majorBidi" w:hAnsiTheme="majorBidi" w:cstheme="majorBidi"/>
                <w:color w:val="000000" w:themeColor="text1"/>
              </w:rPr>
            </w:pPr>
            <w:r>
              <w:rPr>
                <w:rFonts w:asciiTheme="majorBidi" w:hAnsiTheme="majorBidi" w:cstheme="majorBidi"/>
                <w:color w:val="000000" w:themeColor="text1"/>
              </w:rPr>
              <w:t xml:space="preserve">Attachment </w:t>
            </w:r>
            <w:r w:rsidR="00B41664">
              <w:rPr>
                <w:rFonts w:asciiTheme="majorBidi" w:hAnsiTheme="majorBidi" w:cstheme="majorBidi"/>
                <w:color w:val="000000" w:themeColor="text1"/>
              </w:rPr>
              <w:t>5</w:t>
            </w:r>
          </w:p>
        </w:tc>
        <w:tc>
          <w:tcPr>
            <w:tcW w:w="7565" w:type="dxa"/>
          </w:tcPr>
          <w:p w:rsidR="001717D0" w:rsidP="00676C89" w:rsidRDefault="00B41664" w14:paraId="0A4935C0" w14:textId="53519231">
            <w:pPr>
              <w:tabs>
                <w:tab w:val="left" w:pos="1260"/>
              </w:tabs>
              <w:rPr>
                <w:rFonts w:asciiTheme="majorBidi" w:hAnsiTheme="majorBidi" w:cstheme="majorBidi"/>
                <w:bCs/>
                <w:color w:val="000000" w:themeColor="text1"/>
              </w:rPr>
            </w:pPr>
            <w:r>
              <w:rPr>
                <w:rFonts w:asciiTheme="majorBidi" w:hAnsiTheme="majorBidi" w:cstheme="majorBidi"/>
                <w:bCs/>
                <w:color w:val="000000" w:themeColor="text1"/>
              </w:rPr>
              <w:t>Attorney-Client Agreement with E&amp;E Law</w:t>
            </w:r>
          </w:p>
        </w:tc>
      </w:tr>
      <w:tr w:rsidRPr="008936E4" w:rsidR="003A034E" w:rsidTr="00AB264D" w14:paraId="1257E221" w14:textId="77777777">
        <w:tc>
          <w:tcPr>
            <w:tcW w:w="1795" w:type="dxa"/>
          </w:tcPr>
          <w:p w:rsidR="003A034E" w:rsidP="00676C89" w:rsidRDefault="003A034E" w14:paraId="02552A63" w14:textId="756B4E18">
            <w:pPr>
              <w:tabs>
                <w:tab w:val="left" w:pos="1260"/>
              </w:tabs>
              <w:rPr>
                <w:rFonts w:asciiTheme="majorBidi" w:hAnsiTheme="majorBidi" w:cstheme="majorBidi"/>
                <w:color w:val="000000" w:themeColor="text1"/>
              </w:rPr>
            </w:pPr>
            <w:r>
              <w:rPr>
                <w:rFonts w:asciiTheme="majorBidi" w:hAnsiTheme="majorBidi" w:cstheme="majorBidi"/>
                <w:color w:val="000000" w:themeColor="text1"/>
              </w:rPr>
              <w:t>Attachment 6</w:t>
            </w:r>
          </w:p>
        </w:tc>
        <w:tc>
          <w:tcPr>
            <w:tcW w:w="7565" w:type="dxa"/>
          </w:tcPr>
          <w:p w:rsidR="003A034E" w:rsidP="00676C89" w:rsidRDefault="003A034E" w14:paraId="1847B783" w14:textId="02CEB4F8">
            <w:pPr>
              <w:tabs>
                <w:tab w:val="left" w:pos="1260"/>
              </w:tabs>
              <w:rPr>
                <w:rFonts w:asciiTheme="majorBidi" w:hAnsiTheme="majorBidi" w:cstheme="majorBidi"/>
                <w:bCs/>
                <w:color w:val="000000" w:themeColor="text1"/>
              </w:rPr>
            </w:pPr>
            <w:r>
              <w:rPr>
                <w:rFonts w:asciiTheme="majorBidi" w:hAnsiTheme="majorBidi" w:cstheme="majorBidi"/>
                <w:bCs/>
                <w:color w:val="000000" w:themeColor="text1"/>
              </w:rPr>
              <w:t>Travel Receipts</w:t>
            </w:r>
          </w:p>
        </w:tc>
      </w:tr>
    </w:tbl>
    <w:p w:rsidRPr="008936E4" w:rsidR="00A92D0B" w:rsidP="005B5B44" w:rsidRDefault="00A92D0B" w14:paraId="0D8B7003" w14:textId="52CEA16C">
      <w:pPr>
        <w:keepNext/>
        <w:numPr>
          <w:ilvl w:val="0"/>
          <w:numId w:val="9"/>
        </w:numPr>
        <w:spacing w:before="240" w:after="240"/>
        <w:rPr>
          <w:rFonts w:asciiTheme="majorBidi" w:hAnsiTheme="majorBidi" w:cstheme="majorBidi"/>
          <w:b/>
          <w:color w:val="000000"/>
        </w:rPr>
      </w:pPr>
      <w:r w:rsidRPr="008936E4">
        <w:rPr>
          <w:rFonts w:asciiTheme="majorBidi" w:hAnsiTheme="majorBidi" w:cstheme="majorBidi"/>
          <w:b/>
          <w:color w:val="000000"/>
        </w:rPr>
        <w:t xml:space="preserve">CPUC </w:t>
      </w:r>
      <w:r w:rsidRPr="008936E4" w:rsidR="008C09F7">
        <w:rPr>
          <w:rFonts w:asciiTheme="majorBidi" w:hAnsiTheme="majorBidi" w:cstheme="majorBidi"/>
          <w:b/>
          <w:color w:val="000000"/>
        </w:rPr>
        <w:t xml:space="preserve">Comments, </w:t>
      </w:r>
      <w:r w:rsidRPr="008936E4">
        <w:rPr>
          <w:rFonts w:asciiTheme="majorBidi" w:hAnsiTheme="majorBidi" w:cstheme="majorBidi"/>
          <w:b/>
          <w:color w:val="000000"/>
        </w:rPr>
        <w:t>Disallowances</w:t>
      </w:r>
      <w:r w:rsidRPr="008936E4" w:rsidR="008C09F7">
        <w:rPr>
          <w:rFonts w:asciiTheme="majorBidi" w:hAnsiTheme="majorBidi" w:cstheme="majorBidi"/>
          <w:b/>
          <w:color w:val="000000"/>
        </w:rPr>
        <w:t>,</w:t>
      </w:r>
      <w:r w:rsidRPr="008936E4" w:rsidR="00D075B1">
        <w:rPr>
          <w:rFonts w:asciiTheme="majorBidi" w:hAnsiTheme="majorBidi" w:cstheme="majorBidi"/>
          <w:b/>
          <w:color w:val="000000"/>
        </w:rPr>
        <w:t xml:space="preserve"> </w:t>
      </w:r>
      <w:r w:rsidRPr="008936E4" w:rsidR="00A319DE">
        <w:rPr>
          <w:rFonts w:asciiTheme="majorBidi" w:hAnsiTheme="majorBidi" w:cstheme="majorBidi"/>
          <w:b/>
          <w:color w:val="000000"/>
        </w:rPr>
        <w:t>and</w:t>
      </w:r>
      <w:r w:rsidRPr="008936E4" w:rsidR="00D075B1">
        <w:rPr>
          <w:rFonts w:asciiTheme="majorBidi" w:hAnsiTheme="majorBidi" w:cstheme="majorBidi"/>
          <w:b/>
          <w:color w:val="000000"/>
        </w:rPr>
        <w:t xml:space="preserve"> </w:t>
      </w:r>
      <w:r w:rsidRPr="008936E4">
        <w:rPr>
          <w:rFonts w:asciiTheme="majorBidi" w:hAnsiTheme="majorBidi" w:cstheme="majorBidi"/>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469"/>
        <w:gridCol w:w="6891"/>
      </w:tblGrid>
      <w:tr w:rsidRPr="008936E4" w:rsidR="00A92D0B" w:rsidTr="00AB264D" w14:paraId="52CD0603" w14:textId="77777777">
        <w:trPr>
          <w:tblHeader/>
        </w:trPr>
        <w:tc>
          <w:tcPr>
            <w:tcW w:w="2469" w:type="dxa"/>
            <w:shd w:val="pct12" w:color="auto" w:fill="auto"/>
          </w:tcPr>
          <w:p w:rsidRPr="008936E4" w:rsidR="00A92D0B" w:rsidP="00EB64CF" w:rsidRDefault="00072C81" w14:paraId="3954EC4C" w14:textId="77777777">
            <w:pPr>
              <w:tabs>
                <w:tab w:val="left" w:pos="1440"/>
              </w:tabs>
              <w:jc w:val="center"/>
              <w:rPr>
                <w:rFonts w:asciiTheme="majorBidi" w:hAnsiTheme="majorBidi" w:cstheme="majorBidi"/>
                <w:b/>
                <w:color w:val="000000"/>
              </w:rPr>
            </w:pPr>
            <w:r w:rsidRPr="008936E4">
              <w:rPr>
                <w:rFonts w:asciiTheme="majorBidi" w:hAnsiTheme="majorBidi" w:cstheme="majorBidi"/>
                <w:b/>
                <w:color w:val="000000"/>
              </w:rPr>
              <w:t>Item</w:t>
            </w:r>
          </w:p>
        </w:tc>
        <w:tc>
          <w:tcPr>
            <w:tcW w:w="6891" w:type="dxa"/>
            <w:shd w:val="pct12" w:color="auto" w:fill="auto"/>
          </w:tcPr>
          <w:p w:rsidRPr="008936E4" w:rsidR="00A92D0B" w:rsidP="00EB64CF" w:rsidRDefault="00A92D0B" w14:paraId="09F9E4D9" w14:textId="77777777">
            <w:pPr>
              <w:tabs>
                <w:tab w:val="left" w:pos="1440"/>
              </w:tabs>
              <w:jc w:val="center"/>
              <w:rPr>
                <w:rFonts w:asciiTheme="majorBidi" w:hAnsiTheme="majorBidi" w:cstheme="majorBidi"/>
                <w:b/>
                <w:color w:val="000000"/>
              </w:rPr>
            </w:pPr>
            <w:r w:rsidRPr="008936E4">
              <w:rPr>
                <w:rFonts w:asciiTheme="majorBidi" w:hAnsiTheme="majorBidi" w:cstheme="majorBidi"/>
                <w:b/>
                <w:color w:val="000000"/>
              </w:rPr>
              <w:t>Reason</w:t>
            </w:r>
          </w:p>
        </w:tc>
      </w:tr>
      <w:tr w:rsidRPr="008936E4" w:rsidR="00D33518" w:rsidTr="00AD5773" w14:paraId="69DEE01C" w14:textId="77777777">
        <w:tc>
          <w:tcPr>
            <w:tcW w:w="2469" w:type="dxa"/>
          </w:tcPr>
          <w:p w:rsidR="00D33518" w:rsidP="00D33518" w:rsidRDefault="00D33518" w14:paraId="78C7899A" w14:textId="7626FF20">
            <w:pPr>
              <w:tabs>
                <w:tab w:val="left" w:pos="1440"/>
              </w:tabs>
            </w:pPr>
            <w:r>
              <w:t xml:space="preserve">[1] Michael Brown </w:t>
            </w:r>
            <w:r w:rsidR="009A55A8">
              <w:t xml:space="preserve">(Brown) </w:t>
            </w:r>
            <w:r w:rsidR="00BC4E70">
              <w:t xml:space="preserve">2024 &amp; 2025 </w:t>
            </w:r>
            <w:r>
              <w:t>Hourly Rates</w:t>
            </w:r>
          </w:p>
          <w:p w:rsidR="000D603F" w:rsidP="00D33518" w:rsidRDefault="000D603F" w14:paraId="595C35D6" w14:textId="77777777">
            <w:pPr>
              <w:tabs>
                <w:tab w:val="left" w:pos="1440"/>
              </w:tabs>
            </w:pPr>
          </w:p>
          <w:p w:rsidR="000D603F" w:rsidP="00D33518" w:rsidRDefault="000D603F" w14:paraId="3D2E3BFA" w14:textId="42C33550">
            <w:pPr>
              <w:tabs>
                <w:tab w:val="left" w:pos="1440"/>
              </w:tabs>
            </w:pPr>
          </w:p>
          <w:p w:rsidR="00875EF6" w:rsidP="00D33518" w:rsidRDefault="00875EF6" w14:paraId="4E26FD75" w14:textId="77777777">
            <w:pPr>
              <w:tabs>
                <w:tab w:val="left" w:pos="1440"/>
              </w:tabs>
              <w:rPr>
                <w:rFonts w:asciiTheme="majorBidi" w:hAnsiTheme="majorBidi" w:cstheme="majorBidi"/>
                <w:color w:val="000000"/>
              </w:rPr>
            </w:pPr>
          </w:p>
          <w:p w:rsidRPr="008936E4" w:rsidR="00875EF6" w:rsidP="00630DE9" w:rsidRDefault="00875EF6" w14:paraId="1E6C8F3D" w14:textId="02657E42">
            <w:pPr>
              <w:tabs>
                <w:tab w:val="left" w:pos="1440"/>
              </w:tabs>
              <w:rPr>
                <w:rFonts w:asciiTheme="majorBidi" w:hAnsiTheme="majorBidi" w:cstheme="majorBidi"/>
                <w:color w:val="000000"/>
              </w:rPr>
            </w:pPr>
          </w:p>
        </w:tc>
        <w:tc>
          <w:tcPr>
            <w:tcW w:w="6891" w:type="dxa"/>
          </w:tcPr>
          <w:p w:rsidR="00D33518" w:rsidP="00D33518" w:rsidRDefault="00D33518" w14:paraId="5216395D" w14:textId="707ABEFC">
            <w:pPr>
              <w:tabs>
                <w:tab w:val="left" w:pos="1440"/>
              </w:tabs>
              <w:rPr>
                <w:color w:val="000000"/>
              </w:rPr>
            </w:pPr>
            <w:r>
              <w:rPr>
                <w:color w:val="000000"/>
              </w:rPr>
              <w:t>SBUA has confirmed that Brown is a consultant. Pursuant to Commission policy, the rate requested by an intervenor must not exceed the rate billed to that intervenor by any outside consultant it hires, even if the consultant’s billed rate is below the floor for a given experience level</w:t>
            </w:r>
            <w:r>
              <w:rPr>
                <w:rStyle w:val="FootnoteReference"/>
                <w:color w:val="000000"/>
              </w:rPr>
              <w:footnoteReference w:id="16"/>
            </w:r>
            <w:r>
              <w:rPr>
                <w:color w:val="000000"/>
              </w:rPr>
              <w:t xml:space="preserve">. </w:t>
            </w:r>
            <w:r w:rsidRPr="0014470D">
              <w:rPr>
                <w:color w:val="000000"/>
              </w:rPr>
              <w:t xml:space="preserve">Per the </w:t>
            </w:r>
            <w:proofErr w:type="spellStart"/>
            <w:r w:rsidRPr="0014470D">
              <w:rPr>
                <w:color w:val="000000"/>
              </w:rPr>
              <w:t>IComp</w:t>
            </w:r>
            <w:proofErr w:type="spellEnd"/>
            <w:r w:rsidRPr="0014470D">
              <w:rPr>
                <w:color w:val="000000"/>
              </w:rPr>
              <w:t xml:space="preserve"> Program Guide at 24, the Commission may audit the records and books of the intervenors to the extent necessary to verify the basis for the award (§ 1804(d)).</w:t>
            </w:r>
            <w:r>
              <w:rPr>
                <w:color w:val="000000"/>
              </w:rPr>
              <w:t xml:space="preserve"> </w:t>
            </w:r>
          </w:p>
          <w:p w:rsidR="00D33518" w:rsidP="00D33518" w:rsidRDefault="00D33518" w14:paraId="39A38F69" w14:textId="77777777">
            <w:pPr>
              <w:tabs>
                <w:tab w:val="left" w:pos="1440"/>
              </w:tabs>
              <w:rPr>
                <w:color w:val="000000"/>
              </w:rPr>
            </w:pPr>
          </w:p>
          <w:p w:rsidRPr="006244B5" w:rsidR="00616177" w:rsidP="00616177" w:rsidRDefault="00616177" w14:paraId="54387FCD" w14:textId="6E0A2329">
            <w:pPr>
              <w:tabs>
                <w:tab w:val="left" w:pos="1440"/>
              </w:tabs>
              <w:rPr>
                <w:color w:val="000000"/>
                <w:u w:val="single"/>
              </w:rPr>
            </w:pPr>
            <w:r w:rsidRPr="006244B5">
              <w:rPr>
                <w:color w:val="000000"/>
                <w:u w:val="single"/>
              </w:rPr>
              <w:t>2024</w:t>
            </w:r>
            <w:r>
              <w:rPr>
                <w:color w:val="000000"/>
                <w:u w:val="single"/>
              </w:rPr>
              <w:t xml:space="preserve"> Rate</w:t>
            </w:r>
            <w:r w:rsidRPr="006244B5">
              <w:rPr>
                <w:color w:val="000000"/>
                <w:u w:val="single"/>
              </w:rPr>
              <w:t>:</w:t>
            </w:r>
          </w:p>
          <w:p w:rsidR="00D33518" w:rsidP="0059562A" w:rsidRDefault="00616177" w14:paraId="62ABC001" w14:textId="363C4A71">
            <w:pPr>
              <w:tabs>
                <w:tab w:val="left" w:pos="1440"/>
              </w:tabs>
              <w:rPr>
                <w:color w:val="000000"/>
              </w:rPr>
            </w:pPr>
            <w:r>
              <w:rPr>
                <w:color w:val="000000"/>
              </w:rPr>
              <w:lastRenderedPageBreak/>
              <w:t xml:space="preserve">SBUA has confirmed that </w:t>
            </w:r>
            <w:r w:rsidR="00AD5773">
              <w:rPr>
                <w:color w:val="000000"/>
              </w:rPr>
              <w:t xml:space="preserve">it paid </w:t>
            </w:r>
            <w:r>
              <w:rPr>
                <w:color w:val="000000"/>
              </w:rPr>
              <w:t xml:space="preserve">Brown </w:t>
            </w:r>
            <w:r w:rsidR="00AD5773">
              <w:rPr>
                <w:color w:val="000000"/>
              </w:rPr>
              <w:t>$325 per hour for work in this proceeding.</w:t>
            </w:r>
            <w:r>
              <w:rPr>
                <w:color w:val="000000"/>
              </w:rPr>
              <w:t xml:space="preserve"> W</w:t>
            </w:r>
            <w:r w:rsidRPr="0059562A" w:rsidR="00D33518">
              <w:rPr>
                <w:color w:val="000000"/>
              </w:rPr>
              <w:t>e find</w:t>
            </w:r>
            <w:r>
              <w:rPr>
                <w:color w:val="000000"/>
              </w:rPr>
              <w:t xml:space="preserve"> this rate reasonable given Brown’s experience and</w:t>
            </w:r>
            <w:r w:rsidRPr="0059562A" w:rsidR="00D33518">
              <w:rPr>
                <w:color w:val="000000"/>
              </w:rPr>
              <w:t xml:space="preserve"> a</w:t>
            </w:r>
            <w:r w:rsidR="00AD5773">
              <w:rPr>
                <w:color w:val="000000"/>
              </w:rPr>
              <w:t>pprove this rate</w:t>
            </w:r>
            <w:r w:rsidRPr="0059562A" w:rsidR="00D33518">
              <w:rPr>
                <w:color w:val="000000"/>
              </w:rPr>
              <w:t xml:space="preserve"> here.</w:t>
            </w:r>
          </w:p>
          <w:p w:rsidR="00D33518" w:rsidP="00D33518" w:rsidRDefault="00D33518" w14:paraId="71F1E224" w14:textId="77777777">
            <w:pPr>
              <w:tabs>
                <w:tab w:val="left" w:pos="1440"/>
              </w:tabs>
              <w:rPr>
                <w:color w:val="000000"/>
              </w:rPr>
            </w:pPr>
          </w:p>
          <w:p w:rsidRPr="0059562A" w:rsidR="00D33518" w:rsidP="0059562A" w:rsidRDefault="00D33518" w14:paraId="677D81FA" w14:textId="0267B824">
            <w:pPr>
              <w:tabs>
                <w:tab w:val="left" w:pos="1440"/>
              </w:tabs>
              <w:rPr>
                <w:u w:val="single"/>
              </w:rPr>
            </w:pPr>
            <w:r w:rsidRPr="0059562A">
              <w:rPr>
                <w:u w:val="single"/>
              </w:rPr>
              <w:t>2025</w:t>
            </w:r>
            <w:r w:rsidR="00616177">
              <w:rPr>
                <w:u w:val="single"/>
              </w:rPr>
              <w:t xml:space="preserve"> Rate</w:t>
            </w:r>
            <w:r w:rsidRPr="0059562A">
              <w:rPr>
                <w:u w:val="single"/>
              </w:rPr>
              <w:t>:</w:t>
            </w:r>
          </w:p>
          <w:p w:rsidRPr="0059562A" w:rsidR="00D33518" w:rsidP="0059562A" w:rsidRDefault="00616177" w14:paraId="54F03A3F" w14:textId="66CD531E">
            <w:pPr>
              <w:tabs>
                <w:tab w:val="left" w:pos="1440"/>
              </w:tabs>
            </w:pPr>
            <w:r>
              <w:t xml:space="preserve">SBUA has confirmed that </w:t>
            </w:r>
            <w:r w:rsidR="00AD5773">
              <w:t xml:space="preserve">it paid </w:t>
            </w:r>
            <w:r>
              <w:t xml:space="preserve">Brown </w:t>
            </w:r>
            <w:r w:rsidR="00AD5773">
              <w:t>$335 per hour for work in this proceeding</w:t>
            </w:r>
            <w:r w:rsidR="000D603F">
              <w:t xml:space="preserve">. </w:t>
            </w:r>
            <w:r>
              <w:t>W</w:t>
            </w:r>
            <w:r w:rsidRPr="0059562A" w:rsidR="00D33518">
              <w:t xml:space="preserve">e find </w:t>
            </w:r>
            <w:r w:rsidR="009F6C30">
              <w:t>this rate reasonable given Brown’s experience</w:t>
            </w:r>
            <w:r w:rsidRPr="0059562A" w:rsidR="00D33518">
              <w:t xml:space="preserve"> and a</w:t>
            </w:r>
            <w:r w:rsidR="00AD5773">
              <w:t>pprove this rate</w:t>
            </w:r>
            <w:r w:rsidRPr="0059562A" w:rsidR="00D33518">
              <w:t xml:space="preserve"> here.</w:t>
            </w:r>
          </w:p>
          <w:p w:rsidR="00D33518" w:rsidP="00D33518" w:rsidRDefault="00D33518" w14:paraId="1EF76858" w14:textId="77777777">
            <w:pPr>
              <w:tabs>
                <w:tab w:val="left" w:pos="1440"/>
              </w:tabs>
              <w:rPr>
                <w:color w:val="000000"/>
              </w:rPr>
            </w:pPr>
          </w:p>
          <w:p w:rsidRPr="0059562A" w:rsidR="004859D6" w:rsidP="004859D6" w:rsidRDefault="00D33518" w14:paraId="45BFCB16" w14:textId="1B901108">
            <w:pPr>
              <w:tabs>
                <w:tab w:val="left" w:pos="1440"/>
              </w:tabs>
              <w:rPr>
                <w:color w:val="000000"/>
              </w:rPr>
            </w:pPr>
            <w:r>
              <w:rPr>
                <w:color w:val="000000"/>
              </w:rPr>
              <w:t xml:space="preserve">The award determined herein for Brown’s contribution </w:t>
            </w:r>
            <w:proofErr w:type="gramStart"/>
            <w:r>
              <w:rPr>
                <w:color w:val="000000"/>
              </w:rPr>
              <w:t>in</w:t>
            </w:r>
            <w:proofErr w:type="gramEnd"/>
            <w:r>
              <w:rPr>
                <w:color w:val="000000"/>
              </w:rPr>
              <w:t xml:space="preserve"> this proceeding shall be paid in full to Brown, and no portion of this part of the award shall be kept by SBUA. Additionally, the rates approved here are specific to work in this proceeding and the contract terms between </w:t>
            </w:r>
            <w:r w:rsidR="00471C20">
              <w:rPr>
                <w:color w:val="000000"/>
              </w:rPr>
              <w:t xml:space="preserve">the </w:t>
            </w:r>
            <w:r>
              <w:rPr>
                <w:color w:val="000000"/>
              </w:rPr>
              <w:t>consultant and intervenor, as they are established in accordance with the Commission’s policy on consultant compensation.</w:t>
            </w:r>
          </w:p>
        </w:tc>
      </w:tr>
      <w:tr w:rsidRPr="008936E4" w:rsidR="00D33518" w:rsidTr="00AB264D" w14:paraId="2953CC25" w14:textId="77777777">
        <w:tc>
          <w:tcPr>
            <w:tcW w:w="2469" w:type="dxa"/>
          </w:tcPr>
          <w:p w:rsidR="00BC4E70" w:rsidP="00D33518" w:rsidRDefault="00D33518" w14:paraId="642DDAAB" w14:textId="22E48865">
            <w:pPr>
              <w:tabs>
                <w:tab w:val="left" w:pos="1440"/>
              </w:tabs>
            </w:pPr>
            <w:r>
              <w:lastRenderedPageBreak/>
              <w:t>[2</w:t>
            </w:r>
            <w:r w:rsidR="002A6045">
              <w:t>]</w:t>
            </w:r>
            <w:r>
              <w:t xml:space="preserve"> James Birkelund</w:t>
            </w:r>
            <w:r w:rsidR="00105725">
              <w:t xml:space="preserve"> (Birkelund)</w:t>
            </w:r>
            <w:r w:rsidR="00BC4E70">
              <w:t xml:space="preserve"> </w:t>
            </w:r>
          </w:p>
          <w:p w:rsidR="00BC4E70" w:rsidP="00D33518" w:rsidRDefault="00BC4E70" w14:paraId="7FEABFDA" w14:textId="77777777">
            <w:pPr>
              <w:tabs>
                <w:tab w:val="left" w:pos="1440"/>
              </w:tabs>
            </w:pPr>
            <w:r>
              <w:t>2024 &amp; 2025</w:t>
            </w:r>
            <w:r w:rsidR="000D603F">
              <w:t xml:space="preserve"> </w:t>
            </w:r>
          </w:p>
          <w:p w:rsidR="00D33518" w:rsidP="00D33518" w:rsidRDefault="00D33518" w14:paraId="7FF4BEB1" w14:textId="2D891B58">
            <w:pPr>
              <w:tabs>
                <w:tab w:val="left" w:pos="1440"/>
              </w:tabs>
            </w:pPr>
            <w:r>
              <w:t>Hourly Rates</w:t>
            </w:r>
          </w:p>
          <w:p w:rsidR="00345CE6" w:rsidP="00D33518" w:rsidRDefault="00345CE6" w14:paraId="7355F0DA" w14:textId="77777777">
            <w:pPr>
              <w:tabs>
                <w:tab w:val="left" w:pos="1440"/>
              </w:tabs>
            </w:pPr>
          </w:p>
          <w:p w:rsidR="00345CE6" w:rsidP="00D33518" w:rsidRDefault="00345CE6" w14:paraId="2ECFB1F4" w14:textId="79DE5B35">
            <w:pPr>
              <w:tabs>
                <w:tab w:val="left" w:pos="1440"/>
              </w:tabs>
            </w:pPr>
          </w:p>
          <w:p w:rsidR="00D33518" w:rsidP="00D33518" w:rsidRDefault="00D33518" w14:paraId="40FB57C1" w14:textId="18D25C94">
            <w:pPr>
              <w:tabs>
                <w:tab w:val="left" w:pos="1440"/>
              </w:tabs>
            </w:pPr>
          </w:p>
        </w:tc>
        <w:tc>
          <w:tcPr>
            <w:tcW w:w="6891" w:type="dxa"/>
          </w:tcPr>
          <w:p w:rsidR="00360DD1" w:rsidP="00D33518" w:rsidRDefault="00D33518" w14:paraId="440D84B9" w14:textId="0F3D02EB">
            <w:pPr>
              <w:tabs>
                <w:tab w:val="left" w:pos="1440"/>
              </w:tabs>
              <w:rPr>
                <w:color w:val="000000"/>
              </w:rPr>
            </w:pPr>
            <w:r>
              <w:rPr>
                <w:color w:val="000000"/>
              </w:rPr>
              <w:t>SBUA has confirmed that Birkelund is a consultant. Pursuant to Commission policy, the rate requested by an intervenor must not exceed the rate billed to that intervenor by any outside consultant it hires, even if the consultant’s billed rate is below the floor for a given experience level</w:t>
            </w:r>
            <w:r>
              <w:rPr>
                <w:rStyle w:val="FootnoteReference"/>
                <w:color w:val="000000"/>
              </w:rPr>
              <w:footnoteReference w:id="17"/>
            </w:r>
            <w:r>
              <w:rPr>
                <w:color w:val="000000"/>
              </w:rPr>
              <w:t xml:space="preserve">. </w:t>
            </w:r>
            <w:r w:rsidRPr="0014470D">
              <w:rPr>
                <w:color w:val="000000"/>
              </w:rPr>
              <w:t xml:space="preserve">Per the </w:t>
            </w:r>
            <w:proofErr w:type="spellStart"/>
            <w:r w:rsidRPr="0014470D">
              <w:rPr>
                <w:color w:val="000000"/>
              </w:rPr>
              <w:t>IComp</w:t>
            </w:r>
            <w:proofErr w:type="spellEnd"/>
            <w:r w:rsidRPr="0014470D">
              <w:rPr>
                <w:color w:val="000000"/>
              </w:rPr>
              <w:t xml:space="preserve"> Program Guide at 24, the Commission may audit the records and books of the intervenors to the extent necessary to verify the basis for the award (§ 1804(d)).</w:t>
            </w:r>
            <w:r>
              <w:rPr>
                <w:color w:val="000000"/>
              </w:rPr>
              <w:t xml:space="preserve"> </w:t>
            </w:r>
          </w:p>
          <w:p w:rsidR="00360DD1" w:rsidP="00D33518" w:rsidRDefault="00360DD1" w14:paraId="0E65E580" w14:textId="77777777">
            <w:pPr>
              <w:tabs>
                <w:tab w:val="left" w:pos="1440"/>
              </w:tabs>
              <w:rPr>
                <w:color w:val="000000"/>
              </w:rPr>
            </w:pPr>
          </w:p>
          <w:p w:rsidRPr="00360DD1" w:rsidR="00D33518" w:rsidP="0059562A" w:rsidRDefault="00D33518" w14:paraId="2498D2B6" w14:textId="77777777">
            <w:pPr>
              <w:tabs>
                <w:tab w:val="left" w:pos="1440"/>
              </w:tabs>
              <w:rPr>
                <w:color w:val="000000"/>
                <w:u w:val="single"/>
              </w:rPr>
            </w:pPr>
            <w:r w:rsidRPr="00360DD1">
              <w:rPr>
                <w:color w:val="000000"/>
                <w:u w:val="single"/>
              </w:rPr>
              <w:t>2024:</w:t>
            </w:r>
          </w:p>
          <w:p w:rsidR="00D33518" w:rsidP="00055505" w:rsidRDefault="00E02A26" w14:paraId="15D8659E" w14:textId="2607EDC8">
            <w:pPr>
              <w:tabs>
                <w:tab w:val="left" w:pos="1440"/>
              </w:tabs>
              <w:rPr>
                <w:color w:val="000000"/>
              </w:rPr>
            </w:pPr>
            <w:r>
              <w:t>SBUA</w:t>
            </w:r>
            <w:r w:rsidR="00E400DF">
              <w:t xml:space="preserve"> has confirmed that </w:t>
            </w:r>
            <w:r w:rsidR="00AD5773">
              <w:t xml:space="preserve">it paid </w:t>
            </w:r>
            <w:r w:rsidR="00E400DF">
              <w:t xml:space="preserve">Birkelund </w:t>
            </w:r>
            <w:r w:rsidRPr="002209C2">
              <w:t>$8</w:t>
            </w:r>
            <w:r>
              <w:t>0</w:t>
            </w:r>
            <w:r w:rsidRPr="002209C2">
              <w:t>0</w:t>
            </w:r>
            <w:r w:rsidR="00AD5773">
              <w:t xml:space="preserve"> per hour for work</w:t>
            </w:r>
            <w:r w:rsidR="00E400DF">
              <w:t xml:space="preserve"> in this proceeding</w:t>
            </w:r>
            <w:r w:rsidR="00402D71">
              <w:t>.</w:t>
            </w:r>
            <w:r w:rsidR="00E400DF">
              <w:t xml:space="preserve"> W</w:t>
            </w:r>
            <w:r w:rsidRPr="00AB264D" w:rsidR="00D33518">
              <w:t xml:space="preserve">e </w:t>
            </w:r>
            <w:r w:rsidRPr="0059562A" w:rsidR="00D33518">
              <w:rPr>
                <w:color w:val="000000"/>
              </w:rPr>
              <w:t>find th</w:t>
            </w:r>
            <w:r w:rsidR="00E400DF">
              <w:rPr>
                <w:color w:val="000000"/>
              </w:rPr>
              <w:t>is rate reasonable given Birkelund’s experience and</w:t>
            </w:r>
            <w:r w:rsidRPr="0059562A" w:rsidR="00D33518">
              <w:rPr>
                <w:color w:val="000000"/>
              </w:rPr>
              <w:t xml:space="preserve"> a</w:t>
            </w:r>
            <w:r w:rsidR="00AD5773">
              <w:rPr>
                <w:color w:val="000000"/>
              </w:rPr>
              <w:t>pprove this rate here</w:t>
            </w:r>
            <w:r w:rsidRPr="0059562A" w:rsidR="00D33518">
              <w:rPr>
                <w:color w:val="000000"/>
              </w:rPr>
              <w:t>.</w:t>
            </w:r>
          </w:p>
          <w:p w:rsidRPr="00630DE9" w:rsidR="00D33518" w:rsidP="00D33518" w:rsidRDefault="00D33518" w14:paraId="29BF0C2E" w14:textId="77777777">
            <w:pPr>
              <w:tabs>
                <w:tab w:val="left" w:pos="1440"/>
              </w:tabs>
              <w:rPr>
                <w:color w:val="000000"/>
              </w:rPr>
            </w:pPr>
          </w:p>
          <w:p w:rsidRPr="00630DE9" w:rsidR="00D33518" w:rsidP="0059562A" w:rsidRDefault="00D33518" w14:paraId="214319E1" w14:textId="77777777">
            <w:pPr>
              <w:tabs>
                <w:tab w:val="left" w:pos="1440"/>
              </w:tabs>
              <w:rPr>
                <w:color w:val="000000"/>
                <w:u w:val="single"/>
              </w:rPr>
            </w:pPr>
            <w:r w:rsidRPr="00630DE9">
              <w:rPr>
                <w:color w:val="000000"/>
                <w:u w:val="single"/>
              </w:rPr>
              <w:t>2025:</w:t>
            </w:r>
          </w:p>
          <w:p w:rsidR="007C6E0B" w:rsidP="007C6E0B" w:rsidRDefault="00E400DF" w14:paraId="3902844B" w14:textId="1D34C659">
            <w:pPr>
              <w:tabs>
                <w:tab w:val="left" w:pos="1440"/>
              </w:tabs>
              <w:rPr>
                <w:color w:val="000000"/>
              </w:rPr>
            </w:pPr>
            <w:r>
              <w:t xml:space="preserve">SBUA has confirmed that </w:t>
            </w:r>
            <w:r w:rsidR="00AD5773">
              <w:t xml:space="preserve">it paid </w:t>
            </w:r>
            <w:r>
              <w:t xml:space="preserve">Birkelund </w:t>
            </w:r>
            <w:r w:rsidRPr="002209C2">
              <w:t>$8</w:t>
            </w:r>
            <w:r>
              <w:t>3</w:t>
            </w:r>
            <w:r w:rsidRPr="002209C2">
              <w:t>0</w:t>
            </w:r>
            <w:r w:rsidR="00AD5773">
              <w:t xml:space="preserve"> per hour</w:t>
            </w:r>
            <w:r>
              <w:t xml:space="preserve"> in this proceeding. W</w:t>
            </w:r>
            <w:r w:rsidRPr="00D21323">
              <w:t xml:space="preserve">e </w:t>
            </w:r>
            <w:r w:rsidRPr="0059562A">
              <w:rPr>
                <w:color w:val="000000"/>
              </w:rPr>
              <w:t>find th</w:t>
            </w:r>
            <w:r>
              <w:rPr>
                <w:color w:val="000000"/>
              </w:rPr>
              <w:t>is rate reasonable given Birkelund’s experience and</w:t>
            </w:r>
            <w:r w:rsidRPr="0059562A">
              <w:rPr>
                <w:color w:val="000000"/>
              </w:rPr>
              <w:t xml:space="preserve"> a</w:t>
            </w:r>
            <w:r w:rsidR="00AD5773">
              <w:rPr>
                <w:color w:val="000000"/>
              </w:rPr>
              <w:t>pprove</w:t>
            </w:r>
            <w:r>
              <w:rPr>
                <w:color w:val="000000"/>
              </w:rPr>
              <w:t xml:space="preserve"> this rate</w:t>
            </w:r>
            <w:r w:rsidRPr="0059562A">
              <w:rPr>
                <w:color w:val="000000"/>
              </w:rPr>
              <w:t xml:space="preserve"> here.</w:t>
            </w:r>
          </w:p>
          <w:p w:rsidR="00D33518" w:rsidP="00D33518" w:rsidRDefault="00D33518" w14:paraId="2DD7C591" w14:textId="77777777">
            <w:pPr>
              <w:tabs>
                <w:tab w:val="left" w:pos="1440"/>
              </w:tabs>
              <w:rPr>
                <w:color w:val="000000"/>
              </w:rPr>
            </w:pPr>
          </w:p>
          <w:p w:rsidR="00D33518" w:rsidP="00D33518" w:rsidRDefault="00D33518" w14:paraId="49C31687" w14:textId="2417E996">
            <w:pPr>
              <w:tabs>
                <w:tab w:val="left" w:pos="1440"/>
              </w:tabs>
              <w:rPr>
                <w:color w:val="000000"/>
              </w:rPr>
            </w:pPr>
            <w:r>
              <w:rPr>
                <w:color w:val="000000"/>
              </w:rPr>
              <w:t>The award determined herein for Birkelund’s contribution in this proceeding shall be paid in full to Birkelund, and no portion of this part of the award shall be kept by SBUA. Additionally, the rates approved here are specific to work in this proceeding and the contract terms between the consultant and</w:t>
            </w:r>
            <w:r w:rsidR="00234D73">
              <w:rPr>
                <w:color w:val="000000"/>
              </w:rPr>
              <w:t xml:space="preserve"> </w:t>
            </w:r>
            <w:r>
              <w:rPr>
                <w:color w:val="000000"/>
              </w:rPr>
              <w:t>intervenor, as they are established in accordance with the Commission’s policy on consultant compensation.</w:t>
            </w:r>
          </w:p>
          <w:p w:rsidR="00B00CD9" w:rsidP="00D33518" w:rsidRDefault="00B00CD9" w14:paraId="1EEA37B8" w14:textId="77777777">
            <w:pPr>
              <w:tabs>
                <w:tab w:val="left" w:pos="1440"/>
              </w:tabs>
              <w:rPr>
                <w:color w:val="000000"/>
              </w:rPr>
            </w:pPr>
          </w:p>
          <w:p w:rsidR="00B00CD9" w:rsidP="00D33518" w:rsidRDefault="00B00CD9" w14:paraId="1727CEC3" w14:textId="7B9BCF75">
            <w:pPr>
              <w:tabs>
                <w:tab w:val="left" w:pos="1440"/>
              </w:tabs>
              <w:rPr>
                <w:color w:val="000000"/>
              </w:rPr>
            </w:pPr>
            <w:r w:rsidRPr="005969BA">
              <w:rPr>
                <w:color w:val="000000"/>
              </w:rPr>
              <w:t xml:space="preserve">Intervenor Compensation Claim Preparation is rated at ½ preparer’s normal rate, bringing the </w:t>
            </w:r>
            <w:r>
              <w:rPr>
                <w:color w:val="000000"/>
              </w:rPr>
              <w:t xml:space="preserve">2024 intervenor compensation claim preparation rate to $400 and the </w:t>
            </w:r>
            <w:r w:rsidRPr="005969BA">
              <w:rPr>
                <w:color w:val="000000"/>
              </w:rPr>
              <w:t>2025</w:t>
            </w:r>
            <w:r>
              <w:rPr>
                <w:color w:val="000000"/>
              </w:rPr>
              <w:t xml:space="preserve"> </w:t>
            </w:r>
            <w:r w:rsidRPr="005969BA">
              <w:rPr>
                <w:color w:val="000000"/>
              </w:rPr>
              <w:t>rate for Birkelund to $415.</w:t>
            </w:r>
          </w:p>
          <w:p w:rsidRPr="0059562A" w:rsidR="00D33518" w:rsidP="00D33518" w:rsidRDefault="00D33518" w14:paraId="05625B43" w14:textId="5675945F">
            <w:pPr>
              <w:tabs>
                <w:tab w:val="left" w:pos="1440"/>
              </w:tabs>
              <w:rPr>
                <w:color w:val="000000"/>
              </w:rPr>
            </w:pPr>
          </w:p>
        </w:tc>
      </w:tr>
      <w:tr w:rsidRPr="008936E4" w:rsidR="00D33518" w:rsidTr="00AB264D" w14:paraId="4BC984B2" w14:textId="77777777">
        <w:tc>
          <w:tcPr>
            <w:tcW w:w="2469" w:type="dxa"/>
          </w:tcPr>
          <w:p w:rsidR="00D33518" w:rsidP="00D33518" w:rsidRDefault="00D33518" w14:paraId="2C8AA651" w14:textId="6BC1DBEF">
            <w:pPr>
              <w:tabs>
                <w:tab w:val="left" w:pos="1440"/>
              </w:tabs>
            </w:pPr>
            <w:r>
              <w:lastRenderedPageBreak/>
              <w:t xml:space="preserve">[3] Britt Marra </w:t>
            </w:r>
            <w:r w:rsidR="00212751">
              <w:t xml:space="preserve">(Marra) </w:t>
            </w:r>
            <w:r w:rsidR="006F4F93">
              <w:t xml:space="preserve">2024 </w:t>
            </w:r>
            <w:r>
              <w:t>Hourly Rate</w:t>
            </w:r>
          </w:p>
          <w:p w:rsidR="00345CE6" w:rsidP="00D33518" w:rsidRDefault="00345CE6" w14:paraId="49942707" w14:textId="77777777">
            <w:pPr>
              <w:tabs>
                <w:tab w:val="left" w:pos="1440"/>
              </w:tabs>
            </w:pPr>
          </w:p>
          <w:p w:rsidR="00345CE6" w:rsidP="00D33518" w:rsidRDefault="00345CE6" w14:paraId="30841013" w14:textId="074D8C04">
            <w:pPr>
              <w:tabs>
                <w:tab w:val="left" w:pos="1440"/>
              </w:tabs>
            </w:pPr>
          </w:p>
        </w:tc>
        <w:tc>
          <w:tcPr>
            <w:tcW w:w="6891" w:type="dxa"/>
          </w:tcPr>
          <w:p w:rsidR="002E0322" w:rsidP="006F4F93" w:rsidRDefault="006F4F93" w14:paraId="7CB19E65" w14:textId="7AEDA001">
            <w:pPr>
              <w:tabs>
                <w:tab w:val="left" w:pos="1440"/>
              </w:tabs>
              <w:rPr>
                <w:color w:val="000000"/>
                <w:u w:val="single"/>
              </w:rPr>
            </w:pPr>
            <w:bookmarkStart w:name="_Hlk222237698" w:id="3"/>
            <w:r w:rsidRPr="005969BA">
              <w:rPr>
                <w:color w:val="000000"/>
                <w:u w:val="single"/>
              </w:rPr>
              <w:t>202</w:t>
            </w:r>
            <w:r>
              <w:rPr>
                <w:color w:val="000000"/>
                <w:u w:val="single"/>
              </w:rPr>
              <w:t>4</w:t>
            </w:r>
            <w:r w:rsidRPr="005969BA">
              <w:rPr>
                <w:color w:val="000000"/>
                <w:u w:val="single"/>
              </w:rPr>
              <w:t xml:space="preserve"> Hourly Rate for </w:t>
            </w:r>
            <w:r>
              <w:rPr>
                <w:color w:val="000000"/>
                <w:u w:val="single"/>
              </w:rPr>
              <w:t>Marra</w:t>
            </w:r>
          </w:p>
          <w:p w:rsidRPr="008936E4" w:rsidR="006F4F93" w:rsidP="00D33518" w:rsidRDefault="002E0322" w14:paraId="556982BE" w14:textId="105C1757">
            <w:pPr>
              <w:tabs>
                <w:tab w:val="left" w:pos="1440"/>
              </w:tabs>
              <w:rPr>
                <w:rFonts w:asciiTheme="majorBidi" w:hAnsiTheme="majorBidi" w:cstheme="majorBidi"/>
                <w:color w:val="000000"/>
              </w:rPr>
            </w:pPr>
            <w:r>
              <w:t xml:space="preserve">SBUA requests a 2024 </w:t>
            </w:r>
            <w:r w:rsidR="00221F15">
              <w:t xml:space="preserve">hourly </w:t>
            </w:r>
            <w:r>
              <w:t xml:space="preserve">rate of $250 for Britt Marra </w:t>
            </w:r>
            <w:r w:rsidR="008964B4">
              <w:t xml:space="preserve">as </w:t>
            </w:r>
            <w:r w:rsidR="0098102F">
              <w:t>an</w:t>
            </w:r>
            <w:r>
              <w:t xml:space="preserve"> </w:t>
            </w:r>
            <w:r w:rsidRPr="00AB264D">
              <w:t>Advocate</w:t>
            </w:r>
            <w:r w:rsidRPr="00360DD1">
              <w:t xml:space="preserve">-Executive </w:t>
            </w:r>
            <w:r>
              <w:t xml:space="preserve">Director </w:t>
            </w:r>
            <w:r w:rsidR="005E5E82">
              <w:t>– II</w:t>
            </w:r>
            <w:r>
              <w:t xml:space="preserve">. </w:t>
            </w:r>
            <w:r w:rsidR="001949B0">
              <w:t xml:space="preserve">Marra has been an Executive Director since </w:t>
            </w:r>
            <w:r w:rsidR="009F6C30">
              <w:t>2022,</w:t>
            </w:r>
            <w:r w:rsidR="001949B0">
              <w:t xml:space="preserve"> which is 2 years of experience as of 2024 in th</w:t>
            </w:r>
            <w:r w:rsidR="00D730F9">
              <w:t>is</w:t>
            </w:r>
            <w:r w:rsidR="001949B0">
              <w:t xml:space="preserve"> capacity earning the level of Advocate</w:t>
            </w:r>
            <w:r w:rsidR="00360DD1">
              <w:t>-</w:t>
            </w:r>
            <w:r w:rsidR="00E65749">
              <w:t xml:space="preserve">Executive </w:t>
            </w:r>
            <w:r w:rsidR="001949B0">
              <w:t>Director</w:t>
            </w:r>
            <w:r w:rsidR="00360DD1">
              <w:t>-</w:t>
            </w:r>
            <w:r w:rsidR="001949B0">
              <w:t>II</w:t>
            </w:r>
            <w:r w:rsidR="00CA6126">
              <w:t>.</w:t>
            </w:r>
            <w:r w:rsidR="00C20A02">
              <w:t xml:space="preserve"> </w:t>
            </w:r>
            <w:r w:rsidRPr="00C20A02" w:rsidR="00C20A02">
              <w:t xml:space="preserve">Given that the </w:t>
            </w:r>
            <w:r w:rsidR="006633E2">
              <w:t>2024</w:t>
            </w:r>
            <w:r w:rsidRPr="00C20A02" w:rsidR="00C20A02">
              <w:t xml:space="preserve"> rate range for </w:t>
            </w:r>
            <w:r w:rsidR="006633E2">
              <w:t>Advocate – Executive Director - II</w:t>
            </w:r>
            <w:r w:rsidRPr="00C20A02" w:rsidR="00C20A02">
              <w:t xml:space="preserve"> is $</w:t>
            </w:r>
            <w:r w:rsidR="005459E7">
              <w:t>128.32</w:t>
            </w:r>
            <w:r w:rsidRPr="00C20A02" w:rsidR="00C20A02">
              <w:t xml:space="preserve"> to $</w:t>
            </w:r>
            <w:r w:rsidR="00D415CC">
              <w:t>307.90</w:t>
            </w:r>
            <w:r w:rsidRPr="00C20A02" w:rsidR="00C20A02">
              <w:t>, we find the requested 202</w:t>
            </w:r>
            <w:r w:rsidR="00D415CC">
              <w:t>4</w:t>
            </w:r>
            <w:r w:rsidRPr="00C20A02" w:rsidR="00C20A02">
              <w:t xml:space="preserve"> hourly rate of $</w:t>
            </w:r>
            <w:r w:rsidR="00D415CC">
              <w:t>250</w:t>
            </w:r>
            <w:r w:rsidRPr="00C20A02" w:rsidR="00C20A02">
              <w:t xml:space="preserve"> to be reasonable and we adopt it here.</w:t>
            </w:r>
            <w:r w:rsidR="00E65749">
              <w:t xml:space="preserve"> </w:t>
            </w:r>
            <w:bookmarkEnd w:id="3"/>
          </w:p>
        </w:tc>
      </w:tr>
      <w:tr w:rsidRPr="008936E4" w:rsidR="004651C4" w:rsidTr="00AB264D" w14:paraId="262236EA" w14:textId="77777777">
        <w:tc>
          <w:tcPr>
            <w:tcW w:w="2469" w:type="dxa"/>
          </w:tcPr>
          <w:p w:rsidR="00BC4E70" w:rsidP="004651C4" w:rsidRDefault="004651C4" w14:paraId="3811FF09" w14:textId="77777777">
            <w:pPr>
              <w:tabs>
                <w:tab w:val="left" w:pos="1440"/>
              </w:tabs>
              <w:rPr>
                <w:rFonts w:asciiTheme="majorBidi" w:hAnsiTheme="majorBidi" w:cstheme="majorBidi"/>
                <w:color w:val="000000"/>
              </w:rPr>
            </w:pPr>
            <w:r>
              <w:t xml:space="preserve">[4] </w:t>
            </w:r>
            <w:r w:rsidR="00345CE6">
              <w:t>Brown, Birkelund &amp; Marra</w:t>
            </w:r>
            <w:r w:rsidR="003B094E">
              <w:rPr>
                <w:rFonts w:asciiTheme="majorBidi" w:hAnsiTheme="majorBidi" w:cstheme="majorBidi"/>
                <w:color w:val="000000"/>
              </w:rPr>
              <w:t xml:space="preserve"> </w:t>
            </w:r>
            <w:r w:rsidR="00345CE6">
              <w:rPr>
                <w:rFonts w:asciiTheme="majorBidi" w:hAnsiTheme="majorBidi" w:cstheme="majorBidi"/>
                <w:color w:val="000000"/>
              </w:rPr>
              <w:t>2024</w:t>
            </w:r>
          </w:p>
          <w:p w:rsidR="00012736" w:rsidP="004651C4" w:rsidRDefault="00396B24" w14:paraId="65EDC003" w14:textId="7A735702">
            <w:pPr>
              <w:tabs>
                <w:tab w:val="left" w:pos="1440"/>
              </w:tabs>
              <w:rPr>
                <w:rFonts w:asciiTheme="majorBidi" w:hAnsiTheme="majorBidi" w:cstheme="majorBidi"/>
                <w:color w:val="000000"/>
              </w:rPr>
            </w:pPr>
            <w:r>
              <w:rPr>
                <w:rFonts w:asciiTheme="majorBidi" w:hAnsiTheme="majorBidi" w:cstheme="majorBidi"/>
                <w:color w:val="000000"/>
              </w:rPr>
              <w:t xml:space="preserve">Limited </w:t>
            </w:r>
            <w:r w:rsidR="00FE6C90">
              <w:rPr>
                <w:rFonts w:asciiTheme="majorBidi" w:hAnsiTheme="majorBidi" w:cstheme="majorBidi"/>
                <w:color w:val="000000"/>
              </w:rPr>
              <w:t xml:space="preserve">Substantial Contribution </w:t>
            </w:r>
            <w:r w:rsidR="00F03431">
              <w:rPr>
                <w:rFonts w:asciiTheme="majorBidi" w:hAnsiTheme="majorBidi" w:cstheme="majorBidi"/>
                <w:color w:val="000000"/>
              </w:rPr>
              <w:t>&amp;</w:t>
            </w:r>
            <w:r w:rsidR="00FE6C90">
              <w:rPr>
                <w:rFonts w:asciiTheme="majorBidi" w:hAnsiTheme="majorBidi" w:cstheme="majorBidi"/>
                <w:color w:val="000000"/>
              </w:rPr>
              <w:t xml:space="preserve"> </w:t>
            </w:r>
            <w:r w:rsidRPr="00B56E07" w:rsidR="004651C4">
              <w:rPr>
                <w:rFonts w:asciiTheme="majorBidi" w:hAnsiTheme="majorBidi" w:cstheme="majorBidi"/>
                <w:color w:val="000000"/>
              </w:rPr>
              <w:t xml:space="preserve">Excessive </w:t>
            </w:r>
            <w:r w:rsidR="00012736">
              <w:rPr>
                <w:rFonts w:asciiTheme="majorBidi" w:hAnsiTheme="majorBidi" w:cstheme="majorBidi"/>
                <w:color w:val="000000"/>
              </w:rPr>
              <w:t>Hours</w:t>
            </w:r>
          </w:p>
          <w:p w:rsidR="004651C4" w:rsidP="004651C4" w:rsidRDefault="004651C4" w14:paraId="67B37BCD" w14:textId="77118766">
            <w:pPr>
              <w:tabs>
                <w:tab w:val="left" w:pos="1440"/>
              </w:tabs>
            </w:pPr>
          </w:p>
        </w:tc>
        <w:tc>
          <w:tcPr>
            <w:tcW w:w="6891" w:type="dxa"/>
          </w:tcPr>
          <w:p w:rsidRPr="004410F5" w:rsidR="00FE6C90" w:rsidP="002A6045" w:rsidRDefault="00FE6C90" w14:paraId="77C82909" w14:textId="5A50AB95">
            <w:pPr>
              <w:tabs>
                <w:tab w:val="left" w:pos="1440"/>
              </w:tabs>
              <w:rPr>
                <w:bCs/>
                <w:color w:val="000000"/>
                <w:u w:val="single"/>
              </w:rPr>
            </w:pPr>
            <w:r w:rsidRPr="004410F5">
              <w:rPr>
                <w:bCs/>
                <w:color w:val="000000"/>
                <w:u w:val="single"/>
              </w:rPr>
              <w:t xml:space="preserve">Limited </w:t>
            </w:r>
            <w:r w:rsidR="002A6045">
              <w:rPr>
                <w:bCs/>
                <w:color w:val="000000"/>
                <w:u w:val="single"/>
              </w:rPr>
              <w:t xml:space="preserve">Substantial </w:t>
            </w:r>
            <w:r w:rsidRPr="004410F5">
              <w:rPr>
                <w:bCs/>
                <w:color w:val="000000"/>
                <w:u w:val="single"/>
              </w:rPr>
              <w:t>Contribution</w:t>
            </w:r>
            <w:r w:rsidRPr="004410F5" w:rsidR="001F040C">
              <w:rPr>
                <w:bCs/>
                <w:color w:val="000000"/>
                <w:u w:val="single"/>
              </w:rPr>
              <w:t xml:space="preserve"> (</w:t>
            </w:r>
            <w:r w:rsidR="006B1211">
              <w:rPr>
                <w:bCs/>
                <w:color w:val="000000"/>
                <w:u w:val="single"/>
              </w:rPr>
              <w:t>89</w:t>
            </w:r>
            <w:r w:rsidRPr="004410F5" w:rsidR="001F040C">
              <w:rPr>
                <w:bCs/>
                <w:color w:val="000000"/>
                <w:u w:val="single"/>
              </w:rPr>
              <w:t>.75 Hours</w:t>
            </w:r>
            <w:r w:rsidR="00396B24">
              <w:rPr>
                <w:bCs/>
                <w:color w:val="000000"/>
                <w:u w:val="single"/>
              </w:rPr>
              <w:t xml:space="preserve"> Reduced</w:t>
            </w:r>
            <w:r w:rsidRPr="004410F5" w:rsidR="001F040C">
              <w:rPr>
                <w:bCs/>
                <w:color w:val="000000"/>
                <w:u w:val="single"/>
              </w:rPr>
              <w:t>)</w:t>
            </w:r>
          </w:p>
          <w:p w:rsidR="00396B24" w:rsidP="002A6045" w:rsidRDefault="00FC39DF" w14:paraId="169BEA45" w14:textId="77777777">
            <w:pPr>
              <w:tabs>
                <w:tab w:val="left" w:pos="1440"/>
              </w:tabs>
              <w:rPr>
                <w:bCs/>
                <w:color w:val="000000"/>
              </w:rPr>
            </w:pPr>
            <w:r w:rsidRPr="00FC39DF">
              <w:rPr>
                <w:bCs/>
                <w:color w:val="000000"/>
              </w:rPr>
              <w:t xml:space="preserve">Public Utilities Code § 1802(j) states that a substantial contribution “has substantially assisted the commission in the making of its order or decision because the order or decision has adopted in whole or in part one or more factual contentions, legal contentions, or specific policy or procedural recommendations presented by the customer.”  </w:t>
            </w:r>
          </w:p>
          <w:p w:rsidR="00396B24" w:rsidP="002A6045" w:rsidRDefault="00396B24" w14:paraId="4748B794" w14:textId="77777777">
            <w:pPr>
              <w:tabs>
                <w:tab w:val="left" w:pos="1440"/>
              </w:tabs>
              <w:rPr>
                <w:bCs/>
                <w:color w:val="000000"/>
              </w:rPr>
            </w:pPr>
          </w:p>
          <w:p w:rsidR="004C0F03" w:rsidP="002A6045" w:rsidRDefault="00FC39DF" w14:paraId="3FB16C56" w14:textId="0681676C">
            <w:pPr>
              <w:tabs>
                <w:tab w:val="left" w:pos="1440"/>
              </w:tabs>
              <w:rPr>
                <w:bCs/>
                <w:color w:val="000000"/>
              </w:rPr>
            </w:pPr>
            <w:r w:rsidRPr="00FC39DF">
              <w:rPr>
                <w:bCs/>
                <w:color w:val="000000"/>
              </w:rPr>
              <w:t xml:space="preserve">In </w:t>
            </w:r>
            <w:r w:rsidRPr="00F95AD0" w:rsidR="006E6F13">
              <w:rPr>
                <w:rFonts w:asciiTheme="majorBidi" w:hAnsiTheme="majorBidi" w:cstheme="majorBidi"/>
                <w:color w:val="000000"/>
              </w:rPr>
              <w:t xml:space="preserve">evaluating whether </w:t>
            </w:r>
            <w:r>
              <w:rPr>
                <w:bCs/>
                <w:color w:val="000000"/>
              </w:rPr>
              <w:t>SBUA</w:t>
            </w:r>
            <w:r w:rsidRPr="00FC39DF">
              <w:rPr>
                <w:bCs/>
                <w:color w:val="000000"/>
              </w:rPr>
              <w:t xml:space="preserve"> </w:t>
            </w:r>
            <w:proofErr w:type="gramStart"/>
            <w:r w:rsidRPr="00FC39DF">
              <w:rPr>
                <w:bCs/>
                <w:color w:val="000000"/>
              </w:rPr>
              <w:t>made a contribution</w:t>
            </w:r>
            <w:proofErr w:type="gramEnd"/>
            <w:r w:rsidR="006E6F13">
              <w:rPr>
                <w:bCs/>
                <w:color w:val="000000"/>
              </w:rPr>
              <w:t xml:space="preserve"> here</w:t>
            </w:r>
            <w:r w:rsidRPr="00FC39DF">
              <w:rPr>
                <w:bCs/>
                <w:color w:val="000000"/>
              </w:rPr>
              <w:t xml:space="preserve">, we also evaluate whether the hours claimed were commensurate with the contributions </w:t>
            </w:r>
            <w:r w:rsidR="004C0F03">
              <w:rPr>
                <w:rFonts w:asciiTheme="majorBidi" w:hAnsiTheme="majorBidi" w:cstheme="majorBidi"/>
                <w:color w:val="000000"/>
              </w:rPr>
              <w:t>claimed by the intervenor</w:t>
            </w:r>
            <w:r w:rsidRPr="00FC39DF">
              <w:rPr>
                <w:bCs/>
                <w:color w:val="000000"/>
              </w:rPr>
              <w:t xml:space="preserve">. Making a substantial contribution in and of itself does not entitle an intervenor to all its claimed fees and </w:t>
            </w:r>
            <w:r w:rsidRPr="001F040C">
              <w:rPr>
                <w:bCs/>
                <w:color w:val="000000"/>
              </w:rPr>
              <w:t xml:space="preserve">costs. Compensation is granted for efficient, meaningful contributions.  </w:t>
            </w:r>
          </w:p>
          <w:p w:rsidR="004C0F03" w:rsidP="002A6045" w:rsidRDefault="004C0F03" w14:paraId="75AF08D9" w14:textId="77777777">
            <w:pPr>
              <w:tabs>
                <w:tab w:val="left" w:pos="1440"/>
              </w:tabs>
              <w:rPr>
                <w:bCs/>
                <w:color w:val="000000"/>
              </w:rPr>
            </w:pPr>
          </w:p>
          <w:p w:rsidRPr="00FC39DF" w:rsidR="00FC39DF" w:rsidP="002A6045" w:rsidRDefault="0084358F" w14:paraId="4C0FC468" w14:textId="2D694864">
            <w:pPr>
              <w:tabs>
                <w:tab w:val="left" w:pos="1440"/>
              </w:tabs>
              <w:rPr>
                <w:bCs/>
                <w:color w:val="000000"/>
              </w:rPr>
            </w:pPr>
            <w:r w:rsidRPr="00F95AD0">
              <w:rPr>
                <w:rFonts w:asciiTheme="majorBidi" w:hAnsiTheme="majorBidi" w:cstheme="majorBidi"/>
                <w:color w:val="000000"/>
              </w:rPr>
              <w:t>For the reasons set forth below, the Commission reduces SBUA</w:t>
            </w:r>
            <w:r>
              <w:rPr>
                <w:rFonts w:asciiTheme="majorBidi" w:hAnsiTheme="majorBidi" w:cstheme="majorBidi"/>
                <w:color w:val="000000"/>
              </w:rPr>
              <w:t>’</w:t>
            </w:r>
            <w:r w:rsidRPr="00F95AD0">
              <w:rPr>
                <w:rFonts w:asciiTheme="majorBidi" w:hAnsiTheme="majorBidi" w:cstheme="majorBidi"/>
                <w:color w:val="000000"/>
              </w:rPr>
              <w:t xml:space="preserve">s claimed hours to reasonably reflect the </w:t>
            </w:r>
            <w:r>
              <w:rPr>
                <w:rFonts w:asciiTheme="majorBidi" w:hAnsiTheme="majorBidi" w:cstheme="majorBidi"/>
                <w:color w:val="000000"/>
              </w:rPr>
              <w:t>hours necessary to prepare the documents and undertake the work performed that resulted in</w:t>
            </w:r>
            <w:r w:rsidRPr="00F95AD0">
              <w:rPr>
                <w:rFonts w:asciiTheme="majorBidi" w:hAnsiTheme="majorBidi" w:cstheme="majorBidi"/>
                <w:color w:val="000000"/>
              </w:rPr>
              <w:t xml:space="preserve"> the substanti</w:t>
            </w:r>
            <w:r>
              <w:rPr>
                <w:rFonts w:asciiTheme="majorBidi" w:hAnsiTheme="majorBidi" w:cstheme="majorBidi"/>
                <w:color w:val="000000"/>
              </w:rPr>
              <w:t>al</w:t>
            </w:r>
            <w:r w:rsidRPr="00F95AD0">
              <w:rPr>
                <w:rFonts w:asciiTheme="majorBidi" w:hAnsiTheme="majorBidi" w:cstheme="majorBidi"/>
                <w:color w:val="000000"/>
              </w:rPr>
              <w:t xml:space="preserve"> contribution provided</w:t>
            </w:r>
            <w:r>
              <w:rPr>
                <w:rFonts w:asciiTheme="majorBidi" w:hAnsiTheme="majorBidi" w:cstheme="majorBidi"/>
                <w:color w:val="000000"/>
              </w:rPr>
              <w:t xml:space="preserve">. </w:t>
            </w:r>
            <w:r w:rsidR="00E62710">
              <w:rPr>
                <w:bCs/>
                <w:color w:val="000000"/>
              </w:rPr>
              <w:t>Accordingly</w:t>
            </w:r>
            <w:r w:rsidRPr="001F040C" w:rsidR="00FC39DF">
              <w:rPr>
                <w:bCs/>
                <w:color w:val="000000"/>
              </w:rPr>
              <w:t xml:space="preserve">, we </w:t>
            </w:r>
            <w:proofErr w:type="gramStart"/>
            <w:r w:rsidRPr="001F040C" w:rsidR="00FC39DF">
              <w:rPr>
                <w:bCs/>
                <w:color w:val="000000"/>
              </w:rPr>
              <w:t>reduce</w:t>
            </w:r>
            <w:proofErr w:type="gramEnd"/>
            <w:r w:rsidRPr="001F040C" w:rsidR="00FC39DF">
              <w:rPr>
                <w:bCs/>
                <w:color w:val="000000"/>
              </w:rPr>
              <w:t xml:space="preserve"> </w:t>
            </w:r>
            <w:r w:rsidR="00F36D40">
              <w:rPr>
                <w:bCs/>
                <w:color w:val="000000"/>
              </w:rPr>
              <w:t>89</w:t>
            </w:r>
            <w:r w:rsidRPr="001F040C" w:rsidR="001F040C">
              <w:rPr>
                <w:bCs/>
                <w:color w:val="000000"/>
              </w:rPr>
              <w:t>.75</w:t>
            </w:r>
            <w:r w:rsidRPr="001F040C" w:rsidR="00FC39DF">
              <w:rPr>
                <w:bCs/>
                <w:color w:val="000000"/>
              </w:rPr>
              <w:t xml:space="preserve"> hours from </w:t>
            </w:r>
            <w:r w:rsidRPr="004410F5" w:rsidR="00FC39DF">
              <w:rPr>
                <w:bCs/>
              </w:rPr>
              <w:t>Issue 2: Forecasted Costs and Revenue Requirement</w:t>
            </w:r>
            <w:r w:rsidR="00693E95">
              <w:rPr>
                <w:bCs/>
              </w:rPr>
              <w:t xml:space="preserve"> (FCRR)</w:t>
            </w:r>
            <w:r w:rsidRPr="004410F5" w:rsidR="00FC39DF">
              <w:rPr>
                <w:bCs/>
              </w:rPr>
              <w:t xml:space="preserve">, </w:t>
            </w:r>
            <w:r w:rsidRPr="004410F5" w:rsidR="001F040C">
              <w:rPr>
                <w:bCs/>
              </w:rPr>
              <w:t>Issue 3: Non-</w:t>
            </w:r>
            <w:proofErr w:type="spellStart"/>
            <w:r w:rsidRPr="004410F5" w:rsidR="001F040C">
              <w:rPr>
                <w:bCs/>
              </w:rPr>
              <w:t>Bypassable</w:t>
            </w:r>
            <w:proofErr w:type="spellEnd"/>
            <w:r w:rsidRPr="004410F5" w:rsidR="001F040C">
              <w:rPr>
                <w:bCs/>
              </w:rPr>
              <w:t xml:space="preserve"> Charge</w:t>
            </w:r>
            <w:r w:rsidR="00693E95">
              <w:rPr>
                <w:bCs/>
              </w:rPr>
              <w:t xml:space="preserve"> (NBC)</w:t>
            </w:r>
            <w:r w:rsidRPr="004410F5" w:rsidR="001F040C">
              <w:rPr>
                <w:bCs/>
              </w:rPr>
              <w:t>,</w:t>
            </w:r>
            <w:r w:rsidRPr="001F040C" w:rsidR="001F040C">
              <w:rPr>
                <w:bCs/>
              </w:rPr>
              <w:t xml:space="preserve"> </w:t>
            </w:r>
            <w:r w:rsidR="001F040C">
              <w:rPr>
                <w:bCs/>
              </w:rPr>
              <w:t xml:space="preserve">and </w:t>
            </w:r>
            <w:r w:rsidRPr="001F040C" w:rsidR="001F040C">
              <w:rPr>
                <w:bCs/>
              </w:rPr>
              <w:t xml:space="preserve">Issue 4: </w:t>
            </w:r>
            <w:r w:rsidRPr="005E6A06" w:rsidR="00693E95">
              <w:t>Resource Adequacy (RA) and Greenhouse Gas (GHG)</w:t>
            </w:r>
            <w:r w:rsidRPr="001F040C" w:rsidR="001F040C">
              <w:rPr>
                <w:bCs/>
              </w:rPr>
              <w:t>-Free Energy,</w:t>
            </w:r>
            <w:r w:rsidRPr="005B071A" w:rsidR="001F040C">
              <w:rPr>
                <w:bCs/>
              </w:rPr>
              <w:t xml:space="preserve"> </w:t>
            </w:r>
            <w:r w:rsidRPr="001F040C" w:rsidR="00FC39DF">
              <w:rPr>
                <w:bCs/>
                <w:color w:val="000000"/>
              </w:rPr>
              <w:t>as it appropriately acknowledges the value of SBUA’s contributions.</w:t>
            </w:r>
            <w:r w:rsidRPr="00FC39DF" w:rsidR="00FC39DF">
              <w:rPr>
                <w:bCs/>
                <w:color w:val="000000"/>
              </w:rPr>
              <w:t xml:space="preserve">  </w:t>
            </w:r>
          </w:p>
          <w:p w:rsidRPr="00FC39DF" w:rsidR="00FC39DF" w:rsidP="002A6045" w:rsidRDefault="00FC39DF" w14:paraId="13EEBA54" w14:textId="77777777">
            <w:pPr>
              <w:tabs>
                <w:tab w:val="left" w:pos="1440"/>
              </w:tabs>
              <w:rPr>
                <w:bCs/>
                <w:color w:val="000000"/>
              </w:rPr>
            </w:pPr>
          </w:p>
          <w:p w:rsidR="001F040C" w:rsidP="002A6045" w:rsidRDefault="00FC39DF" w14:paraId="70EA0D19" w14:textId="0B03D046">
            <w:pPr>
              <w:tabs>
                <w:tab w:val="left" w:pos="1440"/>
              </w:tabs>
              <w:rPr>
                <w:bCs/>
              </w:rPr>
            </w:pPr>
            <w:r w:rsidRPr="00FC39DF">
              <w:rPr>
                <w:bCs/>
                <w:color w:val="000000"/>
              </w:rPr>
              <w:t xml:space="preserve">Although the Commission will compensate intervenors regardless of whether their positions are adopted, </w:t>
            </w:r>
            <w:r>
              <w:rPr>
                <w:bCs/>
                <w:color w:val="000000"/>
              </w:rPr>
              <w:t>SBUA’s</w:t>
            </w:r>
            <w:r w:rsidRPr="00FC39DF">
              <w:rPr>
                <w:bCs/>
                <w:color w:val="000000"/>
              </w:rPr>
              <w:t xml:space="preserve"> input had minimal influence on the decision-making process. The award granted herein is commensurate with that level of contribution.</w:t>
            </w:r>
            <w:r w:rsidR="001A32B3">
              <w:rPr>
                <w:bCs/>
                <w:color w:val="000000"/>
              </w:rPr>
              <w:t xml:space="preserve"> T</w:t>
            </w:r>
            <w:r w:rsidR="001F040C">
              <w:rPr>
                <w:bCs/>
                <w:color w:val="000000"/>
              </w:rPr>
              <w:t xml:space="preserve">he burden of proof is on the intervenor to show that each of the hours claimed was spent productively </w:t>
            </w:r>
            <w:proofErr w:type="gramStart"/>
            <w:r w:rsidR="001F040C">
              <w:rPr>
                <w:bCs/>
                <w:color w:val="000000"/>
              </w:rPr>
              <w:t>to make</w:t>
            </w:r>
            <w:proofErr w:type="gramEnd"/>
            <w:r w:rsidR="001F040C">
              <w:rPr>
                <w:bCs/>
                <w:color w:val="000000"/>
              </w:rPr>
              <w:t xml:space="preserve"> a substantial contribution to the decision. In this instance, SBUA </w:t>
            </w:r>
            <w:r w:rsidRPr="005C0F7A" w:rsidR="001F040C">
              <w:rPr>
                <w:bCs/>
              </w:rPr>
              <w:t xml:space="preserve">failed to prove that. </w:t>
            </w:r>
          </w:p>
          <w:p w:rsidR="00843F59" w:rsidP="002A6045" w:rsidRDefault="00843F59" w14:paraId="58F21D93" w14:textId="77777777">
            <w:pPr>
              <w:tabs>
                <w:tab w:val="left" w:pos="1440"/>
              </w:tabs>
              <w:rPr>
                <w:bCs/>
              </w:rPr>
            </w:pPr>
          </w:p>
          <w:p w:rsidRPr="00FC39DF" w:rsidR="00843F59" w:rsidP="002A6045" w:rsidRDefault="00843F59" w14:paraId="51B1E539" w14:textId="7C04DF35">
            <w:pPr>
              <w:tabs>
                <w:tab w:val="left" w:pos="1440"/>
              </w:tabs>
              <w:rPr>
                <w:bCs/>
                <w:color w:val="000000"/>
              </w:rPr>
            </w:pPr>
            <w:r w:rsidRPr="00FC39DF">
              <w:rPr>
                <w:bCs/>
                <w:color w:val="000000"/>
              </w:rPr>
              <w:t xml:space="preserve">Merely supporting the positions of other parties—without offering additional analysis, a distinct perspective, or unique factual or legal contributions—does not constitute a significant contribution. While an intervenor’s alignment with a particular position can be helpful in informing the </w:t>
            </w:r>
            <w:r w:rsidRPr="00B324C0">
              <w:rPr>
                <w:bCs/>
                <w:color w:val="000000"/>
              </w:rPr>
              <w:t xml:space="preserve">Commission’s decision-making process, the hours claimed for such </w:t>
            </w:r>
            <w:r w:rsidRPr="005C66A6">
              <w:rPr>
                <w:bCs/>
                <w:color w:val="000000"/>
              </w:rPr>
              <w:t xml:space="preserve">support must be reasonable. Ratepayers should not bear the cost of excessive time spent by an intervenor reiterating arguments that have already been presented by others in the </w:t>
            </w:r>
            <w:proofErr w:type="gramStart"/>
            <w:r w:rsidRPr="005C66A6">
              <w:rPr>
                <w:bCs/>
                <w:color w:val="000000"/>
              </w:rPr>
              <w:t>proceeding</w:t>
            </w:r>
            <w:proofErr w:type="gramEnd"/>
            <w:r w:rsidRPr="005C66A6">
              <w:rPr>
                <w:bCs/>
                <w:color w:val="000000"/>
              </w:rPr>
              <w:t>. Given that SBUA’s contribution w</w:t>
            </w:r>
            <w:r w:rsidR="005C66A6">
              <w:rPr>
                <w:bCs/>
                <w:color w:val="000000"/>
              </w:rPr>
              <w:t>as</w:t>
            </w:r>
            <w:r w:rsidRPr="005C66A6">
              <w:rPr>
                <w:bCs/>
                <w:color w:val="000000"/>
              </w:rPr>
              <w:t xml:space="preserve"> limited, we </w:t>
            </w:r>
            <w:proofErr w:type="gramStart"/>
            <w:r w:rsidRPr="005C66A6">
              <w:rPr>
                <w:bCs/>
                <w:color w:val="000000"/>
              </w:rPr>
              <w:t>reduce</w:t>
            </w:r>
            <w:proofErr w:type="gramEnd"/>
            <w:r w:rsidRPr="005C66A6">
              <w:rPr>
                <w:bCs/>
                <w:color w:val="000000"/>
              </w:rPr>
              <w:t xml:space="preserve"> </w:t>
            </w:r>
            <w:r w:rsidRPr="00F03431" w:rsidR="00F36D40">
              <w:rPr>
                <w:bCs/>
                <w:color w:val="000000"/>
              </w:rPr>
              <w:t>66.4</w:t>
            </w:r>
            <w:r w:rsidRPr="00F03431" w:rsidR="006B1211">
              <w:rPr>
                <w:bCs/>
                <w:color w:val="000000"/>
              </w:rPr>
              <w:t>5</w:t>
            </w:r>
            <w:r w:rsidRPr="00F03431">
              <w:rPr>
                <w:bCs/>
                <w:color w:val="000000"/>
              </w:rPr>
              <w:t xml:space="preserve"> hours</w:t>
            </w:r>
            <w:r w:rsidRPr="005C66A6">
              <w:rPr>
                <w:bCs/>
                <w:color w:val="000000"/>
              </w:rPr>
              <w:t xml:space="preserve"> from </w:t>
            </w:r>
            <w:r w:rsidRPr="005C66A6">
              <w:rPr>
                <w:bCs/>
              </w:rPr>
              <w:t xml:space="preserve">Issue 2: </w:t>
            </w:r>
            <w:r w:rsidR="00693E95">
              <w:rPr>
                <w:bCs/>
              </w:rPr>
              <w:t>FCRR</w:t>
            </w:r>
            <w:r w:rsidRPr="005C66A6">
              <w:rPr>
                <w:bCs/>
              </w:rPr>
              <w:t>,</w:t>
            </w:r>
            <w:r w:rsidRPr="005C66A6" w:rsidR="00B324C0">
              <w:rPr>
                <w:bCs/>
              </w:rPr>
              <w:t xml:space="preserve"> </w:t>
            </w:r>
            <w:r w:rsidRPr="00F03431" w:rsidR="006B1211">
              <w:rPr>
                <w:bCs/>
              </w:rPr>
              <w:t>9.30</w:t>
            </w:r>
            <w:r w:rsidRPr="00F03431" w:rsidR="00B324C0">
              <w:rPr>
                <w:bCs/>
              </w:rPr>
              <w:t xml:space="preserve"> hours</w:t>
            </w:r>
            <w:r w:rsidRPr="005C66A6" w:rsidR="00B324C0">
              <w:rPr>
                <w:bCs/>
              </w:rPr>
              <w:t xml:space="preserve"> from Issue 3: </w:t>
            </w:r>
            <w:r w:rsidR="00693E95">
              <w:rPr>
                <w:bCs/>
              </w:rPr>
              <w:t>NBC</w:t>
            </w:r>
            <w:r w:rsidRPr="005C66A6" w:rsidR="00B324C0">
              <w:rPr>
                <w:bCs/>
              </w:rPr>
              <w:t xml:space="preserve">, and </w:t>
            </w:r>
            <w:r w:rsidRPr="00F03431" w:rsidR="00B324C0">
              <w:rPr>
                <w:bCs/>
              </w:rPr>
              <w:t>1</w:t>
            </w:r>
            <w:r w:rsidRPr="00F03431" w:rsidR="006B1211">
              <w:rPr>
                <w:bCs/>
              </w:rPr>
              <w:t>4.0</w:t>
            </w:r>
            <w:r w:rsidRPr="00F03431" w:rsidR="00B324C0">
              <w:rPr>
                <w:bCs/>
              </w:rPr>
              <w:t>0 hours</w:t>
            </w:r>
            <w:r w:rsidRPr="005C66A6" w:rsidR="00B324C0">
              <w:rPr>
                <w:bCs/>
              </w:rPr>
              <w:t xml:space="preserve"> from Issue 4: </w:t>
            </w:r>
            <w:r w:rsidRPr="005E6A06" w:rsidR="00693E95">
              <w:t>RA and GHG</w:t>
            </w:r>
            <w:r w:rsidR="00693E95">
              <w:t xml:space="preserve"> Free Energy</w:t>
            </w:r>
            <w:r w:rsidRPr="005C66A6" w:rsidR="000850DD">
              <w:rPr>
                <w:bCs/>
              </w:rPr>
              <w:t>.</w:t>
            </w:r>
          </w:p>
          <w:p w:rsidR="00B324C0" w:rsidP="002A6045" w:rsidRDefault="00B324C0" w14:paraId="797A404D" w14:textId="77777777">
            <w:pPr>
              <w:tabs>
                <w:tab w:val="left" w:pos="1440"/>
              </w:tabs>
              <w:rPr>
                <w:bCs/>
                <w:u w:val="single"/>
              </w:rPr>
            </w:pPr>
          </w:p>
          <w:p w:rsidRPr="000850DD" w:rsidR="0073220E" w:rsidP="00C3374F" w:rsidRDefault="004F6CDC" w14:paraId="118ABBBA" w14:textId="31CFEB9F">
            <w:pPr>
              <w:tabs>
                <w:tab w:val="left" w:pos="1440"/>
              </w:tabs>
              <w:ind w:left="436"/>
              <w:rPr>
                <w:bCs/>
                <w:u w:val="single"/>
              </w:rPr>
            </w:pPr>
            <w:r w:rsidRPr="000850DD">
              <w:rPr>
                <w:bCs/>
                <w:u w:val="single"/>
              </w:rPr>
              <w:t xml:space="preserve">Issue 2: </w:t>
            </w:r>
            <w:r w:rsidRPr="000850DD" w:rsidR="0073220E">
              <w:rPr>
                <w:bCs/>
                <w:u w:val="single"/>
              </w:rPr>
              <w:t>F</w:t>
            </w:r>
            <w:r w:rsidR="00693E95">
              <w:rPr>
                <w:bCs/>
                <w:u w:val="single"/>
              </w:rPr>
              <w:t>CRR</w:t>
            </w:r>
            <w:r w:rsidRPr="000850DD" w:rsidR="000E020D">
              <w:rPr>
                <w:bCs/>
                <w:u w:val="single"/>
              </w:rPr>
              <w:t xml:space="preserve"> (</w:t>
            </w:r>
            <w:r w:rsidR="006B1211">
              <w:rPr>
                <w:bCs/>
                <w:u w:val="single"/>
              </w:rPr>
              <w:t>66.45</w:t>
            </w:r>
            <w:r w:rsidRPr="000850DD" w:rsidR="000E020D">
              <w:rPr>
                <w:bCs/>
                <w:u w:val="single"/>
              </w:rPr>
              <w:t>)</w:t>
            </w:r>
          </w:p>
          <w:p w:rsidR="009B1735" w:rsidP="00C3374F" w:rsidRDefault="000E020D" w14:paraId="41810BB8" w14:textId="77777777">
            <w:pPr>
              <w:tabs>
                <w:tab w:val="left" w:pos="1440"/>
              </w:tabs>
              <w:ind w:left="436"/>
              <w:rPr>
                <w:bCs/>
              </w:rPr>
            </w:pPr>
            <w:r>
              <w:rPr>
                <w:bCs/>
              </w:rPr>
              <w:t xml:space="preserve">SBUA claimed 73.80 hours of work on Issue 2, with claimed contributions described in Part II.A above. </w:t>
            </w:r>
            <w:proofErr w:type="gramStart"/>
            <w:r w:rsidR="00F8517D">
              <w:rPr>
                <w:bCs/>
              </w:rPr>
              <w:t>SBUA’s claimed</w:t>
            </w:r>
            <w:proofErr w:type="gramEnd"/>
            <w:r w:rsidR="00F8517D">
              <w:rPr>
                <w:bCs/>
              </w:rPr>
              <w:t xml:space="preserve"> contributions for Issue 2 </w:t>
            </w:r>
            <w:r w:rsidR="00CE7901">
              <w:rPr>
                <w:bCs/>
              </w:rPr>
              <w:t>were included</w:t>
            </w:r>
            <w:r w:rsidR="00F8517D">
              <w:rPr>
                <w:bCs/>
              </w:rPr>
              <w:t xml:space="preserve"> </w:t>
            </w:r>
            <w:r w:rsidR="00A0185F">
              <w:rPr>
                <w:bCs/>
              </w:rPr>
              <w:t>in</w:t>
            </w:r>
            <w:r w:rsidR="0030304D">
              <w:rPr>
                <w:bCs/>
              </w:rPr>
              <w:t xml:space="preserve"> 8 </w:t>
            </w:r>
            <w:r w:rsidR="00F8517D">
              <w:rPr>
                <w:bCs/>
              </w:rPr>
              <w:t>separate filings</w:t>
            </w:r>
            <w:r w:rsidR="00817C12">
              <w:rPr>
                <w:bCs/>
              </w:rPr>
              <w:t>.</w:t>
            </w:r>
            <w:r w:rsidR="00F7224F">
              <w:rPr>
                <w:bCs/>
              </w:rPr>
              <w:t xml:space="preserve"> </w:t>
            </w:r>
            <w:r w:rsidR="001B1C52">
              <w:rPr>
                <w:bCs/>
              </w:rPr>
              <w:t xml:space="preserve">We reviewed SBUA’s claimed contributions to </w:t>
            </w:r>
            <w:r w:rsidR="001A32B3">
              <w:rPr>
                <w:bCs/>
              </w:rPr>
              <w:t>D.24-12-033 and D.25-07-</w:t>
            </w:r>
            <w:r w:rsidR="00D20337">
              <w:rPr>
                <w:bCs/>
              </w:rPr>
              <w:t>041 and</w:t>
            </w:r>
            <w:r w:rsidR="001B1C52">
              <w:rPr>
                <w:bCs/>
              </w:rPr>
              <w:t xml:space="preserve"> found that </w:t>
            </w:r>
            <w:r w:rsidR="00A0185F">
              <w:rPr>
                <w:bCs/>
              </w:rPr>
              <w:t>most of</w:t>
            </w:r>
            <w:r w:rsidR="001B1C52">
              <w:rPr>
                <w:bCs/>
              </w:rPr>
              <w:t xml:space="preserve"> their work did not meet the substantial contribution standards of Sections §</w:t>
            </w:r>
            <w:r w:rsidR="004F0112">
              <w:rPr>
                <w:bCs/>
              </w:rPr>
              <w:t xml:space="preserve"> </w:t>
            </w:r>
            <w:r w:rsidR="001B1C52">
              <w:rPr>
                <w:bCs/>
              </w:rPr>
              <w:t xml:space="preserve">1802(j) or </w:t>
            </w:r>
          </w:p>
          <w:p w:rsidR="0030304D" w:rsidP="00C3374F" w:rsidRDefault="001B1C52" w14:paraId="0272B98B" w14:textId="3D27F8D0">
            <w:pPr>
              <w:tabs>
                <w:tab w:val="left" w:pos="1440"/>
              </w:tabs>
              <w:ind w:left="436"/>
              <w:rPr>
                <w:bCs/>
              </w:rPr>
            </w:pPr>
            <w:r>
              <w:rPr>
                <w:bCs/>
              </w:rPr>
              <w:t>§</w:t>
            </w:r>
            <w:r w:rsidR="004F0112">
              <w:rPr>
                <w:bCs/>
              </w:rPr>
              <w:t xml:space="preserve"> </w:t>
            </w:r>
            <w:r>
              <w:rPr>
                <w:bCs/>
              </w:rPr>
              <w:t>1802.5 of the Pub</w:t>
            </w:r>
            <w:r w:rsidR="002A6045">
              <w:rPr>
                <w:bCs/>
              </w:rPr>
              <w:t>.</w:t>
            </w:r>
            <w:r>
              <w:rPr>
                <w:bCs/>
              </w:rPr>
              <w:t xml:space="preserve"> </w:t>
            </w:r>
            <w:r w:rsidR="002A6045">
              <w:rPr>
                <w:bCs/>
              </w:rPr>
              <w:t xml:space="preserve">Util. </w:t>
            </w:r>
            <w:r>
              <w:rPr>
                <w:bCs/>
              </w:rPr>
              <w:t>Code.</w:t>
            </w:r>
          </w:p>
          <w:p w:rsidR="00F7224F" w:rsidP="00C3374F" w:rsidRDefault="00F7224F" w14:paraId="333C9ADC" w14:textId="77777777">
            <w:pPr>
              <w:tabs>
                <w:tab w:val="left" w:pos="1440"/>
              </w:tabs>
              <w:ind w:left="436"/>
              <w:rPr>
                <w:bCs/>
              </w:rPr>
            </w:pPr>
          </w:p>
          <w:p w:rsidR="00D20337" w:rsidP="00C3374F" w:rsidRDefault="00F7224F" w14:paraId="16654BF8" w14:textId="77777777">
            <w:pPr>
              <w:tabs>
                <w:tab w:val="left" w:pos="1440"/>
              </w:tabs>
              <w:ind w:left="436"/>
              <w:rPr>
                <w:bCs/>
              </w:rPr>
            </w:pPr>
            <w:r>
              <w:rPr>
                <w:bCs/>
              </w:rPr>
              <w:t xml:space="preserve">The Commission found that SBUA did </w:t>
            </w:r>
            <w:r w:rsidR="00E3467E">
              <w:rPr>
                <w:bCs/>
              </w:rPr>
              <w:t xml:space="preserve">not </w:t>
            </w:r>
            <w:r w:rsidR="005837DC">
              <w:rPr>
                <w:bCs/>
              </w:rPr>
              <w:t xml:space="preserve">always </w:t>
            </w:r>
            <w:r>
              <w:rPr>
                <w:bCs/>
              </w:rPr>
              <w:t>provide sufficient details</w:t>
            </w:r>
            <w:r w:rsidR="00E64A4D">
              <w:rPr>
                <w:bCs/>
              </w:rPr>
              <w:t xml:space="preserve"> to support its arguments</w:t>
            </w:r>
            <w:r>
              <w:rPr>
                <w:bCs/>
              </w:rPr>
              <w:t xml:space="preserve"> </w:t>
            </w:r>
            <w:r w:rsidR="00E3467E">
              <w:rPr>
                <w:bCs/>
              </w:rPr>
              <w:t>(</w:t>
            </w:r>
            <w:r w:rsidR="00E64A4D">
              <w:rPr>
                <w:bCs/>
              </w:rPr>
              <w:t xml:space="preserve">e.g. </w:t>
            </w:r>
            <w:r w:rsidRPr="000850DD" w:rsidR="00E64A4D">
              <w:rPr>
                <w:bCs/>
                <w:i/>
                <w:iCs/>
              </w:rPr>
              <w:t>See</w:t>
            </w:r>
            <w:r w:rsidR="00E64A4D">
              <w:rPr>
                <w:bCs/>
              </w:rPr>
              <w:t xml:space="preserve"> Part II.A</w:t>
            </w:r>
            <w:r w:rsidR="00A97C11">
              <w:rPr>
                <w:bCs/>
              </w:rPr>
              <w:t>.</w:t>
            </w:r>
            <w:r w:rsidR="00E64A4D">
              <w:rPr>
                <w:bCs/>
              </w:rPr>
              <w:t xml:space="preserve">  </w:t>
            </w:r>
            <w:r w:rsidR="00E3467E">
              <w:rPr>
                <w:bCs/>
              </w:rPr>
              <w:t>labor overhead &amp; license renewal</w:t>
            </w:r>
            <w:r w:rsidR="005837DC">
              <w:rPr>
                <w:bCs/>
              </w:rPr>
              <w:t>; and request to file a new application</w:t>
            </w:r>
            <w:r w:rsidR="00E3467E">
              <w:rPr>
                <w:bCs/>
              </w:rPr>
              <w:t>), provide solutions (</w:t>
            </w:r>
            <w:r w:rsidR="00E64A4D">
              <w:rPr>
                <w:bCs/>
              </w:rPr>
              <w:t xml:space="preserve">e.g. </w:t>
            </w:r>
            <w:r w:rsidRPr="000850DD" w:rsidR="00E64A4D">
              <w:rPr>
                <w:bCs/>
                <w:i/>
                <w:iCs/>
              </w:rPr>
              <w:t>See</w:t>
            </w:r>
            <w:r w:rsidR="00E64A4D">
              <w:rPr>
                <w:bCs/>
              </w:rPr>
              <w:t xml:space="preserve"> Part II.A. </w:t>
            </w:r>
            <w:r w:rsidR="00E3467E">
              <w:rPr>
                <w:bCs/>
              </w:rPr>
              <w:t>additional revenue requirements</w:t>
            </w:r>
            <w:r w:rsidR="005837DC">
              <w:rPr>
                <w:bCs/>
              </w:rPr>
              <w:t xml:space="preserve">; </w:t>
            </w:r>
            <w:r w:rsidR="00D20337">
              <w:rPr>
                <w:bCs/>
              </w:rPr>
              <w:t xml:space="preserve">and </w:t>
            </w:r>
            <w:r w:rsidR="005837DC">
              <w:rPr>
                <w:bCs/>
              </w:rPr>
              <w:t>Normalization</w:t>
            </w:r>
            <w:r w:rsidR="00E3467E">
              <w:rPr>
                <w:bCs/>
              </w:rPr>
              <w:t>)</w:t>
            </w:r>
            <w:r>
              <w:rPr>
                <w:bCs/>
              </w:rPr>
              <w:t xml:space="preserve"> nor delineate a unique perspective</w:t>
            </w:r>
            <w:r w:rsidR="00E64A4D">
              <w:rPr>
                <w:bCs/>
              </w:rPr>
              <w:t xml:space="preserve"> to prevent reductions</w:t>
            </w:r>
            <w:r w:rsidR="00E3467E">
              <w:rPr>
                <w:bCs/>
              </w:rPr>
              <w:t xml:space="preserve"> (</w:t>
            </w:r>
            <w:r w:rsidR="00E64A4D">
              <w:rPr>
                <w:bCs/>
              </w:rPr>
              <w:t xml:space="preserve">e.g. </w:t>
            </w:r>
            <w:r w:rsidRPr="000850DD" w:rsidR="00E64A4D">
              <w:rPr>
                <w:bCs/>
                <w:i/>
                <w:iCs/>
              </w:rPr>
              <w:t>See</w:t>
            </w:r>
            <w:r w:rsidR="00E64A4D">
              <w:rPr>
                <w:bCs/>
              </w:rPr>
              <w:t xml:space="preserve"> Part II.A</w:t>
            </w:r>
            <w:r w:rsidR="00A97C11">
              <w:rPr>
                <w:bCs/>
              </w:rPr>
              <w:t>.</w:t>
            </w:r>
            <w:r w:rsidR="00E64A4D">
              <w:rPr>
                <w:bCs/>
              </w:rPr>
              <w:t xml:space="preserve"> </w:t>
            </w:r>
            <w:r w:rsidR="00E3467E">
              <w:rPr>
                <w:bCs/>
              </w:rPr>
              <w:t>tax gross up</w:t>
            </w:r>
            <w:r w:rsidR="005837DC">
              <w:rPr>
                <w:bCs/>
              </w:rPr>
              <w:t>;</w:t>
            </w:r>
            <w:r w:rsidR="001A32B3">
              <w:rPr>
                <w:bCs/>
              </w:rPr>
              <w:t xml:space="preserve"> government funding;</w:t>
            </w:r>
            <w:r w:rsidR="005837DC">
              <w:rPr>
                <w:bCs/>
              </w:rPr>
              <w:t xml:space="preserve"> </w:t>
            </w:r>
            <w:r w:rsidR="00D20337">
              <w:rPr>
                <w:bCs/>
              </w:rPr>
              <w:t xml:space="preserve">and </w:t>
            </w:r>
            <w:r w:rsidR="005837DC">
              <w:rPr>
                <w:bCs/>
              </w:rPr>
              <w:t>Normalization</w:t>
            </w:r>
            <w:r w:rsidR="00E3467E">
              <w:rPr>
                <w:bCs/>
              </w:rPr>
              <w:t>).</w:t>
            </w:r>
            <w:r w:rsidR="00E64A4D">
              <w:rPr>
                <w:bCs/>
              </w:rPr>
              <w:t xml:space="preserve"> </w:t>
            </w:r>
          </w:p>
          <w:p w:rsidR="00D20337" w:rsidP="00C3374F" w:rsidRDefault="00D20337" w14:paraId="798F9229" w14:textId="77777777">
            <w:pPr>
              <w:tabs>
                <w:tab w:val="left" w:pos="1440"/>
              </w:tabs>
              <w:ind w:left="436"/>
              <w:rPr>
                <w:bCs/>
              </w:rPr>
            </w:pPr>
          </w:p>
          <w:p w:rsidRPr="000850DD" w:rsidR="00FE6C90" w:rsidP="00C3374F" w:rsidRDefault="00E64A4D" w14:paraId="0AE92E10" w14:textId="1EEE7567">
            <w:pPr>
              <w:tabs>
                <w:tab w:val="left" w:pos="1440"/>
              </w:tabs>
              <w:ind w:left="436"/>
              <w:rPr>
                <w:bCs/>
              </w:rPr>
            </w:pPr>
            <w:r>
              <w:rPr>
                <w:bCs/>
              </w:rPr>
              <w:t xml:space="preserve">SBUA did not identify specific </w:t>
            </w:r>
            <w:proofErr w:type="gramStart"/>
            <w:r>
              <w:rPr>
                <w:bCs/>
              </w:rPr>
              <w:t>language</w:t>
            </w:r>
            <w:proofErr w:type="gramEnd"/>
            <w:r>
              <w:rPr>
                <w:bCs/>
              </w:rPr>
              <w:t xml:space="preserve"> in </w:t>
            </w:r>
            <w:r w:rsidR="00D20337">
              <w:rPr>
                <w:bCs/>
              </w:rPr>
              <w:t>D.24-12-033 and D.25-07-041</w:t>
            </w:r>
            <w:r>
              <w:rPr>
                <w:bCs/>
              </w:rPr>
              <w:t xml:space="preserve"> to demonstrate that its participation assisted the Commission in writing the Decision</w:t>
            </w:r>
            <w:r w:rsidR="004F0112">
              <w:rPr>
                <w:bCs/>
              </w:rPr>
              <w:t>(s)</w:t>
            </w:r>
            <w:r>
              <w:rPr>
                <w:bCs/>
              </w:rPr>
              <w:t xml:space="preserve"> and did not offer a unique </w:t>
            </w:r>
            <w:r w:rsidRPr="00F36D40">
              <w:rPr>
                <w:bCs/>
              </w:rPr>
              <w:t xml:space="preserve">perspective on </w:t>
            </w:r>
            <w:r w:rsidRPr="00F36D40" w:rsidR="00F87339">
              <w:rPr>
                <w:bCs/>
              </w:rPr>
              <w:t>Issue 2</w:t>
            </w:r>
            <w:r w:rsidRPr="00F36D40">
              <w:rPr>
                <w:bCs/>
              </w:rPr>
              <w:t xml:space="preserve"> that substantially contributed to the </w:t>
            </w:r>
            <w:r w:rsidR="00D20337">
              <w:rPr>
                <w:bCs/>
              </w:rPr>
              <w:t>decision-making process</w:t>
            </w:r>
            <w:r w:rsidRPr="00F36D40">
              <w:rPr>
                <w:bCs/>
              </w:rPr>
              <w:t>.</w:t>
            </w:r>
            <w:r w:rsidRPr="00F36D40" w:rsidR="000850DD">
              <w:rPr>
                <w:bCs/>
              </w:rPr>
              <w:t xml:space="preserve"> </w:t>
            </w:r>
            <w:r w:rsidRPr="006B1211" w:rsidR="00FE6C90">
              <w:rPr>
                <w:bCs/>
              </w:rPr>
              <w:t xml:space="preserve">Therefore, we find it reasonable to </w:t>
            </w:r>
            <w:r w:rsidR="002A6045">
              <w:rPr>
                <w:bCs/>
              </w:rPr>
              <w:t>reduce</w:t>
            </w:r>
            <w:r w:rsidRPr="006B1211" w:rsidR="002A6045">
              <w:rPr>
                <w:bCs/>
              </w:rPr>
              <w:t xml:space="preserve"> </w:t>
            </w:r>
            <w:r w:rsidR="00F36D40">
              <w:rPr>
                <w:bCs/>
              </w:rPr>
              <w:t>66.4</w:t>
            </w:r>
            <w:r w:rsidR="006B1211">
              <w:rPr>
                <w:bCs/>
              </w:rPr>
              <w:t>5</w:t>
            </w:r>
            <w:r w:rsidRPr="006B1211" w:rsidR="00FE6C90">
              <w:rPr>
                <w:bCs/>
              </w:rPr>
              <w:t xml:space="preserve"> hours of SBUA’s claimed work which </w:t>
            </w:r>
            <w:r w:rsidRPr="006B1211" w:rsidR="00F37A99">
              <w:rPr>
                <w:bCs/>
              </w:rPr>
              <w:t>breaks down</w:t>
            </w:r>
            <w:r w:rsidRPr="006B1211" w:rsidR="00FE6C90">
              <w:rPr>
                <w:bCs/>
              </w:rPr>
              <w:t xml:space="preserve"> as follows:</w:t>
            </w:r>
          </w:p>
          <w:p w:rsidR="001B1C52" w:rsidP="00C3374F" w:rsidRDefault="001B1C52" w14:paraId="0FCB1F5A" w14:textId="77777777">
            <w:pPr>
              <w:tabs>
                <w:tab w:val="left" w:pos="1440"/>
              </w:tabs>
              <w:ind w:left="436"/>
              <w:rPr>
                <w:bCs/>
              </w:rPr>
            </w:pPr>
          </w:p>
          <w:p w:rsidRPr="002A6045" w:rsidR="001B1C52" w:rsidP="00C3374F" w:rsidRDefault="001B1C52" w14:paraId="0D43750F" w14:textId="518149E4">
            <w:pPr>
              <w:tabs>
                <w:tab w:val="left" w:pos="1440"/>
              </w:tabs>
              <w:ind w:left="436"/>
              <w:rPr>
                <w:bCs/>
                <w:u w:val="single"/>
              </w:rPr>
            </w:pPr>
            <w:r w:rsidRPr="002A6045">
              <w:rPr>
                <w:bCs/>
                <w:u w:val="single"/>
              </w:rPr>
              <w:t>2024 (</w:t>
            </w:r>
            <w:r w:rsidRPr="002A6045" w:rsidR="005C66A6">
              <w:rPr>
                <w:bCs/>
                <w:u w:val="single"/>
              </w:rPr>
              <w:t>66.45</w:t>
            </w:r>
            <w:r w:rsidRPr="002A6045">
              <w:rPr>
                <w:bCs/>
                <w:u w:val="single"/>
              </w:rPr>
              <w:t xml:space="preserve"> Hours)</w:t>
            </w:r>
          </w:p>
          <w:p w:rsidRPr="00C3374F" w:rsidR="00496AC9" w:rsidP="00C3374F" w:rsidRDefault="00496AC9" w14:paraId="65AC698A" w14:textId="3640F0F9">
            <w:pPr>
              <w:pStyle w:val="ListParagraph"/>
              <w:numPr>
                <w:ilvl w:val="0"/>
                <w:numId w:val="41"/>
              </w:numPr>
              <w:tabs>
                <w:tab w:val="left" w:pos="1440"/>
              </w:tabs>
              <w:rPr>
                <w:rFonts w:ascii="Times New Roman" w:hAnsi="Times New Roman"/>
                <w:bCs/>
                <w:sz w:val="24"/>
                <w:szCs w:val="24"/>
              </w:rPr>
            </w:pPr>
            <w:r w:rsidRPr="00C3374F">
              <w:rPr>
                <w:rFonts w:ascii="Times New Roman" w:hAnsi="Times New Roman"/>
                <w:bCs/>
                <w:sz w:val="24"/>
                <w:szCs w:val="24"/>
              </w:rPr>
              <w:t xml:space="preserve">Marra: </w:t>
            </w:r>
            <w:r w:rsidRPr="00C3374F" w:rsidR="006B1211">
              <w:rPr>
                <w:rFonts w:ascii="Times New Roman" w:hAnsi="Times New Roman"/>
                <w:bCs/>
                <w:sz w:val="24"/>
                <w:szCs w:val="24"/>
              </w:rPr>
              <w:t>1.1</w:t>
            </w:r>
            <w:r w:rsidRPr="00C3374F">
              <w:rPr>
                <w:rFonts w:ascii="Times New Roman" w:hAnsi="Times New Roman"/>
                <w:bCs/>
                <w:sz w:val="24"/>
                <w:szCs w:val="24"/>
              </w:rPr>
              <w:t xml:space="preserve">0 hours </w:t>
            </w:r>
          </w:p>
          <w:p w:rsidRPr="00C3374F" w:rsidR="00496AC9" w:rsidP="00C3374F" w:rsidRDefault="00496AC9" w14:paraId="443A8757" w14:textId="6F050CFD">
            <w:pPr>
              <w:pStyle w:val="ListParagraph"/>
              <w:numPr>
                <w:ilvl w:val="0"/>
                <w:numId w:val="41"/>
              </w:numPr>
              <w:tabs>
                <w:tab w:val="left" w:pos="1440"/>
              </w:tabs>
              <w:rPr>
                <w:rFonts w:ascii="Times New Roman" w:hAnsi="Times New Roman"/>
                <w:bCs/>
                <w:sz w:val="24"/>
                <w:szCs w:val="24"/>
              </w:rPr>
            </w:pPr>
            <w:r w:rsidRPr="00C3374F">
              <w:rPr>
                <w:rFonts w:ascii="Times New Roman" w:hAnsi="Times New Roman"/>
                <w:bCs/>
                <w:sz w:val="24"/>
                <w:szCs w:val="24"/>
              </w:rPr>
              <w:t xml:space="preserve">Brown: </w:t>
            </w:r>
            <w:r w:rsidRPr="00C3374F" w:rsidR="006B1211">
              <w:rPr>
                <w:rFonts w:ascii="Times New Roman" w:hAnsi="Times New Roman"/>
                <w:bCs/>
                <w:sz w:val="24"/>
                <w:szCs w:val="24"/>
              </w:rPr>
              <w:t>51.75</w:t>
            </w:r>
            <w:r w:rsidRPr="00C3374F">
              <w:rPr>
                <w:rFonts w:ascii="Times New Roman" w:hAnsi="Times New Roman"/>
                <w:bCs/>
                <w:sz w:val="24"/>
                <w:szCs w:val="24"/>
              </w:rPr>
              <w:t xml:space="preserve"> hours </w:t>
            </w:r>
          </w:p>
          <w:p w:rsidRPr="00C3374F" w:rsidR="00496AC9" w:rsidP="00C3374F" w:rsidRDefault="00496AC9" w14:paraId="2B96C736" w14:textId="571D1C32">
            <w:pPr>
              <w:pStyle w:val="ListParagraph"/>
              <w:numPr>
                <w:ilvl w:val="0"/>
                <w:numId w:val="41"/>
              </w:numPr>
              <w:tabs>
                <w:tab w:val="left" w:pos="1440"/>
              </w:tabs>
              <w:rPr>
                <w:rFonts w:ascii="Times New Roman" w:hAnsi="Times New Roman"/>
                <w:bCs/>
                <w:sz w:val="24"/>
                <w:szCs w:val="24"/>
              </w:rPr>
            </w:pPr>
            <w:r w:rsidRPr="00C3374F">
              <w:rPr>
                <w:rFonts w:ascii="Times New Roman" w:hAnsi="Times New Roman"/>
                <w:bCs/>
                <w:sz w:val="24"/>
                <w:szCs w:val="24"/>
              </w:rPr>
              <w:t xml:space="preserve">Birkelund: </w:t>
            </w:r>
            <w:r w:rsidRPr="00C3374F" w:rsidR="006B1211">
              <w:rPr>
                <w:rFonts w:ascii="Times New Roman" w:hAnsi="Times New Roman"/>
                <w:bCs/>
                <w:sz w:val="24"/>
                <w:szCs w:val="24"/>
              </w:rPr>
              <w:t>13.60</w:t>
            </w:r>
            <w:r w:rsidRPr="00C3374F">
              <w:rPr>
                <w:rFonts w:ascii="Times New Roman" w:hAnsi="Times New Roman"/>
                <w:bCs/>
                <w:sz w:val="24"/>
                <w:szCs w:val="24"/>
              </w:rPr>
              <w:t xml:space="preserve"> hours </w:t>
            </w:r>
          </w:p>
          <w:p w:rsidR="00F8517D" w:rsidP="00C3374F" w:rsidRDefault="00F8517D" w14:paraId="6F989337" w14:textId="77777777">
            <w:pPr>
              <w:tabs>
                <w:tab w:val="left" w:pos="1440"/>
              </w:tabs>
              <w:ind w:left="436"/>
              <w:rPr>
                <w:bCs/>
              </w:rPr>
            </w:pPr>
          </w:p>
          <w:p w:rsidR="0073220E" w:rsidP="00C3374F" w:rsidRDefault="004F6CDC" w14:paraId="6F5A798E" w14:textId="300F6D52">
            <w:pPr>
              <w:tabs>
                <w:tab w:val="left" w:pos="1440"/>
              </w:tabs>
              <w:ind w:left="436"/>
              <w:rPr>
                <w:bCs/>
                <w:u w:val="single"/>
              </w:rPr>
            </w:pPr>
            <w:r w:rsidRPr="000850DD">
              <w:rPr>
                <w:bCs/>
                <w:u w:val="single"/>
              </w:rPr>
              <w:t xml:space="preserve">Issue 3: </w:t>
            </w:r>
            <w:r w:rsidRPr="000850DD" w:rsidR="0073220E">
              <w:rPr>
                <w:bCs/>
                <w:u w:val="single"/>
              </w:rPr>
              <w:t>N</w:t>
            </w:r>
            <w:r w:rsidR="00693E95">
              <w:rPr>
                <w:bCs/>
                <w:u w:val="single"/>
              </w:rPr>
              <w:t>BC</w:t>
            </w:r>
            <w:r w:rsidRPr="000850DD" w:rsidR="000E020D">
              <w:rPr>
                <w:bCs/>
                <w:u w:val="single"/>
              </w:rPr>
              <w:t xml:space="preserve"> (</w:t>
            </w:r>
            <w:r w:rsidR="006B1211">
              <w:rPr>
                <w:bCs/>
                <w:u w:val="single"/>
              </w:rPr>
              <w:t>9.30</w:t>
            </w:r>
            <w:r w:rsidR="00873986">
              <w:rPr>
                <w:bCs/>
                <w:u w:val="single"/>
              </w:rPr>
              <w:t xml:space="preserve"> Hours</w:t>
            </w:r>
            <w:r w:rsidRPr="000850DD" w:rsidR="000E020D">
              <w:rPr>
                <w:bCs/>
                <w:u w:val="single"/>
              </w:rPr>
              <w:t>)</w:t>
            </w:r>
          </w:p>
          <w:p w:rsidR="00817C12" w:rsidP="00C3374F" w:rsidRDefault="00873986" w14:paraId="071C21ED" w14:textId="7C4F5022">
            <w:pPr>
              <w:tabs>
                <w:tab w:val="left" w:pos="1440"/>
              </w:tabs>
              <w:ind w:left="436"/>
              <w:rPr>
                <w:bCs/>
              </w:rPr>
            </w:pPr>
            <w:r>
              <w:rPr>
                <w:bCs/>
              </w:rPr>
              <w:lastRenderedPageBreak/>
              <w:t xml:space="preserve">SBUA claimed 10.35 hours of </w:t>
            </w:r>
            <w:r w:rsidRPr="000850DD">
              <w:rPr>
                <w:bCs/>
              </w:rPr>
              <w:t xml:space="preserve">work </w:t>
            </w:r>
            <w:r w:rsidRPr="005A030B">
              <w:rPr>
                <w:bCs/>
              </w:rPr>
              <w:t xml:space="preserve">on Issue 3, with claimed contributions described in Part II.A above. </w:t>
            </w:r>
            <w:r w:rsidRPr="005A030B" w:rsidR="00817C12">
              <w:rPr>
                <w:bCs/>
              </w:rPr>
              <w:t xml:space="preserve">SBUA’s claimed contributions for Issue 3 were included </w:t>
            </w:r>
            <w:r w:rsidRPr="005A030B" w:rsidR="00A0185F">
              <w:rPr>
                <w:bCs/>
              </w:rPr>
              <w:t>in</w:t>
            </w:r>
            <w:r w:rsidRPr="005A030B" w:rsidR="00817C12">
              <w:rPr>
                <w:bCs/>
              </w:rPr>
              <w:t xml:space="preserve"> 7 separate filings</w:t>
            </w:r>
            <w:r w:rsidR="00682A47">
              <w:rPr>
                <w:bCs/>
              </w:rPr>
              <w:t>.</w:t>
            </w:r>
            <w:r w:rsidRPr="005A030B" w:rsidR="00817C12">
              <w:rPr>
                <w:bCs/>
              </w:rPr>
              <w:t xml:space="preserve"> </w:t>
            </w:r>
            <w:r w:rsidR="00D20337">
              <w:rPr>
                <w:bCs/>
              </w:rPr>
              <w:t>We reviewed SBUA’s claimed contributions to D.24-12-033 and D.25-07-</w:t>
            </w:r>
            <w:r w:rsidR="00737849">
              <w:rPr>
                <w:bCs/>
              </w:rPr>
              <w:t>041 and</w:t>
            </w:r>
            <w:r w:rsidR="00D20337">
              <w:rPr>
                <w:bCs/>
              </w:rPr>
              <w:t xml:space="preserve"> found that most of their work did not meet the substantial contribution standards of Sections § 1802(j) or § 1802.5 of the Pub</w:t>
            </w:r>
            <w:r w:rsidR="002A6045">
              <w:rPr>
                <w:bCs/>
              </w:rPr>
              <w:t>.</w:t>
            </w:r>
            <w:r w:rsidR="00D20337">
              <w:rPr>
                <w:bCs/>
              </w:rPr>
              <w:t xml:space="preserve"> </w:t>
            </w:r>
            <w:r w:rsidR="002A6045">
              <w:rPr>
                <w:bCs/>
              </w:rPr>
              <w:t xml:space="preserve">Util. </w:t>
            </w:r>
            <w:r w:rsidR="00D20337">
              <w:rPr>
                <w:bCs/>
              </w:rPr>
              <w:t>Code.</w:t>
            </w:r>
          </w:p>
          <w:p w:rsidR="00817C12" w:rsidP="00C3374F" w:rsidRDefault="00817C12" w14:paraId="4D4023FE" w14:textId="77777777">
            <w:pPr>
              <w:tabs>
                <w:tab w:val="left" w:pos="1440"/>
              </w:tabs>
              <w:ind w:left="436"/>
              <w:rPr>
                <w:bCs/>
              </w:rPr>
            </w:pPr>
          </w:p>
          <w:p w:rsidRPr="004410F5" w:rsidR="00F87339" w:rsidP="00C3374F" w:rsidRDefault="007D5657" w14:paraId="54403F45" w14:textId="5D6F35C6">
            <w:pPr>
              <w:tabs>
                <w:tab w:val="left" w:pos="1440"/>
              </w:tabs>
              <w:ind w:left="436"/>
              <w:rPr>
                <w:bCs/>
              </w:rPr>
            </w:pPr>
            <w:r w:rsidRPr="004410F5">
              <w:rPr>
                <w:bCs/>
              </w:rPr>
              <w:t>SBUA presented testimony recommending modifications to the NBC allocation methodology, however, SBUA d</w:t>
            </w:r>
            <w:r w:rsidRPr="004410F5" w:rsidR="00B324C0">
              <w:rPr>
                <w:bCs/>
              </w:rPr>
              <w:t>id</w:t>
            </w:r>
            <w:r w:rsidRPr="004410F5">
              <w:rPr>
                <w:bCs/>
              </w:rPr>
              <w:t xml:space="preserve"> not explain how this proposal complie</w:t>
            </w:r>
            <w:r w:rsidRPr="004410F5" w:rsidR="00B324C0">
              <w:rPr>
                <w:bCs/>
              </w:rPr>
              <w:t>d</w:t>
            </w:r>
            <w:r w:rsidRPr="004410F5">
              <w:rPr>
                <w:bCs/>
              </w:rPr>
              <w:t xml:space="preserve"> with the requirements of D.23-12-036. After reviewing the </w:t>
            </w:r>
            <w:r w:rsidR="008520D0">
              <w:rPr>
                <w:bCs/>
              </w:rPr>
              <w:t xml:space="preserve">investor-owned utilities’ </w:t>
            </w:r>
            <w:r w:rsidRPr="004410F5">
              <w:rPr>
                <w:bCs/>
              </w:rPr>
              <w:t xml:space="preserve">proposed methodology, the Commission concluded that </w:t>
            </w:r>
            <w:r w:rsidRPr="004410F5" w:rsidR="00B324C0">
              <w:rPr>
                <w:bCs/>
              </w:rPr>
              <w:t>the proposed methodology</w:t>
            </w:r>
            <w:r w:rsidRPr="004410F5">
              <w:rPr>
                <w:bCs/>
              </w:rPr>
              <w:t xml:space="preserve"> complie</w:t>
            </w:r>
            <w:r w:rsidRPr="004410F5" w:rsidR="00B324C0">
              <w:rPr>
                <w:bCs/>
              </w:rPr>
              <w:t>d</w:t>
            </w:r>
            <w:r w:rsidRPr="004410F5">
              <w:rPr>
                <w:bCs/>
              </w:rPr>
              <w:t xml:space="preserve"> with the Commission’s directives. </w:t>
            </w:r>
            <w:r w:rsidR="005A030B">
              <w:rPr>
                <w:bCs/>
              </w:rPr>
              <w:t xml:space="preserve">SBUA did not identify specific language in </w:t>
            </w:r>
            <w:r w:rsidR="0033736F">
              <w:rPr>
                <w:bCs/>
              </w:rPr>
              <w:t xml:space="preserve">D.24-12-033 and D.25-07-041 </w:t>
            </w:r>
            <w:r w:rsidR="005A030B">
              <w:rPr>
                <w:bCs/>
              </w:rPr>
              <w:t>to demonstrate that its participation assisted the Commission in writing the Decision</w:t>
            </w:r>
            <w:r w:rsidR="004F0112">
              <w:rPr>
                <w:bCs/>
              </w:rPr>
              <w:t>(s)</w:t>
            </w:r>
            <w:r w:rsidR="005A030B">
              <w:rPr>
                <w:bCs/>
              </w:rPr>
              <w:t xml:space="preserve"> and did not offer a unique </w:t>
            </w:r>
            <w:r w:rsidRPr="00F36D40" w:rsidR="005A030B">
              <w:rPr>
                <w:bCs/>
              </w:rPr>
              <w:t xml:space="preserve">perspective on Issue </w:t>
            </w:r>
            <w:r w:rsidR="005A030B">
              <w:rPr>
                <w:bCs/>
              </w:rPr>
              <w:t>3</w:t>
            </w:r>
            <w:r w:rsidRPr="00F36D40" w:rsidR="005A030B">
              <w:rPr>
                <w:bCs/>
              </w:rPr>
              <w:t xml:space="preserve"> that substantially contributed to the</w:t>
            </w:r>
            <w:r w:rsidR="00D20337">
              <w:rPr>
                <w:bCs/>
              </w:rPr>
              <w:t xml:space="preserve"> decision-making process</w:t>
            </w:r>
            <w:r w:rsidRPr="00F36D40" w:rsidR="005A030B">
              <w:rPr>
                <w:bCs/>
              </w:rPr>
              <w:t xml:space="preserve">. </w:t>
            </w:r>
            <w:r w:rsidRPr="004410F5">
              <w:rPr>
                <w:bCs/>
              </w:rPr>
              <w:t xml:space="preserve">Therefore, we find it reasonable to </w:t>
            </w:r>
            <w:r w:rsidR="002A6045">
              <w:rPr>
                <w:bCs/>
              </w:rPr>
              <w:t>reduce</w:t>
            </w:r>
            <w:r w:rsidRPr="004410F5" w:rsidR="002A6045">
              <w:rPr>
                <w:bCs/>
              </w:rPr>
              <w:t xml:space="preserve"> </w:t>
            </w:r>
            <w:r w:rsidR="008939C6">
              <w:rPr>
                <w:bCs/>
              </w:rPr>
              <w:t>9.30</w:t>
            </w:r>
            <w:r w:rsidRPr="004410F5">
              <w:rPr>
                <w:bCs/>
              </w:rPr>
              <w:t xml:space="preserve"> hours of SBUA’s claimed work which break</w:t>
            </w:r>
            <w:r w:rsidR="00F37A99">
              <w:rPr>
                <w:bCs/>
              </w:rPr>
              <w:t xml:space="preserve">s </w:t>
            </w:r>
            <w:r w:rsidRPr="004410F5">
              <w:rPr>
                <w:bCs/>
              </w:rPr>
              <w:t>down as follows:</w:t>
            </w:r>
          </w:p>
          <w:p w:rsidR="001B1C52" w:rsidP="00C3374F" w:rsidRDefault="001B1C52" w14:paraId="17F036F2" w14:textId="77777777">
            <w:pPr>
              <w:tabs>
                <w:tab w:val="left" w:pos="1440"/>
              </w:tabs>
              <w:ind w:left="436"/>
              <w:rPr>
                <w:bCs/>
                <w:u w:val="single"/>
              </w:rPr>
            </w:pPr>
          </w:p>
          <w:p w:rsidRPr="002A6045" w:rsidR="001B1C52" w:rsidP="00C3374F" w:rsidRDefault="001B1C52" w14:paraId="652617D0" w14:textId="20BAD860">
            <w:pPr>
              <w:tabs>
                <w:tab w:val="left" w:pos="1440"/>
              </w:tabs>
              <w:ind w:left="436"/>
              <w:rPr>
                <w:bCs/>
                <w:u w:val="single"/>
              </w:rPr>
            </w:pPr>
            <w:r w:rsidRPr="000850DD">
              <w:rPr>
                <w:bCs/>
                <w:u w:val="single"/>
              </w:rPr>
              <w:t>2</w:t>
            </w:r>
            <w:r w:rsidRPr="002A6045">
              <w:rPr>
                <w:bCs/>
                <w:u w:val="single"/>
              </w:rPr>
              <w:t>024 (</w:t>
            </w:r>
            <w:r w:rsidRPr="002A6045" w:rsidR="008939C6">
              <w:rPr>
                <w:bCs/>
                <w:u w:val="single"/>
              </w:rPr>
              <w:t xml:space="preserve">9.30 </w:t>
            </w:r>
            <w:r w:rsidRPr="002A6045">
              <w:rPr>
                <w:bCs/>
                <w:u w:val="single"/>
              </w:rPr>
              <w:t>Hours)</w:t>
            </w:r>
          </w:p>
          <w:p w:rsidRPr="00C3374F" w:rsidR="001B1C52" w:rsidP="00C3374F" w:rsidRDefault="001B1C52" w14:paraId="6B60A645" w14:textId="5D309893">
            <w:pPr>
              <w:pStyle w:val="ListParagraph"/>
              <w:numPr>
                <w:ilvl w:val="0"/>
                <w:numId w:val="42"/>
              </w:numPr>
              <w:tabs>
                <w:tab w:val="left" w:pos="1440"/>
              </w:tabs>
              <w:rPr>
                <w:rFonts w:ascii="Times New Roman" w:hAnsi="Times New Roman"/>
                <w:bCs/>
                <w:sz w:val="24"/>
                <w:szCs w:val="24"/>
              </w:rPr>
            </w:pPr>
            <w:r w:rsidRPr="00C3374F">
              <w:rPr>
                <w:rFonts w:ascii="Times New Roman" w:hAnsi="Times New Roman"/>
                <w:bCs/>
                <w:sz w:val="24"/>
                <w:szCs w:val="24"/>
              </w:rPr>
              <w:t xml:space="preserve">Brown: </w:t>
            </w:r>
            <w:r w:rsidRPr="00C3374F" w:rsidR="006B1211">
              <w:rPr>
                <w:rFonts w:ascii="Times New Roman" w:hAnsi="Times New Roman"/>
                <w:bCs/>
                <w:sz w:val="24"/>
                <w:szCs w:val="24"/>
              </w:rPr>
              <w:t>7.20</w:t>
            </w:r>
            <w:r w:rsidRPr="00C3374F">
              <w:rPr>
                <w:rFonts w:ascii="Times New Roman" w:hAnsi="Times New Roman"/>
                <w:bCs/>
                <w:sz w:val="24"/>
                <w:szCs w:val="24"/>
              </w:rPr>
              <w:t xml:space="preserve"> hours </w:t>
            </w:r>
          </w:p>
          <w:p w:rsidRPr="00C3374F" w:rsidR="001B1C52" w:rsidP="00C3374F" w:rsidRDefault="001B1C52" w14:paraId="6D08E237" w14:textId="430D2CA2">
            <w:pPr>
              <w:pStyle w:val="ListParagraph"/>
              <w:numPr>
                <w:ilvl w:val="0"/>
                <w:numId w:val="42"/>
              </w:numPr>
              <w:tabs>
                <w:tab w:val="left" w:pos="1440"/>
              </w:tabs>
              <w:rPr>
                <w:rFonts w:ascii="Times New Roman" w:hAnsi="Times New Roman"/>
                <w:bCs/>
                <w:sz w:val="24"/>
                <w:szCs w:val="24"/>
              </w:rPr>
            </w:pPr>
            <w:r w:rsidRPr="00C3374F">
              <w:rPr>
                <w:rFonts w:ascii="Times New Roman" w:hAnsi="Times New Roman"/>
                <w:bCs/>
                <w:sz w:val="24"/>
                <w:szCs w:val="24"/>
              </w:rPr>
              <w:t xml:space="preserve">Birkelund: </w:t>
            </w:r>
            <w:r w:rsidRPr="00C3374F" w:rsidR="006B1211">
              <w:rPr>
                <w:rFonts w:ascii="Times New Roman" w:hAnsi="Times New Roman"/>
                <w:bCs/>
                <w:sz w:val="24"/>
                <w:szCs w:val="24"/>
              </w:rPr>
              <w:t>2.10</w:t>
            </w:r>
            <w:r w:rsidRPr="00C3374F">
              <w:rPr>
                <w:rFonts w:ascii="Times New Roman" w:hAnsi="Times New Roman"/>
                <w:bCs/>
                <w:sz w:val="24"/>
                <w:szCs w:val="24"/>
              </w:rPr>
              <w:t xml:space="preserve"> hours </w:t>
            </w:r>
          </w:p>
          <w:p w:rsidR="007D5657" w:rsidP="00C3374F" w:rsidRDefault="007D5657" w14:paraId="331C600E" w14:textId="77777777">
            <w:pPr>
              <w:tabs>
                <w:tab w:val="left" w:pos="1440"/>
              </w:tabs>
              <w:ind w:left="436"/>
              <w:rPr>
                <w:bCs/>
                <w:u w:val="single"/>
              </w:rPr>
            </w:pPr>
          </w:p>
          <w:p w:rsidRPr="004410F5" w:rsidR="0073220E" w:rsidP="00C3374F" w:rsidRDefault="004F6CDC" w14:paraId="1696915C" w14:textId="13DD66E0">
            <w:pPr>
              <w:tabs>
                <w:tab w:val="left" w:pos="1440"/>
              </w:tabs>
              <w:ind w:left="436"/>
              <w:rPr>
                <w:bCs/>
                <w:u w:val="single"/>
              </w:rPr>
            </w:pPr>
            <w:r w:rsidRPr="004410F5">
              <w:rPr>
                <w:bCs/>
                <w:u w:val="single"/>
              </w:rPr>
              <w:t xml:space="preserve">Issue 4: </w:t>
            </w:r>
            <w:r w:rsidRPr="004410F5" w:rsidR="0073220E">
              <w:rPr>
                <w:bCs/>
                <w:u w:val="single"/>
              </w:rPr>
              <w:t>RA</w:t>
            </w:r>
            <w:r w:rsidR="00693E95">
              <w:rPr>
                <w:bCs/>
                <w:u w:val="single"/>
              </w:rPr>
              <w:t xml:space="preserve"> and GHG Free Energy</w:t>
            </w:r>
            <w:r w:rsidRPr="004410F5" w:rsidR="0073220E">
              <w:rPr>
                <w:bCs/>
                <w:u w:val="single"/>
              </w:rPr>
              <w:t xml:space="preserve"> </w:t>
            </w:r>
            <w:r w:rsidRPr="004410F5" w:rsidR="000E020D">
              <w:rPr>
                <w:bCs/>
                <w:u w:val="single"/>
              </w:rPr>
              <w:t>(</w:t>
            </w:r>
            <w:r w:rsidR="006B1211">
              <w:rPr>
                <w:bCs/>
                <w:u w:val="single"/>
              </w:rPr>
              <w:t>14.00</w:t>
            </w:r>
            <w:r w:rsidRPr="004410F5" w:rsidR="00873986">
              <w:rPr>
                <w:bCs/>
                <w:u w:val="single"/>
              </w:rPr>
              <w:t xml:space="preserve"> Hours)</w:t>
            </w:r>
          </w:p>
          <w:p w:rsidR="005A030B" w:rsidP="00C3374F" w:rsidRDefault="00873986" w14:paraId="05A0304A" w14:textId="4A2C0A87">
            <w:pPr>
              <w:tabs>
                <w:tab w:val="left" w:pos="1440"/>
              </w:tabs>
              <w:ind w:left="436"/>
              <w:rPr>
                <w:bCs/>
              </w:rPr>
            </w:pPr>
            <w:r>
              <w:rPr>
                <w:bCs/>
              </w:rPr>
              <w:t>SBUA claimed 15.60 hours of work on Issue 4, with claimed contributions described in Part II.A above.</w:t>
            </w:r>
            <w:r w:rsidR="005A030B">
              <w:rPr>
                <w:bCs/>
              </w:rPr>
              <w:t xml:space="preserve"> </w:t>
            </w:r>
            <w:proofErr w:type="gramStart"/>
            <w:r w:rsidR="005A030B">
              <w:rPr>
                <w:bCs/>
              </w:rPr>
              <w:t>SBUA’s claimed</w:t>
            </w:r>
            <w:proofErr w:type="gramEnd"/>
            <w:r w:rsidR="005A030B">
              <w:rPr>
                <w:bCs/>
              </w:rPr>
              <w:t xml:space="preserve"> </w:t>
            </w:r>
            <w:r w:rsidRPr="005A030B" w:rsidR="005A030B">
              <w:rPr>
                <w:bCs/>
              </w:rPr>
              <w:t xml:space="preserve">contributions for Issue </w:t>
            </w:r>
            <w:r w:rsidR="005A030B">
              <w:rPr>
                <w:bCs/>
              </w:rPr>
              <w:t>4</w:t>
            </w:r>
            <w:r w:rsidRPr="005A030B" w:rsidR="005A030B">
              <w:rPr>
                <w:bCs/>
              </w:rPr>
              <w:t xml:space="preserve"> were included across 8 separate filings</w:t>
            </w:r>
            <w:r w:rsidR="00682A47">
              <w:rPr>
                <w:bCs/>
              </w:rPr>
              <w:t>.</w:t>
            </w:r>
            <w:r w:rsidRPr="005A030B" w:rsidR="005A030B">
              <w:rPr>
                <w:bCs/>
              </w:rPr>
              <w:t xml:space="preserve"> </w:t>
            </w:r>
            <w:r w:rsidR="005A030B">
              <w:rPr>
                <w:bCs/>
              </w:rPr>
              <w:t xml:space="preserve">We reviewed SBUA’s claimed contributions to the </w:t>
            </w:r>
            <w:r w:rsidR="0033736F">
              <w:rPr>
                <w:bCs/>
              </w:rPr>
              <w:t xml:space="preserve">D.24-12-033 and D.25-07-041 </w:t>
            </w:r>
            <w:r w:rsidR="005A030B">
              <w:rPr>
                <w:bCs/>
              </w:rPr>
              <w:t>and found that most of their work did not meet the substantial contribution standards of Sections §</w:t>
            </w:r>
            <w:r w:rsidR="004F0112">
              <w:rPr>
                <w:bCs/>
              </w:rPr>
              <w:t xml:space="preserve"> </w:t>
            </w:r>
            <w:r w:rsidR="005A030B">
              <w:rPr>
                <w:bCs/>
              </w:rPr>
              <w:t>1802(j) or §</w:t>
            </w:r>
            <w:r w:rsidR="004F0112">
              <w:rPr>
                <w:bCs/>
              </w:rPr>
              <w:t xml:space="preserve"> </w:t>
            </w:r>
            <w:r w:rsidR="005A030B">
              <w:rPr>
                <w:bCs/>
              </w:rPr>
              <w:t xml:space="preserve">1802.5 of the </w:t>
            </w:r>
            <w:r w:rsidR="002A6045">
              <w:rPr>
                <w:bCs/>
              </w:rPr>
              <w:t xml:space="preserve">Pub. Util. </w:t>
            </w:r>
            <w:r w:rsidRPr="000850DD" w:rsidR="005A030B">
              <w:rPr>
                <w:bCs/>
              </w:rPr>
              <w:t>Code</w:t>
            </w:r>
            <w:r w:rsidR="005A030B">
              <w:rPr>
                <w:bCs/>
              </w:rPr>
              <w:t>.</w:t>
            </w:r>
          </w:p>
          <w:p w:rsidR="005A030B" w:rsidP="00C3374F" w:rsidRDefault="005A030B" w14:paraId="5EF8AF69" w14:textId="77777777">
            <w:pPr>
              <w:tabs>
                <w:tab w:val="left" w:pos="1440"/>
              </w:tabs>
              <w:ind w:left="436"/>
              <w:rPr>
                <w:bCs/>
              </w:rPr>
            </w:pPr>
          </w:p>
          <w:p w:rsidRPr="000850DD" w:rsidR="00FE6C90" w:rsidP="00C3374F" w:rsidRDefault="001B1C52" w14:paraId="3E1943C5" w14:textId="001338EC">
            <w:pPr>
              <w:tabs>
                <w:tab w:val="left" w:pos="1440"/>
              </w:tabs>
              <w:ind w:left="436"/>
              <w:rPr>
                <w:bCs/>
                <w:u w:val="single"/>
              </w:rPr>
            </w:pPr>
            <w:r>
              <w:rPr>
                <w:bCs/>
              </w:rPr>
              <w:t xml:space="preserve">SBUA supported PG&amp;E’s proposal to adjust the </w:t>
            </w:r>
            <w:r w:rsidR="00873986">
              <w:rPr>
                <w:bCs/>
              </w:rPr>
              <w:t>RA</w:t>
            </w:r>
            <w:r>
              <w:rPr>
                <w:bCs/>
              </w:rPr>
              <w:t xml:space="preserve"> and </w:t>
            </w:r>
            <w:r w:rsidR="00873986">
              <w:rPr>
                <w:bCs/>
              </w:rPr>
              <w:t>GHG</w:t>
            </w:r>
            <w:r>
              <w:rPr>
                <w:bCs/>
              </w:rPr>
              <w:t xml:space="preserve"> benefit allocation, however, the Commission concluded that PG&amp;E’s proposal did not comply with implementation of the RA allocation methodology adopted in D.23-12-036 and was rejected.</w:t>
            </w:r>
            <w:r w:rsidR="005A030B">
              <w:rPr>
                <w:bCs/>
              </w:rPr>
              <w:t xml:space="preserve"> SBUA did not identify specific language in </w:t>
            </w:r>
            <w:r w:rsidR="0033736F">
              <w:rPr>
                <w:bCs/>
              </w:rPr>
              <w:t xml:space="preserve">D.24-12-033 and D.25-07-041 </w:t>
            </w:r>
            <w:r w:rsidR="005A030B">
              <w:rPr>
                <w:bCs/>
              </w:rPr>
              <w:t xml:space="preserve">to demonstrate that its participation assisted the Commission in writing </w:t>
            </w:r>
            <w:r w:rsidR="0033736F">
              <w:rPr>
                <w:bCs/>
              </w:rPr>
              <w:t xml:space="preserve">the Decisions(s) </w:t>
            </w:r>
            <w:r w:rsidR="005A030B">
              <w:rPr>
                <w:bCs/>
              </w:rPr>
              <w:t xml:space="preserve">and did not offer a unique </w:t>
            </w:r>
            <w:r w:rsidRPr="00F36D40" w:rsidR="005A030B">
              <w:rPr>
                <w:bCs/>
              </w:rPr>
              <w:t xml:space="preserve">perspective on Issue </w:t>
            </w:r>
            <w:r w:rsidR="005A030B">
              <w:rPr>
                <w:bCs/>
              </w:rPr>
              <w:t>4</w:t>
            </w:r>
            <w:r w:rsidRPr="00F36D40" w:rsidR="005A030B">
              <w:rPr>
                <w:bCs/>
              </w:rPr>
              <w:t xml:space="preserve"> that substantially contributed to the </w:t>
            </w:r>
            <w:r w:rsidR="0033736F">
              <w:rPr>
                <w:bCs/>
              </w:rPr>
              <w:t>decision-making process</w:t>
            </w:r>
            <w:r w:rsidRPr="00F36D40" w:rsidR="005A030B">
              <w:rPr>
                <w:bCs/>
              </w:rPr>
              <w:t xml:space="preserve">. </w:t>
            </w:r>
            <w:r w:rsidRPr="004410F5" w:rsidR="00FE6C90">
              <w:rPr>
                <w:bCs/>
              </w:rPr>
              <w:t xml:space="preserve">Therefore, we find it </w:t>
            </w:r>
            <w:r w:rsidRPr="004410F5" w:rsidR="00FE6C90">
              <w:rPr>
                <w:bCs/>
              </w:rPr>
              <w:lastRenderedPageBreak/>
              <w:t xml:space="preserve">reasonable to </w:t>
            </w:r>
            <w:r w:rsidR="002A6045">
              <w:rPr>
                <w:bCs/>
              </w:rPr>
              <w:t>reduce</w:t>
            </w:r>
            <w:r w:rsidRPr="004410F5" w:rsidR="002A6045">
              <w:rPr>
                <w:bCs/>
              </w:rPr>
              <w:t xml:space="preserve"> </w:t>
            </w:r>
            <w:r w:rsidRPr="004410F5" w:rsidR="00FE6C90">
              <w:rPr>
                <w:bCs/>
              </w:rPr>
              <w:t>1</w:t>
            </w:r>
            <w:r w:rsidR="008939C6">
              <w:rPr>
                <w:bCs/>
              </w:rPr>
              <w:t>4.00</w:t>
            </w:r>
            <w:r w:rsidRPr="004410F5" w:rsidR="00FE6C90">
              <w:rPr>
                <w:bCs/>
              </w:rPr>
              <w:t xml:space="preserve"> hours of SBUA’s claimed work which break</w:t>
            </w:r>
            <w:r w:rsidR="00F37A99">
              <w:rPr>
                <w:bCs/>
              </w:rPr>
              <w:t xml:space="preserve">s </w:t>
            </w:r>
            <w:r w:rsidRPr="004410F5" w:rsidR="00FE6C90">
              <w:rPr>
                <w:bCs/>
              </w:rPr>
              <w:t>down as follows:</w:t>
            </w:r>
          </w:p>
          <w:p w:rsidRPr="000850DD" w:rsidR="00873986" w:rsidP="00C3374F" w:rsidRDefault="00873986" w14:paraId="277D19A9" w14:textId="77777777">
            <w:pPr>
              <w:tabs>
                <w:tab w:val="left" w:pos="1440"/>
              </w:tabs>
              <w:ind w:left="436"/>
              <w:rPr>
                <w:bCs/>
              </w:rPr>
            </w:pPr>
          </w:p>
          <w:p w:rsidRPr="002A6045" w:rsidR="00873986" w:rsidP="00C3374F" w:rsidRDefault="00873986" w14:paraId="54990604" w14:textId="3D750FD4">
            <w:pPr>
              <w:tabs>
                <w:tab w:val="left" w:pos="1440"/>
              </w:tabs>
              <w:ind w:left="436"/>
              <w:rPr>
                <w:bCs/>
                <w:u w:val="single"/>
              </w:rPr>
            </w:pPr>
            <w:r w:rsidRPr="000850DD">
              <w:rPr>
                <w:bCs/>
                <w:u w:val="single"/>
              </w:rPr>
              <w:t>2</w:t>
            </w:r>
            <w:r w:rsidRPr="002A6045">
              <w:rPr>
                <w:bCs/>
                <w:u w:val="single"/>
              </w:rPr>
              <w:t>024 (</w:t>
            </w:r>
            <w:r w:rsidRPr="002A6045" w:rsidR="008939C6">
              <w:rPr>
                <w:bCs/>
                <w:u w:val="single"/>
              </w:rPr>
              <w:t>14.00</w:t>
            </w:r>
            <w:r w:rsidRPr="002A6045">
              <w:rPr>
                <w:bCs/>
                <w:u w:val="single"/>
              </w:rPr>
              <w:t xml:space="preserve"> Hours)</w:t>
            </w:r>
          </w:p>
          <w:p w:rsidRPr="00C3374F" w:rsidR="00873986" w:rsidP="00C3374F" w:rsidRDefault="00873986" w14:paraId="3F07E2C5" w14:textId="0E6EA928">
            <w:pPr>
              <w:pStyle w:val="ListParagraph"/>
              <w:numPr>
                <w:ilvl w:val="0"/>
                <w:numId w:val="43"/>
              </w:numPr>
              <w:tabs>
                <w:tab w:val="left" w:pos="1440"/>
              </w:tabs>
              <w:rPr>
                <w:rFonts w:ascii="Times New Roman" w:hAnsi="Times New Roman"/>
                <w:bCs/>
                <w:sz w:val="24"/>
                <w:szCs w:val="24"/>
              </w:rPr>
            </w:pPr>
            <w:r w:rsidRPr="00C3374F">
              <w:rPr>
                <w:rFonts w:ascii="Times New Roman" w:hAnsi="Times New Roman"/>
                <w:bCs/>
                <w:sz w:val="24"/>
                <w:szCs w:val="24"/>
              </w:rPr>
              <w:t>Marra: 0.</w:t>
            </w:r>
            <w:r w:rsidRPr="00C3374F" w:rsidR="006B1211">
              <w:rPr>
                <w:rFonts w:ascii="Times New Roman" w:hAnsi="Times New Roman"/>
                <w:bCs/>
                <w:sz w:val="24"/>
                <w:szCs w:val="24"/>
              </w:rPr>
              <w:t>50</w:t>
            </w:r>
            <w:r w:rsidRPr="00C3374F">
              <w:rPr>
                <w:rFonts w:ascii="Times New Roman" w:hAnsi="Times New Roman"/>
                <w:bCs/>
                <w:sz w:val="24"/>
                <w:szCs w:val="24"/>
              </w:rPr>
              <w:t xml:space="preserve"> hour</w:t>
            </w:r>
          </w:p>
          <w:p w:rsidRPr="00C3374F" w:rsidR="00873986" w:rsidP="00C3374F" w:rsidRDefault="00873986" w14:paraId="4BDEE699" w14:textId="13AA6F45">
            <w:pPr>
              <w:pStyle w:val="ListParagraph"/>
              <w:numPr>
                <w:ilvl w:val="0"/>
                <w:numId w:val="43"/>
              </w:numPr>
              <w:tabs>
                <w:tab w:val="left" w:pos="1440"/>
              </w:tabs>
              <w:rPr>
                <w:rFonts w:ascii="Times New Roman" w:hAnsi="Times New Roman"/>
                <w:bCs/>
                <w:sz w:val="24"/>
                <w:szCs w:val="24"/>
              </w:rPr>
            </w:pPr>
            <w:r w:rsidRPr="00C3374F">
              <w:rPr>
                <w:rFonts w:ascii="Times New Roman" w:hAnsi="Times New Roman"/>
                <w:bCs/>
                <w:sz w:val="24"/>
                <w:szCs w:val="24"/>
              </w:rPr>
              <w:t xml:space="preserve">Brown: </w:t>
            </w:r>
            <w:r w:rsidRPr="00C3374F" w:rsidR="006B1211">
              <w:rPr>
                <w:rFonts w:ascii="Times New Roman" w:hAnsi="Times New Roman"/>
                <w:bCs/>
                <w:sz w:val="24"/>
                <w:szCs w:val="24"/>
              </w:rPr>
              <w:t>6.80</w:t>
            </w:r>
            <w:r w:rsidRPr="00C3374F">
              <w:rPr>
                <w:rFonts w:ascii="Times New Roman" w:hAnsi="Times New Roman"/>
                <w:bCs/>
                <w:sz w:val="24"/>
                <w:szCs w:val="24"/>
              </w:rPr>
              <w:t xml:space="preserve"> hours</w:t>
            </w:r>
          </w:p>
          <w:p w:rsidRPr="00C3374F" w:rsidR="001B1C52" w:rsidP="00C3374F" w:rsidRDefault="00873986" w14:paraId="0863FC78" w14:textId="54685628">
            <w:pPr>
              <w:pStyle w:val="ListParagraph"/>
              <w:numPr>
                <w:ilvl w:val="0"/>
                <w:numId w:val="43"/>
              </w:numPr>
              <w:tabs>
                <w:tab w:val="left" w:pos="1440"/>
              </w:tabs>
              <w:rPr>
                <w:rFonts w:ascii="Times New Roman" w:hAnsi="Times New Roman"/>
                <w:bCs/>
                <w:sz w:val="24"/>
                <w:szCs w:val="24"/>
              </w:rPr>
            </w:pPr>
            <w:r w:rsidRPr="00C3374F">
              <w:rPr>
                <w:rFonts w:ascii="Times New Roman" w:hAnsi="Times New Roman"/>
                <w:bCs/>
                <w:sz w:val="24"/>
                <w:szCs w:val="24"/>
              </w:rPr>
              <w:t xml:space="preserve">Birkelund: </w:t>
            </w:r>
            <w:r w:rsidRPr="00C3374F" w:rsidR="006B1211">
              <w:rPr>
                <w:rFonts w:ascii="Times New Roman" w:hAnsi="Times New Roman"/>
                <w:bCs/>
                <w:sz w:val="24"/>
                <w:szCs w:val="24"/>
              </w:rPr>
              <w:t>6.70</w:t>
            </w:r>
            <w:r w:rsidRPr="00C3374F">
              <w:rPr>
                <w:rFonts w:ascii="Times New Roman" w:hAnsi="Times New Roman"/>
                <w:bCs/>
                <w:sz w:val="24"/>
                <w:szCs w:val="24"/>
              </w:rPr>
              <w:t xml:space="preserve"> hours</w:t>
            </w:r>
          </w:p>
          <w:p w:rsidRPr="004410F5" w:rsidR="000E020D" w:rsidP="002A6045" w:rsidRDefault="000E020D" w14:paraId="6BA14D5F" w14:textId="0640AF99">
            <w:pPr>
              <w:tabs>
                <w:tab w:val="left" w:pos="1440"/>
              </w:tabs>
              <w:rPr>
                <w:rFonts w:asciiTheme="majorBidi" w:hAnsiTheme="majorBidi" w:cstheme="majorBidi"/>
                <w:color w:val="000000"/>
              </w:rPr>
            </w:pPr>
          </w:p>
        </w:tc>
      </w:tr>
      <w:tr w:rsidRPr="008936E4" w:rsidR="005F6717" w:rsidTr="00AB264D" w14:paraId="5A4B7B0C" w14:textId="77777777">
        <w:tc>
          <w:tcPr>
            <w:tcW w:w="2469" w:type="dxa"/>
          </w:tcPr>
          <w:p w:rsidR="005F6717" w:rsidP="004651C4" w:rsidRDefault="005F6717" w14:paraId="401F6C14" w14:textId="3E1DAB70">
            <w:pPr>
              <w:tabs>
                <w:tab w:val="left" w:pos="1440"/>
              </w:tabs>
            </w:pPr>
            <w:r>
              <w:lastRenderedPageBreak/>
              <w:t>[</w:t>
            </w:r>
            <w:r w:rsidR="00A63C66">
              <w:t>5</w:t>
            </w:r>
            <w:r>
              <w:t xml:space="preserve">] Marra </w:t>
            </w:r>
            <w:r w:rsidR="00FE1BE8">
              <w:t>2024</w:t>
            </w:r>
          </w:p>
          <w:p w:rsidR="005F6717" w:rsidP="004651C4" w:rsidRDefault="0039634C" w14:paraId="3404E78F" w14:textId="60E504F9">
            <w:pPr>
              <w:tabs>
                <w:tab w:val="left" w:pos="1440"/>
              </w:tabs>
            </w:pPr>
            <w:r>
              <w:t>Lack of Substantial Contribution</w:t>
            </w:r>
            <w:r w:rsidR="00745A63">
              <w:t>, Travel &amp; Lodging</w:t>
            </w:r>
            <w:r>
              <w:t xml:space="preserve"> </w:t>
            </w:r>
            <w:r w:rsidR="00A14D4C">
              <w:t>Disallowances</w:t>
            </w:r>
          </w:p>
        </w:tc>
        <w:tc>
          <w:tcPr>
            <w:tcW w:w="6891" w:type="dxa"/>
          </w:tcPr>
          <w:p w:rsidRPr="001A5735" w:rsidR="00A14D4C" w:rsidP="00177113" w:rsidRDefault="0048586E" w14:paraId="196E3A7D" w14:textId="14906E4C">
            <w:pPr>
              <w:tabs>
                <w:tab w:val="left" w:pos="1440"/>
              </w:tabs>
              <w:ind w:left="30"/>
              <w:rPr>
                <w:color w:val="000000"/>
                <w:u w:val="single"/>
              </w:rPr>
            </w:pPr>
            <w:r w:rsidRPr="001A5735">
              <w:rPr>
                <w:color w:val="000000"/>
                <w:u w:val="single"/>
              </w:rPr>
              <w:t>Diablo Canyon Tour (DCPP)</w:t>
            </w:r>
            <w:r w:rsidRPr="001A5735" w:rsidR="00A14D4C">
              <w:rPr>
                <w:color w:val="000000"/>
                <w:u w:val="single"/>
              </w:rPr>
              <w:t xml:space="preserve"> (</w:t>
            </w:r>
            <w:r w:rsidRPr="001A5735">
              <w:rPr>
                <w:color w:val="000000"/>
                <w:u w:val="single"/>
              </w:rPr>
              <w:t>15.00 H</w:t>
            </w:r>
            <w:r w:rsidRPr="001A5735" w:rsidR="00A14D4C">
              <w:rPr>
                <w:color w:val="000000"/>
                <w:u w:val="single"/>
              </w:rPr>
              <w:t>ours)</w:t>
            </w:r>
          </w:p>
          <w:p w:rsidRPr="001A5735" w:rsidR="0048586E" w:rsidP="00177113" w:rsidRDefault="0048586E" w14:paraId="1DCD79CE" w14:textId="29A3A9BC">
            <w:pPr>
              <w:tabs>
                <w:tab w:val="left" w:pos="1440"/>
              </w:tabs>
              <w:ind w:left="30"/>
              <w:rPr>
                <w:color w:val="000000"/>
                <w:u w:val="single"/>
              </w:rPr>
            </w:pPr>
            <w:r w:rsidRPr="001A5735">
              <w:rPr>
                <w:color w:val="000000"/>
              </w:rPr>
              <w:t xml:space="preserve">SBUA claimed substantial contributions to the decision-making process for attending the DCPP Tour, however, nowhere in this claim does SBUA describe how Marra’s attendance at these events was necessary </w:t>
            </w:r>
            <w:r w:rsidR="0088495F">
              <w:rPr>
                <w:color w:val="000000"/>
              </w:rPr>
              <w:t xml:space="preserve">for her participation in this proceeding </w:t>
            </w:r>
            <w:r w:rsidRPr="001A5735">
              <w:rPr>
                <w:color w:val="000000"/>
              </w:rPr>
              <w:t>or substantially</w:t>
            </w:r>
            <w:r w:rsidRPr="001A5735" w:rsidR="0039634C">
              <w:rPr>
                <w:color w:val="000000"/>
              </w:rPr>
              <w:t xml:space="preserve"> </w:t>
            </w:r>
            <w:r w:rsidRPr="001A5735">
              <w:rPr>
                <w:color w:val="000000"/>
              </w:rPr>
              <w:t>contributed to the decision-making process. We, therefore, reduce all hours Marra claimed for attending, driving to and from, and lodging at these events, which break</w:t>
            </w:r>
            <w:r w:rsidRPr="001A5735" w:rsidR="00B95C3B">
              <w:rPr>
                <w:color w:val="000000"/>
              </w:rPr>
              <w:t>s</w:t>
            </w:r>
            <w:r w:rsidRPr="001A5735" w:rsidR="00B95C3B">
              <w:t xml:space="preserve"> </w:t>
            </w:r>
            <w:r w:rsidRPr="001A5735">
              <w:rPr>
                <w:color w:val="000000"/>
              </w:rPr>
              <w:t>down as follows:</w:t>
            </w:r>
          </w:p>
          <w:p w:rsidRPr="001A5735" w:rsidR="005F7ECC" w:rsidP="00177113" w:rsidRDefault="005F7ECC" w14:paraId="5A8C764B" w14:textId="77777777">
            <w:pPr>
              <w:tabs>
                <w:tab w:val="left" w:pos="1440"/>
              </w:tabs>
              <w:ind w:left="30"/>
              <w:rPr>
                <w:color w:val="000000"/>
              </w:rPr>
            </w:pPr>
          </w:p>
          <w:p w:rsidRPr="001A5735" w:rsidR="007D20C3" w:rsidP="006B56DC" w:rsidRDefault="0048586E" w14:paraId="2B71C445" w14:textId="0BE300D8">
            <w:pPr>
              <w:tabs>
                <w:tab w:val="left" w:pos="1440"/>
              </w:tabs>
              <w:ind w:left="391"/>
              <w:rPr>
                <w:color w:val="000000"/>
                <w:u w:val="single"/>
              </w:rPr>
            </w:pPr>
            <w:r w:rsidRPr="001A5735">
              <w:rPr>
                <w:color w:val="000000"/>
                <w:u w:val="single"/>
              </w:rPr>
              <w:t>DCPP Tour</w:t>
            </w:r>
            <w:r w:rsidRPr="001A5735" w:rsidR="007D20C3">
              <w:rPr>
                <w:color w:val="000000"/>
                <w:u w:val="single"/>
              </w:rPr>
              <w:t xml:space="preserve"> (</w:t>
            </w:r>
            <w:r w:rsidRPr="001A5735" w:rsidR="0039634C">
              <w:rPr>
                <w:color w:val="000000"/>
                <w:u w:val="single"/>
              </w:rPr>
              <w:t>5.75</w:t>
            </w:r>
            <w:r w:rsidRPr="001A5735" w:rsidR="007D20C3">
              <w:rPr>
                <w:color w:val="000000"/>
                <w:u w:val="single"/>
              </w:rPr>
              <w:t xml:space="preserve"> Hours)</w:t>
            </w:r>
          </w:p>
          <w:p w:rsidRPr="001A5735" w:rsidR="0039634C" w:rsidP="006B56DC" w:rsidRDefault="0048586E" w14:paraId="3DE07FAC" w14:textId="50BF87C1">
            <w:pPr>
              <w:pStyle w:val="ListParagraph"/>
              <w:numPr>
                <w:ilvl w:val="0"/>
                <w:numId w:val="46"/>
              </w:numPr>
              <w:tabs>
                <w:tab w:val="left" w:pos="1440"/>
              </w:tabs>
              <w:ind w:left="751"/>
              <w:rPr>
                <w:rFonts w:ascii="Times New Roman" w:hAnsi="Times New Roman"/>
                <w:color w:val="000000"/>
                <w:sz w:val="24"/>
                <w:szCs w:val="24"/>
                <w:u w:val="single"/>
              </w:rPr>
            </w:pPr>
            <w:r w:rsidRPr="00E746B1">
              <w:rPr>
                <w:rFonts w:ascii="Times New Roman" w:hAnsi="Times New Roman"/>
                <w:color w:val="000000"/>
                <w:sz w:val="24"/>
                <w:szCs w:val="24"/>
              </w:rPr>
              <w:t>07/19/24: Tour of Diablo Canyon Power Plant</w:t>
            </w:r>
          </w:p>
          <w:p w:rsidRPr="001A5735" w:rsidR="0039634C" w:rsidP="00177113" w:rsidRDefault="0039634C" w14:paraId="6319DD02" w14:textId="77777777">
            <w:pPr>
              <w:tabs>
                <w:tab w:val="left" w:pos="1440"/>
              </w:tabs>
              <w:ind w:left="30"/>
              <w:rPr>
                <w:color w:val="000000"/>
                <w:u w:val="single"/>
              </w:rPr>
            </w:pPr>
          </w:p>
          <w:p w:rsidRPr="001A5735" w:rsidR="0039634C" w:rsidP="006B56DC" w:rsidRDefault="0039634C" w14:paraId="763BAE56" w14:textId="416F2A43">
            <w:pPr>
              <w:tabs>
                <w:tab w:val="left" w:pos="1440"/>
              </w:tabs>
              <w:ind w:left="360"/>
              <w:rPr>
                <w:color w:val="000000"/>
                <w:u w:val="single"/>
              </w:rPr>
            </w:pPr>
            <w:r w:rsidRPr="001A5735">
              <w:rPr>
                <w:color w:val="000000"/>
                <w:u w:val="single"/>
              </w:rPr>
              <w:t xml:space="preserve">Travel </w:t>
            </w:r>
            <w:r w:rsidRPr="001A5735" w:rsidR="00C3374F">
              <w:rPr>
                <w:color w:val="000000"/>
                <w:u w:val="single"/>
              </w:rPr>
              <w:t xml:space="preserve">Hours (Other Fees) </w:t>
            </w:r>
            <w:r w:rsidRPr="001A5735">
              <w:rPr>
                <w:color w:val="000000"/>
                <w:u w:val="single"/>
              </w:rPr>
              <w:t>and Lodging (9.25 Hours)</w:t>
            </w:r>
          </w:p>
          <w:p w:rsidRPr="001A5735" w:rsidR="0039634C" w:rsidP="006B56DC" w:rsidRDefault="0039634C" w14:paraId="46BF054B" w14:textId="77777777">
            <w:pPr>
              <w:pStyle w:val="ListParagraph"/>
              <w:numPr>
                <w:ilvl w:val="0"/>
                <w:numId w:val="34"/>
              </w:numPr>
              <w:tabs>
                <w:tab w:val="left" w:pos="1440"/>
              </w:tabs>
              <w:rPr>
                <w:rFonts w:ascii="Times New Roman" w:hAnsi="Times New Roman"/>
                <w:color w:val="000000"/>
                <w:sz w:val="24"/>
                <w:szCs w:val="24"/>
                <w:u w:val="single"/>
              </w:rPr>
            </w:pPr>
            <w:r w:rsidRPr="00E746B1">
              <w:rPr>
                <w:rFonts w:ascii="Times New Roman" w:hAnsi="Times New Roman"/>
                <w:color w:val="000000"/>
                <w:sz w:val="24"/>
                <w:szCs w:val="24"/>
              </w:rPr>
              <w:t>07/18/24: Travel to San Luis Obispo (4.75 Hours)</w:t>
            </w:r>
          </w:p>
          <w:p w:rsidRPr="00E746B1" w:rsidR="0039634C" w:rsidP="006B56DC" w:rsidRDefault="0039634C" w14:paraId="293AE9F6" w14:textId="77777777">
            <w:pPr>
              <w:pStyle w:val="ListParagraph"/>
              <w:numPr>
                <w:ilvl w:val="0"/>
                <w:numId w:val="34"/>
              </w:numPr>
              <w:tabs>
                <w:tab w:val="left" w:pos="1440"/>
              </w:tabs>
              <w:rPr>
                <w:rFonts w:ascii="Times New Roman" w:hAnsi="Times New Roman"/>
                <w:color w:val="000000"/>
                <w:sz w:val="24"/>
                <w:szCs w:val="24"/>
              </w:rPr>
            </w:pPr>
            <w:r w:rsidRPr="00E746B1">
              <w:rPr>
                <w:rFonts w:ascii="Times New Roman" w:hAnsi="Times New Roman"/>
                <w:color w:val="000000"/>
                <w:sz w:val="24"/>
                <w:szCs w:val="24"/>
              </w:rPr>
              <w:t>07/19/24: Hotel $417.69</w:t>
            </w:r>
          </w:p>
          <w:p w:rsidRPr="00E746B1" w:rsidR="0039634C" w:rsidP="006B56DC" w:rsidRDefault="0039634C" w14:paraId="542E426E" w14:textId="77777777">
            <w:pPr>
              <w:pStyle w:val="ListParagraph"/>
              <w:numPr>
                <w:ilvl w:val="0"/>
                <w:numId w:val="34"/>
              </w:numPr>
              <w:tabs>
                <w:tab w:val="left" w:pos="1440"/>
              </w:tabs>
              <w:rPr>
                <w:rFonts w:ascii="Times New Roman" w:hAnsi="Times New Roman"/>
                <w:color w:val="000000"/>
                <w:sz w:val="24"/>
                <w:szCs w:val="24"/>
              </w:rPr>
            </w:pPr>
            <w:r w:rsidRPr="00E746B1">
              <w:rPr>
                <w:rFonts w:ascii="Times New Roman" w:hAnsi="Times New Roman"/>
                <w:color w:val="000000"/>
                <w:sz w:val="24"/>
                <w:szCs w:val="24"/>
              </w:rPr>
              <w:t>07/19/24: Flight $316.20</w:t>
            </w:r>
          </w:p>
          <w:p w:rsidRPr="00E746B1" w:rsidR="0039634C" w:rsidP="006B56DC" w:rsidRDefault="0039634C" w14:paraId="0DB75B6B" w14:textId="77777777">
            <w:pPr>
              <w:pStyle w:val="ListParagraph"/>
              <w:numPr>
                <w:ilvl w:val="0"/>
                <w:numId w:val="34"/>
              </w:numPr>
              <w:tabs>
                <w:tab w:val="left" w:pos="1440"/>
              </w:tabs>
              <w:rPr>
                <w:rFonts w:ascii="Times New Roman" w:hAnsi="Times New Roman"/>
                <w:color w:val="000000"/>
                <w:sz w:val="24"/>
                <w:szCs w:val="24"/>
              </w:rPr>
            </w:pPr>
            <w:r w:rsidRPr="00E746B1">
              <w:rPr>
                <w:rFonts w:ascii="Times New Roman" w:hAnsi="Times New Roman"/>
                <w:color w:val="000000"/>
                <w:sz w:val="24"/>
                <w:szCs w:val="24"/>
              </w:rPr>
              <w:t>07/19/24: Car rental $108.28</w:t>
            </w:r>
          </w:p>
          <w:p w:rsidRPr="001A5735" w:rsidR="0039634C" w:rsidP="006B56DC" w:rsidRDefault="0039634C" w14:paraId="2933A2F4" w14:textId="77777777">
            <w:pPr>
              <w:pStyle w:val="ListParagraph"/>
              <w:numPr>
                <w:ilvl w:val="0"/>
                <w:numId w:val="34"/>
              </w:numPr>
              <w:tabs>
                <w:tab w:val="left" w:pos="1440"/>
              </w:tabs>
              <w:rPr>
                <w:rFonts w:ascii="Times New Roman" w:hAnsi="Times New Roman"/>
                <w:color w:val="000000"/>
                <w:sz w:val="24"/>
                <w:szCs w:val="24"/>
                <w:u w:val="single"/>
              </w:rPr>
            </w:pPr>
            <w:r w:rsidRPr="00E746B1">
              <w:rPr>
                <w:rFonts w:ascii="Times New Roman" w:hAnsi="Times New Roman"/>
                <w:color w:val="000000"/>
                <w:sz w:val="24"/>
                <w:szCs w:val="24"/>
              </w:rPr>
              <w:t>07/20/24: Travel from San Luis Obispo (4.50 Hours)</w:t>
            </w:r>
          </w:p>
          <w:p w:rsidRPr="001A5735" w:rsidR="00A14D4C" w:rsidP="00F96E5A" w:rsidRDefault="00A14D4C" w14:paraId="3B3423BA" w14:textId="68666496">
            <w:pPr>
              <w:tabs>
                <w:tab w:val="left" w:pos="1440"/>
              </w:tabs>
              <w:rPr>
                <w:color w:val="000000"/>
                <w:u w:val="single"/>
              </w:rPr>
            </w:pPr>
          </w:p>
        </w:tc>
      </w:tr>
      <w:tr w:rsidRPr="008936E4" w:rsidR="004651C4" w:rsidTr="00AB264D" w14:paraId="64A4F96F" w14:textId="77777777">
        <w:tc>
          <w:tcPr>
            <w:tcW w:w="2469" w:type="dxa"/>
          </w:tcPr>
          <w:p w:rsidRPr="00E71497" w:rsidR="004651C4" w:rsidP="004651C4" w:rsidRDefault="004651C4" w14:paraId="7B59CDE2" w14:textId="7073DD3E">
            <w:pPr>
              <w:tabs>
                <w:tab w:val="left" w:pos="1440"/>
              </w:tabs>
              <w:rPr>
                <w:rFonts w:asciiTheme="majorBidi" w:hAnsiTheme="majorBidi" w:cstheme="majorBidi"/>
              </w:rPr>
            </w:pPr>
            <w:r w:rsidRPr="00D161FC">
              <w:rPr>
                <w:rFonts w:asciiTheme="majorBidi" w:hAnsiTheme="majorBidi" w:cstheme="majorBidi"/>
              </w:rPr>
              <w:t>[</w:t>
            </w:r>
            <w:r w:rsidR="00A63C66">
              <w:rPr>
                <w:rFonts w:asciiTheme="majorBidi" w:hAnsiTheme="majorBidi" w:cstheme="majorBidi"/>
              </w:rPr>
              <w:t>6</w:t>
            </w:r>
            <w:r w:rsidRPr="00D161FC">
              <w:rPr>
                <w:rFonts w:asciiTheme="majorBidi" w:hAnsiTheme="majorBidi" w:cstheme="majorBidi"/>
              </w:rPr>
              <w:t xml:space="preserve">] </w:t>
            </w:r>
            <w:r w:rsidRPr="00F95AD0" w:rsidR="001B7730">
              <w:rPr>
                <w:rFonts w:asciiTheme="majorBidi" w:hAnsiTheme="majorBidi" w:cstheme="majorBidi"/>
                <w:color w:val="000000"/>
              </w:rPr>
              <w:t>Intervenor Responsibility for Transparency and Accuracy in Compensation Requests</w:t>
            </w:r>
          </w:p>
          <w:p w:rsidRPr="008936E4" w:rsidR="004651C4" w:rsidP="004651C4" w:rsidRDefault="004651C4" w14:paraId="147F6894" w14:textId="1B0AEEE9">
            <w:pPr>
              <w:tabs>
                <w:tab w:val="left" w:pos="1440"/>
              </w:tabs>
              <w:rPr>
                <w:rFonts w:asciiTheme="majorBidi" w:hAnsiTheme="majorBidi" w:cstheme="majorBidi"/>
                <w:color w:val="000000"/>
              </w:rPr>
            </w:pPr>
          </w:p>
        </w:tc>
        <w:tc>
          <w:tcPr>
            <w:tcW w:w="6891" w:type="dxa"/>
          </w:tcPr>
          <w:p w:rsidRPr="001A5735" w:rsidR="004651C4" w:rsidP="004651C4" w:rsidRDefault="004651C4" w14:paraId="626BD0E1" w14:textId="77777777">
            <w:r w:rsidRPr="001A5735">
              <w:t xml:space="preserve">The Commission takes this opportunity to remind all intervenors that they bear the burden of providing accurate, complete, and honest information </w:t>
            </w:r>
            <w:proofErr w:type="gramStart"/>
            <w:r w:rsidRPr="001A5735">
              <w:t>in</w:t>
            </w:r>
            <w:proofErr w:type="gramEnd"/>
            <w:r w:rsidRPr="001A5735">
              <w:t xml:space="preserve"> all compensation requests. The Commission relies on intervenors' good faith representations, particularly regarding consultant agreements and payments, as it does not have the resources to review every contract or non-standard arrangement in detail.</w:t>
            </w:r>
          </w:p>
          <w:p w:rsidRPr="001A5735" w:rsidR="004651C4" w:rsidP="004651C4" w:rsidRDefault="004651C4" w14:paraId="5D392180" w14:textId="77777777"/>
          <w:p w:rsidRPr="001A5735" w:rsidR="004651C4" w:rsidP="004651C4" w:rsidRDefault="004651C4" w14:paraId="73C71C90" w14:textId="77777777">
            <w:r w:rsidRPr="001A5735">
              <w:t xml:space="preserve">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w:t>
            </w:r>
            <w:r w:rsidRPr="001A5735">
              <w:lastRenderedPageBreak/>
              <w:t>denial of compensation but may also subject the intervenor to penalties.</w:t>
            </w:r>
          </w:p>
          <w:p w:rsidRPr="001A5735" w:rsidR="004651C4" w:rsidP="004651C4" w:rsidRDefault="004651C4" w14:paraId="389FC430" w14:textId="77777777"/>
          <w:p w:rsidRPr="001A5735" w:rsidR="004651C4" w:rsidP="004651C4" w:rsidRDefault="004651C4" w14:paraId="76DBADBC" w14:textId="09D3BBA5">
            <w:pPr>
              <w:tabs>
                <w:tab w:val="left" w:pos="1440"/>
              </w:tabs>
              <w:rPr>
                <w:rFonts w:asciiTheme="majorBidi" w:hAnsiTheme="majorBidi" w:cstheme="majorBidi"/>
              </w:rPr>
            </w:pPr>
            <w:r w:rsidRPr="001A5735">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8936E4" w:rsidR="00A92D0B" w:rsidP="00575494" w:rsidRDefault="00A92D0B" w14:paraId="18E9D359" w14:textId="38C7D548">
      <w:pPr>
        <w:keepNext/>
        <w:tabs>
          <w:tab w:val="left" w:pos="1260"/>
        </w:tabs>
        <w:spacing w:before="480"/>
        <w:jc w:val="center"/>
        <w:rPr>
          <w:rFonts w:asciiTheme="majorBidi" w:hAnsiTheme="majorBidi" w:cstheme="majorBidi"/>
          <w:b/>
          <w:color w:val="000000"/>
        </w:rPr>
      </w:pPr>
      <w:r w:rsidRPr="008936E4">
        <w:rPr>
          <w:rFonts w:asciiTheme="majorBidi" w:hAnsiTheme="majorBidi" w:cstheme="majorBidi"/>
          <w:b/>
          <w:color w:val="000000"/>
        </w:rPr>
        <w:lastRenderedPageBreak/>
        <w:t>PART IV</w:t>
      </w:r>
      <w:r w:rsidRPr="008936E4" w:rsidR="00F63B3C">
        <w:rPr>
          <w:rFonts w:asciiTheme="majorBidi" w:hAnsiTheme="majorBidi" w:cstheme="majorBidi"/>
          <w:b/>
          <w:color w:val="000000"/>
        </w:rPr>
        <w:t>: OPPOSITIONS</w:t>
      </w:r>
      <w:r w:rsidRPr="008936E4">
        <w:rPr>
          <w:rFonts w:asciiTheme="majorBidi" w:hAnsiTheme="majorBidi" w:cstheme="majorBidi"/>
          <w:b/>
          <w:color w:val="000000"/>
        </w:rPr>
        <w:t xml:space="preserve"> AND COMMENTS</w:t>
      </w:r>
    </w:p>
    <w:p w:rsidRPr="008936E4" w:rsidR="00D1778A" w:rsidP="00575494" w:rsidRDefault="00A92D0B" w14:paraId="4E460EA0" w14:textId="77777777">
      <w:pPr>
        <w:keepNext/>
        <w:tabs>
          <w:tab w:val="left" w:pos="1260"/>
        </w:tabs>
        <w:ind w:left="1267" w:hanging="1267"/>
        <w:jc w:val="center"/>
        <w:rPr>
          <w:rFonts w:asciiTheme="majorBidi" w:hAnsiTheme="majorBidi" w:cstheme="majorBidi"/>
          <w:b/>
          <w:color w:val="000000"/>
        </w:rPr>
      </w:pPr>
      <w:r w:rsidRPr="008936E4">
        <w:rPr>
          <w:rFonts w:asciiTheme="majorBidi" w:hAnsiTheme="majorBidi" w:cstheme="majorBidi"/>
          <w:b/>
          <w:color w:val="000000"/>
        </w:rPr>
        <w:t>Within 30 days after service of this Claim, Commission Staff</w:t>
      </w:r>
    </w:p>
    <w:p w:rsidRPr="008936E4" w:rsidR="00A92D0B" w:rsidP="00575494" w:rsidRDefault="00F20061" w14:paraId="5D5DC317" w14:textId="6B3AEA94">
      <w:pPr>
        <w:keepNext/>
        <w:tabs>
          <w:tab w:val="left" w:pos="1260"/>
        </w:tabs>
        <w:spacing w:after="240"/>
        <w:ind w:left="1267" w:hanging="1267"/>
        <w:jc w:val="center"/>
        <w:rPr>
          <w:rFonts w:asciiTheme="majorBidi" w:hAnsiTheme="majorBidi" w:cstheme="majorBidi"/>
          <w:b/>
          <w:color w:val="000000"/>
        </w:rPr>
      </w:pPr>
      <w:r w:rsidRPr="008936E4">
        <w:rPr>
          <w:rFonts w:asciiTheme="majorBidi" w:hAnsiTheme="majorBidi" w:cstheme="majorBidi"/>
          <w:b/>
          <w:color w:val="000000"/>
        </w:rPr>
        <w:t xml:space="preserve"> </w:t>
      </w:r>
      <w:r w:rsidRPr="008936E4" w:rsidR="00A92D0B">
        <w:rPr>
          <w:rFonts w:asciiTheme="majorBidi" w:hAnsiTheme="majorBidi" w:cstheme="majorBidi"/>
          <w:b/>
          <w:color w:val="000000"/>
        </w:rPr>
        <w:t>or any other party may file a response to the Claim (</w:t>
      </w:r>
      <w:r w:rsidRPr="008936E4" w:rsidR="00A92D0B">
        <w:rPr>
          <w:rFonts w:asciiTheme="majorBidi" w:hAnsiTheme="majorBidi" w:cstheme="majorBidi"/>
          <w:b/>
          <w:i/>
          <w:color w:val="000000"/>
        </w:rPr>
        <w:t>see</w:t>
      </w:r>
      <w:r w:rsidRPr="008936E4" w:rsidR="00A92D0B">
        <w:rPr>
          <w:rFonts w:asciiTheme="majorBidi" w:hAnsiTheme="majorBidi" w:cstheme="majorBidi"/>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8936E4" w:rsidR="00A92D0B" w:rsidTr="005A3018" w14:paraId="46A51699" w14:textId="77777777">
        <w:tc>
          <w:tcPr>
            <w:tcW w:w="7336" w:type="dxa"/>
          </w:tcPr>
          <w:p w:rsidRPr="008936E4" w:rsidR="00A92D0B" w:rsidP="005A3018" w:rsidRDefault="00A92D0B" w14:paraId="607B1FB9" w14:textId="639D7800">
            <w:pPr>
              <w:ind w:left="360" w:hanging="360"/>
              <w:rPr>
                <w:rFonts w:asciiTheme="majorBidi" w:hAnsiTheme="majorBidi" w:cstheme="majorBidi"/>
                <w:color w:val="000000"/>
              </w:rPr>
            </w:pPr>
            <w:r w:rsidRPr="008936E4">
              <w:rPr>
                <w:rFonts w:asciiTheme="majorBidi" w:hAnsiTheme="majorBidi" w:cstheme="majorBidi"/>
                <w:b/>
                <w:color w:val="000000"/>
              </w:rPr>
              <w:t>A.</w:t>
            </w:r>
            <w:r w:rsidRPr="008936E4" w:rsidR="005A3018">
              <w:rPr>
                <w:rFonts w:asciiTheme="majorBidi" w:hAnsiTheme="majorBidi" w:cstheme="majorBidi"/>
                <w:b/>
                <w:color w:val="000000"/>
              </w:rPr>
              <w:tab/>
            </w:r>
            <w:r w:rsidRPr="008936E4">
              <w:rPr>
                <w:rFonts w:asciiTheme="majorBidi" w:hAnsiTheme="majorBidi" w:cstheme="majorBidi"/>
                <w:b/>
                <w:color w:val="000000"/>
              </w:rPr>
              <w:t>Opposition:  Did any party oppose the Claim?</w:t>
            </w:r>
          </w:p>
        </w:tc>
        <w:tc>
          <w:tcPr>
            <w:tcW w:w="2024" w:type="dxa"/>
          </w:tcPr>
          <w:p w:rsidRPr="008936E4" w:rsidR="00A92D0B" w:rsidP="006E1A6C" w:rsidRDefault="00EC1184" w14:paraId="6E7CD931" w14:textId="6CA0BB37">
            <w:pPr>
              <w:jc w:val="center"/>
              <w:rPr>
                <w:rFonts w:asciiTheme="majorBidi" w:hAnsiTheme="majorBidi" w:cstheme="majorBidi"/>
                <w:color w:val="000000"/>
              </w:rPr>
            </w:pPr>
            <w:r>
              <w:rPr>
                <w:rFonts w:asciiTheme="majorBidi" w:hAnsiTheme="majorBidi" w:cstheme="majorBidi"/>
                <w:color w:val="000000"/>
              </w:rPr>
              <w:t>No</w:t>
            </w:r>
          </w:p>
        </w:tc>
      </w:tr>
    </w:tbl>
    <w:p w:rsidRPr="008936E4" w:rsidR="00A92D0B" w:rsidRDefault="00A92D0B" w14:paraId="23420BFC" w14:textId="77777777">
      <w:pPr>
        <w:tabs>
          <w:tab w:val="left" w:pos="1260"/>
        </w:tabs>
        <w:spacing w:before="60"/>
        <w:ind w:left="1267" w:hanging="1267"/>
        <w:jc w:val="center"/>
        <w:rPr>
          <w:rFonts w:asciiTheme="majorBidi" w:hAnsiTheme="majorBidi" w:cstheme="majorBidi"/>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24"/>
        <w:gridCol w:w="2036"/>
      </w:tblGrid>
      <w:tr w:rsidRPr="008936E4" w:rsidR="00A92D0B" w:rsidTr="00D45393" w14:paraId="7A0D8740" w14:textId="77777777">
        <w:tc>
          <w:tcPr>
            <w:tcW w:w="7324" w:type="dxa"/>
          </w:tcPr>
          <w:p w:rsidRPr="008936E4" w:rsidR="00A92D0B" w:rsidP="005A3018" w:rsidRDefault="00A92D0B" w14:paraId="37D28D8D" w14:textId="1902642D">
            <w:pPr>
              <w:ind w:left="360" w:hanging="360"/>
              <w:rPr>
                <w:rFonts w:asciiTheme="majorBidi" w:hAnsiTheme="majorBidi" w:cstheme="majorBidi"/>
                <w:color w:val="000000"/>
              </w:rPr>
            </w:pPr>
            <w:r w:rsidRPr="008936E4">
              <w:rPr>
                <w:rFonts w:asciiTheme="majorBidi" w:hAnsiTheme="majorBidi" w:cstheme="majorBidi"/>
                <w:b/>
                <w:color w:val="000000"/>
              </w:rPr>
              <w:t>B.</w:t>
            </w:r>
            <w:r w:rsidRPr="008936E4" w:rsidR="005A3018">
              <w:rPr>
                <w:rFonts w:asciiTheme="majorBidi" w:hAnsiTheme="majorBidi" w:cstheme="majorBidi"/>
                <w:b/>
                <w:color w:val="000000"/>
              </w:rPr>
              <w:tab/>
            </w:r>
            <w:r w:rsidRPr="008936E4">
              <w:rPr>
                <w:rFonts w:asciiTheme="majorBidi" w:hAnsiTheme="majorBidi" w:cstheme="majorBidi"/>
                <w:b/>
                <w:color w:val="000000"/>
              </w:rPr>
              <w:t>Comment Period</w:t>
            </w:r>
            <w:r w:rsidRPr="008936E4" w:rsidR="0098102F">
              <w:rPr>
                <w:rFonts w:asciiTheme="majorBidi" w:hAnsiTheme="majorBidi" w:cstheme="majorBidi"/>
                <w:b/>
                <w:color w:val="000000"/>
              </w:rPr>
              <w:t>: Was</w:t>
            </w:r>
            <w:r w:rsidRPr="008936E4">
              <w:rPr>
                <w:rFonts w:asciiTheme="majorBidi" w:hAnsiTheme="majorBidi" w:cstheme="majorBidi"/>
                <w:b/>
                <w:color w:val="000000"/>
              </w:rPr>
              <w:t xml:space="preserve"> the 30-day comment period waived (</w:t>
            </w:r>
            <w:r w:rsidRPr="008936E4">
              <w:rPr>
                <w:rFonts w:asciiTheme="majorBidi" w:hAnsiTheme="majorBidi" w:cstheme="majorBidi"/>
                <w:b/>
                <w:i/>
                <w:color w:val="000000"/>
              </w:rPr>
              <w:t>see</w:t>
            </w:r>
            <w:r w:rsidRPr="008936E4" w:rsidR="00A60203">
              <w:rPr>
                <w:rFonts w:asciiTheme="majorBidi" w:hAnsiTheme="majorBidi" w:cstheme="majorBidi"/>
                <w:b/>
                <w:color w:val="000000"/>
              </w:rPr>
              <w:t> </w:t>
            </w:r>
            <w:r w:rsidRPr="008936E4">
              <w:rPr>
                <w:rFonts w:asciiTheme="majorBidi" w:hAnsiTheme="majorBidi" w:cstheme="majorBidi"/>
                <w:b/>
                <w:color w:val="000000"/>
              </w:rPr>
              <w:t>Rule 14.6(</w:t>
            </w:r>
            <w:r w:rsidRPr="008936E4" w:rsidR="00963EEF">
              <w:rPr>
                <w:rFonts w:asciiTheme="majorBidi" w:hAnsiTheme="majorBidi" w:cstheme="majorBidi"/>
                <w:b/>
                <w:color w:val="000000"/>
              </w:rPr>
              <w:t>c</w:t>
            </w:r>
            <w:r w:rsidRPr="008936E4">
              <w:rPr>
                <w:rFonts w:asciiTheme="majorBidi" w:hAnsiTheme="majorBidi" w:cstheme="majorBidi"/>
                <w:b/>
                <w:color w:val="000000"/>
              </w:rPr>
              <w:t>)(6))?</w:t>
            </w:r>
          </w:p>
        </w:tc>
        <w:tc>
          <w:tcPr>
            <w:tcW w:w="2036" w:type="dxa"/>
          </w:tcPr>
          <w:p w:rsidRPr="008936E4" w:rsidR="00A92D0B" w:rsidP="00D45393" w:rsidRDefault="00D45393" w14:paraId="238D2D3F" w14:textId="0E7741BD">
            <w:pPr>
              <w:keepNext/>
              <w:keepLines/>
              <w:spacing w:after="240"/>
              <w:jc w:val="center"/>
              <w:rPr>
                <w:rFonts w:asciiTheme="majorBidi" w:hAnsiTheme="majorBidi" w:cstheme="majorBidi"/>
                <w:color w:val="000000"/>
              </w:rPr>
            </w:pPr>
            <w:r>
              <w:rPr>
                <w:rFonts w:asciiTheme="majorBidi" w:hAnsiTheme="majorBidi" w:cstheme="majorBidi"/>
                <w:color w:val="000000"/>
              </w:rPr>
              <w:t>No</w:t>
            </w:r>
          </w:p>
        </w:tc>
      </w:tr>
    </w:tbl>
    <w:p w:rsidRPr="007F620E" w:rsidR="00D45393" w:rsidP="00D45393" w:rsidRDefault="00D45393" w14:paraId="78B1557E" w14:textId="77777777">
      <w:pPr>
        <w:keepNext/>
        <w:keepLines/>
        <w:spacing w:after="240"/>
        <w:ind w:firstLine="907"/>
        <w:rPr>
          <w:color w:val="000000"/>
        </w:rPr>
      </w:pPr>
      <w:r w:rsidRPr="007F620E">
        <w:rPr>
          <w:color w:val="000000"/>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2"/>
        <w:gridCol w:w="6093"/>
        <w:gridCol w:w="2045"/>
      </w:tblGrid>
      <w:tr w:rsidRPr="007F620E" w:rsidR="00D45393" w:rsidTr="003D5617" w14:paraId="42478263" w14:textId="77777777">
        <w:tc>
          <w:tcPr>
            <w:tcW w:w="1236" w:type="dxa"/>
            <w:shd w:val="pct12" w:color="auto" w:fill="auto"/>
          </w:tcPr>
          <w:p w:rsidRPr="007F620E" w:rsidR="00D45393" w:rsidP="003D5617" w:rsidRDefault="00D45393" w14:paraId="2AA534E4" w14:textId="77777777">
            <w:pPr>
              <w:keepNext/>
              <w:keepLines/>
              <w:spacing w:before="120"/>
              <w:jc w:val="center"/>
              <w:rPr>
                <w:b/>
                <w:color w:val="000000"/>
              </w:rPr>
            </w:pPr>
            <w:r w:rsidRPr="007F620E">
              <w:rPr>
                <w:b/>
                <w:color w:val="000000"/>
              </w:rPr>
              <w:t>Party</w:t>
            </w:r>
          </w:p>
        </w:tc>
        <w:tc>
          <w:tcPr>
            <w:tcW w:w="6252" w:type="dxa"/>
            <w:shd w:val="pct12" w:color="auto" w:fill="auto"/>
          </w:tcPr>
          <w:p w:rsidRPr="007F620E" w:rsidR="00D45393" w:rsidP="003D5617" w:rsidRDefault="00D45393" w14:paraId="1EEAC8FA" w14:textId="77777777">
            <w:pPr>
              <w:keepNext/>
              <w:keepLines/>
              <w:spacing w:before="120"/>
              <w:jc w:val="center"/>
              <w:rPr>
                <w:color w:val="000000"/>
              </w:rPr>
            </w:pPr>
            <w:r w:rsidRPr="007F620E">
              <w:rPr>
                <w:b/>
                <w:color w:val="000000"/>
              </w:rPr>
              <w:t>Comment</w:t>
            </w:r>
          </w:p>
        </w:tc>
        <w:tc>
          <w:tcPr>
            <w:tcW w:w="2070" w:type="dxa"/>
            <w:shd w:val="pct12" w:color="auto" w:fill="auto"/>
          </w:tcPr>
          <w:p w:rsidRPr="007F620E" w:rsidR="00D45393" w:rsidP="003D5617" w:rsidRDefault="00D45393" w14:paraId="302CD080" w14:textId="77777777">
            <w:pPr>
              <w:keepNext/>
              <w:keepLines/>
              <w:spacing w:before="120"/>
              <w:jc w:val="center"/>
              <w:rPr>
                <w:color w:val="000000"/>
              </w:rPr>
            </w:pPr>
            <w:r w:rsidRPr="007F620E">
              <w:rPr>
                <w:b/>
                <w:color w:val="000000"/>
              </w:rPr>
              <w:t>CPUC Discussion</w:t>
            </w:r>
          </w:p>
        </w:tc>
      </w:tr>
      <w:tr w:rsidRPr="007F620E" w:rsidR="00D45393" w:rsidTr="003D5617" w14:paraId="535C2F9C" w14:textId="77777777">
        <w:tc>
          <w:tcPr>
            <w:tcW w:w="1236" w:type="dxa"/>
          </w:tcPr>
          <w:p w:rsidRPr="007F620E" w:rsidR="00D45393" w:rsidP="003D5617" w:rsidRDefault="00D45393" w14:paraId="4C61D92B" w14:textId="77777777">
            <w:pPr>
              <w:keepNext/>
              <w:keepLines/>
              <w:spacing w:before="120"/>
              <w:rPr>
                <w:color w:val="000000"/>
              </w:rPr>
            </w:pPr>
          </w:p>
        </w:tc>
        <w:tc>
          <w:tcPr>
            <w:tcW w:w="6252" w:type="dxa"/>
          </w:tcPr>
          <w:p w:rsidRPr="007F620E" w:rsidR="00D45393" w:rsidP="003D5617" w:rsidRDefault="003510F6" w14:paraId="60D53237" w14:textId="50F5D4B9">
            <w:pPr>
              <w:keepNext/>
              <w:keepLines/>
              <w:spacing w:before="120"/>
              <w:rPr>
                <w:color w:val="000000"/>
              </w:rPr>
            </w:pPr>
            <w:r>
              <w:rPr>
                <w:color w:val="000000"/>
              </w:rPr>
              <w:t>No Comments filed.</w:t>
            </w:r>
          </w:p>
        </w:tc>
        <w:tc>
          <w:tcPr>
            <w:tcW w:w="2070" w:type="dxa"/>
          </w:tcPr>
          <w:p w:rsidRPr="007F620E" w:rsidR="00D45393" w:rsidP="003D5617" w:rsidRDefault="00D45393" w14:paraId="6DF461E3" w14:textId="77777777">
            <w:pPr>
              <w:keepNext/>
              <w:keepLines/>
              <w:spacing w:before="120"/>
              <w:rPr>
                <w:color w:val="000000"/>
              </w:rPr>
            </w:pPr>
          </w:p>
        </w:tc>
      </w:tr>
      <w:tr w:rsidRPr="007F620E" w:rsidR="00D45393" w:rsidTr="003D5617" w14:paraId="291F98DC" w14:textId="77777777">
        <w:tc>
          <w:tcPr>
            <w:tcW w:w="1236" w:type="dxa"/>
          </w:tcPr>
          <w:p w:rsidRPr="007F620E" w:rsidR="00D45393" w:rsidP="003D5617" w:rsidRDefault="00D45393" w14:paraId="129B4E1D" w14:textId="77777777">
            <w:pPr>
              <w:spacing w:before="120"/>
              <w:rPr>
                <w:color w:val="000000"/>
              </w:rPr>
            </w:pPr>
          </w:p>
        </w:tc>
        <w:tc>
          <w:tcPr>
            <w:tcW w:w="6252" w:type="dxa"/>
          </w:tcPr>
          <w:p w:rsidRPr="007F620E" w:rsidR="00D45393" w:rsidP="003D5617" w:rsidRDefault="00D45393" w14:paraId="6B106B3A" w14:textId="77777777">
            <w:pPr>
              <w:spacing w:before="120"/>
              <w:rPr>
                <w:color w:val="000000"/>
              </w:rPr>
            </w:pPr>
          </w:p>
        </w:tc>
        <w:tc>
          <w:tcPr>
            <w:tcW w:w="2070" w:type="dxa"/>
          </w:tcPr>
          <w:p w:rsidRPr="007F620E" w:rsidR="00D45393" w:rsidP="003D5617" w:rsidRDefault="00D45393" w14:paraId="6FEE6EDA" w14:textId="77777777">
            <w:pPr>
              <w:spacing w:before="120"/>
              <w:rPr>
                <w:color w:val="000000"/>
              </w:rPr>
            </w:pPr>
          </w:p>
        </w:tc>
      </w:tr>
    </w:tbl>
    <w:p w:rsidRPr="00E746B1" w:rsidR="00A92D0B" w:rsidP="00CE057B" w:rsidRDefault="00A92D0B" w14:paraId="186E115A" w14:textId="77777777">
      <w:pPr>
        <w:keepNext/>
        <w:spacing w:before="480" w:after="240"/>
        <w:jc w:val="center"/>
        <w:rPr>
          <w:rFonts w:asciiTheme="majorBidi" w:hAnsiTheme="majorBidi" w:cstheme="majorBidi"/>
          <w:b/>
          <w:color w:val="000000"/>
          <w:u w:val="single"/>
        </w:rPr>
      </w:pPr>
      <w:r w:rsidRPr="00E746B1">
        <w:rPr>
          <w:rFonts w:asciiTheme="majorBidi" w:hAnsiTheme="majorBidi" w:cstheme="majorBidi"/>
          <w:b/>
          <w:color w:val="000000"/>
          <w:u w:val="single"/>
        </w:rPr>
        <w:t>FINDINGS OF FACT</w:t>
      </w:r>
    </w:p>
    <w:p w:rsidRPr="006E1A6C" w:rsidR="00A92D0B" w:rsidRDefault="006E7813" w14:paraId="7772A9DC" w14:textId="6E4E8C48">
      <w:pPr>
        <w:numPr>
          <w:ilvl w:val="0"/>
          <w:numId w:val="3"/>
        </w:numPr>
        <w:tabs>
          <w:tab w:val="num" w:pos="540"/>
        </w:tabs>
        <w:ind w:left="540" w:hanging="540"/>
      </w:pPr>
      <w:r w:rsidRPr="006E1A6C">
        <w:t>S</w:t>
      </w:r>
      <w:r w:rsidRPr="006E1A6C" w:rsidR="00537012">
        <w:t>mall Business Utility Advocates has</w:t>
      </w:r>
      <w:r w:rsidRPr="006E1A6C" w:rsidR="00A92D0B">
        <w:t xml:space="preserve"> made a substantia</w:t>
      </w:r>
      <w:r w:rsidRPr="006E1A6C" w:rsidR="00DE3A5D">
        <w:t xml:space="preserve">l contribution </w:t>
      </w:r>
      <w:r w:rsidRPr="00F95AD0" w:rsidR="00B91673">
        <w:t xml:space="preserve">in some </w:t>
      </w:r>
      <w:proofErr w:type="gramStart"/>
      <w:r w:rsidRPr="00F95AD0" w:rsidR="00B91673">
        <w:t>aspects</w:t>
      </w:r>
      <w:proofErr w:type="gramEnd"/>
      <w:r w:rsidRPr="00F95AD0" w:rsidR="00B91673">
        <w:t xml:space="preserve"> </w:t>
      </w:r>
      <w:r w:rsidRPr="006E1A6C" w:rsidR="00DE3A5D">
        <w:t xml:space="preserve">to </w:t>
      </w:r>
      <w:r w:rsidRPr="006E1A6C" w:rsidR="00D84B9C">
        <w:t>D.</w:t>
      </w:r>
      <w:r w:rsidRPr="006E1A6C" w:rsidR="003A034E">
        <w:t>24-12-033 and D.25-07-041</w:t>
      </w:r>
      <w:r w:rsidRPr="006E1A6C" w:rsidR="00D84B9C">
        <w:t>.</w:t>
      </w:r>
    </w:p>
    <w:p w:rsidRPr="0091756F" w:rsidR="00537012" w:rsidP="00537012" w:rsidRDefault="00537012" w14:paraId="4B1C078F" w14:textId="26E0EAF3">
      <w:pPr>
        <w:numPr>
          <w:ilvl w:val="0"/>
          <w:numId w:val="3"/>
        </w:numPr>
        <w:tabs>
          <w:tab w:val="num" w:pos="540"/>
        </w:tabs>
        <w:spacing w:before="240"/>
      </w:pPr>
      <w:r w:rsidRPr="0091756F">
        <w:t xml:space="preserve">The requested hourly rates for Small Business Utility Advocates’ </w:t>
      </w:r>
      <w:proofErr w:type="gramStart"/>
      <w:r w:rsidRPr="0091756F">
        <w:t>representatives,</w:t>
      </w:r>
      <w:proofErr w:type="gramEnd"/>
      <w:r w:rsidRPr="0091756F">
        <w:t xml:space="preserve"> are comparable to market rates paid to experts and advocates having comparable training and experience and offering similar services, and/or reflect the actual rates billed </w:t>
      </w:r>
      <w:proofErr w:type="gramStart"/>
      <w:r w:rsidRPr="0091756F">
        <w:t>to</w:t>
      </w:r>
      <w:proofErr w:type="gramEnd"/>
      <w:r w:rsidRPr="0091756F">
        <w:t>, and paid by the intervenor, for consultant services rendered.</w:t>
      </w:r>
      <w:r w:rsidRPr="0091756F" w:rsidR="00AE396A">
        <w:t xml:space="preserve"> </w:t>
      </w:r>
    </w:p>
    <w:p w:rsidRPr="008936E4" w:rsidR="00A92D0B" w:rsidRDefault="00A92D0B" w14:paraId="528EBB52" w14:textId="1B955769">
      <w:pPr>
        <w:numPr>
          <w:ilvl w:val="0"/>
          <w:numId w:val="3"/>
        </w:numPr>
        <w:tabs>
          <w:tab w:val="num" w:pos="540"/>
        </w:tabs>
        <w:spacing w:before="240"/>
        <w:rPr>
          <w:rFonts w:asciiTheme="majorBidi" w:hAnsiTheme="majorBidi" w:cstheme="majorBidi"/>
        </w:rPr>
      </w:pPr>
      <w:r w:rsidRPr="008936E4">
        <w:rPr>
          <w:rFonts w:asciiTheme="majorBidi" w:hAnsiTheme="majorBidi" w:cstheme="majorBidi"/>
        </w:rPr>
        <w:t>The claimed costs and expenses,</w:t>
      </w:r>
      <w:r w:rsidRPr="008936E4" w:rsidR="003B5EAC">
        <w:rPr>
          <w:rFonts w:asciiTheme="majorBidi" w:hAnsiTheme="majorBidi" w:cstheme="majorBidi"/>
        </w:rPr>
        <w:t xml:space="preserve"> </w:t>
      </w:r>
      <w:r w:rsidRPr="008936E4">
        <w:rPr>
          <w:rFonts w:asciiTheme="majorBidi" w:hAnsiTheme="majorBidi" w:cstheme="majorBidi"/>
        </w:rPr>
        <w:t xml:space="preserve">as adjusted herein, are reasonable and commensurate with the work performed. </w:t>
      </w:r>
    </w:p>
    <w:p w:rsidRPr="008936E4" w:rsidR="00A92D0B" w:rsidRDefault="00A92D0B" w14:paraId="48B52895" w14:textId="792E5184">
      <w:pPr>
        <w:numPr>
          <w:ilvl w:val="0"/>
          <w:numId w:val="3"/>
        </w:numPr>
        <w:tabs>
          <w:tab w:val="num" w:pos="540"/>
        </w:tabs>
        <w:spacing w:before="240"/>
        <w:rPr>
          <w:rFonts w:asciiTheme="majorBidi" w:hAnsiTheme="majorBidi" w:cstheme="majorBidi"/>
        </w:rPr>
      </w:pPr>
      <w:r w:rsidRPr="008936E4">
        <w:rPr>
          <w:rFonts w:asciiTheme="majorBidi" w:hAnsiTheme="majorBidi" w:cstheme="majorBidi"/>
        </w:rPr>
        <w:t xml:space="preserve">The total of reasonable </w:t>
      </w:r>
      <w:r w:rsidRPr="00E71497" w:rsidR="003C608A">
        <w:rPr>
          <w:rFonts w:asciiTheme="majorBidi" w:hAnsiTheme="majorBidi" w:cstheme="majorBidi"/>
        </w:rPr>
        <w:t xml:space="preserve">compensation </w:t>
      </w:r>
      <w:r w:rsidRPr="00E71497">
        <w:rPr>
          <w:rFonts w:asciiTheme="majorBidi" w:hAnsiTheme="majorBidi" w:cstheme="majorBidi"/>
        </w:rPr>
        <w:t xml:space="preserve">is </w:t>
      </w:r>
      <w:r w:rsidRPr="00E76C89" w:rsidR="002E1712">
        <w:rPr>
          <w:rFonts w:asciiTheme="majorBidi" w:hAnsiTheme="majorBidi" w:cstheme="majorBidi"/>
          <w:bCs/>
          <w:iCs/>
        </w:rPr>
        <w:t>$</w:t>
      </w:r>
      <w:r w:rsidR="00AC54DE">
        <w:rPr>
          <w:rFonts w:asciiTheme="majorBidi" w:hAnsiTheme="majorBidi" w:cstheme="majorBidi"/>
          <w:bCs/>
          <w:iCs/>
        </w:rPr>
        <w:t>52,567.00</w:t>
      </w:r>
      <w:r w:rsidRPr="005D0387">
        <w:rPr>
          <w:rFonts w:asciiTheme="majorBidi" w:hAnsiTheme="majorBidi" w:cstheme="majorBidi"/>
        </w:rPr>
        <w:t>.</w:t>
      </w:r>
    </w:p>
    <w:p w:rsidRPr="008936E4" w:rsidR="00A92D0B" w:rsidP="00CE057B" w:rsidRDefault="00A92D0B" w14:paraId="5C773C3F" w14:textId="77777777">
      <w:pPr>
        <w:keepNext/>
        <w:spacing w:before="480" w:after="240"/>
        <w:jc w:val="center"/>
        <w:rPr>
          <w:rFonts w:asciiTheme="majorBidi" w:hAnsiTheme="majorBidi" w:cstheme="majorBidi"/>
          <w:b/>
          <w:color w:val="000000"/>
          <w:u w:val="single"/>
        </w:rPr>
      </w:pPr>
      <w:r w:rsidRPr="008936E4">
        <w:rPr>
          <w:rFonts w:asciiTheme="majorBidi" w:hAnsiTheme="majorBidi" w:cstheme="majorBidi"/>
          <w:b/>
          <w:color w:val="000000"/>
          <w:u w:val="single"/>
        </w:rPr>
        <w:lastRenderedPageBreak/>
        <w:t>CONCLUSION OF LAW</w:t>
      </w:r>
    </w:p>
    <w:p w:rsidRPr="008936E4" w:rsidR="00A92D0B" w:rsidP="00575494" w:rsidRDefault="00A92D0B" w14:paraId="654F2C27" w14:textId="2A1C1F89">
      <w:pPr>
        <w:numPr>
          <w:ilvl w:val="0"/>
          <w:numId w:val="10"/>
        </w:numPr>
        <w:spacing w:before="240"/>
        <w:rPr>
          <w:rFonts w:asciiTheme="majorBidi" w:hAnsiTheme="majorBidi" w:cstheme="majorBidi"/>
          <w:color w:val="000000"/>
        </w:rPr>
      </w:pPr>
      <w:r w:rsidRPr="008936E4">
        <w:rPr>
          <w:rFonts w:asciiTheme="majorBidi" w:hAnsiTheme="majorBidi" w:cstheme="majorBidi"/>
        </w:rPr>
        <w:t>The</w:t>
      </w:r>
      <w:r w:rsidRPr="008936E4">
        <w:rPr>
          <w:rFonts w:asciiTheme="majorBidi" w:hAnsiTheme="majorBidi" w:cstheme="majorBidi"/>
          <w:color w:val="000000"/>
        </w:rPr>
        <w:t xml:space="preserve"> Claim, with any adjustment set forth above, satisfies</w:t>
      </w:r>
      <w:r w:rsidR="00EC6366">
        <w:rPr>
          <w:rFonts w:asciiTheme="majorBidi" w:hAnsiTheme="majorBidi" w:cstheme="majorBidi"/>
          <w:color w:val="000000"/>
        </w:rPr>
        <w:t xml:space="preserve"> </w:t>
      </w:r>
      <w:r w:rsidRPr="008936E4" w:rsidR="00DE3A5D">
        <w:rPr>
          <w:rFonts w:asciiTheme="majorBidi" w:hAnsiTheme="majorBidi" w:cstheme="majorBidi"/>
          <w:color w:val="000000"/>
        </w:rPr>
        <w:t>all requirements of Pub. Util.</w:t>
      </w:r>
      <w:r w:rsidRPr="008936E4">
        <w:rPr>
          <w:rFonts w:asciiTheme="majorBidi" w:hAnsiTheme="majorBidi" w:cstheme="majorBidi"/>
          <w:color w:val="000000"/>
        </w:rPr>
        <w:t xml:space="preserve"> Code §§ 1801-1812.</w:t>
      </w:r>
    </w:p>
    <w:p w:rsidRPr="00537012" w:rsidR="00A92D0B" w:rsidP="00CE057B" w:rsidRDefault="00A92D0B" w14:paraId="0E2503A5" w14:textId="77777777">
      <w:pPr>
        <w:keepNext/>
        <w:spacing w:before="480" w:after="240"/>
        <w:jc w:val="center"/>
        <w:rPr>
          <w:rFonts w:asciiTheme="majorBidi" w:hAnsiTheme="majorBidi" w:cstheme="majorBidi"/>
          <w:b/>
          <w:color w:val="000000"/>
          <w:u w:val="single"/>
        </w:rPr>
      </w:pPr>
      <w:r w:rsidRPr="00537012">
        <w:rPr>
          <w:rFonts w:asciiTheme="majorBidi" w:hAnsiTheme="majorBidi" w:cstheme="majorBidi"/>
          <w:b/>
          <w:color w:val="000000"/>
          <w:u w:val="single"/>
        </w:rPr>
        <w:t>ORDER</w:t>
      </w:r>
    </w:p>
    <w:p w:rsidRPr="008936E4" w:rsidR="00A92D0B" w:rsidP="00CE057B" w:rsidRDefault="006E7813" w14:paraId="33FB4E15" w14:textId="1874811D">
      <w:pPr>
        <w:keepNext/>
        <w:numPr>
          <w:ilvl w:val="0"/>
          <w:numId w:val="4"/>
        </w:numPr>
        <w:tabs>
          <w:tab w:val="clear" w:pos="900"/>
          <w:tab w:val="num" w:pos="540"/>
        </w:tabs>
        <w:ind w:left="547" w:hanging="547"/>
        <w:rPr>
          <w:rFonts w:asciiTheme="majorBidi" w:hAnsiTheme="majorBidi" w:cstheme="majorBidi"/>
          <w:color w:val="000000"/>
        </w:rPr>
      </w:pPr>
      <w:r w:rsidRPr="0059562A">
        <w:rPr>
          <w:rFonts w:asciiTheme="majorBidi" w:hAnsiTheme="majorBidi" w:cstheme="majorBidi"/>
        </w:rPr>
        <w:t>S</w:t>
      </w:r>
      <w:r w:rsidRPr="0059562A" w:rsidR="00537012">
        <w:rPr>
          <w:rFonts w:asciiTheme="majorBidi" w:hAnsiTheme="majorBidi" w:cstheme="majorBidi"/>
        </w:rPr>
        <w:t>mall Business Utility Advocates</w:t>
      </w:r>
      <w:r w:rsidRPr="00537012" w:rsidR="00FE3BAE">
        <w:rPr>
          <w:rFonts w:asciiTheme="majorBidi" w:hAnsiTheme="majorBidi" w:cstheme="majorBidi"/>
        </w:rPr>
        <w:t xml:space="preserve"> </w:t>
      </w:r>
      <w:r w:rsidRPr="00537012" w:rsidR="00831652">
        <w:rPr>
          <w:rFonts w:asciiTheme="majorBidi" w:hAnsiTheme="majorBidi" w:cstheme="majorBidi"/>
        </w:rPr>
        <w:t>is</w:t>
      </w:r>
      <w:r w:rsidRPr="00537012" w:rsidR="00FE3BAE">
        <w:rPr>
          <w:rFonts w:asciiTheme="majorBidi" w:hAnsiTheme="majorBidi" w:cstheme="majorBidi"/>
        </w:rPr>
        <w:t xml:space="preserve"> </w:t>
      </w:r>
      <w:r w:rsidRPr="00E71497" w:rsidR="00A92D0B">
        <w:rPr>
          <w:rFonts w:asciiTheme="majorBidi" w:hAnsiTheme="majorBidi" w:cstheme="majorBidi"/>
        </w:rPr>
        <w:t>awarded</w:t>
      </w:r>
      <w:r w:rsidR="002E1712">
        <w:rPr>
          <w:rFonts w:asciiTheme="majorBidi" w:hAnsiTheme="majorBidi" w:cstheme="majorBidi"/>
        </w:rPr>
        <w:t xml:space="preserve"> </w:t>
      </w:r>
      <w:r w:rsidR="0042760F">
        <w:rPr>
          <w:rFonts w:asciiTheme="majorBidi" w:hAnsiTheme="majorBidi" w:cstheme="majorBidi"/>
        </w:rPr>
        <w:t>$</w:t>
      </w:r>
      <w:r w:rsidR="00AC54DE">
        <w:rPr>
          <w:rFonts w:asciiTheme="majorBidi" w:hAnsiTheme="majorBidi" w:cstheme="majorBidi"/>
          <w:bCs/>
          <w:iCs/>
        </w:rPr>
        <w:t>52,567.00</w:t>
      </w:r>
      <w:r w:rsidRPr="008936E4" w:rsidR="00A92D0B">
        <w:rPr>
          <w:rFonts w:asciiTheme="majorBidi" w:hAnsiTheme="majorBidi" w:cstheme="majorBidi"/>
          <w:color w:val="000000"/>
        </w:rPr>
        <w:t>.</w:t>
      </w:r>
    </w:p>
    <w:p w:rsidR="00537012" w:rsidP="00537012" w:rsidRDefault="00537012" w14:paraId="673656E7" w14:textId="75E7386B">
      <w:pPr>
        <w:numPr>
          <w:ilvl w:val="0"/>
          <w:numId w:val="4"/>
        </w:numPr>
        <w:tabs>
          <w:tab w:val="clear" w:pos="900"/>
          <w:tab w:val="num" w:pos="540"/>
        </w:tabs>
        <w:spacing w:before="240"/>
        <w:ind w:left="547" w:hanging="547"/>
      </w:pPr>
      <w:r w:rsidRPr="00937724">
        <w:t xml:space="preserve">Within 30 days of the effective date of this decision, Pacific Gas </w:t>
      </w:r>
      <w:r w:rsidR="002A6045">
        <w:t>and</w:t>
      </w:r>
      <w:r w:rsidRPr="00937724" w:rsidR="002A6045">
        <w:t xml:space="preserve"> </w:t>
      </w:r>
      <w:r w:rsidRPr="00937724">
        <w:t xml:space="preserve">Electric Company shall pay </w:t>
      </w:r>
      <w:r>
        <w:t>Small Business Utility Advocates</w:t>
      </w:r>
      <w:r w:rsidRPr="00937724">
        <w:t xml:space="preserve"> </w:t>
      </w:r>
      <w:r>
        <w:t xml:space="preserve">the </w:t>
      </w:r>
      <w:r w:rsidRPr="00937724">
        <w:t xml:space="preserve">total award. Payment of the award shall include a compound interest at the rate earned on prime, three-month non-financial </w:t>
      </w:r>
      <w:r w:rsidRPr="00AB264D">
        <w:t xml:space="preserve">commercial paper as reported in Federal Reserve Statistical Release H.15, beginning </w:t>
      </w:r>
      <w:r w:rsidRPr="00AB264D" w:rsidR="00AB264D">
        <w:t xml:space="preserve">December 7, </w:t>
      </w:r>
      <w:r w:rsidRPr="006E1A6C">
        <w:t>2025</w:t>
      </w:r>
      <w:r w:rsidRPr="00AB264D">
        <w:rPr>
          <w:b/>
          <w:bCs/>
        </w:rPr>
        <w:t>,</w:t>
      </w:r>
      <w:r w:rsidRPr="00AB264D">
        <w:t xml:space="preserve"> the 75</w:t>
      </w:r>
      <w:r w:rsidRPr="00AB264D">
        <w:rPr>
          <w:vertAlign w:val="superscript"/>
        </w:rPr>
        <w:t>th</w:t>
      </w:r>
      <w:r w:rsidRPr="00AB264D">
        <w:t xml:space="preserve"> day after the filing of Small Business Utility Advocates’ request, and </w:t>
      </w:r>
      <w:r w:rsidRPr="00937724">
        <w:t>continuing until full payment is made.</w:t>
      </w:r>
    </w:p>
    <w:p w:rsidRPr="00937724" w:rsidR="0052282D" w:rsidP="00ED5A95" w:rsidRDefault="00ED5A95" w14:paraId="1080E496" w14:textId="36AD6697">
      <w:pPr>
        <w:numPr>
          <w:ilvl w:val="0"/>
          <w:numId w:val="4"/>
        </w:numPr>
        <w:tabs>
          <w:tab w:val="clear" w:pos="900"/>
          <w:tab w:val="num" w:pos="540"/>
        </w:tabs>
        <w:spacing w:before="240"/>
        <w:ind w:left="547" w:hanging="547"/>
      </w:pPr>
      <w:r>
        <w:t xml:space="preserve">The Motion of Small Business Utility Advocates for Leave to File Under Seal Documents in Support of its Intervenor Compensation Claim, dated September 23, 2025, is granted. The information submitted by SBUA is confidential and shall remain </w:t>
      </w:r>
      <w:proofErr w:type="gramStart"/>
      <w:r>
        <w:t>under seal</w:t>
      </w:r>
      <w:proofErr w:type="gramEnd"/>
      <w:r>
        <w:t>. This information shall not be disclosed or made accessible to anyone other than Commission staff, the assigned Commissioner, the assigned Administrative Law Judge, or the Law and Motion Judge.</w:t>
      </w:r>
    </w:p>
    <w:p w:rsidRPr="008936E4" w:rsidR="00A92D0B" w:rsidP="00DE3A5D" w:rsidRDefault="00A92D0B" w14:paraId="5AD40C95" w14:textId="420AFC91">
      <w:pPr>
        <w:keepNext/>
        <w:keepLines/>
        <w:numPr>
          <w:ilvl w:val="0"/>
          <w:numId w:val="4"/>
        </w:numPr>
        <w:tabs>
          <w:tab w:val="clear" w:pos="900"/>
          <w:tab w:val="num" w:pos="540"/>
        </w:tabs>
        <w:spacing w:before="240"/>
        <w:ind w:left="547" w:hanging="547"/>
        <w:rPr>
          <w:rFonts w:asciiTheme="majorBidi" w:hAnsiTheme="majorBidi" w:cstheme="majorBidi"/>
        </w:rPr>
      </w:pPr>
      <w:r w:rsidRPr="008936E4">
        <w:rPr>
          <w:rFonts w:asciiTheme="majorBidi" w:hAnsiTheme="majorBidi" w:cstheme="majorBidi"/>
        </w:rPr>
        <w:t xml:space="preserve">The comment period for today’s </w:t>
      </w:r>
      <w:r w:rsidRPr="00190911">
        <w:rPr>
          <w:rFonts w:asciiTheme="majorBidi" w:hAnsiTheme="majorBidi" w:cstheme="majorBidi"/>
        </w:rPr>
        <w:t xml:space="preserve">decision is </w:t>
      </w:r>
      <w:r w:rsidR="00064940">
        <w:rPr>
          <w:rFonts w:asciiTheme="majorBidi" w:hAnsiTheme="majorBidi" w:cstheme="majorBidi"/>
        </w:rPr>
        <w:t xml:space="preserve">not </w:t>
      </w:r>
      <w:r w:rsidRPr="00190911">
        <w:rPr>
          <w:rFonts w:asciiTheme="majorBidi" w:hAnsiTheme="majorBidi" w:cstheme="majorBidi"/>
        </w:rPr>
        <w:t>waived</w:t>
      </w:r>
      <w:r w:rsidRPr="008936E4">
        <w:rPr>
          <w:rFonts w:asciiTheme="majorBidi" w:hAnsiTheme="majorBidi" w:cstheme="majorBidi"/>
        </w:rPr>
        <w:t>.</w:t>
      </w:r>
    </w:p>
    <w:p w:rsidRPr="008936E4" w:rsidR="00A92D0B" w:rsidP="00467E65" w:rsidRDefault="00A92D0B" w14:paraId="13F3A0AD" w14:textId="77777777">
      <w:pPr>
        <w:keepNext/>
        <w:keepLines/>
        <w:spacing w:before="240"/>
        <w:ind w:left="547"/>
        <w:rPr>
          <w:rFonts w:asciiTheme="majorBidi" w:hAnsiTheme="majorBidi" w:cstheme="majorBidi"/>
          <w:color w:val="000000"/>
        </w:rPr>
      </w:pPr>
      <w:r w:rsidRPr="008936E4">
        <w:rPr>
          <w:rFonts w:asciiTheme="majorBidi" w:hAnsiTheme="majorBidi" w:cstheme="majorBidi"/>
          <w:color w:val="000000"/>
        </w:rPr>
        <w:t>This decision is effective today.</w:t>
      </w:r>
    </w:p>
    <w:p w:rsidRPr="008936E4" w:rsidR="00A92D0B" w:rsidP="00357623" w:rsidRDefault="00A92D0B" w14:paraId="0467B995" w14:textId="40550F60">
      <w:pPr>
        <w:keepNext/>
        <w:keepLines/>
        <w:spacing w:before="240"/>
        <w:ind w:left="547"/>
        <w:rPr>
          <w:rFonts w:asciiTheme="majorBidi" w:hAnsiTheme="majorBidi" w:cstheme="majorBidi"/>
          <w:color w:val="000000"/>
        </w:rPr>
      </w:pPr>
      <w:r w:rsidRPr="008936E4">
        <w:rPr>
          <w:rFonts w:asciiTheme="majorBidi" w:hAnsiTheme="majorBidi" w:cstheme="majorBidi"/>
          <w:color w:val="000000"/>
        </w:rPr>
        <w:t xml:space="preserve">Dated </w:t>
      </w:r>
      <w:r w:rsidR="00B57D7F">
        <w:rPr>
          <w:rFonts w:asciiTheme="majorBidi" w:hAnsiTheme="majorBidi" w:cstheme="majorBidi"/>
          <w:color w:val="000000"/>
        </w:rPr>
        <w:t>July ___, 2026</w:t>
      </w:r>
      <w:r w:rsidRPr="008936E4">
        <w:rPr>
          <w:rFonts w:asciiTheme="majorBidi" w:hAnsiTheme="majorBidi" w:cstheme="majorBidi"/>
          <w:color w:val="000000"/>
        </w:rPr>
        <w:t>, at San Francisco, California.</w:t>
      </w:r>
    </w:p>
    <w:p w:rsidRPr="008936E4" w:rsidR="00A92D0B" w:rsidRDefault="00A92D0B" w14:paraId="1A474D77" w14:textId="77777777">
      <w:pPr>
        <w:rPr>
          <w:rFonts w:asciiTheme="majorBidi" w:hAnsiTheme="majorBidi" w:cstheme="majorBidi"/>
        </w:rPr>
      </w:pPr>
    </w:p>
    <w:p w:rsidRPr="008936E4" w:rsidR="00FE3BAE" w:rsidRDefault="00FE3BAE" w14:paraId="3C739AE2" w14:textId="71F3AFC8">
      <w:pPr>
        <w:rPr>
          <w:rFonts w:asciiTheme="majorBidi" w:hAnsiTheme="majorBidi" w:cstheme="majorBidi"/>
        </w:rPr>
      </w:pPr>
    </w:p>
    <w:p w:rsidRPr="008936E4" w:rsidR="006B7228" w:rsidRDefault="006B7228" w14:paraId="37D74F32" w14:textId="77777777">
      <w:pPr>
        <w:rPr>
          <w:rFonts w:asciiTheme="majorBidi" w:hAnsiTheme="majorBidi" w:cstheme="majorBidi"/>
        </w:rPr>
        <w:sectPr w:rsidRPr="008936E4" w:rsidR="006B7228" w:rsidSect="006B722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pPr>
    </w:p>
    <w:p w:rsidRPr="008936E4" w:rsidR="00FE3BAE" w:rsidP="00FE3BAE" w:rsidRDefault="00FE3BAE" w14:paraId="7A1C7043" w14:textId="77777777">
      <w:pPr>
        <w:pStyle w:val="standard"/>
        <w:ind w:firstLine="0"/>
        <w:jc w:val="center"/>
        <w:rPr>
          <w:rFonts w:asciiTheme="majorBidi" w:hAnsiTheme="majorBidi" w:cstheme="majorBidi"/>
          <w:b/>
          <w:sz w:val="24"/>
          <w:szCs w:val="24"/>
        </w:rPr>
      </w:pPr>
      <w:r w:rsidRPr="008936E4">
        <w:rPr>
          <w:rFonts w:asciiTheme="majorBidi" w:hAnsiTheme="majorBidi" w:cstheme="majorBidi"/>
          <w:b/>
          <w:sz w:val="24"/>
          <w:szCs w:val="24"/>
        </w:rPr>
        <w:lastRenderedPageBreak/>
        <w:t>APPENDIX</w:t>
      </w:r>
    </w:p>
    <w:p w:rsidRPr="008936E4" w:rsidR="00FE3BAE" w:rsidP="00F7579D" w:rsidRDefault="00FE3BAE" w14:paraId="300BB274" w14:textId="77777777">
      <w:pPr>
        <w:pStyle w:val="standard"/>
        <w:ind w:firstLine="0"/>
        <w:jc w:val="center"/>
        <w:rPr>
          <w:rFonts w:asciiTheme="majorBidi" w:hAnsiTheme="majorBidi" w:cstheme="majorBidi"/>
          <w:b/>
          <w:bCs/>
          <w:sz w:val="24"/>
          <w:szCs w:val="24"/>
        </w:rPr>
      </w:pPr>
      <w:r w:rsidRPr="008936E4">
        <w:rPr>
          <w:rFonts w:asciiTheme="majorBidi" w:hAnsiTheme="majorBidi" w:cstheme="majorBidi"/>
          <w:b/>
          <w:bCs/>
          <w:sz w:val="24"/>
          <w:szCs w:val="24"/>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8936E4" w:rsidR="00FE3BAE" w:rsidTr="006E7813" w14:paraId="062C592A"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8936E4" w:rsidR="00FE3BAE" w:rsidRDefault="00FE3BAE" w14:paraId="4BC9C636" w14:textId="77777777">
            <w:pPr>
              <w:rPr>
                <w:rFonts w:asciiTheme="majorBidi" w:hAnsiTheme="majorBidi" w:cstheme="majorBidi"/>
                <w:b/>
                <w:bCs/>
              </w:rPr>
            </w:pPr>
            <w:r w:rsidRPr="008936E4">
              <w:rPr>
                <w:rFonts w:asciiTheme="majorBidi" w:hAnsiTheme="majorBidi" w:cstheme="majorBidi"/>
                <w:b/>
                <w:bCs/>
              </w:rPr>
              <w:t>Compensation Decision:</w:t>
            </w:r>
          </w:p>
        </w:tc>
        <w:tc>
          <w:tcPr>
            <w:tcW w:w="3767" w:type="dxa"/>
            <w:tcBorders>
              <w:top w:val="single" w:color="auto" w:sz="4" w:space="0"/>
              <w:left w:val="single" w:color="auto" w:sz="4" w:space="0"/>
              <w:bottom w:val="single" w:color="auto" w:sz="4" w:space="0"/>
              <w:right w:val="single" w:color="auto" w:sz="4" w:space="0"/>
            </w:tcBorders>
          </w:tcPr>
          <w:p w:rsidRPr="008936E4" w:rsidR="00FE3BAE" w:rsidRDefault="00FE3BAE" w14:paraId="16C5D6B1" w14:textId="77777777">
            <w:pPr>
              <w:rPr>
                <w:rFonts w:asciiTheme="majorBidi" w:hAnsiTheme="majorBidi" w:cstheme="majorBidi"/>
              </w:rPr>
            </w:pPr>
          </w:p>
        </w:tc>
        <w:tc>
          <w:tcPr>
            <w:tcW w:w="2497" w:type="dxa"/>
            <w:tcBorders>
              <w:top w:val="single" w:color="auto" w:sz="4" w:space="0"/>
              <w:left w:val="single" w:color="auto" w:sz="4" w:space="0"/>
              <w:bottom w:val="single" w:color="auto" w:sz="4" w:space="0"/>
              <w:right w:val="single" w:color="auto" w:sz="4" w:space="0"/>
            </w:tcBorders>
            <w:hideMark/>
          </w:tcPr>
          <w:p w:rsidRPr="008936E4" w:rsidR="00FE3BAE" w:rsidRDefault="00FE3BAE" w14:paraId="3ECA0C4F" w14:textId="77777777">
            <w:pPr>
              <w:rPr>
                <w:rFonts w:asciiTheme="majorBidi" w:hAnsiTheme="majorBidi" w:cstheme="majorBidi"/>
                <w:b/>
                <w:bCs/>
              </w:rPr>
            </w:pPr>
            <w:r w:rsidRPr="008936E4">
              <w:rPr>
                <w:rFonts w:asciiTheme="majorBidi" w:hAnsiTheme="majorBidi" w:cstheme="majorBidi"/>
                <w:b/>
                <w:bCs/>
              </w:rPr>
              <w:t xml:space="preserve">Modifies Decision? </w:t>
            </w:r>
          </w:p>
        </w:tc>
        <w:tc>
          <w:tcPr>
            <w:tcW w:w="1271" w:type="dxa"/>
            <w:tcBorders>
              <w:top w:val="single" w:color="auto" w:sz="4" w:space="0"/>
              <w:left w:val="single" w:color="auto" w:sz="4" w:space="0"/>
              <w:bottom w:val="single" w:color="auto" w:sz="4" w:space="0"/>
              <w:right w:val="single" w:color="auto" w:sz="4" w:space="0"/>
            </w:tcBorders>
          </w:tcPr>
          <w:p w:rsidRPr="008936E4" w:rsidR="00FE3BAE" w:rsidRDefault="00537012" w14:paraId="6846FB87" w14:textId="7B326AA9">
            <w:pPr>
              <w:jc w:val="center"/>
              <w:rPr>
                <w:rFonts w:asciiTheme="majorBidi" w:hAnsiTheme="majorBidi" w:cstheme="majorBidi"/>
              </w:rPr>
            </w:pPr>
            <w:r>
              <w:rPr>
                <w:rFonts w:asciiTheme="majorBidi" w:hAnsiTheme="majorBidi" w:cstheme="majorBidi"/>
              </w:rPr>
              <w:t>No</w:t>
            </w:r>
          </w:p>
        </w:tc>
      </w:tr>
      <w:tr w:rsidRPr="008936E4" w:rsidR="006E7813" w:rsidTr="006E1A6C" w14:paraId="3E0218AD"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8936E4" w:rsidR="006E7813" w:rsidP="006E7813" w:rsidRDefault="006E7813" w14:paraId="6E65620B" w14:textId="77777777">
            <w:pPr>
              <w:rPr>
                <w:rFonts w:asciiTheme="majorBidi" w:hAnsiTheme="majorBidi" w:cstheme="majorBidi"/>
                <w:b/>
                <w:bCs/>
              </w:rPr>
            </w:pPr>
            <w:r w:rsidRPr="008936E4">
              <w:rPr>
                <w:rFonts w:asciiTheme="majorBidi" w:hAnsiTheme="majorBidi" w:cstheme="majorBidi"/>
                <w:b/>
                <w:bCs/>
              </w:rPr>
              <w:t>Contribution Decision(s):</w:t>
            </w:r>
          </w:p>
        </w:tc>
        <w:tc>
          <w:tcPr>
            <w:tcW w:w="7535" w:type="dxa"/>
            <w:gridSpan w:val="3"/>
            <w:tcBorders>
              <w:top w:val="single" w:color="auto" w:sz="4" w:space="0"/>
              <w:left w:val="single" w:color="auto" w:sz="4" w:space="0"/>
              <w:bottom w:val="single" w:color="auto" w:sz="4" w:space="0"/>
              <w:right w:val="single" w:color="auto" w:sz="4" w:space="0"/>
            </w:tcBorders>
            <w:hideMark/>
          </w:tcPr>
          <w:p w:rsidRPr="006E1A6C" w:rsidR="006E7813" w:rsidP="006E7813" w:rsidRDefault="000E33C0" w14:paraId="426F2C45" w14:textId="0882B055">
            <w:r w:rsidRPr="006E1A6C">
              <w:t>D2412033</w:t>
            </w:r>
            <w:r w:rsidRPr="006E1A6C" w:rsidR="00190911">
              <w:t xml:space="preserve">, </w:t>
            </w:r>
            <w:r w:rsidRPr="006E1A6C">
              <w:t>D2507041</w:t>
            </w:r>
          </w:p>
        </w:tc>
      </w:tr>
      <w:tr w:rsidRPr="008936E4" w:rsidR="006E7813" w:rsidTr="006E1A6C" w14:paraId="2808C576"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8936E4" w:rsidR="006E7813" w:rsidP="006E7813" w:rsidRDefault="006E7813" w14:paraId="717974DE" w14:textId="77777777">
            <w:pPr>
              <w:rPr>
                <w:rFonts w:asciiTheme="majorBidi" w:hAnsiTheme="majorBidi" w:cstheme="majorBidi"/>
                <w:b/>
                <w:bCs/>
              </w:rPr>
            </w:pPr>
            <w:r w:rsidRPr="008936E4">
              <w:rPr>
                <w:rFonts w:asciiTheme="majorBidi" w:hAnsiTheme="majorBidi" w:cstheme="majorBidi"/>
                <w:b/>
                <w:bCs/>
              </w:rPr>
              <w:t>Proceeding(s):</w:t>
            </w:r>
          </w:p>
        </w:tc>
        <w:tc>
          <w:tcPr>
            <w:tcW w:w="7535" w:type="dxa"/>
            <w:gridSpan w:val="3"/>
            <w:tcBorders>
              <w:top w:val="single" w:color="auto" w:sz="4" w:space="0"/>
              <w:left w:val="single" w:color="auto" w:sz="4" w:space="0"/>
              <w:bottom w:val="single" w:color="auto" w:sz="4" w:space="0"/>
              <w:right w:val="single" w:color="auto" w:sz="4" w:space="0"/>
            </w:tcBorders>
            <w:hideMark/>
          </w:tcPr>
          <w:p w:rsidRPr="008936E4" w:rsidR="006E7813" w:rsidP="006E7813" w:rsidRDefault="000E33C0" w14:paraId="5B85688D" w14:textId="27BA81A4">
            <w:pPr>
              <w:rPr>
                <w:rFonts w:asciiTheme="majorBidi" w:hAnsiTheme="majorBidi" w:cstheme="majorBidi"/>
              </w:rPr>
            </w:pPr>
            <w:r w:rsidRPr="000E33C0">
              <w:rPr>
                <w:rFonts w:asciiTheme="majorBidi" w:hAnsiTheme="majorBidi" w:cstheme="majorBidi"/>
              </w:rPr>
              <w:t>A2403018</w:t>
            </w:r>
          </w:p>
        </w:tc>
      </w:tr>
      <w:tr w:rsidRPr="008936E4" w:rsidR="00FE3BAE" w:rsidTr="006E7813" w14:paraId="66779179"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8936E4" w:rsidR="00FE3BAE" w:rsidRDefault="00FE3BAE" w14:paraId="738C0A58" w14:textId="77777777">
            <w:pPr>
              <w:rPr>
                <w:rFonts w:asciiTheme="majorBidi" w:hAnsiTheme="majorBidi" w:cstheme="majorBidi"/>
                <w:b/>
                <w:bCs/>
              </w:rPr>
            </w:pPr>
            <w:r w:rsidRPr="008936E4">
              <w:rPr>
                <w:rFonts w:asciiTheme="majorBidi" w:hAnsiTheme="majorBidi" w:cstheme="majorBidi"/>
                <w:b/>
                <w:bCs/>
              </w:rPr>
              <w:t>Author:</w:t>
            </w:r>
          </w:p>
        </w:tc>
        <w:tc>
          <w:tcPr>
            <w:tcW w:w="7535" w:type="dxa"/>
            <w:gridSpan w:val="3"/>
            <w:tcBorders>
              <w:top w:val="single" w:color="auto" w:sz="4" w:space="0"/>
              <w:left w:val="single" w:color="auto" w:sz="4" w:space="0"/>
              <w:bottom w:val="single" w:color="auto" w:sz="4" w:space="0"/>
              <w:right w:val="single" w:color="auto" w:sz="4" w:space="0"/>
            </w:tcBorders>
            <w:hideMark/>
          </w:tcPr>
          <w:p w:rsidRPr="008936E4" w:rsidR="00FE3BAE" w:rsidRDefault="002A6045" w14:paraId="5E75C0F0" w14:textId="29A71E4E">
            <w:pPr>
              <w:rPr>
                <w:rFonts w:asciiTheme="majorBidi" w:hAnsiTheme="majorBidi" w:cstheme="majorBidi"/>
              </w:rPr>
            </w:pPr>
            <w:r>
              <w:rPr>
                <w:rFonts w:asciiTheme="majorBidi" w:hAnsiTheme="majorBidi" w:cstheme="majorBidi"/>
              </w:rPr>
              <w:t xml:space="preserve">ALJ </w:t>
            </w:r>
            <w:r w:rsidR="00190911">
              <w:rPr>
                <w:rFonts w:asciiTheme="majorBidi" w:hAnsiTheme="majorBidi" w:cstheme="majorBidi"/>
              </w:rPr>
              <w:t>N</w:t>
            </w:r>
            <w:r w:rsidR="00537012">
              <w:rPr>
                <w:rFonts w:asciiTheme="majorBidi" w:hAnsiTheme="majorBidi" w:cstheme="majorBidi"/>
              </w:rPr>
              <w:t>ilgun Atamturk</w:t>
            </w:r>
          </w:p>
        </w:tc>
      </w:tr>
      <w:tr w:rsidRPr="008936E4" w:rsidR="00FE3BAE" w:rsidTr="006E7813" w14:paraId="305F69F4" w14:textId="77777777">
        <w:trPr>
          <w:trHeight w:val="278"/>
          <w:jc w:val="center"/>
        </w:trPr>
        <w:tc>
          <w:tcPr>
            <w:tcW w:w="2905" w:type="dxa"/>
            <w:tcBorders>
              <w:top w:val="single" w:color="auto" w:sz="4" w:space="0"/>
              <w:left w:val="single" w:color="auto" w:sz="4" w:space="0"/>
              <w:bottom w:val="single" w:color="auto" w:sz="4" w:space="0"/>
              <w:right w:val="single" w:color="auto" w:sz="4" w:space="0"/>
            </w:tcBorders>
            <w:hideMark/>
          </w:tcPr>
          <w:p w:rsidRPr="008936E4" w:rsidR="00FE3BAE" w:rsidRDefault="00FE3BAE" w14:paraId="1414CA71" w14:textId="77777777">
            <w:pPr>
              <w:rPr>
                <w:rFonts w:asciiTheme="majorBidi" w:hAnsiTheme="majorBidi" w:cstheme="majorBidi"/>
                <w:b/>
                <w:bCs/>
              </w:rPr>
            </w:pPr>
            <w:r w:rsidRPr="008936E4">
              <w:rPr>
                <w:rFonts w:asciiTheme="majorBidi" w:hAnsiTheme="majorBidi" w:cstheme="majorBidi"/>
                <w:b/>
                <w:bCs/>
              </w:rPr>
              <w:t>Payer(s):</w:t>
            </w:r>
          </w:p>
        </w:tc>
        <w:tc>
          <w:tcPr>
            <w:tcW w:w="7535" w:type="dxa"/>
            <w:gridSpan w:val="3"/>
            <w:tcBorders>
              <w:top w:val="single" w:color="auto" w:sz="4" w:space="0"/>
              <w:left w:val="single" w:color="auto" w:sz="4" w:space="0"/>
              <w:bottom w:val="single" w:color="auto" w:sz="4" w:space="0"/>
              <w:right w:val="single" w:color="auto" w:sz="4" w:space="0"/>
            </w:tcBorders>
            <w:hideMark/>
          </w:tcPr>
          <w:p w:rsidRPr="008936E4" w:rsidR="00FE3BAE" w:rsidRDefault="00537012" w14:paraId="7CA711B6" w14:textId="3FD6C7A5">
            <w:pPr>
              <w:rPr>
                <w:rFonts w:asciiTheme="majorBidi" w:hAnsiTheme="majorBidi" w:cstheme="majorBidi"/>
              </w:rPr>
            </w:pPr>
            <w:r>
              <w:rPr>
                <w:rFonts w:asciiTheme="majorBidi" w:hAnsiTheme="majorBidi" w:cstheme="majorBidi"/>
              </w:rPr>
              <w:t xml:space="preserve">Pacific Gas </w:t>
            </w:r>
            <w:r w:rsidR="002A6045">
              <w:rPr>
                <w:rFonts w:asciiTheme="majorBidi" w:hAnsiTheme="majorBidi" w:cstheme="majorBidi"/>
              </w:rPr>
              <w:t xml:space="preserve">and </w:t>
            </w:r>
            <w:r>
              <w:rPr>
                <w:rFonts w:asciiTheme="majorBidi" w:hAnsiTheme="majorBidi" w:cstheme="majorBidi"/>
              </w:rPr>
              <w:t>Electric Company</w:t>
            </w:r>
          </w:p>
        </w:tc>
      </w:tr>
    </w:tbl>
    <w:p w:rsidRPr="008936E4" w:rsidR="00FE3BAE" w:rsidP="00CE057B" w:rsidRDefault="00FE3BAE" w14:paraId="7F0236A2" w14:textId="77777777">
      <w:pPr>
        <w:spacing w:before="480" w:after="240"/>
        <w:jc w:val="center"/>
        <w:rPr>
          <w:rFonts w:asciiTheme="majorBidi" w:hAnsiTheme="majorBidi" w:cstheme="majorBidi"/>
          <w:b/>
          <w:bCs/>
        </w:rPr>
      </w:pPr>
      <w:r w:rsidRPr="008936E4">
        <w:rPr>
          <w:rFonts w:asciiTheme="majorBidi" w:hAnsiTheme="majorBidi" w:cstheme="majorBidi"/>
          <w:b/>
          <w:bCs/>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2"/>
        <w:gridCol w:w="1590"/>
        <w:gridCol w:w="1296"/>
        <w:gridCol w:w="1586"/>
        <w:gridCol w:w="1405"/>
        <w:gridCol w:w="2501"/>
      </w:tblGrid>
      <w:tr w:rsidRPr="008936E4" w:rsidR="00FE3BAE" w:rsidTr="00D84B9C" w14:paraId="6CDB318E" w14:textId="77777777">
        <w:trPr>
          <w:jc w:val="center"/>
        </w:trPr>
        <w:tc>
          <w:tcPr>
            <w:tcW w:w="2066" w:type="dxa"/>
            <w:tcBorders>
              <w:top w:val="single" w:color="auto" w:sz="4" w:space="0"/>
              <w:left w:val="single" w:color="auto" w:sz="4" w:space="0"/>
              <w:bottom w:val="single" w:color="auto" w:sz="4" w:space="0"/>
              <w:right w:val="single" w:color="auto" w:sz="4" w:space="0"/>
            </w:tcBorders>
            <w:vAlign w:val="bottom"/>
            <w:hideMark/>
          </w:tcPr>
          <w:p w:rsidRPr="008936E4" w:rsidR="00FE3BAE" w:rsidP="00CE057B" w:rsidRDefault="00FE3BAE" w14:paraId="2578F35B" w14:textId="77777777">
            <w:pPr>
              <w:jc w:val="center"/>
              <w:rPr>
                <w:rFonts w:asciiTheme="majorBidi" w:hAnsiTheme="majorBidi" w:cstheme="majorBidi"/>
                <w:b/>
                <w:bCs/>
              </w:rPr>
            </w:pPr>
            <w:r w:rsidRPr="008936E4">
              <w:rPr>
                <w:rFonts w:asciiTheme="majorBidi" w:hAnsiTheme="majorBidi" w:cstheme="majorBidi"/>
                <w:b/>
                <w:bCs/>
              </w:rPr>
              <w:t>Intervenor</w:t>
            </w:r>
          </w:p>
        </w:tc>
        <w:tc>
          <w:tcPr>
            <w:tcW w:w="1594" w:type="dxa"/>
            <w:tcBorders>
              <w:top w:val="single" w:color="auto" w:sz="4" w:space="0"/>
              <w:left w:val="single" w:color="auto" w:sz="4" w:space="0"/>
              <w:bottom w:val="single" w:color="auto" w:sz="4" w:space="0"/>
              <w:right w:val="single" w:color="auto" w:sz="4" w:space="0"/>
            </w:tcBorders>
            <w:vAlign w:val="bottom"/>
            <w:hideMark/>
          </w:tcPr>
          <w:p w:rsidRPr="008936E4" w:rsidR="00B803D5" w:rsidP="00CE057B" w:rsidRDefault="0081626F" w14:paraId="1A2BF295" w14:textId="77777777">
            <w:pPr>
              <w:jc w:val="center"/>
              <w:rPr>
                <w:rFonts w:asciiTheme="majorBidi" w:hAnsiTheme="majorBidi" w:cstheme="majorBidi"/>
                <w:b/>
                <w:bCs/>
              </w:rPr>
            </w:pPr>
            <w:r w:rsidRPr="008936E4">
              <w:rPr>
                <w:rFonts w:asciiTheme="majorBidi" w:hAnsiTheme="majorBidi" w:cstheme="majorBidi"/>
                <w:b/>
                <w:bCs/>
              </w:rPr>
              <w:t>Date</w:t>
            </w:r>
          </w:p>
          <w:p w:rsidRPr="008936E4" w:rsidR="00FE3BAE" w:rsidP="00CE057B" w:rsidRDefault="0081626F" w14:paraId="2C1C9DC3" w14:textId="2305FDF8">
            <w:pPr>
              <w:jc w:val="center"/>
              <w:rPr>
                <w:rFonts w:asciiTheme="majorBidi" w:hAnsiTheme="majorBidi" w:cstheme="majorBidi"/>
                <w:b/>
                <w:bCs/>
              </w:rPr>
            </w:pPr>
            <w:r w:rsidRPr="008936E4">
              <w:rPr>
                <w:rFonts w:asciiTheme="majorBidi" w:hAnsiTheme="majorBidi" w:cstheme="majorBidi"/>
                <w:b/>
                <w:bCs/>
              </w:rPr>
              <w:t>Claim Filed</w:t>
            </w:r>
          </w:p>
        </w:tc>
        <w:tc>
          <w:tcPr>
            <w:tcW w:w="1286" w:type="dxa"/>
            <w:tcBorders>
              <w:top w:val="single" w:color="auto" w:sz="4" w:space="0"/>
              <w:left w:val="single" w:color="auto" w:sz="4" w:space="0"/>
              <w:bottom w:val="single" w:color="auto" w:sz="4" w:space="0"/>
              <w:right w:val="single" w:color="auto" w:sz="4" w:space="0"/>
            </w:tcBorders>
            <w:vAlign w:val="bottom"/>
            <w:hideMark/>
          </w:tcPr>
          <w:p w:rsidRPr="008936E4" w:rsidR="00FE3BAE" w:rsidP="00CE057B" w:rsidRDefault="00FE3BAE" w14:paraId="60DD020D" w14:textId="77777777">
            <w:pPr>
              <w:jc w:val="center"/>
              <w:rPr>
                <w:rFonts w:asciiTheme="majorBidi" w:hAnsiTheme="majorBidi" w:cstheme="majorBidi"/>
                <w:b/>
                <w:bCs/>
              </w:rPr>
            </w:pPr>
            <w:r w:rsidRPr="008936E4">
              <w:rPr>
                <w:rFonts w:asciiTheme="majorBidi" w:hAnsiTheme="majorBidi" w:cstheme="majorBidi"/>
                <w:b/>
                <w:bCs/>
              </w:rPr>
              <w:t>Amount Requested</w:t>
            </w:r>
          </w:p>
        </w:tc>
        <w:tc>
          <w:tcPr>
            <w:tcW w:w="1588" w:type="dxa"/>
            <w:tcBorders>
              <w:top w:val="single" w:color="auto" w:sz="4" w:space="0"/>
              <w:left w:val="single" w:color="auto" w:sz="4" w:space="0"/>
              <w:bottom w:val="single" w:color="auto" w:sz="4" w:space="0"/>
              <w:right w:val="single" w:color="auto" w:sz="4" w:space="0"/>
            </w:tcBorders>
            <w:vAlign w:val="bottom"/>
            <w:hideMark/>
          </w:tcPr>
          <w:p w:rsidRPr="008936E4" w:rsidR="00FE3BAE" w:rsidP="00CE057B" w:rsidRDefault="00FE3BAE" w14:paraId="19A4A01D" w14:textId="77777777">
            <w:pPr>
              <w:jc w:val="center"/>
              <w:rPr>
                <w:rFonts w:asciiTheme="majorBidi" w:hAnsiTheme="majorBidi" w:cstheme="majorBidi"/>
                <w:b/>
                <w:bCs/>
              </w:rPr>
            </w:pPr>
            <w:r w:rsidRPr="00E71497">
              <w:rPr>
                <w:rFonts w:asciiTheme="majorBidi" w:hAnsiTheme="majorBidi" w:cstheme="majorBidi"/>
                <w:b/>
                <w:bCs/>
              </w:rPr>
              <w:t>Amount Awarded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8936E4" w:rsidR="00FE3BAE" w:rsidP="00CE057B" w:rsidRDefault="00FE3BAE" w14:paraId="5B9F47E2" w14:textId="77777777">
            <w:pPr>
              <w:jc w:val="center"/>
              <w:rPr>
                <w:rFonts w:asciiTheme="majorBidi" w:hAnsiTheme="majorBidi" w:cstheme="majorBidi"/>
                <w:b/>
                <w:bCs/>
              </w:rPr>
            </w:pPr>
            <w:r w:rsidRPr="008936E4">
              <w:rPr>
                <w:rFonts w:asciiTheme="majorBidi" w:hAnsiTheme="majorBidi" w:cstheme="majorBidi"/>
                <w:b/>
                <w:bCs/>
              </w:rPr>
              <w:t>Multiplier?</w:t>
            </w:r>
          </w:p>
        </w:tc>
        <w:tc>
          <w:tcPr>
            <w:tcW w:w="2501" w:type="dxa"/>
            <w:tcBorders>
              <w:top w:val="single" w:color="auto" w:sz="4" w:space="0"/>
              <w:left w:val="single" w:color="auto" w:sz="4" w:space="0"/>
              <w:bottom w:val="single" w:color="auto" w:sz="4" w:space="0"/>
              <w:right w:val="single" w:color="auto" w:sz="4" w:space="0"/>
            </w:tcBorders>
            <w:vAlign w:val="bottom"/>
            <w:hideMark/>
          </w:tcPr>
          <w:p w:rsidRPr="008936E4" w:rsidR="00FE3BAE" w:rsidP="00CE057B" w:rsidRDefault="00FE3BAE" w14:paraId="089590A8" w14:textId="77777777">
            <w:pPr>
              <w:jc w:val="center"/>
              <w:rPr>
                <w:rFonts w:asciiTheme="majorBidi" w:hAnsiTheme="majorBidi" w:cstheme="majorBidi"/>
                <w:b/>
                <w:bCs/>
              </w:rPr>
            </w:pPr>
            <w:r w:rsidRPr="008936E4">
              <w:rPr>
                <w:rFonts w:asciiTheme="majorBidi" w:hAnsiTheme="majorBidi" w:cstheme="majorBidi"/>
                <w:b/>
                <w:bCs/>
              </w:rPr>
              <w:t>Reason Change/Disallowance</w:t>
            </w:r>
          </w:p>
        </w:tc>
      </w:tr>
      <w:tr w:rsidRPr="008936E4" w:rsidR="006E7813" w:rsidTr="006E1A6C" w14:paraId="080524E3" w14:textId="77777777">
        <w:trPr>
          <w:trHeight w:val="872"/>
          <w:jc w:val="center"/>
        </w:trPr>
        <w:tc>
          <w:tcPr>
            <w:tcW w:w="2066" w:type="dxa"/>
            <w:tcBorders>
              <w:top w:val="single" w:color="auto" w:sz="4" w:space="0"/>
              <w:left w:val="single" w:color="auto" w:sz="4" w:space="0"/>
              <w:bottom w:val="single" w:color="auto" w:sz="4" w:space="0"/>
              <w:right w:val="single" w:color="auto" w:sz="4" w:space="0"/>
            </w:tcBorders>
            <w:hideMark/>
          </w:tcPr>
          <w:p w:rsidRPr="008936E4" w:rsidR="006E7813" w:rsidP="006E7813" w:rsidRDefault="006E7813" w14:paraId="3008FB17" w14:textId="0DCB5299">
            <w:pPr>
              <w:jc w:val="center"/>
              <w:rPr>
                <w:rFonts w:asciiTheme="majorBidi" w:hAnsiTheme="majorBidi" w:cstheme="majorBidi"/>
              </w:rPr>
            </w:pPr>
            <w:r w:rsidRPr="008936E4">
              <w:rPr>
                <w:rFonts w:asciiTheme="majorBidi" w:hAnsiTheme="majorBidi" w:cstheme="majorBidi"/>
              </w:rPr>
              <w:t>S</w:t>
            </w:r>
            <w:r w:rsidR="00537012">
              <w:rPr>
                <w:rFonts w:asciiTheme="majorBidi" w:hAnsiTheme="majorBidi" w:cstheme="majorBidi"/>
              </w:rPr>
              <w:t>mall Business Utility Advocates</w:t>
            </w:r>
          </w:p>
        </w:tc>
        <w:tc>
          <w:tcPr>
            <w:tcW w:w="1594" w:type="dxa"/>
            <w:tcBorders>
              <w:top w:val="single" w:color="auto" w:sz="4" w:space="0"/>
              <w:left w:val="single" w:color="auto" w:sz="4" w:space="0"/>
              <w:bottom w:val="single" w:color="auto" w:sz="4" w:space="0"/>
              <w:right w:val="single" w:color="auto" w:sz="4" w:space="0"/>
            </w:tcBorders>
            <w:hideMark/>
          </w:tcPr>
          <w:p w:rsidRPr="00307373" w:rsidR="006E7813" w:rsidP="005D0387" w:rsidRDefault="003A034E" w14:paraId="30469F93" w14:textId="57E6AD39">
            <w:pPr>
              <w:jc w:val="center"/>
              <w:rPr>
                <w:rFonts w:asciiTheme="majorBidi" w:hAnsiTheme="majorBidi" w:cstheme="majorBidi"/>
              </w:rPr>
            </w:pPr>
            <w:r w:rsidRPr="00307373">
              <w:rPr>
                <w:rFonts w:asciiTheme="majorBidi" w:hAnsiTheme="majorBidi" w:cstheme="majorBidi"/>
              </w:rPr>
              <w:t>June 23</w:t>
            </w:r>
            <w:r w:rsidRPr="00307373" w:rsidR="003A2DA9">
              <w:rPr>
                <w:rFonts w:asciiTheme="majorBidi" w:hAnsiTheme="majorBidi" w:cstheme="majorBidi"/>
              </w:rPr>
              <w:t>, 2025</w:t>
            </w:r>
            <w:r w:rsidRPr="00307373" w:rsidR="00307373">
              <w:rPr>
                <w:rStyle w:val="FootnoteReference"/>
                <w:rFonts w:asciiTheme="majorBidi" w:hAnsiTheme="majorBidi" w:cstheme="majorBidi"/>
              </w:rPr>
              <w:footnoteReference w:id="18"/>
            </w:r>
          </w:p>
          <w:p w:rsidRPr="008936E4" w:rsidR="00190911" w:rsidP="00D84B9C" w:rsidRDefault="00190911" w14:paraId="63956769" w14:textId="4F36979F">
            <w:pPr>
              <w:rPr>
                <w:rFonts w:asciiTheme="majorBidi" w:hAnsiTheme="majorBidi" w:cstheme="majorBidi"/>
              </w:rPr>
            </w:pPr>
          </w:p>
        </w:tc>
        <w:tc>
          <w:tcPr>
            <w:tcW w:w="1286" w:type="dxa"/>
            <w:tcBorders>
              <w:top w:val="single" w:color="auto" w:sz="4" w:space="0"/>
              <w:left w:val="single" w:color="auto" w:sz="4" w:space="0"/>
              <w:bottom w:val="single" w:color="auto" w:sz="4" w:space="0"/>
              <w:right w:val="single" w:color="auto" w:sz="4" w:space="0"/>
            </w:tcBorders>
            <w:hideMark/>
          </w:tcPr>
          <w:p w:rsidRPr="00482EA7" w:rsidR="006E7813" w:rsidP="006E7813" w:rsidRDefault="003A2DA9" w14:paraId="75AD20FA" w14:textId="07930B6B">
            <w:pPr>
              <w:jc w:val="center"/>
              <w:rPr>
                <w:rFonts w:asciiTheme="majorBidi" w:hAnsiTheme="majorBidi" w:cstheme="majorBidi"/>
                <w:b/>
              </w:rPr>
            </w:pPr>
            <w:r>
              <w:rPr>
                <w:rFonts w:asciiTheme="majorBidi" w:hAnsiTheme="majorBidi" w:cstheme="majorBidi"/>
                <w:bCs/>
                <w:iCs/>
                <w:color w:val="000000"/>
              </w:rPr>
              <w:t>$</w:t>
            </w:r>
            <w:r w:rsidRPr="00D5288D" w:rsidR="00D5288D">
              <w:rPr>
                <w:rFonts w:asciiTheme="majorBidi" w:hAnsiTheme="majorBidi" w:cstheme="majorBidi"/>
                <w:bCs/>
                <w:iCs/>
                <w:color w:val="000000"/>
              </w:rPr>
              <w:t>94,957.78</w:t>
            </w:r>
          </w:p>
        </w:tc>
        <w:tc>
          <w:tcPr>
            <w:tcW w:w="1588" w:type="dxa"/>
            <w:tcBorders>
              <w:top w:val="single" w:color="auto" w:sz="4" w:space="0"/>
              <w:left w:val="single" w:color="auto" w:sz="4" w:space="0"/>
              <w:bottom w:val="single" w:color="auto" w:sz="4" w:space="0"/>
              <w:right w:val="single" w:color="auto" w:sz="4" w:space="0"/>
            </w:tcBorders>
            <w:hideMark/>
          </w:tcPr>
          <w:p w:rsidRPr="008936E4" w:rsidR="006E7813" w:rsidP="006E7813" w:rsidRDefault="002E1712" w14:paraId="0DD6FE00" w14:textId="6EE507F1">
            <w:pPr>
              <w:jc w:val="center"/>
              <w:rPr>
                <w:rFonts w:asciiTheme="majorBidi" w:hAnsiTheme="majorBidi" w:cstheme="majorBidi"/>
              </w:rPr>
            </w:pPr>
            <w:r w:rsidRPr="00E76C89">
              <w:rPr>
                <w:rFonts w:asciiTheme="majorBidi" w:hAnsiTheme="majorBidi" w:cstheme="majorBidi"/>
                <w:bCs/>
                <w:iCs/>
              </w:rPr>
              <w:t>$</w:t>
            </w:r>
            <w:r w:rsidR="00AC54DE">
              <w:rPr>
                <w:rFonts w:asciiTheme="majorBidi" w:hAnsiTheme="majorBidi" w:cstheme="majorBidi"/>
                <w:bCs/>
                <w:iCs/>
              </w:rPr>
              <w:t>52,567.00</w:t>
            </w:r>
          </w:p>
        </w:tc>
        <w:tc>
          <w:tcPr>
            <w:tcW w:w="1405" w:type="dxa"/>
            <w:tcBorders>
              <w:top w:val="single" w:color="auto" w:sz="4" w:space="0"/>
              <w:left w:val="single" w:color="auto" w:sz="4" w:space="0"/>
              <w:bottom w:val="single" w:color="auto" w:sz="4" w:space="0"/>
              <w:right w:val="single" w:color="auto" w:sz="4" w:space="0"/>
            </w:tcBorders>
            <w:hideMark/>
          </w:tcPr>
          <w:p w:rsidRPr="008936E4" w:rsidR="006E7813" w:rsidP="006E7813" w:rsidRDefault="006E7813" w14:paraId="0BDAFE20" w14:textId="77777777">
            <w:pPr>
              <w:jc w:val="center"/>
              <w:rPr>
                <w:rFonts w:asciiTheme="majorBidi" w:hAnsiTheme="majorBidi" w:cstheme="majorBidi"/>
              </w:rPr>
            </w:pPr>
            <w:r w:rsidRPr="008936E4">
              <w:rPr>
                <w:rFonts w:asciiTheme="majorBidi" w:hAnsiTheme="majorBidi" w:cstheme="majorBidi"/>
              </w:rPr>
              <w:t>N/A</w:t>
            </w:r>
          </w:p>
        </w:tc>
        <w:tc>
          <w:tcPr>
            <w:tcW w:w="2501" w:type="dxa"/>
            <w:tcBorders>
              <w:top w:val="single" w:color="auto" w:sz="4" w:space="0"/>
              <w:left w:val="single" w:color="auto" w:sz="4" w:space="0"/>
              <w:bottom w:val="single" w:color="auto" w:sz="4" w:space="0"/>
              <w:right w:val="single" w:color="auto" w:sz="4" w:space="0"/>
            </w:tcBorders>
            <w:hideMark/>
          </w:tcPr>
          <w:p w:rsidR="00537012" w:rsidP="00537012" w:rsidRDefault="00537012" w14:paraId="743694E5" w14:textId="77777777">
            <w:pPr>
              <w:jc w:val="center"/>
            </w:pPr>
            <w:r w:rsidRPr="00D83F9B">
              <w:rPr>
                <w:i/>
                <w:iCs/>
              </w:rPr>
              <w:t>See</w:t>
            </w:r>
            <w:r>
              <w:t xml:space="preserve"> Part III. D </w:t>
            </w:r>
          </w:p>
          <w:p w:rsidRPr="008936E4" w:rsidR="006E7813" w:rsidP="00537012" w:rsidRDefault="00537012" w14:paraId="6B53C6F9" w14:textId="6CFB11A5">
            <w:pPr>
              <w:jc w:val="center"/>
              <w:rPr>
                <w:rFonts w:asciiTheme="majorBidi" w:hAnsiTheme="majorBidi" w:cstheme="majorBidi"/>
              </w:rPr>
            </w:pPr>
            <w:r>
              <w:t>CPUC Comments, Disallowances, and Adjustments.</w:t>
            </w:r>
          </w:p>
        </w:tc>
      </w:tr>
    </w:tbl>
    <w:p w:rsidRPr="008936E4" w:rsidR="00FE3BAE" w:rsidP="00CE057B" w:rsidRDefault="0022302F" w14:paraId="2841210B" w14:textId="77777777">
      <w:pPr>
        <w:spacing w:before="480" w:after="240"/>
        <w:jc w:val="center"/>
        <w:rPr>
          <w:rFonts w:asciiTheme="majorBidi" w:hAnsiTheme="majorBidi" w:cstheme="majorBidi"/>
          <w:b/>
          <w:bCs/>
        </w:rPr>
      </w:pPr>
      <w:r w:rsidRPr="008936E4">
        <w:rPr>
          <w:rFonts w:asciiTheme="majorBidi" w:hAnsiTheme="majorBidi" w:cstheme="majorBidi"/>
          <w:b/>
          <w:bCs/>
        </w:rPr>
        <w:t>Hourly Fee</w:t>
      </w:r>
      <w:r w:rsidRPr="008936E4" w:rsidR="00FE3BAE">
        <w:rPr>
          <w:rFonts w:asciiTheme="majorBidi" w:hAnsiTheme="majorBidi" w:cstheme="majorBidi"/>
          <w:b/>
          <w:bCs/>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8936E4" w:rsidR="00C02649" w:rsidTr="00F75572"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8936E4" w:rsidR="003B6A1B" w:rsidP="00CE057B" w:rsidRDefault="003B6A1B" w14:paraId="61500303" w14:textId="77777777">
            <w:pPr>
              <w:jc w:val="center"/>
              <w:rPr>
                <w:rFonts w:asciiTheme="majorBidi" w:hAnsiTheme="majorBidi" w:cstheme="majorBidi"/>
                <w:b/>
                <w:bCs/>
              </w:rPr>
            </w:pPr>
            <w:r w:rsidRPr="008936E4">
              <w:rPr>
                <w:rFonts w:asciiTheme="majorBidi" w:hAnsiTheme="majorBidi" w:cstheme="majorBidi"/>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8936E4" w:rsidR="003B6A1B" w:rsidP="00CE057B" w:rsidRDefault="003B6A1B" w14:paraId="55908486" w14:textId="77777777">
            <w:pPr>
              <w:jc w:val="center"/>
              <w:rPr>
                <w:rFonts w:asciiTheme="majorBidi" w:hAnsiTheme="majorBidi" w:cstheme="majorBidi"/>
                <w:b/>
                <w:bCs/>
              </w:rPr>
            </w:pPr>
            <w:r w:rsidRPr="008936E4">
              <w:rPr>
                <w:rFonts w:asciiTheme="majorBidi" w:hAnsiTheme="majorBidi" w:cstheme="majorBidi"/>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8936E4" w:rsidR="003B6A1B" w:rsidP="00CE057B" w:rsidRDefault="00171EBF" w14:paraId="2438DAE1" w14:textId="77777777">
            <w:pPr>
              <w:ind w:left="12" w:firstLine="12"/>
              <w:jc w:val="center"/>
              <w:rPr>
                <w:rFonts w:asciiTheme="majorBidi" w:hAnsiTheme="majorBidi" w:cstheme="majorBidi"/>
                <w:b/>
                <w:bCs/>
              </w:rPr>
            </w:pPr>
            <w:r w:rsidRPr="008936E4">
              <w:rPr>
                <w:rFonts w:asciiTheme="majorBidi" w:hAnsiTheme="majorBidi" w:cstheme="majorBidi"/>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8936E4" w:rsidR="00B803D5" w:rsidP="00CE057B" w:rsidRDefault="003B6A1B" w14:paraId="30FCBD16" w14:textId="77777777">
            <w:pPr>
              <w:jc w:val="center"/>
              <w:rPr>
                <w:rFonts w:asciiTheme="majorBidi" w:hAnsiTheme="majorBidi" w:cstheme="majorBidi"/>
                <w:b/>
                <w:bCs/>
              </w:rPr>
            </w:pPr>
            <w:r w:rsidRPr="008936E4">
              <w:rPr>
                <w:rFonts w:asciiTheme="majorBidi" w:hAnsiTheme="majorBidi" w:cstheme="majorBidi"/>
                <w:b/>
                <w:bCs/>
              </w:rPr>
              <w:t>Hourly</w:t>
            </w:r>
          </w:p>
          <w:p w:rsidRPr="008936E4" w:rsidR="003B6A1B" w:rsidP="00CE057B" w:rsidRDefault="003B6A1B" w14:paraId="3431A72E" w14:textId="15E5EE89">
            <w:pPr>
              <w:jc w:val="center"/>
              <w:rPr>
                <w:rFonts w:asciiTheme="majorBidi" w:hAnsiTheme="majorBidi" w:cstheme="majorBidi"/>
                <w:b/>
                <w:bCs/>
              </w:rPr>
            </w:pPr>
            <w:r w:rsidRPr="008936E4">
              <w:rPr>
                <w:rFonts w:asciiTheme="majorBidi" w:hAnsiTheme="majorBidi" w:cstheme="majorBidi"/>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8936E4" w:rsidR="00B803D5" w:rsidP="00CE057B" w:rsidRDefault="003B6A1B" w14:paraId="27A4F1D1" w14:textId="77777777">
            <w:pPr>
              <w:jc w:val="center"/>
              <w:rPr>
                <w:rFonts w:asciiTheme="majorBidi" w:hAnsiTheme="majorBidi" w:cstheme="majorBidi"/>
                <w:b/>
                <w:bCs/>
              </w:rPr>
            </w:pPr>
            <w:r w:rsidRPr="008936E4">
              <w:rPr>
                <w:rFonts w:asciiTheme="majorBidi" w:hAnsiTheme="majorBidi" w:cstheme="majorBidi"/>
                <w:b/>
                <w:bCs/>
              </w:rPr>
              <w:t>Year Hourly</w:t>
            </w:r>
          </w:p>
          <w:p w:rsidRPr="008936E4" w:rsidR="003B6A1B" w:rsidP="00CE057B" w:rsidRDefault="003B6A1B" w14:paraId="6FE76773" w14:textId="7DDDAF05">
            <w:pPr>
              <w:jc w:val="center"/>
              <w:rPr>
                <w:rFonts w:asciiTheme="majorBidi" w:hAnsiTheme="majorBidi" w:cstheme="majorBidi"/>
                <w:b/>
                <w:bCs/>
              </w:rPr>
            </w:pPr>
            <w:r w:rsidRPr="008936E4">
              <w:rPr>
                <w:rFonts w:asciiTheme="majorBidi" w:hAnsiTheme="majorBidi" w:cstheme="majorBidi"/>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Pr="008936E4" w:rsidR="00B803D5" w:rsidP="00CE057B" w:rsidRDefault="003B6A1B" w14:paraId="08CD8CFB" w14:textId="50A63D11">
            <w:pPr>
              <w:jc w:val="center"/>
              <w:rPr>
                <w:rFonts w:asciiTheme="majorBidi" w:hAnsiTheme="majorBidi" w:cstheme="majorBidi"/>
                <w:b/>
                <w:bCs/>
              </w:rPr>
            </w:pPr>
            <w:r w:rsidRPr="008936E4">
              <w:rPr>
                <w:rFonts w:asciiTheme="majorBidi" w:hAnsiTheme="majorBidi" w:cstheme="majorBidi"/>
                <w:b/>
                <w:bCs/>
              </w:rPr>
              <w:t>Hourly</w:t>
            </w:r>
          </w:p>
          <w:p w:rsidRPr="008936E4" w:rsidR="003B6A1B" w:rsidP="00CE057B" w:rsidRDefault="003B6A1B" w14:paraId="1B789B85" w14:textId="3C9059B0">
            <w:pPr>
              <w:jc w:val="center"/>
              <w:rPr>
                <w:rFonts w:asciiTheme="majorBidi" w:hAnsiTheme="majorBidi" w:cstheme="majorBidi"/>
                <w:b/>
                <w:bCs/>
              </w:rPr>
            </w:pPr>
            <w:r w:rsidRPr="008936E4">
              <w:rPr>
                <w:rFonts w:asciiTheme="majorBidi" w:hAnsiTheme="majorBidi" w:cstheme="majorBidi"/>
                <w:b/>
                <w:bCs/>
              </w:rPr>
              <w:t>Fee Adopted</w:t>
            </w:r>
          </w:p>
        </w:tc>
      </w:tr>
      <w:tr w:rsidRPr="008936E4" w:rsidR="009538E4" w:rsidTr="006E1A6C" w14:paraId="0EE64ED6" w14:textId="77777777">
        <w:trPr>
          <w:trHeight w:val="211"/>
          <w:jc w:val="center"/>
        </w:trPr>
        <w:tc>
          <w:tcPr>
            <w:tcW w:w="1520" w:type="dxa"/>
            <w:tcBorders>
              <w:top w:val="single" w:color="auto" w:sz="4" w:space="0"/>
              <w:left w:val="single" w:color="auto" w:sz="4" w:space="0"/>
              <w:bottom w:val="single" w:color="auto" w:sz="4" w:space="0"/>
              <w:right w:val="single" w:color="auto" w:sz="4" w:space="0"/>
            </w:tcBorders>
          </w:tcPr>
          <w:p w:rsidR="009538E4" w:rsidP="009538E4" w:rsidRDefault="009538E4" w14:paraId="7D3ACEE0" w14:textId="191B151F">
            <w:pPr>
              <w:jc w:val="center"/>
              <w:rPr>
                <w:rFonts w:asciiTheme="majorBidi" w:hAnsiTheme="majorBidi" w:cstheme="majorBidi"/>
                <w:color w:val="000000" w:themeColor="text1"/>
              </w:rPr>
            </w:pPr>
            <w:r>
              <w:rPr>
                <w:rFonts w:asciiTheme="majorBidi" w:hAnsiTheme="majorBidi" w:cstheme="majorBidi"/>
                <w:color w:val="000000" w:themeColor="text1"/>
              </w:rPr>
              <w:t>Michael</w:t>
            </w:r>
          </w:p>
        </w:tc>
        <w:tc>
          <w:tcPr>
            <w:tcW w:w="1725" w:type="dxa"/>
            <w:tcBorders>
              <w:top w:val="single" w:color="auto" w:sz="4" w:space="0"/>
              <w:left w:val="single" w:color="auto" w:sz="4" w:space="0"/>
              <w:bottom w:val="single" w:color="auto" w:sz="4" w:space="0"/>
              <w:right w:val="single" w:color="auto" w:sz="4" w:space="0"/>
            </w:tcBorders>
          </w:tcPr>
          <w:p w:rsidR="009538E4" w:rsidP="009538E4" w:rsidRDefault="003A034E" w14:paraId="541F6A6C" w14:textId="3FB566EC">
            <w:pPr>
              <w:jc w:val="center"/>
              <w:rPr>
                <w:rFonts w:asciiTheme="majorBidi" w:hAnsiTheme="majorBidi" w:cstheme="majorBidi"/>
                <w:color w:val="000000" w:themeColor="text1"/>
              </w:rPr>
            </w:pPr>
            <w:r>
              <w:rPr>
                <w:rFonts w:asciiTheme="majorBidi" w:hAnsiTheme="majorBidi" w:cstheme="majorBidi"/>
                <w:color w:val="000000" w:themeColor="text1"/>
              </w:rPr>
              <w:t>Brown</w:t>
            </w:r>
          </w:p>
        </w:tc>
        <w:tc>
          <w:tcPr>
            <w:tcW w:w="2088" w:type="dxa"/>
            <w:tcBorders>
              <w:top w:val="single" w:color="auto" w:sz="4" w:space="0"/>
              <w:left w:val="single" w:color="auto" w:sz="4" w:space="0"/>
              <w:bottom w:val="single" w:color="auto" w:sz="4" w:space="0"/>
              <w:right w:val="single" w:color="auto" w:sz="4" w:space="0"/>
            </w:tcBorders>
          </w:tcPr>
          <w:p w:rsidR="009538E4" w:rsidP="009538E4" w:rsidRDefault="003A034E" w14:paraId="5442A599" w14:textId="156AC8B1">
            <w:pPr>
              <w:jc w:val="center"/>
              <w:rPr>
                <w:rFonts w:asciiTheme="majorBidi" w:hAnsiTheme="majorBidi" w:cstheme="majorBidi"/>
                <w:color w:val="000000" w:themeColor="text1"/>
                <w:shd w:val="clear" w:color="auto" w:fill="CCFFCC"/>
              </w:rPr>
            </w:pPr>
            <w:r>
              <w:rPr>
                <w:rFonts w:asciiTheme="majorBidi" w:hAnsiTheme="majorBidi" w:cstheme="majorBidi"/>
              </w:rPr>
              <w:t>Expert</w:t>
            </w:r>
          </w:p>
        </w:tc>
        <w:tc>
          <w:tcPr>
            <w:tcW w:w="1748" w:type="dxa"/>
            <w:tcBorders>
              <w:top w:val="single" w:color="auto" w:sz="4" w:space="0"/>
              <w:left w:val="single" w:color="auto" w:sz="4" w:space="0"/>
              <w:bottom w:val="single" w:color="auto" w:sz="4" w:space="0"/>
              <w:right w:val="single" w:color="auto" w:sz="4" w:space="0"/>
            </w:tcBorders>
          </w:tcPr>
          <w:p w:rsidR="009538E4" w:rsidP="009538E4" w:rsidRDefault="009538E4" w14:paraId="1BD7BBCC" w14:textId="4FF178D1">
            <w:pPr>
              <w:jc w:val="center"/>
              <w:rPr>
                <w:rFonts w:asciiTheme="majorBidi" w:hAnsiTheme="majorBidi" w:cstheme="majorBidi"/>
              </w:rPr>
            </w:pPr>
            <w:r>
              <w:rPr>
                <w:rFonts w:asciiTheme="majorBidi" w:hAnsiTheme="majorBidi" w:cstheme="majorBidi"/>
              </w:rPr>
              <w:t>$</w:t>
            </w:r>
            <w:r w:rsidR="003A034E">
              <w:rPr>
                <w:rFonts w:asciiTheme="majorBidi" w:hAnsiTheme="majorBidi" w:cstheme="majorBidi"/>
              </w:rPr>
              <w:t>325</w:t>
            </w:r>
          </w:p>
        </w:tc>
        <w:tc>
          <w:tcPr>
            <w:tcW w:w="1725" w:type="dxa"/>
            <w:tcBorders>
              <w:top w:val="single" w:color="auto" w:sz="4" w:space="0"/>
              <w:left w:val="single" w:color="auto" w:sz="4" w:space="0"/>
              <w:bottom w:val="single" w:color="auto" w:sz="4" w:space="0"/>
              <w:right w:val="single" w:color="auto" w:sz="4" w:space="0"/>
            </w:tcBorders>
          </w:tcPr>
          <w:p w:rsidR="009538E4" w:rsidP="009538E4" w:rsidRDefault="009538E4" w14:paraId="3E4C3316" w14:textId="2283FB73">
            <w:pPr>
              <w:jc w:val="center"/>
              <w:rPr>
                <w:rFonts w:asciiTheme="majorBidi" w:hAnsiTheme="majorBidi" w:cstheme="majorBidi"/>
                <w:color w:val="000000" w:themeColor="text1"/>
              </w:rPr>
            </w:pPr>
            <w:r>
              <w:rPr>
                <w:rFonts w:asciiTheme="majorBidi" w:hAnsiTheme="majorBidi" w:cstheme="majorBidi"/>
                <w:color w:val="000000" w:themeColor="text1"/>
              </w:rPr>
              <w:t>202</w:t>
            </w:r>
            <w:r w:rsidR="003A034E">
              <w:rPr>
                <w:rFonts w:asciiTheme="majorBidi" w:hAnsiTheme="majorBidi" w:cstheme="majorBidi"/>
                <w:color w:val="000000" w:themeColor="text1"/>
              </w:rPr>
              <w:t>4</w:t>
            </w:r>
          </w:p>
        </w:tc>
        <w:tc>
          <w:tcPr>
            <w:tcW w:w="1634" w:type="dxa"/>
            <w:tcBorders>
              <w:top w:val="single" w:color="auto" w:sz="4" w:space="0"/>
              <w:left w:val="single" w:color="auto" w:sz="4" w:space="0"/>
              <w:bottom w:val="single" w:color="auto" w:sz="4" w:space="0"/>
              <w:right w:val="single" w:color="auto" w:sz="4" w:space="0"/>
            </w:tcBorders>
          </w:tcPr>
          <w:p w:rsidRPr="008936E4" w:rsidR="009538E4" w:rsidP="009538E4" w:rsidRDefault="00190911" w14:paraId="0C50B2C1" w14:textId="5D8E3286">
            <w:pPr>
              <w:jc w:val="center"/>
              <w:rPr>
                <w:rFonts w:asciiTheme="majorBidi" w:hAnsiTheme="majorBidi" w:cstheme="majorBidi"/>
              </w:rPr>
            </w:pPr>
            <w:r>
              <w:rPr>
                <w:rFonts w:asciiTheme="majorBidi" w:hAnsiTheme="majorBidi" w:cstheme="majorBidi"/>
              </w:rPr>
              <w:t>$325.00</w:t>
            </w:r>
            <w:bookmarkStart w:name="_Ref218009533" w:id="4"/>
            <w:r>
              <w:rPr>
                <w:rStyle w:val="FootnoteReference"/>
                <w:rFonts w:asciiTheme="majorBidi" w:hAnsiTheme="majorBidi" w:cstheme="majorBidi"/>
              </w:rPr>
              <w:footnoteReference w:id="19"/>
            </w:r>
            <w:bookmarkEnd w:id="4"/>
          </w:p>
        </w:tc>
      </w:tr>
      <w:tr w:rsidRPr="008936E4" w:rsidR="003A034E" w:rsidTr="006E1A6C" w14:paraId="166B2DC9" w14:textId="77777777">
        <w:trPr>
          <w:trHeight w:val="211"/>
          <w:jc w:val="center"/>
        </w:trPr>
        <w:tc>
          <w:tcPr>
            <w:tcW w:w="1520" w:type="dxa"/>
            <w:tcBorders>
              <w:top w:val="single" w:color="auto" w:sz="4" w:space="0"/>
              <w:left w:val="single" w:color="auto" w:sz="4" w:space="0"/>
              <w:bottom w:val="single" w:color="auto" w:sz="4" w:space="0"/>
              <w:right w:val="single" w:color="auto" w:sz="4" w:space="0"/>
            </w:tcBorders>
          </w:tcPr>
          <w:p w:rsidRPr="008936E4" w:rsidR="003A034E" w:rsidP="003A034E" w:rsidRDefault="003A034E" w14:paraId="1C332A25" w14:textId="6370FBCA">
            <w:pPr>
              <w:jc w:val="center"/>
              <w:rPr>
                <w:rFonts w:asciiTheme="majorBidi" w:hAnsiTheme="majorBidi" w:cstheme="majorBidi"/>
                <w:color w:val="000000" w:themeColor="text1"/>
              </w:rPr>
            </w:pPr>
            <w:r>
              <w:rPr>
                <w:rFonts w:asciiTheme="majorBidi" w:hAnsiTheme="majorBidi" w:cstheme="majorBidi"/>
                <w:color w:val="000000" w:themeColor="text1"/>
              </w:rPr>
              <w:t>Michael</w:t>
            </w:r>
          </w:p>
        </w:tc>
        <w:tc>
          <w:tcPr>
            <w:tcW w:w="1725" w:type="dxa"/>
            <w:tcBorders>
              <w:top w:val="single" w:color="auto" w:sz="4" w:space="0"/>
              <w:left w:val="single" w:color="auto" w:sz="4" w:space="0"/>
              <w:bottom w:val="single" w:color="auto" w:sz="4" w:space="0"/>
              <w:right w:val="single" w:color="auto" w:sz="4" w:space="0"/>
            </w:tcBorders>
          </w:tcPr>
          <w:p w:rsidRPr="008936E4" w:rsidR="003A034E" w:rsidP="003A034E" w:rsidRDefault="003A034E" w14:paraId="71E48CC1" w14:textId="2404565F">
            <w:pPr>
              <w:jc w:val="center"/>
              <w:rPr>
                <w:rFonts w:asciiTheme="majorBidi" w:hAnsiTheme="majorBidi" w:cstheme="majorBidi"/>
                <w:color w:val="000000" w:themeColor="text1"/>
              </w:rPr>
            </w:pPr>
            <w:r>
              <w:rPr>
                <w:rFonts w:asciiTheme="majorBidi" w:hAnsiTheme="majorBidi" w:cstheme="majorBidi"/>
                <w:color w:val="000000" w:themeColor="text1"/>
              </w:rPr>
              <w:t>Brown</w:t>
            </w:r>
          </w:p>
        </w:tc>
        <w:tc>
          <w:tcPr>
            <w:tcW w:w="2088" w:type="dxa"/>
            <w:tcBorders>
              <w:top w:val="single" w:color="auto" w:sz="4" w:space="0"/>
              <w:left w:val="single" w:color="auto" w:sz="4" w:space="0"/>
              <w:bottom w:val="single" w:color="auto" w:sz="4" w:space="0"/>
              <w:right w:val="single" w:color="auto" w:sz="4" w:space="0"/>
            </w:tcBorders>
          </w:tcPr>
          <w:p w:rsidRPr="008936E4" w:rsidR="003A034E" w:rsidP="003A034E" w:rsidRDefault="003A034E" w14:paraId="67F8B49B" w14:textId="3CA1DF01">
            <w:pPr>
              <w:jc w:val="center"/>
              <w:rPr>
                <w:rFonts w:asciiTheme="majorBidi" w:hAnsiTheme="majorBidi" w:cstheme="majorBidi"/>
                <w:color w:val="000000" w:themeColor="text1"/>
                <w:shd w:val="clear" w:color="auto" w:fill="CCFFCC"/>
              </w:rPr>
            </w:pPr>
            <w:r>
              <w:rPr>
                <w:rFonts w:asciiTheme="majorBidi" w:hAnsiTheme="majorBidi" w:cstheme="majorBidi"/>
              </w:rPr>
              <w:t>Expert</w:t>
            </w:r>
          </w:p>
        </w:tc>
        <w:tc>
          <w:tcPr>
            <w:tcW w:w="1748" w:type="dxa"/>
            <w:tcBorders>
              <w:top w:val="single" w:color="auto" w:sz="4" w:space="0"/>
              <w:left w:val="single" w:color="auto" w:sz="4" w:space="0"/>
              <w:bottom w:val="single" w:color="auto" w:sz="4" w:space="0"/>
              <w:right w:val="single" w:color="auto" w:sz="4" w:space="0"/>
            </w:tcBorders>
          </w:tcPr>
          <w:p w:rsidRPr="008936E4" w:rsidR="003A034E" w:rsidP="003A034E" w:rsidRDefault="003A034E" w14:paraId="4B359F1C" w14:textId="1DACA683">
            <w:pPr>
              <w:jc w:val="center"/>
              <w:rPr>
                <w:rFonts w:asciiTheme="majorBidi" w:hAnsiTheme="majorBidi" w:cstheme="majorBidi"/>
              </w:rPr>
            </w:pPr>
            <w:r w:rsidRPr="008936E4">
              <w:rPr>
                <w:rFonts w:asciiTheme="majorBidi" w:hAnsiTheme="majorBidi" w:cstheme="majorBidi"/>
              </w:rPr>
              <w:t>$</w:t>
            </w:r>
            <w:r>
              <w:rPr>
                <w:rFonts w:asciiTheme="majorBidi" w:hAnsiTheme="majorBidi" w:cstheme="majorBidi"/>
              </w:rPr>
              <w:t>335</w:t>
            </w:r>
          </w:p>
        </w:tc>
        <w:tc>
          <w:tcPr>
            <w:tcW w:w="1725" w:type="dxa"/>
            <w:tcBorders>
              <w:top w:val="single" w:color="auto" w:sz="4" w:space="0"/>
              <w:left w:val="single" w:color="auto" w:sz="4" w:space="0"/>
              <w:bottom w:val="single" w:color="auto" w:sz="4" w:space="0"/>
              <w:right w:val="single" w:color="auto" w:sz="4" w:space="0"/>
            </w:tcBorders>
          </w:tcPr>
          <w:p w:rsidRPr="008936E4" w:rsidR="003A034E" w:rsidP="003A034E" w:rsidRDefault="003A034E" w14:paraId="6325D83A" w14:textId="5802878A">
            <w:pPr>
              <w:jc w:val="center"/>
              <w:rPr>
                <w:rFonts w:asciiTheme="majorBidi" w:hAnsiTheme="majorBidi" w:cstheme="majorBidi"/>
                <w:color w:val="000000" w:themeColor="text1"/>
              </w:rPr>
            </w:pPr>
            <w:r w:rsidRPr="008936E4">
              <w:rPr>
                <w:rFonts w:asciiTheme="majorBidi" w:hAnsiTheme="majorBidi" w:cstheme="majorBidi"/>
              </w:rPr>
              <w:t>202</w:t>
            </w:r>
            <w:r>
              <w:rPr>
                <w:rFonts w:asciiTheme="majorBidi" w:hAnsiTheme="majorBidi" w:cstheme="majorBidi"/>
              </w:rPr>
              <w:t>5</w:t>
            </w:r>
          </w:p>
        </w:tc>
        <w:tc>
          <w:tcPr>
            <w:tcW w:w="1634" w:type="dxa"/>
            <w:tcBorders>
              <w:top w:val="single" w:color="auto" w:sz="4" w:space="0"/>
              <w:left w:val="single" w:color="auto" w:sz="4" w:space="0"/>
              <w:bottom w:val="single" w:color="auto" w:sz="4" w:space="0"/>
              <w:right w:val="single" w:color="auto" w:sz="4" w:space="0"/>
            </w:tcBorders>
          </w:tcPr>
          <w:p w:rsidRPr="008936E4" w:rsidR="003A034E" w:rsidP="003A034E" w:rsidRDefault="00190911" w14:paraId="3DE507DB" w14:textId="3CF965B8">
            <w:pPr>
              <w:jc w:val="center"/>
              <w:rPr>
                <w:rFonts w:asciiTheme="majorBidi" w:hAnsiTheme="majorBidi" w:cstheme="majorBidi"/>
              </w:rPr>
            </w:pPr>
            <w:r>
              <w:rPr>
                <w:rFonts w:asciiTheme="majorBidi" w:hAnsiTheme="majorBidi" w:cstheme="majorBidi"/>
              </w:rPr>
              <w:t>$335.00</w:t>
            </w:r>
            <w:r w:rsidR="00737849">
              <w:rPr>
                <w:rFonts w:asciiTheme="majorBidi" w:hAnsiTheme="majorBidi" w:cstheme="majorBidi"/>
              </w:rPr>
              <w:fldChar w:fldCharType="begin"/>
            </w:r>
            <w:r w:rsidR="00737849">
              <w:rPr>
                <w:rFonts w:asciiTheme="majorBidi" w:hAnsiTheme="majorBidi" w:cstheme="majorBidi"/>
              </w:rPr>
              <w:instrText xml:space="preserve"> NOTEREF _Ref218009533 \f \h </w:instrText>
            </w:r>
            <w:r w:rsidR="00737849">
              <w:rPr>
                <w:rFonts w:asciiTheme="majorBidi" w:hAnsiTheme="majorBidi" w:cstheme="majorBidi"/>
              </w:rPr>
            </w:r>
            <w:r w:rsidR="00737849">
              <w:rPr>
                <w:rFonts w:asciiTheme="majorBidi" w:hAnsiTheme="majorBidi" w:cstheme="majorBidi"/>
              </w:rPr>
              <w:fldChar w:fldCharType="separate"/>
            </w:r>
            <w:r w:rsidRPr="00390629" w:rsidR="00C76424">
              <w:rPr>
                <w:rStyle w:val="FootnoteReference"/>
              </w:rPr>
              <w:t>19</w:t>
            </w:r>
            <w:r w:rsidR="00737849">
              <w:rPr>
                <w:rFonts w:asciiTheme="majorBidi" w:hAnsiTheme="majorBidi" w:cstheme="majorBidi"/>
              </w:rPr>
              <w:fldChar w:fldCharType="end"/>
            </w:r>
          </w:p>
        </w:tc>
      </w:tr>
      <w:tr w:rsidRPr="008936E4" w:rsidR="009538E4" w:rsidTr="006E1A6C" w14:paraId="1906C055"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2ACF0B05" w14:textId="5499EE1A">
            <w:pPr>
              <w:jc w:val="center"/>
              <w:rPr>
                <w:rFonts w:asciiTheme="majorBidi" w:hAnsiTheme="majorBidi" w:cstheme="majorBidi"/>
              </w:rPr>
            </w:pPr>
            <w:r w:rsidRPr="008936E4">
              <w:rPr>
                <w:rFonts w:asciiTheme="majorBidi" w:hAnsiTheme="majorBidi" w:cstheme="majorBidi"/>
                <w:color w:val="000000" w:themeColor="text1"/>
              </w:rPr>
              <w:t xml:space="preserve">James </w:t>
            </w:r>
          </w:p>
        </w:tc>
        <w:tc>
          <w:tcPr>
            <w:tcW w:w="1725"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63E68C11" w14:textId="3050446C">
            <w:pPr>
              <w:jc w:val="center"/>
              <w:rPr>
                <w:rFonts w:asciiTheme="majorBidi" w:hAnsiTheme="majorBidi" w:cstheme="majorBidi"/>
              </w:rPr>
            </w:pPr>
            <w:r w:rsidRPr="008936E4">
              <w:rPr>
                <w:rFonts w:asciiTheme="majorBidi" w:hAnsiTheme="majorBidi" w:cstheme="majorBidi"/>
                <w:color w:val="000000" w:themeColor="text1"/>
              </w:rPr>
              <w:t>Birkelund</w:t>
            </w:r>
          </w:p>
        </w:tc>
        <w:tc>
          <w:tcPr>
            <w:tcW w:w="2088" w:type="dxa"/>
            <w:tcBorders>
              <w:top w:val="single" w:color="auto" w:sz="4" w:space="0"/>
              <w:left w:val="single" w:color="auto" w:sz="4" w:space="0"/>
              <w:bottom w:val="single" w:color="auto" w:sz="4" w:space="0"/>
              <w:right w:val="single" w:color="auto" w:sz="4" w:space="0"/>
            </w:tcBorders>
          </w:tcPr>
          <w:p w:rsidRPr="006E1A6C" w:rsidR="009538E4" w:rsidP="009538E4" w:rsidRDefault="009538E4" w14:paraId="1E984C6F" w14:textId="125DA912">
            <w:pPr>
              <w:jc w:val="center"/>
            </w:pPr>
            <w:r w:rsidRPr="006E1A6C">
              <w:t>General Counsel</w:t>
            </w:r>
          </w:p>
        </w:tc>
        <w:tc>
          <w:tcPr>
            <w:tcW w:w="1748"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53B8F326" w14:textId="5E39B29D">
            <w:pPr>
              <w:jc w:val="center"/>
              <w:rPr>
                <w:rFonts w:asciiTheme="majorBidi" w:hAnsiTheme="majorBidi" w:cstheme="majorBidi"/>
              </w:rPr>
            </w:pPr>
            <w:r w:rsidRPr="008936E4">
              <w:rPr>
                <w:rFonts w:asciiTheme="majorBidi" w:hAnsiTheme="majorBidi" w:cstheme="majorBidi"/>
                <w:color w:val="000000" w:themeColor="text1"/>
              </w:rPr>
              <w:t>$</w:t>
            </w:r>
            <w:r w:rsidR="003A034E">
              <w:rPr>
                <w:rFonts w:asciiTheme="majorBidi" w:hAnsiTheme="majorBidi" w:cstheme="majorBidi"/>
                <w:color w:val="000000" w:themeColor="text1"/>
              </w:rPr>
              <w:t>800</w:t>
            </w:r>
          </w:p>
        </w:tc>
        <w:tc>
          <w:tcPr>
            <w:tcW w:w="1725" w:type="dxa"/>
            <w:tcBorders>
              <w:top w:val="single" w:color="auto" w:sz="4" w:space="0"/>
              <w:left w:val="single" w:color="auto" w:sz="4" w:space="0"/>
              <w:bottom w:val="single" w:color="auto" w:sz="4" w:space="0"/>
              <w:right w:val="single" w:color="auto" w:sz="4" w:space="0"/>
            </w:tcBorders>
          </w:tcPr>
          <w:p w:rsidRPr="008936E4" w:rsidR="009538E4" w:rsidP="009538E4" w:rsidRDefault="003A034E" w14:paraId="7954D4D0" w14:textId="010595DC">
            <w:pPr>
              <w:jc w:val="center"/>
              <w:rPr>
                <w:rFonts w:asciiTheme="majorBidi" w:hAnsiTheme="majorBidi" w:cstheme="majorBidi"/>
              </w:rPr>
            </w:pPr>
            <w:r>
              <w:rPr>
                <w:rFonts w:asciiTheme="majorBidi" w:hAnsiTheme="majorBidi" w:cstheme="majorBidi"/>
                <w:color w:val="000000" w:themeColor="text1"/>
              </w:rPr>
              <w:t>2024</w:t>
            </w:r>
          </w:p>
        </w:tc>
        <w:tc>
          <w:tcPr>
            <w:tcW w:w="1634" w:type="dxa"/>
            <w:tcBorders>
              <w:top w:val="single" w:color="auto" w:sz="4" w:space="0"/>
              <w:left w:val="single" w:color="auto" w:sz="4" w:space="0"/>
              <w:bottom w:val="single" w:color="auto" w:sz="4" w:space="0"/>
              <w:right w:val="single" w:color="auto" w:sz="4" w:space="0"/>
            </w:tcBorders>
          </w:tcPr>
          <w:p w:rsidRPr="008936E4" w:rsidR="009538E4" w:rsidP="009538E4" w:rsidRDefault="00190911" w14:paraId="467531DD" w14:textId="610822A7">
            <w:pPr>
              <w:jc w:val="center"/>
              <w:rPr>
                <w:rFonts w:asciiTheme="majorBidi" w:hAnsiTheme="majorBidi" w:cstheme="majorBidi"/>
              </w:rPr>
            </w:pPr>
            <w:r>
              <w:rPr>
                <w:rFonts w:asciiTheme="majorBidi" w:hAnsiTheme="majorBidi" w:cstheme="majorBidi"/>
              </w:rPr>
              <w:t>$800.00</w:t>
            </w:r>
            <w:bookmarkStart w:name="_Ref218009573" w:id="5"/>
            <w:r w:rsidR="0091756F">
              <w:rPr>
                <w:rStyle w:val="FootnoteReference"/>
                <w:rFonts w:asciiTheme="majorBidi" w:hAnsiTheme="majorBidi" w:cstheme="majorBidi"/>
              </w:rPr>
              <w:footnoteReference w:id="20"/>
            </w:r>
            <w:bookmarkEnd w:id="5"/>
          </w:p>
        </w:tc>
      </w:tr>
      <w:tr w:rsidRPr="008936E4" w:rsidR="009538E4" w:rsidTr="006E1A6C" w14:paraId="24B1E626"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306BAAAB" w14:textId="3194E1EC">
            <w:pPr>
              <w:jc w:val="center"/>
              <w:rPr>
                <w:rFonts w:asciiTheme="majorBidi" w:hAnsiTheme="majorBidi" w:cstheme="majorBidi"/>
                <w:color w:val="000000" w:themeColor="text1"/>
              </w:rPr>
            </w:pPr>
            <w:r w:rsidRPr="008936E4">
              <w:rPr>
                <w:rFonts w:asciiTheme="majorBidi" w:hAnsiTheme="majorBidi" w:cstheme="majorBidi"/>
                <w:color w:val="000000" w:themeColor="text1"/>
              </w:rPr>
              <w:t xml:space="preserve">James </w:t>
            </w:r>
          </w:p>
        </w:tc>
        <w:tc>
          <w:tcPr>
            <w:tcW w:w="1725"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2D7F38AB" w14:textId="37ABDACD">
            <w:pPr>
              <w:jc w:val="center"/>
              <w:rPr>
                <w:rFonts w:asciiTheme="majorBidi" w:hAnsiTheme="majorBidi" w:cstheme="majorBidi"/>
                <w:color w:val="000000" w:themeColor="text1"/>
              </w:rPr>
            </w:pPr>
            <w:r w:rsidRPr="008936E4">
              <w:rPr>
                <w:rFonts w:asciiTheme="majorBidi" w:hAnsiTheme="majorBidi" w:cstheme="majorBidi"/>
                <w:color w:val="000000" w:themeColor="text1"/>
              </w:rPr>
              <w:t>Birkelund</w:t>
            </w:r>
          </w:p>
        </w:tc>
        <w:tc>
          <w:tcPr>
            <w:tcW w:w="2088" w:type="dxa"/>
            <w:tcBorders>
              <w:top w:val="single" w:color="auto" w:sz="4" w:space="0"/>
              <w:left w:val="single" w:color="auto" w:sz="4" w:space="0"/>
              <w:bottom w:val="single" w:color="auto" w:sz="4" w:space="0"/>
              <w:right w:val="single" w:color="auto" w:sz="4" w:space="0"/>
            </w:tcBorders>
          </w:tcPr>
          <w:p w:rsidRPr="006E1A6C" w:rsidR="009538E4" w:rsidP="009538E4" w:rsidRDefault="009538E4" w14:paraId="04ADBABC" w14:textId="56F5A990">
            <w:pPr>
              <w:jc w:val="center"/>
            </w:pPr>
            <w:r w:rsidRPr="006E1A6C">
              <w:t>General Counsel</w:t>
            </w:r>
          </w:p>
        </w:tc>
        <w:tc>
          <w:tcPr>
            <w:tcW w:w="1748"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17E18422" w14:textId="60C8AECD">
            <w:pPr>
              <w:jc w:val="center"/>
              <w:rPr>
                <w:rFonts w:asciiTheme="majorBidi" w:hAnsiTheme="majorBidi" w:cstheme="majorBidi"/>
                <w:color w:val="000000" w:themeColor="text1"/>
              </w:rPr>
            </w:pPr>
            <w:r w:rsidRPr="008936E4">
              <w:rPr>
                <w:rFonts w:asciiTheme="majorBidi" w:hAnsiTheme="majorBidi" w:cstheme="majorBidi"/>
                <w:color w:val="000000" w:themeColor="text1"/>
              </w:rPr>
              <w:t>$8</w:t>
            </w:r>
            <w:r>
              <w:rPr>
                <w:rFonts w:asciiTheme="majorBidi" w:hAnsiTheme="majorBidi" w:cstheme="majorBidi"/>
                <w:color w:val="000000" w:themeColor="text1"/>
              </w:rPr>
              <w:t>30</w:t>
            </w:r>
          </w:p>
        </w:tc>
        <w:tc>
          <w:tcPr>
            <w:tcW w:w="1725" w:type="dxa"/>
            <w:tcBorders>
              <w:top w:val="single" w:color="auto" w:sz="4" w:space="0"/>
              <w:left w:val="single" w:color="auto" w:sz="4" w:space="0"/>
              <w:bottom w:val="single" w:color="auto" w:sz="4" w:space="0"/>
              <w:right w:val="single" w:color="auto" w:sz="4" w:space="0"/>
            </w:tcBorders>
          </w:tcPr>
          <w:p w:rsidRPr="008936E4" w:rsidR="009538E4" w:rsidP="009538E4" w:rsidRDefault="009538E4" w14:paraId="4196CAEB" w14:textId="74A96D47">
            <w:pPr>
              <w:jc w:val="center"/>
              <w:rPr>
                <w:rFonts w:asciiTheme="majorBidi" w:hAnsiTheme="majorBidi" w:cstheme="majorBidi"/>
                <w:color w:val="000000" w:themeColor="text1"/>
              </w:rPr>
            </w:pPr>
            <w:r w:rsidRPr="008936E4">
              <w:rPr>
                <w:rFonts w:asciiTheme="majorBidi" w:hAnsiTheme="majorBidi" w:cstheme="majorBidi"/>
                <w:color w:val="000000" w:themeColor="text1"/>
              </w:rPr>
              <w:t>202</w:t>
            </w:r>
            <w:r>
              <w:rPr>
                <w:rFonts w:asciiTheme="majorBidi" w:hAnsiTheme="majorBidi" w:cstheme="majorBidi"/>
                <w:color w:val="000000" w:themeColor="text1"/>
              </w:rPr>
              <w:t>5</w:t>
            </w:r>
          </w:p>
        </w:tc>
        <w:tc>
          <w:tcPr>
            <w:tcW w:w="1634" w:type="dxa"/>
            <w:tcBorders>
              <w:top w:val="single" w:color="auto" w:sz="4" w:space="0"/>
              <w:left w:val="single" w:color="auto" w:sz="4" w:space="0"/>
              <w:bottom w:val="single" w:color="auto" w:sz="4" w:space="0"/>
              <w:right w:val="single" w:color="auto" w:sz="4" w:space="0"/>
            </w:tcBorders>
          </w:tcPr>
          <w:p w:rsidRPr="008936E4" w:rsidR="009538E4" w:rsidP="009538E4" w:rsidRDefault="00190911" w14:paraId="50F3668C" w14:textId="1F3E909A">
            <w:pPr>
              <w:jc w:val="center"/>
              <w:rPr>
                <w:rFonts w:asciiTheme="majorBidi" w:hAnsiTheme="majorBidi" w:cstheme="majorBidi"/>
              </w:rPr>
            </w:pPr>
            <w:r>
              <w:rPr>
                <w:rFonts w:asciiTheme="majorBidi" w:hAnsiTheme="majorBidi" w:cstheme="majorBidi"/>
              </w:rPr>
              <w:t>$830.00</w:t>
            </w:r>
            <w:r w:rsidR="00737849">
              <w:rPr>
                <w:rFonts w:asciiTheme="majorBidi" w:hAnsiTheme="majorBidi" w:cstheme="majorBidi"/>
              </w:rPr>
              <w:fldChar w:fldCharType="begin"/>
            </w:r>
            <w:r w:rsidR="00737849">
              <w:rPr>
                <w:rFonts w:asciiTheme="majorBidi" w:hAnsiTheme="majorBidi" w:cstheme="majorBidi"/>
              </w:rPr>
              <w:instrText xml:space="preserve"> NOTEREF _Ref218009573 \f \h </w:instrText>
            </w:r>
            <w:r w:rsidR="00737849">
              <w:rPr>
                <w:rFonts w:asciiTheme="majorBidi" w:hAnsiTheme="majorBidi" w:cstheme="majorBidi"/>
              </w:rPr>
            </w:r>
            <w:r w:rsidR="00737849">
              <w:rPr>
                <w:rFonts w:asciiTheme="majorBidi" w:hAnsiTheme="majorBidi" w:cstheme="majorBidi"/>
              </w:rPr>
              <w:fldChar w:fldCharType="separate"/>
            </w:r>
            <w:r w:rsidRPr="00390629" w:rsidR="00C76424">
              <w:rPr>
                <w:rStyle w:val="FootnoteReference"/>
              </w:rPr>
              <w:t>20</w:t>
            </w:r>
            <w:r w:rsidR="00737849">
              <w:rPr>
                <w:rFonts w:asciiTheme="majorBidi" w:hAnsiTheme="majorBidi" w:cstheme="majorBidi"/>
              </w:rPr>
              <w:fldChar w:fldCharType="end"/>
            </w:r>
          </w:p>
        </w:tc>
      </w:tr>
      <w:tr w:rsidRPr="008936E4" w:rsidR="003A034E" w:rsidTr="006E1A6C" w14:paraId="7035CE5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936E4" w:rsidR="003A034E" w:rsidP="009538E4" w:rsidRDefault="003A034E" w14:paraId="424DCBB7" w14:textId="1084EEE0">
            <w:pPr>
              <w:jc w:val="center"/>
              <w:rPr>
                <w:rFonts w:asciiTheme="majorBidi" w:hAnsiTheme="majorBidi" w:cstheme="majorBidi"/>
                <w:color w:val="000000" w:themeColor="text1"/>
              </w:rPr>
            </w:pPr>
            <w:r>
              <w:rPr>
                <w:rFonts w:asciiTheme="majorBidi" w:hAnsiTheme="majorBidi" w:cstheme="majorBidi"/>
                <w:color w:val="000000" w:themeColor="text1"/>
              </w:rPr>
              <w:t>Britt</w:t>
            </w:r>
          </w:p>
        </w:tc>
        <w:tc>
          <w:tcPr>
            <w:tcW w:w="1725" w:type="dxa"/>
            <w:tcBorders>
              <w:top w:val="single" w:color="auto" w:sz="4" w:space="0"/>
              <w:left w:val="single" w:color="auto" w:sz="4" w:space="0"/>
              <w:bottom w:val="single" w:color="auto" w:sz="4" w:space="0"/>
              <w:right w:val="single" w:color="auto" w:sz="4" w:space="0"/>
            </w:tcBorders>
          </w:tcPr>
          <w:p w:rsidRPr="008936E4" w:rsidR="003A034E" w:rsidP="009538E4" w:rsidRDefault="003A034E" w14:paraId="3D8CFF40" w14:textId="7F17FB98">
            <w:pPr>
              <w:jc w:val="center"/>
              <w:rPr>
                <w:rFonts w:asciiTheme="majorBidi" w:hAnsiTheme="majorBidi" w:cstheme="majorBidi"/>
                <w:color w:val="000000" w:themeColor="text1"/>
              </w:rPr>
            </w:pPr>
            <w:r>
              <w:rPr>
                <w:rFonts w:asciiTheme="majorBidi" w:hAnsiTheme="majorBidi" w:cstheme="majorBidi"/>
                <w:color w:val="000000" w:themeColor="text1"/>
              </w:rPr>
              <w:t>Marra</w:t>
            </w:r>
          </w:p>
        </w:tc>
        <w:tc>
          <w:tcPr>
            <w:tcW w:w="2088" w:type="dxa"/>
            <w:tcBorders>
              <w:top w:val="single" w:color="auto" w:sz="4" w:space="0"/>
              <w:left w:val="single" w:color="auto" w:sz="4" w:space="0"/>
              <w:bottom w:val="single" w:color="auto" w:sz="4" w:space="0"/>
              <w:right w:val="single" w:color="auto" w:sz="4" w:space="0"/>
            </w:tcBorders>
          </w:tcPr>
          <w:p w:rsidRPr="006E1A6C" w:rsidR="003A034E" w:rsidP="009538E4" w:rsidRDefault="003A034E" w14:paraId="652916EF" w14:textId="310F551B">
            <w:pPr>
              <w:jc w:val="center"/>
            </w:pPr>
            <w:r w:rsidRPr="006E1A6C">
              <w:t>Executive Director</w:t>
            </w:r>
          </w:p>
        </w:tc>
        <w:tc>
          <w:tcPr>
            <w:tcW w:w="1748" w:type="dxa"/>
            <w:tcBorders>
              <w:top w:val="single" w:color="auto" w:sz="4" w:space="0"/>
              <w:left w:val="single" w:color="auto" w:sz="4" w:space="0"/>
              <w:bottom w:val="single" w:color="auto" w:sz="4" w:space="0"/>
              <w:right w:val="single" w:color="auto" w:sz="4" w:space="0"/>
            </w:tcBorders>
          </w:tcPr>
          <w:p w:rsidRPr="008936E4" w:rsidR="003A034E" w:rsidP="009538E4" w:rsidRDefault="003A034E" w14:paraId="7461C31C" w14:textId="26CBB5CD">
            <w:pPr>
              <w:jc w:val="center"/>
              <w:rPr>
                <w:rFonts w:asciiTheme="majorBidi" w:hAnsiTheme="majorBidi" w:cstheme="majorBidi"/>
                <w:color w:val="000000" w:themeColor="text1"/>
              </w:rPr>
            </w:pPr>
            <w:r>
              <w:rPr>
                <w:rFonts w:asciiTheme="majorBidi" w:hAnsiTheme="majorBidi" w:cstheme="majorBidi"/>
                <w:color w:val="000000" w:themeColor="text1"/>
              </w:rPr>
              <w:t>$2</w:t>
            </w:r>
            <w:r w:rsidR="009B2BAE">
              <w:rPr>
                <w:rFonts w:asciiTheme="majorBidi" w:hAnsiTheme="majorBidi" w:cstheme="majorBidi"/>
                <w:color w:val="000000" w:themeColor="text1"/>
              </w:rPr>
              <w:t>5</w:t>
            </w:r>
            <w:r w:rsidR="00E21ED4">
              <w:rPr>
                <w:rFonts w:asciiTheme="majorBidi" w:hAnsiTheme="majorBidi" w:cstheme="majorBidi"/>
                <w:color w:val="000000" w:themeColor="text1"/>
              </w:rPr>
              <w:t>0</w:t>
            </w:r>
          </w:p>
        </w:tc>
        <w:tc>
          <w:tcPr>
            <w:tcW w:w="1725" w:type="dxa"/>
            <w:tcBorders>
              <w:top w:val="single" w:color="auto" w:sz="4" w:space="0"/>
              <w:left w:val="single" w:color="auto" w:sz="4" w:space="0"/>
              <w:bottom w:val="single" w:color="auto" w:sz="4" w:space="0"/>
              <w:right w:val="single" w:color="auto" w:sz="4" w:space="0"/>
            </w:tcBorders>
          </w:tcPr>
          <w:p w:rsidRPr="008936E4" w:rsidR="003A034E" w:rsidP="009538E4" w:rsidRDefault="003A034E" w14:paraId="658705C7" w14:textId="3709DD7D">
            <w:pPr>
              <w:jc w:val="center"/>
              <w:rPr>
                <w:rFonts w:asciiTheme="majorBidi" w:hAnsiTheme="majorBidi" w:cstheme="majorBidi"/>
                <w:color w:val="000000" w:themeColor="text1"/>
              </w:rPr>
            </w:pPr>
            <w:r>
              <w:rPr>
                <w:rFonts w:asciiTheme="majorBidi" w:hAnsiTheme="majorBidi" w:cstheme="majorBidi"/>
                <w:color w:val="000000" w:themeColor="text1"/>
              </w:rPr>
              <w:t>2024</w:t>
            </w:r>
          </w:p>
        </w:tc>
        <w:tc>
          <w:tcPr>
            <w:tcW w:w="1634" w:type="dxa"/>
            <w:tcBorders>
              <w:top w:val="single" w:color="auto" w:sz="4" w:space="0"/>
              <w:left w:val="single" w:color="auto" w:sz="4" w:space="0"/>
              <w:bottom w:val="single" w:color="auto" w:sz="4" w:space="0"/>
              <w:right w:val="single" w:color="auto" w:sz="4" w:space="0"/>
            </w:tcBorders>
          </w:tcPr>
          <w:p w:rsidRPr="008936E4" w:rsidR="003A034E" w:rsidP="009538E4" w:rsidRDefault="00190911" w14:paraId="07F57FD5" w14:textId="122FDA1E">
            <w:pPr>
              <w:jc w:val="center"/>
              <w:rPr>
                <w:rFonts w:asciiTheme="majorBidi" w:hAnsiTheme="majorBidi" w:cstheme="majorBidi"/>
              </w:rPr>
            </w:pPr>
            <w:r>
              <w:rPr>
                <w:rFonts w:asciiTheme="majorBidi" w:hAnsiTheme="majorBidi" w:cstheme="majorBidi"/>
              </w:rPr>
              <w:t>$250.00</w:t>
            </w:r>
          </w:p>
        </w:tc>
      </w:tr>
    </w:tbl>
    <w:p w:rsidRPr="008936E4" w:rsidR="0022302F" w:rsidP="00FE3BAE" w:rsidRDefault="0022302F" w14:paraId="439C0840" w14:textId="77777777">
      <w:pPr>
        <w:spacing w:line="360" w:lineRule="auto"/>
        <w:rPr>
          <w:rFonts w:asciiTheme="majorBidi" w:hAnsiTheme="majorBidi" w:cstheme="majorBidi"/>
          <w:b/>
        </w:rPr>
      </w:pPr>
    </w:p>
    <w:p w:rsidRPr="008936E4" w:rsidR="00FE3BAE" w:rsidP="00FE3BAE" w:rsidRDefault="00FE3BAE" w14:paraId="53F54635" w14:textId="77777777">
      <w:pPr>
        <w:jc w:val="center"/>
        <w:rPr>
          <w:rFonts w:asciiTheme="majorBidi" w:hAnsiTheme="majorBidi" w:cstheme="majorBidi"/>
        </w:rPr>
      </w:pPr>
      <w:r w:rsidRPr="008936E4">
        <w:rPr>
          <w:rFonts w:asciiTheme="majorBidi" w:hAnsiTheme="majorBidi" w:cstheme="majorBidi"/>
          <w:b/>
        </w:rPr>
        <w:t>(END OF APPENDIX)</w:t>
      </w:r>
    </w:p>
    <w:sectPr w:rsidRPr="008936E4" w:rsidR="00FE3BAE" w:rsidSect="006B7228">
      <w:footerReference w:type="default" r:id="rId17"/>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F435" w14:textId="77777777" w:rsidR="009C2C05" w:rsidRDefault="009C2C05" w:rsidP="00885956">
      <w:r>
        <w:separator/>
      </w:r>
    </w:p>
  </w:endnote>
  <w:endnote w:type="continuationSeparator" w:id="0">
    <w:p w14:paraId="258FC8B7" w14:textId="77777777" w:rsidR="009C2C05" w:rsidRDefault="009C2C05"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31DC" w14:textId="77777777" w:rsidR="008D68CC" w:rsidRDefault="008D6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030097"/>
      <w:docPartObj>
        <w:docPartGallery w:val="Page Numbers (Bottom of Page)"/>
        <w:docPartUnique/>
      </w:docPartObj>
    </w:sdtPr>
    <w:sdtEndPr>
      <w:rPr>
        <w:noProof/>
      </w:rPr>
    </w:sdtEndPr>
    <w:sdtContent>
      <w:p w14:paraId="5BB2BB1D" w14:textId="6DE5CCE0" w:rsidR="008D68CC" w:rsidRDefault="008A719C" w:rsidP="008A71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861325"/>
      <w:docPartObj>
        <w:docPartGallery w:val="Page Numbers (Bottom of Page)"/>
        <w:docPartUnique/>
      </w:docPartObj>
    </w:sdtPr>
    <w:sdtEndPr>
      <w:rPr>
        <w:noProof/>
      </w:rPr>
    </w:sdtEndPr>
    <w:sdtContent>
      <w:p w14:paraId="06786E25" w14:textId="78E5496A" w:rsidR="00E63333" w:rsidRDefault="007D66A3" w:rsidP="00B36039">
        <w:pPr>
          <w:pStyle w:val="Footer"/>
        </w:pPr>
        <w:r w:rsidRPr="007D66A3">
          <w:rPr>
            <w:sz w:val="16"/>
            <w:szCs w:val="16"/>
          </w:rPr>
          <w:t>611134924</w:t>
        </w:r>
        <w:r w:rsidR="00E63333">
          <w:tab/>
        </w:r>
        <w:r w:rsidR="00E63333">
          <w:fldChar w:fldCharType="begin"/>
        </w:r>
        <w:r w:rsidR="00E63333">
          <w:instrText xml:space="preserve"> PAGE   \* MERGEFORMAT </w:instrText>
        </w:r>
        <w:r w:rsidR="00E63333">
          <w:fldChar w:fldCharType="separate"/>
        </w:r>
        <w:r w:rsidR="00E63333">
          <w:rPr>
            <w:noProof/>
          </w:rPr>
          <w:t>- 1 -</w:t>
        </w:r>
        <w:r w:rsidR="00E63333">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D718" w14:textId="77777777" w:rsidR="009C2C05" w:rsidRDefault="009C2C05" w:rsidP="00885956">
      <w:r>
        <w:separator/>
      </w:r>
    </w:p>
  </w:footnote>
  <w:footnote w:type="continuationSeparator" w:id="0">
    <w:p w14:paraId="2A60BC0B" w14:textId="77777777" w:rsidR="009C2C05" w:rsidRDefault="009C2C05" w:rsidP="00885956">
      <w:r>
        <w:continuationSeparator/>
      </w:r>
    </w:p>
  </w:footnote>
  <w:footnote w:id="1">
    <w:p w14:paraId="7CAF0DDD" w14:textId="7922903A" w:rsidR="003B6A1B" w:rsidRDefault="003B6A1B">
      <w:pPr>
        <w:pStyle w:val="FootnoteText"/>
      </w:pPr>
      <w:r>
        <w:rPr>
          <w:rStyle w:val="FootnoteReference"/>
        </w:rPr>
        <w:footnoteRef/>
      </w:r>
      <w:r>
        <w:t xml:space="preserve"> All statutory references are to California Public Utilities Code </w:t>
      </w:r>
      <w:r w:rsidR="00344997">
        <w:t xml:space="preserve">(Pub. Util. Code) </w:t>
      </w:r>
      <w:r>
        <w:t>unless indicated otherwise.</w:t>
      </w:r>
    </w:p>
  </w:footnote>
  <w:footnote w:id="2">
    <w:p w14:paraId="32B42604" w14:textId="08252806" w:rsidR="00952883" w:rsidRDefault="00952883">
      <w:pPr>
        <w:pStyle w:val="FootnoteText"/>
      </w:pPr>
      <w:r>
        <w:rPr>
          <w:rStyle w:val="FootnoteReference"/>
        </w:rPr>
        <w:footnoteRef/>
      </w:r>
      <w:r>
        <w:t xml:space="preserve"> D.24-12-033 at 12.</w:t>
      </w:r>
    </w:p>
  </w:footnote>
  <w:footnote w:id="3">
    <w:p w14:paraId="5F44B4BE" w14:textId="77777777" w:rsidR="00E06CBB" w:rsidRDefault="00E06CBB" w:rsidP="00E06CBB">
      <w:pPr>
        <w:pStyle w:val="FootnoteText"/>
      </w:pPr>
      <w:r>
        <w:rPr>
          <w:rStyle w:val="FootnoteReference"/>
        </w:rPr>
        <w:footnoteRef/>
      </w:r>
      <w:r>
        <w:t xml:space="preserve"> D.24-12-033 at 20.</w:t>
      </w:r>
    </w:p>
  </w:footnote>
  <w:footnote w:id="4">
    <w:p w14:paraId="7079248D" w14:textId="032773D6" w:rsidR="0002357B" w:rsidRDefault="0002357B" w:rsidP="0002357B">
      <w:pPr>
        <w:pStyle w:val="FootnoteText"/>
      </w:pPr>
      <w:r>
        <w:rPr>
          <w:rStyle w:val="FootnoteReference"/>
        </w:rPr>
        <w:footnoteRef/>
      </w:r>
      <w:r>
        <w:t xml:space="preserve"> Id.</w:t>
      </w:r>
      <w:r w:rsidR="00D00C93">
        <w:t>,</w:t>
      </w:r>
      <w:r>
        <w:t xml:space="preserve"> at 20.</w:t>
      </w:r>
    </w:p>
  </w:footnote>
  <w:footnote w:id="5">
    <w:p w14:paraId="557C203D" w14:textId="5E8637D8" w:rsidR="00D00C93" w:rsidRDefault="00D00C93">
      <w:pPr>
        <w:pStyle w:val="FootnoteText"/>
      </w:pPr>
      <w:r>
        <w:rPr>
          <w:rStyle w:val="FootnoteReference"/>
        </w:rPr>
        <w:footnoteRef/>
      </w:r>
      <w:r>
        <w:t xml:space="preserve"> Id., at 15-18.</w:t>
      </w:r>
    </w:p>
  </w:footnote>
  <w:footnote w:id="6">
    <w:p w14:paraId="507667F3" w14:textId="77777777" w:rsidR="0089658E" w:rsidRDefault="0089658E" w:rsidP="0089658E">
      <w:pPr>
        <w:pStyle w:val="FootnoteText"/>
      </w:pPr>
      <w:r>
        <w:rPr>
          <w:rStyle w:val="FootnoteReference"/>
        </w:rPr>
        <w:footnoteRef/>
      </w:r>
      <w:r>
        <w:t xml:space="preserve"> D.24-12-033 at 28.</w:t>
      </w:r>
    </w:p>
  </w:footnote>
  <w:footnote w:id="7">
    <w:p w14:paraId="05E9B954" w14:textId="72E76695" w:rsidR="00C13B27" w:rsidRDefault="00C13B27">
      <w:pPr>
        <w:pStyle w:val="FootnoteText"/>
      </w:pPr>
      <w:r>
        <w:rPr>
          <w:rStyle w:val="FootnoteReference"/>
        </w:rPr>
        <w:footnoteRef/>
      </w:r>
      <w:r>
        <w:t xml:space="preserve"> </w:t>
      </w:r>
      <w:r w:rsidR="00D00C93">
        <w:t>Id.,</w:t>
      </w:r>
      <w:r>
        <w:t xml:space="preserve"> at 39.</w:t>
      </w:r>
    </w:p>
  </w:footnote>
  <w:footnote w:id="8">
    <w:p w14:paraId="2966D95E" w14:textId="772D1C60" w:rsidR="00C13B27" w:rsidRDefault="00C13B27">
      <w:pPr>
        <w:pStyle w:val="FootnoteText"/>
      </w:pPr>
      <w:r>
        <w:rPr>
          <w:rStyle w:val="FootnoteReference"/>
        </w:rPr>
        <w:footnoteRef/>
      </w:r>
      <w:r>
        <w:t xml:space="preserve"> Id.</w:t>
      </w:r>
      <w:r w:rsidR="00D00C93">
        <w:t>,</w:t>
      </w:r>
      <w:r>
        <w:t xml:space="preserve"> at 39.</w:t>
      </w:r>
    </w:p>
  </w:footnote>
  <w:footnote w:id="9">
    <w:p w14:paraId="6D4EBDCB" w14:textId="24EE0AA6" w:rsidR="00922396" w:rsidRDefault="00922396">
      <w:pPr>
        <w:pStyle w:val="FootnoteText"/>
      </w:pPr>
      <w:r>
        <w:rPr>
          <w:rStyle w:val="FootnoteReference"/>
        </w:rPr>
        <w:footnoteRef/>
      </w:r>
      <w:r>
        <w:t xml:space="preserve"> </w:t>
      </w:r>
      <w:r w:rsidR="00D00C93">
        <w:t>D.24-12-033</w:t>
      </w:r>
      <w:r>
        <w:t xml:space="preserve"> at 40</w:t>
      </w:r>
      <w:r w:rsidR="009B1735">
        <w:t>.</w:t>
      </w:r>
    </w:p>
  </w:footnote>
  <w:footnote w:id="10">
    <w:p w14:paraId="17125C0D" w14:textId="58D74FBA" w:rsidR="00922396" w:rsidRDefault="00922396">
      <w:pPr>
        <w:pStyle w:val="FootnoteText"/>
      </w:pPr>
      <w:r>
        <w:rPr>
          <w:rStyle w:val="FootnoteReference"/>
        </w:rPr>
        <w:footnoteRef/>
      </w:r>
      <w:r w:rsidR="00395571">
        <w:t xml:space="preserve"> </w:t>
      </w:r>
      <w:r w:rsidR="00D00C93">
        <w:t>Id.,</w:t>
      </w:r>
      <w:r>
        <w:t xml:space="preserve"> at 42</w:t>
      </w:r>
      <w:r w:rsidR="00B56A75">
        <w:t>-</w:t>
      </w:r>
      <w:r>
        <w:t>43.</w:t>
      </w:r>
    </w:p>
  </w:footnote>
  <w:footnote w:id="11">
    <w:p w14:paraId="5BACC354" w14:textId="05084570" w:rsidR="00AD583F" w:rsidRDefault="00AD583F" w:rsidP="00AD583F">
      <w:pPr>
        <w:pStyle w:val="FootnoteText"/>
      </w:pPr>
      <w:r>
        <w:rPr>
          <w:rStyle w:val="FootnoteReference"/>
        </w:rPr>
        <w:footnoteRef/>
      </w:r>
      <w:r>
        <w:t xml:space="preserve"> </w:t>
      </w:r>
      <w:r w:rsidR="00D00C93">
        <w:t>D.24-12-033</w:t>
      </w:r>
      <w:r>
        <w:t xml:space="preserve"> at 49.</w:t>
      </w:r>
    </w:p>
  </w:footnote>
  <w:footnote w:id="12">
    <w:p w14:paraId="179B08A9" w14:textId="4B9784CF" w:rsidR="00316599" w:rsidRDefault="00316599" w:rsidP="00316599">
      <w:pPr>
        <w:pStyle w:val="FootnoteText"/>
      </w:pPr>
      <w:r>
        <w:rPr>
          <w:rStyle w:val="FootnoteReference"/>
        </w:rPr>
        <w:footnoteRef/>
      </w:r>
      <w:r>
        <w:t xml:space="preserve"> </w:t>
      </w:r>
      <w:r w:rsidR="00D00C93">
        <w:t xml:space="preserve">Id., </w:t>
      </w:r>
      <w:r>
        <w:t>at 52-54.</w:t>
      </w:r>
    </w:p>
  </w:footnote>
  <w:footnote w:id="13">
    <w:p w14:paraId="68EC7B13" w14:textId="59BCE0E3" w:rsidR="00F64962" w:rsidRDefault="00F64962">
      <w:pPr>
        <w:pStyle w:val="FootnoteText"/>
      </w:pPr>
      <w:r>
        <w:rPr>
          <w:rStyle w:val="FootnoteReference"/>
        </w:rPr>
        <w:footnoteRef/>
      </w:r>
      <w:r>
        <w:t xml:space="preserve"> Correct Total Request is $95,691.67.</w:t>
      </w:r>
    </w:p>
  </w:footnote>
  <w:footnote w:id="14">
    <w:p w14:paraId="1AE9FC1E" w14:textId="0F3E532F" w:rsidR="00B248B9" w:rsidRPr="00F63B3C" w:rsidRDefault="00DE7D1B" w:rsidP="00A86489">
      <w:pPr>
        <w:pStyle w:val="FootnoteText"/>
        <w:rPr>
          <w:szCs w:val="22"/>
        </w:rPr>
      </w:pPr>
      <w:r w:rsidRPr="00DE3A5D">
        <w:rPr>
          <w:rStyle w:val="FootnoteReference"/>
          <w:sz w:val="20"/>
        </w:rPr>
        <w:footnoteRef/>
      </w:r>
      <w:r w:rsidRPr="00DE3A5D">
        <w:t xml:space="preserve"> This information may be </w:t>
      </w:r>
      <w:r w:rsidRPr="00DE3A5D">
        <w:rPr>
          <w:color w:val="000000"/>
        </w:rPr>
        <w:t>obtain</w:t>
      </w:r>
      <w:r>
        <w:rPr>
          <w:color w:val="000000"/>
        </w:rPr>
        <w:t>ed through the State Bar of California’s website at</w:t>
      </w:r>
      <w:r w:rsidR="00FF7E10">
        <w:rPr>
          <w:color w:val="000000"/>
        </w:rPr>
        <w:t xml:space="preserve"> </w:t>
      </w:r>
      <w:hyperlink r:id="rId1" w:history="1">
        <w:r w:rsidR="00AC54DE">
          <w:rPr>
            <w:rStyle w:val="Hyperlink"/>
          </w:rPr>
          <w:t>https://apps.calbar.ca.gov/attorney/LicenseeSearch/QuickSearch.</w:t>
        </w:r>
      </w:hyperlink>
    </w:p>
  </w:footnote>
  <w:footnote w:id="15">
    <w:p w14:paraId="28D6A94A" w14:textId="1610BC2E" w:rsidR="00C12976" w:rsidRDefault="00C12976">
      <w:pPr>
        <w:pStyle w:val="FootnoteText"/>
      </w:pPr>
      <w:r w:rsidRPr="00C12976">
        <w:rPr>
          <w:rStyle w:val="FootnoteReference"/>
        </w:rPr>
        <w:footnoteRef/>
      </w:r>
      <w:r w:rsidRPr="00C12976">
        <w:t xml:space="preserve"> Attachments not included in final Decision.</w:t>
      </w:r>
    </w:p>
  </w:footnote>
  <w:footnote w:id="16">
    <w:p w14:paraId="56383EBE" w14:textId="15132B10" w:rsidR="00D33518" w:rsidRDefault="00D33518" w:rsidP="003F0E85">
      <w:pPr>
        <w:pStyle w:val="FootnoteText"/>
      </w:pPr>
      <w:r>
        <w:rPr>
          <w:rStyle w:val="FootnoteReference"/>
        </w:rPr>
        <w:footnoteRef/>
      </w:r>
      <w:r>
        <w:t xml:space="preserve"> </w:t>
      </w:r>
      <w:r w:rsidRPr="0014470D">
        <w:t>D.07-01-009, D.08-04-010, and Resolution ALJ</w:t>
      </w:r>
      <w:r w:rsidR="00D00C93">
        <w:t>-</w:t>
      </w:r>
      <w:r w:rsidRPr="0014470D">
        <w:t>235.</w:t>
      </w:r>
    </w:p>
  </w:footnote>
  <w:footnote w:id="17">
    <w:p w14:paraId="44796EA0" w14:textId="275CC25A" w:rsidR="00D33518" w:rsidRDefault="00D33518" w:rsidP="003F0E85">
      <w:pPr>
        <w:pStyle w:val="FootnoteText"/>
      </w:pPr>
      <w:r>
        <w:rPr>
          <w:rStyle w:val="FootnoteReference"/>
        </w:rPr>
        <w:footnoteRef/>
      </w:r>
      <w:r>
        <w:t xml:space="preserve"> </w:t>
      </w:r>
      <w:r w:rsidRPr="0014470D">
        <w:t>D.07-01-009, D.08-04-010, and Resolution ALJ</w:t>
      </w:r>
      <w:r w:rsidR="00D00C93">
        <w:t>-</w:t>
      </w:r>
      <w:r w:rsidRPr="0014470D">
        <w:t>235.</w:t>
      </w:r>
    </w:p>
  </w:footnote>
  <w:footnote w:id="18">
    <w:p w14:paraId="47903E4C" w14:textId="7A483633" w:rsidR="00307373" w:rsidRDefault="00307373">
      <w:pPr>
        <w:pStyle w:val="FootnoteText"/>
      </w:pPr>
      <w:r>
        <w:rPr>
          <w:rStyle w:val="FootnoteReference"/>
        </w:rPr>
        <w:footnoteRef/>
      </w:r>
      <w:r>
        <w:t xml:space="preserve"> </w:t>
      </w:r>
      <w:r w:rsidR="006E42AA">
        <w:t xml:space="preserve">The correct </w:t>
      </w:r>
      <w:r w:rsidR="00875DFF">
        <w:t>d</w:t>
      </w:r>
      <w:r>
        <w:t>ate claim filed is September 23, 2025.</w:t>
      </w:r>
    </w:p>
  </w:footnote>
  <w:footnote w:id="19">
    <w:p w14:paraId="33351872" w14:textId="74582751" w:rsidR="00190911" w:rsidRDefault="00190911">
      <w:pPr>
        <w:pStyle w:val="FootnoteText"/>
      </w:pPr>
      <w:r>
        <w:rPr>
          <w:rStyle w:val="FootnoteReference"/>
        </w:rPr>
        <w:footnoteRef/>
      </w:r>
      <w:r>
        <w:t xml:space="preserve"> Michael Brown served SBUA as a consultant in 2024 and 2025.</w:t>
      </w:r>
    </w:p>
  </w:footnote>
  <w:footnote w:id="20">
    <w:p w14:paraId="1026521D" w14:textId="72F83E82" w:rsidR="0091756F" w:rsidRDefault="0091756F">
      <w:pPr>
        <w:pStyle w:val="FootnoteText"/>
      </w:pPr>
      <w:r>
        <w:rPr>
          <w:rStyle w:val="FootnoteReference"/>
        </w:rPr>
        <w:footnoteRef/>
      </w:r>
      <w:r>
        <w:t xml:space="preserve"> James Birkelund served SBUA as a consultant in 2024 and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F760" w14:textId="77777777" w:rsidR="008D68CC" w:rsidRDefault="008D6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6E3D" w14:textId="77777777" w:rsidR="008D68CC" w:rsidRPr="008A17B7" w:rsidRDefault="008D68CC" w:rsidP="008D68CC">
    <w:pPr>
      <w:pBdr>
        <w:top w:val="nil"/>
        <w:left w:val="nil"/>
        <w:bottom w:val="nil"/>
        <w:right w:val="nil"/>
        <w:between w:val="nil"/>
      </w:pBdr>
      <w:tabs>
        <w:tab w:val="center" w:pos="4680"/>
        <w:tab w:val="right" w:pos="9360"/>
      </w:tabs>
      <w:rPr>
        <w:b/>
        <w:bCs/>
        <w:color w:val="000000"/>
      </w:rPr>
    </w:pPr>
    <w:r>
      <w:rPr>
        <w:color w:val="000000" w:themeColor="text1"/>
      </w:rPr>
      <w:t>A.24-03-</w:t>
    </w:r>
    <w:proofErr w:type="gramStart"/>
    <w:r>
      <w:rPr>
        <w:color w:val="000000" w:themeColor="text1"/>
      </w:rPr>
      <w:t xml:space="preserve">018 </w:t>
    </w:r>
    <w:r w:rsidRPr="591AB3B4">
      <w:rPr>
        <w:color w:val="000000" w:themeColor="text1"/>
      </w:rPr>
      <w:t xml:space="preserve"> ALJ</w:t>
    </w:r>
    <w:proofErr w:type="gramEnd"/>
    <w:r w:rsidRPr="591AB3B4">
      <w:rPr>
        <w:color w:val="000000" w:themeColor="text1"/>
      </w:rPr>
      <w:t>/</w:t>
    </w:r>
    <w:r>
      <w:rPr>
        <w:color w:val="000000" w:themeColor="text1"/>
      </w:rPr>
      <w:t>NIL</w:t>
    </w:r>
    <w:r w:rsidRPr="591AB3B4">
      <w:rPr>
        <w:color w:val="000000" w:themeColor="text1"/>
      </w:rPr>
      <w:t>/cg7</w:t>
    </w:r>
    <w:r>
      <w:tab/>
    </w:r>
    <w:r>
      <w:tab/>
    </w:r>
    <w:r w:rsidRPr="591AB3B4">
      <w:rPr>
        <w:b/>
        <w:bCs/>
        <w:color w:val="000000" w:themeColor="text1"/>
      </w:rPr>
      <w:t>PROPOSED DECISION</w:t>
    </w:r>
    <w:r>
      <w:rPr>
        <w:b/>
        <w:bCs/>
        <w:color w:val="000000" w:themeColor="text1"/>
      </w:rPr>
      <w:t xml:space="preserve"> (REV. 1)</w:t>
    </w:r>
  </w:p>
  <w:p w14:paraId="2EBCDE6C" w14:textId="77777777" w:rsidR="008D68CC" w:rsidRDefault="008D68CC" w:rsidP="008D68CC">
    <w:pPr>
      <w:pStyle w:val="Header"/>
    </w:pPr>
  </w:p>
  <w:p w14:paraId="1EAD9AEC" w14:textId="77777777" w:rsidR="008D68CC" w:rsidRDefault="008D68CC" w:rsidP="008D6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FCC7" w14:textId="77777777" w:rsidR="008D68CC" w:rsidRDefault="008D6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484"/>
    <w:multiLevelType w:val="multilevel"/>
    <w:tmpl w:val="F3B63172"/>
    <w:lvl w:ilvl="0">
      <w:start w:val="1"/>
      <w:numFmt w:val="decimal"/>
      <w:lvlText w:val="%1."/>
      <w:lvlJc w:val="left"/>
      <w:pPr>
        <w:tabs>
          <w:tab w:val="num" w:pos="450"/>
        </w:tabs>
        <w:ind w:left="450" w:hanging="360"/>
      </w:pPr>
    </w:lvl>
    <w:lvl w:ilvl="1">
      <w:start w:val="1"/>
      <w:numFmt w:val="decimal"/>
      <w:lvlText w:val="%2."/>
      <w:lvlJc w:val="left"/>
      <w:pPr>
        <w:tabs>
          <w:tab w:val="num" w:pos="1170"/>
        </w:tabs>
        <w:ind w:left="1170" w:hanging="360"/>
      </w:pPr>
    </w:lvl>
    <w:lvl w:ilvl="2">
      <w:start w:val="1"/>
      <w:numFmt w:val="decimal"/>
      <w:lvlText w:val="%3."/>
      <w:lvlJc w:val="left"/>
      <w:pPr>
        <w:tabs>
          <w:tab w:val="num" w:pos="1890"/>
        </w:tabs>
        <w:ind w:left="1890" w:hanging="360"/>
      </w:pPr>
    </w:lvl>
    <w:lvl w:ilvl="3">
      <w:start w:val="1"/>
      <w:numFmt w:val="decimal"/>
      <w:lvlText w:val="%4."/>
      <w:lvlJc w:val="left"/>
      <w:pPr>
        <w:tabs>
          <w:tab w:val="num" w:pos="2610"/>
        </w:tabs>
        <w:ind w:left="2610" w:hanging="360"/>
      </w:pPr>
    </w:lvl>
    <w:lvl w:ilvl="4">
      <w:start w:val="1"/>
      <w:numFmt w:val="decimal"/>
      <w:lvlText w:val="%5."/>
      <w:lvlJc w:val="left"/>
      <w:pPr>
        <w:tabs>
          <w:tab w:val="num" w:pos="3330"/>
        </w:tabs>
        <w:ind w:left="3330" w:hanging="360"/>
      </w:pPr>
    </w:lvl>
    <w:lvl w:ilvl="5">
      <w:start w:val="1"/>
      <w:numFmt w:val="decimal"/>
      <w:lvlText w:val="%6."/>
      <w:lvlJc w:val="left"/>
      <w:pPr>
        <w:tabs>
          <w:tab w:val="num" w:pos="4050"/>
        </w:tabs>
        <w:ind w:left="4050" w:hanging="360"/>
      </w:pPr>
    </w:lvl>
    <w:lvl w:ilvl="6">
      <w:start w:val="1"/>
      <w:numFmt w:val="decimal"/>
      <w:lvlText w:val="%7."/>
      <w:lvlJc w:val="left"/>
      <w:pPr>
        <w:tabs>
          <w:tab w:val="num" w:pos="4770"/>
        </w:tabs>
        <w:ind w:left="4770" w:hanging="360"/>
      </w:pPr>
    </w:lvl>
    <w:lvl w:ilvl="7">
      <w:start w:val="1"/>
      <w:numFmt w:val="decimal"/>
      <w:lvlText w:val="%8."/>
      <w:lvlJc w:val="left"/>
      <w:pPr>
        <w:tabs>
          <w:tab w:val="num" w:pos="5490"/>
        </w:tabs>
        <w:ind w:left="5490" w:hanging="360"/>
      </w:pPr>
    </w:lvl>
    <w:lvl w:ilvl="8">
      <w:start w:val="1"/>
      <w:numFmt w:val="decimal"/>
      <w:lvlText w:val="%9."/>
      <w:lvlJc w:val="left"/>
      <w:pPr>
        <w:tabs>
          <w:tab w:val="num" w:pos="6210"/>
        </w:tabs>
        <w:ind w:left="6210" w:hanging="360"/>
      </w:pPr>
    </w:lvl>
  </w:abstractNum>
  <w:abstractNum w:abstractNumId="1"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7460D"/>
    <w:multiLevelType w:val="hybridMultilevel"/>
    <w:tmpl w:val="EDEC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C0889"/>
    <w:multiLevelType w:val="hybridMultilevel"/>
    <w:tmpl w:val="5D04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C5A3E"/>
    <w:multiLevelType w:val="hybridMultilevel"/>
    <w:tmpl w:val="AC409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842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30C2F9F"/>
    <w:multiLevelType w:val="hybridMultilevel"/>
    <w:tmpl w:val="61CA1916"/>
    <w:lvl w:ilvl="0" w:tplc="9D681BD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D24C6"/>
    <w:multiLevelType w:val="hybridMultilevel"/>
    <w:tmpl w:val="BBDC9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A67B7"/>
    <w:multiLevelType w:val="hybridMultilevel"/>
    <w:tmpl w:val="5F34B3EC"/>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2930B0"/>
    <w:multiLevelType w:val="hybridMultilevel"/>
    <w:tmpl w:val="F82C33E4"/>
    <w:lvl w:ilvl="0" w:tplc="9D681BD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07719"/>
    <w:multiLevelType w:val="hybridMultilevel"/>
    <w:tmpl w:val="9272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4C4658"/>
    <w:multiLevelType w:val="hybridMultilevel"/>
    <w:tmpl w:val="57362678"/>
    <w:lvl w:ilvl="0" w:tplc="4F3AF874">
      <w:start w:val="1"/>
      <w:numFmt w:val="bullet"/>
      <w:lvlText w:val=""/>
      <w:lvlJc w:val="left"/>
      <w:pPr>
        <w:ind w:left="1440" w:hanging="360"/>
      </w:pPr>
      <w:rPr>
        <w:rFonts w:ascii="Symbol" w:hAnsi="Symbol"/>
      </w:rPr>
    </w:lvl>
    <w:lvl w:ilvl="1" w:tplc="39D872D2">
      <w:start w:val="1"/>
      <w:numFmt w:val="bullet"/>
      <w:lvlText w:val=""/>
      <w:lvlJc w:val="left"/>
      <w:pPr>
        <w:ind w:left="2160" w:hanging="360"/>
      </w:pPr>
      <w:rPr>
        <w:rFonts w:ascii="Symbol" w:hAnsi="Symbol"/>
      </w:rPr>
    </w:lvl>
    <w:lvl w:ilvl="2" w:tplc="83CEF790">
      <w:start w:val="1"/>
      <w:numFmt w:val="bullet"/>
      <w:lvlText w:val=""/>
      <w:lvlJc w:val="left"/>
      <w:pPr>
        <w:ind w:left="1440" w:hanging="360"/>
      </w:pPr>
      <w:rPr>
        <w:rFonts w:ascii="Symbol" w:hAnsi="Symbol"/>
      </w:rPr>
    </w:lvl>
    <w:lvl w:ilvl="3" w:tplc="062AC8D0">
      <w:start w:val="1"/>
      <w:numFmt w:val="bullet"/>
      <w:lvlText w:val=""/>
      <w:lvlJc w:val="left"/>
      <w:pPr>
        <w:ind w:left="1440" w:hanging="360"/>
      </w:pPr>
      <w:rPr>
        <w:rFonts w:ascii="Symbol" w:hAnsi="Symbol"/>
      </w:rPr>
    </w:lvl>
    <w:lvl w:ilvl="4" w:tplc="7DB03584">
      <w:start w:val="1"/>
      <w:numFmt w:val="bullet"/>
      <w:lvlText w:val=""/>
      <w:lvlJc w:val="left"/>
      <w:pPr>
        <w:ind w:left="1440" w:hanging="360"/>
      </w:pPr>
      <w:rPr>
        <w:rFonts w:ascii="Symbol" w:hAnsi="Symbol"/>
      </w:rPr>
    </w:lvl>
    <w:lvl w:ilvl="5" w:tplc="59940790">
      <w:start w:val="1"/>
      <w:numFmt w:val="bullet"/>
      <w:lvlText w:val=""/>
      <w:lvlJc w:val="left"/>
      <w:pPr>
        <w:ind w:left="1440" w:hanging="360"/>
      </w:pPr>
      <w:rPr>
        <w:rFonts w:ascii="Symbol" w:hAnsi="Symbol"/>
      </w:rPr>
    </w:lvl>
    <w:lvl w:ilvl="6" w:tplc="828EF2DE">
      <w:start w:val="1"/>
      <w:numFmt w:val="bullet"/>
      <w:lvlText w:val=""/>
      <w:lvlJc w:val="left"/>
      <w:pPr>
        <w:ind w:left="1440" w:hanging="360"/>
      </w:pPr>
      <w:rPr>
        <w:rFonts w:ascii="Symbol" w:hAnsi="Symbol"/>
      </w:rPr>
    </w:lvl>
    <w:lvl w:ilvl="7" w:tplc="E982A9B4">
      <w:start w:val="1"/>
      <w:numFmt w:val="bullet"/>
      <w:lvlText w:val=""/>
      <w:lvlJc w:val="left"/>
      <w:pPr>
        <w:ind w:left="1440" w:hanging="360"/>
      </w:pPr>
      <w:rPr>
        <w:rFonts w:ascii="Symbol" w:hAnsi="Symbol"/>
      </w:rPr>
    </w:lvl>
    <w:lvl w:ilvl="8" w:tplc="D9763F6C">
      <w:start w:val="1"/>
      <w:numFmt w:val="bullet"/>
      <w:lvlText w:val=""/>
      <w:lvlJc w:val="left"/>
      <w:pPr>
        <w:ind w:left="1440" w:hanging="360"/>
      </w:pPr>
      <w:rPr>
        <w:rFonts w:ascii="Symbol" w:hAnsi="Symbol"/>
      </w:rPr>
    </w:lvl>
  </w:abstractNum>
  <w:abstractNum w:abstractNumId="15"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713D70"/>
    <w:multiLevelType w:val="hybridMultilevel"/>
    <w:tmpl w:val="D53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07F22"/>
    <w:multiLevelType w:val="multilevel"/>
    <w:tmpl w:val="209ED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3B3325"/>
    <w:multiLevelType w:val="hybridMultilevel"/>
    <w:tmpl w:val="B566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559C5"/>
    <w:multiLevelType w:val="hybridMultilevel"/>
    <w:tmpl w:val="F8C4F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BB6D1A"/>
    <w:multiLevelType w:val="hybridMultilevel"/>
    <w:tmpl w:val="E25C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97B2C"/>
    <w:multiLevelType w:val="hybridMultilevel"/>
    <w:tmpl w:val="4F8C1C48"/>
    <w:lvl w:ilvl="0" w:tplc="66380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85A5A"/>
    <w:multiLevelType w:val="hybridMultilevel"/>
    <w:tmpl w:val="FA5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2C05DC"/>
    <w:multiLevelType w:val="multilevel"/>
    <w:tmpl w:val="F74A6BCC"/>
    <w:lvl w:ilvl="0">
      <w:start w:val="1"/>
      <w:numFmt w:val="upperLetter"/>
      <w:lvlText w:val="%1."/>
      <w:lvlJc w:val="left"/>
      <w:pPr>
        <w:tabs>
          <w:tab w:val="num" w:pos="360"/>
        </w:tabs>
        <w:ind w:left="360" w:hanging="360"/>
      </w:pPr>
      <w:rPr>
        <w:b/>
        <w:bCs/>
      </w:rPr>
    </w:lvl>
    <w:lvl w:ilvl="1">
      <w:start w:val="1"/>
      <w:numFmt w:val="decimal"/>
      <w:lvlText w:val="%2."/>
      <w:lvlJc w:val="left"/>
      <w:pPr>
        <w:tabs>
          <w:tab w:val="num" w:pos="450"/>
        </w:tabs>
        <w:ind w:left="45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54BE42F3"/>
    <w:multiLevelType w:val="hybridMultilevel"/>
    <w:tmpl w:val="3C142464"/>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6" w15:restartNumberingAfterBreak="0">
    <w:nsid w:val="568D3276"/>
    <w:multiLevelType w:val="hybridMultilevel"/>
    <w:tmpl w:val="0B8C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9" w15:restartNumberingAfterBreak="0">
    <w:nsid w:val="5B6C18F0"/>
    <w:multiLevelType w:val="hybridMultilevel"/>
    <w:tmpl w:val="D9F2D1E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30" w15:restartNumberingAfterBreak="0">
    <w:nsid w:val="5CBA1F97"/>
    <w:multiLevelType w:val="hybridMultilevel"/>
    <w:tmpl w:val="11AA0C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ED54BA5"/>
    <w:multiLevelType w:val="hybridMultilevel"/>
    <w:tmpl w:val="A1220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60B0E"/>
    <w:multiLevelType w:val="hybridMultilevel"/>
    <w:tmpl w:val="A1CE08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13E79"/>
    <w:multiLevelType w:val="hybridMultilevel"/>
    <w:tmpl w:val="D320F460"/>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4" w15:restartNumberingAfterBreak="0">
    <w:nsid w:val="63ED3C14"/>
    <w:multiLevelType w:val="hybridMultilevel"/>
    <w:tmpl w:val="EBE0B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230F1"/>
    <w:multiLevelType w:val="hybridMultilevel"/>
    <w:tmpl w:val="899C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B42E0"/>
    <w:multiLevelType w:val="hybridMultilevel"/>
    <w:tmpl w:val="777C3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C63EC"/>
    <w:multiLevelType w:val="hybridMultilevel"/>
    <w:tmpl w:val="3EFE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A7D80"/>
    <w:multiLevelType w:val="hybridMultilevel"/>
    <w:tmpl w:val="D4B2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A0BBC"/>
    <w:multiLevelType w:val="hybridMultilevel"/>
    <w:tmpl w:val="69B0FEE8"/>
    <w:lvl w:ilvl="0" w:tplc="9D681BD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0" w15:restartNumberingAfterBreak="0">
    <w:nsid w:val="72DB0998"/>
    <w:multiLevelType w:val="hybridMultilevel"/>
    <w:tmpl w:val="299C8C3C"/>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6A7D73"/>
    <w:multiLevelType w:val="hybridMultilevel"/>
    <w:tmpl w:val="64F0A314"/>
    <w:lvl w:ilvl="0" w:tplc="D1B0DB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955964"/>
    <w:multiLevelType w:val="hybridMultilevel"/>
    <w:tmpl w:val="15B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86726"/>
    <w:multiLevelType w:val="hybridMultilevel"/>
    <w:tmpl w:val="0B8C6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6431786">
    <w:abstractNumId w:val="41"/>
  </w:num>
  <w:num w:numId="2" w16cid:durableId="296566636">
    <w:abstractNumId w:val="1"/>
  </w:num>
  <w:num w:numId="3" w16cid:durableId="2098595014">
    <w:abstractNumId w:val="43"/>
  </w:num>
  <w:num w:numId="4" w16cid:durableId="1312905431">
    <w:abstractNumId w:val="24"/>
  </w:num>
  <w:num w:numId="5" w16cid:durableId="417093550">
    <w:abstractNumId w:val="13"/>
  </w:num>
  <w:num w:numId="6" w16cid:durableId="1486429129">
    <w:abstractNumId w:val="28"/>
  </w:num>
  <w:num w:numId="7" w16cid:durableId="258221757">
    <w:abstractNumId w:val="15"/>
  </w:num>
  <w:num w:numId="8" w16cid:durableId="842936081">
    <w:abstractNumId w:val="27"/>
  </w:num>
  <w:num w:numId="9" w16cid:durableId="1685205339">
    <w:abstractNumId w:val="4"/>
  </w:num>
  <w:num w:numId="10" w16cid:durableId="789317941">
    <w:abstractNumId w:val="10"/>
  </w:num>
  <w:num w:numId="11" w16cid:durableId="1527937524">
    <w:abstractNumId w:val="23"/>
  </w:num>
  <w:num w:numId="12" w16cid:durableId="204100431">
    <w:abstractNumId w:val="0"/>
  </w:num>
  <w:num w:numId="13" w16cid:durableId="1928153561">
    <w:abstractNumId w:val="8"/>
  </w:num>
  <w:num w:numId="14" w16cid:durableId="1719039712">
    <w:abstractNumId w:val="31"/>
  </w:num>
  <w:num w:numId="15" w16cid:durableId="773789042">
    <w:abstractNumId w:val="34"/>
  </w:num>
  <w:num w:numId="16" w16cid:durableId="1054349082">
    <w:abstractNumId w:val="26"/>
  </w:num>
  <w:num w:numId="17" w16cid:durableId="809639755">
    <w:abstractNumId w:val="36"/>
  </w:num>
  <w:num w:numId="18" w16cid:durableId="362824804">
    <w:abstractNumId w:val="17"/>
  </w:num>
  <w:num w:numId="19" w16cid:durableId="987247211">
    <w:abstractNumId w:val="6"/>
  </w:num>
  <w:num w:numId="20" w16cid:durableId="1608152766">
    <w:abstractNumId w:val="21"/>
  </w:num>
  <w:num w:numId="21" w16cid:durableId="475492414">
    <w:abstractNumId w:val="32"/>
  </w:num>
  <w:num w:numId="22" w16cid:durableId="1274559611">
    <w:abstractNumId w:val="2"/>
  </w:num>
  <w:num w:numId="23" w16cid:durableId="422577463">
    <w:abstractNumId w:val="19"/>
  </w:num>
  <w:num w:numId="24" w16cid:durableId="1973755001">
    <w:abstractNumId w:val="42"/>
  </w:num>
  <w:num w:numId="25" w16cid:durableId="700864959">
    <w:abstractNumId w:val="12"/>
  </w:num>
  <w:num w:numId="26" w16cid:durableId="637689191">
    <w:abstractNumId w:val="3"/>
  </w:num>
  <w:num w:numId="27" w16cid:durableId="1430740600">
    <w:abstractNumId w:val="38"/>
  </w:num>
  <w:num w:numId="28" w16cid:durableId="1103845683">
    <w:abstractNumId w:val="20"/>
  </w:num>
  <w:num w:numId="29" w16cid:durableId="584189950">
    <w:abstractNumId w:val="39"/>
  </w:num>
  <w:num w:numId="30" w16cid:durableId="851339418">
    <w:abstractNumId w:val="11"/>
  </w:num>
  <w:num w:numId="31" w16cid:durableId="334453846">
    <w:abstractNumId w:val="7"/>
  </w:num>
  <w:num w:numId="32" w16cid:durableId="1119758437">
    <w:abstractNumId w:val="40"/>
  </w:num>
  <w:num w:numId="33" w16cid:durableId="1835802517">
    <w:abstractNumId w:val="30"/>
  </w:num>
  <w:num w:numId="34" w16cid:durableId="19553821">
    <w:abstractNumId w:val="16"/>
  </w:num>
  <w:num w:numId="35" w16cid:durableId="1088161842">
    <w:abstractNumId w:val="5"/>
  </w:num>
  <w:num w:numId="36" w16cid:durableId="2042589407">
    <w:abstractNumId w:val="45"/>
  </w:num>
  <w:num w:numId="37" w16cid:durableId="620772037">
    <w:abstractNumId w:val="22"/>
  </w:num>
  <w:num w:numId="38" w16cid:durableId="2146846376">
    <w:abstractNumId w:val="37"/>
  </w:num>
  <w:num w:numId="39" w16cid:durableId="912162196">
    <w:abstractNumId w:val="35"/>
  </w:num>
  <w:num w:numId="40" w16cid:durableId="944073714">
    <w:abstractNumId w:val="14"/>
  </w:num>
  <w:num w:numId="41" w16cid:durableId="841359393">
    <w:abstractNumId w:val="29"/>
  </w:num>
  <w:num w:numId="42" w16cid:durableId="1990474419">
    <w:abstractNumId w:val="9"/>
  </w:num>
  <w:num w:numId="43" w16cid:durableId="1131172290">
    <w:abstractNumId w:val="25"/>
  </w:num>
  <w:num w:numId="44" w16cid:durableId="324210426">
    <w:abstractNumId w:val="18"/>
  </w:num>
  <w:num w:numId="45" w16cid:durableId="888222065">
    <w:abstractNumId w:val="44"/>
  </w:num>
  <w:num w:numId="46" w16cid:durableId="15870293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4A2"/>
    <w:rsid w:val="00001BD8"/>
    <w:rsid w:val="0000336C"/>
    <w:rsid w:val="00003A49"/>
    <w:rsid w:val="00005451"/>
    <w:rsid w:val="000054AE"/>
    <w:rsid w:val="00007239"/>
    <w:rsid w:val="0001117B"/>
    <w:rsid w:val="00011C7A"/>
    <w:rsid w:val="00012736"/>
    <w:rsid w:val="0001277D"/>
    <w:rsid w:val="00012C81"/>
    <w:rsid w:val="00012E4B"/>
    <w:rsid w:val="00013677"/>
    <w:rsid w:val="00015FA8"/>
    <w:rsid w:val="0002357B"/>
    <w:rsid w:val="00026A15"/>
    <w:rsid w:val="0002771D"/>
    <w:rsid w:val="000318AC"/>
    <w:rsid w:val="00034492"/>
    <w:rsid w:val="00036F54"/>
    <w:rsid w:val="000400BE"/>
    <w:rsid w:val="000414CC"/>
    <w:rsid w:val="00044680"/>
    <w:rsid w:val="00045A2F"/>
    <w:rsid w:val="00046DBA"/>
    <w:rsid w:val="000549F6"/>
    <w:rsid w:val="00054EBA"/>
    <w:rsid w:val="0005538D"/>
    <w:rsid w:val="00055505"/>
    <w:rsid w:val="00055843"/>
    <w:rsid w:val="00063076"/>
    <w:rsid w:val="00064940"/>
    <w:rsid w:val="0007286A"/>
    <w:rsid w:val="00072C81"/>
    <w:rsid w:val="00073027"/>
    <w:rsid w:val="00073262"/>
    <w:rsid w:val="00081A68"/>
    <w:rsid w:val="000850DD"/>
    <w:rsid w:val="000871A4"/>
    <w:rsid w:val="0009083D"/>
    <w:rsid w:val="00094D4E"/>
    <w:rsid w:val="000971C0"/>
    <w:rsid w:val="000A00DE"/>
    <w:rsid w:val="000A54D4"/>
    <w:rsid w:val="000A6E0A"/>
    <w:rsid w:val="000A7DED"/>
    <w:rsid w:val="000B0CFD"/>
    <w:rsid w:val="000B2245"/>
    <w:rsid w:val="000B68FF"/>
    <w:rsid w:val="000C2092"/>
    <w:rsid w:val="000C4189"/>
    <w:rsid w:val="000C5E8F"/>
    <w:rsid w:val="000C7F84"/>
    <w:rsid w:val="000D390C"/>
    <w:rsid w:val="000D3B05"/>
    <w:rsid w:val="000D4B26"/>
    <w:rsid w:val="000D603F"/>
    <w:rsid w:val="000D69AE"/>
    <w:rsid w:val="000D6CA0"/>
    <w:rsid w:val="000D6DF8"/>
    <w:rsid w:val="000D771C"/>
    <w:rsid w:val="000E020D"/>
    <w:rsid w:val="000E2AE8"/>
    <w:rsid w:val="000E33C0"/>
    <w:rsid w:val="000E4172"/>
    <w:rsid w:val="000E41D9"/>
    <w:rsid w:val="000E584B"/>
    <w:rsid w:val="000E59DC"/>
    <w:rsid w:val="000E6ABD"/>
    <w:rsid w:val="000F0B4D"/>
    <w:rsid w:val="000F5732"/>
    <w:rsid w:val="000F595C"/>
    <w:rsid w:val="000F6285"/>
    <w:rsid w:val="000F7670"/>
    <w:rsid w:val="0010480F"/>
    <w:rsid w:val="00105725"/>
    <w:rsid w:val="00110D89"/>
    <w:rsid w:val="00111992"/>
    <w:rsid w:val="00117176"/>
    <w:rsid w:val="00123103"/>
    <w:rsid w:val="00125492"/>
    <w:rsid w:val="00130366"/>
    <w:rsid w:val="00130C5A"/>
    <w:rsid w:val="00131A80"/>
    <w:rsid w:val="00132EA2"/>
    <w:rsid w:val="001346EB"/>
    <w:rsid w:val="00135211"/>
    <w:rsid w:val="00141A4E"/>
    <w:rsid w:val="0014214C"/>
    <w:rsid w:val="00142368"/>
    <w:rsid w:val="0014576C"/>
    <w:rsid w:val="00145E6C"/>
    <w:rsid w:val="00146137"/>
    <w:rsid w:val="00151AA8"/>
    <w:rsid w:val="00152100"/>
    <w:rsid w:val="00152F94"/>
    <w:rsid w:val="00155EF0"/>
    <w:rsid w:val="00156063"/>
    <w:rsid w:val="00156ACD"/>
    <w:rsid w:val="00156C20"/>
    <w:rsid w:val="00157980"/>
    <w:rsid w:val="00161BF9"/>
    <w:rsid w:val="001670CF"/>
    <w:rsid w:val="001717D0"/>
    <w:rsid w:val="00171EBF"/>
    <w:rsid w:val="001722CE"/>
    <w:rsid w:val="00175616"/>
    <w:rsid w:val="00175865"/>
    <w:rsid w:val="0017592C"/>
    <w:rsid w:val="00177113"/>
    <w:rsid w:val="0018092D"/>
    <w:rsid w:val="00180E8C"/>
    <w:rsid w:val="00181FF3"/>
    <w:rsid w:val="0018293C"/>
    <w:rsid w:val="001829B1"/>
    <w:rsid w:val="00185CC4"/>
    <w:rsid w:val="00190911"/>
    <w:rsid w:val="00191239"/>
    <w:rsid w:val="00191245"/>
    <w:rsid w:val="001949B0"/>
    <w:rsid w:val="001962EB"/>
    <w:rsid w:val="001A32B3"/>
    <w:rsid w:val="001A36F3"/>
    <w:rsid w:val="001A3CF3"/>
    <w:rsid w:val="001A4DD2"/>
    <w:rsid w:val="001A5735"/>
    <w:rsid w:val="001A7E5F"/>
    <w:rsid w:val="001B1C52"/>
    <w:rsid w:val="001B26F5"/>
    <w:rsid w:val="001B3421"/>
    <w:rsid w:val="001B4565"/>
    <w:rsid w:val="001B7730"/>
    <w:rsid w:val="001C0DD1"/>
    <w:rsid w:val="001C1755"/>
    <w:rsid w:val="001C1991"/>
    <w:rsid w:val="001C21AE"/>
    <w:rsid w:val="001C371E"/>
    <w:rsid w:val="001C52BC"/>
    <w:rsid w:val="001C60F0"/>
    <w:rsid w:val="001C6304"/>
    <w:rsid w:val="001C7311"/>
    <w:rsid w:val="001C7AE1"/>
    <w:rsid w:val="001D0265"/>
    <w:rsid w:val="001D3ED2"/>
    <w:rsid w:val="001D4341"/>
    <w:rsid w:val="001D5DAB"/>
    <w:rsid w:val="001D6880"/>
    <w:rsid w:val="001D7F38"/>
    <w:rsid w:val="001E2683"/>
    <w:rsid w:val="001E4097"/>
    <w:rsid w:val="001E4D81"/>
    <w:rsid w:val="001E77CF"/>
    <w:rsid w:val="001E7EE2"/>
    <w:rsid w:val="001F040C"/>
    <w:rsid w:val="001F097B"/>
    <w:rsid w:val="001F0CBB"/>
    <w:rsid w:val="001F0D2A"/>
    <w:rsid w:val="001F238E"/>
    <w:rsid w:val="001F42E9"/>
    <w:rsid w:val="001F666D"/>
    <w:rsid w:val="00204E3A"/>
    <w:rsid w:val="00206359"/>
    <w:rsid w:val="00210761"/>
    <w:rsid w:val="00211785"/>
    <w:rsid w:val="00212751"/>
    <w:rsid w:val="00212E10"/>
    <w:rsid w:val="00214049"/>
    <w:rsid w:val="00214670"/>
    <w:rsid w:val="00214688"/>
    <w:rsid w:val="00214B22"/>
    <w:rsid w:val="00217110"/>
    <w:rsid w:val="00217224"/>
    <w:rsid w:val="002209C2"/>
    <w:rsid w:val="00221E75"/>
    <w:rsid w:val="00221F15"/>
    <w:rsid w:val="0022302F"/>
    <w:rsid w:val="00226FEC"/>
    <w:rsid w:val="00230392"/>
    <w:rsid w:val="0023056B"/>
    <w:rsid w:val="002314D8"/>
    <w:rsid w:val="00234D73"/>
    <w:rsid w:val="0023714C"/>
    <w:rsid w:val="002415DC"/>
    <w:rsid w:val="0024267C"/>
    <w:rsid w:val="00243069"/>
    <w:rsid w:val="0024372A"/>
    <w:rsid w:val="0024647A"/>
    <w:rsid w:val="002466F8"/>
    <w:rsid w:val="00250815"/>
    <w:rsid w:val="00251266"/>
    <w:rsid w:val="002542EF"/>
    <w:rsid w:val="00254C28"/>
    <w:rsid w:val="00256F00"/>
    <w:rsid w:val="00260518"/>
    <w:rsid w:val="00260E1D"/>
    <w:rsid w:val="00263B2C"/>
    <w:rsid w:val="00264333"/>
    <w:rsid w:val="002658DA"/>
    <w:rsid w:val="00265C28"/>
    <w:rsid w:val="00266202"/>
    <w:rsid w:val="00267491"/>
    <w:rsid w:val="0027016D"/>
    <w:rsid w:val="0027082A"/>
    <w:rsid w:val="00270E2E"/>
    <w:rsid w:val="00273208"/>
    <w:rsid w:val="002777A4"/>
    <w:rsid w:val="002813B2"/>
    <w:rsid w:val="00285CDB"/>
    <w:rsid w:val="00287107"/>
    <w:rsid w:val="00287F5F"/>
    <w:rsid w:val="002915D6"/>
    <w:rsid w:val="002938A2"/>
    <w:rsid w:val="002A05C4"/>
    <w:rsid w:val="002A48FE"/>
    <w:rsid w:val="002A6045"/>
    <w:rsid w:val="002A6C07"/>
    <w:rsid w:val="002A72E9"/>
    <w:rsid w:val="002B13A5"/>
    <w:rsid w:val="002B189E"/>
    <w:rsid w:val="002B66D6"/>
    <w:rsid w:val="002C011B"/>
    <w:rsid w:val="002C48D6"/>
    <w:rsid w:val="002D21CA"/>
    <w:rsid w:val="002D2C7A"/>
    <w:rsid w:val="002D4317"/>
    <w:rsid w:val="002D53AA"/>
    <w:rsid w:val="002D5893"/>
    <w:rsid w:val="002D5D57"/>
    <w:rsid w:val="002D62D9"/>
    <w:rsid w:val="002D6E3C"/>
    <w:rsid w:val="002D7D07"/>
    <w:rsid w:val="002D7FE4"/>
    <w:rsid w:val="002E0322"/>
    <w:rsid w:val="002E0406"/>
    <w:rsid w:val="002E1712"/>
    <w:rsid w:val="002E58AC"/>
    <w:rsid w:val="002E591D"/>
    <w:rsid w:val="002E5F83"/>
    <w:rsid w:val="002E6034"/>
    <w:rsid w:val="002E77D8"/>
    <w:rsid w:val="002F2142"/>
    <w:rsid w:val="002F38F1"/>
    <w:rsid w:val="002F67E3"/>
    <w:rsid w:val="002F709C"/>
    <w:rsid w:val="00302BFE"/>
    <w:rsid w:val="0030304D"/>
    <w:rsid w:val="00303C2B"/>
    <w:rsid w:val="00305C19"/>
    <w:rsid w:val="003062D5"/>
    <w:rsid w:val="00306847"/>
    <w:rsid w:val="003068CD"/>
    <w:rsid w:val="00307373"/>
    <w:rsid w:val="00307BF7"/>
    <w:rsid w:val="0031242D"/>
    <w:rsid w:val="003125BD"/>
    <w:rsid w:val="00316599"/>
    <w:rsid w:val="00323685"/>
    <w:rsid w:val="00324304"/>
    <w:rsid w:val="003342C3"/>
    <w:rsid w:val="00336A26"/>
    <w:rsid w:val="00337090"/>
    <w:rsid w:val="0033736F"/>
    <w:rsid w:val="00342E47"/>
    <w:rsid w:val="00343A35"/>
    <w:rsid w:val="00344997"/>
    <w:rsid w:val="00345CE6"/>
    <w:rsid w:val="003501DD"/>
    <w:rsid w:val="00350875"/>
    <w:rsid w:val="00350DEC"/>
    <w:rsid w:val="003510F6"/>
    <w:rsid w:val="00352A3C"/>
    <w:rsid w:val="00357055"/>
    <w:rsid w:val="00357623"/>
    <w:rsid w:val="00357F1A"/>
    <w:rsid w:val="00357F4E"/>
    <w:rsid w:val="00360CB1"/>
    <w:rsid w:val="00360DCE"/>
    <w:rsid w:val="00360DD1"/>
    <w:rsid w:val="0036256F"/>
    <w:rsid w:val="00364562"/>
    <w:rsid w:val="00366CB7"/>
    <w:rsid w:val="0037112E"/>
    <w:rsid w:val="00372D99"/>
    <w:rsid w:val="003749D2"/>
    <w:rsid w:val="00374FD1"/>
    <w:rsid w:val="00376771"/>
    <w:rsid w:val="00377884"/>
    <w:rsid w:val="00380703"/>
    <w:rsid w:val="00383D9D"/>
    <w:rsid w:val="00386207"/>
    <w:rsid w:val="00390629"/>
    <w:rsid w:val="003914D2"/>
    <w:rsid w:val="00392F55"/>
    <w:rsid w:val="00393BA5"/>
    <w:rsid w:val="00393BC2"/>
    <w:rsid w:val="00395571"/>
    <w:rsid w:val="0039634C"/>
    <w:rsid w:val="00396B24"/>
    <w:rsid w:val="00397F5C"/>
    <w:rsid w:val="003A034E"/>
    <w:rsid w:val="003A0F60"/>
    <w:rsid w:val="003A2DA9"/>
    <w:rsid w:val="003A46BA"/>
    <w:rsid w:val="003B094E"/>
    <w:rsid w:val="003B110B"/>
    <w:rsid w:val="003B1782"/>
    <w:rsid w:val="003B453D"/>
    <w:rsid w:val="003B4FE9"/>
    <w:rsid w:val="003B590B"/>
    <w:rsid w:val="003B5C98"/>
    <w:rsid w:val="003B5EAC"/>
    <w:rsid w:val="003B6A1B"/>
    <w:rsid w:val="003B798E"/>
    <w:rsid w:val="003C042C"/>
    <w:rsid w:val="003C366D"/>
    <w:rsid w:val="003C40C8"/>
    <w:rsid w:val="003C4F45"/>
    <w:rsid w:val="003C608A"/>
    <w:rsid w:val="003C7C87"/>
    <w:rsid w:val="003D081F"/>
    <w:rsid w:val="003D23AD"/>
    <w:rsid w:val="003D359B"/>
    <w:rsid w:val="003D4455"/>
    <w:rsid w:val="003D5EA7"/>
    <w:rsid w:val="003D75A1"/>
    <w:rsid w:val="003E0BC4"/>
    <w:rsid w:val="003E34FD"/>
    <w:rsid w:val="003E489D"/>
    <w:rsid w:val="003E65EA"/>
    <w:rsid w:val="003F00EF"/>
    <w:rsid w:val="003F0E85"/>
    <w:rsid w:val="003F1669"/>
    <w:rsid w:val="003F4951"/>
    <w:rsid w:val="00402D71"/>
    <w:rsid w:val="00405CFD"/>
    <w:rsid w:val="004100C0"/>
    <w:rsid w:val="00411702"/>
    <w:rsid w:val="00411E9E"/>
    <w:rsid w:val="00412E10"/>
    <w:rsid w:val="004138D6"/>
    <w:rsid w:val="004142E0"/>
    <w:rsid w:val="004154A3"/>
    <w:rsid w:val="0041569C"/>
    <w:rsid w:val="004167E0"/>
    <w:rsid w:val="00426657"/>
    <w:rsid w:val="0042760F"/>
    <w:rsid w:val="00427D7C"/>
    <w:rsid w:val="00430700"/>
    <w:rsid w:val="00431673"/>
    <w:rsid w:val="004318A4"/>
    <w:rsid w:val="00432ACB"/>
    <w:rsid w:val="00435C30"/>
    <w:rsid w:val="0043639F"/>
    <w:rsid w:val="004410F5"/>
    <w:rsid w:val="004443AC"/>
    <w:rsid w:val="0045295D"/>
    <w:rsid w:val="004534E7"/>
    <w:rsid w:val="00453FC9"/>
    <w:rsid w:val="004548D0"/>
    <w:rsid w:val="00457C1B"/>
    <w:rsid w:val="0046248A"/>
    <w:rsid w:val="004651C4"/>
    <w:rsid w:val="00465636"/>
    <w:rsid w:val="0046603E"/>
    <w:rsid w:val="00467E65"/>
    <w:rsid w:val="0047077F"/>
    <w:rsid w:val="00471018"/>
    <w:rsid w:val="00471C20"/>
    <w:rsid w:val="00471DD1"/>
    <w:rsid w:val="00475C42"/>
    <w:rsid w:val="00475DC0"/>
    <w:rsid w:val="00475FD4"/>
    <w:rsid w:val="00477D3A"/>
    <w:rsid w:val="00480BF6"/>
    <w:rsid w:val="004816C8"/>
    <w:rsid w:val="00482EA7"/>
    <w:rsid w:val="004840D2"/>
    <w:rsid w:val="0048586E"/>
    <w:rsid w:val="004859D6"/>
    <w:rsid w:val="00485BFB"/>
    <w:rsid w:val="004871D1"/>
    <w:rsid w:val="00487419"/>
    <w:rsid w:val="00487AB9"/>
    <w:rsid w:val="00487EBC"/>
    <w:rsid w:val="004930DA"/>
    <w:rsid w:val="00493A82"/>
    <w:rsid w:val="004947F7"/>
    <w:rsid w:val="00496AC9"/>
    <w:rsid w:val="00497B86"/>
    <w:rsid w:val="00497DCD"/>
    <w:rsid w:val="004A037F"/>
    <w:rsid w:val="004A0AD8"/>
    <w:rsid w:val="004A5B9F"/>
    <w:rsid w:val="004A62A6"/>
    <w:rsid w:val="004A6FD4"/>
    <w:rsid w:val="004A738A"/>
    <w:rsid w:val="004A76C3"/>
    <w:rsid w:val="004B00A2"/>
    <w:rsid w:val="004B17F6"/>
    <w:rsid w:val="004B5682"/>
    <w:rsid w:val="004B68CC"/>
    <w:rsid w:val="004B6CA6"/>
    <w:rsid w:val="004C0961"/>
    <w:rsid w:val="004C0F03"/>
    <w:rsid w:val="004C2AD1"/>
    <w:rsid w:val="004C2B33"/>
    <w:rsid w:val="004C39A1"/>
    <w:rsid w:val="004C466E"/>
    <w:rsid w:val="004C56BF"/>
    <w:rsid w:val="004C6329"/>
    <w:rsid w:val="004C6A1D"/>
    <w:rsid w:val="004D0A46"/>
    <w:rsid w:val="004D2760"/>
    <w:rsid w:val="004D6B6D"/>
    <w:rsid w:val="004D779D"/>
    <w:rsid w:val="004E0251"/>
    <w:rsid w:val="004E0395"/>
    <w:rsid w:val="004E3939"/>
    <w:rsid w:val="004E3D93"/>
    <w:rsid w:val="004E485D"/>
    <w:rsid w:val="004E5EC9"/>
    <w:rsid w:val="004E68C9"/>
    <w:rsid w:val="004E776D"/>
    <w:rsid w:val="004F0112"/>
    <w:rsid w:val="004F531C"/>
    <w:rsid w:val="004F5502"/>
    <w:rsid w:val="004F56E7"/>
    <w:rsid w:val="004F6CDC"/>
    <w:rsid w:val="00501A52"/>
    <w:rsid w:val="0050424A"/>
    <w:rsid w:val="00504BFF"/>
    <w:rsid w:val="0050580C"/>
    <w:rsid w:val="0050609B"/>
    <w:rsid w:val="00511EBF"/>
    <w:rsid w:val="0051234A"/>
    <w:rsid w:val="0051358F"/>
    <w:rsid w:val="00513AEB"/>
    <w:rsid w:val="005148FE"/>
    <w:rsid w:val="00515C98"/>
    <w:rsid w:val="00516CE7"/>
    <w:rsid w:val="005215EF"/>
    <w:rsid w:val="00521B86"/>
    <w:rsid w:val="00522304"/>
    <w:rsid w:val="0052282D"/>
    <w:rsid w:val="00522847"/>
    <w:rsid w:val="00524E0B"/>
    <w:rsid w:val="00526F0B"/>
    <w:rsid w:val="005277B5"/>
    <w:rsid w:val="00527FDB"/>
    <w:rsid w:val="0053313F"/>
    <w:rsid w:val="00533373"/>
    <w:rsid w:val="00533FDD"/>
    <w:rsid w:val="00537012"/>
    <w:rsid w:val="00540A76"/>
    <w:rsid w:val="00540E73"/>
    <w:rsid w:val="005459E7"/>
    <w:rsid w:val="00547145"/>
    <w:rsid w:val="00551967"/>
    <w:rsid w:val="0055228B"/>
    <w:rsid w:val="00553C2C"/>
    <w:rsid w:val="00556AC1"/>
    <w:rsid w:val="00560EF2"/>
    <w:rsid w:val="00561BA3"/>
    <w:rsid w:val="0056213C"/>
    <w:rsid w:val="00565ADF"/>
    <w:rsid w:val="005660C5"/>
    <w:rsid w:val="00566EE3"/>
    <w:rsid w:val="00570800"/>
    <w:rsid w:val="0057088A"/>
    <w:rsid w:val="0057166F"/>
    <w:rsid w:val="00571682"/>
    <w:rsid w:val="005731E4"/>
    <w:rsid w:val="00575494"/>
    <w:rsid w:val="005819D3"/>
    <w:rsid w:val="00581FFD"/>
    <w:rsid w:val="00582DC7"/>
    <w:rsid w:val="005837DC"/>
    <w:rsid w:val="005838F9"/>
    <w:rsid w:val="00583C3F"/>
    <w:rsid w:val="00585028"/>
    <w:rsid w:val="005912FA"/>
    <w:rsid w:val="0059289A"/>
    <w:rsid w:val="00592B0B"/>
    <w:rsid w:val="00594B5F"/>
    <w:rsid w:val="0059562A"/>
    <w:rsid w:val="00597606"/>
    <w:rsid w:val="005A030B"/>
    <w:rsid w:val="005A0B09"/>
    <w:rsid w:val="005A3018"/>
    <w:rsid w:val="005A481C"/>
    <w:rsid w:val="005A53F1"/>
    <w:rsid w:val="005A54E4"/>
    <w:rsid w:val="005A5717"/>
    <w:rsid w:val="005A619B"/>
    <w:rsid w:val="005A63D4"/>
    <w:rsid w:val="005A65C2"/>
    <w:rsid w:val="005A6C54"/>
    <w:rsid w:val="005B071A"/>
    <w:rsid w:val="005B1A8C"/>
    <w:rsid w:val="005B5B44"/>
    <w:rsid w:val="005B67FB"/>
    <w:rsid w:val="005C1D56"/>
    <w:rsid w:val="005C327F"/>
    <w:rsid w:val="005C340F"/>
    <w:rsid w:val="005C66A6"/>
    <w:rsid w:val="005C74CA"/>
    <w:rsid w:val="005D0387"/>
    <w:rsid w:val="005D31A9"/>
    <w:rsid w:val="005E0FCE"/>
    <w:rsid w:val="005E21F2"/>
    <w:rsid w:val="005E2C12"/>
    <w:rsid w:val="005E3B86"/>
    <w:rsid w:val="005E55E2"/>
    <w:rsid w:val="005E5E82"/>
    <w:rsid w:val="005E6A06"/>
    <w:rsid w:val="005F2A66"/>
    <w:rsid w:val="005F4D82"/>
    <w:rsid w:val="005F6401"/>
    <w:rsid w:val="005F6691"/>
    <w:rsid w:val="005F6717"/>
    <w:rsid w:val="005F6C92"/>
    <w:rsid w:val="005F7ECC"/>
    <w:rsid w:val="00603020"/>
    <w:rsid w:val="00604B8B"/>
    <w:rsid w:val="00606026"/>
    <w:rsid w:val="00610543"/>
    <w:rsid w:val="00616177"/>
    <w:rsid w:val="00616CBF"/>
    <w:rsid w:val="00621A7C"/>
    <w:rsid w:val="006229F2"/>
    <w:rsid w:val="006244B5"/>
    <w:rsid w:val="0062511C"/>
    <w:rsid w:val="00630DE9"/>
    <w:rsid w:val="006322A3"/>
    <w:rsid w:val="00640494"/>
    <w:rsid w:val="0064089F"/>
    <w:rsid w:val="006429F3"/>
    <w:rsid w:val="00642F90"/>
    <w:rsid w:val="00644DA2"/>
    <w:rsid w:val="006452C1"/>
    <w:rsid w:val="0065087E"/>
    <w:rsid w:val="00652DEA"/>
    <w:rsid w:val="00654CF2"/>
    <w:rsid w:val="006576F1"/>
    <w:rsid w:val="00660D7E"/>
    <w:rsid w:val="006622D6"/>
    <w:rsid w:val="006633E2"/>
    <w:rsid w:val="006637D2"/>
    <w:rsid w:val="0066548B"/>
    <w:rsid w:val="006721DD"/>
    <w:rsid w:val="00673595"/>
    <w:rsid w:val="00673EB1"/>
    <w:rsid w:val="0067560F"/>
    <w:rsid w:val="006765F9"/>
    <w:rsid w:val="00676C89"/>
    <w:rsid w:val="006803FE"/>
    <w:rsid w:val="006804B6"/>
    <w:rsid w:val="00682A47"/>
    <w:rsid w:val="00683161"/>
    <w:rsid w:val="0068492C"/>
    <w:rsid w:val="00686984"/>
    <w:rsid w:val="00687B85"/>
    <w:rsid w:val="00690192"/>
    <w:rsid w:val="00691528"/>
    <w:rsid w:val="00692738"/>
    <w:rsid w:val="00693E95"/>
    <w:rsid w:val="0069609F"/>
    <w:rsid w:val="006960E7"/>
    <w:rsid w:val="00697E18"/>
    <w:rsid w:val="006A1648"/>
    <w:rsid w:val="006A34B5"/>
    <w:rsid w:val="006A7272"/>
    <w:rsid w:val="006B0BC7"/>
    <w:rsid w:val="006B1211"/>
    <w:rsid w:val="006B22D9"/>
    <w:rsid w:val="006B56DC"/>
    <w:rsid w:val="006B7228"/>
    <w:rsid w:val="006B7356"/>
    <w:rsid w:val="006B7375"/>
    <w:rsid w:val="006C3C8B"/>
    <w:rsid w:val="006D1326"/>
    <w:rsid w:val="006D1BE0"/>
    <w:rsid w:val="006D4B0E"/>
    <w:rsid w:val="006D5976"/>
    <w:rsid w:val="006D5E95"/>
    <w:rsid w:val="006D67C9"/>
    <w:rsid w:val="006E0318"/>
    <w:rsid w:val="006E1A6C"/>
    <w:rsid w:val="006E221A"/>
    <w:rsid w:val="006E2D5D"/>
    <w:rsid w:val="006E42AA"/>
    <w:rsid w:val="006E5127"/>
    <w:rsid w:val="006E5B33"/>
    <w:rsid w:val="006E5D37"/>
    <w:rsid w:val="006E6F13"/>
    <w:rsid w:val="006E7813"/>
    <w:rsid w:val="006F1A3E"/>
    <w:rsid w:val="006F4F93"/>
    <w:rsid w:val="0070075B"/>
    <w:rsid w:val="00703D5A"/>
    <w:rsid w:val="007056FC"/>
    <w:rsid w:val="00710ACC"/>
    <w:rsid w:val="00712FFB"/>
    <w:rsid w:val="00716CD5"/>
    <w:rsid w:val="007222CD"/>
    <w:rsid w:val="0072482F"/>
    <w:rsid w:val="00725BBA"/>
    <w:rsid w:val="00730991"/>
    <w:rsid w:val="00731C5E"/>
    <w:rsid w:val="0073220E"/>
    <w:rsid w:val="00735B06"/>
    <w:rsid w:val="00737849"/>
    <w:rsid w:val="00745A63"/>
    <w:rsid w:val="0074620B"/>
    <w:rsid w:val="00747675"/>
    <w:rsid w:val="00747C26"/>
    <w:rsid w:val="007517C6"/>
    <w:rsid w:val="00753927"/>
    <w:rsid w:val="00753F6F"/>
    <w:rsid w:val="00754132"/>
    <w:rsid w:val="0075639E"/>
    <w:rsid w:val="00757B44"/>
    <w:rsid w:val="00757F36"/>
    <w:rsid w:val="007606CC"/>
    <w:rsid w:val="0076113B"/>
    <w:rsid w:val="00762EDA"/>
    <w:rsid w:val="00763797"/>
    <w:rsid w:val="0076566A"/>
    <w:rsid w:val="007658B8"/>
    <w:rsid w:val="00765C7A"/>
    <w:rsid w:val="007677F6"/>
    <w:rsid w:val="00767CAB"/>
    <w:rsid w:val="0077760E"/>
    <w:rsid w:val="00780163"/>
    <w:rsid w:val="00780C7B"/>
    <w:rsid w:val="00783B78"/>
    <w:rsid w:val="00786CAD"/>
    <w:rsid w:val="0078745E"/>
    <w:rsid w:val="00790A48"/>
    <w:rsid w:val="00792FFF"/>
    <w:rsid w:val="00794784"/>
    <w:rsid w:val="00794EC3"/>
    <w:rsid w:val="00795450"/>
    <w:rsid w:val="00797FCB"/>
    <w:rsid w:val="007A05D2"/>
    <w:rsid w:val="007A1DA4"/>
    <w:rsid w:val="007A2090"/>
    <w:rsid w:val="007A3992"/>
    <w:rsid w:val="007A3FCC"/>
    <w:rsid w:val="007A6766"/>
    <w:rsid w:val="007B01C5"/>
    <w:rsid w:val="007B158C"/>
    <w:rsid w:val="007B378A"/>
    <w:rsid w:val="007B7268"/>
    <w:rsid w:val="007C0D86"/>
    <w:rsid w:val="007C1B69"/>
    <w:rsid w:val="007C1CF2"/>
    <w:rsid w:val="007C3F61"/>
    <w:rsid w:val="007C6E0B"/>
    <w:rsid w:val="007C71BA"/>
    <w:rsid w:val="007D20C3"/>
    <w:rsid w:val="007D5657"/>
    <w:rsid w:val="007D66A3"/>
    <w:rsid w:val="007E1F72"/>
    <w:rsid w:val="007E5FA8"/>
    <w:rsid w:val="007E636B"/>
    <w:rsid w:val="007E71C3"/>
    <w:rsid w:val="007E72E1"/>
    <w:rsid w:val="007E7C4B"/>
    <w:rsid w:val="007F620E"/>
    <w:rsid w:val="007F643C"/>
    <w:rsid w:val="007F6CF5"/>
    <w:rsid w:val="00800BC1"/>
    <w:rsid w:val="00801406"/>
    <w:rsid w:val="00802101"/>
    <w:rsid w:val="00802701"/>
    <w:rsid w:val="00803642"/>
    <w:rsid w:val="00806E4B"/>
    <w:rsid w:val="008073DC"/>
    <w:rsid w:val="00811DB1"/>
    <w:rsid w:val="008131C9"/>
    <w:rsid w:val="00813C52"/>
    <w:rsid w:val="00813CE6"/>
    <w:rsid w:val="00814EE0"/>
    <w:rsid w:val="00815F1F"/>
    <w:rsid w:val="0081626F"/>
    <w:rsid w:val="00816EEE"/>
    <w:rsid w:val="00817C12"/>
    <w:rsid w:val="00822817"/>
    <w:rsid w:val="008238EE"/>
    <w:rsid w:val="00825C78"/>
    <w:rsid w:val="00826B5E"/>
    <w:rsid w:val="00831652"/>
    <w:rsid w:val="008320F5"/>
    <w:rsid w:val="0083350A"/>
    <w:rsid w:val="0083442F"/>
    <w:rsid w:val="0083518F"/>
    <w:rsid w:val="00840785"/>
    <w:rsid w:val="00840EF3"/>
    <w:rsid w:val="0084358F"/>
    <w:rsid w:val="00843C03"/>
    <w:rsid w:val="00843F59"/>
    <w:rsid w:val="0084486D"/>
    <w:rsid w:val="008451D8"/>
    <w:rsid w:val="0084596A"/>
    <w:rsid w:val="00847AF5"/>
    <w:rsid w:val="008520D0"/>
    <w:rsid w:val="00854CC1"/>
    <w:rsid w:val="00855FD7"/>
    <w:rsid w:val="00860979"/>
    <w:rsid w:val="008611E1"/>
    <w:rsid w:val="00864D61"/>
    <w:rsid w:val="0086557E"/>
    <w:rsid w:val="00866010"/>
    <w:rsid w:val="00866FCB"/>
    <w:rsid w:val="00867C69"/>
    <w:rsid w:val="00867C73"/>
    <w:rsid w:val="00873986"/>
    <w:rsid w:val="00874EED"/>
    <w:rsid w:val="00875DFF"/>
    <w:rsid w:val="00875EF6"/>
    <w:rsid w:val="00880855"/>
    <w:rsid w:val="0088111C"/>
    <w:rsid w:val="00883CCD"/>
    <w:rsid w:val="008844B6"/>
    <w:rsid w:val="0088495F"/>
    <w:rsid w:val="00884F5C"/>
    <w:rsid w:val="00885956"/>
    <w:rsid w:val="00886869"/>
    <w:rsid w:val="00890F9E"/>
    <w:rsid w:val="00891FC7"/>
    <w:rsid w:val="008936E4"/>
    <w:rsid w:val="008939C6"/>
    <w:rsid w:val="00893EDD"/>
    <w:rsid w:val="008964B4"/>
    <w:rsid w:val="0089658E"/>
    <w:rsid w:val="008A1673"/>
    <w:rsid w:val="008A3ABA"/>
    <w:rsid w:val="008A60B3"/>
    <w:rsid w:val="008A7072"/>
    <w:rsid w:val="008A719C"/>
    <w:rsid w:val="008B1E48"/>
    <w:rsid w:val="008B67E2"/>
    <w:rsid w:val="008B7F2D"/>
    <w:rsid w:val="008C0824"/>
    <w:rsid w:val="008C09F7"/>
    <w:rsid w:val="008C2208"/>
    <w:rsid w:val="008C3831"/>
    <w:rsid w:val="008C40C6"/>
    <w:rsid w:val="008C410E"/>
    <w:rsid w:val="008C523E"/>
    <w:rsid w:val="008D0270"/>
    <w:rsid w:val="008D07A0"/>
    <w:rsid w:val="008D249C"/>
    <w:rsid w:val="008D64CF"/>
    <w:rsid w:val="008D6735"/>
    <w:rsid w:val="008D68CC"/>
    <w:rsid w:val="008E182E"/>
    <w:rsid w:val="008E1AFF"/>
    <w:rsid w:val="008E3450"/>
    <w:rsid w:val="008E3D14"/>
    <w:rsid w:val="008E4336"/>
    <w:rsid w:val="008E4657"/>
    <w:rsid w:val="008E6034"/>
    <w:rsid w:val="008E6778"/>
    <w:rsid w:val="008F68CD"/>
    <w:rsid w:val="00903C95"/>
    <w:rsid w:val="009042CA"/>
    <w:rsid w:val="00904704"/>
    <w:rsid w:val="00905D74"/>
    <w:rsid w:val="00905EC6"/>
    <w:rsid w:val="00910CB8"/>
    <w:rsid w:val="009134DB"/>
    <w:rsid w:val="009137B4"/>
    <w:rsid w:val="00913B6D"/>
    <w:rsid w:val="00915118"/>
    <w:rsid w:val="00916E7A"/>
    <w:rsid w:val="0091756F"/>
    <w:rsid w:val="0092045E"/>
    <w:rsid w:val="00922396"/>
    <w:rsid w:val="00922AB8"/>
    <w:rsid w:val="00925FAB"/>
    <w:rsid w:val="0092664D"/>
    <w:rsid w:val="009315D6"/>
    <w:rsid w:val="00932421"/>
    <w:rsid w:val="00933996"/>
    <w:rsid w:val="00937E1D"/>
    <w:rsid w:val="00940032"/>
    <w:rsid w:val="009402D9"/>
    <w:rsid w:val="009437A6"/>
    <w:rsid w:val="00943E7C"/>
    <w:rsid w:val="0095144D"/>
    <w:rsid w:val="00951AD2"/>
    <w:rsid w:val="009527DF"/>
    <w:rsid w:val="00952883"/>
    <w:rsid w:val="009535AC"/>
    <w:rsid w:val="009538E4"/>
    <w:rsid w:val="00955BE8"/>
    <w:rsid w:val="00956400"/>
    <w:rsid w:val="00956EF4"/>
    <w:rsid w:val="0096096E"/>
    <w:rsid w:val="00962F67"/>
    <w:rsid w:val="00963399"/>
    <w:rsid w:val="009634CF"/>
    <w:rsid w:val="00963976"/>
    <w:rsid w:val="00963EEF"/>
    <w:rsid w:val="00980EB9"/>
    <w:rsid w:val="0098102F"/>
    <w:rsid w:val="00981EAC"/>
    <w:rsid w:val="00984258"/>
    <w:rsid w:val="009856F8"/>
    <w:rsid w:val="00987321"/>
    <w:rsid w:val="009914BA"/>
    <w:rsid w:val="00992BAF"/>
    <w:rsid w:val="0099420C"/>
    <w:rsid w:val="009947AB"/>
    <w:rsid w:val="00996D1E"/>
    <w:rsid w:val="009A3222"/>
    <w:rsid w:val="009A3332"/>
    <w:rsid w:val="009A422F"/>
    <w:rsid w:val="009A51C8"/>
    <w:rsid w:val="009A55A8"/>
    <w:rsid w:val="009A62F6"/>
    <w:rsid w:val="009B1735"/>
    <w:rsid w:val="009B2BAE"/>
    <w:rsid w:val="009B4E95"/>
    <w:rsid w:val="009B64F4"/>
    <w:rsid w:val="009C0282"/>
    <w:rsid w:val="009C2051"/>
    <w:rsid w:val="009C2C05"/>
    <w:rsid w:val="009D24A4"/>
    <w:rsid w:val="009D30C2"/>
    <w:rsid w:val="009E16D1"/>
    <w:rsid w:val="009E1C18"/>
    <w:rsid w:val="009E3FE7"/>
    <w:rsid w:val="009E48E4"/>
    <w:rsid w:val="009F019A"/>
    <w:rsid w:val="009F08BB"/>
    <w:rsid w:val="009F2032"/>
    <w:rsid w:val="009F6C30"/>
    <w:rsid w:val="00A0185F"/>
    <w:rsid w:val="00A01BEC"/>
    <w:rsid w:val="00A03E90"/>
    <w:rsid w:val="00A05D65"/>
    <w:rsid w:val="00A07A96"/>
    <w:rsid w:val="00A14AF9"/>
    <w:rsid w:val="00A14D4C"/>
    <w:rsid w:val="00A150D8"/>
    <w:rsid w:val="00A2060E"/>
    <w:rsid w:val="00A22048"/>
    <w:rsid w:val="00A222E2"/>
    <w:rsid w:val="00A23930"/>
    <w:rsid w:val="00A23AB6"/>
    <w:rsid w:val="00A24E91"/>
    <w:rsid w:val="00A265A2"/>
    <w:rsid w:val="00A3076B"/>
    <w:rsid w:val="00A30DDD"/>
    <w:rsid w:val="00A319DE"/>
    <w:rsid w:val="00A31D1C"/>
    <w:rsid w:val="00A3701B"/>
    <w:rsid w:val="00A406FA"/>
    <w:rsid w:val="00A41AA8"/>
    <w:rsid w:val="00A43DD4"/>
    <w:rsid w:val="00A533C0"/>
    <w:rsid w:val="00A60203"/>
    <w:rsid w:val="00A61DA6"/>
    <w:rsid w:val="00A62D6A"/>
    <w:rsid w:val="00A63C66"/>
    <w:rsid w:val="00A64C90"/>
    <w:rsid w:val="00A67E89"/>
    <w:rsid w:val="00A71195"/>
    <w:rsid w:val="00A71C7D"/>
    <w:rsid w:val="00A75D2D"/>
    <w:rsid w:val="00A76315"/>
    <w:rsid w:val="00A834CC"/>
    <w:rsid w:val="00A84D00"/>
    <w:rsid w:val="00A86489"/>
    <w:rsid w:val="00A86906"/>
    <w:rsid w:val="00A86988"/>
    <w:rsid w:val="00A910F1"/>
    <w:rsid w:val="00A92701"/>
    <w:rsid w:val="00A92D0B"/>
    <w:rsid w:val="00A96FC6"/>
    <w:rsid w:val="00A97C11"/>
    <w:rsid w:val="00AA0262"/>
    <w:rsid w:val="00AA1740"/>
    <w:rsid w:val="00AA1E02"/>
    <w:rsid w:val="00AA2DF1"/>
    <w:rsid w:val="00AA2E1E"/>
    <w:rsid w:val="00AA5CCB"/>
    <w:rsid w:val="00AA7CE1"/>
    <w:rsid w:val="00AB264D"/>
    <w:rsid w:val="00AB2F7F"/>
    <w:rsid w:val="00AB3510"/>
    <w:rsid w:val="00AB40B8"/>
    <w:rsid w:val="00AB5FE2"/>
    <w:rsid w:val="00AB6B1E"/>
    <w:rsid w:val="00AC0BD6"/>
    <w:rsid w:val="00AC19C0"/>
    <w:rsid w:val="00AC24B2"/>
    <w:rsid w:val="00AC3F4B"/>
    <w:rsid w:val="00AC54DE"/>
    <w:rsid w:val="00AC5A4B"/>
    <w:rsid w:val="00AD02FD"/>
    <w:rsid w:val="00AD1ECE"/>
    <w:rsid w:val="00AD5773"/>
    <w:rsid w:val="00AD5797"/>
    <w:rsid w:val="00AD583F"/>
    <w:rsid w:val="00AD6E24"/>
    <w:rsid w:val="00AD702B"/>
    <w:rsid w:val="00AD742A"/>
    <w:rsid w:val="00AE036E"/>
    <w:rsid w:val="00AE0F88"/>
    <w:rsid w:val="00AE20EF"/>
    <w:rsid w:val="00AE2FE7"/>
    <w:rsid w:val="00AE396A"/>
    <w:rsid w:val="00AE3D76"/>
    <w:rsid w:val="00AE429F"/>
    <w:rsid w:val="00AE6488"/>
    <w:rsid w:val="00AF3C6D"/>
    <w:rsid w:val="00AF61A9"/>
    <w:rsid w:val="00AF7857"/>
    <w:rsid w:val="00B0058E"/>
    <w:rsid w:val="00B00BCD"/>
    <w:rsid w:val="00B00CD9"/>
    <w:rsid w:val="00B01B43"/>
    <w:rsid w:val="00B03003"/>
    <w:rsid w:val="00B036F1"/>
    <w:rsid w:val="00B03AF1"/>
    <w:rsid w:val="00B05C23"/>
    <w:rsid w:val="00B07164"/>
    <w:rsid w:val="00B1116C"/>
    <w:rsid w:val="00B13053"/>
    <w:rsid w:val="00B13269"/>
    <w:rsid w:val="00B1593B"/>
    <w:rsid w:val="00B17005"/>
    <w:rsid w:val="00B17C0E"/>
    <w:rsid w:val="00B21A4D"/>
    <w:rsid w:val="00B233E5"/>
    <w:rsid w:val="00B23933"/>
    <w:rsid w:val="00B248B9"/>
    <w:rsid w:val="00B25025"/>
    <w:rsid w:val="00B25CF4"/>
    <w:rsid w:val="00B26EE2"/>
    <w:rsid w:val="00B27320"/>
    <w:rsid w:val="00B30F84"/>
    <w:rsid w:val="00B312DA"/>
    <w:rsid w:val="00B31565"/>
    <w:rsid w:val="00B316A3"/>
    <w:rsid w:val="00B324C0"/>
    <w:rsid w:val="00B32B80"/>
    <w:rsid w:val="00B33A45"/>
    <w:rsid w:val="00B33EAD"/>
    <w:rsid w:val="00B35E6A"/>
    <w:rsid w:val="00B36039"/>
    <w:rsid w:val="00B360CE"/>
    <w:rsid w:val="00B41664"/>
    <w:rsid w:val="00B4642D"/>
    <w:rsid w:val="00B51C2B"/>
    <w:rsid w:val="00B51F03"/>
    <w:rsid w:val="00B5215E"/>
    <w:rsid w:val="00B54991"/>
    <w:rsid w:val="00B551FA"/>
    <w:rsid w:val="00B55CCD"/>
    <w:rsid w:val="00B55D78"/>
    <w:rsid w:val="00B563B8"/>
    <w:rsid w:val="00B56A75"/>
    <w:rsid w:val="00B56E07"/>
    <w:rsid w:val="00B57D7F"/>
    <w:rsid w:val="00B62AC0"/>
    <w:rsid w:val="00B66CF5"/>
    <w:rsid w:val="00B67800"/>
    <w:rsid w:val="00B7403E"/>
    <w:rsid w:val="00B803D5"/>
    <w:rsid w:val="00B8133B"/>
    <w:rsid w:val="00B82A44"/>
    <w:rsid w:val="00B83FEF"/>
    <w:rsid w:val="00B8775D"/>
    <w:rsid w:val="00B90913"/>
    <w:rsid w:val="00B91673"/>
    <w:rsid w:val="00B92E8F"/>
    <w:rsid w:val="00B95C3B"/>
    <w:rsid w:val="00B975AF"/>
    <w:rsid w:val="00B97A6A"/>
    <w:rsid w:val="00BA548C"/>
    <w:rsid w:val="00BA7B32"/>
    <w:rsid w:val="00BB066B"/>
    <w:rsid w:val="00BB1079"/>
    <w:rsid w:val="00BB2230"/>
    <w:rsid w:val="00BB49BB"/>
    <w:rsid w:val="00BB4E3F"/>
    <w:rsid w:val="00BC1656"/>
    <w:rsid w:val="00BC1C82"/>
    <w:rsid w:val="00BC2FE3"/>
    <w:rsid w:val="00BC318C"/>
    <w:rsid w:val="00BC4C77"/>
    <w:rsid w:val="00BC4E70"/>
    <w:rsid w:val="00BC524D"/>
    <w:rsid w:val="00BC54A4"/>
    <w:rsid w:val="00BC698F"/>
    <w:rsid w:val="00BC6B3F"/>
    <w:rsid w:val="00BD12EE"/>
    <w:rsid w:val="00BE1542"/>
    <w:rsid w:val="00BE1CB5"/>
    <w:rsid w:val="00BE1CFD"/>
    <w:rsid w:val="00BE45D0"/>
    <w:rsid w:val="00BE7D21"/>
    <w:rsid w:val="00BF23E3"/>
    <w:rsid w:val="00BF2F45"/>
    <w:rsid w:val="00BF2FF6"/>
    <w:rsid w:val="00BF3B9B"/>
    <w:rsid w:val="00BF4852"/>
    <w:rsid w:val="00BF58A2"/>
    <w:rsid w:val="00BF6CC4"/>
    <w:rsid w:val="00C007AC"/>
    <w:rsid w:val="00C0178C"/>
    <w:rsid w:val="00C02649"/>
    <w:rsid w:val="00C03231"/>
    <w:rsid w:val="00C0343A"/>
    <w:rsid w:val="00C0471D"/>
    <w:rsid w:val="00C052EF"/>
    <w:rsid w:val="00C05750"/>
    <w:rsid w:val="00C07343"/>
    <w:rsid w:val="00C12976"/>
    <w:rsid w:val="00C13B27"/>
    <w:rsid w:val="00C13B3F"/>
    <w:rsid w:val="00C16981"/>
    <w:rsid w:val="00C1775E"/>
    <w:rsid w:val="00C20A02"/>
    <w:rsid w:val="00C23339"/>
    <w:rsid w:val="00C24412"/>
    <w:rsid w:val="00C244FF"/>
    <w:rsid w:val="00C311C9"/>
    <w:rsid w:val="00C31E7D"/>
    <w:rsid w:val="00C3206C"/>
    <w:rsid w:val="00C32D2E"/>
    <w:rsid w:val="00C33327"/>
    <w:rsid w:val="00C3374F"/>
    <w:rsid w:val="00C36D3E"/>
    <w:rsid w:val="00C372E0"/>
    <w:rsid w:val="00C37CC0"/>
    <w:rsid w:val="00C41AE3"/>
    <w:rsid w:val="00C428F2"/>
    <w:rsid w:val="00C435BE"/>
    <w:rsid w:val="00C4376F"/>
    <w:rsid w:val="00C44B6F"/>
    <w:rsid w:val="00C45BAC"/>
    <w:rsid w:val="00C46D5C"/>
    <w:rsid w:val="00C47A2B"/>
    <w:rsid w:val="00C51C95"/>
    <w:rsid w:val="00C541A5"/>
    <w:rsid w:val="00C54717"/>
    <w:rsid w:val="00C54F31"/>
    <w:rsid w:val="00C54F87"/>
    <w:rsid w:val="00C56460"/>
    <w:rsid w:val="00C56D24"/>
    <w:rsid w:val="00C66223"/>
    <w:rsid w:val="00C71237"/>
    <w:rsid w:val="00C71A91"/>
    <w:rsid w:val="00C742D7"/>
    <w:rsid w:val="00C76424"/>
    <w:rsid w:val="00C765A2"/>
    <w:rsid w:val="00C77A0F"/>
    <w:rsid w:val="00C77B6F"/>
    <w:rsid w:val="00C80771"/>
    <w:rsid w:val="00C8232C"/>
    <w:rsid w:val="00C83A07"/>
    <w:rsid w:val="00C8615E"/>
    <w:rsid w:val="00C87357"/>
    <w:rsid w:val="00C875A4"/>
    <w:rsid w:val="00C90BD9"/>
    <w:rsid w:val="00C91E2B"/>
    <w:rsid w:val="00C956BA"/>
    <w:rsid w:val="00C97C4C"/>
    <w:rsid w:val="00CA075A"/>
    <w:rsid w:val="00CA1229"/>
    <w:rsid w:val="00CA5E1C"/>
    <w:rsid w:val="00CA6126"/>
    <w:rsid w:val="00CA661F"/>
    <w:rsid w:val="00CB33B4"/>
    <w:rsid w:val="00CC10AF"/>
    <w:rsid w:val="00CC1FAE"/>
    <w:rsid w:val="00CC257A"/>
    <w:rsid w:val="00CC3731"/>
    <w:rsid w:val="00CC3BE6"/>
    <w:rsid w:val="00CC4196"/>
    <w:rsid w:val="00CC4B40"/>
    <w:rsid w:val="00CC6171"/>
    <w:rsid w:val="00CD0E24"/>
    <w:rsid w:val="00CD6886"/>
    <w:rsid w:val="00CD6D57"/>
    <w:rsid w:val="00CD71CE"/>
    <w:rsid w:val="00CD7D17"/>
    <w:rsid w:val="00CE057B"/>
    <w:rsid w:val="00CE3480"/>
    <w:rsid w:val="00CE455B"/>
    <w:rsid w:val="00CE4B89"/>
    <w:rsid w:val="00CE7901"/>
    <w:rsid w:val="00CF1129"/>
    <w:rsid w:val="00CF1DEE"/>
    <w:rsid w:val="00CF2775"/>
    <w:rsid w:val="00CF3876"/>
    <w:rsid w:val="00CF3A73"/>
    <w:rsid w:val="00CF405D"/>
    <w:rsid w:val="00CF6A9D"/>
    <w:rsid w:val="00CF7FE3"/>
    <w:rsid w:val="00D007E4"/>
    <w:rsid w:val="00D00C93"/>
    <w:rsid w:val="00D01F91"/>
    <w:rsid w:val="00D0361C"/>
    <w:rsid w:val="00D075B1"/>
    <w:rsid w:val="00D10372"/>
    <w:rsid w:val="00D1151E"/>
    <w:rsid w:val="00D11BB4"/>
    <w:rsid w:val="00D12BE8"/>
    <w:rsid w:val="00D151BD"/>
    <w:rsid w:val="00D161FC"/>
    <w:rsid w:val="00D1778A"/>
    <w:rsid w:val="00D20337"/>
    <w:rsid w:val="00D210B4"/>
    <w:rsid w:val="00D21982"/>
    <w:rsid w:val="00D2554F"/>
    <w:rsid w:val="00D27D5F"/>
    <w:rsid w:val="00D30039"/>
    <w:rsid w:val="00D304B6"/>
    <w:rsid w:val="00D3097B"/>
    <w:rsid w:val="00D30C4F"/>
    <w:rsid w:val="00D33518"/>
    <w:rsid w:val="00D36884"/>
    <w:rsid w:val="00D36927"/>
    <w:rsid w:val="00D415CC"/>
    <w:rsid w:val="00D45393"/>
    <w:rsid w:val="00D52474"/>
    <w:rsid w:val="00D5288D"/>
    <w:rsid w:val="00D5347D"/>
    <w:rsid w:val="00D54F63"/>
    <w:rsid w:val="00D56BCA"/>
    <w:rsid w:val="00D659C4"/>
    <w:rsid w:val="00D730F9"/>
    <w:rsid w:val="00D74F4E"/>
    <w:rsid w:val="00D75107"/>
    <w:rsid w:val="00D82E68"/>
    <w:rsid w:val="00D832E7"/>
    <w:rsid w:val="00D84B9C"/>
    <w:rsid w:val="00D84F4B"/>
    <w:rsid w:val="00D84F94"/>
    <w:rsid w:val="00D870BF"/>
    <w:rsid w:val="00D8769E"/>
    <w:rsid w:val="00D87E57"/>
    <w:rsid w:val="00D91B04"/>
    <w:rsid w:val="00D935EE"/>
    <w:rsid w:val="00DA3958"/>
    <w:rsid w:val="00DA3AEE"/>
    <w:rsid w:val="00DA7B55"/>
    <w:rsid w:val="00DB0B97"/>
    <w:rsid w:val="00DB15F7"/>
    <w:rsid w:val="00DB2D8E"/>
    <w:rsid w:val="00DB2E61"/>
    <w:rsid w:val="00DB42A2"/>
    <w:rsid w:val="00DB7F1B"/>
    <w:rsid w:val="00DC08E6"/>
    <w:rsid w:val="00DC0E7B"/>
    <w:rsid w:val="00DC107B"/>
    <w:rsid w:val="00DC1F34"/>
    <w:rsid w:val="00DC2776"/>
    <w:rsid w:val="00DC3671"/>
    <w:rsid w:val="00DC4E73"/>
    <w:rsid w:val="00DC64BB"/>
    <w:rsid w:val="00DD1758"/>
    <w:rsid w:val="00DD2EDA"/>
    <w:rsid w:val="00DD52BB"/>
    <w:rsid w:val="00DD56F4"/>
    <w:rsid w:val="00DD574E"/>
    <w:rsid w:val="00DD70C9"/>
    <w:rsid w:val="00DE04D4"/>
    <w:rsid w:val="00DE3A5D"/>
    <w:rsid w:val="00DE413D"/>
    <w:rsid w:val="00DE6EE2"/>
    <w:rsid w:val="00DE7D1B"/>
    <w:rsid w:val="00DF1C1D"/>
    <w:rsid w:val="00E00990"/>
    <w:rsid w:val="00E00FCE"/>
    <w:rsid w:val="00E025EE"/>
    <w:rsid w:val="00E02A26"/>
    <w:rsid w:val="00E066EC"/>
    <w:rsid w:val="00E06CBB"/>
    <w:rsid w:val="00E11D48"/>
    <w:rsid w:val="00E15A25"/>
    <w:rsid w:val="00E15DC3"/>
    <w:rsid w:val="00E17B34"/>
    <w:rsid w:val="00E21EA5"/>
    <w:rsid w:val="00E21ED4"/>
    <w:rsid w:val="00E25078"/>
    <w:rsid w:val="00E33B71"/>
    <w:rsid w:val="00E3467E"/>
    <w:rsid w:val="00E34EA9"/>
    <w:rsid w:val="00E36980"/>
    <w:rsid w:val="00E36D93"/>
    <w:rsid w:val="00E3786F"/>
    <w:rsid w:val="00E400DF"/>
    <w:rsid w:val="00E40140"/>
    <w:rsid w:val="00E4021E"/>
    <w:rsid w:val="00E46016"/>
    <w:rsid w:val="00E472D4"/>
    <w:rsid w:val="00E472F5"/>
    <w:rsid w:val="00E50A8D"/>
    <w:rsid w:val="00E52992"/>
    <w:rsid w:val="00E531EC"/>
    <w:rsid w:val="00E536F8"/>
    <w:rsid w:val="00E57A6A"/>
    <w:rsid w:val="00E60942"/>
    <w:rsid w:val="00E60ED3"/>
    <w:rsid w:val="00E62710"/>
    <w:rsid w:val="00E63333"/>
    <w:rsid w:val="00E64A4D"/>
    <w:rsid w:val="00E65749"/>
    <w:rsid w:val="00E66FE7"/>
    <w:rsid w:val="00E71497"/>
    <w:rsid w:val="00E7196E"/>
    <w:rsid w:val="00E746B1"/>
    <w:rsid w:val="00E75E09"/>
    <w:rsid w:val="00E767E6"/>
    <w:rsid w:val="00E775D0"/>
    <w:rsid w:val="00E802DE"/>
    <w:rsid w:val="00E80E83"/>
    <w:rsid w:val="00E81881"/>
    <w:rsid w:val="00E85786"/>
    <w:rsid w:val="00E87F38"/>
    <w:rsid w:val="00E9366A"/>
    <w:rsid w:val="00E959A0"/>
    <w:rsid w:val="00E95A1D"/>
    <w:rsid w:val="00E965EB"/>
    <w:rsid w:val="00EA1FCF"/>
    <w:rsid w:val="00EA2C43"/>
    <w:rsid w:val="00EB0DBA"/>
    <w:rsid w:val="00EB6469"/>
    <w:rsid w:val="00EB64CF"/>
    <w:rsid w:val="00EC0136"/>
    <w:rsid w:val="00EC05AE"/>
    <w:rsid w:val="00EC1184"/>
    <w:rsid w:val="00EC4E4C"/>
    <w:rsid w:val="00EC6366"/>
    <w:rsid w:val="00EC6387"/>
    <w:rsid w:val="00ED0665"/>
    <w:rsid w:val="00ED5A95"/>
    <w:rsid w:val="00ED6B6B"/>
    <w:rsid w:val="00EE0E99"/>
    <w:rsid w:val="00EF7AF9"/>
    <w:rsid w:val="00F028C8"/>
    <w:rsid w:val="00F03176"/>
    <w:rsid w:val="00F03431"/>
    <w:rsid w:val="00F043E9"/>
    <w:rsid w:val="00F04904"/>
    <w:rsid w:val="00F051B7"/>
    <w:rsid w:val="00F06389"/>
    <w:rsid w:val="00F0648B"/>
    <w:rsid w:val="00F13750"/>
    <w:rsid w:val="00F20061"/>
    <w:rsid w:val="00F21BAA"/>
    <w:rsid w:val="00F23EAE"/>
    <w:rsid w:val="00F23ED5"/>
    <w:rsid w:val="00F26371"/>
    <w:rsid w:val="00F2682B"/>
    <w:rsid w:val="00F30DA8"/>
    <w:rsid w:val="00F3456E"/>
    <w:rsid w:val="00F34C1F"/>
    <w:rsid w:val="00F3655C"/>
    <w:rsid w:val="00F365C0"/>
    <w:rsid w:val="00F36D40"/>
    <w:rsid w:val="00F3772B"/>
    <w:rsid w:val="00F37A99"/>
    <w:rsid w:val="00F465C1"/>
    <w:rsid w:val="00F473A6"/>
    <w:rsid w:val="00F47E87"/>
    <w:rsid w:val="00F50C29"/>
    <w:rsid w:val="00F51117"/>
    <w:rsid w:val="00F51C68"/>
    <w:rsid w:val="00F54294"/>
    <w:rsid w:val="00F56804"/>
    <w:rsid w:val="00F57408"/>
    <w:rsid w:val="00F57AAF"/>
    <w:rsid w:val="00F62FE9"/>
    <w:rsid w:val="00F63B3C"/>
    <w:rsid w:val="00F63C29"/>
    <w:rsid w:val="00F64962"/>
    <w:rsid w:val="00F650AE"/>
    <w:rsid w:val="00F671D3"/>
    <w:rsid w:val="00F7224F"/>
    <w:rsid w:val="00F7276B"/>
    <w:rsid w:val="00F75572"/>
    <w:rsid w:val="00F7579D"/>
    <w:rsid w:val="00F769AB"/>
    <w:rsid w:val="00F80068"/>
    <w:rsid w:val="00F81778"/>
    <w:rsid w:val="00F839F1"/>
    <w:rsid w:val="00F8517D"/>
    <w:rsid w:val="00F85C8F"/>
    <w:rsid w:val="00F85EFC"/>
    <w:rsid w:val="00F862A9"/>
    <w:rsid w:val="00F87339"/>
    <w:rsid w:val="00F87F96"/>
    <w:rsid w:val="00F91BD9"/>
    <w:rsid w:val="00F92037"/>
    <w:rsid w:val="00F93E1E"/>
    <w:rsid w:val="00F9694D"/>
    <w:rsid w:val="00F96E5A"/>
    <w:rsid w:val="00F97CE0"/>
    <w:rsid w:val="00FA2C85"/>
    <w:rsid w:val="00FA36BE"/>
    <w:rsid w:val="00FA4732"/>
    <w:rsid w:val="00FA5F2D"/>
    <w:rsid w:val="00FA64A8"/>
    <w:rsid w:val="00FA673D"/>
    <w:rsid w:val="00FA6F95"/>
    <w:rsid w:val="00FA7303"/>
    <w:rsid w:val="00FA76F4"/>
    <w:rsid w:val="00FB0049"/>
    <w:rsid w:val="00FB5623"/>
    <w:rsid w:val="00FC39DF"/>
    <w:rsid w:val="00FC3AF0"/>
    <w:rsid w:val="00FC54AE"/>
    <w:rsid w:val="00FC72B7"/>
    <w:rsid w:val="00FD5C90"/>
    <w:rsid w:val="00FD6256"/>
    <w:rsid w:val="00FD688E"/>
    <w:rsid w:val="00FD6A91"/>
    <w:rsid w:val="00FE0562"/>
    <w:rsid w:val="00FE1BE8"/>
    <w:rsid w:val="00FE2314"/>
    <w:rsid w:val="00FE3BAE"/>
    <w:rsid w:val="00FE6C90"/>
    <w:rsid w:val="00FF1412"/>
    <w:rsid w:val="00FF5124"/>
    <w:rsid w:val="00FF56A3"/>
    <w:rsid w:val="00FF7E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60F4DF69-2638-1A44-BDEC-9EA0085F49A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8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Appel note de bas de p,Style 12,(NECG) Footnote Reference,Style 124,Style 17,Style 13,o + Times New Roman,Style 58,Style 20,fr1,fr2,fr3,FR,Footnote Reference/,Style 6,Footnote Reference1"/>
    <w:uiPriority w:val="99"/>
    <w:qFormat/>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rsid w:val="00B00BCD"/>
    <w:pPr>
      <w:tabs>
        <w:tab w:val="center" w:pos="4680"/>
        <w:tab w:val="right" w:pos="9360"/>
      </w:tabs>
    </w:pPr>
  </w:style>
  <w:style w:type="character" w:customStyle="1" w:styleId="HeaderChar">
    <w:name w:val="Header Char"/>
    <w:link w:val="Header"/>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Default">
    <w:name w:val="Default"/>
    <w:rsid w:val="006E7813"/>
    <w:pPr>
      <w:autoSpaceDE w:val="0"/>
      <w:autoSpaceDN w:val="0"/>
      <w:adjustRightInd w:val="0"/>
    </w:pPr>
    <w:rPr>
      <w:color w:val="000000"/>
      <w:sz w:val="24"/>
      <w:szCs w:val="24"/>
    </w:rPr>
  </w:style>
  <w:style w:type="character" w:styleId="Strong">
    <w:name w:val="Strong"/>
    <w:basedOn w:val="DefaultParagraphFont"/>
    <w:uiPriority w:val="22"/>
    <w:qFormat/>
    <w:rsid w:val="001717D0"/>
    <w:rPr>
      <w:b/>
      <w:bCs/>
    </w:rPr>
  </w:style>
  <w:style w:type="character" w:styleId="Emphasis">
    <w:name w:val="Emphasis"/>
    <w:basedOn w:val="DefaultParagraphFont"/>
    <w:uiPriority w:val="20"/>
    <w:qFormat/>
    <w:rsid w:val="00A41AA8"/>
    <w:rPr>
      <w:i/>
      <w:iCs/>
    </w:rPr>
  </w:style>
  <w:style w:type="paragraph" w:customStyle="1" w:styleId="whitespace-pre-wrap">
    <w:name w:val="whitespace-pre-wrap"/>
    <w:basedOn w:val="Normal"/>
    <w:rsid w:val="009B64F4"/>
    <w:pPr>
      <w:spacing w:before="100" w:beforeAutospacing="1" w:after="100" w:afterAutospacing="1"/>
    </w:pPr>
  </w:style>
  <w:style w:type="paragraph" w:customStyle="1" w:styleId="Birdcage">
    <w:name w:val="Birdcage"/>
    <w:basedOn w:val="Normal"/>
    <w:rsid w:val="00903C95"/>
    <w:pPr>
      <w:spacing w:line="240" w:lineRule="exact"/>
    </w:pPr>
    <w:rPr>
      <w:rFonts w:cs="Courier New"/>
      <w:szCs w:val="20"/>
    </w:rPr>
  </w:style>
  <w:style w:type="paragraph" w:customStyle="1" w:styleId="whitespace-normal">
    <w:name w:val="whitespace-normal"/>
    <w:basedOn w:val="Normal"/>
    <w:rsid w:val="00F671D3"/>
    <w:pPr>
      <w:spacing w:before="100" w:beforeAutospacing="1" w:after="100" w:afterAutospacing="1"/>
    </w:pPr>
  </w:style>
  <w:style w:type="character" w:styleId="UnresolvedMention">
    <w:name w:val="Unresolved Mention"/>
    <w:basedOn w:val="DefaultParagraphFont"/>
    <w:uiPriority w:val="99"/>
    <w:semiHidden/>
    <w:unhideWhenUsed/>
    <w:rsid w:val="00A96FC6"/>
    <w:rPr>
      <w:color w:val="605E5C"/>
      <w:shd w:val="clear" w:color="auto" w:fill="E1DFDD"/>
    </w:rPr>
  </w:style>
  <w:style w:type="character" w:customStyle="1" w:styleId="cf01">
    <w:name w:val="cf01"/>
    <w:basedOn w:val="DefaultParagraphFont"/>
    <w:rsid w:val="003F0E85"/>
    <w:rPr>
      <w:rFonts w:ascii="Segoe UI" w:hAnsi="Segoe UI" w:cs="Segoe UI" w:hint="default"/>
      <w:sz w:val="18"/>
      <w:szCs w:val="18"/>
    </w:rPr>
  </w:style>
  <w:style w:type="paragraph" w:customStyle="1" w:styleId="pf0">
    <w:name w:val="pf0"/>
    <w:basedOn w:val="Normal"/>
    <w:rsid w:val="00ED5A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2051">
      <w:bodyDiv w:val="1"/>
      <w:marLeft w:val="0"/>
      <w:marRight w:val="0"/>
      <w:marTop w:val="0"/>
      <w:marBottom w:val="0"/>
      <w:divBdr>
        <w:top w:val="none" w:sz="0" w:space="0" w:color="auto"/>
        <w:left w:val="none" w:sz="0" w:space="0" w:color="auto"/>
        <w:bottom w:val="none" w:sz="0" w:space="0" w:color="auto"/>
        <w:right w:val="none" w:sz="0" w:space="0" w:color="auto"/>
      </w:divBdr>
    </w:div>
    <w:div w:id="133060787">
      <w:bodyDiv w:val="1"/>
      <w:marLeft w:val="0"/>
      <w:marRight w:val="0"/>
      <w:marTop w:val="0"/>
      <w:marBottom w:val="0"/>
      <w:divBdr>
        <w:top w:val="none" w:sz="0" w:space="0" w:color="auto"/>
        <w:left w:val="none" w:sz="0" w:space="0" w:color="auto"/>
        <w:bottom w:val="none" w:sz="0" w:space="0" w:color="auto"/>
        <w:right w:val="none" w:sz="0" w:space="0" w:color="auto"/>
      </w:divBdr>
    </w:div>
    <w:div w:id="174656364">
      <w:bodyDiv w:val="1"/>
      <w:marLeft w:val="0"/>
      <w:marRight w:val="0"/>
      <w:marTop w:val="0"/>
      <w:marBottom w:val="0"/>
      <w:divBdr>
        <w:top w:val="none" w:sz="0" w:space="0" w:color="auto"/>
        <w:left w:val="none" w:sz="0" w:space="0" w:color="auto"/>
        <w:bottom w:val="none" w:sz="0" w:space="0" w:color="auto"/>
        <w:right w:val="none" w:sz="0" w:space="0" w:color="auto"/>
      </w:divBdr>
    </w:div>
    <w:div w:id="304310618">
      <w:bodyDiv w:val="1"/>
      <w:marLeft w:val="0"/>
      <w:marRight w:val="0"/>
      <w:marTop w:val="0"/>
      <w:marBottom w:val="0"/>
      <w:divBdr>
        <w:top w:val="none" w:sz="0" w:space="0" w:color="auto"/>
        <w:left w:val="none" w:sz="0" w:space="0" w:color="auto"/>
        <w:bottom w:val="none" w:sz="0" w:space="0" w:color="auto"/>
        <w:right w:val="none" w:sz="0" w:space="0" w:color="auto"/>
      </w:divBdr>
    </w:div>
    <w:div w:id="319774293">
      <w:bodyDiv w:val="1"/>
      <w:marLeft w:val="0"/>
      <w:marRight w:val="0"/>
      <w:marTop w:val="0"/>
      <w:marBottom w:val="0"/>
      <w:divBdr>
        <w:top w:val="none" w:sz="0" w:space="0" w:color="auto"/>
        <w:left w:val="none" w:sz="0" w:space="0" w:color="auto"/>
        <w:bottom w:val="none" w:sz="0" w:space="0" w:color="auto"/>
        <w:right w:val="none" w:sz="0" w:space="0" w:color="auto"/>
      </w:divBdr>
    </w:div>
    <w:div w:id="333456738">
      <w:bodyDiv w:val="1"/>
      <w:marLeft w:val="0"/>
      <w:marRight w:val="0"/>
      <w:marTop w:val="0"/>
      <w:marBottom w:val="0"/>
      <w:divBdr>
        <w:top w:val="none" w:sz="0" w:space="0" w:color="auto"/>
        <w:left w:val="none" w:sz="0" w:space="0" w:color="auto"/>
        <w:bottom w:val="none" w:sz="0" w:space="0" w:color="auto"/>
        <w:right w:val="none" w:sz="0" w:space="0" w:color="auto"/>
      </w:divBdr>
      <w:divsChild>
        <w:div w:id="1090352704">
          <w:marLeft w:val="0"/>
          <w:marRight w:val="0"/>
          <w:marTop w:val="0"/>
          <w:marBottom w:val="0"/>
          <w:divBdr>
            <w:top w:val="none" w:sz="0" w:space="0" w:color="auto"/>
            <w:left w:val="none" w:sz="0" w:space="0" w:color="auto"/>
            <w:bottom w:val="none" w:sz="0" w:space="0" w:color="auto"/>
            <w:right w:val="none" w:sz="0" w:space="0" w:color="auto"/>
          </w:divBdr>
          <w:divsChild>
            <w:div w:id="627782267">
              <w:marLeft w:val="0"/>
              <w:marRight w:val="0"/>
              <w:marTop w:val="0"/>
              <w:marBottom w:val="0"/>
              <w:divBdr>
                <w:top w:val="none" w:sz="0" w:space="0" w:color="auto"/>
                <w:left w:val="none" w:sz="0" w:space="0" w:color="auto"/>
                <w:bottom w:val="none" w:sz="0" w:space="0" w:color="auto"/>
                <w:right w:val="none" w:sz="0" w:space="0" w:color="auto"/>
              </w:divBdr>
              <w:divsChild>
                <w:div w:id="20944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6330">
      <w:bodyDiv w:val="1"/>
      <w:marLeft w:val="0"/>
      <w:marRight w:val="0"/>
      <w:marTop w:val="0"/>
      <w:marBottom w:val="0"/>
      <w:divBdr>
        <w:top w:val="none" w:sz="0" w:space="0" w:color="auto"/>
        <w:left w:val="none" w:sz="0" w:space="0" w:color="auto"/>
        <w:bottom w:val="none" w:sz="0" w:space="0" w:color="auto"/>
        <w:right w:val="none" w:sz="0" w:space="0" w:color="auto"/>
      </w:divBdr>
    </w:div>
    <w:div w:id="538475545">
      <w:bodyDiv w:val="1"/>
      <w:marLeft w:val="0"/>
      <w:marRight w:val="0"/>
      <w:marTop w:val="0"/>
      <w:marBottom w:val="0"/>
      <w:divBdr>
        <w:top w:val="none" w:sz="0" w:space="0" w:color="auto"/>
        <w:left w:val="none" w:sz="0" w:space="0" w:color="auto"/>
        <w:bottom w:val="none" w:sz="0" w:space="0" w:color="auto"/>
        <w:right w:val="none" w:sz="0" w:space="0" w:color="auto"/>
      </w:divBdr>
    </w:div>
    <w:div w:id="823164744">
      <w:bodyDiv w:val="1"/>
      <w:marLeft w:val="0"/>
      <w:marRight w:val="0"/>
      <w:marTop w:val="0"/>
      <w:marBottom w:val="0"/>
      <w:divBdr>
        <w:top w:val="none" w:sz="0" w:space="0" w:color="auto"/>
        <w:left w:val="none" w:sz="0" w:space="0" w:color="auto"/>
        <w:bottom w:val="none" w:sz="0" w:space="0" w:color="auto"/>
        <w:right w:val="none" w:sz="0" w:space="0" w:color="auto"/>
      </w:divBdr>
    </w:div>
    <w:div w:id="1001273338">
      <w:bodyDiv w:val="1"/>
      <w:marLeft w:val="0"/>
      <w:marRight w:val="0"/>
      <w:marTop w:val="0"/>
      <w:marBottom w:val="0"/>
      <w:divBdr>
        <w:top w:val="none" w:sz="0" w:space="0" w:color="auto"/>
        <w:left w:val="none" w:sz="0" w:space="0" w:color="auto"/>
        <w:bottom w:val="none" w:sz="0" w:space="0" w:color="auto"/>
        <w:right w:val="none" w:sz="0" w:space="0" w:color="auto"/>
      </w:divBdr>
    </w:div>
    <w:div w:id="1003976203">
      <w:bodyDiv w:val="1"/>
      <w:marLeft w:val="0"/>
      <w:marRight w:val="0"/>
      <w:marTop w:val="0"/>
      <w:marBottom w:val="0"/>
      <w:divBdr>
        <w:top w:val="none" w:sz="0" w:space="0" w:color="auto"/>
        <w:left w:val="none" w:sz="0" w:space="0" w:color="auto"/>
        <w:bottom w:val="none" w:sz="0" w:space="0" w:color="auto"/>
        <w:right w:val="none" w:sz="0" w:space="0" w:color="auto"/>
      </w:divBdr>
    </w:div>
    <w:div w:id="1018118962">
      <w:bodyDiv w:val="1"/>
      <w:marLeft w:val="0"/>
      <w:marRight w:val="0"/>
      <w:marTop w:val="0"/>
      <w:marBottom w:val="0"/>
      <w:divBdr>
        <w:top w:val="none" w:sz="0" w:space="0" w:color="auto"/>
        <w:left w:val="none" w:sz="0" w:space="0" w:color="auto"/>
        <w:bottom w:val="none" w:sz="0" w:space="0" w:color="auto"/>
        <w:right w:val="none" w:sz="0" w:space="0" w:color="auto"/>
      </w:divBdr>
    </w:div>
    <w:div w:id="1108088800">
      <w:bodyDiv w:val="1"/>
      <w:marLeft w:val="0"/>
      <w:marRight w:val="0"/>
      <w:marTop w:val="0"/>
      <w:marBottom w:val="0"/>
      <w:divBdr>
        <w:top w:val="none" w:sz="0" w:space="0" w:color="auto"/>
        <w:left w:val="none" w:sz="0" w:space="0" w:color="auto"/>
        <w:bottom w:val="none" w:sz="0" w:space="0" w:color="auto"/>
        <w:right w:val="none" w:sz="0" w:space="0" w:color="auto"/>
      </w:divBdr>
    </w:div>
    <w:div w:id="1109282056">
      <w:bodyDiv w:val="1"/>
      <w:marLeft w:val="0"/>
      <w:marRight w:val="0"/>
      <w:marTop w:val="0"/>
      <w:marBottom w:val="0"/>
      <w:divBdr>
        <w:top w:val="none" w:sz="0" w:space="0" w:color="auto"/>
        <w:left w:val="none" w:sz="0" w:space="0" w:color="auto"/>
        <w:bottom w:val="none" w:sz="0" w:space="0" w:color="auto"/>
        <w:right w:val="none" w:sz="0" w:space="0" w:color="auto"/>
      </w:divBdr>
    </w:div>
    <w:div w:id="1121731887">
      <w:bodyDiv w:val="1"/>
      <w:marLeft w:val="0"/>
      <w:marRight w:val="0"/>
      <w:marTop w:val="0"/>
      <w:marBottom w:val="0"/>
      <w:divBdr>
        <w:top w:val="none" w:sz="0" w:space="0" w:color="auto"/>
        <w:left w:val="none" w:sz="0" w:space="0" w:color="auto"/>
        <w:bottom w:val="none" w:sz="0" w:space="0" w:color="auto"/>
        <w:right w:val="none" w:sz="0" w:space="0" w:color="auto"/>
      </w:divBdr>
    </w:div>
    <w:div w:id="1139540438">
      <w:bodyDiv w:val="1"/>
      <w:marLeft w:val="0"/>
      <w:marRight w:val="0"/>
      <w:marTop w:val="0"/>
      <w:marBottom w:val="0"/>
      <w:divBdr>
        <w:top w:val="none" w:sz="0" w:space="0" w:color="auto"/>
        <w:left w:val="none" w:sz="0" w:space="0" w:color="auto"/>
        <w:bottom w:val="none" w:sz="0" w:space="0" w:color="auto"/>
        <w:right w:val="none" w:sz="0" w:space="0" w:color="auto"/>
      </w:divBdr>
    </w:div>
    <w:div w:id="1168860026">
      <w:bodyDiv w:val="1"/>
      <w:marLeft w:val="0"/>
      <w:marRight w:val="0"/>
      <w:marTop w:val="0"/>
      <w:marBottom w:val="0"/>
      <w:divBdr>
        <w:top w:val="none" w:sz="0" w:space="0" w:color="auto"/>
        <w:left w:val="none" w:sz="0" w:space="0" w:color="auto"/>
        <w:bottom w:val="none" w:sz="0" w:space="0" w:color="auto"/>
        <w:right w:val="none" w:sz="0" w:space="0" w:color="auto"/>
      </w:divBdr>
    </w:div>
    <w:div w:id="1282035791">
      <w:bodyDiv w:val="1"/>
      <w:marLeft w:val="0"/>
      <w:marRight w:val="0"/>
      <w:marTop w:val="0"/>
      <w:marBottom w:val="0"/>
      <w:divBdr>
        <w:top w:val="none" w:sz="0" w:space="0" w:color="auto"/>
        <w:left w:val="none" w:sz="0" w:space="0" w:color="auto"/>
        <w:bottom w:val="none" w:sz="0" w:space="0" w:color="auto"/>
        <w:right w:val="none" w:sz="0" w:space="0" w:color="auto"/>
      </w:divBdr>
    </w:div>
    <w:div w:id="1371108258">
      <w:bodyDiv w:val="1"/>
      <w:marLeft w:val="0"/>
      <w:marRight w:val="0"/>
      <w:marTop w:val="0"/>
      <w:marBottom w:val="0"/>
      <w:divBdr>
        <w:top w:val="none" w:sz="0" w:space="0" w:color="auto"/>
        <w:left w:val="none" w:sz="0" w:space="0" w:color="auto"/>
        <w:bottom w:val="none" w:sz="0" w:space="0" w:color="auto"/>
        <w:right w:val="none" w:sz="0" w:space="0" w:color="auto"/>
      </w:divBdr>
    </w:div>
    <w:div w:id="1392196031">
      <w:bodyDiv w:val="1"/>
      <w:marLeft w:val="0"/>
      <w:marRight w:val="0"/>
      <w:marTop w:val="0"/>
      <w:marBottom w:val="0"/>
      <w:divBdr>
        <w:top w:val="none" w:sz="0" w:space="0" w:color="auto"/>
        <w:left w:val="none" w:sz="0" w:space="0" w:color="auto"/>
        <w:bottom w:val="none" w:sz="0" w:space="0" w:color="auto"/>
        <w:right w:val="none" w:sz="0" w:space="0" w:color="auto"/>
      </w:divBdr>
    </w:div>
    <w:div w:id="1515345672">
      <w:bodyDiv w:val="1"/>
      <w:marLeft w:val="0"/>
      <w:marRight w:val="0"/>
      <w:marTop w:val="0"/>
      <w:marBottom w:val="0"/>
      <w:divBdr>
        <w:top w:val="none" w:sz="0" w:space="0" w:color="auto"/>
        <w:left w:val="none" w:sz="0" w:space="0" w:color="auto"/>
        <w:bottom w:val="none" w:sz="0" w:space="0" w:color="auto"/>
        <w:right w:val="none" w:sz="0" w:space="0" w:color="auto"/>
      </w:divBdr>
    </w:div>
    <w:div w:id="1712536591">
      <w:bodyDiv w:val="1"/>
      <w:marLeft w:val="0"/>
      <w:marRight w:val="0"/>
      <w:marTop w:val="0"/>
      <w:marBottom w:val="0"/>
      <w:divBdr>
        <w:top w:val="none" w:sz="0" w:space="0" w:color="auto"/>
        <w:left w:val="none" w:sz="0" w:space="0" w:color="auto"/>
        <w:bottom w:val="none" w:sz="0" w:space="0" w:color="auto"/>
        <w:right w:val="none" w:sz="0" w:space="0" w:color="auto"/>
      </w:divBdr>
    </w:div>
    <w:div w:id="1730960202">
      <w:bodyDiv w:val="1"/>
      <w:marLeft w:val="0"/>
      <w:marRight w:val="0"/>
      <w:marTop w:val="0"/>
      <w:marBottom w:val="0"/>
      <w:divBdr>
        <w:top w:val="none" w:sz="0" w:space="0" w:color="auto"/>
        <w:left w:val="none" w:sz="0" w:space="0" w:color="auto"/>
        <w:bottom w:val="none" w:sz="0" w:space="0" w:color="auto"/>
        <w:right w:val="none" w:sz="0" w:space="0" w:color="auto"/>
      </w:divBdr>
    </w:div>
    <w:div w:id="1829200198">
      <w:bodyDiv w:val="1"/>
      <w:marLeft w:val="0"/>
      <w:marRight w:val="0"/>
      <w:marTop w:val="0"/>
      <w:marBottom w:val="0"/>
      <w:divBdr>
        <w:top w:val="none" w:sz="0" w:space="0" w:color="auto"/>
        <w:left w:val="none" w:sz="0" w:space="0" w:color="auto"/>
        <w:bottom w:val="none" w:sz="0" w:space="0" w:color="auto"/>
        <w:right w:val="none" w:sz="0" w:space="0" w:color="auto"/>
      </w:divBdr>
    </w:div>
    <w:div w:id="1847088268">
      <w:bodyDiv w:val="1"/>
      <w:marLeft w:val="0"/>
      <w:marRight w:val="0"/>
      <w:marTop w:val="0"/>
      <w:marBottom w:val="0"/>
      <w:divBdr>
        <w:top w:val="none" w:sz="0" w:space="0" w:color="auto"/>
        <w:left w:val="none" w:sz="0" w:space="0" w:color="auto"/>
        <w:bottom w:val="none" w:sz="0" w:space="0" w:color="auto"/>
        <w:right w:val="none" w:sz="0" w:space="0" w:color="auto"/>
      </w:divBdr>
      <w:divsChild>
        <w:div w:id="658459679">
          <w:marLeft w:val="0"/>
          <w:marRight w:val="0"/>
          <w:marTop w:val="0"/>
          <w:marBottom w:val="0"/>
          <w:divBdr>
            <w:top w:val="none" w:sz="0" w:space="0" w:color="auto"/>
            <w:left w:val="none" w:sz="0" w:space="0" w:color="auto"/>
            <w:bottom w:val="none" w:sz="0" w:space="0" w:color="auto"/>
            <w:right w:val="none" w:sz="0" w:space="0" w:color="auto"/>
          </w:divBdr>
          <w:divsChild>
            <w:div w:id="777873897">
              <w:marLeft w:val="0"/>
              <w:marRight w:val="0"/>
              <w:marTop w:val="0"/>
              <w:marBottom w:val="0"/>
              <w:divBdr>
                <w:top w:val="none" w:sz="0" w:space="0" w:color="auto"/>
                <w:left w:val="none" w:sz="0" w:space="0" w:color="auto"/>
                <w:bottom w:val="none" w:sz="0" w:space="0" w:color="auto"/>
                <w:right w:val="none" w:sz="0" w:space="0" w:color="auto"/>
              </w:divBdr>
              <w:divsChild>
                <w:div w:id="1931230597">
                  <w:marLeft w:val="0"/>
                  <w:marRight w:val="0"/>
                  <w:marTop w:val="0"/>
                  <w:marBottom w:val="0"/>
                  <w:divBdr>
                    <w:top w:val="none" w:sz="0" w:space="0" w:color="auto"/>
                    <w:left w:val="none" w:sz="0" w:space="0" w:color="auto"/>
                    <w:bottom w:val="none" w:sz="0" w:space="0" w:color="auto"/>
                    <w:right w:val="none" w:sz="0" w:space="0" w:color="auto"/>
                  </w:divBdr>
                  <w:divsChild>
                    <w:div w:id="1103839239">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0"/>
                          <w:divBdr>
                            <w:top w:val="none" w:sz="0" w:space="0" w:color="auto"/>
                            <w:left w:val="none" w:sz="0" w:space="0" w:color="auto"/>
                            <w:bottom w:val="none" w:sz="0" w:space="0" w:color="auto"/>
                            <w:right w:val="none" w:sz="0" w:space="0" w:color="auto"/>
                          </w:divBdr>
                          <w:divsChild>
                            <w:div w:id="7152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1919702873">
      <w:bodyDiv w:val="1"/>
      <w:marLeft w:val="0"/>
      <w:marRight w:val="0"/>
      <w:marTop w:val="0"/>
      <w:marBottom w:val="0"/>
      <w:divBdr>
        <w:top w:val="none" w:sz="0" w:space="0" w:color="auto"/>
        <w:left w:val="none" w:sz="0" w:space="0" w:color="auto"/>
        <w:bottom w:val="none" w:sz="0" w:space="0" w:color="auto"/>
        <w:right w:val="none" w:sz="0" w:space="0" w:color="auto"/>
      </w:divBdr>
    </w:div>
    <w:div w:id="1993563986">
      <w:bodyDiv w:val="1"/>
      <w:marLeft w:val="0"/>
      <w:marRight w:val="0"/>
      <w:marTop w:val="0"/>
      <w:marBottom w:val="0"/>
      <w:divBdr>
        <w:top w:val="none" w:sz="0" w:space="0" w:color="auto"/>
        <w:left w:val="none" w:sz="0" w:space="0" w:color="auto"/>
        <w:bottom w:val="none" w:sz="0" w:space="0" w:color="auto"/>
        <w:right w:val="none" w:sz="0" w:space="0" w:color="auto"/>
      </w:divBdr>
    </w:div>
    <w:div w:id="1999723454">
      <w:bodyDiv w:val="1"/>
      <w:marLeft w:val="0"/>
      <w:marRight w:val="0"/>
      <w:marTop w:val="0"/>
      <w:marBottom w:val="0"/>
      <w:divBdr>
        <w:top w:val="none" w:sz="0" w:space="0" w:color="auto"/>
        <w:left w:val="none" w:sz="0" w:space="0" w:color="auto"/>
        <w:bottom w:val="none" w:sz="0" w:space="0" w:color="auto"/>
        <w:right w:val="none" w:sz="0" w:space="0" w:color="auto"/>
      </w:divBdr>
    </w:div>
    <w:div w:id="2024551312">
      <w:bodyDiv w:val="1"/>
      <w:marLeft w:val="0"/>
      <w:marRight w:val="0"/>
      <w:marTop w:val="0"/>
      <w:marBottom w:val="0"/>
      <w:divBdr>
        <w:top w:val="none" w:sz="0" w:space="0" w:color="auto"/>
        <w:left w:val="none" w:sz="0" w:space="0" w:color="auto"/>
        <w:bottom w:val="none" w:sz="0" w:space="0" w:color="auto"/>
        <w:right w:val="none" w:sz="0" w:space="0" w:color="auto"/>
      </w:divBdr>
    </w:div>
    <w:div w:id="2047023100">
      <w:bodyDiv w:val="1"/>
      <w:marLeft w:val="0"/>
      <w:marRight w:val="0"/>
      <w:marTop w:val="0"/>
      <w:marBottom w:val="0"/>
      <w:divBdr>
        <w:top w:val="none" w:sz="0" w:space="0" w:color="auto"/>
        <w:left w:val="none" w:sz="0" w:space="0" w:color="auto"/>
        <w:bottom w:val="none" w:sz="0" w:space="0" w:color="auto"/>
        <w:right w:val="none" w:sz="0" w:space="0" w:color="auto"/>
      </w:divBdr>
    </w:div>
    <w:div w:id="2066643014">
      <w:bodyDiv w:val="1"/>
      <w:marLeft w:val="0"/>
      <w:marRight w:val="0"/>
      <w:marTop w:val="0"/>
      <w:marBottom w:val="0"/>
      <w:divBdr>
        <w:top w:val="none" w:sz="0" w:space="0" w:color="auto"/>
        <w:left w:val="none" w:sz="0" w:space="0" w:color="auto"/>
        <w:bottom w:val="none" w:sz="0" w:space="0" w:color="auto"/>
        <w:right w:val="none" w:sz="0" w:space="0" w:color="auto"/>
      </w:divBdr>
    </w:div>
    <w:div w:id="2089423701">
      <w:bodyDiv w:val="1"/>
      <w:marLeft w:val="0"/>
      <w:marRight w:val="0"/>
      <w:marTop w:val="0"/>
      <w:marBottom w:val="0"/>
      <w:divBdr>
        <w:top w:val="none" w:sz="0" w:space="0" w:color="auto"/>
        <w:left w:val="none" w:sz="0" w:space="0" w:color="auto"/>
        <w:bottom w:val="none" w:sz="0" w:space="0" w:color="auto"/>
        <w:right w:val="none" w:sz="0" w:space="0" w:color="auto"/>
      </w:divBdr>
    </w:div>
    <w:div w:id="2132354924">
      <w:bodyDiv w:val="1"/>
      <w:marLeft w:val="0"/>
      <w:marRight w:val="0"/>
      <w:marTop w:val="0"/>
      <w:marBottom w:val="0"/>
      <w:divBdr>
        <w:top w:val="none" w:sz="0" w:space="0" w:color="auto"/>
        <w:left w:val="none" w:sz="0" w:space="0" w:color="auto"/>
        <w:bottom w:val="none" w:sz="0" w:space="0" w:color="auto"/>
        <w:right w:val="none" w:sz="0" w:space="0" w:color="auto"/>
      </w:divBdr>
    </w:div>
    <w:div w:id="2133282442">
      <w:bodyDiv w:val="1"/>
      <w:marLeft w:val="0"/>
      <w:marRight w:val="0"/>
      <w:marTop w:val="0"/>
      <w:marBottom w:val="0"/>
      <w:divBdr>
        <w:top w:val="none" w:sz="0" w:space="0" w:color="auto"/>
        <w:left w:val="none" w:sz="0" w:space="0" w:color="auto"/>
        <w:bottom w:val="none" w:sz="0" w:space="0" w:color="auto"/>
        <w:right w:val="none" w:sz="0" w:space="0" w:color="auto"/>
      </w:divBdr>
    </w:div>
    <w:div w:id="21434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pps.calbar.ca.gov/attorney/Licensee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815EEA-3D5E-44B1-95F6-C642A7EFE2E6}">
  <ds:schemaRefs>
    <ds:schemaRef ds:uri="http://schemas.microsoft.com/sharepoint/v3/contenttype/forms"/>
  </ds:schemaRefs>
</ds:datastoreItem>
</file>

<file path=customXml/itemProps2.xml><?xml version="1.0" encoding="utf-8"?>
<ds:datastoreItem xmlns:ds="http://schemas.openxmlformats.org/officeDocument/2006/customXml" ds:itemID="{49BA1060-EF5B-4B8E-AC4B-3387037F0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customXml/itemProps4.xml><?xml version="1.0" encoding="utf-8"?>
<ds:datastoreItem xmlns:ds="http://schemas.openxmlformats.org/officeDocument/2006/customXml" ds:itemID="{8F51266C-BF98-4C45-A4D4-B1629F4C7992}">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24</ap:Pages>
  <ap:Words>6605</ap:Words>
  <ap:Characters>37649</ap:Characters>
  <ap:Application>Microsoft Office Word</ap:Application>
  <ap:DocSecurity>0</ap:DocSecurity>
  <ap:Lines>313</ap:Lines>
  <ap:Paragraphs>88</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44166</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2026-05-11T18:44:00Z</cp:lastPrinted>
  <dcterms:created xsi:type="dcterms:W3CDTF">2026-07-14T13:03:35Z</dcterms:created>
  <dcterms:modified xsi:type="dcterms:W3CDTF">2026-07-14T13:03:35Z</dcterms:modified>
</cp:coreProperties>
</file>