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B68" w:rsidR="003E3B58" w:rsidP="3C3C196E" w:rsidRDefault="003E3B58" w14:paraId="3EC487E3" w14:textId="77777777">
      <w:pPr>
        <w:pStyle w:val="titlebar"/>
        <w:keepNext w:val="0"/>
      </w:pPr>
      <w:r>
        <w:t>PUBLIC UTILITIES COMMISSION OF THE STATE OF CALIFORNIA</w:t>
      </w:r>
    </w:p>
    <w:p w:rsidR="007C273B" w:rsidP="006F6F3F" w:rsidRDefault="007C273B" w14:paraId="2B3BA45A" w14:textId="77777777">
      <w:pPr>
        <w:pStyle w:val="titlebar"/>
        <w:keepNext w:val="0"/>
        <w:tabs>
          <w:tab w:val="right" w:pos="9000"/>
        </w:tabs>
        <w:jc w:val="left"/>
        <w:rPr>
          <w:rFonts w:ascii="Palatino Linotype" w:hAnsi="Palatino Linotype"/>
          <w:sz w:val="24"/>
          <w:szCs w:val="24"/>
        </w:rPr>
      </w:pPr>
    </w:p>
    <w:p w:rsidR="006F6F3F" w:rsidP="006F6F3F" w:rsidRDefault="006F6F3F" w14:paraId="6F66C11E" w14:textId="76EE3386">
      <w:pPr>
        <w:pStyle w:val="titlebar"/>
        <w:keepNext w:val="0"/>
        <w:tabs>
          <w:tab w:val="right" w:pos="9000"/>
        </w:tabs>
        <w:jc w:val="left"/>
      </w:pPr>
      <w:r>
        <w:rPr>
          <w:rFonts w:ascii="Palatino Linotype" w:hAnsi="Palatino Linotype"/>
          <w:sz w:val="24"/>
          <w:szCs w:val="24"/>
        </w:rPr>
        <w:tab/>
      </w:r>
    </w:p>
    <w:p w:rsidRPr="003E2B68" w:rsidR="003E3B58" w:rsidP="00C179CC" w:rsidRDefault="003E3B58" w14:paraId="0596CED8" w14:textId="169BBB22">
      <w:pPr>
        <w:pStyle w:val="titlebar"/>
        <w:keepNext w:val="0"/>
        <w:tabs>
          <w:tab w:val="right" w:pos="9000"/>
        </w:tabs>
        <w:ind w:left="270"/>
        <w:jc w:val="left"/>
        <w:rPr>
          <w:rFonts w:ascii="Palatino Linotype" w:hAnsi="Palatino Linotype"/>
          <w:sz w:val="24"/>
          <w:szCs w:val="24"/>
        </w:rPr>
      </w:pPr>
      <w:r w:rsidRPr="78C78F7C">
        <w:rPr>
          <w:rFonts w:ascii="Palatino Linotype" w:hAnsi="Palatino Linotype"/>
          <w:sz w:val="24"/>
          <w:szCs w:val="24"/>
        </w:rPr>
        <w:t xml:space="preserve">ENERGY DIVISION </w:t>
      </w:r>
      <w:r>
        <w:tab/>
      </w:r>
      <w:r w:rsidRPr="78C78F7C">
        <w:rPr>
          <w:rFonts w:ascii="Palatino Linotype" w:hAnsi="Palatino Linotype"/>
          <w:sz w:val="24"/>
          <w:szCs w:val="24"/>
        </w:rPr>
        <w:t xml:space="preserve">RESOLUTION </w:t>
      </w:r>
      <w:r w:rsidRPr="78C78F7C" w:rsidR="1B9F9350">
        <w:rPr>
          <w:rFonts w:ascii="Palatino Linotype" w:hAnsi="Palatino Linotype"/>
          <w:sz w:val="24"/>
          <w:szCs w:val="24"/>
        </w:rPr>
        <w:t>E-5462</w:t>
      </w:r>
      <w:r>
        <w:tab/>
      </w:r>
      <w:r w:rsidRPr="78C78F7C">
        <w:rPr>
          <w:rFonts w:ascii="Palatino Linotype" w:hAnsi="Palatino Linotype"/>
          <w:sz w:val="24"/>
          <w:szCs w:val="24"/>
        </w:rPr>
        <w:t xml:space="preserve">                              </w:t>
      </w:r>
    </w:p>
    <w:p w:rsidRPr="003E2B68" w:rsidR="003E3B58" w:rsidP="3C3C196E" w:rsidRDefault="003E3B58" w14:paraId="0589EACC" w14:textId="50A1DA7E">
      <w:pPr>
        <w:tabs>
          <w:tab w:val="right" w:pos="9000"/>
        </w:tabs>
        <w:ind w:left="1440" w:firstLine="720"/>
        <w:rPr>
          <w:rFonts w:ascii="Palatino Linotype" w:hAnsi="Palatino Linotype"/>
          <w:b/>
          <w:bCs/>
          <w:sz w:val="24"/>
          <w:szCs w:val="24"/>
        </w:rPr>
      </w:pPr>
      <w:r w:rsidRPr="78C78F7C">
        <w:rPr>
          <w:rFonts w:ascii="Palatino Linotype" w:hAnsi="Palatino Linotype"/>
          <w:b/>
          <w:bCs/>
          <w:sz w:val="24"/>
          <w:szCs w:val="24"/>
        </w:rPr>
        <w:t xml:space="preserve">                                                                              </w:t>
      </w:r>
      <w:r>
        <w:tab/>
      </w:r>
      <w:r w:rsidR="00864BCE">
        <w:rPr>
          <w:rFonts w:ascii="Palatino Linotype" w:hAnsi="Palatino Linotype"/>
          <w:b/>
          <w:bCs/>
          <w:sz w:val="24"/>
          <w:szCs w:val="24"/>
        </w:rPr>
        <w:t>July</w:t>
      </w:r>
      <w:r w:rsidRPr="78C78F7C" w:rsidR="707E56DF">
        <w:rPr>
          <w:rFonts w:ascii="Palatino Linotype" w:hAnsi="Palatino Linotype"/>
          <w:b/>
          <w:bCs/>
          <w:sz w:val="24"/>
          <w:szCs w:val="24"/>
        </w:rPr>
        <w:t xml:space="preserve"> 1</w:t>
      </w:r>
      <w:r w:rsidR="00864BCE">
        <w:rPr>
          <w:rFonts w:ascii="Palatino Linotype" w:hAnsi="Palatino Linotype"/>
          <w:b/>
          <w:bCs/>
          <w:sz w:val="24"/>
          <w:szCs w:val="24"/>
        </w:rPr>
        <w:t>6</w:t>
      </w:r>
      <w:r w:rsidRPr="78C78F7C">
        <w:rPr>
          <w:rFonts w:ascii="Palatino Linotype" w:hAnsi="Palatino Linotype"/>
          <w:b/>
          <w:bCs/>
          <w:sz w:val="24"/>
          <w:szCs w:val="24"/>
        </w:rPr>
        <w:t>, 2026</w:t>
      </w:r>
    </w:p>
    <w:p w:rsidRPr="007D35E1" w:rsidR="00CF17DE" w:rsidP="3C3C196E" w:rsidRDefault="00CF17DE" w14:paraId="061A7957" w14:textId="77777777">
      <w:pPr>
        <w:tabs>
          <w:tab w:val="right" w:pos="8910"/>
        </w:tabs>
        <w:ind w:left="1440" w:firstLine="720"/>
        <w:rPr>
          <w:b/>
          <w:bCs/>
          <w:sz w:val="24"/>
          <w:szCs w:val="24"/>
        </w:rPr>
      </w:pPr>
    </w:p>
    <w:p w:rsidRPr="007D35E1" w:rsidR="00CF17DE" w:rsidP="3C3C196E" w:rsidRDefault="00CF17DE" w14:paraId="40ADBA19" w14:textId="77777777">
      <w:pPr>
        <w:pStyle w:val="mainex"/>
        <w:keepNext w:val="0"/>
        <w:rPr>
          <w:u w:val="single"/>
        </w:rPr>
      </w:pPr>
      <w:bookmarkStart w:name="_Ref404993683" w:id="0"/>
      <w:r w:rsidRPr="3C3C196E">
        <w:rPr>
          <w:u w:val="single"/>
        </w:rPr>
        <w:t>RESOLUTION</w:t>
      </w:r>
    </w:p>
    <w:p w:rsidRPr="007D35E1" w:rsidR="00CF17DE" w:rsidP="3C3C196E" w:rsidRDefault="00CF17DE" w14:paraId="63C93376" w14:textId="77777777">
      <w:pPr>
        <w:rPr>
          <w:rFonts w:ascii="Palatino Linotype" w:hAnsi="Palatino Linotype"/>
          <w:sz w:val="24"/>
          <w:szCs w:val="24"/>
        </w:rPr>
      </w:pPr>
    </w:p>
    <w:p w:rsidR="00B927B5" w:rsidP="00C179CC" w:rsidRDefault="00B927B5" w14:paraId="2A78801A" w14:textId="7FF06AA4">
      <w:pPr>
        <w:ind w:left="180"/>
        <w:rPr>
          <w:rFonts w:ascii="Palatino Linotype" w:hAnsi="Palatino Linotype"/>
          <w:sz w:val="24"/>
          <w:szCs w:val="24"/>
        </w:rPr>
      </w:pPr>
      <w:r w:rsidRPr="38CC9735">
        <w:rPr>
          <w:rFonts w:ascii="Palatino Linotype" w:hAnsi="Palatino Linotype"/>
          <w:sz w:val="24"/>
          <w:szCs w:val="24"/>
        </w:rPr>
        <w:t>Resolution</w:t>
      </w:r>
      <w:r w:rsidRPr="38CC9735" w:rsidR="009D617E">
        <w:rPr>
          <w:rFonts w:ascii="Palatino Linotype" w:hAnsi="Palatino Linotype"/>
          <w:sz w:val="24"/>
          <w:szCs w:val="24"/>
        </w:rPr>
        <w:t xml:space="preserve"> </w:t>
      </w:r>
      <w:r w:rsidRPr="38CC9735" w:rsidR="1B9F9350">
        <w:rPr>
          <w:rFonts w:ascii="Palatino Linotype" w:hAnsi="Palatino Linotype"/>
          <w:sz w:val="24"/>
          <w:szCs w:val="24"/>
        </w:rPr>
        <w:t>E-5462</w:t>
      </w:r>
      <w:r w:rsidRPr="38CC9735" w:rsidR="009D617E">
        <w:rPr>
          <w:rFonts w:ascii="Palatino Linotype" w:hAnsi="Palatino Linotype"/>
          <w:sz w:val="24"/>
          <w:szCs w:val="24"/>
        </w:rPr>
        <w:t xml:space="preserve">.  Pacific Gas and Electric </w:t>
      </w:r>
      <w:r w:rsidR="003A65DC">
        <w:rPr>
          <w:rFonts w:ascii="Palatino Linotype" w:hAnsi="Palatino Linotype"/>
          <w:sz w:val="24"/>
          <w:szCs w:val="24"/>
        </w:rPr>
        <w:t xml:space="preserve">(PG&amp;E) </w:t>
      </w:r>
      <w:r w:rsidRPr="38CC9735" w:rsidR="009D617E">
        <w:rPr>
          <w:rFonts w:ascii="Palatino Linotype" w:hAnsi="Palatino Linotype"/>
          <w:sz w:val="24"/>
          <w:szCs w:val="24"/>
        </w:rPr>
        <w:t xml:space="preserve">requests approval </w:t>
      </w:r>
      <w:r w:rsidRPr="38CC9735" w:rsidR="00E129B1">
        <w:rPr>
          <w:rFonts w:ascii="Palatino Linotype" w:hAnsi="Palatino Linotype"/>
          <w:sz w:val="24"/>
          <w:szCs w:val="24"/>
        </w:rPr>
        <w:t xml:space="preserve">for relocation agreement </w:t>
      </w:r>
      <w:r w:rsidRPr="38CC9735" w:rsidR="002C542F">
        <w:rPr>
          <w:rFonts w:ascii="Palatino Linotype" w:hAnsi="Palatino Linotype"/>
          <w:sz w:val="24"/>
          <w:szCs w:val="24"/>
        </w:rPr>
        <w:t xml:space="preserve">with </w:t>
      </w:r>
      <w:r w:rsidRPr="38CC9735" w:rsidR="66DD18B8">
        <w:rPr>
          <w:rFonts w:ascii="Palatino Linotype" w:hAnsi="Palatino Linotype"/>
          <w:sz w:val="24"/>
          <w:szCs w:val="24"/>
        </w:rPr>
        <w:t>Clark &amp; Sullivan Construction and Broward Builders, Inc.</w:t>
      </w:r>
      <w:r w:rsidRPr="38CC9735" w:rsidR="431D5B75">
        <w:rPr>
          <w:rFonts w:ascii="Palatino Linotype" w:hAnsi="Palatino Linotype"/>
          <w:sz w:val="24"/>
          <w:szCs w:val="24"/>
        </w:rPr>
        <w:t xml:space="preserve"> </w:t>
      </w:r>
      <w:r w:rsidRPr="38CC9735" w:rsidR="003A65DC">
        <w:rPr>
          <w:rFonts w:ascii="Palatino Linotype" w:hAnsi="Palatino Linotype" w:eastAsia="Palatino Linotype" w:cs="Palatino Linotype"/>
          <w:sz w:val="24"/>
          <w:szCs w:val="24"/>
        </w:rPr>
        <w:t>(CS Broward)</w:t>
      </w:r>
      <w:r w:rsidR="003A65DC">
        <w:rPr>
          <w:rFonts w:ascii="Palatino Linotype" w:hAnsi="Palatino Linotype" w:eastAsia="Palatino Linotype" w:cs="Palatino Linotype"/>
          <w:sz w:val="24"/>
          <w:szCs w:val="24"/>
        </w:rPr>
        <w:t xml:space="preserve"> </w:t>
      </w:r>
      <w:r w:rsidRPr="38CC9735" w:rsidR="431D5B75">
        <w:rPr>
          <w:rFonts w:ascii="Palatino Linotype" w:hAnsi="Palatino Linotype"/>
          <w:sz w:val="24"/>
          <w:szCs w:val="24"/>
        </w:rPr>
        <w:t xml:space="preserve">a Joint Venture for Relocation and Rearrangement of PG&amp;E’s Public Utility Facilities, in Accordance </w:t>
      </w:r>
      <w:r w:rsidRPr="38CC9735" w:rsidR="6269BE44">
        <w:rPr>
          <w:rFonts w:ascii="Palatino Linotype" w:hAnsi="Palatino Linotype"/>
          <w:sz w:val="24"/>
          <w:szCs w:val="24"/>
        </w:rPr>
        <w:t>w</w:t>
      </w:r>
      <w:r w:rsidRPr="38CC9735" w:rsidR="431D5B75">
        <w:rPr>
          <w:rFonts w:ascii="Palatino Linotype" w:hAnsi="Palatino Linotype"/>
          <w:sz w:val="24"/>
          <w:szCs w:val="24"/>
        </w:rPr>
        <w:t>ith Electric Rule No. 15.I.3, the Exceptional Cases Provision</w:t>
      </w:r>
      <w:r w:rsidRPr="38CC9735" w:rsidR="7B8C91C6">
        <w:rPr>
          <w:rFonts w:ascii="Palatino Linotype" w:hAnsi="Palatino Linotype"/>
          <w:sz w:val="24"/>
          <w:szCs w:val="24"/>
        </w:rPr>
        <w:t>.</w:t>
      </w:r>
    </w:p>
    <w:p w:rsidRPr="00FA38AF" w:rsidR="00801D70" w:rsidP="3C3C196E" w:rsidRDefault="00801D70" w14:paraId="70E6A3B4" w14:textId="77777777">
      <w:pPr>
        <w:pStyle w:val="Res-Caption"/>
        <w:rPr>
          <w:rFonts w:ascii="Palatino Linotype" w:hAnsi="Palatino Linotype"/>
          <w:sz w:val="24"/>
          <w:szCs w:val="24"/>
          <w:highlight w:val="yellow"/>
        </w:rPr>
      </w:pPr>
    </w:p>
    <w:p w:rsidRPr="00A91265" w:rsidR="00DF35CC" w:rsidP="3C3C196E" w:rsidRDefault="00801D70" w14:paraId="5B232953" w14:textId="77777777">
      <w:pPr>
        <w:pStyle w:val="Res-Caption"/>
        <w:rPr>
          <w:rFonts w:ascii="Palatino Linotype" w:hAnsi="Palatino Linotype"/>
          <w:sz w:val="24"/>
          <w:szCs w:val="24"/>
        </w:rPr>
      </w:pPr>
      <w:r w:rsidRPr="3C3C196E">
        <w:rPr>
          <w:rFonts w:ascii="Palatino Linotype" w:hAnsi="Palatino Linotype"/>
          <w:sz w:val="24"/>
          <w:szCs w:val="24"/>
        </w:rPr>
        <w:t>PROPOSED OUTCOME:</w:t>
      </w:r>
      <w:r w:rsidRPr="3C3C196E" w:rsidR="00142FB8">
        <w:rPr>
          <w:rFonts w:ascii="Palatino Linotype" w:hAnsi="Palatino Linotype"/>
          <w:sz w:val="24"/>
          <w:szCs w:val="24"/>
        </w:rPr>
        <w:t xml:space="preserve"> </w:t>
      </w:r>
    </w:p>
    <w:p w:rsidR="009D617E" w:rsidP="3C3C196E" w:rsidRDefault="009D617E" w14:paraId="408C6996" w14:textId="467E3878">
      <w:pPr>
        <w:pStyle w:val="ListParagraph"/>
        <w:numPr>
          <w:ilvl w:val="0"/>
          <w:numId w:val="7"/>
        </w:numPr>
        <w:contextualSpacing w:val="0"/>
        <w:rPr>
          <w:rFonts w:ascii="Palatino Linotype" w:hAnsi="Palatino Linotype" w:eastAsia="Palatino Linotype" w:cs="Palatino Linotype"/>
          <w:sz w:val="24"/>
          <w:szCs w:val="24"/>
        </w:rPr>
      </w:pPr>
      <w:r w:rsidRPr="38CC9735">
        <w:rPr>
          <w:rFonts w:ascii="Palatino Linotype" w:hAnsi="Palatino Linotype"/>
          <w:sz w:val="24"/>
          <w:szCs w:val="24"/>
        </w:rPr>
        <w:t xml:space="preserve">Approves the Tier 3 Advice Letter </w:t>
      </w:r>
      <w:r w:rsidRPr="38CC9735" w:rsidR="33CE9287">
        <w:rPr>
          <w:rFonts w:ascii="Palatino Linotype" w:hAnsi="Palatino Linotype"/>
          <w:sz w:val="24"/>
          <w:szCs w:val="24"/>
        </w:rPr>
        <w:t>7871-E</w:t>
      </w:r>
      <w:r w:rsidRPr="38CC9735">
        <w:rPr>
          <w:rFonts w:ascii="Palatino Linotype" w:hAnsi="Palatino Linotype"/>
          <w:sz w:val="24"/>
          <w:szCs w:val="24"/>
        </w:rPr>
        <w:t xml:space="preserve"> filed by PG&amp;E, whi</w:t>
      </w:r>
      <w:r w:rsidRPr="38CC9735">
        <w:rPr>
          <w:rFonts w:ascii="Palatino Linotype" w:hAnsi="Palatino Linotype" w:eastAsia="Palatino Linotype" w:cs="Palatino Linotype"/>
          <w:sz w:val="24"/>
          <w:szCs w:val="24"/>
        </w:rPr>
        <w:t xml:space="preserve">ch includes </w:t>
      </w:r>
      <w:r w:rsidRPr="38CC9735" w:rsidR="00C4224F">
        <w:rPr>
          <w:rFonts w:ascii="Palatino Linotype" w:hAnsi="Palatino Linotype" w:eastAsia="Palatino Linotype" w:cs="Palatino Linotype"/>
          <w:sz w:val="24"/>
          <w:szCs w:val="24"/>
        </w:rPr>
        <w:t xml:space="preserve">an agreement </w:t>
      </w:r>
      <w:r w:rsidRPr="38CC9735" w:rsidR="000B1322">
        <w:rPr>
          <w:rFonts w:ascii="Palatino Linotype" w:hAnsi="Palatino Linotype" w:eastAsia="Palatino Linotype" w:cs="Palatino Linotype"/>
          <w:sz w:val="24"/>
          <w:szCs w:val="24"/>
        </w:rPr>
        <w:t xml:space="preserve">with </w:t>
      </w:r>
      <w:r w:rsidRPr="38CC9735" w:rsidR="53AF7E00">
        <w:rPr>
          <w:rFonts w:ascii="Palatino Linotype" w:hAnsi="Palatino Linotype" w:eastAsia="Palatino Linotype" w:cs="Palatino Linotype"/>
          <w:sz w:val="24"/>
          <w:szCs w:val="24"/>
        </w:rPr>
        <w:t>Clark &amp; Sullivan Builders, Inc. doing business as CS Broward, a Joint Venture, for PG&amp;E to relocate and rearrange utility poles and overhead transmission and distribution facilities (PG&amp;E Project) to accommodate its project to build a new California Highway Patrol building for the State of California (CHP Project) in the Town of Quincy at Assessor’s Parcel Number 117-140-027 in Plumas County (Property).</w:t>
      </w:r>
    </w:p>
    <w:p w:rsidRPr="00A91265" w:rsidR="00F51F8B" w:rsidP="3C3C196E" w:rsidRDefault="00F86C31" w14:paraId="65BE5ED4" w14:textId="1780E33E">
      <w:pPr>
        <w:pStyle w:val="ListParagraph"/>
        <w:numPr>
          <w:ilvl w:val="0"/>
          <w:numId w:val="7"/>
        </w:numPr>
        <w:contextualSpacing w:val="0"/>
        <w:rPr>
          <w:rFonts w:ascii="Palatino Linotype" w:hAnsi="Palatino Linotype"/>
          <w:sz w:val="24"/>
          <w:szCs w:val="24"/>
        </w:rPr>
      </w:pPr>
      <w:r w:rsidRPr="78C78F7C">
        <w:rPr>
          <w:rFonts w:ascii="Palatino Linotype" w:hAnsi="Palatino Linotype" w:eastAsia="Palatino Linotype" w:cs="Palatino Linotype"/>
          <w:sz w:val="24"/>
          <w:szCs w:val="24"/>
        </w:rPr>
        <w:t>Approves the</w:t>
      </w:r>
      <w:r w:rsidRPr="78C78F7C" w:rsidR="00C4224F">
        <w:rPr>
          <w:rFonts w:ascii="Palatino Linotype" w:hAnsi="Palatino Linotype" w:eastAsia="Palatino Linotype" w:cs="Palatino Linotype"/>
          <w:sz w:val="24"/>
          <w:szCs w:val="24"/>
        </w:rPr>
        <w:t xml:space="preserve"> agreement, referred to </w:t>
      </w:r>
      <w:r w:rsidRPr="78C78F7C" w:rsidR="00E5387F">
        <w:rPr>
          <w:rFonts w:ascii="Palatino Linotype" w:hAnsi="Palatino Linotype" w:eastAsia="Palatino Linotype" w:cs="Palatino Linotype"/>
          <w:sz w:val="24"/>
          <w:szCs w:val="24"/>
        </w:rPr>
        <w:t xml:space="preserve">as </w:t>
      </w:r>
      <w:r w:rsidRPr="78C78F7C" w:rsidR="00C4224F">
        <w:rPr>
          <w:rFonts w:ascii="Palatino Linotype" w:hAnsi="Palatino Linotype" w:eastAsia="Palatino Linotype" w:cs="Palatino Linotype"/>
          <w:sz w:val="24"/>
          <w:szCs w:val="24"/>
        </w:rPr>
        <w:t>the Actual Cost Contract (ACC)</w:t>
      </w:r>
      <w:r w:rsidRPr="78C78F7C" w:rsidR="00197311">
        <w:rPr>
          <w:rFonts w:ascii="Palatino Linotype" w:hAnsi="Palatino Linotype" w:eastAsia="Palatino Linotype" w:cs="Palatino Linotype"/>
          <w:sz w:val="24"/>
          <w:szCs w:val="24"/>
        </w:rPr>
        <w:t>, which</w:t>
      </w:r>
      <w:r w:rsidRPr="78C78F7C" w:rsidR="00C4224F">
        <w:rPr>
          <w:rFonts w:ascii="Palatino Linotype" w:hAnsi="Palatino Linotype" w:eastAsia="Palatino Linotype" w:cs="Palatino Linotype"/>
          <w:sz w:val="24"/>
          <w:szCs w:val="24"/>
        </w:rPr>
        <w:t xml:space="preserve"> memorializes the terms and conditi</w:t>
      </w:r>
      <w:r w:rsidRPr="78C78F7C" w:rsidR="00C4224F">
        <w:rPr>
          <w:rFonts w:ascii="Palatino Linotype" w:hAnsi="Palatino Linotype"/>
          <w:sz w:val="24"/>
          <w:szCs w:val="24"/>
        </w:rPr>
        <w:t>ons governing the relocation of</w:t>
      </w:r>
      <w:r w:rsidRPr="78C78F7C">
        <w:rPr>
          <w:rFonts w:ascii="Palatino Linotype" w:hAnsi="Palatino Linotype"/>
          <w:sz w:val="24"/>
          <w:szCs w:val="24"/>
        </w:rPr>
        <w:t xml:space="preserve"> PG&amp;E’s facilities in conflict with the </w:t>
      </w:r>
      <w:r w:rsidRPr="78C78F7C" w:rsidR="6175D402">
        <w:rPr>
          <w:rFonts w:ascii="Palatino Linotype" w:hAnsi="Palatino Linotype"/>
          <w:sz w:val="24"/>
          <w:szCs w:val="24"/>
        </w:rPr>
        <w:t>CHP</w:t>
      </w:r>
      <w:r w:rsidRPr="78C78F7C" w:rsidR="1D24B910">
        <w:rPr>
          <w:rFonts w:ascii="Palatino Linotype" w:hAnsi="Palatino Linotype"/>
          <w:sz w:val="24"/>
          <w:szCs w:val="24"/>
        </w:rPr>
        <w:t xml:space="preserve"> Project</w:t>
      </w:r>
      <w:r w:rsidRPr="78C78F7C" w:rsidR="6326B095">
        <w:rPr>
          <w:rFonts w:ascii="Palatino Linotype" w:hAnsi="Palatino Linotype"/>
          <w:sz w:val="24"/>
          <w:szCs w:val="24"/>
        </w:rPr>
        <w:t>.</w:t>
      </w:r>
    </w:p>
    <w:p w:rsidRPr="003A65DC" w:rsidR="0066773A" w:rsidP="003A65DC" w:rsidRDefault="0066773A" w14:paraId="2E7FD102" w14:textId="77777777">
      <w:pPr>
        <w:rPr>
          <w:rFonts w:ascii="Palatino Linotype" w:hAnsi="Palatino Linotype"/>
          <w:sz w:val="24"/>
          <w:szCs w:val="24"/>
        </w:rPr>
      </w:pPr>
    </w:p>
    <w:p w:rsidRPr="001C52E1" w:rsidR="00F51F8B" w:rsidP="3C3C196E" w:rsidRDefault="00F51F8B" w14:paraId="5348E825" w14:textId="77777777">
      <w:pPr>
        <w:pStyle w:val="Res-Caption"/>
        <w:rPr>
          <w:rFonts w:ascii="Palatino Linotype" w:hAnsi="Palatino Linotype"/>
          <w:sz w:val="24"/>
          <w:szCs w:val="24"/>
        </w:rPr>
      </w:pPr>
      <w:r w:rsidRPr="3C3C196E">
        <w:rPr>
          <w:rFonts w:ascii="Palatino Linotype" w:hAnsi="Palatino Linotype"/>
          <w:sz w:val="24"/>
          <w:szCs w:val="24"/>
        </w:rPr>
        <w:t>SAFETY CONSIDERATIONS:</w:t>
      </w:r>
    </w:p>
    <w:p w:rsidRPr="001C52E1" w:rsidR="00305224" w:rsidP="3C3C196E" w:rsidRDefault="00305224" w14:paraId="7DA9E1B0" w14:textId="7D4B3CF5">
      <w:pPr>
        <w:pStyle w:val="ListParagraph"/>
        <w:numPr>
          <w:ilvl w:val="0"/>
          <w:numId w:val="6"/>
        </w:numPr>
        <w:contextualSpacing w:val="0"/>
        <w:rPr>
          <w:rFonts w:ascii="Palatino Linotype" w:hAnsi="Palatino Linotype"/>
          <w:sz w:val="24"/>
          <w:szCs w:val="24"/>
        </w:rPr>
      </w:pPr>
      <w:r w:rsidRPr="3C3C196E">
        <w:rPr>
          <w:rFonts w:ascii="Palatino Linotype" w:hAnsi="Palatino Linotype"/>
          <w:sz w:val="24"/>
          <w:szCs w:val="24"/>
        </w:rPr>
        <w:t xml:space="preserve">Work to relocate overhead electric utility facilities will conform to all current and applicable laws, </w:t>
      </w:r>
      <w:r w:rsidRPr="3C3C196E" w:rsidR="004F29BD">
        <w:rPr>
          <w:rFonts w:ascii="Palatino Linotype" w:hAnsi="Palatino Linotype"/>
          <w:sz w:val="24"/>
          <w:szCs w:val="24"/>
        </w:rPr>
        <w:t>California Public Utilities Commission (</w:t>
      </w:r>
      <w:r w:rsidRPr="3C3C196E" w:rsidR="00687ECD">
        <w:rPr>
          <w:rFonts w:ascii="Palatino Linotype" w:hAnsi="Palatino Linotype"/>
          <w:sz w:val="24"/>
          <w:szCs w:val="24"/>
        </w:rPr>
        <w:t>CPUC</w:t>
      </w:r>
      <w:r w:rsidRPr="3C3C196E" w:rsidR="004F29BD">
        <w:rPr>
          <w:rFonts w:ascii="Palatino Linotype" w:hAnsi="Palatino Linotype"/>
          <w:sz w:val="24"/>
          <w:szCs w:val="24"/>
        </w:rPr>
        <w:t>)</w:t>
      </w:r>
      <w:r w:rsidRPr="3C3C196E">
        <w:rPr>
          <w:rFonts w:ascii="Palatino Linotype" w:hAnsi="Palatino Linotype"/>
          <w:sz w:val="24"/>
          <w:szCs w:val="24"/>
        </w:rPr>
        <w:t xml:space="preserve"> regulations, industry and PG&amp;E safety requirements as discussed in this Resolution and documented in the agreement.</w:t>
      </w:r>
    </w:p>
    <w:p w:rsidRPr="001C52E1" w:rsidR="00801D70" w:rsidP="3C3C196E" w:rsidRDefault="00801D70" w14:paraId="664CBB61" w14:textId="77777777">
      <w:pPr>
        <w:pStyle w:val="Res-Caption"/>
        <w:rPr>
          <w:rFonts w:ascii="Palatino Linotype" w:hAnsi="Palatino Linotype"/>
          <w:sz w:val="24"/>
          <w:szCs w:val="24"/>
        </w:rPr>
      </w:pPr>
    </w:p>
    <w:p w:rsidRPr="00A91265" w:rsidR="00801D70" w:rsidP="3C3C196E" w:rsidRDefault="00801D70" w14:paraId="28BD615D" w14:textId="77777777">
      <w:pPr>
        <w:pStyle w:val="Res-Caption"/>
        <w:rPr>
          <w:rFonts w:ascii="Palatino Linotype" w:hAnsi="Palatino Linotype"/>
          <w:sz w:val="24"/>
          <w:szCs w:val="24"/>
        </w:rPr>
      </w:pPr>
      <w:r w:rsidRPr="3C3C196E">
        <w:rPr>
          <w:rFonts w:ascii="Palatino Linotype" w:hAnsi="Palatino Linotype"/>
          <w:sz w:val="24"/>
          <w:szCs w:val="24"/>
        </w:rPr>
        <w:t xml:space="preserve">ESTIMATED COST:  </w:t>
      </w:r>
    </w:p>
    <w:p w:rsidRPr="00A91265" w:rsidR="00324D1C" w:rsidP="3C3C196E" w:rsidRDefault="00324D1C" w14:paraId="3B3752B0" w14:textId="753E8641">
      <w:pPr>
        <w:pStyle w:val="Res-Caption"/>
        <w:numPr>
          <w:ilvl w:val="0"/>
          <w:numId w:val="6"/>
        </w:numPr>
        <w:rPr>
          <w:rFonts w:ascii="Palatino Linotype" w:hAnsi="Palatino Linotype"/>
          <w:sz w:val="24"/>
          <w:szCs w:val="24"/>
        </w:rPr>
      </w:pPr>
      <w:r w:rsidRPr="38CC9735">
        <w:rPr>
          <w:rFonts w:ascii="Palatino Linotype" w:hAnsi="Palatino Linotype"/>
          <w:sz w:val="24"/>
          <w:szCs w:val="24"/>
        </w:rPr>
        <w:t xml:space="preserve">Under the ACC, </w:t>
      </w:r>
      <w:r w:rsidRPr="38CC9735" w:rsidR="00E120BE">
        <w:rPr>
          <w:rFonts w:ascii="Palatino Linotype" w:hAnsi="Palatino Linotype"/>
          <w:sz w:val="24"/>
          <w:szCs w:val="24"/>
        </w:rPr>
        <w:t>t</w:t>
      </w:r>
      <w:r w:rsidRPr="38CC9735" w:rsidR="002B369F">
        <w:rPr>
          <w:rFonts w:ascii="Palatino Linotype" w:hAnsi="Palatino Linotype"/>
          <w:sz w:val="24"/>
          <w:szCs w:val="24"/>
        </w:rPr>
        <w:t xml:space="preserve">he </w:t>
      </w:r>
      <w:r w:rsidRPr="38CC9735" w:rsidR="3B3D898E">
        <w:rPr>
          <w:rFonts w:ascii="Palatino Linotype" w:hAnsi="Palatino Linotype"/>
          <w:sz w:val="24"/>
          <w:szCs w:val="24"/>
        </w:rPr>
        <w:t>CS Broward</w:t>
      </w:r>
      <w:r w:rsidRPr="38CC9735" w:rsidR="002B369F">
        <w:rPr>
          <w:rFonts w:ascii="Palatino Linotype" w:hAnsi="Palatino Linotype"/>
          <w:sz w:val="24"/>
          <w:szCs w:val="24"/>
        </w:rPr>
        <w:t xml:space="preserve"> </w:t>
      </w:r>
      <w:r w:rsidRPr="38CC9735">
        <w:rPr>
          <w:rFonts w:ascii="Palatino Linotype" w:hAnsi="Palatino Linotype"/>
          <w:sz w:val="24"/>
          <w:szCs w:val="24"/>
        </w:rPr>
        <w:t xml:space="preserve">is requesting to pay for the work on an actual cost basis. </w:t>
      </w:r>
      <w:r w:rsidRPr="38CC9735" w:rsidR="037BE459">
        <w:rPr>
          <w:rFonts w:ascii="Palatino Linotype" w:hAnsi="Palatino Linotype"/>
          <w:sz w:val="24"/>
          <w:szCs w:val="24"/>
        </w:rPr>
        <w:t>CS Broward</w:t>
      </w:r>
      <w:r w:rsidRPr="38CC9735" w:rsidR="002B369F">
        <w:rPr>
          <w:rFonts w:ascii="Palatino Linotype" w:hAnsi="Palatino Linotype"/>
          <w:sz w:val="24"/>
          <w:szCs w:val="24"/>
        </w:rPr>
        <w:t xml:space="preserve"> </w:t>
      </w:r>
      <w:r w:rsidRPr="38CC9735">
        <w:rPr>
          <w:rFonts w:ascii="Palatino Linotype" w:hAnsi="Palatino Linotype"/>
          <w:sz w:val="24"/>
          <w:szCs w:val="24"/>
        </w:rPr>
        <w:t xml:space="preserve">will pay the estimated cost upfront, but after relocation is completed, PG&amp;E will true-up the final costs in a final invoice. </w:t>
      </w:r>
      <w:r w:rsidR="003A65DC">
        <w:rPr>
          <w:rFonts w:ascii="Palatino Linotype" w:hAnsi="Palatino Linotype"/>
          <w:sz w:val="24"/>
          <w:szCs w:val="24"/>
        </w:rPr>
        <w:t>F</w:t>
      </w:r>
      <w:r w:rsidRPr="38CC9735" w:rsidR="00E129B1">
        <w:rPr>
          <w:rFonts w:ascii="Palatino Linotype" w:hAnsi="Palatino Linotype"/>
          <w:sz w:val="24"/>
          <w:szCs w:val="24"/>
        </w:rPr>
        <w:t>inal invoice will reflect the full actual cost of the relocation work,</w:t>
      </w:r>
      <w:r w:rsidRPr="38CC9735" w:rsidR="00197311">
        <w:rPr>
          <w:rFonts w:ascii="Palatino Linotype" w:hAnsi="Palatino Linotype"/>
          <w:sz w:val="24"/>
          <w:szCs w:val="24"/>
        </w:rPr>
        <w:t xml:space="preserve"> </w:t>
      </w:r>
      <w:r w:rsidRPr="38CC9735" w:rsidR="00E129B1">
        <w:rPr>
          <w:rFonts w:ascii="Palatino Linotype" w:hAnsi="Palatino Linotype"/>
          <w:sz w:val="24"/>
          <w:szCs w:val="24"/>
        </w:rPr>
        <w:t>with appropriate credit for the initial payment received from</w:t>
      </w:r>
      <w:r w:rsidRPr="38CC9735" w:rsidR="002B369F">
        <w:rPr>
          <w:rFonts w:ascii="Palatino Linotype" w:hAnsi="Palatino Linotype"/>
          <w:sz w:val="24"/>
          <w:szCs w:val="24"/>
        </w:rPr>
        <w:t xml:space="preserve"> </w:t>
      </w:r>
      <w:r w:rsidRPr="38CC9735" w:rsidR="5AB2DB6A">
        <w:rPr>
          <w:rFonts w:ascii="Palatino Linotype" w:hAnsi="Palatino Linotype"/>
          <w:sz w:val="24"/>
          <w:szCs w:val="24"/>
        </w:rPr>
        <w:t>CS Broward</w:t>
      </w:r>
      <w:r w:rsidRPr="38CC9735" w:rsidR="718CD77D">
        <w:rPr>
          <w:rFonts w:ascii="Palatino Linotype" w:hAnsi="Palatino Linotype"/>
          <w:sz w:val="24"/>
          <w:szCs w:val="24"/>
        </w:rPr>
        <w:t>.</w:t>
      </w:r>
    </w:p>
    <w:p w:rsidRPr="00A91265" w:rsidR="00CF17DE" w:rsidP="3C3C196E" w:rsidRDefault="00CF17DE" w14:paraId="414B5F5B" w14:textId="77777777">
      <w:pPr>
        <w:pStyle w:val="Res-Caption"/>
        <w:rPr>
          <w:rFonts w:ascii="Palatino Linotype" w:hAnsi="Palatino Linotype"/>
          <w:sz w:val="24"/>
          <w:szCs w:val="24"/>
        </w:rPr>
      </w:pPr>
    </w:p>
    <w:p w:rsidRPr="00A91265" w:rsidR="00CF17DE" w:rsidP="3C3C196E" w:rsidRDefault="00CF17DE" w14:paraId="0395FC4E" w14:textId="1C443364">
      <w:pPr>
        <w:pStyle w:val="Res-Caption"/>
        <w:rPr>
          <w:rFonts w:ascii="Palatino Linotype" w:hAnsi="Palatino Linotype"/>
          <w:sz w:val="24"/>
          <w:szCs w:val="24"/>
        </w:rPr>
      </w:pPr>
      <w:r w:rsidRPr="3C3C196E">
        <w:rPr>
          <w:rFonts w:ascii="Palatino Linotype" w:hAnsi="Palatino Linotype"/>
          <w:sz w:val="24"/>
          <w:szCs w:val="24"/>
        </w:rPr>
        <w:t xml:space="preserve">By Advice Letter Filed </w:t>
      </w:r>
      <w:r w:rsidRPr="3C3C196E" w:rsidR="33CE9287">
        <w:rPr>
          <w:rFonts w:ascii="Palatino Linotype" w:hAnsi="Palatino Linotype"/>
          <w:sz w:val="24"/>
          <w:szCs w:val="24"/>
        </w:rPr>
        <w:t>7871-E</w:t>
      </w:r>
      <w:r w:rsidRPr="3C3C196E" w:rsidR="00032E4F">
        <w:rPr>
          <w:rFonts w:ascii="Palatino Linotype" w:hAnsi="Palatino Linotype"/>
          <w:sz w:val="24"/>
          <w:szCs w:val="24"/>
        </w:rPr>
        <w:t xml:space="preserve"> </w:t>
      </w:r>
      <w:r w:rsidRPr="3C3C196E">
        <w:rPr>
          <w:rFonts w:ascii="Palatino Linotype" w:hAnsi="Palatino Linotype"/>
          <w:sz w:val="24"/>
          <w:szCs w:val="24"/>
        </w:rPr>
        <w:t xml:space="preserve">on </w:t>
      </w:r>
      <w:r w:rsidRPr="3C3C196E" w:rsidR="3D144C50">
        <w:rPr>
          <w:rFonts w:ascii="Palatino Linotype" w:hAnsi="Palatino Linotype"/>
          <w:sz w:val="24"/>
          <w:szCs w:val="24"/>
        </w:rPr>
        <w:t>March 30, 2026</w:t>
      </w:r>
      <w:r w:rsidRPr="3C3C196E">
        <w:rPr>
          <w:rFonts w:ascii="Palatino Linotype" w:hAnsi="Palatino Linotype"/>
          <w:sz w:val="24"/>
          <w:szCs w:val="24"/>
        </w:rPr>
        <w:t xml:space="preserve">. </w:t>
      </w:r>
    </w:p>
    <w:p w:rsidRPr="00A91265" w:rsidR="00CF17DE" w:rsidP="78C78F7C" w:rsidRDefault="00CF17DE" w14:paraId="2C49E15C" w14:textId="77777777">
      <w:pPr>
        <w:pStyle w:val="Heading1"/>
        <w:keepNext w:val="0"/>
        <w:spacing w:before="0" w:after="0"/>
        <w:jc w:val="both"/>
        <w:rPr>
          <w:rFonts w:ascii="Palatino Linotype" w:hAnsi="Palatino Linotype"/>
          <w:sz w:val="24"/>
          <w:szCs w:val="24"/>
        </w:rPr>
      </w:pPr>
      <w:r w:rsidRPr="78C78F7C">
        <w:rPr>
          <w:rFonts w:ascii="Palatino Linotype" w:hAnsi="Palatino Linotype"/>
          <w:sz w:val="24"/>
          <w:szCs w:val="24"/>
        </w:rPr>
        <w:lastRenderedPageBreak/>
        <w:t>Summary</w:t>
      </w:r>
      <w:bookmarkEnd w:id="0"/>
    </w:p>
    <w:p w:rsidRPr="00A91265" w:rsidR="00E129B1" w:rsidP="006F6F3F" w:rsidRDefault="00305224" w14:paraId="49603B5D" w14:textId="5D9D4664">
      <w:pPr>
        <w:rPr>
          <w:rFonts w:ascii="Palatino Linotype" w:hAnsi="Palatino Linotype"/>
          <w:sz w:val="24"/>
          <w:szCs w:val="24"/>
        </w:rPr>
      </w:pPr>
      <w:r w:rsidRPr="38CC9735">
        <w:rPr>
          <w:rFonts w:ascii="Palatino Linotype" w:hAnsi="Palatino Linotype"/>
          <w:sz w:val="24"/>
          <w:szCs w:val="24"/>
        </w:rPr>
        <w:t xml:space="preserve">This Resolution approves the </w:t>
      </w:r>
      <w:r w:rsidRPr="38CC9735" w:rsidR="00AF65CB">
        <w:rPr>
          <w:rFonts w:ascii="Palatino Linotype" w:hAnsi="Palatino Linotype"/>
          <w:sz w:val="24"/>
          <w:szCs w:val="24"/>
        </w:rPr>
        <w:t>Pacific Gas and Electr</w:t>
      </w:r>
      <w:r w:rsidRPr="38CC9735" w:rsidR="003B691E">
        <w:rPr>
          <w:rFonts w:ascii="Palatino Linotype" w:hAnsi="Palatino Linotype"/>
          <w:sz w:val="24"/>
          <w:szCs w:val="24"/>
        </w:rPr>
        <w:t xml:space="preserve">ic </w:t>
      </w:r>
      <w:r w:rsidRPr="38CC9735" w:rsidR="005332BC">
        <w:rPr>
          <w:rFonts w:ascii="Palatino Linotype" w:hAnsi="Palatino Linotype"/>
          <w:sz w:val="24"/>
          <w:szCs w:val="24"/>
        </w:rPr>
        <w:t xml:space="preserve">Company </w:t>
      </w:r>
      <w:r w:rsidRPr="38CC9735" w:rsidR="003B691E">
        <w:rPr>
          <w:rFonts w:ascii="Palatino Linotype" w:hAnsi="Palatino Linotype"/>
          <w:sz w:val="24"/>
          <w:szCs w:val="24"/>
        </w:rPr>
        <w:t>(</w:t>
      </w:r>
      <w:r w:rsidRPr="38CC9735" w:rsidR="00E129B1">
        <w:rPr>
          <w:rFonts w:ascii="Palatino Linotype" w:hAnsi="Palatino Linotype"/>
          <w:sz w:val="24"/>
          <w:szCs w:val="24"/>
        </w:rPr>
        <w:t>PG&amp;E</w:t>
      </w:r>
      <w:r w:rsidRPr="38CC9735" w:rsidR="003B691E">
        <w:rPr>
          <w:rFonts w:ascii="Palatino Linotype" w:hAnsi="Palatino Linotype"/>
          <w:sz w:val="24"/>
          <w:szCs w:val="24"/>
        </w:rPr>
        <w:t>)</w:t>
      </w:r>
      <w:r w:rsidRPr="38CC9735" w:rsidR="00E129B1">
        <w:rPr>
          <w:rFonts w:ascii="Palatino Linotype" w:hAnsi="Palatino Linotype"/>
          <w:sz w:val="24"/>
          <w:szCs w:val="24"/>
        </w:rPr>
        <w:t xml:space="preserve"> relocation agreement with </w:t>
      </w:r>
      <w:r w:rsidRPr="38CC9735" w:rsidR="1C75C1EC">
        <w:rPr>
          <w:rFonts w:ascii="Palatino Linotype" w:hAnsi="Palatino Linotype"/>
          <w:sz w:val="24"/>
          <w:szCs w:val="24"/>
        </w:rPr>
        <w:t>Clark &amp; Sullivan Construction and Broward Builders, Inc.</w:t>
      </w:r>
      <w:r w:rsidRPr="38CC9735" w:rsidR="00E129B1">
        <w:rPr>
          <w:rFonts w:ascii="Palatino Linotype" w:hAnsi="Palatino Linotype"/>
          <w:sz w:val="24"/>
          <w:szCs w:val="24"/>
        </w:rPr>
        <w:t xml:space="preserve"> </w:t>
      </w:r>
      <w:r w:rsidRPr="38CC9735" w:rsidR="033EE38B">
        <w:rPr>
          <w:rFonts w:ascii="Palatino Linotype" w:hAnsi="Palatino Linotype"/>
          <w:sz w:val="24"/>
          <w:szCs w:val="24"/>
        </w:rPr>
        <w:t xml:space="preserve">(CS Broward) </w:t>
      </w:r>
      <w:r w:rsidRPr="38CC9735" w:rsidR="00D87891">
        <w:rPr>
          <w:rFonts w:ascii="Palatino Linotype" w:hAnsi="Palatino Linotype"/>
          <w:sz w:val="24"/>
          <w:szCs w:val="24"/>
        </w:rPr>
        <w:t xml:space="preserve">to accommodate the </w:t>
      </w:r>
      <w:r w:rsidRPr="38CC9735" w:rsidR="00AF65CB">
        <w:rPr>
          <w:rFonts w:ascii="Palatino Linotype" w:hAnsi="Palatino Linotype"/>
          <w:sz w:val="24"/>
          <w:szCs w:val="24"/>
        </w:rPr>
        <w:t>California Highway Patrol (</w:t>
      </w:r>
      <w:r w:rsidRPr="38CC9735" w:rsidR="6BE7AF83">
        <w:rPr>
          <w:rFonts w:ascii="Palatino Linotype" w:hAnsi="Palatino Linotype"/>
          <w:sz w:val="24"/>
          <w:szCs w:val="24"/>
        </w:rPr>
        <w:t>CHP</w:t>
      </w:r>
      <w:r w:rsidRPr="38CC9735" w:rsidR="00AF65CB">
        <w:rPr>
          <w:rFonts w:ascii="Palatino Linotype" w:hAnsi="Palatino Linotype"/>
          <w:sz w:val="24"/>
          <w:szCs w:val="24"/>
        </w:rPr>
        <w:t>)</w:t>
      </w:r>
      <w:r w:rsidRPr="38CC9735" w:rsidR="690D5544">
        <w:rPr>
          <w:rFonts w:ascii="Palatino Linotype" w:hAnsi="Palatino Linotype"/>
          <w:sz w:val="24"/>
          <w:szCs w:val="24"/>
        </w:rPr>
        <w:t xml:space="preserve"> Project</w:t>
      </w:r>
      <w:r w:rsidRPr="38CC9735" w:rsidR="00E129B1">
        <w:rPr>
          <w:rFonts w:ascii="Palatino Linotype" w:hAnsi="Palatino Linotype"/>
          <w:sz w:val="24"/>
          <w:szCs w:val="24"/>
        </w:rPr>
        <w:t xml:space="preserve">. </w:t>
      </w:r>
      <w:r w:rsidRPr="38CC9735" w:rsidR="00683614">
        <w:rPr>
          <w:rFonts w:ascii="Palatino Linotype" w:hAnsi="Palatino Linotype"/>
          <w:sz w:val="24"/>
          <w:szCs w:val="24"/>
        </w:rPr>
        <w:t xml:space="preserve">The </w:t>
      </w:r>
      <w:r w:rsidRPr="38CC9735" w:rsidR="000817D4">
        <w:rPr>
          <w:rFonts w:ascii="Palatino Linotype" w:hAnsi="Palatino Linotype" w:eastAsia="Palatino Linotype" w:cs="Palatino Linotype"/>
          <w:sz w:val="24"/>
          <w:szCs w:val="24"/>
        </w:rPr>
        <w:t>Actual Cost Contract</w:t>
      </w:r>
      <w:r w:rsidRPr="38CC9735" w:rsidR="000817D4">
        <w:rPr>
          <w:rFonts w:ascii="Palatino Linotype" w:hAnsi="Palatino Linotype"/>
          <w:sz w:val="24"/>
          <w:szCs w:val="24"/>
        </w:rPr>
        <w:t xml:space="preserve"> (ACC)</w:t>
      </w:r>
      <w:r w:rsidRPr="38CC9735" w:rsidR="00683614">
        <w:rPr>
          <w:rFonts w:ascii="Palatino Linotype" w:hAnsi="Palatino Linotype"/>
          <w:sz w:val="24"/>
          <w:szCs w:val="24"/>
        </w:rPr>
        <w:t xml:space="preserve"> governs the terms and conditions between </w:t>
      </w:r>
      <w:r w:rsidRPr="38CC9735" w:rsidR="5F9B2BE6">
        <w:rPr>
          <w:rFonts w:ascii="Palatino Linotype" w:hAnsi="Palatino Linotype"/>
          <w:sz w:val="24"/>
          <w:szCs w:val="24"/>
        </w:rPr>
        <w:t>CS Broward</w:t>
      </w:r>
      <w:r w:rsidRPr="38CC9735" w:rsidR="68FBA21F">
        <w:rPr>
          <w:rFonts w:ascii="Palatino Linotype" w:hAnsi="Palatino Linotype"/>
          <w:sz w:val="24"/>
          <w:szCs w:val="24"/>
        </w:rPr>
        <w:t>,</w:t>
      </w:r>
      <w:r w:rsidRPr="38CC9735" w:rsidR="00E120BE">
        <w:rPr>
          <w:rFonts w:ascii="Palatino Linotype" w:hAnsi="Palatino Linotype"/>
          <w:sz w:val="24"/>
          <w:szCs w:val="24"/>
        </w:rPr>
        <w:t xml:space="preserve"> </w:t>
      </w:r>
      <w:r w:rsidRPr="38CC9735" w:rsidR="00683614">
        <w:rPr>
          <w:rFonts w:ascii="Palatino Linotype" w:hAnsi="Palatino Linotype"/>
          <w:sz w:val="24"/>
          <w:szCs w:val="24"/>
        </w:rPr>
        <w:t xml:space="preserve">and PG&amp;E regarding the relocation of PG&amp;E’s facilities that </w:t>
      </w:r>
      <w:r w:rsidRPr="38CC9735" w:rsidR="00A02431">
        <w:rPr>
          <w:rFonts w:ascii="Palatino Linotype" w:hAnsi="Palatino Linotype"/>
          <w:sz w:val="24"/>
          <w:szCs w:val="24"/>
        </w:rPr>
        <w:t>conflict with</w:t>
      </w:r>
      <w:r w:rsidRPr="38CC9735" w:rsidR="00683614">
        <w:rPr>
          <w:rFonts w:ascii="Palatino Linotype" w:hAnsi="Palatino Linotype"/>
          <w:sz w:val="24"/>
          <w:szCs w:val="24"/>
        </w:rPr>
        <w:t xml:space="preserve"> the </w:t>
      </w:r>
      <w:r w:rsidRPr="38CC9735" w:rsidR="536D6EE5">
        <w:rPr>
          <w:rFonts w:ascii="Palatino Linotype" w:hAnsi="Palatino Linotype"/>
          <w:sz w:val="24"/>
          <w:szCs w:val="24"/>
        </w:rPr>
        <w:t>CHP</w:t>
      </w:r>
      <w:r w:rsidRPr="38CC9735" w:rsidR="690D5544">
        <w:rPr>
          <w:rFonts w:ascii="Palatino Linotype" w:hAnsi="Palatino Linotype"/>
          <w:sz w:val="24"/>
          <w:szCs w:val="24"/>
        </w:rPr>
        <w:t xml:space="preserve"> Project</w:t>
      </w:r>
      <w:r w:rsidRPr="38CC9735" w:rsidR="00683614">
        <w:rPr>
          <w:rFonts w:ascii="Palatino Linotype" w:hAnsi="Palatino Linotype"/>
          <w:sz w:val="24"/>
          <w:szCs w:val="24"/>
        </w:rPr>
        <w:t xml:space="preserve"> in </w:t>
      </w:r>
      <w:r w:rsidRPr="38CC9735" w:rsidR="475568EE">
        <w:rPr>
          <w:rFonts w:ascii="Palatino Linotype" w:hAnsi="Palatino Linotype"/>
          <w:sz w:val="24"/>
          <w:szCs w:val="24"/>
        </w:rPr>
        <w:t>Plumas County</w:t>
      </w:r>
      <w:r w:rsidRPr="38CC9735" w:rsidR="00683614">
        <w:rPr>
          <w:rFonts w:ascii="Palatino Linotype" w:hAnsi="Palatino Linotype"/>
          <w:sz w:val="24"/>
          <w:szCs w:val="24"/>
        </w:rPr>
        <w:t xml:space="preserve">. </w:t>
      </w:r>
      <w:r w:rsidRPr="38CC9735" w:rsidR="00E129B1">
        <w:rPr>
          <w:rFonts w:ascii="Palatino Linotype" w:hAnsi="Palatino Linotype"/>
          <w:sz w:val="24"/>
          <w:szCs w:val="24"/>
        </w:rPr>
        <w:t xml:space="preserve">PG&amp;E requests approval under Electric Rule No. 15.I.3 </w:t>
      </w:r>
      <w:r w:rsidRPr="38CC9735" w:rsidR="277EF6E3">
        <w:rPr>
          <w:rFonts w:ascii="Palatino Linotype" w:hAnsi="Palatino Linotype"/>
          <w:sz w:val="24"/>
          <w:szCs w:val="24"/>
        </w:rPr>
        <w:t xml:space="preserve">the Exceptional Cases Provision </w:t>
      </w:r>
      <w:r w:rsidRPr="38CC9735" w:rsidR="47165144">
        <w:rPr>
          <w:rFonts w:ascii="Palatino Linotype" w:hAnsi="Palatino Linotype"/>
          <w:sz w:val="24"/>
          <w:szCs w:val="24"/>
        </w:rPr>
        <w:t>for the proposed ACC</w:t>
      </w:r>
      <w:r w:rsidRPr="38CC9735" w:rsidR="78F3866E">
        <w:rPr>
          <w:rFonts w:ascii="Palatino Linotype" w:hAnsi="Palatino Linotype"/>
          <w:sz w:val="24"/>
          <w:szCs w:val="24"/>
        </w:rPr>
        <w:t>.</w:t>
      </w:r>
      <w:r w:rsidRPr="38CC9735" w:rsidR="60C0618A">
        <w:rPr>
          <w:rFonts w:ascii="Palatino Linotype" w:hAnsi="Palatino Linotype"/>
          <w:sz w:val="24"/>
          <w:szCs w:val="24"/>
        </w:rPr>
        <w:t xml:space="preserve"> </w:t>
      </w:r>
    </w:p>
    <w:p w:rsidRPr="005C7E9A" w:rsidR="00CF17DE" w:rsidP="78C78F7C" w:rsidRDefault="00CF17DE" w14:paraId="184E396E" w14:textId="77777777">
      <w:pPr>
        <w:jc w:val="both"/>
        <w:rPr>
          <w:rFonts w:ascii="Palatino Linotype" w:hAnsi="Palatino Linotype"/>
          <w:sz w:val="24"/>
          <w:szCs w:val="24"/>
        </w:rPr>
      </w:pPr>
    </w:p>
    <w:p w:rsidRPr="005C7E9A" w:rsidR="00CF17DE" w:rsidP="78C78F7C" w:rsidRDefault="00CF17DE" w14:paraId="0BFDDE4C" w14:textId="77777777">
      <w:pPr>
        <w:pStyle w:val="Heading1"/>
        <w:keepNext w:val="0"/>
        <w:spacing w:before="0" w:after="0"/>
        <w:jc w:val="both"/>
        <w:rPr>
          <w:rFonts w:ascii="Palatino Linotype" w:hAnsi="Palatino Linotype"/>
          <w:sz w:val="24"/>
          <w:szCs w:val="24"/>
        </w:rPr>
      </w:pPr>
      <w:r w:rsidRPr="78C78F7C">
        <w:rPr>
          <w:rFonts w:ascii="Palatino Linotype" w:hAnsi="Palatino Linotype"/>
          <w:sz w:val="24"/>
          <w:szCs w:val="24"/>
        </w:rPr>
        <w:t>Background</w:t>
      </w:r>
    </w:p>
    <w:p w:rsidRPr="00A91265" w:rsidR="00CC308A" w:rsidP="78C78F7C" w:rsidRDefault="676BEFD9" w14:paraId="1BB9BB26" w14:textId="32964ADE">
      <w:pPr>
        <w:jc w:val="both"/>
        <w:rPr>
          <w:rFonts w:ascii="Palatino Linotype" w:hAnsi="Palatino Linotype"/>
          <w:sz w:val="24"/>
          <w:szCs w:val="24"/>
        </w:rPr>
      </w:pPr>
      <w:r w:rsidRPr="78C78F7C">
        <w:rPr>
          <w:rFonts w:ascii="Palatino Linotype" w:hAnsi="Palatino Linotype"/>
          <w:sz w:val="24"/>
          <w:szCs w:val="24"/>
        </w:rPr>
        <w:t xml:space="preserve">Distribution relocation work is governed by Electric Rule 15.I.1, which provides that </w:t>
      </w:r>
    </w:p>
    <w:p w:rsidRPr="00A91265" w:rsidR="00CC308A" w:rsidP="78C78F7C" w:rsidRDefault="676BEFD9" w14:paraId="1E451F71" w14:textId="7881AC86">
      <w:pPr>
        <w:jc w:val="both"/>
      </w:pPr>
      <w:r w:rsidRPr="78C78F7C">
        <w:rPr>
          <w:rFonts w:ascii="Palatino Linotype" w:hAnsi="Palatino Linotype"/>
          <w:sz w:val="24"/>
          <w:szCs w:val="24"/>
        </w:rPr>
        <w:t xml:space="preserve">relocation of PG&amp;E’s existing facilities at the request of, or for the convenience of an </w:t>
      </w:r>
    </w:p>
    <w:p w:rsidRPr="00A91265" w:rsidR="00CC308A" w:rsidP="78C78F7C" w:rsidRDefault="676BEFD9" w14:paraId="0B517FA8" w14:textId="7E638228">
      <w:pPr>
        <w:jc w:val="both"/>
      </w:pPr>
      <w:r w:rsidRPr="78C78F7C">
        <w:rPr>
          <w:rFonts w:ascii="Palatino Linotype" w:hAnsi="Palatino Linotype"/>
          <w:sz w:val="24"/>
          <w:szCs w:val="24"/>
        </w:rPr>
        <w:t xml:space="preserve">applicant, and agreed upon by PG&amp;E shall normally be performed by PG&amp;E, and the </w:t>
      </w:r>
    </w:p>
    <w:p w:rsidRPr="00A91265" w:rsidR="00CC308A" w:rsidP="78C78F7C" w:rsidRDefault="676BEFD9" w14:paraId="36D8E3D6" w14:textId="27FD7660">
      <w:pPr>
        <w:jc w:val="both"/>
      </w:pPr>
      <w:r w:rsidRPr="78C78F7C">
        <w:rPr>
          <w:rFonts w:ascii="Palatino Linotype" w:hAnsi="Palatino Linotype"/>
          <w:sz w:val="24"/>
          <w:szCs w:val="24"/>
        </w:rPr>
        <w:t>applicant or customer is responsible for the cost of all related relocation, rearrangement or removal work.</w:t>
      </w:r>
    </w:p>
    <w:p w:rsidRPr="00A91265" w:rsidR="00CC308A" w:rsidP="78C78F7C" w:rsidRDefault="00CC308A" w14:paraId="31616F50" w14:textId="211CA491">
      <w:pPr>
        <w:jc w:val="both"/>
        <w:rPr>
          <w:rFonts w:ascii="Palatino Linotype" w:hAnsi="Palatino Linotype"/>
          <w:sz w:val="24"/>
          <w:szCs w:val="24"/>
        </w:rPr>
      </w:pPr>
    </w:p>
    <w:p w:rsidRPr="00A91265" w:rsidR="00CC308A" w:rsidP="006F6F3F" w:rsidRDefault="676BEFD9" w14:paraId="702F4A3A" w14:textId="1C2A5147">
      <w:pPr>
        <w:rPr>
          <w:rFonts w:ascii="Palatino Linotype" w:hAnsi="Palatino Linotype"/>
          <w:sz w:val="24"/>
          <w:szCs w:val="24"/>
        </w:rPr>
      </w:pPr>
      <w:r w:rsidRPr="78C78F7C">
        <w:rPr>
          <w:rFonts w:ascii="Palatino Linotype" w:hAnsi="Palatino Linotype"/>
          <w:sz w:val="24"/>
          <w:szCs w:val="24"/>
        </w:rPr>
        <w:t>In a typical utility relocation project involving distribution facilities, PG&amp;E would utilize its form agreement on file with the CPUC, Electric Form No. 62-4527 Agreement to Perform Tariff Schedule Related Work (Work Performance Agreement) which is used for a variety of tariff-related services, including relocation work performed at the request of an applicant. Under the Work Performance Agreement, the applicant agrees to pay PG&amp;E the specified contract price, which is based on PG&amp;E’s estimated cost of the work performed by PG&amp;E, in accordance with Rule 15.G. These charges are collected at the time the Work Performance Agreement is entered into, in advance of the work.</w:t>
      </w:r>
    </w:p>
    <w:p w:rsidRPr="00A91265" w:rsidR="00CC308A" w:rsidP="006F6F3F" w:rsidRDefault="00CC308A" w14:paraId="7EB7044F" w14:textId="4D5408C6">
      <w:pPr>
        <w:rPr>
          <w:rFonts w:ascii="Palatino Linotype" w:hAnsi="Palatino Linotype"/>
          <w:sz w:val="24"/>
          <w:szCs w:val="24"/>
        </w:rPr>
      </w:pPr>
    </w:p>
    <w:p w:rsidRPr="00A91265" w:rsidR="00CC308A" w:rsidP="006F6F3F" w:rsidRDefault="53CB6299" w14:paraId="017535C3" w14:textId="0866ECE8">
      <w:pPr>
        <w:rPr>
          <w:rFonts w:ascii="Palatino Linotype" w:hAnsi="Palatino Linotype"/>
          <w:sz w:val="24"/>
          <w:szCs w:val="24"/>
        </w:rPr>
      </w:pPr>
      <w:r w:rsidRPr="38CC9735">
        <w:rPr>
          <w:rFonts w:ascii="Palatino Linotype" w:hAnsi="Palatino Linotype"/>
          <w:sz w:val="24"/>
          <w:szCs w:val="24"/>
        </w:rPr>
        <w:t>This</w:t>
      </w:r>
      <w:r w:rsidRPr="38CC9735" w:rsidR="0F4FFBE0">
        <w:rPr>
          <w:rFonts w:ascii="Palatino Linotype" w:hAnsi="Palatino Linotype"/>
          <w:sz w:val="24"/>
          <w:szCs w:val="24"/>
        </w:rPr>
        <w:t xml:space="preserve"> </w:t>
      </w:r>
      <w:r w:rsidRPr="38CC9735">
        <w:rPr>
          <w:rFonts w:ascii="Palatino Linotype" w:hAnsi="Palatino Linotype"/>
          <w:sz w:val="24"/>
          <w:szCs w:val="24"/>
        </w:rPr>
        <w:t xml:space="preserve">ACC </w:t>
      </w:r>
      <w:r w:rsidRPr="38CC9735" w:rsidR="676BEFD9">
        <w:rPr>
          <w:rFonts w:ascii="Palatino Linotype" w:hAnsi="Palatino Linotype"/>
          <w:sz w:val="24"/>
          <w:szCs w:val="24"/>
        </w:rPr>
        <w:t>with CS Broward entails a substantial scope of work for the PG&amp;E Project. Performing such a large-scale utility relocation and rearrangement on an estimated cost basis creates a risk that the cost estimate may not accurately capture the cost that will be incurred during the PG&amp;E Project. For example, should the cost estimate later be determined to be lower than the actual costs incurred, PG&amp;E would bear those additional costs that exceeded the cost estimate. Alternatively, should the cost estimate be higher than the actual costs, CS Broward would bear more than the amount PG&amp;E actually incurred to perform the work.</w:t>
      </w:r>
    </w:p>
    <w:p w:rsidRPr="00425EE9" w:rsidR="00425EE9" w:rsidP="006F6F3F" w:rsidRDefault="00425EE9" w14:paraId="7E07A837" w14:textId="751E65CF">
      <w:pPr>
        <w:rPr>
          <w:rFonts w:ascii="Palatino Linotype" w:hAnsi="Palatino Linotype"/>
          <w:sz w:val="24"/>
          <w:szCs w:val="24"/>
        </w:rPr>
      </w:pPr>
    </w:p>
    <w:p w:rsidRPr="00425EE9" w:rsidR="00425EE9" w:rsidP="006F6F3F" w:rsidRDefault="676BEFD9" w14:paraId="501879EF" w14:textId="4F7E1DAD">
      <w:pPr>
        <w:rPr>
          <w:rFonts w:ascii="Palatino Linotype" w:hAnsi="Palatino Linotype"/>
          <w:sz w:val="24"/>
          <w:szCs w:val="24"/>
        </w:rPr>
      </w:pPr>
      <w:r w:rsidRPr="78C78F7C">
        <w:rPr>
          <w:rFonts w:ascii="Palatino Linotype" w:hAnsi="Palatino Linotype"/>
          <w:sz w:val="24"/>
          <w:szCs w:val="24"/>
        </w:rPr>
        <w:t xml:space="preserve">Under the ACC, PG&amp;E is accommodating CS Broward’s request to pay for the work on an actual cost basis. CS Broward will pay the estimated PG&amp;E Project cost upfront, </w:t>
      </w:r>
      <w:proofErr w:type="gramStart"/>
      <w:r w:rsidRPr="78C78F7C">
        <w:rPr>
          <w:rFonts w:ascii="Palatino Linotype" w:hAnsi="Palatino Linotype"/>
          <w:sz w:val="24"/>
          <w:szCs w:val="24"/>
        </w:rPr>
        <w:t>similar to</w:t>
      </w:r>
      <w:proofErr w:type="gramEnd"/>
      <w:r w:rsidRPr="78C78F7C">
        <w:rPr>
          <w:rFonts w:ascii="Palatino Linotype" w:hAnsi="Palatino Linotype"/>
          <w:sz w:val="24"/>
          <w:szCs w:val="24"/>
        </w:rPr>
        <w:t xml:space="preserve"> the Work Performance Agreement, but after the relocation work is completed, PG&amp;E will true-up the final costs in a final invoice. The final invoice will reflect the full </w:t>
      </w:r>
      <w:r w:rsidRPr="78C78F7C">
        <w:rPr>
          <w:rFonts w:ascii="Palatino Linotype" w:hAnsi="Palatino Linotype"/>
          <w:sz w:val="24"/>
          <w:szCs w:val="24"/>
        </w:rPr>
        <w:lastRenderedPageBreak/>
        <w:t>actual cost of the relocation work, with appropriate credit for the initial payment received from CS Broward.</w:t>
      </w:r>
    </w:p>
    <w:p w:rsidR="3C3C196E" w:rsidP="78C78F7C" w:rsidRDefault="3C3C196E" w14:paraId="27F8BB2E" w14:textId="07CB412D">
      <w:pPr>
        <w:jc w:val="both"/>
        <w:rPr>
          <w:rFonts w:ascii="Palatino Linotype" w:hAnsi="Palatino Linotype"/>
          <w:sz w:val="24"/>
          <w:szCs w:val="24"/>
        </w:rPr>
      </w:pPr>
    </w:p>
    <w:p w:rsidRPr="00190508" w:rsidR="121B1FB4" w:rsidP="006F6F3F" w:rsidRDefault="121B1FB4" w14:paraId="2FE224DE" w14:textId="419B768F">
      <w:pPr>
        <w:rPr>
          <w:rFonts w:ascii="Palatino Linotype" w:hAnsi="Palatino Linotype"/>
          <w:sz w:val="24"/>
          <w:szCs w:val="24"/>
        </w:rPr>
      </w:pPr>
      <w:r w:rsidRPr="38CC9735">
        <w:rPr>
          <w:rFonts w:ascii="Palatino Linotype" w:hAnsi="Palatino Linotype"/>
          <w:sz w:val="24"/>
          <w:szCs w:val="24"/>
        </w:rPr>
        <w:t xml:space="preserve">The ACC also addresses the cost of PG&amp;E’s work on the preliminary design, review and coordination of the relocation of the electric utility facilities in conflict with the </w:t>
      </w:r>
      <w:r w:rsidRPr="38CC9735" w:rsidR="00DE399D">
        <w:rPr>
          <w:rFonts w:ascii="Palatino Linotype" w:hAnsi="Palatino Linotype"/>
          <w:sz w:val="24"/>
          <w:szCs w:val="24"/>
        </w:rPr>
        <w:t>(</w:t>
      </w:r>
      <w:r w:rsidRPr="38CC9735">
        <w:rPr>
          <w:rFonts w:ascii="Palatino Linotype" w:hAnsi="Palatino Linotype"/>
          <w:sz w:val="24"/>
          <w:szCs w:val="24"/>
        </w:rPr>
        <w:t>CHP</w:t>
      </w:r>
      <w:r w:rsidRPr="38CC9735" w:rsidR="00DE399D">
        <w:rPr>
          <w:rFonts w:ascii="Palatino Linotype" w:hAnsi="Palatino Linotype"/>
          <w:sz w:val="24"/>
          <w:szCs w:val="24"/>
        </w:rPr>
        <w:t>)</w:t>
      </w:r>
      <w:r w:rsidRPr="38CC9735">
        <w:rPr>
          <w:rFonts w:ascii="Palatino Linotype" w:hAnsi="Palatino Linotype"/>
          <w:sz w:val="24"/>
          <w:szCs w:val="24"/>
        </w:rPr>
        <w:t xml:space="preserve"> Project. PG&amp;E can accommodate the relocation request for the CHP Project and will undertake the construction of the work to remove, relocate or rearrange the electric facilities.</w:t>
      </w:r>
    </w:p>
    <w:p w:rsidRPr="00A91265" w:rsidR="00A714AA" w:rsidP="78C78F7C" w:rsidRDefault="00A714AA" w14:paraId="6FE385D8" w14:textId="77777777">
      <w:pPr>
        <w:jc w:val="both"/>
        <w:rPr>
          <w:rFonts w:ascii="Palatino Linotype" w:hAnsi="Palatino Linotype"/>
          <w:sz w:val="24"/>
          <w:szCs w:val="24"/>
        </w:rPr>
      </w:pPr>
    </w:p>
    <w:p w:rsidRPr="00FE248A" w:rsidR="001733ED" w:rsidP="78C78F7C" w:rsidRDefault="00A72862" w14:paraId="1EDBCF05" w14:textId="40D41980">
      <w:pPr>
        <w:jc w:val="both"/>
        <w:rPr>
          <w:rFonts w:ascii="Palatino Linotype" w:hAnsi="Palatino Linotype"/>
          <w:b/>
          <w:bCs/>
          <w:sz w:val="24"/>
          <w:szCs w:val="24"/>
          <w:u w:val="single"/>
        </w:rPr>
      </w:pPr>
      <w:r w:rsidRPr="38CC9735">
        <w:rPr>
          <w:rFonts w:ascii="Palatino Linotype" w:hAnsi="Palatino Linotype"/>
          <w:b/>
          <w:bCs/>
          <w:sz w:val="24"/>
          <w:szCs w:val="24"/>
          <w:u w:val="single"/>
        </w:rPr>
        <w:t>PROJECT SCOPE</w:t>
      </w:r>
    </w:p>
    <w:p w:rsidR="00FA50EF" w:rsidP="006F6F3F" w:rsidRDefault="0859102B" w14:paraId="2ED859A9" w14:textId="05C9903A">
      <w:pPr>
        <w:rPr>
          <w:rFonts w:ascii="Palatino Linotype" w:hAnsi="Palatino Linotype"/>
          <w:sz w:val="24"/>
          <w:szCs w:val="24"/>
        </w:rPr>
      </w:pPr>
      <w:r w:rsidRPr="38CC9735">
        <w:rPr>
          <w:rFonts w:ascii="Palatino Linotype" w:hAnsi="Palatino Linotype"/>
          <w:sz w:val="24"/>
          <w:szCs w:val="24"/>
        </w:rPr>
        <w:t xml:space="preserve">The CHP Project is to construct a new CHP office in Plumas County. The PG&amp;E Project requires PG&amp;E to work on the Caribou-Plumas Junction 60kV transmission line to relocate one transmission pole, upgrade a distribution pole to a transmission pole, and replace two transmission poles, all with the East Quincy 1101 electric distribution </w:t>
      </w:r>
      <w:r w:rsidRPr="38CC9735" w:rsidR="00A72862">
        <w:rPr>
          <w:rFonts w:ascii="Palatino Linotype" w:hAnsi="Palatino Linotype"/>
          <w:sz w:val="24"/>
          <w:szCs w:val="24"/>
        </w:rPr>
        <w:t>underbuil</w:t>
      </w:r>
      <w:r w:rsidRPr="38CC9735" w:rsidR="27C41EA0">
        <w:rPr>
          <w:rFonts w:ascii="Palatino Linotype" w:hAnsi="Palatino Linotype"/>
          <w:sz w:val="24"/>
          <w:szCs w:val="24"/>
        </w:rPr>
        <w:t>d</w:t>
      </w:r>
      <w:r w:rsidRPr="38CC9735">
        <w:rPr>
          <w:rFonts w:ascii="Palatino Linotype" w:hAnsi="Palatino Linotype"/>
          <w:sz w:val="24"/>
          <w:szCs w:val="24"/>
        </w:rPr>
        <w:t xml:space="preserve">. </w:t>
      </w:r>
    </w:p>
    <w:p w:rsidR="00FA50EF" w:rsidP="78C78F7C" w:rsidRDefault="00FA50EF" w14:paraId="3CC0D2F6" w14:textId="77777777">
      <w:pPr>
        <w:jc w:val="both"/>
        <w:rPr>
          <w:rFonts w:ascii="Palatino Linotype" w:hAnsi="Palatino Linotype"/>
          <w:sz w:val="24"/>
          <w:szCs w:val="24"/>
        </w:rPr>
      </w:pPr>
    </w:p>
    <w:p w:rsidRPr="00864BCE" w:rsidR="00895EB4" w:rsidP="60019A6A" w:rsidRDefault="00A72862" w14:paraId="3CB1F214" w14:textId="00B8D3B4">
      <w:pPr>
        <w:jc w:val="both"/>
        <w:rPr>
          <w:rFonts w:ascii="Palatino Linotype" w:hAnsi="Palatino Linotype"/>
          <w:b/>
          <w:bCs/>
          <w:sz w:val="24"/>
          <w:szCs w:val="24"/>
        </w:rPr>
      </w:pPr>
      <w:r w:rsidRPr="38CC9735">
        <w:rPr>
          <w:rFonts w:ascii="Palatino Linotype" w:hAnsi="Palatino Linotype"/>
          <w:b/>
          <w:bCs/>
          <w:sz w:val="24"/>
          <w:szCs w:val="24"/>
          <w:u w:val="single"/>
        </w:rPr>
        <w:t xml:space="preserve">PROJECT </w:t>
      </w:r>
      <w:r w:rsidRPr="38CC9735" w:rsidR="374AFC68">
        <w:rPr>
          <w:rFonts w:ascii="Palatino Linotype" w:hAnsi="Palatino Linotype"/>
          <w:b/>
          <w:bCs/>
          <w:sz w:val="24"/>
          <w:szCs w:val="24"/>
          <w:u w:val="single"/>
        </w:rPr>
        <w:t xml:space="preserve">COST </w:t>
      </w:r>
      <w:r w:rsidRPr="38CC9735" w:rsidR="7E561EC4">
        <w:rPr>
          <w:rFonts w:ascii="Palatino Linotype" w:hAnsi="Palatino Linotype"/>
          <w:b/>
          <w:bCs/>
          <w:sz w:val="24"/>
          <w:szCs w:val="24"/>
        </w:rPr>
        <w:t xml:space="preserve"> </w:t>
      </w:r>
    </w:p>
    <w:p w:rsidR="4978CB06" w:rsidP="006F6F3F" w:rsidRDefault="7E561EC4" w14:paraId="61697C50" w14:textId="531CE82A">
      <w:pPr>
        <w:rPr>
          <w:rFonts w:ascii="Palatino Linotype" w:hAnsi="Palatino Linotype"/>
          <w:sz w:val="24"/>
          <w:szCs w:val="24"/>
        </w:rPr>
      </w:pPr>
      <w:r w:rsidRPr="38CC9735">
        <w:rPr>
          <w:rFonts w:ascii="Palatino Linotype" w:hAnsi="Palatino Linotype"/>
          <w:sz w:val="24"/>
          <w:szCs w:val="24"/>
        </w:rPr>
        <w:t>The estimated cost of this work, under the ACC, is $1,050,659 plus an additional 24% for the Income Tax Component of Contributions (ITCC)</w:t>
      </w:r>
      <w:r w:rsidRPr="38CC9735" w:rsidR="00CE2979">
        <w:rPr>
          <w:rFonts w:ascii="Palatino Linotype" w:hAnsi="Palatino Linotype"/>
          <w:sz w:val="24"/>
          <w:szCs w:val="24"/>
        </w:rPr>
        <w:t xml:space="preserve">, which </w:t>
      </w:r>
      <w:r w:rsidRPr="38CC9735">
        <w:rPr>
          <w:rFonts w:ascii="Palatino Linotype" w:hAnsi="Palatino Linotype"/>
          <w:sz w:val="24"/>
          <w:szCs w:val="24"/>
        </w:rPr>
        <w:t>comes out to $252,158.00</w:t>
      </w:r>
      <w:r w:rsidRPr="38CC9735" w:rsidR="00A77BC9">
        <w:rPr>
          <w:rFonts w:ascii="Palatino Linotype" w:hAnsi="Palatino Linotype"/>
          <w:sz w:val="24"/>
          <w:szCs w:val="24"/>
        </w:rPr>
        <w:t>,</w:t>
      </w:r>
      <w:r w:rsidRPr="38CC9735">
        <w:rPr>
          <w:rFonts w:ascii="Palatino Linotype" w:hAnsi="Palatino Linotype"/>
          <w:sz w:val="24"/>
          <w:szCs w:val="24"/>
        </w:rPr>
        <w:t xml:space="preserve"> resulting in total </w:t>
      </w:r>
      <w:r w:rsidRPr="38CC9735" w:rsidR="00A77BC9">
        <w:rPr>
          <w:rFonts w:ascii="Palatino Linotype" w:hAnsi="Palatino Linotype"/>
          <w:sz w:val="24"/>
          <w:szCs w:val="24"/>
        </w:rPr>
        <w:t xml:space="preserve">project cost </w:t>
      </w:r>
      <w:r w:rsidRPr="38CC9735">
        <w:rPr>
          <w:rFonts w:ascii="Palatino Linotype" w:hAnsi="Palatino Linotype"/>
          <w:sz w:val="24"/>
          <w:szCs w:val="24"/>
        </w:rPr>
        <w:t xml:space="preserve">of $1,302,817.00. The estimated cost and the ITCC are to be paid by CS Broward. CS Broward has already paid PG&amp;E $300,000.00 in an engineering advance that will be subtracted from the current </w:t>
      </w:r>
      <w:r w:rsidRPr="38CC9735" w:rsidR="00D31968">
        <w:rPr>
          <w:rFonts w:ascii="Palatino Linotype" w:hAnsi="Palatino Linotype"/>
          <w:sz w:val="24"/>
          <w:szCs w:val="24"/>
        </w:rPr>
        <w:t>total project cost</w:t>
      </w:r>
      <w:r w:rsidRPr="38CC9735">
        <w:rPr>
          <w:rFonts w:ascii="Palatino Linotype" w:hAnsi="Palatino Linotype"/>
          <w:sz w:val="24"/>
          <w:szCs w:val="24"/>
        </w:rPr>
        <w:t>. The remainder of the current estimated cost</w:t>
      </w:r>
      <w:r w:rsidRPr="38CC9735" w:rsidR="00D31968">
        <w:rPr>
          <w:rFonts w:ascii="Palatino Linotype" w:hAnsi="Palatino Linotype"/>
          <w:sz w:val="24"/>
          <w:szCs w:val="24"/>
        </w:rPr>
        <w:t xml:space="preserve"> </w:t>
      </w:r>
      <w:r w:rsidRPr="38CC9735">
        <w:rPr>
          <w:rFonts w:ascii="Palatino Linotype" w:hAnsi="Palatino Linotype"/>
          <w:sz w:val="24"/>
          <w:szCs w:val="24"/>
        </w:rPr>
        <w:t>and the ITCC</w:t>
      </w:r>
      <w:r w:rsidRPr="38CC9735" w:rsidR="00D31968">
        <w:rPr>
          <w:rFonts w:ascii="Palatino Linotype" w:hAnsi="Palatino Linotype"/>
          <w:sz w:val="24"/>
          <w:szCs w:val="24"/>
        </w:rPr>
        <w:t>, or $1,002,817.00,</w:t>
      </w:r>
      <w:r w:rsidRPr="38CC9735">
        <w:rPr>
          <w:rFonts w:ascii="Palatino Linotype" w:hAnsi="Palatino Linotype"/>
          <w:sz w:val="24"/>
          <w:szCs w:val="24"/>
        </w:rPr>
        <w:t xml:space="preserve"> are to be paid by CS Broward when the ACC is executed. The PG&amp;E Project is anticipated to start in January 2027 but is subject to Commission approval before starting construction</w:t>
      </w:r>
    </w:p>
    <w:p w:rsidRPr="00A91265" w:rsidR="006E0227" w:rsidP="78C78F7C" w:rsidRDefault="006E0227" w14:paraId="46440690" w14:textId="77777777">
      <w:pPr>
        <w:jc w:val="both"/>
        <w:rPr>
          <w:rFonts w:ascii="Palatino Linotype" w:hAnsi="Palatino Linotype"/>
          <w:sz w:val="24"/>
          <w:szCs w:val="24"/>
        </w:rPr>
      </w:pPr>
    </w:p>
    <w:p w:rsidR="001733ED" w:rsidP="78C78F7C" w:rsidRDefault="008E6D61" w14:paraId="114CC147" w14:textId="2B00C851">
      <w:pPr>
        <w:jc w:val="both"/>
        <w:rPr>
          <w:rFonts w:ascii="Palatino Linotype" w:hAnsi="Palatino Linotype"/>
          <w:b/>
          <w:bCs/>
          <w:sz w:val="24"/>
          <w:szCs w:val="24"/>
          <w:u w:val="single"/>
        </w:rPr>
      </w:pPr>
      <w:r w:rsidRPr="78C78F7C">
        <w:rPr>
          <w:rFonts w:ascii="Palatino Linotype" w:hAnsi="Palatino Linotype"/>
          <w:b/>
          <w:bCs/>
          <w:sz w:val="24"/>
          <w:szCs w:val="24"/>
          <w:u w:val="single"/>
        </w:rPr>
        <w:t>AGREEMENT TERMS</w:t>
      </w:r>
    </w:p>
    <w:p w:rsidRPr="00AE726C" w:rsidR="001733ED" w:rsidP="78C78F7C" w:rsidRDefault="001733ED" w14:paraId="489F8B1F" w14:textId="77777777">
      <w:pPr>
        <w:jc w:val="both"/>
        <w:rPr>
          <w:rFonts w:ascii="Palatino Linotype" w:hAnsi="Palatino Linotype"/>
          <w:b/>
          <w:bCs/>
          <w:i/>
          <w:iCs/>
          <w:sz w:val="24"/>
          <w:szCs w:val="24"/>
        </w:rPr>
      </w:pPr>
      <w:r w:rsidRPr="78C78F7C">
        <w:rPr>
          <w:rFonts w:ascii="Palatino Linotype" w:hAnsi="Palatino Linotype"/>
          <w:b/>
          <w:bCs/>
          <w:i/>
          <w:iCs/>
          <w:sz w:val="24"/>
          <w:szCs w:val="24"/>
        </w:rPr>
        <w:t>Design, Procurement and Construction</w:t>
      </w:r>
    </w:p>
    <w:p w:rsidRPr="008E6D61" w:rsidR="008E6D61" w:rsidP="78C78F7C" w:rsidRDefault="008E6D61" w14:paraId="0F533F45" w14:textId="493EACE2">
      <w:pPr>
        <w:jc w:val="both"/>
        <w:rPr>
          <w:rFonts w:ascii="Palatino Linotype" w:hAnsi="Palatino Linotype"/>
          <w:sz w:val="24"/>
          <w:szCs w:val="24"/>
        </w:rPr>
      </w:pPr>
      <w:r w:rsidRPr="78C78F7C">
        <w:rPr>
          <w:rFonts w:ascii="Palatino Linotype" w:hAnsi="Palatino Linotype"/>
          <w:sz w:val="24"/>
          <w:szCs w:val="24"/>
        </w:rPr>
        <w:t xml:space="preserve">Under the ACC, PG&amp;E is responsible for the </w:t>
      </w:r>
      <w:r w:rsidRPr="78C78F7C" w:rsidR="000F3A98">
        <w:rPr>
          <w:rFonts w:ascii="Palatino Linotype" w:hAnsi="Palatino Linotype"/>
          <w:sz w:val="24"/>
          <w:szCs w:val="24"/>
        </w:rPr>
        <w:t>design and</w:t>
      </w:r>
      <w:r w:rsidRPr="78C78F7C">
        <w:rPr>
          <w:rFonts w:ascii="Palatino Linotype" w:hAnsi="Palatino Linotype"/>
          <w:sz w:val="24"/>
          <w:szCs w:val="24"/>
        </w:rPr>
        <w:t xml:space="preserve"> procurement of supplies,</w:t>
      </w:r>
    </w:p>
    <w:p w:rsidRPr="00A91265" w:rsidR="00013011" w:rsidP="78C78F7C" w:rsidRDefault="008E6D61" w14:paraId="237A6AD2" w14:textId="36BEE1BB">
      <w:pPr>
        <w:jc w:val="both"/>
        <w:rPr>
          <w:rFonts w:ascii="Palatino Linotype" w:hAnsi="Palatino Linotype"/>
          <w:sz w:val="24"/>
          <w:szCs w:val="24"/>
        </w:rPr>
      </w:pPr>
      <w:r w:rsidRPr="78C78F7C">
        <w:rPr>
          <w:rFonts w:ascii="Palatino Linotype" w:hAnsi="Palatino Linotype"/>
          <w:sz w:val="24"/>
          <w:szCs w:val="24"/>
        </w:rPr>
        <w:t>construction and removal of its utility facilities.</w:t>
      </w:r>
    </w:p>
    <w:p w:rsidR="3C3C196E" w:rsidP="78C78F7C" w:rsidRDefault="3C3C196E" w14:paraId="279B6B54" w14:textId="46CD894B">
      <w:pPr>
        <w:jc w:val="both"/>
        <w:rPr>
          <w:rFonts w:ascii="Palatino Linotype" w:hAnsi="Palatino Linotype"/>
          <w:sz w:val="24"/>
          <w:szCs w:val="24"/>
        </w:rPr>
      </w:pPr>
    </w:p>
    <w:p w:rsidRPr="00AE726C" w:rsidR="001733ED" w:rsidP="78C78F7C" w:rsidRDefault="001733ED" w14:paraId="596F6218" w14:textId="77777777">
      <w:pPr>
        <w:jc w:val="both"/>
        <w:rPr>
          <w:rFonts w:ascii="Palatino Linotype" w:hAnsi="Palatino Linotype"/>
          <w:b/>
          <w:bCs/>
          <w:i/>
          <w:iCs/>
          <w:sz w:val="24"/>
          <w:szCs w:val="24"/>
        </w:rPr>
      </w:pPr>
      <w:r w:rsidRPr="78C78F7C">
        <w:rPr>
          <w:rFonts w:ascii="Palatino Linotype" w:hAnsi="Palatino Linotype"/>
          <w:b/>
          <w:bCs/>
          <w:i/>
          <w:iCs/>
          <w:sz w:val="24"/>
          <w:szCs w:val="24"/>
        </w:rPr>
        <w:t>Compliance with Permits</w:t>
      </w:r>
    </w:p>
    <w:p w:rsidR="33D4ECD6" w:rsidP="78C78F7C" w:rsidRDefault="33D4ECD6" w14:paraId="507F0C0D" w14:textId="4C433A51">
      <w:pPr>
        <w:jc w:val="both"/>
        <w:rPr>
          <w:rFonts w:ascii="Palatino Linotype" w:hAnsi="Palatino Linotype"/>
          <w:sz w:val="24"/>
          <w:szCs w:val="24"/>
        </w:rPr>
      </w:pPr>
      <w:r w:rsidRPr="78C78F7C">
        <w:rPr>
          <w:rFonts w:ascii="Palatino Linotype" w:hAnsi="Palatino Linotype"/>
          <w:sz w:val="24"/>
          <w:szCs w:val="24"/>
        </w:rPr>
        <w:t xml:space="preserve">CS Broward shall acquire all governmental approvals and permits </w:t>
      </w:r>
      <w:r w:rsidRPr="78C78F7C" w:rsidR="00E55F49">
        <w:rPr>
          <w:rFonts w:ascii="Palatino Linotype" w:hAnsi="Palatino Linotype"/>
          <w:sz w:val="24"/>
          <w:szCs w:val="24"/>
        </w:rPr>
        <w:t>for</w:t>
      </w:r>
      <w:r w:rsidRPr="78C78F7C">
        <w:rPr>
          <w:rFonts w:ascii="Palatino Linotype" w:hAnsi="Palatino Linotype"/>
          <w:sz w:val="24"/>
          <w:szCs w:val="24"/>
        </w:rPr>
        <w:t xml:space="preserve"> PG&amp;E to undertake the work necessary to relocate, remove or rearrange PG&amp;E’s facilities.</w:t>
      </w:r>
    </w:p>
    <w:p w:rsidRPr="00A91265" w:rsidR="00013011" w:rsidP="78C78F7C" w:rsidRDefault="00013011" w14:paraId="729C361B" w14:textId="77777777">
      <w:pPr>
        <w:jc w:val="both"/>
        <w:rPr>
          <w:rFonts w:ascii="Palatino Linotype" w:hAnsi="Palatino Linotype"/>
          <w:sz w:val="24"/>
          <w:szCs w:val="24"/>
        </w:rPr>
      </w:pPr>
    </w:p>
    <w:p w:rsidRPr="00AE726C" w:rsidR="001733ED" w:rsidP="78C78F7C" w:rsidRDefault="001733ED" w14:paraId="1BA3D7D5" w14:textId="77777777">
      <w:pPr>
        <w:jc w:val="both"/>
        <w:rPr>
          <w:rFonts w:ascii="Palatino Linotype" w:hAnsi="Palatino Linotype"/>
          <w:b/>
          <w:bCs/>
          <w:i/>
          <w:iCs/>
          <w:sz w:val="24"/>
          <w:szCs w:val="24"/>
        </w:rPr>
      </w:pPr>
      <w:r w:rsidRPr="78C78F7C">
        <w:rPr>
          <w:rFonts w:ascii="Palatino Linotype" w:hAnsi="Palatino Linotype"/>
          <w:b/>
          <w:bCs/>
          <w:i/>
          <w:iCs/>
          <w:sz w:val="24"/>
          <w:szCs w:val="24"/>
        </w:rPr>
        <w:t>Land Rights for the Relocated Facilities</w:t>
      </w:r>
    </w:p>
    <w:p w:rsidR="7A5AE864" w:rsidP="006F6F3F" w:rsidRDefault="7A5AE864" w14:paraId="1B18651C" w14:textId="7F7C431E">
      <w:pPr>
        <w:rPr>
          <w:rFonts w:ascii="Palatino Linotype" w:hAnsi="Palatino Linotype"/>
          <w:sz w:val="24"/>
          <w:szCs w:val="24"/>
        </w:rPr>
      </w:pPr>
      <w:r w:rsidRPr="38CC9735">
        <w:rPr>
          <w:rFonts w:ascii="Palatino Linotype" w:hAnsi="Palatino Linotype"/>
          <w:sz w:val="24"/>
          <w:szCs w:val="24"/>
        </w:rPr>
        <w:t xml:space="preserve">The relocation of PG&amp;E’s facilities may require the acquisition of additional land rights on the </w:t>
      </w:r>
      <w:r w:rsidRPr="38CC9735" w:rsidR="00E55F49">
        <w:rPr>
          <w:rFonts w:ascii="Palatino Linotype" w:hAnsi="Palatino Linotype"/>
          <w:sz w:val="24"/>
          <w:szCs w:val="24"/>
        </w:rPr>
        <w:t>p</w:t>
      </w:r>
      <w:r w:rsidRPr="38CC9735">
        <w:rPr>
          <w:rFonts w:ascii="Palatino Linotype" w:hAnsi="Palatino Linotype"/>
          <w:sz w:val="24"/>
          <w:szCs w:val="24"/>
        </w:rPr>
        <w:t>roperty or third-party property</w:t>
      </w:r>
      <w:r w:rsidRPr="38CC9735" w:rsidR="7AED2C7D">
        <w:rPr>
          <w:rFonts w:ascii="Palatino Linotype" w:hAnsi="Palatino Linotype"/>
          <w:sz w:val="24"/>
          <w:szCs w:val="24"/>
        </w:rPr>
        <w:t xml:space="preserve"> should there be changes to the project’s scope</w:t>
      </w:r>
      <w:r w:rsidRPr="38CC9735" w:rsidR="74EBA453">
        <w:rPr>
          <w:rFonts w:ascii="Palatino Linotype" w:hAnsi="Palatino Linotype"/>
          <w:sz w:val="24"/>
          <w:szCs w:val="24"/>
        </w:rPr>
        <w:t>.</w:t>
      </w:r>
      <w:r w:rsidRPr="38CC9735">
        <w:rPr>
          <w:rFonts w:ascii="Palatino Linotype" w:hAnsi="Palatino Linotype"/>
          <w:sz w:val="24"/>
          <w:szCs w:val="24"/>
        </w:rPr>
        <w:t xml:space="preserve"> Additional land rights may be required, for example, </w:t>
      </w:r>
      <w:r w:rsidRPr="38CC9735" w:rsidR="00CB2ECF">
        <w:rPr>
          <w:rFonts w:ascii="Palatino Linotype" w:hAnsi="Palatino Linotype"/>
          <w:sz w:val="24"/>
          <w:szCs w:val="24"/>
        </w:rPr>
        <w:t xml:space="preserve">if there is need </w:t>
      </w:r>
      <w:r w:rsidRPr="38CC9735">
        <w:rPr>
          <w:rFonts w:ascii="Palatino Linotype" w:hAnsi="Palatino Linotype"/>
          <w:sz w:val="24"/>
          <w:szCs w:val="24"/>
        </w:rPr>
        <w:t xml:space="preserve">to accommodate a </w:t>
      </w:r>
      <w:r w:rsidRPr="38CC9735">
        <w:rPr>
          <w:rFonts w:ascii="Palatino Linotype" w:hAnsi="Palatino Linotype"/>
          <w:sz w:val="24"/>
          <w:szCs w:val="24"/>
        </w:rPr>
        <w:lastRenderedPageBreak/>
        <w:t xml:space="preserve">change in the location where the facility </w:t>
      </w:r>
      <w:r w:rsidRPr="38CC9735" w:rsidR="36F256F5">
        <w:rPr>
          <w:rFonts w:ascii="Palatino Linotype" w:hAnsi="Palatino Linotype"/>
          <w:sz w:val="24"/>
          <w:szCs w:val="24"/>
        </w:rPr>
        <w:t>would</w:t>
      </w:r>
      <w:r w:rsidRPr="38CC9735">
        <w:rPr>
          <w:rFonts w:ascii="Palatino Linotype" w:hAnsi="Palatino Linotype"/>
          <w:sz w:val="24"/>
          <w:szCs w:val="24"/>
        </w:rPr>
        <w:t xml:space="preserve"> change alignment or require a larger easement width. In these cases, CS Broward is required to obtain satisfactory replacement land rights, at no cost to PG&amp;E, that correspond to PG&amp;E’s existing </w:t>
      </w:r>
      <w:r w:rsidR="006F6F3F">
        <w:rPr>
          <w:rFonts w:ascii="Palatino Linotype" w:hAnsi="Palatino Linotype"/>
          <w:sz w:val="24"/>
          <w:szCs w:val="24"/>
        </w:rPr>
        <w:br/>
      </w:r>
      <w:r w:rsidRPr="38CC9735">
        <w:rPr>
          <w:rFonts w:ascii="Palatino Linotype" w:hAnsi="Palatino Linotype"/>
          <w:sz w:val="24"/>
          <w:szCs w:val="24"/>
        </w:rPr>
        <w:t>rights-of-way and that are in a form acceptable to PG&amp;E.</w:t>
      </w:r>
    </w:p>
    <w:p w:rsidR="5256CE48" w:rsidP="78C78F7C" w:rsidRDefault="5256CE48" w14:paraId="1F4E7F91" w14:textId="60017B77">
      <w:pPr>
        <w:jc w:val="both"/>
        <w:rPr>
          <w:rFonts w:ascii="Palatino Linotype" w:hAnsi="Palatino Linotype"/>
          <w:sz w:val="24"/>
          <w:szCs w:val="24"/>
        </w:rPr>
      </w:pPr>
    </w:p>
    <w:p w:rsidRPr="00AE726C" w:rsidR="001733ED" w:rsidP="38CC9735" w:rsidRDefault="6F28E9CB" w14:paraId="4BABE09D" w14:textId="6DDE9D5F">
      <w:pPr>
        <w:jc w:val="both"/>
        <w:rPr>
          <w:rFonts w:ascii="Palatino Linotype" w:hAnsi="Palatino Linotype"/>
          <w:b/>
          <w:bCs/>
          <w:i/>
          <w:iCs/>
          <w:sz w:val="24"/>
          <w:szCs w:val="24"/>
        </w:rPr>
      </w:pPr>
      <w:r w:rsidRPr="38CC9735">
        <w:rPr>
          <w:rFonts w:ascii="Palatino Linotype" w:hAnsi="Palatino Linotype"/>
          <w:b/>
          <w:bCs/>
          <w:i/>
          <w:iCs/>
          <w:sz w:val="24"/>
          <w:szCs w:val="24"/>
        </w:rPr>
        <w:t>Safety</w:t>
      </w:r>
    </w:p>
    <w:p w:rsidR="31D5F55D" w:rsidP="006F6F3F" w:rsidRDefault="31D5F55D" w14:paraId="01C7128C" w14:textId="1D3492A9">
      <w:pPr>
        <w:rPr>
          <w:rFonts w:ascii="Palatino Linotype" w:hAnsi="Palatino Linotype"/>
          <w:sz w:val="24"/>
          <w:szCs w:val="24"/>
        </w:rPr>
      </w:pPr>
      <w:r w:rsidRPr="78C78F7C">
        <w:rPr>
          <w:rFonts w:ascii="Palatino Linotype" w:hAnsi="Palatino Linotype"/>
          <w:sz w:val="24"/>
          <w:szCs w:val="24"/>
        </w:rPr>
        <w:t xml:space="preserve">The actual work performed under the ACC (design and engineering) presents no specific safety risks to the public or employees and will not sacrifice PG&amp;E’s provision of safe and reliable utility service to its customers. All designs and specifications produced will conform to all current and applicable </w:t>
      </w:r>
      <w:r w:rsidR="00145206">
        <w:rPr>
          <w:rFonts w:ascii="Palatino Linotype" w:hAnsi="Palatino Linotype"/>
          <w:sz w:val="24"/>
          <w:szCs w:val="24"/>
        </w:rPr>
        <w:t>CPUC</w:t>
      </w:r>
      <w:r w:rsidRPr="78C78F7C">
        <w:rPr>
          <w:rFonts w:ascii="Palatino Linotype" w:hAnsi="Palatino Linotype"/>
          <w:sz w:val="24"/>
          <w:szCs w:val="24"/>
        </w:rPr>
        <w:t xml:space="preserve">, industry and </w:t>
      </w:r>
      <w:r w:rsidR="00DA044C">
        <w:rPr>
          <w:rFonts w:ascii="Palatino Linotype" w:hAnsi="Palatino Linotype"/>
          <w:sz w:val="24"/>
          <w:szCs w:val="24"/>
        </w:rPr>
        <w:t>c</w:t>
      </w:r>
      <w:r w:rsidRPr="78C78F7C">
        <w:rPr>
          <w:rFonts w:ascii="Palatino Linotype" w:hAnsi="Palatino Linotype"/>
          <w:sz w:val="24"/>
          <w:szCs w:val="24"/>
        </w:rPr>
        <w:t>ompany safety requirements and will be performed by PG&amp;E or its contractors or subcontractors.</w:t>
      </w:r>
    </w:p>
    <w:p w:rsidR="3C3C196E" w:rsidP="78C78F7C" w:rsidRDefault="3C3C196E" w14:paraId="5FC1B8ED" w14:textId="7C693B44">
      <w:pPr>
        <w:jc w:val="both"/>
        <w:rPr>
          <w:rFonts w:ascii="Palatino Linotype" w:hAnsi="Palatino Linotype"/>
          <w:sz w:val="24"/>
          <w:szCs w:val="24"/>
        </w:rPr>
      </w:pPr>
    </w:p>
    <w:p w:rsidRPr="007A58B1" w:rsidR="00CF17DE" w:rsidP="78C78F7C" w:rsidRDefault="00394B3A" w14:paraId="66788129" w14:textId="1D11B135">
      <w:pPr>
        <w:pStyle w:val="Heading1"/>
        <w:keepNext w:val="0"/>
        <w:spacing w:before="0" w:after="0"/>
        <w:jc w:val="both"/>
        <w:rPr>
          <w:rFonts w:ascii="Palatino Linotype" w:hAnsi="Palatino Linotype"/>
          <w:sz w:val="24"/>
          <w:szCs w:val="24"/>
        </w:rPr>
      </w:pPr>
      <w:r w:rsidRPr="78C78F7C">
        <w:rPr>
          <w:rFonts w:ascii="Palatino Linotype" w:hAnsi="Palatino Linotype"/>
          <w:sz w:val="24"/>
          <w:szCs w:val="24"/>
        </w:rPr>
        <w:t>Notice</w:t>
      </w:r>
    </w:p>
    <w:p w:rsidRPr="007A58B1" w:rsidR="00FE248A" w:rsidP="006F6F3F" w:rsidRDefault="00CF17DE" w14:paraId="0FB51264" w14:textId="13B00A82">
      <w:pPr>
        <w:rPr>
          <w:rFonts w:ascii="Palatino Linotype" w:hAnsi="Palatino Linotype"/>
          <w:sz w:val="24"/>
          <w:szCs w:val="24"/>
        </w:rPr>
      </w:pPr>
      <w:r w:rsidRPr="38CC9735">
        <w:rPr>
          <w:rFonts w:ascii="Palatino Linotype" w:hAnsi="Palatino Linotype"/>
          <w:sz w:val="24"/>
          <w:szCs w:val="24"/>
        </w:rPr>
        <w:t xml:space="preserve">Notice of AL </w:t>
      </w:r>
      <w:r w:rsidRPr="38CC9735" w:rsidR="33CE9287">
        <w:rPr>
          <w:rFonts w:ascii="Palatino Linotype" w:hAnsi="Palatino Linotype"/>
          <w:sz w:val="24"/>
          <w:szCs w:val="24"/>
        </w:rPr>
        <w:t>7871-E</w:t>
      </w:r>
      <w:r w:rsidRPr="38CC9735">
        <w:rPr>
          <w:rFonts w:ascii="Palatino Linotype" w:hAnsi="Palatino Linotype"/>
          <w:sz w:val="24"/>
          <w:szCs w:val="24"/>
        </w:rPr>
        <w:t xml:space="preserve"> was made by publication in the </w:t>
      </w:r>
      <w:r w:rsidRPr="38CC9735" w:rsidR="00EB4C2E">
        <w:rPr>
          <w:rFonts w:ascii="Palatino Linotype" w:hAnsi="Palatino Linotype"/>
          <w:sz w:val="24"/>
          <w:szCs w:val="24"/>
        </w:rPr>
        <w:t>CPUC</w:t>
      </w:r>
      <w:r w:rsidRPr="38CC9735">
        <w:rPr>
          <w:rFonts w:ascii="Palatino Linotype" w:hAnsi="Palatino Linotype"/>
          <w:sz w:val="24"/>
          <w:szCs w:val="24"/>
        </w:rPr>
        <w:t xml:space="preserve">’s Daily Calendar.  </w:t>
      </w:r>
      <w:r w:rsidRPr="38CC9735" w:rsidR="001733ED">
        <w:rPr>
          <w:rFonts w:ascii="Palatino Linotype" w:hAnsi="Palatino Linotype"/>
          <w:sz w:val="24"/>
          <w:szCs w:val="24"/>
        </w:rPr>
        <w:t xml:space="preserve">PG&amp;E </w:t>
      </w:r>
      <w:r w:rsidRPr="38CC9735">
        <w:rPr>
          <w:rFonts w:ascii="Palatino Linotype" w:hAnsi="Palatino Linotype"/>
          <w:sz w:val="24"/>
          <w:szCs w:val="24"/>
        </w:rPr>
        <w:t>states that a copy of the Advice Letter was mailed and distributed in accordance with Sec</w:t>
      </w:r>
      <w:r w:rsidRPr="38CC9735" w:rsidR="00A1526C">
        <w:rPr>
          <w:rFonts w:ascii="Palatino Linotype" w:hAnsi="Palatino Linotype"/>
          <w:sz w:val="24"/>
          <w:szCs w:val="24"/>
        </w:rPr>
        <w:t xml:space="preserve">tion </w:t>
      </w:r>
      <w:r w:rsidRPr="38CC9735" w:rsidR="0069631C">
        <w:rPr>
          <w:rFonts w:ascii="Palatino Linotype" w:hAnsi="Palatino Linotype"/>
          <w:sz w:val="24"/>
          <w:szCs w:val="24"/>
        </w:rPr>
        <w:t>4</w:t>
      </w:r>
      <w:r w:rsidRPr="38CC9735" w:rsidR="00E928CF">
        <w:rPr>
          <w:rFonts w:ascii="Palatino Linotype" w:hAnsi="Palatino Linotype"/>
          <w:sz w:val="24"/>
          <w:szCs w:val="24"/>
        </w:rPr>
        <w:t xml:space="preserve"> of General Order 96-B</w:t>
      </w:r>
      <w:r w:rsidRPr="38CC9735">
        <w:rPr>
          <w:rFonts w:ascii="Palatino Linotype" w:hAnsi="Palatino Linotype"/>
          <w:sz w:val="24"/>
          <w:szCs w:val="24"/>
        </w:rPr>
        <w:t xml:space="preserve">. </w:t>
      </w:r>
    </w:p>
    <w:p w:rsidRPr="00A91265" w:rsidR="00CF17DE" w:rsidP="78C78F7C" w:rsidRDefault="00CF17DE" w14:paraId="6E8F021A" w14:textId="77777777">
      <w:pPr>
        <w:jc w:val="both"/>
        <w:rPr>
          <w:rFonts w:ascii="Palatino Linotype" w:hAnsi="Palatino Linotype"/>
          <w:sz w:val="24"/>
          <w:szCs w:val="24"/>
        </w:rPr>
      </w:pPr>
    </w:p>
    <w:p w:rsidRPr="00A91265" w:rsidR="00CF17DE" w:rsidP="78C78F7C" w:rsidRDefault="00CF17DE" w14:paraId="7F509E4C" w14:textId="77777777">
      <w:pPr>
        <w:pStyle w:val="Heading1"/>
        <w:keepNext w:val="0"/>
        <w:spacing w:before="0" w:after="0"/>
        <w:jc w:val="both"/>
        <w:rPr>
          <w:rFonts w:ascii="Palatino Linotype" w:hAnsi="Palatino Linotype"/>
          <w:sz w:val="24"/>
          <w:szCs w:val="24"/>
        </w:rPr>
      </w:pPr>
      <w:r w:rsidRPr="78C78F7C">
        <w:rPr>
          <w:rFonts w:ascii="Palatino Linotype" w:hAnsi="Palatino Linotype"/>
          <w:sz w:val="24"/>
          <w:szCs w:val="24"/>
        </w:rPr>
        <w:t>Protests</w:t>
      </w:r>
    </w:p>
    <w:p w:rsidRPr="005C7E9A" w:rsidR="00CF17DE" w:rsidP="78C78F7C" w:rsidRDefault="001733ED" w14:paraId="30C5808A" w14:textId="1A7C516D">
      <w:pPr>
        <w:jc w:val="both"/>
        <w:rPr>
          <w:rFonts w:ascii="Palatino Linotype" w:hAnsi="Palatino Linotype"/>
          <w:sz w:val="24"/>
          <w:szCs w:val="24"/>
        </w:rPr>
      </w:pPr>
      <w:r w:rsidRPr="38CC9735">
        <w:rPr>
          <w:rFonts w:ascii="Palatino Linotype" w:hAnsi="Palatino Linotype"/>
          <w:sz w:val="24"/>
          <w:szCs w:val="24"/>
        </w:rPr>
        <w:t xml:space="preserve">No protests were submitted for Advice Letter </w:t>
      </w:r>
      <w:r w:rsidRPr="38CC9735" w:rsidR="33CE9287">
        <w:rPr>
          <w:rFonts w:ascii="Palatino Linotype" w:hAnsi="Palatino Linotype"/>
          <w:sz w:val="24"/>
          <w:szCs w:val="24"/>
        </w:rPr>
        <w:t>7871-E</w:t>
      </w:r>
      <w:r w:rsidRPr="38CC9735">
        <w:rPr>
          <w:rFonts w:ascii="Palatino Linotype" w:hAnsi="Palatino Linotype"/>
          <w:sz w:val="24"/>
          <w:szCs w:val="24"/>
        </w:rPr>
        <w:t>.</w:t>
      </w:r>
    </w:p>
    <w:p w:rsidR="3C3C196E" w:rsidP="78C78F7C" w:rsidRDefault="3C3C196E" w14:paraId="705B29A5" w14:textId="71571BE4">
      <w:pPr>
        <w:jc w:val="both"/>
        <w:rPr>
          <w:rFonts w:ascii="Palatino Linotype" w:hAnsi="Palatino Linotype"/>
          <w:sz w:val="24"/>
          <w:szCs w:val="24"/>
        </w:rPr>
      </w:pPr>
    </w:p>
    <w:p w:rsidRPr="00D66AA8" w:rsidR="00CF17DE" w:rsidP="78C78F7C" w:rsidRDefault="00CF17DE" w14:paraId="23E10AE5" w14:textId="77777777">
      <w:pPr>
        <w:pStyle w:val="Heading1"/>
        <w:keepNext w:val="0"/>
        <w:spacing w:before="0" w:after="0"/>
        <w:jc w:val="both"/>
        <w:rPr>
          <w:rFonts w:ascii="Palatino Linotype" w:hAnsi="Palatino Linotype"/>
          <w:sz w:val="24"/>
          <w:szCs w:val="24"/>
        </w:rPr>
      </w:pPr>
      <w:r w:rsidRPr="78C78F7C">
        <w:rPr>
          <w:rFonts w:ascii="Palatino Linotype" w:hAnsi="Palatino Linotype"/>
          <w:sz w:val="24"/>
          <w:szCs w:val="24"/>
        </w:rPr>
        <w:t>Discussion</w:t>
      </w:r>
    </w:p>
    <w:p w:rsidRPr="00D66AA8" w:rsidR="001B5982" w:rsidP="006F6F3F" w:rsidRDefault="00AB5675" w14:paraId="2DF4A551" w14:textId="33585E9D">
      <w:pPr>
        <w:pStyle w:val="ListParagraph"/>
        <w:numPr>
          <w:ilvl w:val="0"/>
          <w:numId w:val="13"/>
        </w:numPr>
        <w:contextualSpacing w:val="0"/>
        <w:rPr>
          <w:rFonts w:ascii="Palatino Linotype" w:hAnsi="Palatino Linotype"/>
          <w:b/>
          <w:bCs/>
          <w:sz w:val="24"/>
          <w:szCs w:val="24"/>
        </w:rPr>
      </w:pPr>
      <w:r w:rsidRPr="78C78F7C">
        <w:rPr>
          <w:rFonts w:ascii="Palatino Linotype" w:hAnsi="Palatino Linotype"/>
          <w:b/>
          <w:bCs/>
          <w:sz w:val="24"/>
          <w:szCs w:val="24"/>
        </w:rPr>
        <w:t xml:space="preserve">A Relocation Agreement has been executed for PG&amp;E facilities relocation work required to accommodate </w:t>
      </w:r>
      <w:r w:rsidRPr="78C78F7C" w:rsidR="72D04325">
        <w:rPr>
          <w:rFonts w:ascii="Palatino Linotype" w:hAnsi="Palatino Linotype"/>
          <w:b/>
          <w:bCs/>
          <w:sz w:val="24"/>
          <w:szCs w:val="24"/>
        </w:rPr>
        <w:t>CS Broward</w:t>
      </w:r>
      <w:r w:rsidRPr="78C78F7C" w:rsidR="447B5809">
        <w:rPr>
          <w:rFonts w:ascii="Palatino Linotype" w:hAnsi="Palatino Linotype"/>
          <w:b/>
          <w:bCs/>
          <w:sz w:val="24"/>
          <w:szCs w:val="24"/>
        </w:rPr>
        <w:t>’s</w:t>
      </w:r>
      <w:r w:rsidRPr="78C78F7C" w:rsidR="0028106E">
        <w:rPr>
          <w:rFonts w:ascii="Palatino Linotype" w:hAnsi="Palatino Linotype"/>
          <w:b/>
          <w:bCs/>
          <w:sz w:val="24"/>
          <w:szCs w:val="24"/>
        </w:rPr>
        <w:t xml:space="preserve"> </w:t>
      </w:r>
      <w:r w:rsidRPr="78C78F7C" w:rsidR="190BDCFA">
        <w:rPr>
          <w:rFonts w:ascii="Palatino Linotype" w:hAnsi="Palatino Linotype"/>
          <w:b/>
          <w:bCs/>
          <w:sz w:val="24"/>
          <w:szCs w:val="24"/>
        </w:rPr>
        <w:t>CHP</w:t>
      </w:r>
      <w:r w:rsidRPr="78C78F7C" w:rsidR="690D5544">
        <w:rPr>
          <w:rFonts w:ascii="Palatino Linotype" w:hAnsi="Palatino Linotype"/>
          <w:b/>
          <w:bCs/>
          <w:sz w:val="24"/>
          <w:szCs w:val="24"/>
        </w:rPr>
        <w:t xml:space="preserve"> Project</w:t>
      </w:r>
      <w:r w:rsidRPr="78C78F7C">
        <w:rPr>
          <w:rFonts w:ascii="Palatino Linotype" w:hAnsi="Palatino Linotype"/>
          <w:b/>
          <w:bCs/>
          <w:sz w:val="24"/>
          <w:szCs w:val="24"/>
        </w:rPr>
        <w:t xml:space="preserve">. </w:t>
      </w:r>
      <w:r w:rsidRPr="78C78F7C" w:rsidR="00B94EC9">
        <w:rPr>
          <w:rFonts w:ascii="Palatino Linotype" w:hAnsi="Palatino Linotype"/>
          <w:sz w:val="24"/>
          <w:szCs w:val="24"/>
        </w:rPr>
        <w:t xml:space="preserve">The Relocation Agreement </w:t>
      </w:r>
      <w:r w:rsidRPr="78C78F7C" w:rsidR="00933369">
        <w:rPr>
          <w:rFonts w:ascii="Palatino Linotype" w:hAnsi="Palatino Linotype"/>
          <w:sz w:val="24"/>
          <w:szCs w:val="24"/>
        </w:rPr>
        <w:t>establishes</w:t>
      </w:r>
      <w:r w:rsidRPr="78C78F7C" w:rsidR="00B94EC9">
        <w:rPr>
          <w:rFonts w:ascii="Palatino Linotype" w:hAnsi="Palatino Linotype"/>
          <w:sz w:val="24"/>
          <w:szCs w:val="24"/>
        </w:rPr>
        <w:t xml:space="preserve"> </w:t>
      </w:r>
      <w:r w:rsidRPr="78C78F7C" w:rsidR="7778765A">
        <w:rPr>
          <w:rFonts w:ascii="Palatino Linotype" w:hAnsi="Palatino Linotype"/>
          <w:sz w:val="24"/>
          <w:szCs w:val="24"/>
        </w:rPr>
        <w:t>CS Broward</w:t>
      </w:r>
      <w:r w:rsidRPr="78C78F7C" w:rsidR="367BDC13">
        <w:rPr>
          <w:rFonts w:ascii="Palatino Linotype" w:hAnsi="Palatino Linotype"/>
          <w:sz w:val="24"/>
          <w:szCs w:val="24"/>
        </w:rPr>
        <w:t xml:space="preserve"> </w:t>
      </w:r>
      <w:r w:rsidRPr="78C78F7C" w:rsidR="00B94EC9">
        <w:rPr>
          <w:rFonts w:ascii="Palatino Linotype" w:hAnsi="Palatino Linotype"/>
          <w:sz w:val="24"/>
          <w:szCs w:val="24"/>
        </w:rPr>
        <w:t>and PG&amp;E obligations regarding the relocation of PG&amp;E facilities. PG&amp;E, and its contractors or subcontractors, will be responsible for the design and engineering, procurement of supplies, construction, and removal of the utility facilities</w:t>
      </w:r>
      <w:r w:rsidRPr="78C78F7C" w:rsidR="001B5982">
        <w:rPr>
          <w:rFonts w:ascii="Palatino Linotype" w:hAnsi="Palatino Linotype"/>
          <w:sz w:val="24"/>
          <w:szCs w:val="24"/>
        </w:rPr>
        <w:t>.</w:t>
      </w:r>
    </w:p>
    <w:p w:rsidRPr="001B5982" w:rsidR="001B5982" w:rsidP="006F6F3F" w:rsidRDefault="001B5982" w14:paraId="7526E950" w14:textId="77777777">
      <w:pPr>
        <w:pStyle w:val="ListParagraph"/>
        <w:ind w:left="360"/>
        <w:contextualSpacing w:val="0"/>
        <w:rPr>
          <w:rFonts w:ascii="Palatino Linotype" w:hAnsi="Palatino Linotype"/>
          <w:b/>
          <w:bCs/>
          <w:sz w:val="24"/>
          <w:szCs w:val="24"/>
          <w:highlight w:val="yellow"/>
        </w:rPr>
      </w:pPr>
    </w:p>
    <w:p w:rsidRPr="00534CD3" w:rsidR="00AB5675" w:rsidP="006F6F3F" w:rsidRDefault="3063A23E" w14:paraId="48E523C8" w14:textId="70FFEF86">
      <w:pPr>
        <w:pStyle w:val="ListParagraph"/>
        <w:ind w:left="360"/>
        <w:contextualSpacing w:val="0"/>
        <w:rPr>
          <w:rFonts w:ascii="Palatino Linotype" w:hAnsi="Palatino Linotype"/>
          <w:b/>
          <w:bCs/>
          <w:sz w:val="24"/>
          <w:szCs w:val="24"/>
        </w:rPr>
      </w:pPr>
      <w:r w:rsidRPr="78C78F7C">
        <w:rPr>
          <w:rFonts w:ascii="Palatino Linotype" w:hAnsi="Palatino Linotype"/>
          <w:sz w:val="24"/>
          <w:szCs w:val="24"/>
        </w:rPr>
        <w:t>CS Broward</w:t>
      </w:r>
      <w:r w:rsidRPr="78C78F7C" w:rsidR="00BB2B62">
        <w:rPr>
          <w:rFonts w:ascii="Palatino Linotype" w:hAnsi="Palatino Linotype"/>
          <w:sz w:val="24"/>
          <w:szCs w:val="24"/>
        </w:rPr>
        <w:t xml:space="preserve"> </w:t>
      </w:r>
      <w:r w:rsidRPr="78C78F7C" w:rsidR="00B94EC9">
        <w:rPr>
          <w:rFonts w:ascii="Palatino Linotype" w:hAnsi="Palatino Linotype"/>
          <w:sz w:val="24"/>
          <w:szCs w:val="24"/>
        </w:rPr>
        <w:t xml:space="preserve">is responsible for acquiring, at no cost to PG&amp;E and in a form satisfactory to PG&amp;E, all governmental approvals and permits required for PG&amp;E to undertake the work necessary to relocate or rearrange PG&amp;E’s facilities. </w:t>
      </w:r>
      <w:r w:rsidRPr="78C78F7C" w:rsidR="1B9FECDA">
        <w:rPr>
          <w:rFonts w:ascii="Palatino Linotype" w:hAnsi="Palatino Linotype"/>
          <w:sz w:val="24"/>
          <w:szCs w:val="24"/>
        </w:rPr>
        <w:t>CS Broward</w:t>
      </w:r>
      <w:r w:rsidRPr="78C78F7C" w:rsidR="00463F3F">
        <w:rPr>
          <w:rFonts w:ascii="Palatino Linotype" w:hAnsi="Palatino Linotype"/>
          <w:sz w:val="24"/>
          <w:szCs w:val="24"/>
        </w:rPr>
        <w:t xml:space="preserve"> </w:t>
      </w:r>
      <w:r w:rsidRPr="78C78F7C" w:rsidR="00B94EC9">
        <w:rPr>
          <w:rFonts w:ascii="Palatino Linotype" w:hAnsi="Palatino Linotype"/>
          <w:sz w:val="24"/>
          <w:szCs w:val="24"/>
        </w:rPr>
        <w:t>is also responsible for securing for PG&amp;E all necessary land rights in a form satisfactory to both parties to allow PG&amp;E to perform the work</w:t>
      </w:r>
      <w:r w:rsidRPr="78C78F7C" w:rsidR="001B5982">
        <w:rPr>
          <w:rFonts w:ascii="Palatino Linotype" w:hAnsi="Palatino Linotype"/>
          <w:sz w:val="24"/>
          <w:szCs w:val="24"/>
        </w:rPr>
        <w:t xml:space="preserve">. PG&amp;E will convey or </w:t>
      </w:r>
      <w:proofErr w:type="gramStart"/>
      <w:r w:rsidRPr="78C78F7C" w:rsidR="001B5982">
        <w:rPr>
          <w:rFonts w:ascii="Palatino Linotype" w:hAnsi="Palatino Linotype"/>
          <w:sz w:val="24"/>
          <w:szCs w:val="24"/>
        </w:rPr>
        <w:t>quitclaim to</w:t>
      </w:r>
      <w:proofErr w:type="gramEnd"/>
      <w:r w:rsidRPr="78C78F7C" w:rsidR="001B5982">
        <w:rPr>
          <w:rFonts w:ascii="Palatino Linotype" w:hAnsi="Palatino Linotype"/>
          <w:sz w:val="24"/>
          <w:szCs w:val="24"/>
        </w:rPr>
        <w:t xml:space="preserve"> </w:t>
      </w:r>
      <w:r w:rsidRPr="78C78F7C" w:rsidR="0D1415EF">
        <w:rPr>
          <w:rFonts w:ascii="Palatino Linotype" w:hAnsi="Palatino Linotype"/>
          <w:sz w:val="24"/>
          <w:szCs w:val="24"/>
        </w:rPr>
        <w:t>CS Broward</w:t>
      </w:r>
      <w:r w:rsidRPr="78C78F7C" w:rsidR="00E405F4">
        <w:rPr>
          <w:rFonts w:ascii="Palatino Linotype" w:hAnsi="Palatino Linotype"/>
          <w:sz w:val="24"/>
          <w:szCs w:val="24"/>
        </w:rPr>
        <w:t xml:space="preserve"> </w:t>
      </w:r>
      <w:r w:rsidRPr="78C78F7C" w:rsidR="001B5982">
        <w:rPr>
          <w:rFonts w:ascii="Palatino Linotype" w:hAnsi="Palatino Linotype"/>
          <w:sz w:val="24"/>
          <w:szCs w:val="24"/>
        </w:rPr>
        <w:t>its land or land rights occupied by facilities to be abandoned or removed within the land or rights or way required by</w:t>
      </w:r>
      <w:r w:rsidRPr="78C78F7C" w:rsidR="42CB861D">
        <w:rPr>
          <w:rFonts w:ascii="Palatino Linotype" w:hAnsi="Palatino Linotype"/>
          <w:sz w:val="24"/>
          <w:szCs w:val="24"/>
        </w:rPr>
        <w:t xml:space="preserve"> </w:t>
      </w:r>
      <w:r w:rsidRPr="78C78F7C" w:rsidR="72C46CF0">
        <w:rPr>
          <w:rFonts w:ascii="Palatino Linotype" w:hAnsi="Palatino Linotype"/>
          <w:sz w:val="24"/>
          <w:szCs w:val="24"/>
        </w:rPr>
        <w:t>CS Broward</w:t>
      </w:r>
      <w:r w:rsidRPr="78C78F7C" w:rsidR="00E405F4">
        <w:rPr>
          <w:rFonts w:ascii="Palatino Linotype" w:hAnsi="Palatino Linotype"/>
          <w:sz w:val="24"/>
          <w:szCs w:val="24"/>
        </w:rPr>
        <w:t xml:space="preserve"> </w:t>
      </w:r>
      <w:r w:rsidRPr="78C78F7C" w:rsidR="001B5982">
        <w:rPr>
          <w:rFonts w:ascii="Palatino Linotype" w:hAnsi="Palatino Linotype"/>
          <w:sz w:val="24"/>
          <w:szCs w:val="24"/>
        </w:rPr>
        <w:t xml:space="preserve">for the construction of the </w:t>
      </w:r>
      <w:r w:rsidRPr="78C78F7C" w:rsidR="5A5CB32F">
        <w:rPr>
          <w:rFonts w:ascii="Palatino Linotype" w:hAnsi="Palatino Linotype"/>
          <w:sz w:val="24"/>
          <w:szCs w:val="24"/>
        </w:rPr>
        <w:t>Project</w:t>
      </w:r>
      <w:r w:rsidRPr="78C78F7C" w:rsidR="001B5982">
        <w:rPr>
          <w:rFonts w:ascii="Palatino Linotype" w:hAnsi="Palatino Linotype"/>
          <w:sz w:val="24"/>
          <w:szCs w:val="24"/>
        </w:rPr>
        <w:t>.</w:t>
      </w:r>
    </w:p>
    <w:p w:rsidRPr="00A46C62" w:rsidR="00204E27" w:rsidP="78C78F7C" w:rsidRDefault="00204E27" w14:paraId="0AAEE143" w14:textId="77777777">
      <w:pPr>
        <w:jc w:val="both"/>
        <w:rPr>
          <w:rFonts w:ascii="Palatino Linotype" w:hAnsi="Palatino Linotype"/>
          <w:sz w:val="24"/>
          <w:szCs w:val="24"/>
        </w:rPr>
      </w:pPr>
    </w:p>
    <w:p w:rsidRPr="00286B2D" w:rsidR="00204E27" w:rsidP="006F6F3F" w:rsidRDefault="080EBD83" w14:paraId="0BE98E30" w14:textId="3B630383">
      <w:pPr>
        <w:pStyle w:val="ListParagraph"/>
        <w:numPr>
          <w:ilvl w:val="0"/>
          <w:numId w:val="13"/>
        </w:numPr>
        <w:spacing w:line="259" w:lineRule="auto"/>
        <w:rPr>
          <w:rFonts w:ascii="Palatino Linotype" w:hAnsi="Palatino Linotype"/>
          <w:b/>
          <w:bCs/>
          <w:sz w:val="24"/>
          <w:szCs w:val="24"/>
        </w:rPr>
      </w:pPr>
      <w:bookmarkStart w:name="_Hlk170137035" w:id="1"/>
      <w:r w:rsidRPr="38CC9735">
        <w:rPr>
          <w:rFonts w:ascii="Palatino Linotype" w:hAnsi="Palatino Linotype"/>
          <w:b/>
          <w:bCs/>
          <w:sz w:val="24"/>
          <w:szCs w:val="24"/>
        </w:rPr>
        <w:lastRenderedPageBreak/>
        <w:t>CS Broward</w:t>
      </w:r>
      <w:r w:rsidRPr="38CC9735" w:rsidR="00E405F4">
        <w:rPr>
          <w:rFonts w:ascii="Palatino Linotype" w:hAnsi="Palatino Linotype"/>
          <w:b/>
          <w:bCs/>
          <w:sz w:val="24"/>
          <w:szCs w:val="24"/>
        </w:rPr>
        <w:t xml:space="preserve"> </w:t>
      </w:r>
      <w:r w:rsidRPr="38CC9735" w:rsidR="00204E27">
        <w:rPr>
          <w:rFonts w:ascii="Palatino Linotype" w:hAnsi="Palatino Linotype"/>
          <w:b/>
          <w:bCs/>
          <w:sz w:val="24"/>
          <w:szCs w:val="24"/>
        </w:rPr>
        <w:t xml:space="preserve">has requested the relocation work </w:t>
      </w:r>
      <w:r w:rsidRPr="38CC9735" w:rsidR="7C550DC8">
        <w:rPr>
          <w:rFonts w:ascii="Palatino Linotype" w:hAnsi="Palatino Linotype"/>
          <w:b/>
          <w:bCs/>
          <w:sz w:val="24"/>
          <w:szCs w:val="24"/>
        </w:rPr>
        <w:t>that will be</w:t>
      </w:r>
      <w:r w:rsidRPr="38CC9735" w:rsidR="00204E27">
        <w:rPr>
          <w:rFonts w:ascii="Palatino Linotype" w:hAnsi="Palatino Linotype"/>
          <w:b/>
          <w:bCs/>
          <w:sz w:val="24"/>
          <w:szCs w:val="24"/>
        </w:rPr>
        <w:t xml:space="preserve"> performed by PG&amp;E </w:t>
      </w:r>
      <w:r w:rsidRPr="38CC9735" w:rsidR="007A3E6C">
        <w:rPr>
          <w:rFonts w:ascii="Palatino Linotype" w:hAnsi="Palatino Linotype"/>
          <w:b/>
          <w:bCs/>
          <w:sz w:val="24"/>
          <w:szCs w:val="24"/>
        </w:rPr>
        <w:t>to be</w:t>
      </w:r>
      <w:r w:rsidRPr="38CC9735" w:rsidR="00204E27">
        <w:rPr>
          <w:rFonts w:ascii="Palatino Linotype" w:hAnsi="Palatino Linotype"/>
          <w:b/>
          <w:bCs/>
          <w:sz w:val="24"/>
          <w:szCs w:val="24"/>
        </w:rPr>
        <w:t xml:space="preserve"> invoiced at actual cost. </w:t>
      </w:r>
      <w:bookmarkEnd w:id="1"/>
      <w:r w:rsidRPr="38CC9735" w:rsidR="00204E27">
        <w:rPr>
          <w:rFonts w:ascii="Palatino Linotype" w:hAnsi="Palatino Linotype"/>
          <w:sz w:val="24"/>
          <w:szCs w:val="24"/>
        </w:rPr>
        <w:t xml:space="preserve">This request deviates from the payment structure outlined in the Work Performance Agreement used for regular relocation projects and is reflected in the Relocation Agreement. As defined in the Relocation Agreement, “Actual Costs” </w:t>
      </w:r>
      <w:r w:rsidRPr="38CC9735" w:rsidR="00E61B07">
        <w:rPr>
          <w:rFonts w:ascii="Palatino Linotype" w:hAnsi="Palatino Linotype"/>
          <w:sz w:val="24"/>
          <w:szCs w:val="24"/>
        </w:rPr>
        <w:t>will be determined in accordance with the uniform system of accounts prescribed for utility companies by the Public Utilities Commission of the State of California and PG&amp;E's regularly established accounting practices and will include, but shall not be limited to, the following charges: survey costs, acquisition of land rights, labor and payroll taxes, materials and supplies, transportation, stores and tool expense, supervision and overheads, including allowance for funds used during construction, and an allowance for worker's compensation and public liability and property damage insurance, and estimated federal and state taxes.</w:t>
      </w:r>
    </w:p>
    <w:p w:rsidR="00286B2D" w:rsidP="78C78F7C" w:rsidRDefault="00286B2D" w14:paraId="0260F445" w14:textId="77777777">
      <w:pPr>
        <w:jc w:val="both"/>
        <w:rPr>
          <w:rFonts w:ascii="Palatino Linotype" w:hAnsi="Palatino Linotype"/>
          <w:sz w:val="24"/>
          <w:szCs w:val="24"/>
        </w:rPr>
      </w:pPr>
    </w:p>
    <w:p w:rsidRPr="000C7D26" w:rsidR="00286B2D" w:rsidP="006F6F3F" w:rsidRDefault="00286B2D" w14:paraId="5C9EB7E7" w14:textId="692EB5C6">
      <w:pPr>
        <w:pStyle w:val="ListParagraph"/>
        <w:numPr>
          <w:ilvl w:val="0"/>
          <w:numId w:val="13"/>
        </w:numPr>
        <w:spacing w:line="259" w:lineRule="auto"/>
        <w:rPr>
          <w:rFonts w:ascii="Palatino Linotype" w:hAnsi="Palatino Linotype"/>
          <w:b/>
          <w:bCs/>
          <w:sz w:val="24"/>
          <w:szCs w:val="24"/>
        </w:rPr>
      </w:pPr>
      <w:bookmarkStart w:name="_Hlk170137051" w:id="2"/>
      <w:r w:rsidRPr="78C78F7C">
        <w:rPr>
          <w:rFonts w:ascii="Palatino Linotype" w:hAnsi="Palatino Linotype"/>
          <w:b/>
          <w:bCs/>
          <w:sz w:val="24"/>
          <w:szCs w:val="24"/>
        </w:rPr>
        <w:t xml:space="preserve">The billing arrangements specified in the Relocation Agreement are appropriate for the work required to accommodate </w:t>
      </w:r>
      <w:r w:rsidRPr="78C78F7C" w:rsidR="1FF451F0">
        <w:rPr>
          <w:rFonts w:ascii="Palatino Linotype" w:hAnsi="Palatino Linotype"/>
          <w:b/>
          <w:bCs/>
          <w:sz w:val="24"/>
          <w:szCs w:val="24"/>
        </w:rPr>
        <w:t>CS Broward</w:t>
      </w:r>
      <w:r w:rsidRPr="78C78F7C" w:rsidR="69213A40">
        <w:rPr>
          <w:rFonts w:ascii="Palatino Linotype" w:hAnsi="Palatino Linotype"/>
          <w:b/>
          <w:bCs/>
          <w:sz w:val="24"/>
          <w:szCs w:val="24"/>
        </w:rPr>
        <w:t>’s</w:t>
      </w:r>
      <w:r w:rsidRPr="78C78F7C">
        <w:rPr>
          <w:rFonts w:ascii="Palatino Linotype" w:hAnsi="Palatino Linotype"/>
          <w:b/>
          <w:bCs/>
          <w:sz w:val="24"/>
          <w:szCs w:val="24"/>
        </w:rPr>
        <w:t xml:space="preserve"> </w:t>
      </w:r>
      <w:r w:rsidRPr="78C78F7C" w:rsidR="6A9963D4">
        <w:rPr>
          <w:rFonts w:ascii="Palatino Linotype" w:hAnsi="Palatino Linotype"/>
          <w:b/>
          <w:bCs/>
          <w:sz w:val="24"/>
          <w:szCs w:val="24"/>
        </w:rPr>
        <w:t>CHP</w:t>
      </w:r>
      <w:r w:rsidRPr="78C78F7C" w:rsidR="5A5CB32F">
        <w:rPr>
          <w:rFonts w:ascii="Palatino Linotype" w:hAnsi="Palatino Linotype"/>
          <w:b/>
          <w:bCs/>
          <w:sz w:val="24"/>
          <w:szCs w:val="24"/>
        </w:rPr>
        <w:t xml:space="preserve"> Project</w:t>
      </w:r>
      <w:r w:rsidRPr="78C78F7C">
        <w:rPr>
          <w:rFonts w:ascii="Palatino Linotype" w:hAnsi="Palatino Linotype"/>
          <w:b/>
          <w:bCs/>
          <w:sz w:val="24"/>
          <w:szCs w:val="24"/>
        </w:rPr>
        <w:t xml:space="preserve">. </w:t>
      </w:r>
      <w:bookmarkEnd w:id="2"/>
      <w:r w:rsidRPr="78C78F7C">
        <w:rPr>
          <w:rFonts w:ascii="Palatino Linotype" w:hAnsi="Palatino Linotype"/>
          <w:sz w:val="24"/>
          <w:szCs w:val="24"/>
        </w:rPr>
        <w:t xml:space="preserve">Providing a cost estimate that becomes a set contract price is common practice in fee for service arrangements. However, developing a set price cost estimate for large-scale construction carries inherent risk that, even if accurate within a few percentage points over or under actual cost, the equivalent dollar amount under or over actual expense may be significant. </w:t>
      </w:r>
      <w:r w:rsidRPr="78C78F7C" w:rsidR="00093EA9">
        <w:rPr>
          <w:rFonts w:ascii="Palatino Linotype" w:hAnsi="Palatino Linotype"/>
          <w:sz w:val="24"/>
          <w:szCs w:val="24"/>
        </w:rPr>
        <w:t>D</w:t>
      </w:r>
      <w:r w:rsidRPr="78C78F7C">
        <w:rPr>
          <w:rFonts w:ascii="Palatino Linotype" w:hAnsi="Palatino Linotype"/>
          <w:sz w:val="24"/>
          <w:szCs w:val="24"/>
        </w:rPr>
        <w:t>eveloping a contracted price that accounts for this uncertainty and protects against cost overruns typical to large construction projects</w:t>
      </w:r>
      <w:r w:rsidRPr="78C78F7C" w:rsidR="00093EA9">
        <w:rPr>
          <w:rFonts w:ascii="Palatino Linotype" w:hAnsi="Palatino Linotype"/>
          <w:sz w:val="24"/>
          <w:szCs w:val="24"/>
        </w:rPr>
        <w:t xml:space="preserve"> is difficult.  PG&amp;E’s estimated cost </w:t>
      </w:r>
      <w:r w:rsidRPr="78C78F7C">
        <w:rPr>
          <w:rFonts w:ascii="Palatino Linotype" w:hAnsi="Palatino Linotype"/>
          <w:sz w:val="24"/>
          <w:szCs w:val="24"/>
        </w:rPr>
        <w:t>would likely need to be set conservatively high</w:t>
      </w:r>
      <w:r w:rsidRPr="78C78F7C" w:rsidR="00093EA9">
        <w:rPr>
          <w:rFonts w:ascii="Palatino Linotype" w:hAnsi="Palatino Linotype"/>
          <w:sz w:val="24"/>
          <w:szCs w:val="24"/>
        </w:rPr>
        <w:t xml:space="preserve"> </w:t>
      </w:r>
      <w:proofErr w:type="gramStart"/>
      <w:r w:rsidRPr="78C78F7C" w:rsidR="00093EA9">
        <w:rPr>
          <w:rFonts w:ascii="Palatino Linotype" w:hAnsi="Palatino Linotype"/>
          <w:sz w:val="24"/>
          <w:szCs w:val="24"/>
        </w:rPr>
        <w:t>in order to</w:t>
      </w:r>
      <w:proofErr w:type="gramEnd"/>
      <w:r w:rsidRPr="78C78F7C" w:rsidR="00093EA9">
        <w:rPr>
          <w:rFonts w:ascii="Palatino Linotype" w:hAnsi="Palatino Linotype"/>
          <w:sz w:val="24"/>
          <w:szCs w:val="24"/>
        </w:rPr>
        <w:t xml:space="preserve"> avoid the risk of cost overruns.  </w:t>
      </w:r>
      <w:r w:rsidRPr="78C78F7C">
        <w:rPr>
          <w:rFonts w:ascii="Palatino Linotype" w:hAnsi="Palatino Linotype"/>
          <w:sz w:val="24"/>
          <w:szCs w:val="24"/>
        </w:rPr>
        <w:t xml:space="preserve">Despite this precaution, over the course of work actual costs may still </w:t>
      </w:r>
      <w:r w:rsidRPr="78C78F7C" w:rsidR="001F0089">
        <w:rPr>
          <w:rFonts w:ascii="Palatino Linotype" w:hAnsi="Palatino Linotype"/>
          <w:sz w:val="24"/>
          <w:szCs w:val="24"/>
        </w:rPr>
        <w:t>exceed</w:t>
      </w:r>
      <w:r w:rsidRPr="78C78F7C">
        <w:rPr>
          <w:rFonts w:ascii="Palatino Linotype" w:hAnsi="Palatino Linotype"/>
          <w:sz w:val="24"/>
          <w:szCs w:val="24"/>
        </w:rPr>
        <w:t xml:space="preserve"> the cost estimate.</w:t>
      </w:r>
    </w:p>
    <w:p w:rsidRPr="000C7D26" w:rsidR="00286B2D" w:rsidP="006F6F3F" w:rsidRDefault="00286B2D" w14:paraId="280E00A0" w14:textId="77777777">
      <w:pPr>
        <w:rPr>
          <w:rFonts w:ascii="Palatino Linotype" w:hAnsi="Palatino Linotype"/>
          <w:b/>
          <w:bCs/>
          <w:sz w:val="24"/>
          <w:szCs w:val="24"/>
        </w:rPr>
      </w:pPr>
    </w:p>
    <w:p w:rsidR="000C7D26" w:rsidP="006F6F3F" w:rsidRDefault="00286B2D" w14:paraId="499702F1" w14:textId="70FE3F72">
      <w:pPr>
        <w:ind w:left="360"/>
        <w:rPr>
          <w:rFonts w:ascii="Palatino Linotype" w:hAnsi="Palatino Linotype"/>
          <w:sz w:val="24"/>
          <w:szCs w:val="24"/>
        </w:rPr>
      </w:pPr>
      <w:r w:rsidRPr="78C78F7C">
        <w:rPr>
          <w:rFonts w:ascii="Palatino Linotype" w:hAnsi="Palatino Linotype"/>
          <w:sz w:val="24"/>
          <w:szCs w:val="24"/>
        </w:rPr>
        <w:t xml:space="preserve">It is reasonable that </w:t>
      </w:r>
      <w:r w:rsidRPr="78C78F7C" w:rsidR="20E8EC2E">
        <w:rPr>
          <w:rFonts w:ascii="Palatino Linotype" w:hAnsi="Palatino Linotype"/>
          <w:sz w:val="24"/>
          <w:szCs w:val="24"/>
        </w:rPr>
        <w:t>CS Broward</w:t>
      </w:r>
      <w:r w:rsidRPr="78C78F7C" w:rsidR="00E36C4F">
        <w:rPr>
          <w:rFonts w:ascii="Palatino Linotype" w:hAnsi="Palatino Linotype"/>
          <w:sz w:val="24"/>
          <w:szCs w:val="24"/>
        </w:rPr>
        <w:t xml:space="preserve"> </w:t>
      </w:r>
      <w:r w:rsidRPr="78C78F7C">
        <w:rPr>
          <w:rFonts w:ascii="Palatino Linotype" w:hAnsi="Palatino Linotype"/>
          <w:sz w:val="24"/>
          <w:szCs w:val="24"/>
        </w:rPr>
        <w:t>should pay what it costs to relocate PG&amp;E’s facilities</w:t>
      </w:r>
      <w:r w:rsidRPr="78C78F7C" w:rsidR="00E13212">
        <w:rPr>
          <w:rFonts w:ascii="Palatino Linotype" w:hAnsi="Palatino Linotype"/>
          <w:sz w:val="24"/>
          <w:szCs w:val="24"/>
        </w:rPr>
        <w:t xml:space="preserve"> </w:t>
      </w:r>
      <w:r w:rsidRPr="78C78F7C">
        <w:rPr>
          <w:rFonts w:ascii="Palatino Linotype" w:hAnsi="Palatino Linotype"/>
          <w:sz w:val="24"/>
          <w:szCs w:val="24"/>
        </w:rPr>
        <w:t>to accommodate its own work, and no more. The risk of</w:t>
      </w:r>
      <w:r w:rsidRPr="78C78F7C" w:rsidR="1ADF58A3">
        <w:rPr>
          <w:rFonts w:ascii="Palatino Linotype" w:hAnsi="Palatino Linotype"/>
          <w:sz w:val="24"/>
          <w:szCs w:val="24"/>
        </w:rPr>
        <w:t xml:space="preserve"> </w:t>
      </w:r>
      <w:r w:rsidRPr="78C78F7C" w:rsidR="648343DB">
        <w:rPr>
          <w:rFonts w:ascii="Palatino Linotype" w:hAnsi="Palatino Linotype"/>
          <w:sz w:val="24"/>
          <w:szCs w:val="24"/>
        </w:rPr>
        <w:t>CS Broward</w:t>
      </w:r>
      <w:r w:rsidRPr="78C78F7C" w:rsidR="00E36C4F">
        <w:rPr>
          <w:rFonts w:ascii="Palatino Linotype" w:hAnsi="Palatino Linotype"/>
          <w:sz w:val="24"/>
          <w:szCs w:val="24"/>
        </w:rPr>
        <w:t xml:space="preserve"> </w:t>
      </w:r>
      <w:r w:rsidRPr="78C78F7C">
        <w:rPr>
          <w:rFonts w:ascii="Palatino Linotype" w:hAnsi="Palatino Linotype"/>
          <w:sz w:val="24"/>
          <w:szCs w:val="24"/>
        </w:rPr>
        <w:t>overpaying</w:t>
      </w:r>
      <w:r w:rsidRPr="78C78F7C" w:rsidR="00E13212">
        <w:rPr>
          <w:rFonts w:ascii="Palatino Linotype" w:hAnsi="Palatino Linotype"/>
          <w:sz w:val="24"/>
          <w:szCs w:val="24"/>
        </w:rPr>
        <w:t xml:space="preserve"> </w:t>
      </w:r>
      <w:r w:rsidRPr="78C78F7C">
        <w:rPr>
          <w:rFonts w:ascii="Palatino Linotype" w:hAnsi="Palatino Linotype"/>
          <w:sz w:val="24"/>
          <w:szCs w:val="24"/>
        </w:rPr>
        <w:t xml:space="preserve">if contracting with PG&amp;E to perform the work at a set price is </w:t>
      </w:r>
      <w:r w:rsidRPr="78C78F7C" w:rsidR="00ED4583">
        <w:rPr>
          <w:rFonts w:ascii="Palatino Linotype" w:hAnsi="Palatino Linotype"/>
          <w:sz w:val="24"/>
          <w:szCs w:val="24"/>
        </w:rPr>
        <w:t>significant</w:t>
      </w:r>
      <w:r w:rsidRPr="78C78F7C">
        <w:rPr>
          <w:rFonts w:ascii="Palatino Linotype" w:hAnsi="Palatino Linotype"/>
          <w:sz w:val="24"/>
          <w:szCs w:val="24"/>
        </w:rPr>
        <w:t>, and the</w:t>
      </w:r>
      <w:r w:rsidRPr="78C78F7C" w:rsidR="00E13212">
        <w:rPr>
          <w:rFonts w:ascii="Palatino Linotype" w:hAnsi="Palatino Linotype"/>
          <w:sz w:val="24"/>
          <w:szCs w:val="24"/>
        </w:rPr>
        <w:t xml:space="preserve"> </w:t>
      </w:r>
      <w:r w:rsidRPr="78C78F7C">
        <w:rPr>
          <w:rFonts w:ascii="Palatino Linotype" w:hAnsi="Palatino Linotype"/>
          <w:sz w:val="24"/>
          <w:szCs w:val="24"/>
        </w:rPr>
        <w:t>payment terms for large projects with greater cost impacts than normal</w:t>
      </w:r>
      <w:r w:rsidRPr="78C78F7C" w:rsidR="00E13212">
        <w:rPr>
          <w:rFonts w:ascii="Palatino Linotype" w:hAnsi="Palatino Linotype"/>
          <w:sz w:val="24"/>
          <w:szCs w:val="24"/>
        </w:rPr>
        <w:t xml:space="preserve"> </w:t>
      </w:r>
      <w:r w:rsidRPr="78C78F7C">
        <w:rPr>
          <w:rFonts w:ascii="Palatino Linotype" w:hAnsi="Palatino Linotype"/>
          <w:sz w:val="24"/>
          <w:szCs w:val="24"/>
        </w:rPr>
        <w:t>relocation work should be considered carefully</w:t>
      </w:r>
      <w:r w:rsidRPr="78C78F7C" w:rsidR="00245C1C">
        <w:rPr>
          <w:rFonts w:ascii="Palatino Linotype" w:hAnsi="Palatino Linotype"/>
          <w:sz w:val="24"/>
          <w:szCs w:val="24"/>
        </w:rPr>
        <w:t>.</w:t>
      </w:r>
      <w:r w:rsidRPr="78C78F7C" w:rsidR="0067293A">
        <w:rPr>
          <w:rFonts w:ascii="Palatino Linotype" w:hAnsi="Palatino Linotype"/>
          <w:sz w:val="24"/>
          <w:szCs w:val="24"/>
        </w:rPr>
        <w:t xml:space="preserve"> </w:t>
      </w:r>
    </w:p>
    <w:p w:rsidR="000C7D26" w:rsidP="006F6F3F" w:rsidRDefault="000C7D26" w14:paraId="01DF4369" w14:textId="77777777">
      <w:pPr>
        <w:ind w:left="360"/>
        <w:rPr>
          <w:rFonts w:ascii="Palatino Linotype" w:hAnsi="Palatino Linotype"/>
          <w:sz w:val="24"/>
          <w:szCs w:val="24"/>
        </w:rPr>
      </w:pPr>
    </w:p>
    <w:p w:rsidRPr="0067293A" w:rsidR="00286B2D" w:rsidP="006F6F3F" w:rsidRDefault="0067293A" w14:paraId="469B18A2" w14:textId="2429E8B2">
      <w:pPr>
        <w:ind w:left="360"/>
        <w:rPr>
          <w:rFonts w:ascii="Palatino Linotype" w:hAnsi="Palatino Linotype"/>
          <w:sz w:val="24"/>
          <w:szCs w:val="24"/>
        </w:rPr>
      </w:pPr>
      <w:r w:rsidRPr="38CC9735">
        <w:rPr>
          <w:rFonts w:ascii="Palatino Linotype" w:hAnsi="Palatino Linotype"/>
          <w:sz w:val="24"/>
          <w:szCs w:val="24"/>
        </w:rPr>
        <w:t xml:space="preserve">Within a reasonable time after completion of the work, PG&amp;E shall submit an invoice to </w:t>
      </w:r>
      <w:r w:rsidRPr="38CC9735" w:rsidR="4F31EC92">
        <w:rPr>
          <w:rFonts w:ascii="Palatino Linotype" w:hAnsi="Palatino Linotype"/>
          <w:sz w:val="24"/>
          <w:szCs w:val="24"/>
        </w:rPr>
        <w:t>CS Broward</w:t>
      </w:r>
      <w:r w:rsidRPr="38CC9735" w:rsidR="00E36C4F">
        <w:rPr>
          <w:rFonts w:ascii="Palatino Linotype" w:hAnsi="Palatino Linotype"/>
          <w:sz w:val="24"/>
          <w:szCs w:val="24"/>
        </w:rPr>
        <w:t xml:space="preserve"> </w:t>
      </w:r>
      <w:r w:rsidRPr="38CC9735">
        <w:rPr>
          <w:rFonts w:ascii="Palatino Linotype" w:hAnsi="Palatino Linotype"/>
          <w:sz w:val="24"/>
          <w:szCs w:val="24"/>
        </w:rPr>
        <w:t xml:space="preserve">for the actual net cost. </w:t>
      </w:r>
      <w:r w:rsidRPr="38CC9735" w:rsidR="28FF7C0D">
        <w:rPr>
          <w:rFonts w:ascii="Palatino Linotype" w:hAnsi="Palatino Linotype"/>
          <w:sz w:val="24"/>
          <w:szCs w:val="24"/>
        </w:rPr>
        <w:t>CS Broward</w:t>
      </w:r>
      <w:r w:rsidRPr="38CC9735" w:rsidR="00E36C4F">
        <w:rPr>
          <w:rFonts w:ascii="Palatino Linotype" w:hAnsi="Palatino Linotype"/>
          <w:sz w:val="24"/>
          <w:szCs w:val="24"/>
        </w:rPr>
        <w:t xml:space="preserve"> </w:t>
      </w:r>
      <w:r w:rsidRPr="38CC9735">
        <w:rPr>
          <w:rFonts w:ascii="Palatino Linotype" w:hAnsi="Palatino Linotype"/>
          <w:sz w:val="24"/>
          <w:szCs w:val="24"/>
        </w:rPr>
        <w:t xml:space="preserve">will reimburse PG&amp;E for the actual net cost which PG&amp;E has incurred in </w:t>
      </w:r>
      <w:r w:rsidRPr="38CC9735" w:rsidR="00FD384F">
        <w:rPr>
          <w:rFonts w:ascii="Palatino Linotype" w:hAnsi="Palatino Linotype"/>
          <w:sz w:val="24"/>
          <w:szCs w:val="24"/>
        </w:rPr>
        <w:t>effecting the rearrangement of PG&amp;E’s facilities</w:t>
      </w:r>
      <w:r w:rsidRPr="38CC9735" w:rsidR="395760C5">
        <w:rPr>
          <w:rFonts w:ascii="Palatino Linotype" w:hAnsi="Palatino Linotype"/>
          <w:sz w:val="24"/>
          <w:szCs w:val="24"/>
        </w:rPr>
        <w:t xml:space="preserve"> including costs, if any, involved in any temporary rearrangement</w:t>
      </w:r>
      <w:r w:rsidRPr="38CC9735" w:rsidR="2EE8EA80">
        <w:rPr>
          <w:rFonts w:ascii="Palatino Linotype" w:hAnsi="Palatino Linotype"/>
          <w:sz w:val="24"/>
          <w:szCs w:val="24"/>
        </w:rPr>
        <w:t>.</w:t>
      </w:r>
      <w:r w:rsidRPr="38CC9735" w:rsidR="007E7D54">
        <w:rPr>
          <w:rFonts w:ascii="Palatino Linotype" w:hAnsi="Palatino Linotype"/>
          <w:sz w:val="24"/>
          <w:szCs w:val="24"/>
        </w:rPr>
        <w:t xml:space="preserve"> </w:t>
      </w:r>
      <w:r w:rsidRPr="38CC9735" w:rsidR="5D8D8995">
        <w:rPr>
          <w:rFonts w:ascii="Palatino Linotype" w:hAnsi="Palatino Linotype"/>
          <w:sz w:val="24"/>
          <w:szCs w:val="24"/>
        </w:rPr>
        <w:t xml:space="preserve">Within thirty (30) days after receipt of PG&amp;E's invoice for any additional amount </w:t>
      </w:r>
      <w:proofErr w:type="gramStart"/>
      <w:r w:rsidRPr="38CC9735" w:rsidR="5D8D8995">
        <w:rPr>
          <w:rFonts w:ascii="Palatino Linotype" w:hAnsi="Palatino Linotype"/>
          <w:sz w:val="24"/>
          <w:szCs w:val="24"/>
        </w:rPr>
        <w:lastRenderedPageBreak/>
        <w:t>due</w:t>
      </w:r>
      <w:proofErr w:type="gramEnd"/>
      <w:r w:rsidRPr="38CC9735" w:rsidR="5D8D8995">
        <w:rPr>
          <w:rFonts w:ascii="Palatino Linotype" w:hAnsi="Palatino Linotype"/>
          <w:sz w:val="24"/>
          <w:szCs w:val="24"/>
        </w:rPr>
        <w:t xml:space="preserve"> PG&amp;E, CS </w:t>
      </w:r>
      <w:proofErr w:type="gramStart"/>
      <w:r w:rsidRPr="38CC9735" w:rsidR="5D8D8995">
        <w:rPr>
          <w:rFonts w:ascii="Palatino Linotype" w:hAnsi="Palatino Linotype"/>
          <w:sz w:val="24"/>
          <w:szCs w:val="24"/>
        </w:rPr>
        <w:t>Broward  shall</w:t>
      </w:r>
      <w:proofErr w:type="gramEnd"/>
      <w:r w:rsidRPr="38CC9735" w:rsidR="5D8D8995">
        <w:rPr>
          <w:rFonts w:ascii="Palatino Linotype" w:hAnsi="Palatino Linotype"/>
          <w:sz w:val="24"/>
          <w:szCs w:val="24"/>
        </w:rPr>
        <w:t xml:space="preserve"> reimburse PG&amp;E for the amount billed, provided, however, that CS </w:t>
      </w:r>
      <w:proofErr w:type="gramStart"/>
      <w:r w:rsidRPr="38CC9735" w:rsidR="5D8D8995">
        <w:rPr>
          <w:rFonts w:ascii="Palatino Linotype" w:hAnsi="Palatino Linotype"/>
          <w:sz w:val="24"/>
          <w:szCs w:val="24"/>
        </w:rPr>
        <w:t>Broward  shall</w:t>
      </w:r>
      <w:proofErr w:type="gramEnd"/>
      <w:r w:rsidRPr="38CC9735" w:rsidR="5D8D8995">
        <w:rPr>
          <w:rFonts w:ascii="Palatino Linotype" w:hAnsi="Palatino Linotype"/>
          <w:sz w:val="24"/>
          <w:szCs w:val="24"/>
        </w:rPr>
        <w:t xml:space="preserve"> have reasonable access to PG&amp;E's accounts and records for the purpose of auditing said invoice. If, after the itemized invoice is prepared, it is determined that the actual net cost is less than any amount previously paid by CS </w:t>
      </w:r>
      <w:proofErr w:type="gramStart"/>
      <w:r w:rsidRPr="38CC9735" w:rsidR="5D8D8995">
        <w:rPr>
          <w:rFonts w:ascii="Palatino Linotype" w:hAnsi="Palatino Linotype"/>
          <w:sz w:val="24"/>
          <w:szCs w:val="24"/>
        </w:rPr>
        <w:t>Broward  under</w:t>
      </w:r>
      <w:proofErr w:type="gramEnd"/>
      <w:r w:rsidRPr="38CC9735" w:rsidR="5D8D8995">
        <w:rPr>
          <w:rFonts w:ascii="Palatino Linotype" w:hAnsi="Palatino Linotype"/>
          <w:sz w:val="24"/>
          <w:szCs w:val="24"/>
        </w:rPr>
        <w:t xml:space="preserve"> this Agreement, PG&amp;E shall reimburse CS </w:t>
      </w:r>
      <w:proofErr w:type="gramStart"/>
      <w:r w:rsidRPr="38CC9735" w:rsidR="5D8D8995">
        <w:rPr>
          <w:rFonts w:ascii="Palatino Linotype" w:hAnsi="Palatino Linotype"/>
          <w:sz w:val="24"/>
          <w:szCs w:val="24"/>
        </w:rPr>
        <w:t>Broward  the</w:t>
      </w:r>
      <w:proofErr w:type="gramEnd"/>
      <w:r w:rsidRPr="38CC9735" w:rsidR="5D8D8995">
        <w:rPr>
          <w:rFonts w:ascii="Palatino Linotype" w:hAnsi="Palatino Linotype"/>
          <w:sz w:val="24"/>
          <w:szCs w:val="24"/>
        </w:rPr>
        <w:t xml:space="preserve"> amount of the difference between the amount paid and the actual net cost, without interest.</w:t>
      </w:r>
    </w:p>
    <w:p w:rsidRPr="00286B2D" w:rsidR="00286B2D" w:rsidP="006F6F3F" w:rsidRDefault="00286B2D" w14:paraId="6A8029BE" w14:textId="77777777">
      <w:pPr>
        <w:ind w:left="360"/>
        <w:rPr>
          <w:rFonts w:ascii="Palatino Linotype" w:hAnsi="Palatino Linotype"/>
          <w:sz w:val="24"/>
          <w:szCs w:val="24"/>
          <w:highlight w:val="yellow"/>
        </w:rPr>
      </w:pPr>
    </w:p>
    <w:p w:rsidRPr="00264B93" w:rsidR="00286B2D" w:rsidP="006F6F3F" w:rsidRDefault="00286B2D" w14:paraId="55A128AC" w14:textId="77777777">
      <w:pPr>
        <w:ind w:left="360"/>
        <w:rPr>
          <w:rFonts w:ascii="Palatino Linotype" w:hAnsi="Palatino Linotype"/>
          <w:sz w:val="24"/>
          <w:szCs w:val="24"/>
        </w:rPr>
      </w:pPr>
      <w:r w:rsidRPr="78C78F7C">
        <w:rPr>
          <w:rFonts w:ascii="Palatino Linotype" w:hAnsi="Palatino Linotype"/>
          <w:sz w:val="24"/>
          <w:szCs w:val="24"/>
        </w:rPr>
        <w:t>The Relocation Agreement requirements stipulate detailed accounting of project</w:t>
      </w:r>
    </w:p>
    <w:p w:rsidRPr="00264B93" w:rsidR="00286B2D" w:rsidP="006F6F3F" w:rsidRDefault="00286B2D" w14:paraId="22A23C68" w14:textId="7F8E9851">
      <w:pPr>
        <w:ind w:left="360"/>
        <w:rPr>
          <w:rFonts w:ascii="Palatino Linotype" w:hAnsi="Palatino Linotype"/>
          <w:sz w:val="24"/>
          <w:szCs w:val="24"/>
        </w:rPr>
      </w:pPr>
      <w:r w:rsidRPr="38CC9735">
        <w:rPr>
          <w:rFonts w:ascii="Palatino Linotype" w:hAnsi="Palatino Linotype"/>
          <w:sz w:val="24"/>
          <w:szCs w:val="24"/>
        </w:rPr>
        <w:t>costs by PG&amp;E and reporting through</w:t>
      </w:r>
      <w:r w:rsidRPr="38CC9735" w:rsidR="00264B93">
        <w:rPr>
          <w:rFonts w:ascii="Palatino Linotype" w:hAnsi="Palatino Linotype"/>
          <w:sz w:val="24"/>
          <w:szCs w:val="24"/>
        </w:rPr>
        <w:t xml:space="preserve"> an</w:t>
      </w:r>
      <w:r w:rsidRPr="38CC9735">
        <w:rPr>
          <w:rFonts w:ascii="Palatino Linotype" w:hAnsi="Palatino Linotype"/>
          <w:sz w:val="24"/>
          <w:szCs w:val="24"/>
        </w:rPr>
        <w:t xml:space="preserve"> itemized invoice. This serves to</w:t>
      </w:r>
    </w:p>
    <w:p w:rsidRPr="00286B2D" w:rsidR="00286B2D" w:rsidP="006F6F3F" w:rsidRDefault="00286B2D" w14:paraId="71B76EA2" w14:textId="312451DA">
      <w:pPr>
        <w:ind w:left="360"/>
        <w:rPr>
          <w:rFonts w:ascii="Palatino Linotype" w:hAnsi="Palatino Linotype"/>
          <w:sz w:val="24"/>
          <w:szCs w:val="24"/>
        </w:rPr>
      </w:pPr>
      <w:r w:rsidRPr="78C78F7C">
        <w:rPr>
          <w:rFonts w:ascii="Palatino Linotype" w:hAnsi="Palatino Linotype"/>
          <w:sz w:val="24"/>
          <w:szCs w:val="24"/>
        </w:rPr>
        <w:t>appropriately document expenses and aid in transparency.</w:t>
      </w:r>
      <w:r w:rsidRPr="78C78F7C" w:rsidR="00964468">
        <w:rPr>
          <w:rFonts w:ascii="Palatino Linotype" w:hAnsi="Palatino Linotype"/>
          <w:sz w:val="24"/>
          <w:szCs w:val="24"/>
        </w:rPr>
        <w:t xml:space="preserve"> </w:t>
      </w:r>
    </w:p>
    <w:p w:rsidR="00204E27" w:rsidP="78C78F7C" w:rsidRDefault="00204E27" w14:paraId="097CCE03" w14:textId="77777777">
      <w:pPr>
        <w:pStyle w:val="ListParagraph"/>
        <w:ind w:left="360"/>
        <w:contextualSpacing w:val="0"/>
        <w:jc w:val="both"/>
        <w:rPr>
          <w:rFonts w:ascii="Palatino Linotype" w:hAnsi="Palatino Linotype"/>
          <w:b/>
          <w:bCs/>
          <w:sz w:val="24"/>
          <w:szCs w:val="24"/>
          <w:highlight w:val="yellow"/>
        </w:rPr>
      </w:pPr>
    </w:p>
    <w:p w:rsidRPr="000C7D26" w:rsidR="00964468" w:rsidP="006F6F3F" w:rsidRDefault="00BF7F41" w14:paraId="225E9AF1" w14:textId="633B97ED">
      <w:pPr>
        <w:pStyle w:val="ListParagraph"/>
        <w:numPr>
          <w:ilvl w:val="0"/>
          <w:numId w:val="13"/>
        </w:numPr>
        <w:contextualSpacing w:val="0"/>
        <w:rPr>
          <w:rFonts w:ascii="Palatino Linotype" w:hAnsi="Palatino Linotype"/>
          <w:sz w:val="24"/>
          <w:szCs w:val="24"/>
        </w:rPr>
      </w:pPr>
      <w:r w:rsidRPr="38CC9735">
        <w:rPr>
          <w:rFonts w:ascii="Palatino Linotype" w:hAnsi="Palatino Linotype"/>
          <w:b/>
          <w:bCs/>
          <w:sz w:val="24"/>
          <w:szCs w:val="24"/>
        </w:rPr>
        <w:t xml:space="preserve">The performance of relocation work on an actual cost basis has been approved by the Commission </w:t>
      </w:r>
      <w:proofErr w:type="gramStart"/>
      <w:r w:rsidRPr="38CC9735">
        <w:rPr>
          <w:rFonts w:ascii="Palatino Linotype" w:hAnsi="Palatino Linotype"/>
          <w:b/>
          <w:bCs/>
          <w:sz w:val="24"/>
          <w:szCs w:val="24"/>
        </w:rPr>
        <w:t>in</w:t>
      </w:r>
      <w:proofErr w:type="gramEnd"/>
      <w:r w:rsidRPr="38CC9735">
        <w:rPr>
          <w:rFonts w:ascii="Palatino Linotype" w:hAnsi="Palatino Linotype"/>
          <w:b/>
          <w:bCs/>
          <w:sz w:val="24"/>
          <w:szCs w:val="24"/>
        </w:rPr>
        <w:t xml:space="preserve"> other matters. </w:t>
      </w:r>
      <w:r w:rsidRPr="38CC9735">
        <w:rPr>
          <w:rFonts w:ascii="Palatino Linotype" w:hAnsi="Palatino Linotype"/>
          <w:sz w:val="24"/>
          <w:szCs w:val="24"/>
        </w:rPr>
        <w:t xml:space="preserve">As PG&amp;E </w:t>
      </w:r>
      <w:r w:rsidRPr="38CC9735" w:rsidR="0083380D">
        <w:rPr>
          <w:rFonts w:ascii="Palatino Linotype" w:hAnsi="Palatino Linotype"/>
          <w:sz w:val="24"/>
          <w:szCs w:val="24"/>
        </w:rPr>
        <w:t>states</w:t>
      </w:r>
      <w:r w:rsidRPr="38CC9735">
        <w:rPr>
          <w:rFonts w:ascii="Palatino Linotype" w:hAnsi="Palatino Linotype"/>
          <w:sz w:val="24"/>
          <w:szCs w:val="24"/>
        </w:rPr>
        <w:t xml:space="preserve"> in its advice letter, </w:t>
      </w:r>
      <w:r w:rsidRPr="38CC9735" w:rsidR="00964468">
        <w:rPr>
          <w:rFonts w:ascii="Palatino Linotype" w:hAnsi="Palatino Linotype"/>
          <w:sz w:val="24"/>
          <w:szCs w:val="24"/>
        </w:rPr>
        <w:t xml:space="preserve">Resolution </w:t>
      </w:r>
      <w:r w:rsidR="004B2971">
        <w:rPr>
          <w:rFonts w:ascii="Palatino Linotype" w:hAnsi="Palatino Linotype"/>
          <w:sz w:val="24"/>
          <w:szCs w:val="24"/>
        </w:rPr>
        <w:br/>
      </w:r>
      <w:r w:rsidRPr="38CC9735" w:rsidR="00964468">
        <w:rPr>
          <w:rFonts w:ascii="Palatino Linotype" w:hAnsi="Palatino Linotype"/>
          <w:sz w:val="24"/>
          <w:szCs w:val="24"/>
        </w:rPr>
        <w:t>E-5149</w:t>
      </w:r>
      <w:r w:rsidR="006F6F3F">
        <w:rPr>
          <w:rStyle w:val="FootnoteReference"/>
          <w:rFonts w:ascii="Palatino Linotype" w:hAnsi="Palatino Linotype"/>
          <w:sz w:val="24"/>
          <w:szCs w:val="24"/>
        </w:rPr>
        <w:footnoteReference w:id="2"/>
      </w:r>
      <w:r w:rsidRPr="38CC9735" w:rsidR="00964468">
        <w:rPr>
          <w:rFonts w:ascii="Palatino Linotype" w:hAnsi="Palatino Linotype"/>
          <w:sz w:val="24"/>
          <w:szCs w:val="24"/>
          <w:vertAlign w:val="superscript"/>
        </w:rPr>
        <w:t xml:space="preserve"> </w:t>
      </w:r>
      <w:r w:rsidRPr="38CC9735" w:rsidR="00964468">
        <w:rPr>
          <w:rFonts w:ascii="Palatino Linotype" w:hAnsi="Palatino Linotype"/>
          <w:sz w:val="24"/>
          <w:szCs w:val="24"/>
        </w:rPr>
        <w:t>approved relocation agreements to accommodate the California Department of Water Resources’</w:t>
      </w:r>
      <w:r w:rsidRPr="38CC9735" w:rsidR="000511D8">
        <w:rPr>
          <w:rFonts w:ascii="Palatino Linotype" w:hAnsi="Palatino Linotype"/>
          <w:sz w:val="24"/>
          <w:szCs w:val="24"/>
        </w:rPr>
        <w:t xml:space="preserve"> (CDWR)</w:t>
      </w:r>
      <w:r w:rsidRPr="38CC9735" w:rsidR="00964468">
        <w:rPr>
          <w:rFonts w:ascii="Palatino Linotype" w:hAnsi="Palatino Linotype"/>
          <w:sz w:val="24"/>
          <w:szCs w:val="24"/>
        </w:rPr>
        <w:t xml:space="preserve"> levee projects.</w:t>
      </w:r>
      <w:r w:rsidRPr="38CC9735" w:rsidR="000511D8">
        <w:rPr>
          <w:rFonts w:ascii="Palatino Linotype" w:hAnsi="Palatino Linotype"/>
          <w:sz w:val="24"/>
          <w:szCs w:val="24"/>
        </w:rPr>
        <w:t xml:space="preserve"> PG&amp;E accommodated CDWR’s request to pay for the relocation work on actual costs. The relocation agreements allowed for progress billing throughout the course of work.</w:t>
      </w:r>
    </w:p>
    <w:p w:rsidRPr="000C7D26" w:rsidR="00964468" w:rsidP="006F6F3F" w:rsidRDefault="00964468" w14:paraId="19750058" w14:textId="77777777">
      <w:pPr>
        <w:rPr>
          <w:rFonts w:ascii="Palatino Linotype" w:hAnsi="Palatino Linotype"/>
          <w:b/>
          <w:bCs/>
          <w:sz w:val="24"/>
          <w:szCs w:val="24"/>
        </w:rPr>
      </w:pPr>
    </w:p>
    <w:p w:rsidRPr="000C7D26" w:rsidR="00BF7F41" w:rsidP="006F6F3F" w:rsidRDefault="00481672" w14:paraId="5FCAE4B5" w14:textId="002C3AB9">
      <w:pPr>
        <w:pStyle w:val="ListParagraph"/>
        <w:ind w:left="360"/>
        <w:contextualSpacing w:val="0"/>
        <w:rPr>
          <w:rFonts w:ascii="Palatino Linotype" w:hAnsi="Palatino Linotype"/>
          <w:b/>
          <w:bCs/>
          <w:sz w:val="24"/>
          <w:szCs w:val="24"/>
        </w:rPr>
      </w:pPr>
      <w:r w:rsidRPr="38CC9735">
        <w:rPr>
          <w:rFonts w:ascii="Palatino Linotype" w:hAnsi="Palatino Linotype"/>
          <w:sz w:val="24"/>
          <w:szCs w:val="24"/>
        </w:rPr>
        <w:t xml:space="preserve">Also, </w:t>
      </w:r>
      <w:r w:rsidRPr="38CC9735" w:rsidR="00BF7F41">
        <w:rPr>
          <w:rFonts w:ascii="Palatino Linotype" w:hAnsi="Palatino Linotype"/>
          <w:sz w:val="24"/>
          <w:szCs w:val="24"/>
        </w:rPr>
        <w:t>Commission Resolution G</w:t>
      </w:r>
      <w:r w:rsidRPr="38CC9735" w:rsidR="00964468">
        <w:rPr>
          <w:rFonts w:ascii="Palatino Linotype" w:hAnsi="Palatino Linotype"/>
          <w:sz w:val="24"/>
          <w:szCs w:val="24"/>
        </w:rPr>
        <w:t>-</w:t>
      </w:r>
      <w:r w:rsidRPr="38CC9735" w:rsidR="00BF7F41">
        <w:rPr>
          <w:rFonts w:ascii="Palatino Linotype" w:hAnsi="Palatino Linotype"/>
          <w:sz w:val="24"/>
          <w:szCs w:val="24"/>
        </w:rPr>
        <w:t>3498</w:t>
      </w:r>
      <w:r w:rsidR="006F6F3F">
        <w:rPr>
          <w:rStyle w:val="FootnoteReference"/>
          <w:rFonts w:ascii="Palatino Linotype" w:hAnsi="Palatino Linotype"/>
          <w:sz w:val="24"/>
          <w:szCs w:val="24"/>
        </w:rPr>
        <w:footnoteReference w:id="3"/>
      </w:r>
      <w:r w:rsidRPr="38CC9735" w:rsidR="00BF7F41">
        <w:rPr>
          <w:rFonts w:ascii="Palatino Linotype" w:hAnsi="Palatino Linotype"/>
          <w:sz w:val="24"/>
          <w:szCs w:val="24"/>
        </w:rPr>
        <w:t xml:space="preserve"> approved relocation agreements for work performed at the request of the California High-Speed Rail Authority, with deviations to utility-company Rules allowing reimbursement on actual costs as required by the California High</w:t>
      </w:r>
      <w:r w:rsidRPr="38CC9735" w:rsidR="00964468">
        <w:rPr>
          <w:rFonts w:ascii="Palatino Linotype" w:hAnsi="Palatino Linotype"/>
          <w:sz w:val="24"/>
          <w:szCs w:val="24"/>
        </w:rPr>
        <w:t xml:space="preserve"> </w:t>
      </w:r>
      <w:r w:rsidRPr="38CC9735" w:rsidR="00BF7F41">
        <w:rPr>
          <w:rFonts w:ascii="Palatino Linotype" w:hAnsi="Palatino Linotype"/>
          <w:sz w:val="24"/>
          <w:szCs w:val="24"/>
        </w:rPr>
        <w:t xml:space="preserve">Speed Rail Act. </w:t>
      </w:r>
      <w:r w:rsidRPr="38CC9735" w:rsidR="000511D8">
        <w:rPr>
          <w:rFonts w:ascii="Palatino Linotype" w:hAnsi="Palatino Linotype"/>
          <w:sz w:val="24"/>
          <w:szCs w:val="24"/>
        </w:rPr>
        <w:t xml:space="preserve">Like Resolution E-5149, </w:t>
      </w:r>
      <w:proofErr w:type="gramStart"/>
      <w:r w:rsidRPr="38CC9735" w:rsidR="000511D8">
        <w:rPr>
          <w:rFonts w:ascii="Palatino Linotype" w:hAnsi="Palatino Linotype"/>
          <w:sz w:val="24"/>
          <w:szCs w:val="24"/>
        </w:rPr>
        <w:t>invoicing</w:t>
      </w:r>
      <w:proofErr w:type="gramEnd"/>
      <w:r w:rsidRPr="38CC9735" w:rsidR="000511D8">
        <w:rPr>
          <w:rFonts w:ascii="Palatino Linotype" w:hAnsi="Palatino Linotype"/>
          <w:sz w:val="24"/>
          <w:szCs w:val="24"/>
        </w:rPr>
        <w:t xml:space="preserve"> was</w:t>
      </w:r>
      <w:r w:rsidRPr="38CC9735" w:rsidR="00BF7F41">
        <w:rPr>
          <w:rFonts w:ascii="Palatino Linotype" w:hAnsi="Palatino Linotype"/>
          <w:sz w:val="24"/>
          <w:szCs w:val="24"/>
        </w:rPr>
        <w:t xml:space="preserve"> on a progress bill basis for actual costs incurred.</w:t>
      </w:r>
    </w:p>
    <w:p w:rsidRPr="000C7D26" w:rsidR="00BF7F41" w:rsidP="006F6F3F" w:rsidRDefault="00BF7F41" w14:paraId="481A12F7" w14:textId="77777777">
      <w:pPr>
        <w:rPr>
          <w:rFonts w:ascii="Palatino Linotype" w:hAnsi="Palatino Linotype"/>
          <w:b/>
          <w:bCs/>
          <w:sz w:val="24"/>
          <w:szCs w:val="24"/>
        </w:rPr>
      </w:pPr>
    </w:p>
    <w:p w:rsidRPr="00BF7F41" w:rsidR="00BF7F41" w:rsidP="006F6F3F" w:rsidRDefault="00481672" w14:paraId="19F4781D" w14:textId="51C6B437">
      <w:pPr>
        <w:ind w:left="360"/>
        <w:rPr>
          <w:rFonts w:ascii="Palatino Linotype" w:hAnsi="Palatino Linotype"/>
          <w:sz w:val="24"/>
          <w:szCs w:val="24"/>
        </w:rPr>
      </w:pPr>
      <w:r w:rsidRPr="38CC9735">
        <w:rPr>
          <w:rFonts w:ascii="Palatino Linotype" w:hAnsi="Palatino Linotype"/>
          <w:sz w:val="24"/>
          <w:szCs w:val="24"/>
        </w:rPr>
        <w:t>Additionally, t</w:t>
      </w:r>
      <w:r w:rsidRPr="38CC9735" w:rsidR="00BF7F41">
        <w:rPr>
          <w:rFonts w:ascii="Palatino Linotype" w:hAnsi="Palatino Linotype"/>
          <w:sz w:val="24"/>
          <w:szCs w:val="24"/>
        </w:rPr>
        <w:t xml:space="preserve">he Commission also approved </w:t>
      </w:r>
      <w:r w:rsidRPr="38CC9735" w:rsidR="008E15DB">
        <w:rPr>
          <w:rFonts w:ascii="Palatino Linotype" w:hAnsi="Palatino Linotype"/>
          <w:sz w:val="24"/>
          <w:szCs w:val="24"/>
        </w:rPr>
        <w:t>Resolution G-3574</w:t>
      </w:r>
      <w:r w:rsidR="006F6F3F">
        <w:rPr>
          <w:rStyle w:val="FootnoteReference"/>
          <w:rFonts w:ascii="Palatino Linotype" w:hAnsi="Palatino Linotype"/>
          <w:sz w:val="24"/>
          <w:szCs w:val="24"/>
        </w:rPr>
        <w:footnoteReference w:id="4"/>
      </w:r>
      <w:r w:rsidRPr="38CC9735" w:rsidR="00BF7F41">
        <w:rPr>
          <w:rFonts w:ascii="Palatino Linotype" w:hAnsi="Palatino Linotype"/>
          <w:sz w:val="24"/>
          <w:szCs w:val="24"/>
        </w:rPr>
        <w:t>, which approved relocation agreements for work performed at the request of the Santa Clara County Valley Transportation Authority. PG&amp;E entered into two master agreements to address the billing procedures and allocation of costs associated with the relocation of PG&amp;E’s facilities to accommodate rail and rapid transit projects. The</w:t>
      </w:r>
      <w:r w:rsidR="006F6F3F">
        <w:rPr>
          <w:rFonts w:ascii="Palatino Linotype" w:hAnsi="Palatino Linotype"/>
          <w:sz w:val="24"/>
          <w:szCs w:val="24"/>
        </w:rPr>
        <w:t xml:space="preserve"> </w:t>
      </w:r>
      <w:r w:rsidRPr="38CC9735" w:rsidR="00BF7F41">
        <w:rPr>
          <w:rFonts w:ascii="Palatino Linotype" w:hAnsi="Palatino Linotype"/>
          <w:sz w:val="24"/>
          <w:szCs w:val="24"/>
        </w:rPr>
        <w:lastRenderedPageBreak/>
        <w:t>responsibility for utility relocation costs var</w:t>
      </w:r>
      <w:r w:rsidRPr="38CC9735" w:rsidR="000511D8">
        <w:rPr>
          <w:rFonts w:ascii="Palatino Linotype" w:hAnsi="Palatino Linotype"/>
          <w:sz w:val="24"/>
          <w:szCs w:val="24"/>
        </w:rPr>
        <w:t>ied</w:t>
      </w:r>
      <w:r w:rsidRPr="38CC9735" w:rsidR="00BF7F41">
        <w:rPr>
          <w:rFonts w:ascii="Palatino Linotype" w:hAnsi="Palatino Linotype"/>
          <w:sz w:val="24"/>
          <w:szCs w:val="24"/>
        </w:rPr>
        <w:t xml:space="preserve"> depending on the property rights for </w:t>
      </w:r>
      <w:r w:rsidR="004B2971">
        <w:rPr>
          <w:rFonts w:ascii="Palatino Linotype" w:hAnsi="Palatino Linotype"/>
          <w:sz w:val="24"/>
          <w:szCs w:val="24"/>
        </w:rPr>
        <w:br/>
      </w:r>
      <w:r w:rsidRPr="38CC9735" w:rsidR="00BF7F41">
        <w:rPr>
          <w:rFonts w:ascii="Palatino Linotype" w:hAnsi="Palatino Linotype"/>
          <w:sz w:val="24"/>
          <w:szCs w:val="24"/>
        </w:rPr>
        <w:t>PG&amp;E’s facilities, and progressive billing was structured to proportionally share costs on an actual cost basis.</w:t>
      </w:r>
    </w:p>
    <w:p w:rsidR="00C179CC" w:rsidP="78C78F7C" w:rsidRDefault="00C179CC" w14:paraId="6EE30232" w14:textId="77777777">
      <w:pPr>
        <w:pStyle w:val="Heading1"/>
        <w:keepNext w:val="0"/>
        <w:spacing w:before="0" w:after="0"/>
        <w:jc w:val="both"/>
        <w:rPr>
          <w:rFonts w:ascii="Palatino Linotype" w:hAnsi="Palatino Linotype"/>
          <w:sz w:val="24"/>
          <w:szCs w:val="24"/>
        </w:rPr>
      </w:pPr>
    </w:p>
    <w:p w:rsidRPr="005C7E9A" w:rsidR="003F6E5A" w:rsidP="78C78F7C" w:rsidRDefault="00CF17DE" w14:paraId="0F30A0BC" w14:textId="1AEC1B60">
      <w:pPr>
        <w:pStyle w:val="Heading1"/>
        <w:keepNext w:val="0"/>
        <w:spacing w:before="0" w:after="0"/>
        <w:jc w:val="both"/>
        <w:rPr>
          <w:rFonts w:ascii="Palatino Linotype" w:hAnsi="Palatino Linotype"/>
          <w:sz w:val="24"/>
          <w:szCs w:val="24"/>
        </w:rPr>
      </w:pPr>
      <w:r w:rsidRPr="78C78F7C">
        <w:rPr>
          <w:rFonts w:ascii="Palatino Linotype" w:hAnsi="Palatino Linotype"/>
          <w:sz w:val="24"/>
          <w:szCs w:val="24"/>
        </w:rPr>
        <w:t>Comments</w:t>
      </w:r>
    </w:p>
    <w:p w:rsidRPr="005C7E9A" w:rsidR="00CF17DE" w:rsidP="78C78F7C" w:rsidRDefault="00CF17DE" w14:paraId="57930E02" w14:textId="28C80DEF">
      <w:pPr>
        <w:jc w:val="both"/>
        <w:rPr>
          <w:rFonts w:ascii="Palatino Linotype" w:hAnsi="Palatino Linotype"/>
          <w:sz w:val="24"/>
          <w:szCs w:val="24"/>
        </w:rPr>
      </w:pPr>
      <w:r w:rsidRPr="78C78F7C">
        <w:rPr>
          <w:rFonts w:ascii="Palatino Linotype" w:hAnsi="Palatino Linotype"/>
          <w:sz w:val="24"/>
          <w:szCs w:val="24"/>
        </w:rPr>
        <w:t>This is an uncontested matter in which the resolution grants the relief requested.  Accordingly, pursuant to PU Code 311(g)(2), the otherwise applicable 30-day period for public review and comment is being waived.</w:t>
      </w:r>
    </w:p>
    <w:p w:rsidR="3C3C196E" w:rsidP="78C78F7C" w:rsidRDefault="3C3C196E" w14:paraId="1A6538D3" w14:textId="7638BC5A">
      <w:pPr>
        <w:jc w:val="both"/>
        <w:rPr>
          <w:rFonts w:ascii="Palatino Linotype" w:hAnsi="Palatino Linotype"/>
          <w:sz w:val="24"/>
          <w:szCs w:val="24"/>
        </w:rPr>
      </w:pPr>
    </w:p>
    <w:p w:rsidRPr="005C7E9A" w:rsidR="00CF17DE" w:rsidP="78C78F7C" w:rsidRDefault="3251795D" w14:paraId="07618DBE" w14:textId="2E93BC92">
      <w:pPr>
        <w:pStyle w:val="Heading1"/>
        <w:keepNext w:val="0"/>
        <w:spacing w:before="0" w:after="0"/>
        <w:jc w:val="both"/>
        <w:rPr>
          <w:rFonts w:ascii="Palatino Linotype" w:hAnsi="Palatino Linotype"/>
          <w:sz w:val="24"/>
          <w:szCs w:val="24"/>
        </w:rPr>
      </w:pPr>
      <w:r w:rsidRPr="38CC9735">
        <w:rPr>
          <w:rFonts w:ascii="Palatino Linotype" w:hAnsi="Palatino Linotype"/>
          <w:sz w:val="24"/>
          <w:szCs w:val="24"/>
        </w:rPr>
        <w:t>Findings</w:t>
      </w:r>
      <w:r w:rsidRPr="38CC9735" w:rsidR="3A1EC8C9">
        <w:rPr>
          <w:rFonts w:ascii="Palatino Linotype" w:hAnsi="Palatino Linotype"/>
          <w:sz w:val="24"/>
          <w:szCs w:val="24"/>
        </w:rPr>
        <w:t xml:space="preserve"> AND CONCLUSIONS</w:t>
      </w:r>
    </w:p>
    <w:p w:rsidRPr="00BF7F41" w:rsidR="00CF17DE" w:rsidP="78C78F7C" w:rsidRDefault="008B5267" w14:paraId="18C97720" w14:textId="28BB8911">
      <w:pPr>
        <w:pStyle w:val="ListParagraph"/>
        <w:numPr>
          <w:ilvl w:val="0"/>
          <w:numId w:val="14"/>
        </w:numPr>
        <w:contextualSpacing w:val="0"/>
        <w:jc w:val="both"/>
        <w:rPr>
          <w:rFonts w:ascii="Palatino Linotype" w:hAnsi="Palatino Linotype"/>
          <w:b/>
          <w:bCs/>
          <w:sz w:val="24"/>
          <w:szCs w:val="24"/>
        </w:rPr>
      </w:pPr>
      <w:r w:rsidRPr="38CC9735">
        <w:rPr>
          <w:rFonts w:ascii="Palatino Linotype" w:hAnsi="Palatino Linotype"/>
          <w:sz w:val="24"/>
          <w:szCs w:val="24"/>
        </w:rPr>
        <w:t xml:space="preserve">On </w:t>
      </w:r>
      <w:r w:rsidRPr="38CC9735" w:rsidR="72816FBD">
        <w:rPr>
          <w:rFonts w:ascii="Palatino Linotype" w:hAnsi="Palatino Linotype"/>
          <w:sz w:val="24"/>
          <w:szCs w:val="24"/>
        </w:rPr>
        <w:t>March 30, 2026</w:t>
      </w:r>
      <w:r w:rsidRPr="38CC9735" w:rsidR="00605A44">
        <w:rPr>
          <w:rFonts w:ascii="Palatino Linotype" w:hAnsi="Palatino Linotype"/>
          <w:sz w:val="24"/>
          <w:szCs w:val="24"/>
        </w:rPr>
        <w:t xml:space="preserve">, </w:t>
      </w:r>
      <w:r w:rsidRPr="38CC9735">
        <w:rPr>
          <w:rFonts w:ascii="Palatino Linotype" w:hAnsi="Palatino Linotype"/>
          <w:sz w:val="24"/>
          <w:szCs w:val="24"/>
        </w:rPr>
        <w:t xml:space="preserve">PG&amp;E Filed AL </w:t>
      </w:r>
      <w:r w:rsidRPr="38CC9735" w:rsidR="33CE9287">
        <w:rPr>
          <w:rFonts w:ascii="Palatino Linotype" w:hAnsi="Palatino Linotype"/>
          <w:sz w:val="24"/>
          <w:szCs w:val="24"/>
        </w:rPr>
        <w:t>7871-E</w:t>
      </w:r>
      <w:r w:rsidRPr="38CC9735">
        <w:rPr>
          <w:rFonts w:ascii="Palatino Linotype" w:hAnsi="Palatino Linotype"/>
          <w:sz w:val="24"/>
          <w:szCs w:val="24"/>
        </w:rPr>
        <w:t xml:space="preserve">, a tier 3 Advice Letter seeking approval of </w:t>
      </w:r>
      <w:r w:rsidRPr="38CC9735" w:rsidR="008E15DB">
        <w:rPr>
          <w:rFonts w:ascii="Palatino Linotype" w:hAnsi="Palatino Linotype"/>
          <w:sz w:val="24"/>
          <w:szCs w:val="24"/>
        </w:rPr>
        <w:t>a</w:t>
      </w:r>
      <w:r w:rsidRPr="38CC9735" w:rsidR="00BF7F41">
        <w:rPr>
          <w:rFonts w:ascii="Palatino Linotype" w:hAnsi="Palatino Linotype"/>
          <w:sz w:val="24"/>
          <w:szCs w:val="24"/>
        </w:rPr>
        <w:t xml:space="preserve"> Relocation Agreement executed for PG&amp;E facilities relocation work required to accommodate </w:t>
      </w:r>
      <w:r w:rsidRPr="38CC9735" w:rsidR="2288C56D">
        <w:rPr>
          <w:rFonts w:ascii="Palatino Linotype" w:hAnsi="Palatino Linotype"/>
          <w:sz w:val="24"/>
          <w:szCs w:val="24"/>
        </w:rPr>
        <w:t>Clark &amp; Sullivan Construction and Broward Builders, Inc.</w:t>
      </w:r>
      <w:r w:rsidRPr="38CC9735" w:rsidR="4029FF4B">
        <w:rPr>
          <w:rFonts w:ascii="Palatino Linotype" w:hAnsi="Palatino Linotype"/>
          <w:sz w:val="24"/>
          <w:szCs w:val="24"/>
        </w:rPr>
        <w:t>'</w:t>
      </w:r>
      <w:r w:rsidRPr="38CC9735" w:rsidR="360087EE">
        <w:rPr>
          <w:rFonts w:ascii="Palatino Linotype" w:hAnsi="Palatino Linotype"/>
          <w:sz w:val="24"/>
          <w:szCs w:val="24"/>
        </w:rPr>
        <w:t>s</w:t>
      </w:r>
      <w:r w:rsidRPr="38CC9735" w:rsidR="00C73594">
        <w:rPr>
          <w:rFonts w:ascii="Palatino Linotype" w:hAnsi="Palatino Linotype"/>
          <w:sz w:val="24"/>
          <w:szCs w:val="24"/>
        </w:rPr>
        <w:t xml:space="preserve"> </w:t>
      </w:r>
      <w:r w:rsidRPr="38CC9735" w:rsidR="7DB0981F">
        <w:rPr>
          <w:rFonts w:ascii="Palatino Linotype" w:hAnsi="Palatino Linotype"/>
          <w:sz w:val="24"/>
          <w:szCs w:val="24"/>
        </w:rPr>
        <w:t>CHP</w:t>
      </w:r>
      <w:r w:rsidRPr="38CC9735" w:rsidR="690D5544">
        <w:rPr>
          <w:rFonts w:ascii="Palatino Linotype" w:hAnsi="Palatino Linotype"/>
          <w:sz w:val="24"/>
          <w:szCs w:val="24"/>
        </w:rPr>
        <w:t xml:space="preserve"> Project</w:t>
      </w:r>
      <w:r w:rsidRPr="38CC9735" w:rsidR="00BF7F41">
        <w:rPr>
          <w:rFonts w:ascii="Palatino Linotype" w:hAnsi="Palatino Linotype"/>
          <w:sz w:val="24"/>
          <w:szCs w:val="24"/>
        </w:rPr>
        <w:t>.</w:t>
      </w:r>
    </w:p>
    <w:p w:rsidRPr="00A32513" w:rsidR="00A32513" w:rsidP="78C78F7C" w:rsidRDefault="448F5619" w14:paraId="0A96A6B3" w14:textId="61BC8C30">
      <w:pPr>
        <w:pStyle w:val="ListParagraph"/>
        <w:numPr>
          <w:ilvl w:val="0"/>
          <w:numId w:val="14"/>
        </w:numPr>
        <w:contextualSpacing w:val="0"/>
        <w:jc w:val="both"/>
        <w:rPr>
          <w:rFonts w:ascii="Palatino Linotype" w:hAnsi="Palatino Linotype"/>
          <w:sz w:val="24"/>
          <w:szCs w:val="24"/>
        </w:rPr>
      </w:pPr>
      <w:r w:rsidRPr="78C78F7C">
        <w:rPr>
          <w:rFonts w:ascii="Palatino Linotype" w:hAnsi="Palatino Linotype"/>
          <w:sz w:val="24"/>
          <w:szCs w:val="24"/>
        </w:rPr>
        <w:t>Clark &amp; Sullivan Construction and Broward Builders, Inc.</w:t>
      </w:r>
      <w:r w:rsidRPr="78C78F7C" w:rsidR="00C73594">
        <w:rPr>
          <w:rFonts w:ascii="Palatino Linotype" w:hAnsi="Palatino Linotype"/>
          <w:sz w:val="24"/>
          <w:szCs w:val="24"/>
        </w:rPr>
        <w:t xml:space="preserve"> </w:t>
      </w:r>
      <w:r w:rsidRPr="78C78F7C" w:rsidR="000A0A02">
        <w:rPr>
          <w:rFonts w:ascii="Palatino Linotype" w:hAnsi="Palatino Linotype"/>
          <w:sz w:val="24"/>
          <w:szCs w:val="24"/>
        </w:rPr>
        <w:t>have</w:t>
      </w:r>
      <w:r w:rsidRPr="78C78F7C" w:rsidR="00A32513">
        <w:rPr>
          <w:rFonts w:ascii="Palatino Linotype" w:hAnsi="Palatino Linotype"/>
          <w:sz w:val="24"/>
          <w:szCs w:val="24"/>
        </w:rPr>
        <w:t xml:space="preserve"> requested the relocation work to be performed by PG&amp;E be invoiced at actual cost.</w:t>
      </w:r>
    </w:p>
    <w:p w:rsidRPr="00A32513" w:rsidR="00A32513" w:rsidP="78C78F7C" w:rsidRDefault="00A32513" w14:paraId="5F585356" w14:textId="37968EEF">
      <w:pPr>
        <w:pStyle w:val="ListParagraph"/>
        <w:numPr>
          <w:ilvl w:val="0"/>
          <w:numId w:val="14"/>
        </w:numPr>
        <w:contextualSpacing w:val="0"/>
        <w:jc w:val="both"/>
        <w:rPr>
          <w:rFonts w:ascii="Palatino Linotype" w:hAnsi="Palatino Linotype"/>
          <w:sz w:val="24"/>
          <w:szCs w:val="24"/>
        </w:rPr>
      </w:pPr>
      <w:r w:rsidRPr="78C78F7C">
        <w:rPr>
          <w:rFonts w:ascii="Palatino Linotype" w:hAnsi="Palatino Linotype"/>
          <w:sz w:val="24"/>
          <w:szCs w:val="24"/>
        </w:rPr>
        <w:t xml:space="preserve">The billing arrangements specified in the Relocation Agreements are appropriate for the work required to accommodate </w:t>
      </w:r>
      <w:r w:rsidRPr="78C78F7C" w:rsidR="5E358C09">
        <w:rPr>
          <w:rFonts w:ascii="Palatino Linotype" w:hAnsi="Palatino Linotype"/>
          <w:sz w:val="24"/>
          <w:szCs w:val="24"/>
        </w:rPr>
        <w:t xml:space="preserve">Clark &amp; Sullivan Construction and Broward </w:t>
      </w:r>
      <w:r w:rsidRPr="78C78F7C" w:rsidR="00131CE6">
        <w:rPr>
          <w:rFonts w:ascii="Palatino Linotype" w:hAnsi="Palatino Linotype"/>
          <w:sz w:val="24"/>
          <w:szCs w:val="24"/>
        </w:rPr>
        <w:t>Builders</w:t>
      </w:r>
      <w:r w:rsidRPr="78C78F7C" w:rsidR="5E358C09">
        <w:rPr>
          <w:rFonts w:ascii="Palatino Linotype" w:hAnsi="Palatino Linotype"/>
          <w:sz w:val="24"/>
          <w:szCs w:val="24"/>
        </w:rPr>
        <w:t xml:space="preserve"> Inc.</w:t>
      </w:r>
      <w:r w:rsidRPr="78C78F7C" w:rsidR="19A24208">
        <w:rPr>
          <w:rFonts w:ascii="Palatino Linotype" w:hAnsi="Palatino Linotype"/>
          <w:sz w:val="24"/>
          <w:szCs w:val="24"/>
        </w:rPr>
        <w:t>'</w:t>
      </w:r>
      <w:r w:rsidRPr="78C78F7C" w:rsidR="3B055DEB">
        <w:rPr>
          <w:rFonts w:ascii="Palatino Linotype" w:hAnsi="Palatino Linotype"/>
          <w:sz w:val="24"/>
          <w:szCs w:val="24"/>
        </w:rPr>
        <w:t>s</w:t>
      </w:r>
      <w:r w:rsidRPr="78C78F7C" w:rsidR="00C73594">
        <w:rPr>
          <w:rFonts w:ascii="Palatino Linotype" w:hAnsi="Palatino Linotype"/>
          <w:sz w:val="24"/>
          <w:szCs w:val="24"/>
        </w:rPr>
        <w:t xml:space="preserve"> </w:t>
      </w:r>
      <w:r w:rsidRPr="78C78F7C" w:rsidR="3009207B">
        <w:rPr>
          <w:rFonts w:ascii="Palatino Linotype" w:hAnsi="Palatino Linotype"/>
          <w:sz w:val="24"/>
          <w:szCs w:val="24"/>
        </w:rPr>
        <w:t>CHP</w:t>
      </w:r>
      <w:r w:rsidRPr="78C78F7C" w:rsidR="690D5544">
        <w:rPr>
          <w:rFonts w:ascii="Palatino Linotype" w:hAnsi="Palatino Linotype"/>
          <w:sz w:val="24"/>
          <w:szCs w:val="24"/>
        </w:rPr>
        <w:t xml:space="preserve"> Project</w:t>
      </w:r>
      <w:r w:rsidRPr="78C78F7C">
        <w:rPr>
          <w:rFonts w:ascii="Palatino Linotype" w:hAnsi="Palatino Linotype"/>
          <w:sz w:val="24"/>
          <w:szCs w:val="24"/>
        </w:rPr>
        <w:t>.</w:t>
      </w:r>
    </w:p>
    <w:p w:rsidR="00A32513" w:rsidP="78C78F7C" w:rsidRDefault="00A32513" w14:paraId="1B55DDD8" w14:textId="6FF98F82">
      <w:pPr>
        <w:pStyle w:val="ListParagraph"/>
        <w:numPr>
          <w:ilvl w:val="0"/>
          <w:numId w:val="14"/>
        </w:numPr>
        <w:contextualSpacing w:val="0"/>
        <w:jc w:val="both"/>
        <w:rPr>
          <w:rFonts w:ascii="Palatino Linotype" w:hAnsi="Palatino Linotype"/>
          <w:sz w:val="24"/>
          <w:szCs w:val="24"/>
        </w:rPr>
      </w:pPr>
      <w:r w:rsidRPr="78C78F7C">
        <w:rPr>
          <w:rFonts w:ascii="Palatino Linotype" w:hAnsi="Palatino Linotype"/>
          <w:sz w:val="24"/>
          <w:szCs w:val="24"/>
        </w:rPr>
        <w:t xml:space="preserve">The performance of relocation work on an actual cost basis has been approved by the Commission </w:t>
      </w:r>
      <w:r w:rsidRPr="78C78F7C" w:rsidR="00131CE6">
        <w:rPr>
          <w:rFonts w:ascii="Palatino Linotype" w:hAnsi="Palatino Linotype"/>
          <w:sz w:val="24"/>
          <w:szCs w:val="24"/>
        </w:rPr>
        <w:t>on</w:t>
      </w:r>
      <w:r w:rsidRPr="78C78F7C">
        <w:rPr>
          <w:rFonts w:ascii="Palatino Linotype" w:hAnsi="Palatino Linotype"/>
          <w:sz w:val="24"/>
          <w:szCs w:val="24"/>
        </w:rPr>
        <w:t xml:space="preserve"> other matters.</w:t>
      </w:r>
    </w:p>
    <w:p w:rsidRPr="00BF7F41" w:rsidR="00BF7F41" w:rsidP="78C78F7C" w:rsidRDefault="00BF7F41" w14:paraId="42DC3F44" w14:textId="77777777">
      <w:pPr>
        <w:pStyle w:val="ListParagraph"/>
        <w:contextualSpacing w:val="0"/>
        <w:jc w:val="both"/>
        <w:rPr>
          <w:rFonts w:ascii="Palatino Linotype" w:hAnsi="Palatino Linotype"/>
          <w:sz w:val="24"/>
          <w:szCs w:val="24"/>
        </w:rPr>
      </w:pPr>
    </w:p>
    <w:p w:rsidRPr="005C7E9A" w:rsidR="00CF17DE" w:rsidP="78C78F7C" w:rsidRDefault="00CF17DE" w14:paraId="03EBB768" w14:textId="77777777">
      <w:pPr>
        <w:pStyle w:val="Heading1"/>
        <w:keepNext w:val="0"/>
        <w:spacing w:before="0" w:after="0"/>
        <w:jc w:val="both"/>
        <w:rPr>
          <w:rFonts w:ascii="Palatino Linotype" w:hAnsi="Palatino Linotype"/>
          <w:sz w:val="24"/>
          <w:szCs w:val="24"/>
        </w:rPr>
      </w:pPr>
      <w:proofErr w:type="gramStart"/>
      <w:r w:rsidRPr="78C78F7C">
        <w:rPr>
          <w:rFonts w:ascii="Palatino Linotype" w:hAnsi="Palatino Linotype"/>
          <w:sz w:val="24"/>
          <w:szCs w:val="24"/>
        </w:rPr>
        <w:t>Therefore</w:t>
      </w:r>
      <w:proofErr w:type="gramEnd"/>
      <w:r w:rsidRPr="78C78F7C">
        <w:rPr>
          <w:rFonts w:ascii="Palatino Linotype" w:hAnsi="Palatino Linotype"/>
          <w:sz w:val="24"/>
          <w:szCs w:val="24"/>
        </w:rPr>
        <w:t xml:space="preserve"> it is ordered that:</w:t>
      </w:r>
    </w:p>
    <w:p w:rsidRPr="00E34837" w:rsidR="00CF17DE" w:rsidP="78C78F7C" w:rsidRDefault="00CF17DE" w14:paraId="4BCDF939" w14:textId="6E959CA8">
      <w:pPr>
        <w:numPr>
          <w:ilvl w:val="0"/>
          <w:numId w:val="5"/>
        </w:numPr>
        <w:jc w:val="both"/>
        <w:rPr>
          <w:rFonts w:ascii="Palatino Linotype" w:hAnsi="Palatino Linotype"/>
          <w:sz w:val="24"/>
          <w:szCs w:val="24"/>
        </w:rPr>
      </w:pPr>
      <w:r w:rsidRPr="00E34837">
        <w:rPr>
          <w:rFonts w:ascii="Palatino Linotype" w:hAnsi="Palatino Linotype"/>
          <w:snapToGrid w:val="0"/>
          <w:sz w:val="24"/>
          <w:szCs w:val="24"/>
        </w:rPr>
        <w:t xml:space="preserve">The </w:t>
      </w:r>
      <w:r w:rsidRPr="00E34837" w:rsidR="00E34837">
        <w:rPr>
          <w:rFonts w:ascii="Palatino Linotype" w:hAnsi="Palatino Linotype"/>
          <w:snapToGrid w:val="0"/>
          <w:sz w:val="24"/>
          <w:szCs w:val="24"/>
        </w:rPr>
        <w:t xml:space="preserve">relocation agreement, </w:t>
      </w:r>
      <w:r w:rsidR="000D7099">
        <w:rPr>
          <w:rFonts w:ascii="Palatino Linotype" w:hAnsi="Palatino Linotype"/>
          <w:snapToGrid w:val="0"/>
          <w:sz w:val="24"/>
          <w:szCs w:val="24"/>
        </w:rPr>
        <w:t>ACC</w:t>
      </w:r>
      <w:r w:rsidR="00E34837">
        <w:rPr>
          <w:rFonts w:ascii="Palatino Linotype" w:hAnsi="Palatino Linotype"/>
          <w:snapToGrid w:val="0"/>
          <w:sz w:val="24"/>
          <w:szCs w:val="24"/>
        </w:rPr>
        <w:t>,</w:t>
      </w:r>
      <w:r w:rsidRPr="00E34837" w:rsidR="00E34837">
        <w:rPr>
          <w:rFonts w:ascii="Palatino Linotype" w:hAnsi="Palatino Linotype"/>
          <w:snapToGrid w:val="0"/>
          <w:sz w:val="24"/>
          <w:szCs w:val="24"/>
        </w:rPr>
        <w:t xml:space="preserve"> for the </w:t>
      </w:r>
      <w:r w:rsidR="690D5544">
        <w:rPr>
          <w:rFonts w:ascii="Palatino Linotype" w:hAnsi="Palatino Linotype"/>
          <w:snapToGrid w:val="0"/>
          <w:sz w:val="24"/>
          <w:szCs w:val="24"/>
        </w:rPr>
        <w:t>PG&amp;E Project</w:t>
      </w:r>
      <w:r w:rsidRPr="00E34837" w:rsidR="00E34837">
        <w:rPr>
          <w:rFonts w:ascii="Palatino Linotype" w:hAnsi="Palatino Linotype"/>
          <w:snapToGrid w:val="0"/>
          <w:sz w:val="24"/>
          <w:szCs w:val="24"/>
        </w:rPr>
        <w:t xml:space="preserve"> submitted by PG&amp;E in Advice </w:t>
      </w:r>
      <w:r w:rsidRPr="003F5888" w:rsidR="00E34837">
        <w:rPr>
          <w:rFonts w:ascii="Palatino Linotype" w:hAnsi="Palatino Linotype"/>
          <w:snapToGrid w:val="0"/>
          <w:sz w:val="24"/>
          <w:szCs w:val="24"/>
        </w:rPr>
        <w:t xml:space="preserve">Letter </w:t>
      </w:r>
      <w:r w:rsidR="33CE9287">
        <w:rPr>
          <w:rFonts w:ascii="Palatino Linotype" w:hAnsi="Palatino Linotype"/>
          <w:snapToGrid w:val="0"/>
          <w:sz w:val="24"/>
          <w:szCs w:val="24"/>
        </w:rPr>
        <w:t>7871-E</w:t>
      </w:r>
      <w:r w:rsidRPr="003F5888" w:rsidR="00E34837">
        <w:rPr>
          <w:rFonts w:ascii="Palatino Linotype" w:hAnsi="Palatino Linotype"/>
          <w:snapToGrid w:val="0"/>
          <w:sz w:val="24"/>
          <w:szCs w:val="24"/>
        </w:rPr>
        <w:t xml:space="preserve"> is</w:t>
      </w:r>
      <w:r w:rsidRPr="00E34837" w:rsidR="00E34837">
        <w:rPr>
          <w:rFonts w:ascii="Palatino Linotype" w:hAnsi="Palatino Linotype"/>
          <w:snapToGrid w:val="0"/>
          <w:sz w:val="24"/>
          <w:szCs w:val="24"/>
        </w:rPr>
        <w:t xml:space="preserve"> approved </w:t>
      </w:r>
      <w:r w:rsidR="00E34837">
        <w:rPr>
          <w:rFonts w:ascii="Palatino Linotype" w:hAnsi="Palatino Linotype"/>
          <w:snapToGrid w:val="0"/>
          <w:sz w:val="24"/>
          <w:szCs w:val="24"/>
        </w:rPr>
        <w:t>in accordance with Electric Rule No 15.I.3, the Exceptional Cases Provision.</w:t>
      </w:r>
    </w:p>
    <w:p w:rsidR="00E34837" w:rsidP="78C78F7C" w:rsidRDefault="00E34837" w14:paraId="4A790CEA" w14:textId="77777777">
      <w:pPr>
        <w:ind w:left="360"/>
        <w:jc w:val="both"/>
        <w:rPr>
          <w:rFonts w:ascii="Palatino Linotype" w:hAnsi="Palatino Linotype"/>
          <w:sz w:val="24"/>
          <w:szCs w:val="24"/>
        </w:rPr>
      </w:pPr>
    </w:p>
    <w:p w:rsidR="007C273B" w:rsidP="78C78F7C" w:rsidRDefault="007C273B" w14:paraId="0AD2A611" w14:textId="77777777">
      <w:pPr>
        <w:ind w:left="360"/>
        <w:jc w:val="both"/>
        <w:rPr>
          <w:rFonts w:ascii="Palatino Linotype" w:hAnsi="Palatino Linotype"/>
          <w:sz w:val="24"/>
          <w:szCs w:val="24"/>
        </w:rPr>
      </w:pPr>
    </w:p>
    <w:p w:rsidR="007C273B" w:rsidP="78C78F7C" w:rsidRDefault="007C273B" w14:paraId="0F02281B" w14:textId="77777777">
      <w:pPr>
        <w:ind w:left="360"/>
        <w:jc w:val="both"/>
        <w:rPr>
          <w:rFonts w:ascii="Palatino Linotype" w:hAnsi="Palatino Linotype"/>
          <w:sz w:val="24"/>
          <w:szCs w:val="24"/>
        </w:rPr>
      </w:pPr>
    </w:p>
    <w:p w:rsidR="007C273B" w:rsidP="78C78F7C" w:rsidRDefault="007C273B" w14:paraId="2425542D" w14:textId="77777777">
      <w:pPr>
        <w:ind w:left="360"/>
        <w:jc w:val="both"/>
        <w:rPr>
          <w:rFonts w:ascii="Palatino Linotype" w:hAnsi="Palatino Linotype"/>
          <w:sz w:val="24"/>
          <w:szCs w:val="24"/>
        </w:rPr>
      </w:pPr>
    </w:p>
    <w:p w:rsidR="007C273B" w:rsidP="78C78F7C" w:rsidRDefault="007C273B" w14:paraId="74DEBD13" w14:textId="77777777">
      <w:pPr>
        <w:ind w:left="360"/>
        <w:jc w:val="both"/>
        <w:rPr>
          <w:rFonts w:ascii="Palatino Linotype" w:hAnsi="Palatino Linotype"/>
          <w:sz w:val="24"/>
          <w:szCs w:val="24"/>
        </w:rPr>
      </w:pPr>
    </w:p>
    <w:p w:rsidR="007C273B" w:rsidP="78C78F7C" w:rsidRDefault="007C273B" w14:paraId="7F1872B6" w14:textId="77777777">
      <w:pPr>
        <w:ind w:left="360"/>
        <w:jc w:val="both"/>
        <w:rPr>
          <w:rFonts w:ascii="Palatino Linotype" w:hAnsi="Palatino Linotype"/>
          <w:sz w:val="24"/>
          <w:szCs w:val="24"/>
        </w:rPr>
      </w:pPr>
    </w:p>
    <w:p w:rsidR="007C273B" w:rsidP="78C78F7C" w:rsidRDefault="007C273B" w14:paraId="55EA7D70" w14:textId="77777777">
      <w:pPr>
        <w:ind w:left="360"/>
        <w:jc w:val="both"/>
        <w:rPr>
          <w:rFonts w:ascii="Palatino Linotype" w:hAnsi="Palatino Linotype"/>
          <w:sz w:val="24"/>
          <w:szCs w:val="24"/>
        </w:rPr>
      </w:pPr>
    </w:p>
    <w:p w:rsidR="007C273B" w:rsidP="78C78F7C" w:rsidRDefault="007C273B" w14:paraId="30E03105" w14:textId="77777777">
      <w:pPr>
        <w:ind w:left="360"/>
        <w:jc w:val="both"/>
        <w:rPr>
          <w:rFonts w:ascii="Palatino Linotype" w:hAnsi="Palatino Linotype"/>
          <w:sz w:val="24"/>
          <w:szCs w:val="24"/>
        </w:rPr>
      </w:pPr>
    </w:p>
    <w:p w:rsidR="007C273B" w:rsidP="78C78F7C" w:rsidRDefault="007C273B" w14:paraId="638214EC" w14:textId="77777777">
      <w:pPr>
        <w:ind w:left="360"/>
        <w:jc w:val="both"/>
        <w:rPr>
          <w:rFonts w:ascii="Palatino Linotype" w:hAnsi="Palatino Linotype"/>
          <w:sz w:val="24"/>
          <w:szCs w:val="24"/>
        </w:rPr>
      </w:pPr>
    </w:p>
    <w:p w:rsidR="007C273B" w:rsidP="78C78F7C" w:rsidRDefault="007C273B" w14:paraId="3BFE0DD2" w14:textId="77777777">
      <w:pPr>
        <w:ind w:left="360"/>
        <w:jc w:val="both"/>
        <w:rPr>
          <w:rFonts w:ascii="Palatino Linotype" w:hAnsi="Palatino Linotype"/>
          <w:sz w:val="24"/>
          <w:szCs w:val="24"/>
        </w:rPr>
      </w:pPr>
    </w:p>
    <w:p w:rsidR="007C273B" w:rsidP="78C78F7C" w:rsidRDefault="007C273B" w14:paraId="6C7416A1" w14:textId="77777777">
      <w:pPr>
        <w:ind w:left="360"/>
        <w:jc w:val="both"/>
        <w:rPr>
          <w:rFonts w:ascii="Palatino Linotype" w:hAnsi="Palatino Linotype"/>
          <w:sz w:val="24"/>
          <w:szCs w:val="24"/>
        </w:rPr>
      </w:pPr>
    </w:p>
    <w:p w:rsidR="007C273B" w:rsidP="78C78F7C" w:rsidRDefault="007C273B" w14:paraId="3FC45E41" w14:textId="77777777">
      <w:pPr>
        <w:ind w:left="360"/>
        <w:jc w:val="both"/>
        <w:rPr>
          <w:rFonts w:ascii="Palatino Linotype" w:hAnsi="Palatino Linotype"/>
          <w:sz w:val="24"/>
          <w:szCs w:val="24"/>
        </w:rPr>
      </w:pPr>
    </w:p>
    <w:p w:rsidRPr="00E34837" w:rsidR="007C273B" w:rsidP="78C78F7C" w:rsidRDefault="007C273B" w14:paraId="7634A0A2" w14:textId="77777777">
      <w:pPr>
        <w:ind w:left="360"/>
        <w:jc w:val="both"/>
        <w:rPr>
          <w:rFonts w:ascii="Palatino Linotype" w:hAnsi="Palatino Linotype"/>
          <w:sz w:val="24"/>
          <w:szCs w:val="24"/>
        </w:rPr>
      </w:pPr>
    </w:p>
    <w:p w:rsidRPr="005C7E9A" w:rsidR="00CF17DE" w:rsidP="78C78F7C" w:rsidRDefault="00CF17DE" w14:paraId="37DEE6CF" w14:textId="77777777">
      <w:pPr>
        <w:tabs>
          <w:tab w:val="left" w:pos="720"/>
          <w:tab w:val="left" w:pos="1296"/>
          <w:tab w:val="left" w:pos="2016"/>
          <w:tab w:val="left" w:pos="2736"/>
          <w:tab w:val="left" w:pos="3456"/>
          <w:tab w:val="left" w:pos="4176"/>
          <w:tab w:val="left" w:pos="5760"/>
        </w:tabs>
        <w:jc w:val="both"/>
        <w:rPr>
          <w:rFonts w:ascii="Palatino Linotype" w:hAnsi="Palatino Linotype"/>
          <w:sz w:val="24"/>
          <w:szCs w:val="24"/>
        </w:rPr>
      </w:pPr>
      <w:r w:rsidRPr="78C78F7C">
        <w:rPr>
          <w:rFonts w:ascii="Palatino Linotype" w:hAnsi="Palatino Linotype"/>
          <w:sz w:val="24"/>
          <w:szCs w:val="24"/>
        </w:rPr>
        <w:lastRenderedPageBreak/>
        <w:t>This Resolution is effective today.</w:t>
      </w:r>
    </w:p>
    <w:p w:rsidRPr="005C7E9A" w:rsidR="00CB42C3" w:rsidP="78C78F7C" w:rsidRDefault="00CB42C3" w14:paraId="7D496AA3" w14:textId="77777777">
      <w:pPr>
        <w:tabs>
          <w:tab w:val="left" w:pos="720"/>
          <w:tab w:val="left" w:pos="1296"/>
          <w:tab w:val="left" w:pos="2016"/>
          <w:tab w:val="left" w:pos="2736"/>
          <w:tab w:val="left" w:pos="3456"/>
          <w:tab w:val="left" w:pos="4176"/>
          <w:tab w:val="left" w:pos="5760"/>
        </w:tabs>
        <w:jc w:val="both"/>
        <w:rPr>
          <w:rFonts w:ascii="Palatino Linotype" w:hAnsi="Palatino Linotype"/>
          <w:sz w:val="24"/>
          <w:szCs w:val="24"/>
        </w:rPr>
      </w:pPr>
    </w:p>
    <w:p w:rsidR="00864BCE" w:rsidP="00864BCE" w:rsidRDefault="00864BCE" w14:paraId="53280E76" w14:textId="3DA7914D">
      <w:pPr>
        <w:tabs>
          <w:tab w:val="left" w:pos="720"/>
          <w:tab w:val="left" w:pos="1152"/>
          <w:tab w:val="left" w:pos="1728"/>
          <w:tab w:val="left" w:pos="3168"/>
          <w:tab w:val="left" w:pos="5040"/>
        </w:tabs>
        <w:ind w:right="144"/>
        <w:rPr>
          <w:rFonts w:ascii="Palatino Linotype" w:hAnsi="Palatino Linotype"/>
          <w:snapToGrid w:val="0"/>
          <w:sz w:val="24"/>
          <w:szCs w:val="24"/>
        </w:rPr>
      </w:pPr>
      <w:r w:rsidRPr="00864BCE">
        <w:rPr>
          <w:rFonts w:ascii="Palatino Linotype" w:hAnsi="Palatino Linotype"/>
          <w:snapToGrid w:val="0"/>
          <w:sz w:val="24"/>
          <w:szCs w:val="24"/>
        </w:rPr>
        <w:t xml:space="preserve">The foregoing resolution was duly introduced, passed and adopted at a conference of the Public Utilities Commission of the State of California held on July </w:t>
      </w:r>
      <w:r w:rsidR="004B2971">
        <w:rPr>
          <w:rFonts w:ascii="Palatino Linotype" w:hAnsi="Palatino Linotype"/>
          <w:snapToGrid w:val="0"/>
          <w:sz w:val="24"/>
          <w:szCs w:val="24"/>
        </w:rPr>
        <w:t>16</w:t>
      </w:r>
      <w:r w:rsidRPr="00864BCE">
        <w:rPr>
          <w:rFonts w:ascii="Palatino Linotype" w:hAnsi="Palatino Linotype"/>
          <w:snapToGrid w:val="0"/>
          <w:sz w:val="24"/>
          <w:szCs w:val="24"/>
        </w:rPr>
        <w:t>, 2026; the following Commissioners voting favorably thereon:</w:t>
      </w:r>
    </w:p>
    <w:p w:rsidR="004B2971" w:rsidP="00864BCE" w:rsidRDefault="004B2971" w14:paraId="6BF3F747" w14:textId="77777777">
      <w:pPr>
        <w:tabs>
          <w:tab w:val="left" w:pos="720"/>
          <w:tab w:val="left" w:pos="1152"/>
          <w:tab w:val="left" w:pos="1728"/>
          <w:tab w:val="left" w:pos="3168"/>
          <w:tab w:val="left" w:pos="5040"/>
        </w:tabs>
        <w:ind w:right="144"/>
        <w:rPr>
          <w:rFonts w:ascii="Palatino Linotype" w:hAnsi="Palatino Linotype"/>
          <w:snapToGrid w:val="0"/>
          <w:sz w:val="24"/>
          <w:szCs w:val="24"/>
        </w:rPr>
      </w:pPr>
    </w:p>
    <w:p w:rsidR="004B2971" w:rsidP="00864BCE" w:rsidRDefault="004B2971" w14:paraId="09EDB84F" w14:textId="77777777">
      <w:pPr>
        <w:tabs>
          <w:tab w:val="left" w:pos="720"/>
          <w:tab w:val="left" w:pos="1152"/>
          <w:tab w:val="left" w:pos="1728"/>
          <w:tab w:val="left" w:pos="3168"/>
          <w:tab w:val="left" w:pos="5040"/>
        </w:tabs>
        <w:ind w:right="144"/>
        <w:rPr>
          <w:rFonts w:ascii="Palatino Linotype" w:hAnsi="Palatino Linotype"/>
          <w:snapToGrid w:val="0"/>
          <w:sz w:val="24"/>
          <w:szCs w:val="24"/>
        </w:rPr>
      </w:pPr>
    </w:p>
    <w:p w:rsidRPr="00C675C6" w:rsidR="007C273B" w:rsidP="007C273B" w:rsidRDefault="004B2971" w14:paraId="46ECFA85" w14:textId="77777777">
      <w:pPr>
        <w:ind w:left="6210"/>
        <w:rPr>
          <w:rFonts w:ascii="Palatino Linotype" w:hAnsi="Palatino Linotype"/>
          <w:color w:val="000000"/>
          <w:sz w:val="24"/>
          <w:szCs w:val="24"/>
          <w:u w:val="single"/>
        </w:rPr>
      </w:pPr>
      <w:r>
        <w:rPr>
          <w:rFonts w:ascii="Palatino Linotype" w:hAnsi="Palatino Linotype"/>
          <w:snapToGrid w:val="0"/>
          <w:sz w:val="24"/>
          <w:szCs w:val="24"/>
        </w:rPr>
        <w:t xml:space="preserve">                                                                         </w:t>
      </w:r>
      <w:r w:rsidRPr="00C675C6" w:rsidR="007C273B">
        <w:rPr>
          <w:rFonts w:ascii="Palatino Linotype" w:hAnsi="Palatino Linotype"/>
          <w:color w:val="000000"/>
          <w:sz w:val="24"/>
          <w:szCs w:val="24"/>
          <w:u w:val="single"/>
        </w:rPr>
        <w:t>/s/ LEUWAM TESFAI</w:t>
      </w:r>
    </w:p>
    <w:p w:rsidRPr="00C675C6" w:rsidR="007C273B" w:rsidP="007C273B" w:rsidRDefault="007C273B" w14:paraId="0C538A93"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Leuwam Tesfai</w:t>
      </w:r>
    </w:p>
    <w:p w:rsidRPr="00C675C6" w:rsidR="007C273B" w:rsidP="007C273B" w:rsidRDefault="007C273B" w14:paraId="7BF7DD19"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Executive Director</w:t>
      </w:r>
    </w:p>
    <w:p w:rsidRPr="00C42581" w:rsidR="007C273B" w:rsidP="007C273B" w:rsidRDefault="007C273B" w14:paraId="6EEA1505" w14:textId="77777777">
      <w:pPr>
        <w:ind w:left="6210"/>
        <w:rPr>
          <w:rFonts w:ascii="Palatino Linotype" w:hAnsi="Palatino Linotype"/>
          <w:color w:val="000000"/>
          <w:sz w:val="28"/>
          <w:szCs w:val="28"/>
        </w:rPr>
      </w:pPr>
    </w:p>
    <w:p w:rsidRPr="00C675C6" w:rsidR="007C273B" w:rsidP="007C273B" w:rsidRDefault="007C273B" w14:paraId="25355448"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JOHN REYNOLDS</w:t>
      </w:r>
    </w:p>
    <w:p w:rsidRPr="00C675C6" w:rsidR="007C273B" w:rsidP="007C273B" w:rsidRDefault="007C273B" w14:paraId="09EF248D"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President</w:t>
      </w:r>
    </w:p>
    <w:p w:rsidRPr="00C42581" w:rsidR="007C273B" w:rsidP="007C273B" w:rsidRDefault="007C273B" w14:paraId="3659F942" w14:textId="77777777">
      <w:pPr>
        <w:ind w:left="6210"/>
        <w:rPr>
          <w:rFonts w:ascii="Palatino Linotype" w:hAnsi="Palatino Linotype"/>
          <w:color w:val="000000"/>
          <w:sz w:val="12"/>
          <w:szCs w:val="12"/>
        </w:rPr>
      </w:pPr>
    </w:p>
    <w:p w:rsidRPr="00C675C6" w:rsidR="007C273B" w:rsidP="007C273B" w:rsidRDefault="007C273B" w14:paraId="34BC301F"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DARCIE L. HOUCK</w:t>
      </w:r>
    </w:p>
    <w:p w:rsidRPr="00C675C6" w:rsidR="007C273B" w:rsidP="007C273B" w:rsidRDefault="007C273B" w14:paraId="328ED241"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KAREN DOUGLAS</w:t>
      </w:r>
    </w:p>
    <w:p w:rsidRPr="00C675C6" w:rsidR="007C273B" w:rsidP="007C273B" w:rsidRDefault="007C273B" w14:paraId="2C24DBE9"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MATTHEW BAKER</w:t>
      </w:r>
    </w:p>
    <w:p w:rsidRPr="00C675C6" w:rsidR="007C273B" w:rsidP="007C273B" w:rsidRDefault="007C273B" w14:paraId="1D153A63" w14:textId="77777777">
      <w:pPr>
        <w:ind w:left="6210"/>
        <w:rPr>
          <w:rFonts w:ascii="Palatino Linotype" w:hAnsi="Palatino Linotype"/>
          <w:color w:val="000000"/>
          <w:sz w:val="24"/>
          <w:szCs w:val="24"/>
        </w:rPr>
      </w:pPr>
      <w:r w:rsidRPr="00C675C6">
        <w:rPr>
          <w:rFonts w:ascii="Palatino Linotype" w:hAnsi="Palatino Linotype"/>
          <w:color w:val="000000"/>
          <w:sz w:val="24"/>
          <w:szCs w:val="24"/>
        </w:rPr>
        <w:t>CHRISTINE HARADA</w:t>
      </w:r>
    </w:p>
    <w:p w:rsidR="007C273B" w:rsidP="007C273B" w:rsidRDefault="007C273B" w14:paraId="526D990B" w14:textId="03BC6DA8">
      <w:pPr>
        <w:ind w:left="6210"/>
        <w:rPr>
          <w:rFonts w:ascii="Palatino Linotype" w:hAnsi="Palatino Linotype"/>
          <w:color w:val="000000"/>
          <w:sz w:val="24"/>
          <w:szCs w:val="24"/>
        </w:rPr>
      </w:pPr>
      <w:r w:rsidRPr="00C675C6">
        <w:rPr>
          <w:rFonts w:ascii="Palatino Linotype" w:hAnsi="Palatino Linotype"/>
          <w:color w:val="000000"/>
          <w:sz w:val="24"/>
          <w:szCs w:val="24"/>
        </w:rPr>
        <w:t xml:space="preserve">    Commissioners</w:t>
      </w:r>
    </w:p>
    <w:p w:rsidR="00864BCE" w:rsidP="007C273B" w:rsidRDefault="00864BCE" w14:paraId="43D9F186" w14:textId="519513DC">
      <w:pPr>
        <w:tabs>
          <w:tab w:val="left" w:pos="720"/>
          <w:tab w:val="left" w:pos="1152"/>
          <w:tab w:val="left" w:pos="1728"/>
          <w:tab w:val="left" w:pos="3168"/>
          <w:tab w:val="left" w:pos="5040"/>
        </w:tabs>
        <w:ind w:right="144"/>
        <w:rPr>
          <w:rFonts w:ascii="Palatino Linotype" w:hAnsi="Palatino Linotype"/>
          <w:snapToGrid w:val="0"/>
          <w:sz w:val="24"/>
          <w:szCs w:val="24"/>
        </w:rPr>
      </w:pPr>
    </w:p>
    <w:p w:rsidRPr="00864BCE" w:rsidR="004B2971" w:rsidP="00864BCE" w:rsidRDefault="004B2971" w14:paraId="091A9CE0" w14:textId="77777777">
      <w:pPr>
        <w:tabs>
          <w:tab w:val="left" w:pos="720"/>
          <w:tab w:val="left" w:pos="1152"/>
          <w:tab w:val="left" w:pos="1728"/>
          <w:tab w:val="left" w:pos="3168"/>
          <w:tab w:val="left" w:pos="5040"/>
        </w:tabs>
        <w:ind w:right="144"/>
        <w:rPr>
          <w:rFonts w:ascii="Palatino Linotype" w:hAnsi="Palatino Linotype"/>
          <w:snapToGrid w:val="0"/>
          <w:sz w:val="24"/>
          <w:szCs w:val="24"/>
        </w:rPr>
      </w:pPr>
    </w:p>
    <w:p w:rsidR="00CF17DE" w:rsidP="004B2971" w:rsidRDefault="00864BCE" w14:paraId="363F8E7E" w14:textId="5E9C955B">
      <w:pPr>
        <w:tabs>
          <w:tab w:val="left" w:pos="720"/>
          <w:tab w:val="left" w:pos="1152"/>
          <w:tab w:val="left" w:pos="1728"/>
          <w:tab w:val="left" w:pos="3168"/>
          <w:tab w:val="left" w:pos="5040"/>
        </w:tabs>
        <w:ind w:right="144"/>
      </w:pPr>
      <w:r w:rsidRPr="00864BCE">
        <w:rPr>
          <w:rFonts w:ascii="Palatino Linotype" w:hAnsi="Palatino Linotype"/>
          <w:snapToGrid w:val="0"/>
          <w:sz w:val="24"/>
          <w:szCs w:val="24"/>
        </w:rPr>
        <w:t xml:space="preserve">Dated </w:t>
      </w:r>
      <w:r>
        <w:rPr>
          <w:rFonts w:ascii="Palatino Linotype" w:hAnsi="Palatino Linotype"/>
          <w:snapToGrid w:val="0"/>
          <w:sz w:val="24"/>
          <w:szCs w:val="24"/>
        </w:rPr>
        <w:t>July 16, 2026</w:t>
      </w:r>
      <w:r w:rsidRPr="00864BCE">
        <w:rPr>
          <w:rFonts w:ascii="Palatino Linotype" w:hAnsi="Palatino Linotype"/>
          <w:snapToGrid w:val="0"/>
          <w:sz w:val="24"/>
          <w:szCs w:val="24"/>
        </w:rPr>
        <w:t xml:space="preserve">, at </w:t>
      </w:r>
      <w:r w:rsidR="007C273B">
        <w:rPr>
          <w:rFonts w:ascii="Palatino Linotype" w:hAnsi="Palatino Linotype"/>
          <w:snapToGrid w:val="0"/>
          <w:sz w:val="24"/>
          <w:szCs w:val="24"/>
        </w:rPr>
        <w:t>San Francisco</w:t>
      </w:r>
      <w:r w:rsidRPr="00864BCE">
        <w:rPr>
          <w:rFonts w:ascii="Palatino Linotype" w:hAnsi="Palatino Linotype"/>
          <w:snapToGrid w:val="0"/>
          <w:sz w:val="24"/>
          <w:szCs w:val="24"/>
        </w:rPr>
        <w:t xml:space="preserve">, California </w:t>
      </w:r>
    </w:p>
    <w:sectPr w:rsidR="00CF17DE">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67FE4" w14:textId="77777777" w:rsidR="00AE61A4" w:rsidRDefault="00AE61A4">
      <w:r>
        <w:separator/>
      </w:r>
    </w:p>
  </w:endnote>
  <w:endnote w:type="continuationSeparator" w:id="0">
    <w:p w14:paraId="0299B18C" w14:textId="77777777" w:rsidR="00AE61A4" w:rsidRDefault="00A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11B" w14:textId="77777777" w:rsidR="00CF17DE" w:rsidRPr="005C7E9A" w:rsidRDefault="00CF17DE">
    <w:pPr>
      <w:pStyle w:val="Footer"/>
      <w:rPr>
        <w:rFonts w:ascii="Palatino Linotype" w:hAnsi="Palatino Linotype"/>
        <w:sz w:val="24"/>
        <w:szCs w:val="24"/>
      </w:rPr>
    </w:pPr>
    <w:r w:rsidRPr="005C7E9A">
      <w:rPr>
        <w:rStyle w:val="PageNumber"/>
        <w:rFonts w:ascii="Palatino Linotype" w:hAnsi="Palatino Linotype"/>
        <w:sz w:val="24"/>
        <w:szCs w:val="24"/>
      </w:rPr>
      <w:fldChar w:fldCharType="begin"/>
    </w:r>
    <w:r w:rsidRPr="005C7E9A">
      <w:rPr>
        <w:rStyle w:val="PageNumber"/>
        <w:rFonts w:ascii="Palatino Linotype" w:hAnsi="Palatino Linotype"/>
        <w:sz w:val="24"/>
        <w:szCs w:val="24"/>
      </w:rPr>
      <w:instrText xml:space="preserve"> PAGE </w:instrText>
    </w:r>
    <w:r w:rsidRPr="005C7E9A">
      <w:rPr>
        <w:rStyle w:val="PageNumber"/>
        <w:rFonts w:ascii="Palatino Linotype" w:hAnsi="Palatino Linotype"/>
        <w:sz w:val="24"/>
        <w:szCs w:val="24"/>
      </w:rPr>
      <w:fldChar w:fldCharType="separate"/>
    </w:r>
    <w:r w:rsidR="00946E2C" w:rsidRPr="005C7E9A">
      <w:rPr>
        <w:rStyle w:val="PageNumber"/>
        <w:rFonts w:ascii="Palatino Linotype" w:hAnsi="Palatino Linotype"/>
        <w:noProof/>
        <w:sz w:val="24"/>
        <w:szCs w:val="24"/>
      </w:rPr>
      <w:t>4</w:t>
    </w:r>
    <w:r w:rsidRPr="005C7E9A">
      <w:rPr>
        <w:rStyle w:val="PageNumber"/>
        <w:rFonts w:ascii="Palatino Linotype" w:hAnsi="Palatino Linotyp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D63" w14:textId="65005630" w:rsidR="00CF17DE" w:rsidRPr="005C7E9A" w:rsidRDefault="00BF0BD8" w:rsidP="0065722C">
    <w:pPr>
      <w:pStyle w:val="Footer"/>
      <w:tabs>
        <w:tab w:val="clear" w:pos="4320"/>
        <w:tab w:val="left" w:pos="90"/>
        <w:tab w:val="left" w:pos="615"/>
        <w:tab w:val="center" w:pos="4680"/>
      </w:tabs>
      <w:jc w:val="left"/>
      <w:rPr>
        <w:rFonts w:ascii="Palatino Linotype" w:hAnsi="Palatino Linotype"/>
        <w:sz w:val="24"/>
        <w:szCs w:val="18"/>
      </w:rPr>
    </w:pPr>
    <w:r w:rsidRPr="00BF0BD8">
      <w:rPr>
        <w:rStyle w:val="PageNumber"/>
        <w:rFonts w:ascii="Tahoma" w:hAnsi="Tahoma" w:cs="Tahoma"/>
        <w:sz w:val="18"/>
        <w:szCs w:val="18"/>
      </w:rPr>
      <w:t>611511398</w:t>
    </w:r>
    <w:r w:rsidR="0065722C">
      <w:rPr>
        <w:rStyle w:val="PageNumber"/>
        <w:rFonts w:ascii="Palatino Linotype" w:hAnsi="Palatino Linotype"/>
        <w:sz w:val="24"/>
        <w:szCs w:val="18"/>
      </w:rPr>
      <w:tab/>
    </w:r>
    <w:r w:rsidR="00CF17DE" w:rsidRPr="005C7E9A">
      <w:rPr>
        <w:rStyle w:val="PageNumber"/>
        <w:rFonts w:ascii="Palatino Linotype" w:hAnsi="Palatino Linotype"/>
        <w:sz w:val="24"/>
        <w:szCs w:val="18"/>
      </w:rPr>
      <w:fldChar w:fldCharType="begin"/>
    </w:r>
    <w:r w:rsidR="00CF17DE" w:rsidRPr="005C7E9A">
      <w:rPr>
        <w:rStyle w:val="PageNumber"/>
        <w:rFonts w:ascii="Palatino Linotype" w:hAnsi="Palatino Linotype"/>
        <w:sz w:val="24"/>
        <w:szCs w:val="18"/>
      </w:rPr>
      <w:instrText xml:space="preserve"> PAGE </w:instrText>
    </w:r>
    <w:r w:rsidR="00CF17DE" w:rsidRPr="005C7E9A">
      <w:rPr>
        <w:rStyle w:val="PageNumber"/>
        <w:rFonts w:ascii="Palatino Linotype" w:hAnsi="Palatino Linotype"/>
        <w:sz w:val="24"/>
        <w:szCs w:val="18"/>
      </w:rPr>
      <w:fldChar w:fldCharType="separate"/>
    </w:r>
    <w:r w:rsidR="00946E2C" w:rsidRPr="005C7E9A">
      <w:rPr>
        <w:rStyle w:val="PageNumber"/>
        <w:rFonts w:ascii="Palatino Linotype" w:hAnsi="Palatino Linotype"/>
        <w:noProof/>
        <w:sz w:val="24"/>
        <w:szCs w:val="18"/>
      </w:rPr>
      <w:t>1</w:t>
    </w:r>
    <w:r w:rsidR="00CF17DE" w:rsidRPr="005C7E9A">
      <w:rPr>
        <w:rStyle w:val="PageNumber"/>
        <w:rFonts w:ascii="Palatino Linotype" w:hAnsi="Palatino Linotype"/>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9C99" w14:textId="77777777" w:rsidR="00AE61A4" w:rsidRDefault="00AE61A4">
      <w:r>
        <w:separator/>
      </w:r>
    </w:p>
  </w:footnote>
  <w:footnote w:type="continuationSeparator" w:id="0">
    <w:p w14:paraId="3E56138C" w14:textId="77777777" w:rsidR="00AE61A4" w:rsidRDefault="00AE61A4">
      <w:r>
        <w:continuationSeparator/>
      </w:r>
    </w:p>
  </w:footnote>
  <w:footnote w:type="continuationNotice" w:id="1">
    <w:p w14:paraId="248BAA76" w14:textId="77777777" w:rsidR="00AE61A4" w:rsidRDefault="00AE61A4">
      <w:pPr>
        <w:rPr>
          <w:sz w:val="22"/>
        </w:rPr>
      </w:pPr>
    </w:p>
    <w:p w14:paraId="1D1746AA" w14:textId="77777777" w:rsidR="00AE61A4" w:rsidRDefault="00AE61A4">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6BD53FC8" w14:textId="77777777" w:rsidR="006F6F3F" w:rsidRPr="006F6F3F" w:rsidRDefault="006F6F3F" w:rsidP="006F6F3F">
      <w:pPr>
        <w:rPr>
          <w:rFonts w:ascii="Palatino Linotype" w:hAnsi="Palatino Linotype"/>
          <w:sz w:val="20"/>
        </w:rPr>
      </w:pPr>
      <w:r w:rsidRPr="006F6F3F">
        <w:rPr>
          <w:rStyle w:val="FootnoteReference"/>
          <w:rFonts w:ascii="Palatino Linotype" w:hAnsi="Palatino Linotype"/>
          <w:sz w:val="20"/>
        </w:rPr>
        <w:footnoteRef/>
      </w:r>
      <w:r w:rsidRPr="006F6F3F">
        <w:rPr>
          <w:rFonts w:ascii="Palatino Linotype" w:hAnsi="Palatino Linotype"/>
          <w:sz w:val="20"/>
        </w:rPr>
        <w:t xml:space="preserve"> See Resolution Number E-5149</w:t>
      </w:r>
    </w:p>
    <w:p w14:paraId="7DA610C4" w14:textId="1B6120EC" w:rsidR="006F6F3F" w:rsidRPr="006F6F3F" w:rsidRDefault="006F6F3F" w:rsidP="006F6F3F">
      <w:pPr>
        <w:rPr>
          <w:rFonts w:ascii="Palatino Linotype" w:hAnsi="Palatino Linotype"/>
          <w:sz w:val="20"/>
        </w:rPr>
      </w:pPr>
      <w:hyperlink r:id="rId1">
        <w:r w:rsidRPr="006F6F3F">
          <w:rPr>
            <w:rStyle w:val="Hyperlink"/>
            <w:rFonts w:ascii="Palatino Linotype" w:hAnsi="Palatino Linotype"/>
            <w:sz w:val="20"/>
          </w:rPr>
          <w:t>https://docs.cpuc.ca.gov/PublishedDocs/Published/G000/M393/K356/393356912.PDF</w:t>
        </w:r>
      </w:hyperlink>
      <w:r w:rsidRPr="006F6F3F">
        <w:rPr>
          <w:rFonts w:ascii="Palatino Linotype" w:hAnsi="Palatino Linotype"/>
          <w:sz w:val="20"/>
        </w:rPr>
        <w:t xml:space="preserve"> (approving two relocation agreements with CDWR).</w:t>
      </w:r>
    </w:p>
  </w:footnote>
  <w:footnote w:id="3">
    <w:p w14:paraId="2023B0AE" w14:textId="77777777" w:rsidR="006F6F3F" w:rsidRPr="006F6F3F" w:rsidRDefault="006F6F3F" w:rsidP="006F6F3F">
      <w:pPr>
        <w:rPr>
          <w:rFonts w:ascii="Palatino Linotype" w:hAnsi="Palatino Linotype"/>
          <w:sz w:val="20"/>
        </w:rPr>
      </w:pPr>
      <w:r w:rsidRPr="006F6F3F">
        <w:rPr>
          <w:rStyle w:val="FootnoteReference"/>
          <w:rFonts w:ascii="Palatino Linotype" w:hAnsi="Palatino Linotype"/>
          <w:sz w:val="20"/>
        </w:rPr>
        <w:footnoteRef/>
      </w:r>
      <w:r w:rsidRPr="006F6F3F">
        <w:rPr>
          <w:rFonts w:ascii="Palatino Linotype" w:hAnsi="Palatino Linotype"/>
          <w:sz w:val="20"/>
        </w:rPr>
        <w:t xml:space="preserve"> See Resolution Number G-3498</w:t>
      </w:r>
    </w:p>
    <w:p w14:paraId="3593AC85" w14:textId="3F35E914" w:rsidR="006F6F3F" w:rsidRPr="006F6F3F" w:rsidRDefault="006F6F3F" w:rsidP="006F6F3F">
      <w:pPr>
        <w:rPr>
          <w:rFonts w:ascii="Palatino Linotype" w:hAnsi="Palatino Linotype"/>
          <w:sz w:val="20"/>
        </w:rPr>
      </w:pPr>
      <w:hyperlink r:id="rId2">
        <w:r w:rsidRPr="006F6F3F">
          <w:rPr>
            <w:rStyle w:val="Hyperlink"/>
            <w:rFonts w:ascii="Palatino Linotype" w:hAnsi="Palatino Linotype"/>
            <w:sz w:val="20"/>
          </w:rPr>
          <w:t>https://docs.cpuc.ca.gov/PublishedDocs/Published/G000/M168/K423/168423819.PDF</w:t>
        </w:r>
      </w:hyperlink>
      <w:r w:rsidRPr="006F6F3F">
        <w:rPr>
          <w:rFonts w:ascii="Palatino Linotype" w:hAnsi="Palatino Linotype"/>
          <w:sz w:val="20"/>
        </w:rPr>
        <w:t xml:space="preserve"> (approving relocation agreements for work performed at the request of the CHSR).</w:t>
      </w:r>
    </w:p>
  </w:footnote>
  <w:footnote w:id="4">
    <w:p w14:paraId="6C7CCB02" w14:textId="77777777" w:rsidR="006F6F3F" w:rsidRPr="006F6F3F" w:rsidRDefault="006F6F3F" w:rsidP="006F6F3F">
      <w:pPr>
        <w:rPr>
          <w:rFonts w:ascii="Palatino Linotype" w:hAnsi="Palatino Linotype"/>
          <w:sz w:val="20"/>
        </w:rPr>
      </w:pPr>
      <w:r w:rsidRPr="006F6F3F">
        <w:rPr>
          <w:rStyle w:val="FootnoteReference"/>
          <w:rFonts w:ascii="Palatino Linotype" w:hAnsi="Palatino Linotype"/>
          <w:sz w:val="20"/>
        </w:rPr>
        <w:footnoteRef/>
      </w:r>
      <w:r w:rsidRPr="006F6F3F">
        <w:rPr>
          <w:rFonts w:ascii="Palatino Linotype" w:hAnsi="Palatino Linotype"/>
          <w:sz w:val="20"/>
        </w:rPr>
        <w:t xml:space="preserve"> See Resolution Number G-3574</w:t>
      </w:r>
    </w:p>
    <w:p w14:paraId="54DB9038" w14:textId="673DDCFA" w:rsidR="006F6F3F" w:rsidRPr="006F6F3F" w:rsidRDefault="006F6F3F" w:rsidP="00C179CC">
      <w:pPr>
        <w:rPr>
          <w:rFonts w:ascii="Palatino Linotype" w:hAnsi="Palatino Linotype"/>
          <w:sz w:val="20"/>
        </w:rPr>
      </w:pPr>
      <w:hyperlink r:id="rId3" w:history="1">
        <w:r w:rsidRPr="006F6F3F">
          <w:rPr>
            <w:rStyle w:val="Hyperlink"/>
            <w:rFonts w:ascii="Palatino Linotype" w:hAnsi="Palatino Linotype"/>
            <w:sz w:val="20"/>
          </w:rPr>
          <w:t>https://docs.cpuc.ca.gov/PublishedDocs/Published/G000/M355/K620/355620972.PDF</w:t>
        </w:r>
      </w:hyperlink>
      <w:r w:rsidRPr="006F6F3F">
        <w:rPr>
          <w:rFonts w:ascii="Palatino Linotype" w:hAnsi="Palatino Linotype"/>
          <w:sz w:val="20"/>
        </w:rPr>
        <w:t xml:space="preserve"> (approving relocation agreements for work performed at the request of VTA).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349" w14:textId="648C5173" w:rsidR="00CF17DE" w:rsidRPr="006F6F3F" w:rsidRDefault="006F6F3F">
    <w:pPr>
      <w:pStyle w:val="Header"/>
      <w:tabs>
        <w:tab w:val="clear" w:pos="4320"/>
        <w:tab w:val="clear" w:pos="8640"/>
        <w:tab w:val="center" w:pos="4680"/>
        <w:tab w:val="right" w:pos="9180"/>
      </w:tabs>
      <w:rPr>
        <w:rFonts w:ascii="Palatino Linotype" w:hAnsi="Palatino Linotype"/>
        <w:sz w:val="24"/>
        <w:szCs w:val="24"/>
      </w:rPr>
    </w:pPr>
    <w:r>
      <w:rPr>
        <w:rFonts w:ascii="Palatino Linotype" w:hAnsi="Palatino Linotype"/>
        <w:sz w:val="24"/>
        <w:szCs w:val="24"/>
      </w:rPr>
      <w:t>ED/</w:t>
    </w:r>
    <w:r w:rsidR="78C78F7C" w:rsidRPr="006F6F3F">
      <w:rPr>
        <w:rFonts w:ascii="Palatino Linotype" w:hAnsi="Palatino Linotype"/>
        <w:sz w:val="24"/>
        <w:szCs w:val="24"/>
      </w:rPr>
      <w:t>Resolution E-5462</w:t>
    </w:r>
    <w:r w:rsidR="00CF17DE" w:rsidRPr="006F6F3F">
      <w:rPr>
        <w:rFonts w:ascii="Palatino Linotype" w:hAnsi="Palatino Linotype"/>
        <w:sz w:val="24"/>
        <w:szCs w:val="24"/>
      </w:rPr>
      <w:tab/>
    </w:r>
    <w:r w:rsidR="00864BCE" w:rsidRPr="006F6F3F">
      <w:rPr>
        <w:rFonts w:ascii="Palatino Linotype" w:hAnsi="Palatino Linotype"/>
        <w:sz w:val="24"/>
        <w:szCs w:val="24"/>
      </w:rPr>
      <w:t xml:space="preserve">                                    </w:t>
    </w:r>
    <w:r w:rsidR="007C273B">
      <w:rPr>
        <w:rFonts w:ascii="Palatino Linotype" w:hAnsi="Palatino Linotype"/>
        <w:sz w:val="24"/>
        <w:szCs w:val="24"/>
      </w:rPr>
      <w:t xml:space="preserve">     </w:t>
    </w:r>
    <w:r w:rsidR="00864BCE" w:rsidRPr="006F6F3F">
      <w:rPr>
        <w:rFonts w:ascii="Palatino Linotype" w:hAnsi="Palatino Linotype"/>
        <w:sz w:val="24"/>
        <w:szCs w:val="24"/>
      </w:rPr>
      <w:t xml:space="preserve">                                           </w:t>
    </w:r>
    <w:r w:rsidR="78C78F7C" w:rsidRPr="006F6F3F">
      <w:rPr>
        <w:rFonts w:ascii="Palatino Linotype" w:hAnsi="Palatino Linotype"/>
        <w:sz w:val="24"/>
        <w:szCs w:val="24"/>
      </w:rPr>
      <w:t xml:space="preserve"> </w:t>
    </w:r>
    <w:r w:rsidR="00864BCE" w:rsidRPr="006F6F3F">
      <w:rPr>
        <w:rFonts w:ascii="Palatino Linotype" w:hAnsi="Palatino Linotype"/>
        <w:sz w:val="24"/>
        <w:szCs w:val="24"/>
      </w:rPr>
      <w:t>July</w:t>
    </w:r>
    <w:r w:rsidR="78C78F7C" w:rsidRPr="006F6F3F">
      <w:rPr>
        <w:rFonts w:ascii="Palatino Linotype" w:hAnsi="Palatino Linotype"/>
        <w:sz w:val="24"/>
        <w:szCs w:val="24"/>
      </w:rPr>
      <w:t xml:space="preserve"> 1</w:t>
    </w:r>
    <w:r w:rsidR="00864BCE" w:rsidRPr="006F6F3F">
      <w:rPr>
        <w:rFonts w:ascii="Palatino Linotype" w:hAnsi="Palatino Linotype"/>
        <w:sz w:val="24"/>
        <w:szCs w:val="24"/>
      </w:rPr>
      <w:t>6</w:t>
    </w:r>
    <w:r w:rsidR="78C78F7C" w:rsidRPr="006F6F3F">
      <w:rPr>
        <w:rFonts w:ascii="Palatino Linotype" w:hAnsi="Palatino Linotype"/>
        <w:sz w:val="24"/>
        <w:szCs w:val="24"/>
      </w:rPr>
      <w:t>, 2026</w:t>
    </w:r>
  </w:p>
  <w:p w14:paraId="279E5C15" w14:textId="542D1993" w:rsidR="00CF17DE" w:rsidRPr="006F6F3F" w:rsidRDefault="3C3C196E">
    <w:pPr>
      <w:pStyle w:val="Header"/>
      <w:tabs>
        <w:tab w:val="clear" w:pos="4320"/>
        <w:tab w:val="clear" w:pos="8640"/>
        <w:tab w:val="center" w:pos="4680"/>
        <w:tab w:val="right" w:pos="9180"/>
      </w:tabs>
      <w:rPr>
        <w:rFonts w:ascii="Palatino Linotype" w:hAnsi="Palatino Linotype"/>
        <w:sz w:val="24"/>
        <w:szCs w:val="24"/>
      </w:rPr>
    </w:pPr>
    <w:r w:rsidRPr="006F6F3F">
      <w:rPr>
        <w:rFonts w:ascii="Palatino Linotype" w:hAnsi="Palatino Linotype"/>
        <w:sz w:val="24"/>
        <w:szCs w:val="24"/>
      </w:rPr>
      <w:t>PG&amp;E AL 7871-E/</w:t>
    </w:r>
    <w:r w:rsidR="00864BCE" w:rsidRPr="006F6F3F">
      <w:rPr>
        <w:rFonts w:ascii="Palatino Linotype" w:hAnsi="Palatino Linotype"/>
        <w:sz w:val="24"/>
        <w:szCs w:val="24"/>
      </w:rPr>
      <w:t>CA6</w:t>
    </w:r>
  </w:p>
  <w:p w14:paraId="013F4CD4" w14:textId="77777777" w:rsidR="00CF17DE" w:rsidRDefault="00CF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806" w14:textId="10EFD0B7" w:rsidR="00CF17DE" w:rsidRPr="007C273B" w:rsidRDefault="007C273B" w:rsidP="007C273B">
    <w:pPr>
      <w:pStyle w:val="Header"/>
      <w:jc w:val="right"/>
    </w:pPr>
    <w:r w:rsidRPr="007C273B">
      <w:rPr>
        <w:rFonts w:ascii="Palatino Linotype" w:hAnsi="Palatino Linotype"/>
        <w:color w:val="000000" w:themeColor="text1"/>
        <w:sz w:val="24"/>
        <w:szCs w:val="24"/>
      </w:rPr>
      <w:t xml:space="preserve">Date of Issuance: </w:t>
    </w:r>
    <w:r>
      <w:rPr>
        <w:rFonts w:ascii="Palatino Linotype" w:hAnsi="Palatino Linotype"/>
        <w:color w:val="000000" w:themeColor="text1"/>
        <w:sz w:val="24"/>
        <w:szCs w:val="24"/>
      </w:rPr>
      <w:t>July</w:t>
    </w:r>
    <w:r w:rsidRPr="007C273B">
      <w:rPr>
        <w:rFonts w:ascii="Palatino Linotype" w:hAnsi="Palatino Linotype"/>
        <w:color w:val="000000" w:themeColor="text1"/>
        <w:sz w:val="24"/>
        <w:szCs w:val="24"/>
      </w:rPr>
      <w:t xml:space="preserve"> 1</w:t>
    </w:r>
    <w:r>
      <w:rPr>
        <w:rFonts w:ascii="Palatino Linotype" w:hAnsi="Palatino Linotype"/>
        <w:color w:val="000000" w:themeColor="text1"/>
        <w:sz w:val="24"/>
        <w:szCs w:val="24"/>
      </w:rPr>
      <w:t>7</w:t>
    </w:r>
    <w:r w:rsidRPr="007C273B">
      <w:rPr>
        <w:rFonts w:ascii="Palatino Linotype" w:hAnsi="Palatino Linotype"/>
        <w:color w:val="000000" w:themeColor="text1"/>
        <w:sz w:val="24"/>
        <w:szCs w:val="24"/>
      </w:rPr>
      <w:t>, 2026</w:t>
    </w:r>
  </w:p>
</w:hdr>
</file>

<file path=word/intelligence2.xml><?xml version="1.0" encoding="utf-8"?>
<int2:intelligence xmlns:int2="http://schemas.microsoft.com/office/intelligence/2020/intelligence" xmlns:oel="http://schemas.microsoft.com/office/2019/extlst">
  <int2:observations>
    <int2:textHash int2:hashCode="zTbJ8RCd1DNxog" int2:id="Icp7JUr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D45FBB"/>
    <w:multiLevelType w:val="hybridMultilevel"/>
    <w:tmpl w:val="25C8D7D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84C5B"/>
    <w:multiLevelType w:val="hybridMultilevel"/>
    <w:tmpl w:val="2B06CCAE"/>
    <w:lvl w:ilvl="0" w:tplc="D7045EA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1292088">
    <w:abstractNumId w:val="1"/>
  </w:num>
  <w:num w:numId="2" w16cid:durableId="617881021">
    <w:abstractNumId w:val="7"/>
  </w:num>
  <w:num w:numId="3" w16cid:durableId="1832016991">
    <w:abstractNumId w:val="4"/>
  </w:num>
  <w:num w:numId="4" w16cid:durableId="259026825">
    <w:abstractNumId w:val="8"/>
  </w:num>
  <w:num w:numId="5" w16cid:durableId="30496406">
    <w:abstractNumId w:val="2"/>
  </w:num>
  <w:num w:numId="6" w16cid:durableId="1062362860">
    <w:abstractNumId w:val="5"/>
  </w:num>
  <w:num w:numId="7" w16cid:durableId="673147898">
    <w:abstractNumId w:val="12"/>
  </w:num>
  <w:num w:numId="8" w16cid:durableId="591012396">
    <w:abstractNumId w:val="13"/>
  </w:num>
  <w:num w:numId="9" w16cid:durableId="882522014">
    <w:abstractNumId w:val="3"/>
  </w:num>
  <w:num w:numId="10" w16cid:durableId="759446711">
    <w:abstractNumId w:val="9"/>
  </w:num>
  <w:num w:numId="11" w16cid:durableId="363287495">
    <w:abstractNumId w:val="0"/>
  </w:num>
  <w:num w:numId="12" w16cid:durableId="1915048290">
    <w:abstractNumId w:val="11"/>
  </w:num>
  <w:num w:numId="13" w16cid:durableId="1561479384">
    <w:abstractNumId w:val="10"/>
  </w:num>
  <w:num w:numId="14" w16cid:durableId="4689395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41BC"/>
    <w:rsid w:val="00012D45"/>
    <w:rsid w:val="00013011"/>
    <w:rsid w:val="00024C89"/>
    <w:rsid w:val="00025975"/>
    <w:rsid w:val="00031011"/>
    <w:rsid w:val="00032E4F"/>
    <w:rsid w:val="0003331D"/>
    <w:rsid w:val="00040957"/>
    <w:rsid w:val="00042838"/>
    <w:rsid w:val="0004316B"/>
    <w:rsid w:val="00045778"/>
    <w:rsid w:val="000511D8"/>
    <w:rsid w:val="00055467"/>
    <w:rsid w:val="000817D4"/>
    <w:rsid w:val="00093EA9"/>
    <w:rsid w:val="00094424"/>
    <w:rsid w:val="000A0A02"/>
    <w:rsid w:val="000B1322"/>
    <w:rsid w:val="000B5D11"/>
    <w:rsid w:val="000B7032"/>
    <w:rsid w:val="000C7D26"/>
    <w:rsid w:val="000D3A75"/>
    <w:rsid w:val="000D7099"/>
    <w:rsid w:val="000E1C4C"/>
    <w:rsid w:val="000F2AC2"/>
    <w:rsid w:val="000F3A98"/>
    <w:rsid w:val="001003D5"/>
    <w:rsid w:val="00104B86"/>
    <w:rsid w:val="0010555B"/>
    <w:rsid w:val="00130D69"/>
    <w:rsid w:val="00131CE6"/>
    <w:rsid w:val="00133F25"/>
    <w:rsid w:val="00140E63"/>
    <w:rsid w:val="00142FB8"/>
    <w:rsid w:val="00145206"/>
    <w:rsid w:val="001568AF"/>
    <w:rsid w:val="00165280"/>
    <w:rsid w:val="001733ED"/>
    <w:rsid w:val="00184A60"/>
    <w:rsid w:val="00190508"/>
    <w:rsid w:val="0019365C"/>
    <w:rsid w:val="00197311"/>
    <w:rsid w:val="001A65A1"/>
    <w:rsid w:val="001B298D"/>
    <w:rsid w:val="001B3E49"/>
    <w:rsid w:val="001B5982"/>
    <w:rsid w:val="001C3EA5"/>
    <w:rsid w:val="001C47EE"/>
    <w:rsid w:val="001C52E1"/>
    <w:rsid w:val="001E6545"/>
    <w:rsid w:val="001F0089"/>
    <w:rsid w:val="001F5325"/>
    <w:rsid w:val="001F5A8E"/>
    <w:rsid w:val="00204E27"/>
    <w:rsid w:val="002302A5"/>
    <w:rsid w:val="00232A05"/>
    <w:rsid w:val="00243D2A"/>
    <w:rsid w:val="00243FFA"/>
    <w:rsid w:val="0024459D"/>
    <w:rsid w:val="00245C1C"/>
    <w:rsid w:val="00264B93"/>
    <w:rsid w:val="00273F8A"/>
    <w:rsid w:val="00280197"/>
    <w:rsid w:val="0028106E"/>
    <w:rsid w:val="00282D87"/>
    <w:rsid w:val="002857F7"/>
    <w:rsid w:val="00286B2D"/>
    <w:rsid w:val="0029382D"/>
    <w:rsid w:val="002A2307"/>
    <w:rsid w:val="002A74B3"/>
    <w:rsid w:val="002B369F"/>
    <w:rsid w:val="002C542F"/>
    <w:rsid w:val="002D2E18"/>
    <w:rsid w:val="002D751D"/>
    <w:rsid w:val="002E2A22"/>
    <w:rsid w:val="002E7EF9"/>
    <w:rsid w:val="002F7C1B"/>
    <w:rsid w:val="00303397"/>
    <w:rsid w:val="00305224"/>
    <w:rsid w:val="00313D67"/>
    <w:rsid w:val="00324D1C"/>
    <w:rsid w:val="00325395"/>
    <w:rsid w:val="003406DD"/>
    <w:rsid w:val="00341DF5"/>
    <w:rsid w:val="00355C76"/>
    <w:rsid w:val="00376062"/>
    <w:rsid w:val="00377AFC"/>
    <w:rsid w:val="003849B3"/>
    <w:rsid w:val="00394B3A"/>
    <w:rsid w:val="003A65DC"/>
    <w:rsid w:val="003A7A7C"/>
    <w:rsid w:val="003B1839"/>
    <w:rsid w:val="003B28DC"/>
    <w:rsid w:val="003B691E"/>
    <w:rsid w:val="003B7D5E"/>
    <w:rsid w:val="003E3B58"/>
    <w:rsid w:val="003F448E"/>
    <w:rsid w:val="003F5888"/>
    <w:rsid w:val="003F6E5A"/>
    <w:rsid w:val="003F710A"/>
    <w:rsid w:val="00400F6B"/>
    <w:rsid w:val="004030E2"/>
    <w:rsid w:val="00411D6C"/>
    <w:rsid w:val="00425EE9"/>
    <w:rsid w:val="00431BF6"/>
    <w:rsid w:val="00434993"/>
    <w:rsid w:val="00440AB7"/>
    <w:rsid w:val="00443A8A"/>
    <w:rsid w:val="004459DB"/>
    <w:rsid w:val="00460AAB"/>
    <w:rsid w:val="00463F3F"/>
    <w:rsid w:val="00467956"/>
    <w:rsid w:val="00470B9B"/>
    <w:rsid w:val="00481672"/>
    <w:rsid w:val="004905D3"/>
    <w:rsid w:val="004B2971"/>
    <w:rsid w:val="004D3212"/>
    <w:rsid w:val="004E2CF7"/>
    <w:rsid w:val="004E5433"/>
    <w:rsid w:val="004E7CE5"/>
    <w:rsid w:val="004F29BD"/>
    <w:rsid w:val="00503AC9"/>
    <w:rsid w:val="0051276D"/>
    <w:rsid w:val="00517351"/>
    <w:rsid w:val="005332BC"/>
    <w:rsid w:val="00534CD3"/>
    <w:rsid w:val="005451CE"/>
    <w:rsid w:val="00548385"/>
    <w:rsid w:val="00567364"/>
    <w:rsid w:val="0057398B"/>
    <w:rsid w:val="00573FE3"/>
    <w:rsid w:val="005769E0"/>
    <w:rsid w:val="005805BF"/>
    <w:rsid w:val="00587FE6"/>
    <w:rsid w:val="0059035E"/>
    <w:rsid w:val="00593807"/>
    <w:rsid w:val="0059525E"/>
    <w:rsid w:val="005C03BF"/>
    <w:rsid w:val="005C6433"/>
    <w:rsid w:val="005C7E9A"/>
    <w:rsid w:val="005D22C6"/>
    <w:rsid w:val="005E258E"/>
    <w:rsid w:val="005E400F"/>
    <w:rsid w:val="005F1942"/>
    <w:rsid w:val="005F3895"/>
    <w:rsid w:val="00604014"/>
    <w:rsid w:val="00605A44"/>
    <w:rsid w:val="006119C6"/>
    <w:rsid w:val="00613C9A"/>
    <w:rsid w:val="00651D2F"/>
    <w:rsid w:val="0065722C"/>
    <w:rsid w:val="006667C4"/>
    <w:rsid w:val="0066773A"/>
    <w:rsid w:val="0067293A"/>
    <w:rsid w:val="00676C7D"/>
    <w:rsid w:val="006811DD"/>
    <w:rsid w:val="00683614"/>
    <w:rsid w:val="00685355"/>
    <w:rsid w:val="00685927"/>
    <w:rsid w:val="00687ECD"/>
    <w:rsid w:val="00693EF4"/>
    <w:rsid w:val="0069631C"/>
    <w:rsid w:val="006B05EE"/>
    <w:rsid w:val="006C7C15"/>
    <w:rsid w:val="006D0218"/>
    <w:rsid w:val="006E0227"/>
    <w:rsid w:val="006F6F3F"/>
    <w:rsid w:val="006F7294"/>
    <w:rsid w:val="0070254A"/>
    <w:rsid w:val="00707338"/>
    <w:rsid w:val="00707A86"/>
    <w:rsid w:val="00710761"/>
    <w:rsid w:val="00710F17"/>
    <w:rsid w:val="0071485B"/>
    <w:rsid w:val="00715D4A"/>
    <w:rsid w:val="007358ED"/>
    <w:rsid w:val="00737561"/>
    <w:rsid w:val="0074046B"/>
    <w:rsid w:val="0074343A"/>
    <w:rsid w:val="0075664D"/>
    <w:rsid w:val="00765461"/>
    <w:rsid w:val="00766D11"/>
    <w:rsid w:val="00776127"/>
    <w:rsid w:val="00777ABB"/>
    <w:rsid w:val="00796D48"/>
    <w:rsid w:val="007A13FB"/>
    <w:rsid w:val="007A281A"/>
    <w:rsid w:val="007A3E6C"/>
    <w:rsid w:val="007A5777"/>
    <w:rsid w:val="007A58B1"/>
    <w:rsid w:val="007C273B"/>
    <w:rsid w:val="007C5F27"/>
    <w:rsid w:val="007D35E1"/>
    <w:rsid w:val="007D578F"/>
    <w:rsid w:val="007D67CA"/>
    <w:rsid w:val="007E116B"/>
    <w:rsid w:val="007E7D54"/>
    <w:rsid w:val="007F1660"/>
    <w:rsid w:val="007F7A57"/>
    <w:rsid w:val="00801D70"/>
    <w:rsid w:val="00806265"/>
    <w:rsid w:val="008068F8"/>
    <w:rsid w:val="00822061"/>
    <w:rsid w:val="0083380D"/>
    <w:rsid w:val="008521B9"/>
    <w:rsid w:val="00852E94"/>
    <w:rsid w:val="008622E9"/>
    <w:rsid w:val="00862F04"/>
    <w:rsid w:val="00864BCE"/>
    <w:rsid w:val="00866BDF"/>
    <w:rsid w:val="0089021B"/>
    <w:rsid w:val="00894141"/>
    <w:rsid w:val="00895EB4"/>
    <w:rsid w:val="00897F24"/>
    <w:rsid w:val="008B5267"/>
    <w:rsid w:val="008D5FBF"/>
    <w:rsid w:val="008E149B"/>
    <w:rsid w:val="008E15DB"/>
    <w:rsid w:val="008E6797"/>
    <w:rsid w:val="008E6D61"/>
    <w:rsid w:val="008F3C70"/>
    <w:rsid w:val="008F676F"/>
    <w:rsid w:val="00933369"/>
    <w:rsid w:val="0093616B"/>
    <w:rsid w:val="00946E2C"/>
    <w:rsid w:val="00950E22"/>
    <w:rsid w:val="009527FE"/>
    <w:rsid w:val="00964468"/>
    <w:rsid w:val="00966821"/>
    <w:rsid w:val="009809B1"/>
    <w:rsid w:val="009A24A8"/>
    <w:rsid w:val="009A50E0"/>
    <w:rsid w:val="009B0065"/>
    <w:rsid w:val="009B4E03"/>
    <w:rsid w:val="009B5CA7"/>
    <w:rsid w:val="009C329D"/>
    <w:rsid w:val="009D617E"/>
    <w:rsid w:val="009D63EA"/>
    <w:rsid w:val="009D7160"/>
    <w:rsid w:val="009E1118"/>
    <w:rsid w:val="009E3673"/>
    <w:rsid w:val="009F0E49"/>
    <w:rsid w:val="009F1E26"/>
    <w:rsid w:val="009F2786"/>
    <w:rsid w:val="009F6C9E"/>
    <w:rsid w:val="00A02431"/>
    <w:rsid w:val="00A06662"/>
    <w:rsid w:val="00A1104E"/>
    <w:rsid w:val="00A1526C"/>
    <w:rsid w:val="00A20C4E"/>
    <w:rsid w:val="00A218B6"/>
    <w:rsid w:val="00A25E72"/>
    <w:rsid w:val="00A26AD1"/>
    <w:rsid w:val="00A32513"/>
    <w:rsid w:val="00A32525"/>
    <w:rsid w:val="00A45AA6"/>
    <w:rsid w:val="00A46C62"/>
    <w:rsid w:val="00A555BC"/>
    <w:rsid w:val="00A60201"/>
    <w:rsid w:val="00A60BDE"/>
    <w:rsid w:val="00A714AA"/>
    <w:rsid w:val="00A72862"/>
    <w:rsid w:val="00A755A8"/>
    <w:rsid w:val="00A77BC9"/>
    <w:rsid w:val="00A91265"/>
    <w:rsid w:val="00AB5675"/>
    <w:rsid w:val="00AC280D"/>
    <w:rsid w:val="00AC55D7"/>
    <w:rsid w:val="00AE3C5F"/>
    <w:rsid w:val="00AE61A4"/>
    <w:rsid w:val="00AE664C"/>
    <w:rsid w:val="00AE726C"/>
    <w:rsid w:val="00AF1DF6"/>
    <w:rsid w:val="00AF65CB"/>
    <w:rsid w:val="00B061C7"/>
    <w:rsid w:val="00B15637"/>
    <w:rsid w:val="00B20AB3"/>
    <w:rsid w:val="00B23527"/>
    <w:rsid w:val="00B26B70"/>
    <w:rsid w:val="00B3426A"/>
    <w:rsid w:val="00B425D0"/>
    <w:rsid w:val="00B53268"/>
    <w:rsid w:val="00B61034"/>
    <w:rsid w:val="00B8220C"/>
    <w:rsid w:val="00B87695"/>
    <w:rsid w:val="00B927B5"/>
    <w:rsid w:val="00B94EC9"/>
    <w:rsid w:val="00BA2B5A"/>
    <w:rsid w:val="00BA4DB6"/>
    <w:rsid w:val="00BB1863"/>
    <w:rsid w:val="00BB2B62"/>
    <w:rsid w:val="00BB3B05"/>
    <w:rsid w:val="00BB5C52"/>
    <w:rsid w:val="00BD0BB0"/>
    <w:rsid w:val="00BD37CC"/>
    <w:rsid w:val="00BD6FF5"/>
    <w:rsid w:val="00BD7090"/>
    <w:rsid w:val="00BF0BD8"/>
    <w:rsid w:val="00BF7F41"/>
    <w:rsid w:val="00C034B7"/>
    <w:rsid w:val="00C05DAB"/>
    <w:rsid w:val="00C06795"/>
    <w:rsid w:val="00C154B8"/>
    <w:rsid w:val="00C179CC"/>
    <w:rsid w:val="00C25303"/>
    <w:rsid w:val="00C313F5"/>
    <w:rsid w:val="00C329F4"/>
    <w:rsid w:val="00C33DEA"/>
    <w:rsid w:val="00C41973"/>
    <w:rsid w:val="00C4224F"/>
    <w:rsid w:val="00C45950"/>
    <w:rsid w:val="00C55944"/>
    <w:rsid w:val="00C715E1"/>
    <w:rsid w:val="00C73594"/>
    <w:rsid w:val="00CA25DC"/>
    <w:rsid w:val="00CA28A1"/>
    <w:rsid w:val="00CB2ECF"/>
    <w:rsid w:val="00CB42C3"/>
    <w:rsid w:val="00CB76FE"/>
    <w:rsid w:val="00CC1C4F"/>
    <w:rsid w:val="00CC211D"/>
    <w:rsid w:val="00CC308A"/>
    <w:rsid w:val="00CC5EED"/>
    <w:rsid w:val="00CD1777"/>
    <w:rsid w:val="00CD5DA7"/>
    <w:rsid w:val="00CD6288"/>
    <w:rsid w:val="00CE2979"/>
    <w:rsid w:val="00CE2DBB"/>
    <w:rsid w:val="00CE4924"/>
    <w:rsid w:val="00CF17DE"/>
    <w:rsid w:val="00CF35B7"/>
    <w:rsid w:val="00D03E2E"/>
    <w:rsid w:val="00D0484A"/>
    <w:rsid w:val="00D057E9"/>
    <w:rsid w:val="00D11362"/>
    <w:rsid w:val="00D137B9"/>
    <w:rsid w:val="00D174F7"/>
    <w:rsid w:val="00D20F6C"/>
    <w:rsid w:val="00D272C6"/>
    <w:rsid w:val="00D31968"/>
    <w:rsid w:val="00D340E3"/>
    <w:rsid w:val="00D44AA7"/>
    <w:rsid w:val="00D515F8"/>
    <w:rsid w:val="00D52F2C"/>
    <w:rsid w:val="00D5700F"/>
    <w:rsid w:val="00D63D5D"/>
    <w:rsid w:val="00D66AA8"/>
    <w:rsid w:val="00D73277"/>
    <w:rsid w:val="00D749AB"/>
    <w:rsid w:val="00D74D9F"/>
    <w:rsid w:val="00D822FD"/>
    <w:rsid w:val="00D82E9F"/>
    <w:rsid w:val="00D83A0A"/>
    <w:rsid w:val="00D87891"/>
    <w:rsid w:val="00D95291"/>
    <w:rsid w:val="00DA044C"/>
    <w:rsid w:val="00DA2736"/>
    <w:rsid w:val="00DA6B3E"/>
    <w:rsid w:val="00DB08CE"/>
    <w:rsid w:val="00DB619F"/>
    <w:rsid w:val="00DB6F2C"/>
    <w:rsid w:val="00DC20EB"/>
    <w:rsid w:val="00DD094D"/>
    <w:rsid w:val="00DD1361"/>
    <w:rsid w:val="00DE28B5"/>
    <w:rsid w:val="00DE399D"/>
    <w:rsid w:val="00DF1018"/>
    <w:rsid w:val="00DF35CC"/>
    <w:rsid w:val="00E02127"/>
    <w:rsid w:val="00E070FA"/>
    <w:rsid w:val="00E106E5"/>
    <w:rsid w:val="00E120BE"/>
    <w:rsid w:val="00E12330"/>
    <w:rsid w:val="00E129B1"/>
    <w:rsid w:val="00E13212"/>
    <w:rsid w:val="00E20AA0"/>
    <w:rsid w:val="00E228BA"/>
    <w:rsid w:val="00E27E6F"/>
    <w:rsid w:val="00E30B7B"/>
    <w:rsid w:val="00E32055"/>
    <w:rsid w:val="00E34837"/>
    <w:rsid w:val="00E36C4F"/>
    <w:rsid w:val="00E405F4"/>
    <w:rsid w:val="00E423DB"/>
    <w:rsid w:val="00E45F23"/>
    <w:rsid w:val="00E46169"/>
    <w:rsid w:val="00E5387F"/>
    <w:rsid w:val="00E55F49"/>
    <w:rsid w:val="00E56EE2"/>
    <w:rsid w:val="00E60516"/>
    <w:rsid w:val="00E61B07"/>
    <w:rsid w:val="00E81A12"/>
    <w:rsid w:val="00E9080F"/>
    <w:rsid w:val="00E914B4"/>
    <w:rsid w:val="00E9285C"/>
    <w:rsid w:val="00E928CF"/>
    <w:rsid w:val="00EB058A"/>
    <w:rsid w:val="00EB0B96"/>
    <w:rsid w:val="00EB4C2E"/>
    <w:rsid w:val="00EB7401"/>
    <w:rsid w:val="00EC2C8F"/>
    <w:rsid w:val="00ED4583"/>
    <w:rsid w:val="00EE690F"/>
    <w:rsid w:val="00EF4A31"/>
    <w:rsid w:val="00EF5346"/>
    <w:rsid w:val="00F13E44"/>
    <w:rsid w:val="00F22F77"/>
    <w:rsid w:val="00F24996"/>
    <w:rsid w:val="00F31499"/>
    <w:rsid w:val="00F43376"/>
    <w:rsid w:val="00F51F8B"/>
    <w:rsid w:val="00F541B7"/>
    <w:rsid w:val="00F569B2"/>
    <w:rsid w:val="00F67308"/>
    <w:rsid w:val="00F67A6A"/>
    <w:rsid w:val="00F817CE"/>
    <w:rsid w:val="00F81EC5"/>
    <w:rsid w:val="00F86793"/>
    <w:rsid w:val="00F86C31"/>
    <w:rsid w:val="00F93D4F"/>
    <w:rsid w:val="00FA38AF"/>
    <w:rsid w:val="00FA50EF"/>
    <w:rsid w:val="00FC2D0C"/>
    <w:rsid w:val="00FC613D"/>
    <w:rsid w:val="00FD384F"/>
    <w:rsid w:val="00FD436F"/>
    <w:rsid w:val="00FE248A"/>
    <w:rsid w:val="00FE6C44"/>
    <w:rsid w:val="00FE6CAC"/>
    <w:rsid w:val="00FF4AFC"/>
    <w:rsid w:val="01685F74"/>
    <w:rsid w:val="017C4A4B"/>
    <w:rsid w:val="0250EFAA"/>
    <w:rsid w:val="02875C82"/>
    <w:rsid w:val="02940984"/>
    <w:rsid w:val="02D6E220"/>
    <w:rsid w:val="033EE38B"/>
    <w:rsid w:val="037BE459"/>
    <w:rsid w:val="0381D939"/>
    <w:rsid w:val="03F1A795"/>
    <w:rsid w:val="041FF9D6"/>
    <w:rsid w:val="0484E771"/>
    <w:rsid w:val="06033487"/>
    <w:rsid w:val="06215B4C"/>
    <w:rsid w:val="062DD75D"/>
    <w:rsid w:val="0638D2D3"/>
    <w:rsid w:val="06D35E7D"/>
    <w:rsid w:val="080EBD83"/>
    <w:rsid w:val="0859102B"/>
    <w:rsid w:val="086DD17F"/>
    <w:rsid w:val="0889FACE"/>
    <w:rsid w:val="08B191DF"/>
    <w:rsid w:val="0B478D57"/>
    <w:rsid w:val="0BF5C70D"/>
    <w:rsid w:val="0CB44BFE"/>
    <w:rsid w:val="0D1415EF"/>
    <w:rsid w:val="0E9CAA69"/>
    <w:rsid w:val="0F4F7FB5"/>
    <w:rsid w:val="0F4FFBE0"/>
    <w:rsid w:val="0F876F89"/>
    <w:rsid w:val="1020738A"/>
    <w:rsid w:val="10651B3A"/>
    <w:rsid w:val="11A15887"/>
    <w:rsid w:val="121B1FB4"/>
    <w:rsid w:val="13A70F0F"/>
    <w:rsid w:val="143554D6"/>
    <w:rsid w:val="14D42AEF"/>
    <w:rsid w:val="14F01799"/>
    <w:rsid w:val="1510BE34"/>
    <w:rsid w:val="16823C4A"/>
    <w:rsid w:val="17E03F36"/>
    <w:rsid w:val="18029434"/>
    <w:rsid w:val="186B9880"/>
    <w:rsid w:val="18773513"/>
    <w:rsid w:val="187DE739"/>
    <w:rsid w:val="190BDCFA"/>
    <w:rsid w:val="19A24208"/>
    <w:rsid w:val="19EF39BE"/>
    <w:rsid w:val="1A241E9A"/>
    <w:rsid w:val="1A5E302A"/>
    <w:rsid w:val="1ADF58A3"/>
    <w:rsid w:val="1B692F45"/>
    <w:rsid w:val="1B9F9350"/>
    <w:rsid w:val="1B9FECDA"/>
    <w:rsid w:val="1C44183B"/>
    <w:rsid w:val="1C4509EA"/>
    <w:rsid w:val="1C6DDD95"/>
    <w:rsid w:val="1C75C1EC"/>
    <w:rsid w:val="1CAADF0E"/>
    <w:rsid w:val="1D24B910"/>
    <w:rsid w:val="1D408344"/>
    <w:rsid w:val="1D70939E"/>
    <w:rsid w:val="1D818A3F"/>
    <w:rsid w:val="1E756FAB"/>
    <w:rsid w:val="1FF451F0"/>
    <w:rsid w:val="20E8EC2E"/>
    <w:rsid w:val="221B0B58"/>
    <w:rsid w:val="2288C56D"/>
    <w:rsid w:val="236F9A56"/>
    <w:rsid w:val="25CBD2E0"/>
    <w:rsid w:val="2651C11B"/>
    <w:rsid w:val="277EF6E3"/>
    <w:rsid w:val="27C41EA0"/>
    <w:rsid w:val="284796D6"/>
    <w:rsid w:val="2888CC4D"/>
    <w:rsid w:val="28B34E48"/>
    <w:rsid w:val="28FF7C0D"/>
    <w:rsid w:val="291B6157"/>
    <w:rsid w:val="29340922"/>
    <w:rsid w:val="29A88C3F"/>
    <w:rsid w:val="29C412BA"/>
    <w:rsid w:val="29D9A508"/>
    <w:rsid w:val="2A2350E5"/>
    <w:rsid w:val="2A42B02C"/>
    <w:rsid w:val="2BC00B8A"/>
    <w:rsid w:val="2C4F950A"/>
    <w:rsid w:val="2C950514"/>
    <w:rsid w:val="2CD5E547"/>
    <w:rsid w:val="2D6F19AC"/>
    <w:rsid w:val="2ED6CD75"/>
    <w:rsid w:val="2EE8EA80"/>
    <w:rsid w:val="3009207B"/>
    <w:rsid w:val="3063A23E"/>
    <w:rsid w:val="3120D4F6"/>
    <w:rsid w:val="31D04985"/>
    <w:rsid w:val="31D5F55D"/>
    <w:rsid w:val="31F61573"/>
    <w:rsid w:val="32202D75"/>
    <w:rsid w:val="3251795D"/>
    <w:rsid w:val="3296251B"/>
    <w:rsid w:val="331124EB"/>
    <w:rsid w:val="335B01AF"/>
    <w:rsid w:val="33CE9287"/>
    <w:rsid w:val="33D4ECD6"/>
    <w:rsid w:val="3476BFA0"/>
    <w:rsid w:val="34F3EDF7"/>
    <w:rsid w:val="34F66391"/>
    <w:rsid w:val="35093C35"/>
    <w:rsid w:val="3591305C"/>
    <w:rsid w:val="360087EE"/>
    <w:rsid w:val="367BDC13"/>
    <w:rsid w:val="36F256F5"/>
    <w:rsid w:val="374AFC68"/>
    <w:rsid w:val="3799DB52"/>
    <w:rsid w:val="37B4512D"/>
    <w:rsid w:val="3831EF5A"/>
    <w:rsid w:val="3840D8F2"/>
    <w:rsid w:val="38A4007D"/>
    <w:rsid w:val="38CC9735"/>
    <w:rsid w:val="38E348C6"/>
    <w:rsid w:val="395760C5"/>
    <w:rsid w:val="39EF9CF8"/>
    <w:rsid w:val="39FA6AED"/>
    <w:rsid w:val="3A1EC8C9"/>
    <w:rsid w:val="3AA508EB"/>
    <w:rsid w:val="3B055DEB"/>
    <w:rsid w:val="3B3D898E"/>
    <w:rsid w:val="3B6672C1"/>
    <w:rsid w:val="3BA16CCF"/>
    <w:rsid w:val="3BE7FA49"/>
    <w:rsid w:val="3C068E8C"/>
    <w:rsid w:val="3C3C196E"/>
    <w:rsid w:val="3CA71DC4"/>
    <w:rsid w:val="3CAB4100"/>
    <w:rsid w:val="3D144C50"/>
    <w:rsid w:val="3D88018E"/>
    <w:rsid w:val="3DEB19A6"/>
    <w:rsid w:val="3DFF171B"/>
    <w:rsid w:val="3E245C30"/>
    <w:rsid w:val="3F125391"/>
    <w:rsid w:val="3F71DD3A"/>
    <w:rsid w:val="400881DC"/>
    <w:rsid w:val="4029FF4B"/>
    <w:rsid w:val="40E56A07"/>
    <w:rsid w:val="4128F14A"/>
    <w:rsid w:val="41A59513"/>
    <w:rsid w:val="41C0E840"/>
    <w:rsid w:val="4207D6F2"/>
    <w:rsid w:val="42CB861D"/>
    <w:rsid w:val="431D5B75"/>
    <w:rsid w:val="43EA49E6"/>
    <w:rsid w:val="447B5809"/>
    <w:rsid w:val="448F5619"/>
    <w:rsid w:val="45649313"/>
    <w:rsid w:val="4588FE58"/>
    <w:rsid w:val="45CEC332"/>
    <w:rsid w:val="45EA7975"/>
    <w:rsid w:val="4674E14A"/>
    <w:rsid w:val="47165144"/>
    <w:rsid w:val="471FFC28"/>
    <w:rsid w:val="47298D06"/>
    <w:rsid w:val="472BBD96"/>
    <w:rsid w:val="4735BA35"/>
    <w:rsid w:val="475568EE"/>
    <w:rsid w:val="47681688"/>
    <w:rsid w:val="47CDA78B"/>
    <w:rsid w:val="4804296D"/>
    <w:rsid w:val="48552AB4"/>
    <w:rsid w:val="49006D57"/>
    <w:rsid w:val="49205B31"/>
    <w:rsid w:val="4978CB06"/>
    <w:rsid w:val="497F7D0B"/>
    <w:rsid w:val="49D728A1"/>
    <w:rsid w:val="49F08ED1"/>
    <w:rsid w:val="49F33FBD"/>
    <w:rsid w:val="4A95716F"/>
    <w:rsid w:val="4BABBD16"/>
    <w:rsid w:val="4C66705E"/>
    <w:rsid w:val="4ECCBD04"/>
    <w:rsid w:val="4F07049D"/>
    <w:rsid w:val="4F2FEEAB"/>
    <w:rsid w:val="4F31EC92"/>
    <w:rsid w:val="50AD07E3"/>
    <w:rsid w:val="51774309"/>
    <w:rsid w:val="51BFCDF1"/>
    <w:rsid w:val="51ECAF26"/>
    <w:rsid w:val="523C2630"/>
    <w:rsid w:val="5256CE48"/>
    <w:rsid w:val="536D6EE5"/>
    <w:rsid w:val="53AF7E00"/>
    <w:rsid w:val="53CB6299"/>
    <w:rsid w:val="53E1269D"/>
    <w:rsid w:val="54DD509D"/>
    <w:rsid w:val="55198298"/>
    <w:rsid w:val="553B328D"/>
    <w:rsid w:val="55549277"/>
    <w:rsid w:val="55C11470"/>
    <w:rsid w:val="560F6A18"/>
    <w:rsid w:val="56C1B7E4"/>
    <w:rsid w:val="56DBF013"/>
    <w:rsid w:val="571FE062"/>
    <w:rsid w:val="574FC524"/>
    <w:rsid w:val="57628494"/>
    <w:rsid w:val="5892E180"/>
    <w:rsid w:val="59AA5F8F"/>
    <w:rsid w:val="59FE4ADA"/>
    <w:rsid w:val="5A5CB32F"/>
    <w:rsid w:val="5AB2DB6A"/>
    <w:rsid w:val="5B225F4B"/>
    <w:rsid w:val="5B6692CD"/>
    <w:rsid w:val="5B6F77F1"/>
    <w:rsid w:val="5C03CE9E"/>
    <w:rsid w:val="5CCD41AA"/>
    <w:rsid w:val="5D8D8995"/>
    <w:rsid w:val="5DCEEF3F"/>
    <w:rsid w:val="5E358C09"/>
    <w:rsid w:val="5EBB8442"/>
    <w:rsid w:val="5F83E5EF"/>
    <w:rsid w:val="5F9B2BE6"/>
    <w:rsid w:val="60019A6A"/>
    <w:rsid w:val="60C0618A"/>
    <w:rsid w:val="611A85D4"/>
    <w:rsid w:val="6175D402"/>
    <w:rsid w:val="61ECC9E7"/>
    <w:rsid w:val="6207133D"/>
    <w:rsid w:val="6269BE44"/>
    <w:rsid w:val="62B9B141"/>
    <w:rsid w:val="6326B095"/>
    <w:rsid w:val="640E75E3"/>
    <w:rsid w:val="64127F02"/>
    <w:rsid w:val="648343DB"/>
    <w:rsid w:val="65B61BD7"/>
    <w:rsid w:val="66DD18B8"/>
    <w:rsid w:val="676BEFD9"/>
    <w:rsid w:val="67766287"/>
    <w:rsid w:val="67E10730"/>
    <w:rsid w:val="68FBA21F"/>
    <w:rsid w:val="690D5544"/>
    <w:rsid w:val="69213A40"/>
    <w:rsid w:val="69C329E4"/>
    <w:rsid w:val="6A3C9F4A"/>
    <w:rsid w:val="6A431125"/>
    <w:rsid w:val="6A9963D4"/>
    <w:rsid w:val="6B44B407"/>
    <w:rsid w:val="6BE7AF83"/>
    <w:rsid w:val="6C9F34A7"/>
    <w:rsid w:val="6D2129E0"/>
    <w:rsid w:val="6F28E9CB"/>
    <w:rsid w:val="707E56DF"/>
    <w:rsid w:val="708E23DD"/>
    <w:rsid w:val="70999395"/>
    <w:rsid w:val="709EFA85"/>
    <w:rsid w:val="7105607C"/>
    <w:rsid w:val="715ADF50"/>
    <w:rsid w:val="718CD77D"/>
    <w:rsid w:val="7248537D"/>
    <w:rsid w:val="72816FBD"/>
    <w:rsid w:val="72C46CF0"/>
    <w:rsid w:val="72D04325"/>
    <w:rsid w:val="72FD8CC2"/>
    <w:rsid w:val="73F30BC3"/>
    <w:rsid w:val="73FB7DE3"/>
    <w:rsid w:val="74C7A062"/>
    <w:rsid w:val="74EBA453"/>
    <w:rsid w:val="74EFD070"/>
    <w:rsid w:val="754B72FB"/>
    <w:rsid w:val="759DA033"/>
    <w:rsid w:val="765EBE25"/>
    <w:rsid w:val="76EFFD9B"/>
    <w:rsid w:val="7778765A"/>
    <w:rsid w:val="77DDF96C"/>
    <w:rsid w:val="78C78F7C"/>
    <w:rsid w:val="78F3866E"/>
    <w:rsid w:val="79E33642"/>
    <w:rsid w:val="7A2440AC"/>
    <w:rsid w:val="7A5AE864"/>
    <w:rsid w:val="7AD69269"/>
    <w:rsid w:val="7AE6B2CB"/>
    <w:rsid w:val="7AED2C7D"/>
    <w:rsid w:val="7B286152"/>
    <w:rsid w:val="7B8C91C6"/>
    <w:rsid w:val="7BCE4C37"/>
    <w:rsid w:val="7C1D69AB"/>
    <w:rsid w:val="7C550DC8"/>
    <w:rsid w:val="7DB0981F"/>
    <w:rsid w:val="7DC2B9BB"/>
    <w:rsid w:val="7E1595B1"/>
    <w:rsid w:val="7E561EC4"/>
    <w:rsid w:val="7E93EEAB"/>
    <w:rsid w:val="7ECAE5D5"/>
    <w:rsid w:val="7EE81852"/>
    <w:rsid w:val="7EF0F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EBCB8360-985E-4452-A426-7B78AE132B3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F1018"/>
    <w:rPr>
      <w:rFonts w:ascii="Palatino" w:hAnsi="Palatino"/>
      <w:sz w:val="26"/>
    </w:rPr>
  </w:style>
  <w:style w:type="character" w:styleId="CommentReference">
    <w:name w:val="annotation reference"/>
    <w:basedOn w:val="DefaultParagraphFont"/>
    <w:semiHidden/>
    <w:unhideWhenUsed/>
    <w:rsid w:val="00E5387F"/>
    <w:rPr>
      <w:sz w:val="16"/>
      <w:szCs w:val="16"/>
    </w:rPr>
  </w:style>
  <w:style w:type="paragraph" w:styleId="CommentText">
    <w:name w:val="annotation text"/>
    <w:basedOn w:val="Normal"/>
    <w:link w:val="CommentTextChar"/>
    <w:unhideWhenUsed/>
    <w:rsid w:val="00E5387F"/>
    <w:rPr>
      <w:sz w:val="20"/>
    </w:rPr>
  </w:style>
  <w:style w:type="character" w:customStyle="1" w:styleId="CommentTextChar">
    <w:name w:val="Comment Text Char"/>
    <w:basedOn w:val="DefaultParagraphFont"/>
    <w:link w:val="CommentText"/>
    <w:rsid w:val="00E5387F"/>
    <w:rPr>
      <w:rFonts w:ascii="Palatino" w:hAnsi="Palatino"/>
    </w:rPr>
  </w:style>
  <w:style w:type="paragraph" w:styleId="CommentSubject">
    <w:name w:val="annotation subject"/>
    <w:basedOn w:val="CommentText"/>
    <w:next w:val="CommentText"/>
    <w:link w:val="CommentSubjectChar"/>
    <w:semiHidden/>
    <w:unhideWhenUsed/>
    <w:rsid w:val="00E5387F"/>
    <w:rPr>
      <w:b/>
      <w:bCs/>
    </w:rPr>
  </w:style>
  <w:style w:type="character" w:customStyle="1" w:styleId="CommentSubjectChar">
    <w:name w:val="Comment Subject Char"/>
    <w:basedOn w:val="CommentTextChar"/>
    <w:link w:val="CommentSubject"/>
    <w:semiHidden/>
    <w:rsid w:val="00E5387F"/>
    <w:rPr>
      <w:rFonts w:ascii="Palatino" w:hAnsi="Palatino"/>
      <w:b/>
      <w:bCs/>
    </w:rPr>
  </w:style>
  <w:style w:type="character" w:styleId="Mention">
    <w:name w:val="Mention"/>
    <w:basedOn w:val="DefaultParagraphFont"/>
    <w:uiPriority w:val="99"/>
    <w:unhideWhenUsed/>
    <w:rsid w:val="00D83A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355/K620/355620972.PDF" TargetMode="External"/><Relationship Id="rId2" Type="http://schemas.openxmlformats.org/officeDocument/2006/relationships/hyperlink" Target="https://docs.cpuc.ca.gov/PublishedDocs/Published/G000/M168/K423/168423819.PDF" TargetMode="External"/><Relationship Id="rId1" Type="http://schemas.openxmlformats.org/officeDocument/2006/relationships/hyperlink" Target="https://docs.cpuc.ca.gov/PublishedDocs/Published/G000/M393/K356/393356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Disposition xmlns="59951001-8b6c-4d9b-8a47-3f637de67095" xsi:nil="true"/>
    <Disposition xmlns="59951001-8b6c-4d9b-8a47-3f637de67095" xsi:nil="true"/>
    <UtilityCompany xmlns="59951001-8b6c-4d9b-8a47-3f637de67095" xsi:nil="true"/>
    <DispositionDate xmlns="59951001-8b6c-4d9b-8a47-3f637de67095" xsi:nil="true"/>
    <Tier xmlns="59951001-8b6c-4d9b-8a47-3f637de67095" xsi:nil="true"/>
    <ProjectIdentifier xmlns="59951001-8b6c-4d9b-8a47-3f637de67095" xsi:nil="true"/>
    <Disposition0 xmlns="59951001-8b6c-4d9b-8a47-3f637de67095" xsi:nil="true"/>
    <lcf76f155ced4ddcb4097134ff3c332f xmlns="59951001-8b6c-4d9b-8a47-3f637de67095">
      <Terms xmlns="http://schemas.microsoft.com/office/infopath/2007/PartnerControls"/>
    </lcf76f155ced4ddcb4097134ff3c332f>
    <TaxCatchAll xmlns="9c8903b4-03ea-4cc2-8dfe-cfd2836b8558" xsi:nil="true"/>
    <Notes xmlns="59951001-8b6c-4d9b-8a47-3f637de67095" xsi:nil="true"/>
    <LeadAnalyst xmlns="59951001-8b6c-4d9b-8a47-3f637de67095">
      <UserInfo>
        <DisplayName/>
        <AccountId xsi:nil="true"/>
        <AccountType/>
      </UserInfo>
    </LeadAnaly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72FDBF08D394D82513CB6EDBAF460" ma:contentTypeVersion="26" ma:contentTypeDescription="Create a new document." ma:contentTypeScope="" ma:versionID="35256f4db16f11575b1245d0d05cd804">
  <xsd:schema xmlns:xsd="http://www.w3.org/2001/XMLSchema" xmlns:xs="http://www.w3.org/2001/XMLSchema" xmlns:p="http://schemas.microsoft.com/office/2006/metadata/properties" xmlns:ns2="59951001-8b6c-4d9b-8a47-3f637de67095" xmlns:ns3="9c8903b4-03ea-4cc2-8dfe-cfd2836b8558" targetNamespace="http://schemas.microsoft.com/office/2006/metadata/properties" ma:root="true" ma:fieldsID="c09292a5dd0119627cb2357a05468768" ns2:_="" ns3:_="">
    <xsd:import namespace="59951001-8b6c-4d9b-8a47-3f637de67095"/>
    <xsd:import namespace="9c8903b4-03ea-4cc2-8dfe-cfd2836b8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element ref="ns2:LeadAnalyst" minOccurs="0"/>
                <xsd:element ref="ns2:Tier" minOccurs="0"/>
                <xsd:element ref="ns2:Disposition" minOccurs="0"/>
                <xsd:element ref="ns2:ProjectIdentifier" minOccurs="0"/>
                <xsd:element ref="ns2:UtilityCompany" minOccurs="0"/>
                <xsd:element ref="ns2:DispositionDate" minOccurs="0"/>
                <xsd:element ref="ns2:MediaServiceBillingMetadata" minOccurs="0"/>
                <xsd:element ref="ns2:Disposition0" minOccurs="0"/>
                <xsd:element ref="ns2:Dateof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1001-8b6c-4d9b-8a47-3f637de6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format="Dropdown" ma:internalName="Notes">
      <xsd:simpleType>
        <xsd:restriction base="dms:Text">
          <xsd:maxLength value="255"/>
        </xsd:restriction>
      </xsd:simpleType>
    </xsd:element>
    <xsd:element name="LeadAnalyst" ma:index="24" nillable="true" ma:displayName="Lead Analyst" ma:format="Dropdown" ma:list="UserInfo" ma:SharePointGroup="0" ma:internalName="Lea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 ma:index="25" nillable="true" ma:displayName="Tier" ma:format="Dropdown" ma:internalName="Tier">
      <xsd:simpleType>
        <xsd:restriction base="dms:Text">
          <xsd:maxLength value="255"/>
        </xsd:restriction>
      </xsd:simpleType>
    </xsd:element>
    <xsd:element name="Disposition" ma:index="26" nillable="true" ma:displayName="Disposition" ma:format="Dropdown" ma:internalName="Disposition">
      <xsd:simpleType>
        <xsd:restriction base="dms:Text">
          <xsd:maxLength value="255"/>
        </xsd:restriction>
      </xsd:simpleType>
    </xsd:element>
    <xsd:element name="ProjectIdentifier" ma:index="27" nillable="true" ma:displayName="Project Identifier" ma:format="Dropdown" ma:internalName="ProjectIdentifier">
      <xsd:simpleType>
        <xsd:restriction base="dms:Text">
          <xsd:maxLength value="255"/>
        </xsd:restriction>
      </xsd:simpleType>
    </xsd:element>
    <xsd:element name="UtilityCompany" ma:index="28" nillable="true" ma:displayName="Utility Company" ma:format="Dropdown" ma:internalName="UtilityCompany">
      <xsd:simpleType>
        <xsd:restriction base="dms:Text">
          <xsd:maxLength value="255"/>
        </xsd:restriction>
      </xsd:simpleType>
    </xsd:element>
    <xsd:element name="DispositionDate" ma:index="29" nillable="true" ma:displayName="Disposition Date" ma:format="Dropdown" ma:internalName="Disposi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isposition0" ma:index="31" nillable="true" ma:displayName="Disposition " ma:format="Dropdown" ma:internalName="Disposition0">
      <xsd:simpleType>
        <xsd:restriction base="dms:Text">
          <xsd:maxLength value="255"/>
        </xsd:restriction>
      </xsd:simpleType>
    </xsd:element>
    <xsd:element name="DateofDisposition" ma:index="32" nillable="true" ma:displayName="Date of Disposition" ma:format="Dropdown" ma:internalName="DateofDispos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903b4-03ea-4cc2-8dfe-cfd2836b8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51859a-5bfc-40d0-9fda-8cc1a071b781}" ma:internalName="TaxCatchAll" ma:showField="CatchAllData" ma:web="9c8903b4-03ea-4cc2-8dfe-cfd2836b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9A020-37B3-4741-B304-631339A443C3}">
  <ds:schemaRefs>
    <ds:schemaRef ds:uri="http://schemas.microsoft.com/sharepoint/v3/contenttype/forms"/>
  </ds:schemaRefs>
</ds:datastoreItem>
</file>

<file path=customXml/itemProps2.xml><?xml version="1.0" encoding="utf-8"?>
<ds:datastoreItem xmlns:ds="http://schemas.openxmlformats.org/officeDocument/2006/customXml" ds:itemID="{944A3ABF-58B2-454E-8276-38606BFC85A0}">
  <ds:schemaRefs>
    <ds:schemaRef ds:uri="http://schemas.microsoft.com/office/2006/metadata/properties"/>
    <ds:schemaRef ds:uri="http://schemas.microsoft.com/office/infopath/2007/PartnerControls"/>
    <ds:schemaRef ds:uri="59951001-8b6c-4d9b-8a47-3f637de67095"/>
    <ds:schemaRef ds:uri="9c8903b4-03ea-4cc2-8dfe-cfd2836b8558"/>
  </ds:schemaRefs>
</ds:datastoreItem>
</file>

<file path=customXml/itemProps3.xml><?xml version="1.0" encoding="utf-8"?>
<ds:datastoreItem xmlns:ds="http://schemas.openxmlformats.org/officeDocument/2006/customXml" ds:itemID="{61C5B754-80DF-48B9-AA9F-C5148B92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1001-8b6c-4d9b-8a47-3f637de67095"/>
    <ds:schemaRef ds:uri="9c8903b4-03ea-4cc2-8dfe-cfd2836b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2278</ap:Words>
  <ap:Characters>12986</ap:Characters>
  <ap:Application>Microsoft Office Word</ap:Application>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15234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2026-07-17T11:41:03Z</dcterms:created>
  <dcterms:modified xsi:type="dcterms:W3CDTF">2026-07-17T11:41:03Z</dcterms:modified>
</cp:coreProperties>
</file>