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4315" w:rsidR="00857999" w:rsidP="00857999" w:rsidRDefault="00C76AB0" w14:paraId="03068AF0" w14:textId="17EAAE71">
      <w:pPr>
        <w:tabs>
          <w:tab w:val="center" w:pos="4680"/>
          <w:tab w:val="right" w:pos="9360"/>
        </w:tabs>
        <w:spacing w:line="240" w:lineRule="auto"/>
        <w:ind w:firstLine="0"/>
        <w:rPr>
          <w:b/>
        </w:rPr>
      </w:pPr>
      <w:r>
        <w:t>ALJ/</w:t>
      </w:r>
      <w:r w:rsidR="00C67810">
        <w:t>DJG</w:t>
      </w:r>
      <w:r>
        <w:t>/</w:t>
      </w:r>
      <w:proofErr w:type="spellStart"/>
      <w:r>
        <w:t>vhj</w:t>
      </w:r>
      <w:proofErr w:type="spellEnd"/>
      <w:r w:rsidR="007E0FEE">
        <w:tab/>
      </w:r>
      <w:r w:rsidR="00857999">
        <w:rPr>
          <w:rFonts w:ascii="Arial" w:hAnsi="Arial" w:cs="Arial"/>
          <w:b/>
          <w:szCs w:val="26"/>
        </w:rPr>
        <w:tab/>
      </w:r>
      <w:r w:rsidRPr="00857999" w:rsidR="00857999">
        <w:rPr>
          <w:rFonts w:cs="Arial"/>
          <w:b/>
          <w:szCs w:val="26"/>
        </w:rPr>
        <w:t>Date of Issuance 7/20/2026</w:t>
      </w:r>
    </w:p>
    <w:p w:rsidRPr="00EE4315" w:rsidR="00DA7B5D" w:rsidP="00857999" w:rsidRDefault="00DA7B5D" w14:paraId="2D0CD43C" w14:textId="30D8DBF0">
      <w:pPr>
        <w:spacing w:line="240" w:lineRule="auto"/>
        <w:ind w:firstLine="0"/>
        <w:rPr>
          <w:b/>
        </w:rPr>
      </w:pPr>
    </w:p>
    <w:p w:rsidRPr="00857999" w:rsidR="00DA7B5D" w:rsidP="008F0116" w:rsidRDefault="00DA7B5D" w14:paraId="6036BA5E" w14:textId="77777777">
      <w:pPr>
        <w:ind w:firstLine="0"/>
        <w:rPr>
          <w:b/>
          <w:bCs/>
        </w:rPr>
      </w:pPr>
    </w:p>
    <w:p w:rsidRPr="00EE3060" w:rsidR="00DA7B5D" w:rsidP="0098655A" w:rsidRDefault="00DA7B5D" w14:paraId="2E989E50" w14:textId="5FBAB11C">
      <w:pPr>
        <w:ind w:left="1080" w:hanging="1080"/>
      </w:pPr>
      <w:r>
        <w:t xml:space="preserve">Decision </w:t>
      </w:r>
      <w:r w:rsidR="00857999">
        <w:t>26-07-</w:t>
      </w:r>
      <w:proofErr w:type="gramStart"/>
      <w:r w:rsidR="00857999">
        <w:t>043  July</w:t>
      </w:r>
      <w:proofErr w:type="gramEnd"/>
      <w:r w:rsidR="00857999">
        <w:t xml:space="preserve"> 16, 2026</w:t>
      </w:r>
    </w:p>
    <w:p w:rsidR="00DA7B5D" w:rsidP="00857999" w:rsidRDefault="00DA7B5D" w14:paraId="2FFE27B3" w14:textId="77777777">
      <w:pPr>
        <w:spacing w:line="240" w:lineRule="auto"/>
        <w:rPr>
          <w:u w:val="single"/>
        </w:rPr>
      </w:pPr>
    </w:p>
    <w:p w:rsidR="00DA7B5D" w:rsidP="00BB0243" w:rsidRDefault="00DA7B5D" w14:paraId="4445C030"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42EADA30"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036A0457" w14:textId="77777777">
        <w:trPr>
          <w:jc w:val="center"/>
        </w:trPr>
        <w:tc>
          <w:tcPr>
            <w:tcW w:w="5040" w:type="dxa"/>
            <w:tcBorders>
              <w:top w:val="nil"/>
              <w:left w:val="nil"/>
              <w:bottom w:val="single" w:color="auto" w:sz="4" w:space="0"/>
              <w:right w:val="single" w:color="auto" w:sz="4" w:space="0"/>
            </w:tcBorders>
          </w:tcPr>
          <w:p w:rsidR="00DA7B5D" w:rsidP="00C10B5F" w:rsidRDefault="002A7020" w14:paraId="7D37DEB4" w14:textId="77777777">
            <w:pPr>
              <w:spacing w:line="240" w:lineRule="auto"/>
              <w:ind w:firstLine="0"/>
              <w:rPr>
                <w:rFonts w:cs="Arial"/>
                <w:szCs w:val="26"/>
              </w:rPr>
            </w:pPr>
            <w:r>
              <w:rPr>
                <w:rFonts w:cs="Arial"/>
                <w:szCs w:val="26"/>
              </w:rPr>
              <w:t>Appli</w:t>
            </w:r>
            <w:r w:rsidRPr="002A7020">
              <w:rPr>
                <w:rFonts w:cs="Arial"/>
                <w:szCs w:val="26"/>
              </w:rPr>
              <w:t xml:space="preserve">cation of Central Coast Community Energy for Compliance Review of its Administration of the Bioenergy Market Adjusting Tariff Program for the Period September 1, </w:t>
            </w:r>
            <w:proofErr w:type="gramStart"/>
            <w:r w:rsidRPr="002A7020">
              <w:rPr>
                <w:rFonts w:cs="Arial"/>
                <w:szCs w:val="26"/>
              </w:rPr>
              <w:t>2024</w:t>
            </w:r>
            <w:proofErr w:type="gramEnd"/>
            <w:r w:rsidRPr="002A7020">
              <w:rPr>
                <w:rFonts w:cs="Arial"/>
                <w:szCs w:val="26"/>
              </w:rPr>
              <w:t xml:space="preserve"> through September 1, 2025</w:t>
            </w:r>
            <w:r w:rsidR="00C76AB0">
              <w:rPr>
                <w:rFonts w:cs="Arial"/>
                <w:szCs w:val="26"/>
              </w:rPr>
              <w:t>.</w:t>
            </w:r>
          </w:p>
          <w:p w:rsidRPr="00DA7B5D" w:rsidR="00C76AB0" w:rsidP="00C10B5F" w:rsidRDefault="00C76AB0" w14:paraId="46C13ABB" w14:textId="1BA0B2F6">
            <w:pPr>
              <w:spacing w:line="240" w:lineRule="auto"/>
              <w:ind w:firstLine="0"/>
              <w:rPr>
                <w:rFonts w:cs="Arial"/>
                <w:szCs w:val="26"/>
              </w:rPr>
            </w:pPr>
          </w:p>
        </w:tc>
        <w:tc>
          <w:tcPr>
            <w:tcW w:w="5040" w:type="dxa"/>
            <w:tcBorders>
              <w:top w:val="nil"/>
              <w:left w:val="single" w:color="auto" w:sz="4" w:space="0"/>
              <w:bottom w:val="nil"/>
              <w:right w:val="nil"/>
            </w:tcBorders>
            <w:vAlign w:val="center"/>
          </w:tcPr>
          <w:p w:rsidRPr="00DA7B5D" w:rsidR="00DA7B5D" w:rsidP="00412C83" w:rsidRDefault="004F1B11" w14:paraId="7DF6E2DC" w14:textId="472257B3">
            <w:pPr>
              <w:spacing w:line="240" w:lineRule="auto"/>
              <w:ind w:firstLine="0"/>
              <w:jc w:val="center"/>
              <w:rPr>
                <w:rFonts w:cs="Arial"/>
                <w:szCs w:val="26"/>
              </w:rPr>
            </w:pPr>
            <w:r>
              <w:rPr>
                <w:rFonts w:cs="Arial"/>
                <w:szCs w:val="26"/>
              </w:rPr>
              <w:t>Application 25-08-015</w:t>
            </w:r>
          </w:p>
        </w:tc>
      </w:tr>
    </w:tbl>
    <w:p w:rsidR="00DA7B5D" w:rsidP="008F0116" w:rsidRDefault="00DA7B5D" w14:paraId="15353F2C" w14:textId="77777777">
      <w:pPr>
        <w:spacing w:line="240" w:lineRule="auto"/>
        <w:ind w:firstLine="0"/>
        <w:rPr>
          <w:rFonts w:ascii="Arial" w:hAnsi="Arial" w:cs="Arial"/>
          <w:sz w:val="24"/>
          <w:szCs w:val="24"/>
        </w:rPr>
      </w:pPr>
    </w:p>
    <w:p w:rsidR="00DA7B5D" w:rsidP="008F0116" w:rsidRDefault="00DA7B5D" w14:paraId="36C52BFD" w14:textId="77777777">
      <w:pPr>
        <w:spacing w:line="240" w:lineRule="auto"/>
        <w:ind w:firstLine="0"/>
        <w:rPr>
          <w:rFonts w:ascii="Arial" w:hAnsi="Arial" w:cs="Arial"/>
          <w:sz w:val="24"/>
          <w:szCs w:val="24"/>
        </w:rPr>
      </w:pPr>
    </w:p>
    <w:p w:rsidR="00F92385" w:rsidP="00B3087D" w:rsidRDefault="001B4928" w14:paraId="2E9D435F" w14:textId="33978419">
      <w:pPr>
        <w:pStyle w:val="Dummy"/>
        <w:jc w:val="center"/>
      </w:pPr>
      <w:bookmarkStart w:name="_Toc230004009" w:id="0"/>
      <w:bookmarkStart w:name="_Toc233277276" w:id="1"/>
      <w:r>
        <w:t xml:space="preserve">DECISION APPROVING THE APPLICATION OF </w:t>
      </w:r>
      <w:r w:rsidR="00A52396">
        <w:t xml:space="preserve">CENTRAL COAST COMMUNITY ENERGY FOR COMPLIANCE REVIEW OF ITS ADMINISTRATION OF THE BIOENERGY MARKET ADJUSTING </w:t>
      </w:r>
      <w:r w:rsidR="00E43D8D">
        <w:br/>
      </w:r>
      <w:r w:rsidR="00A52396">
        <w:t xml:space="preserve">TARIFF PROGRAM FOR THE PERIOD SEPTEMBER 1, </w:t>
      </w:r>
      <w:proofErr w:type="gramStart"/>
      <w:r w:rsidR="00A52396">
        <w:t>2024</w:t>
      </w:r>
      <w:proofErr w:type="gramEnd"/>
      <w:r w:rsidR="00A52396">
        <w:t xml:space="preserve"> </w:t>
      </w:r>
      <w:r w:rsidR="00E43D8D">
        <w:br/>
      </w:r>
      <w:r w:rsidR="00A52396">
        <w:t>THROUGH SEPTEMBER 1, 2025</w:t>
      </w:r>
      <w:bookmarkEnd w:id="0"/>
      <w:bookmarkEnd w:id="1"/>
    </w:p>
    <w:p w:rsidR="00FC43AF" w:rsidP="00FC43AF" w:rsidRDefault="00FC43AF" w14:paraId="26F86BF8" w14:textId="77777777"/>
    <w:p w:rsidRPr="00FC43AF" w:rsidR="00FC43AF" w:rsidP="00FC43AF" w:rsidRDefault="00FC43AF" w14:paraId="45355ACF" w14:textId="63678E82">
      <w:pPr>
        <w:sectPr w:rsidRPr="00FC43AF" w:rsidR="00FC43AF" w:rsidSect="00D44DB6">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rsidRPr="001E2A62" w:rsidR="00D50119" w:rsidP="00F76650" w:rsidRDefault="00D50119" w14:paraId="2AE97F22" w14:textId="77777777">
      <w:pPr>
        <w:pStyle w:val="Main"/>
        <w:rPr>
          <w:rFonts w:ascii="Book Antiqua" w:hAnsi="Book Antiqua"/>
        </w:rPr>
      </w:pPr>
      <w:r w:rsidRPr="001E2A62">
        <w:rPr>
          <w:rFonts w:ascii="Book Antiqua" w:hAnsi="Book Antiqua"/>
        </w:rPr>
        <w:lastRenderedPageBreak/>
        <w:t>TABLE OF CONTENTS</w:t>
      </w:r>
    </w:p>
    <w:p w:rsidRPr="00D50119" w:rsidR="00D50119" w:rsidP="007E0FEE" w:rsidRDefault="00D50119" w14:paraId="5ABEFD36" w14:textId="77777777">
      <w:pPr>
        <w:tabs>
          <w:tab w:val="right" w:pos="9360"/>
        </w:tabs>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1542DB" w:rsidRDefault="008C7413" w14:paraId="1FDB4ACF" w14:textId="458A6152">
          <w:pPr>
            <w:pStyle w:val="TOC1"/>
            <w:tabs>
              <w:tab w:val="right" w:leader="dot" w:pos="9350"/>
            </w:tabs>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33277276">
            <w:r w:rsidRPr="009D37D6" w:rsidR="001542DB">
              <w:rPr>
                <w:rStyle w:val="Hyperlink"/>
                <w:noProof/>
              </w:rPr>
              <w:t>DECISION APPROVING THE APPLICATION OF CENTRAL COAST COMMUNITY ENERGY FOR COMPLIANCE REVIEW OF ITS ADMINISTRATION OF THE BIOENERGY MARKET ADJUSTING TARIFF PROGRAM FOR THE PERIOD SEPTEMBER 1, 2024 THROUGH  SEPTEMBER 1, 2025</w:t>
            </w:r>
            <w:r w:rsidR="001542DB">
              <w:rPr>
                <w:noProof/>
                <w:webHidden/>
              </w:rPr>
              <w:tab/>
            </w:r>
            <w:r w:rsidR="001542DB">
              <w:rPr>
                <w:noProof/>
                <w:webHidden/>
              </w:rPr>
              <w:fldChar w:fldCharType="begin"/>
            </w:r>
            <w:r w:rsidR="001542DB">
              <w:rPr>
                <w:noProof/>
                <w:webHidden/>
              </w:rPr>
              <w:instrText xml:space="preserve"> PAGEREF _Toc233277276 \h </w:instrText>
            </w:r>
            <w:r w:rsidR="001542DB">
              <w:rPr>
                <w:noProof/>
                <w:webHidden/>
              </w:rPr>
            </w:r>
            <w:r w:rsidR="001542DB">
              <w:rPr>
                <w:noProof/>
                <w:webHidden/>
              </w:rPr>
              <w:fldChar w:fldCharType="separate"/>
            </w:r>
            <w:r w:rsidR="0043226B">
              <w:rPr>
                <w:noProof/>
                <w:webHidden/>
              </w:rPr>
              <w:t>1</w:t>
            </w:r>
            <w:r w:rsidR="001542DB">
              <w:rPr>
                <w:noProof/>
                <w:webHidden/>
              </w:rPr>
              <w:fldChar w:fldCharType="end"/>
            </w:r>
          </w:hyperlink>
        </w:p>
        <w:p w:rsidR="001542DB" w:rsidRDefault="001542DB" w14:paraId="186F3645" w14:textId="42A1954E">
          <w:pPr>
            <w:pStyle w:val="TOC1"/>
            <w:tabs>
              <w:tab w:val="right" w:leader="dot" w:pos="9350"/>
            </w:tabs>
            <w:rPr>
              <w:rFonts w:asciiTheme="minorHAnsi" w:hAnsiTheme="minorHAnsi" w:cstheme="minorBidi"/>
              <w:noProof/>
              <w:kern w:val="2"/>
              <w:sz w:val="24"/>
              <w:szCs w:val="24"/>
              <w14:ligatures w14:val="standardContextual"/>
            </w:rPr>
          </w:pPr>
          <w:hyperlink w:history="1" w:anchor="_Toc233277278">
            <w:r w:rsidRPr="009D37D6">
              <w:rPr>
                <w:rStyle w:val="Hyperlink"/>
                <w:noProof/>
              </w:rPr>
              <w:t>Summary</w:t>
            </w:r>
            <w:r>
              <w:rPr>
                <w:noProof/>
                <w:webHidden/>
              </w:rPr>
              <w:tab/>
            </w:r>
            <w:r>
              <w:rPr>
                <w:noProof/>
                <w:webHidden/>
              </w:rPr>
              <w:fldChar w:fldCharType="begin"/>
            </w:r>
            <w:r>
              <w:rPr>
                <w:noProof/>
                <w:webHidden/>
              </w:rPr>
              <w:instrText xml:space="preserve"> PAGEREF _Toc233277278 \h </w:instrText>
            </w:r>
            <w:r>
              <w:rPr>
                <w:noProof/>
                <w:webHidden/>
              </w:rPr>
            </w:r>
            <w:r>
              <w:rPr>
                <w:noProof/>
                <w:webHidden/>
              </w:rPr>
              <w:fldChar w:fldCharType="separate"/>
            </w:r>
            <w:r w:rsidR="0043226B">
              <w:rPr>
                <w:noProof/>
                <w:webHidden/>
              </w:rPr>
              <w:t>2</w:t>
            </w:r>
            <w:r>
              <w:rPr>
                <w:noProof/>
                <w:webHidden/>
              </w:rPr>
              <w:fldChar w:fldCharType="end"/>
            </w:r>
          </w:hyperlink>
        </w:p>
        <w:p w:rsidR="001542DB" w:rsidRDefault="001542DB" w14:paraId="7D81AF82" w14:textId="26250D45">
          <w:pPr>
            <w:pStyle w:val="TOC1"/>
            <w:tabs>
              <w:tab w:val="right" w:leader="dot" w:pos="9350"/>
            </w:tabs>
            <w:rPr>
              <w:rFonts w:asciiTheme="minorHAnsi" w:hAnsiTheme="minorHAnsi" w:cstheme="minorBidi"/>
              <w:noProof/>
              <w:kern w:val="2"/>
              <w:sz w:val="24"/>
              <w:szCs w:val="24"/>
              <w14:ligatures w14:val="standardContextual"/>
            </w:rPr>
          </w:pPr>
          <w:hyperlink w:history="1" w:anchor="_Toc233277279">
            <w:r w:rsidRPr="009D37D6">
              <w:rPr>
                <w:rStyle w:val="Hyperlink"/>
                <w:noProof/>
              </w:rPr>
              <w:t>1.</w:t>
            </w:r>
            <w:r>
              <w:rPr>
                <w:rFonts w:asciiTheme="minorHAnsi" w:hAnsiTheme="minorHAnsi" w:cstheme="minorBidi"/>
                <w:noProof/>
                <w:kern w:val="2"/>
                <w:sz w:val="24"/>
                <w:szCs w:val="24"/>
                <w14:ligatures w14:val="standardContextual"/>
              </w:rPr>
              <w:tab/>
            </w:r>
            <w:r w:rsidRPr="009D37D6">
              <w:rPr>
                <w:rStyle w:val="Hyperlink"/>
                <w:noProof/>
              </w:rPr>
              <w:t>Factual Background</w:t>
            </w:r>
            <w:r>
              <w:rPr>
                <w:noProof/>
                <w:webHidden/>
              </w:rPr>
              <w:tab/>
            </w:r>
            <w:r>
              <w:rPr>
                <w:noProof/>
                <w:webHidden/>
              </w:rPr>
              <w:fldChar w:fldCharType="begin"/>
            </w:r>
            <w:r>
              <w:rPr>
                <w:noProof/>
                <w:webHidden/>
              </w:rPr>
              <w:instrText xml:space="preserve"> PAGEREF _Toc233277279 \h </w:instrText>
            </w:r>
            <w:r>
              <w:rPr>
                <w:noProof/>
                <w:webHidden/>
              </w:rPr>
            </w:r>
            <w:r>
              <w:rPr>
                <w:noProof/>
                <w:webHidden/>
              </w:rPr>
              <w:fldChar w:fldCharType="separate"/>
            </w:r>
            <w:r w:rsidR="0043226B">
              <w:rPr>
                <w:noProof/>
                <w:webHidden/>
              </w:rPr>
              <w:t>2</w:t>
            </w:r>
            <w:r>
              <w:rPr>
                <w:noProof/>
                <w:webHidden/>
              </w:rPr>
              <w:fldChar w:fldCharType="end"/>
            </w:r>
          </w:hyperlink>
        </w:p>
        <w:p w:rsidR="001542DB" w:rsidRDefault="001542DB" w14:paraId="73370223" w14:textId="4B51556D">
          <w:pPr>
            <w:pStyle w:val="TOC2"/>
            <w:tabs>
              <w:tab w:val="right" w:leader="dot" w:pos="9350"/>
            </w:tabs>
            <w:rPr>
              <w:rFonts w:asciiTheme="minorHAnsi" w:hAnsiTheme="minorHAnsi" w:cstheme="minorBidi"/>
              <w:noProof/>
              <w:kern w:val="2"/>
              <w:sz w:val="24"/>
              <w:szCs w:val="24"/>
              <w14:ligatures w14:val="standardContextual"/>
            </w:rPr>
          </w:pPr>
          <w:hyperlink w:history="1" w:anchor="_Toc233277280">
            <w:r w:rsidRPr="009D37D6">
              <w:rPr>
                <w:rStyle w:val="Hyperlink"/>
                <w:noProof/>
              </w:rPr>
              <w:t>1.1.</w:t>
            </w:r>
            <w:r>
              <w:rPr>
                <w:rFonts w:asciiTheme="minorHAnsi" w:hAnsiTheme="minorHAnsi" w:cstheme="minorBidi"/>
                <w:noProof/>
                <w:kern w:val="2"/>
                <w:sz w:val="24"/>
                <w:szCs w:val="24"/>
                <w14:ligatures w14:val="standardContextual"/>
              </w:rPr>
              <w:tab/>
            </w:r>
            <w:r w:rsidRPr="009D37D6">
              <w:rPr>
                <w:rStyle w:val="Hyperlink"/>
                <w:noProof/>
              </w:rPr>
              <w:t>The BioMAT Program</w:t>
            </w:r>
            <w:r>
              <w:rPr>
                <w:noProof/>
                <w:webHidden/>
              </w:rPr>
              <w:tab/>
            </w:r>
            <w:r>
              <w:rPr>
                <w:noProof/>
                <w:webHidden/>
              </w:rPr>
              <w:fldChar w:fldCharType="begin"/>
            </w:r>
            <w:r>
              <w:rPr>
                <w:noProof/>
                <w:webHidden/>
              </w:rPr>
              <w:instrText xml:space="preserve"> PAGEREF _Toc233277280 \h </w:instrText>
            </w:r>
            <w:r>
              <w:rPr>
                <w:noProof/>
                <w:webHidden/>
              </w:rPr>
            </w:r>
            <w:r>
              <w:rPr>
                <w:noProof/>
                <w:webHidden/>
              </w:rPr>
              <w:fldChar w:fldCharType="separate"/>
            </w:r>
            <w:r w:rsidR="0043226B">
              <w:rPr>
                <w:noProof/>
                <w:webHidden/>
              </w:rPr>
              <w:t>2</w:t>
            </w:r>
            <w:r>
              <w:rPr>
                <w:noProof/>
                <w:webHidden/>
              </w:rPr>
              <w:fldChar w:fldCharType="end"/>
            </w:r>
          </w:hyperlink>
        </w:p>
        <w:p w:rsidR="001542DB" w:rsidRDefault="001542DB" w14:paraId="2059F8EB" w14:textId="63FCC67C">
          <w:pPr>
            <w:pStyle w:val="TOC2"/>
            <w:tabs>
              <w:tab w:val="right" w:leader="dot" w:pos="9350"/>
            </w:tabs>
            <w:rPr>
              <w:rFonts w:asciiTheme="minorHAnsi" w:hAnsiTheme="minorHAnsi" w:cstheme="minorBidi"/>
              <w:noProof/>
              <w:kern w:val="2"/>
              <w:sz w:val="24"/>
              <w:szCs w:val="24"/>
              <w14:ligatures w14:val="standardContextual"/>
            </w:rPr>
          </w:pPr>
          <w:hyperlink w:history="1" w:anchor="_Toc233277281">
            <w:r w:rsidRPr="009D37D6">
              <w:rPr>
                <w:rStyle w:val="Hyperlink"/>
                <w:noProof/>
              </w:rPr>
              <w:t>1.2.</w:t>
            </w:r>
            <w:r>
              <w:rPr>
                <w:rFonts w:asciiTheme="minorHAnsi" w:hAnsiTheme="minorHAnsi" w:cstheme="minorBidi"/>
                <w:noProof/>
                <w:kern w:val="2"/>
                <w:sz w:val="24"/>
                <w:szCs w:val="24"/>
                <w14:ligatures w14:val="standardContextual"/>
              </w:rPr>
              <w:tab/>
            </w:r>
            <w:r w:rsidRPr="009D37D6">
              <w:rPr>
                <w:rStyle w:val="Hyperlink"/>
                <w:noProof/>
              </w:rPr>
              <w:t>3CE’s Participation in the BioMAT Program</w:t>
            </w:r>
            <w:r>
              <w:rPr>
                <w:noProof/>
                <w:webHidden/>
              </w:rPr>
              <w:tab/>
            </w:r>
            <w:r>
              <w:rPr>
                <w:noProof/>
                <w:webHidden/>
              </w:rPr>
              <w:fldChar w:fldCharType="begin"/>
            </w:r>
            <w:r>
              <w:rPr>
                <w:noProof/>
                <w:webHidden/>
              </w:rPr>
              <w:instrText xml:space="preserve"> PAGEREF _Toc233277281 \h </w:instrText>
            </w:r>
            <w:r>
              <w:rPr>
                <w:noProof/>
                <w:webHidden/>
              </w:rPr>
            </w:r>
            <w:r>
              <w:rPr>
                <w:noProof/>
                <w:webHidden/>
              </w:rPr>
              <w:fldChar w:fldCharType="separate"/>
            </w:r>
            <w:r w:rsidR="0043226B">
              <w:rPr>
                <w:noProof/>
                <w:webHidden/>
              </w:rPr>
              <w:t>6</w:t>
            </w:r>
            <w:r>
              <w:rPr>
                <w:noProof/>
                <w:webHidden/>
              </w:rPr>
              <w:fldChar w:fldCharType="end"/>
            </w:r>
          </w:hyperlink>
        </w:p>
        <w:p w:rsidR="001542DB" w:rsidRDefault="001542DB" w14:paraId="36AF211E" w14:textId="39A8852E">
          <w:pPr>
            <w:pStyle w:val="TOC2"/>
            <w:tabs>
              <w:tab w:val="right" w:leader="dot" w:pos="9350"/>
            </w:tabs>
            <w:rPr>
              <w:rFonts w:asciiTheme="minorHAnsi" w:hAnsiTheme="minorHAnsi" w:cstheme="minorBidi"/>
              <w:noProof/>
              <w:kern w:val="2"/>
              <w:sz w:val="24"/>
              <w:szCs w:val="24"/>
              <w14:ligatures w14:val="standardContextual"/>
            </w:rPr>
          </w:pPr>
          <w:hyperlink w:history="1" w:anchor="_Toc233277282">
            <w:r w:rsidRPr="009D37D6">
              <w:rPr>
                <w:rStyle w:val="Hyperlink"/>
                <w:noProof/>
              </w:rPr>
              <w:t>1.3.</w:t>
            </w:r>
            <w:r>
              <w:rPr>
                <w:rFonts w:asciiTheme="minorHAnsi" w:hAnsiTheme="minorHAnsi" w:cstheme="minorBidi"/>
                <w:noProof/>
                <w:kern w:val="2"/>
                <w:sz w:val="24"/>
                <w:szCs w:val="24"/>
                <w14:ligatures w14:val="standardContextual"/>
              </w:rPr>
              <w:tab/>
            </w:r>
            <w:r w:rsidRPr="009D37D6">
              <w:rPr>
                <w:rStyle w:val="Hyperlink"/>
                <w:noProof/>
              </w:rPr>
              <w:t>The TRE Contract</w:t>
            </w:r>
            <w:r>
              <w:rPr>
                <w:noProof/>
                <w:webHidden/>
              </w:rPr>
              <w:tab/>
            </w:r>
            <w:r>
              <w:rPr>
                <w:noProof/>
                <w:webHidden/>
              </w:rPr>
              <w:fldChar w:fldCharType="begin"/>
            </w:r>
            <w:r>
              <w:rPr>
                <w:noProof/>
                <w:webHidden/>
              </w:rPr>
              <w:instrText xml:space="preserve"> PAGEREF _Toc233277282 \h </w:instrText>
            </w:r>
            <w:r>
              <w:rPr>
                <w:noProof/>
                <w:webHidden/>
              </w:rPr>
            </w:r>
            <w:r>
              <w:rPr>
                <w:noProof/>
                <w:webHidden/>
              </w:rPr>
              <w:fldChar w:fldCharType="separate"/>
            </w:r>
            <w:r w:rsidR="0043226B">
              <w:rPr>
                <w:noProof/>
                <w:webHidden/>
              </w:rPr>
              <w:t>8</w:t>
            </w:r>
            <w:r>
              <w:rPr>
                <w:noProof/>
                <w:webHidden/>
              </w:rPr>
              <w:fldChar w:fldCharType="end"/>
            </w:r>
          </w:hyperlink>
        </w:p>
        <w:p w:rsidR="001542DB" w:rsidRDefault="001542DB" w14:paraId="77965C41" w14:textId="6716714C">
          <w:pPr>
            <w:pStyle w:val="TOC1"/>
            <w:tabs>
              <w:tab w:val="right" w:leader="dot" w:pos="9350"/>
            </w:tabs>
            <w:rPr>
              <w:rFonts w:asciiTheme="minorHAnsi" w:hAnsiTheme="minorHAnsi" w:cstheme="minorBidi"/>
              <w:noProof/>
              <w:kern w:val="2"/>
              <w:sz w:val="24"/>
              <w:szCs w:val="24"/>
              <w14:ligatures w14:val="standardContextual"/>
            </w:rPr>
          </w:pPr>
          <w:hyperlink w:history="1" w:anchor="_Toc233277283">
            <w:r w:rsidRPr="009D37D6">
              <w:rPr>
                <w:rStyle w:val="Hyperlink"/>
                <w:noProof/>
              </w:rPr>
              <w:t>2.</w:t>
            </w:r>
            <w:r>
              <w:rPr>
                <w:rFonts w:asciiTheme="minorHAnsi" w:hAnsiTheme="minorHAnsi" w:cstheme="minorBidi"/>
                <w:noProof/>
                <w:kern w:val="2"/>
                <w:sz w:val="24"/>
                <w:szCs w:val="24"/>
                <w14:ligatures w14:val="standardContextual"/>
              </w:rPr>
              <w:tab/>
            </w:r>
            <w:r w:rsidRPr="009D37D6">
              <w:rPr>
                <w:rStyle w:val="Hyperlink"/>
                <w:noProof/>
              </w:rPr>
              <w:t>Procedural Background</w:t>
            </w:r>
            <w:r>
              <w:rPr>
                <w:noProof/>
                <w:webHidden/>
              </w:rPr>
              <w:tab/>
            </w:r>
            <w:r>
              <w:rPr>
                <w:noProof/>
                <w:webHidden/>
              </w:rPr>
              <w:fldChar w:fldCharType="begin"/>
            </w:r>
            <w:r>
              <w:rPr>
                <w:noProof/>
                <w:webHidden/>
              </w:rPr>
              <w:instrText xml:space="preserve"> PAGEREF _Toc233277283 \h </w:instrText>
            </w:r>
            <w:r>
              <w:rPr>
                <w:noProof/>
                <w:webHidden/>
              </w:rPr>
            </w:r>
            <w:r>
              <w:rPr>
                <w:noProof/>
                <w:webHidden/>
              </w:rPr>
              <w:fldChar w:fldCharType="separate"/>
            </w:r>
            <w:r w:rsidR="0043226B">
              <w:rPr>
                <w:noProof/>
                <w:webHidden/>
              </w:rPr>
              <w:t>9</w:t>
            </w:r>
            <w:r>
              <w:rPr>
                <w:noProof/>
                <w:webHidden/>
              </w:rPr>
              <w:fldChar w:fldCharType="end"/>
            </w:r>
          </w:hyperlink>
        </w:p>
        <w:p w:rsidR="001542DB" w:rsidRDefault="001542DB" w14:paraId="5E5E1A14" w14:textId="388CE033">
          <w:pPr>
            <w:pStyle w:val="TOC2"/>
            <w:tabs>
              <w:tab w:val="right" w:leader="dot" w:pos="9350"/>
            </w:tabs>
            <w:rPr>
              <w:rFonts w:asciiTheme="minorHAnsi" w:hAnsiTheme="minorHAnsi" w:cstheme="minorBidi"/>
              <w:noProof/>
              <w:kern w:val="2"/>
              <w:sz w:val="24"/>
              <w:szCs w:val="24"/>
              <w14:ligatures w14:val="standardContextual"/>
            </w:rPr>
          </w:pPr>
          <w:hyperlink w:history="1" w:anchor="_Toc233277284">
            <w:r w:rsidRPr="009D37D6">
              <w:rPr>
                <w:rStyle w:val="Hyperlink"/>
                <w:noProof/>
              </w:rPr>
              <w:t>2.1.</w:t>
            </w:r>
            <w:r>
              <w:rPr>
                <w:rFonts w:asciiTheme="minorHAnsi" w:hAnsiTheme="minorHAnsi" w:cstheme="minorBidi"/>
                <w:noProof/>
                <w:kern w:val="2"/>
                <w:sz w:val="24"/>
                <w:szCs w:val="24"/>
                <w14:ligatures w14:val="standardContextual"/>
              </w:rPr>
              <w:tab/>
            </w:r>
            <w:r w:rsidRPr="009D37D6">
              <w:rPr>
                <w:rStyle w:val="Hyperlink"/>
                <w:noProof/>
              </w:rPr>
              <w:t>Submission Date</w:t>
            </w:r>
            <w:r>
              <w:rPr>
                <w:noProof/>
                <w:webHidden/>
              </w:rPr>
              <w:tab/>
            </w:r>
            <w:r>
              <w:rPr>
                <w:noProof/>
                <w:webHidden/>
              </w:rPr>
              <w:fldChar w:fldCharType="begin"/>
            </w:r>
            <w:r>
              <w:rPr>
                <w:noProof/>
                <w:webHidden/>
              </w:rPr>
              <w:instrText xml:space="preserve"> PAGEREF _Toc233277284 \h </w:instrText>
            </w:r>
            <w:r>
              <w:rPr>
                <w:noProof/>
                <w:webHidden/>
              </w:rPr>
            </w:r>
            <w:r>
              <w:rPr>
                <w:noProof/>
                <w:webHidden/>
              </w:rPr>
              <w:fldChar w:fldCharType="separate"/>
            </w:r>
            <w:r w:rsidR="0043226B">
              <w:rPr>
                <w:noProof/>
                <w:webHidden/>
              </w:rPr>
              <w:t>10</w:t>
            </w:r>
            <w:r>
              <w:rPr>
                <w:noProof/>
                <w:webHidden/>
              </w:rPr>
              <w:fldChar w:fldCharType="end"/>
            </w:r>
          </w:hyperlink>
        </w:p>
        <w:p w:rsidR="001542DB" w:rsidRDefault="001542DB" w14:paraId="5B1B63D4" w14:textId="011D7AD0">
          <w:pPr>
            <w:pStyle w:val="TOC1"/>
            <w:tabs>
              <w:tab w:val="right" w:leader="dot" w:pos="9350"/>
            </w:tabs>
            <w:rPr>
              <w:rFonts w:asciiTheme="minorHAnsi" w:hAnsiTheme="minorHAnsi" w:cstheme="minorBidi"/>
              <w:noProof/>
              <w:kern w:val="2"/>
              <w:sz w:val="24"/>
              <w:szCs w:val="24"/>
              <w14:ligatures w14:val="standardContextual"/>
            </w:rPr>
          </w:pPr>
          <w:hyperlink w:history="1" w:anchor="_Toc233277285">
            <w:r w:rsidRPr="009D37D6">
              <w:rPr>
                <w:rStyle w:val="Hyperlink"/>
                <w:noProof/>
              </w:rPr>
              <w:t>3.</w:t>
            </w:r>
            <w:r>
              <w:rPr>
                <w:rFonts w:asciiTheme="minorHAnsi" w:hAnsiTheme="minorHAnsi" w:cstheme="minorBidi"/>
                <w:noProof/>
                <w:kern w:val="2"/>
                <w:sz w:val="24"/>
                <w:szCs w:val="24"/>
                <w14:ligatures w14:val="standardContextual"/>
              </w:rPr>
              <w:tab/>
            </w:r>
            <w:r w:rsidRPr="009D37D6">
              <w:rPr>
                <w:rStyle w:val="Hyperlink"/>
                <w:noProof/>
              </w:rPr>
              <w:t>Jurisdiction</w:t>
            </w:r>
            <w:r>
              <w:rPr>
                <w:noProof/>
                <w:webHidden/>
              </w:rPr>
              <w:tab/>
            </w:r>
            <w:r>
              <w:rPr>
                <w:noProof/>
                <w:webHidden/>
              </w:rPr>
              <w:fldChar w:fldCharType="begin"/>
            </w:r>
            <w:r>
              <w:rPr>
                <w:noProof/>
                <w:webHidden/>
              </w:rPr>
              <w:instrText xml:space="preserve"> PAGEREF _Toc233277285 \h </w:instrText>
            </w:r>
            <w:r>
              <w:rPr>
                <w:noProof/>
                <w:webHidden/>
              </w:rPr>
            </w:r>
            <w:r>
              <w:rPr>
                <w:noProof/>
                <w:webHidden/>
              </w:rPr>
              <w:fldChar w:fldCharType="separate"/>
            </w:r>
            <w:r w:rsidR="0043226B">
              <w:rPr>
                <w:noProof/>
                <w:webHidden/>
              </w:rPr>
              <w:t>10</w:t>
            </w:r>
            <w:r>
              <w:rPr>
                <w:noProof/>
                <w:webHidden/>
              </w:rPr>
              <w:fldChar w:fldCharType="end"/>
            </w:r>
          </w:hyperlink>
        </w:p>
        <w:p w:rsidR="001542DB" w:rsidRDefault="001542DB" w14:paraId="44D1B1CE" w14:textId="70B21003">
          <w:pPr>
            <w:pStyle w:val="TOC1"/>
            <w:tabs>
              <w:tab w:val="right" w:leader="dot" w:pos="9350"/>
            </w:tabs>
            <w:rPr>
              <w:rFonts w:asciiTheme="minorHAnsi" w:hAnsiTheme="minorHAnsi" w:cstheme="minorBidi"/>
              <w:noProof/>
              <w:kern w:val="2"/>
              <w:sz w:val="24"/>
              <w:szCs w:val="24"/>
              <w14:ligatures w14:val="standardContextual"/>
            </w:rPr>
          </w:pPr>
          <w:hyperlink w:history="1" w:anchor="_Toc233277286">
            <w:r w:rsidRPr="009D37D6">
              <w:rPr>
                <w:rStyle w:val="Hyperlink"/>
                <w:noProof/>
              </w:rPr>
              <w:t>4.</w:t>
            </w:r>
            <w:r>
              <w:rPr>
                <w:rFonts w:asciiTheme="minorHAnsi" w:hAnsiTheme="minorHAnsi" w:cstheme="minorBidi"/>
                <w:noProof/>
                <w:kern w:val="2"/>
                <w:sz w:val="24"/>
                <w:szCs w:val="24"/>
                <w14:ligatures w14:val="standardContextual"/>
              </w:rPr>
              <w:tab/>
            </w:r>
            <w:r w:rsidRPr="009D37D6">
              <w:rPr>
                <w:rStyle w:val="Hyperlink"/>
                <w:noProof/>
              </w:rPr>
              <w:t>Issues Before the Commission</w:t>
            </w:r>
            <w:r>
              <w:rPr>
                <w:noProof/>
                <w:webHidden/>
              </w:rPr>
              <w:tab/>
            </w:r>
            <w:r>
              <w:rPr>
                <w:noProof/>
                <w:webHidden/>
              </w:rPr>
              <w:fldChar w:fldCharType="begin"/>
            </w:r>
            <w:r>
              <w:rPr>
                <w:noProof/>
                <w:webHidden/>
              </w:rPr>
              <w:instrText xml:space="preserve"> PAGEREF _Toc233277286 \h </w:instrText>
            </w:r>
            <w:r>
              <w:rPr>
                <w:noProof/>
                <w:webHidden/>
              </w:rPr>
            </w:r>
            <w:r>
              <w:rPr>
                <w:noProof/>
                <w:webHidden/>
              </w:rPr>
              <w:fldChar w:fldCharType="separate"/>
            </w:r>
            <w:r w:rsidR="0043226B">
              <w:rPr>
                <w:noProof/>
                <w:webHidden/>
              </w:rPr>
              <w:t>11</w:t>
            </w:r>
            <w:r>
              <w:rPr>
                <w:noProof/>
                <w:webHidden/>
              </w:rPr>
              <w:fldChar w:fldCharType="end"/>
            </w:r>
          </w:hyperlink>
        </w:p>
        <w:p w:rsidR="001542DB" w:rsidRDefault="001542DB" w14:paraId="3B9EF3FE" w14:textId="6464C840">
          <w:pPr>
            <w:pStyle w:val="TOC1"/>
            <w:tabs>
              <w:tab w:val="right" w:leader="dot" w:pos="9350"/>
            </w:tabs>
            <w:rPr>
              <w:rFonts w:asciiTheme="minorHAnsi" w:hAnsiTheme="minorHAnsi" w:cstheme="minorBidi"/>
              <w:noProof/>
              <w:kern w:val="2"/>
              <w:sz w:val="24"/>
              <w:szCs w:val="24"/>
              <w14:ligatures w14:val="standardContextual"/>
            </w:rPr>
          </w:pPr>
          <w:hyperlink w:history="1" w:anchor="_Toc233277287">
            <w:r w:rsidRPr="009D37D6">
              <w:rPr>
                <w:rStyle w:val="Hyperlink"/>
                <w:noProof/>
              </w:rPr>
              <w:t>5.</w:t>
            </w:r>
            <w:r>
              <w:rPr>
                <w:rFonts w:asciiTheme="minorHAnsi" w:hAnsiTheme="minorHAnsi" w:cstheme="minorBidi"/>
                <w:noProof/>
                <w:kern w:val="2"/>
                <w:sz w:val="24"/>
                <w:szCs w:val="24"/>
                <w14:ligatures w14:val="standardContextual"/>
              </w:rPr>
              <w:tab/>
            </w:r>
            <w:r w:rsidRPr="009D37D6">
              <w:rPr>
                <w:rStyle w:val="Hyperlink"/>
                <w:noProof/>
              </w:rPr>
              <w:t>3CE’s Administration of the BioMAT Program During the Record Period: Compliance with the Commission’s BioMAT Requirements</w:t>
            </w:r>
            <w:r>
              <w:rPr>
                <w:noProof/>
                <w:webHidden/>
              </w:rPr>
              <w:tab/>
            </w:r>
            <w:r>
              <w:rPr>
                <w:noProof/>
                <w:webHidden/>
              </w:rPr>
              <w:fldChar w:fldCharType="begin"/>
            </w:r>
            <w:r>
              <w:rPr>
                <w:noProof/>
                <w:webHidden/>
              </w:rPr>
              <w:instrText xml:space="preserve"> PAGEREF _Toc233277287 \h </w:instrText>
            </w:r>
            <w:r>
              <w:rPr>
                <w:noProof/>
                <w:webHidden/>
              </w:rPr>
            </w:r>
            <w:r>
              <w:rPr>
                <w:noProof/>
                <w:webHidden/>
              </w:rPr>
              <w:fldChar w:fldCharType="separate"/>
            </w:r>
            <w:r w:rsidR="0043226B">
              <w:rPr>
                <w:noProof/>
                <w:webHidden/>
              </w:rPr>
              <w:t>12</w:t>
            </w:r>
            <w:r>
              <w:rPr>
                <w:noProof/>
                <w:webHidden/>
              </w:rPr>
              <w:fldChar w:fldCharType="end"/>
            </w:r>
          </w:hyperlink>
        </w:p>
        <w:p w:rsidR="001542DB" w:rsidRDefault="001542DB" w14:paraId="5C032E0A" w14:textId="07002DD9">
          <w:pPr>
            <w:pStyle w:val="TOC2"/>
            <w:tabs>
              <w:tab w:val="right" w:leader="dot" w:pos="9350"/>
            </w:tabs>
            <w:rPr>
              <w:rFonts w:asciiTheme="minorHAnsi" w:hAnsiTheme="minorHAnsi" w:cstheme="minorBidi"/>
              <w:noProof/>
              <w:kern w:val="2"/>
              <w:sz w:val="24"/>
              <w:szCs w:val="24"/>
              <w14:ligatures w14:val="standardContextual"/>
            </w:rPr>
          </w:pPr>
          <w:hyperlink w:history="1" w:anchor="_Toc233277288">
            <w:r w:rsidRPr="009D37D6">
              <w:rPr>
                <w:rStyle w:val="Hyperlink"/>
                <w:noProof/>
              </w:rPr>
              <w:t>5.1.</w:t>
            </w:r>
            <w:r>
              <w:rPr>
                <w:rFonts w:asciiTheme="minorHAnsi" w:hAnsiTheme="minorHAnsi" w:cstheme="minorBidi"/>
                <w:noProof/>
                <w:kern w:val="2"/>
                <w:sz w:val="24"/>
                <w:szCs w:val="24"/>
                <w14:ligatures w14:val="standardContextual"/>
              </w:rPr>
              <w:tab/>
            </w:r>
            <w:r w:rsidRPr="009D37D6">
              <w:rPr>
                <w:rStyle w:val="Hyperlink"/>
                <w:noProof/>
              </w:rPr>
              <w:t>Satisfaction of BioMAT Program Document Development and Tariff Requirements</w:t>
            </w:r>
            <w:r>
              <w:rPr>
                <w:noProof/>
                <w:webHidden/>
              </w:rPr>
              <w:tab/>
            </w:r>
            <w:r>
              <w:rPr>
                <w:noProof/>
                <w:webHidden/>
              </w:rPr>
              <w:fldChar w:fldCharType="begin"/>
            </w:r>
            <w:r>
              <w:rPr>
                <w:noProof/>
                <w:webHidden/>
              </w:rPr>
              <w:instrText xml:space="preserve"> PAGEREF _Toc233277288 \h </w:instrText>
            </w:r>
            <w:r>
              <w:rPr>
                <w:noProof/>
                <w:webHidden/>
              </w:rPr>
            </w:r>
            <w:r>
              <w:rPr>
                <w:noProof/>
                <w:webHidden/>
              </w:rPr>
              <w:fldChar w:fldCharType="separate"/>
            </w:r>
            <w:r w:rsidR="0043226B">
              <w:rPr>
                <w:noProof/>
                <w:webHidden/>
              </w:rPr>
              <w:t>13</w:t>
            </w:r>
            <w:r>
              <w:rPr>
                <w:noProof/>
                <w:webHidden/>
              </w:rPr>
              <w:fldChar w:fldCharType="end"/>
            </w:r>
          </w:hyperlink>
        </w:p>
        <w:p w:rsidR="001542DB" w:rsidRDefault="001542DB" w14:paraId="010A1C83" w14:textId="11014060">
          <w:pPr>
            <w:pStyle w:val="TOC2"/>
            <w:tabs>
              <w:tab w:val="right" w:leader="dot" w:pos="9350"/>
            </w:tabs>
            <w:rPr>
              <w:rFonts w:asciiTheme="minorHAnsi" w:hAnsiTheme="minorHAnsi" w:cstheme="minorBidi"/>
              <w:noProof/>
              <w:kern w:val="2"/>
              <w:sz w:val="24"/>
              <w:szCs w:val="24"/>
              <w14:ligatures w14:val="standardContextual"/>
            </w:rPr>
          </w:pPr>
          <w:hyperlink w:history="1" w:anchor="_Toc233277289">
            <w:r w:rsidRPr="009D37D6">
              <w:rPr>
                <w:rStyle w:val="Hyperlink"/>
                <w:noProof/>
              </w:rPr>
              <w:t>5.2.</w:t>
            </w:r>
            <w:r>
              <w:rPr>
                <w:rFonts w:asciiTheme="minorHAnsi" w:hAnsiTheme="minorHAnsi" w:cstheme="minorBidi"/>
                <w:noProof/>
                <w:kern w:val="2"/>
                <w:sz w:val="24"/>
                <w:szCs w:val="24"/>
                <w14:ligatures w14:val="standardContextual"/>
              </w:rPr>
              <w:tab/>
            </w:r>
            <w:r w:rsidRPr="009D37D6">
              <w:rPr>
                <w:rStyle w:val="Hyperlink"/>
                <w:noProof/>
              </w:rPr>
              <w:t>Provision of a Standard PPA and PPR</w:t>
            </w:r>
            <w:r>
              <w:rPr>
                <w:noProof/>
                <w:webHidden/>
              </w:rPr>
              <w:tab/>
            </w:r>
            <w:r>
              <w:rPr>
                <w:noProof/>
                <w:webHidden/>
              </w:rPr>
              <w:fldChar w:fldCharType="begin"/>
            </w:r>
            <w:r>
              <w:rPr>
                <w:noProof/>
                <w:webHidden/>
              </w:rPr>
              <w:instrText xml:space="preserve"> PAGEREF _Toc233277289 \h </w:instrText>
            </w:r>
            <w:r>
              <w:rPr>
                <w:noProof/>
                <w:webHidden/>
              </w:rPr>
            </w:r>
            <w:r>
              <w:rPr>
                <w:noProof/>
                <w:webHidden/>
              </w:rPr>
              <w:fldChar w:fldCharType="separate"/>
            </w:r>
            <w:r w:rsidR="0043226B">
              <w:rPr>
                <w:noProof/>
                <w:webHidden/>
              </w:rPr>
              <w:t>13</w:t>
            </w:r>
            <w:r>
              <w:rPr>
                <w:noProof/>
                <w:webHidden/>
              </w:rPr>
              <w:fldChar w:fldCharType="end"/>
            </w:r>
          </w:hyperlink>
        </w:p>
        <w:p w:rsidR="001542DB" w:rsidRDefault="001542DB" w14:paraId="7BF4901F" w14:textId="22FD53BB">
          <w:pPr>
            <w:pStyle w:val="TOC2"/>
            <w:tabs>
              <w:tab w:val="right" w:leader="dot" w:pos="9350"/>
            </w:tabs>
            <w:rPr>
              <w:rFonts w:asciiTheme="minorHAnsi" w:hAnsiTheme="minorHAnsi" w:cstheme="minorBidi"/>
              <w:noProof/>
              <w:kern w:val="2"/>
              <w:sz w:val="24"/>
              <w:szCs w:val="24"/>
              <w14:ligatures w14:val="standardContextual"/>
            </w:rPr>
          </w:pPr>
          <w:hyperlink w:history="1" w:anchor="_Toc233277290">
            <w:r w:rsidRPr="009D37D6">
              <w:rPr>
                <w:rStyle w:val="Hyperlink"/>
                <w:noProof/>
              </w:rPr>
              <w:t>5.3.</w:t>
            </w:r>
            <w:r>
              <w:rPr>
                <w:rFonts w:asciiTheme="minorHAnsi" w:hAnsiTheme="minorHAnsi" w:cstheme="minorBidi"/>
                <w:noProof/>
                <w:kern w:val="2"/>
                <w:sz w:val="24"/>
                <w:szCs w:val="24"/>
                <w14:ligatures w14:val="standardContextual"/>
              </w:rPr>
              <w:tab/>
            </w:r>
            <w:r w:rsidRPr="009D37D6">
              <w:rPr>
                <w:rStyle w:val="Hyperlink"/>
                <w:noProof/>
              </w:rPr>
              <w:t>Compliance with BioMAT Tariff</w:t>
            </w:r>
            <w:r>
              <w:rPr>
                <w:noProof/>
                <w:webHidden/>
              </w:rPr>
              <w:tab/>
            </w:r>
            <w:r>
              <w:rPr>
                <w:noProof/>
                <w:webHidden/>
              </w:rPr>
              <w:fldChar w:fldCharType="begin"/>
            </w:r>
            <w:r>
              <w:rPr>
                <w:noProof/>
                <w:webHidden/>
              </w:rPr>
              <w:instrText xml:space="preserve"> PAGEREF _Toc233277290 \h </w:instrText>
            </w:r>
            <w:r>
              <w:rPr>
                <w:noProof/>
                <w:webHidden/>
              </w:rPr>
            </w:r>
            <w:r>
              <w:rPr>
                <w:noProof/>
                <w:webHidden/>
              </w:rPr>
              <w:fldChar w:fldCharType="separate"/>
            </w:r>
            <w:r w:rsidR="0043226B">
              <w:rPr>
                <w:noProof/>
                <w:webHidden/>
              </w:rPr>
              <w:t>14</w:t>
            </w:r>
            <w:r>
              <w:rPr>
                <w:noProof/>
                <w:webHidden/>
              </w:rPr>
              <w:fldChar w:fldCharType="end"/>
            </w:r>
          </w:hyperlink>
        </w:p>
        <w:p w:rsidR="001542DB" w:rsidRDefault="001542DB" w14:paraId="704A00DA" w14:textId="7D64DF9A">
          <w:pPr>
            <w:pStyle w:val="TOC2"/>
            <w:tabs>
              <w:tab w:val="right" w:leader="dot" w:pos="9350"/>
            </w:tabs>
            <w:rPr>
              <w:rFonts w:asciiTheme="minorHAnsi" w:hAnsiTheme="minorHAnsi" w:cstheme="minorBidi"/>
              <w:noProof/>
              <w:kern w:val="2"/>
              <w:sz w:val="24"/>
              <w:szCs w:val="24"/>
              <w14:ligatures w14:val="standardContextual"/>
            </w:rPr>
          </w:pPr>
          <w:hyperlink w:history="1" w:anchor="_Toc233277291">
            <w:r w:rsidRPr="009D37D6">
              <w:rPr>
                <w:rStyle w:val="Hyperlink"/>
                <w:noProof/>
              </w:rPr>
              <w:t>5.4.</w:t>
            </w:r>
            <w:r>
              <w:rPr>
                <w:rFonts w:asciiTheme="minorHAnsi" w:hAnsiTheme="minorHAnsi" w:cstheme="minorBidi"/>
                <w:noProof/>
                <w:kern w:val="2"/>
                <w:sz w:val="24"/>
                <w:szCs w:val="24"/>
                <w14:ligatures w14:val="standardContextual"/>
              </w:rPr>
              <w:tab/>
            </w:r>
            <w:r w:rsidRPr="009D37D6">
              <w:rPr>
                <w:rStyle w:val="Hyperlink"/>
                <w:noProof/>
              </w:rPr>
              <w:t>No Need for Separate NBC Rate Schedules</w:t>
            </w:r>
            <w:r>
              <w:rPr>
                <w:noProof/>
                <w:webHidden/>
              </w:rPr>
              <w:tab/>
            </w:r>
            <w:r>
              <w:rPr>
                <w:noProof/>
                <w:webHidden/>
              </w:rPr>
              <w:fldChar w:fldCharType="begin"/>
            </w:r>
            <w:r>
              <w:rPr>
                <w:noProof/>
                <w:webHidden/>
              </w:rPr>
              <w:instrText xml:space="preserve"> PAGEREF _Toc233277291 \h </w:instrText>
            </w:r>
            <w:r>
              <w:rPr>
                <w:noProof/>
                <w:webHidden/>
              </w:rPr>
            </w:r>
            <w:r>
              <w:rPr>
                <w:noProof/>
                <w:webHidden/>
              </w:rPr>
              <w:fldChar w:fldCharType="separate"/>
            </w:r>
            <w:r w:rsidR="0043226B">
              <w:rPr>
                <w:noProof/>
                <w:webHidden/>
              </w:rPr>
              <w:t>28</w:t>
            </w:r>
            <w:r>
              <w:rPr>
                <w:noProof/>
                <w:webHidden/>
              </w:rPr>
              <w:fldChar w:fldCharType="end"/>
            </w:r>
          </w:hyperlink>
        </w:p>
        <w:p w:rsidR="001542DB" w:rsidRDefault="001542DB" w14:paraId="620F9FDB" w14:textId="76457801">
          <w:pPr>
            <w:pStyle w:val="TOC2"/>
            <w:tabs>
              <w:tab w:val="right" w:leader="dot" w:pos="9350"/>
            </w:tabs>
            <w:rPr>
              <w:rFonts w:asciiTheme="minorHAnsi" w:hAnsiTheme="minorHAnsi" w:cstheme="minorBidi"/>
              <w:noProof/>
              <w:kern w:val="2"/>
              <w:sz w:val="24"/>
              <w:szCs w:val="24"/>
              <w14:ligatures w14:val="standardContextual"/>
            </w:rPr>
          </w:pPr>
          <w:hyperlink w:history="1" w:anchor="_Toc233277292">
            <w:r w:rsidRPr="009D37D6">
              <w:rPr>
                <w:rStyle w:val="Hyperlink"/>
                <w:noProof/>
              </w:rPr>
              <w:t>5.5.</w:t>
            </w:r>
            <w:r>
              <w:rPr>
                <w:rFonts w:asciiTheme="minorHAnsi" w:hAnsiTheme="minorHAnsi" w:cstheme="minorBidi"/>
                <w:noProof/>
                <w:kern w:val="2"/>
                <w:sz w:val="24"/>
                <w:szCs w:val="24"/>
                <w14:ligatures w14:val="standardContextual"/>
              </w:rPr>
              <w:tab/>
            </w:r>
            <w:r w:rsidRPr="009D37D6">
              <w:rPr>
                <w:rStyle w:val="Hyperlink"/>
                <w:noProof/>
              </w:rPr>
              <w:t>Satisfaction of Requirements to Solicit Contract Terms, Develop BioMAT Websites and Portals, and Provide Access to a Central BioMAT Webpage</w:t>
            </w:r>
            <w:r>
              <w:rPr>
                <w:noProof/>
                <w:webHidden/>
              </w:rPr>
              <w:tab/>
            </w:r>
            <w:r>
              <w:rPr>
                <w:noProof/>
                <w:webHidden/>
              </w:rPr>
              <w:fldChar w:fldCharType="begin"/>
            </w:r>
            <w:r>
              <w:rPr>
                <w:noProof/>
                <w:webHidden/>
              </w:rPr>
              <w:instrText xml:space="preserve"> PAGEREF _Toc233277292 \h </w:instrText>
            </w:r>
            <w:r>
              <w:rPr>
                <w:noProof/>
                <w:webHidden/>
              </w:rPr>
            </w:r>
            <w:r>
              <w:rPr>
                <w:noProof/>
                <w:webHidden/>
              </w:rPr>
              <w:fldChar w:fldCharType="separate"/>
            </w:r>
            <w:r w:rsidR="0043226B">
              <w:rPr>
                <w:noProof/>
                <w:webHidden/>
              </w:rPr>
              <w:t>29</w:t>
            </w:r>
            <w:r>
              <w:rPr>
                <w:noProof/>
                <w:webHidden/>
              </w:rPr>
              <w:fldChar w:fldCharType="end"/>
            </w:r>
          </w:hyperlink>
        </w:p>
        <w:p w:rsidR="001542DB" w:rsidRDefault="001542DB" w14:paraId="0C748DB9" w14:textId="79C09B00">
          <w:pPr>
            <w:pStyle w:val="TOC2"/>
            <w:tabs>
              <w:tab w:val="right" w:leader="dot" w:pos="9350"/>
            </w:tabs>
            <w:rPr>
              <w:rFonts w:asciiTheme="minorHAnsi" w:hAnsiTheme="minorHAnsi" w:cstheme="minorBidi"/>
              <w:noProof/>
              <w:kern w:val="2"/>
              <w:sz w:val="24"/>
              <w:szCs w:val="24"/>
              <w14:ligatures w14:val="standardContextual"/>
            </w:rPr>
          </w:pPr>
          <w:hyperlink w:history="1" w:anchor="_Toc233277293">
            <w:r w:rsidRPr="009D37D6">
              <w:rPr>
                <w:rStyle w:val="Hyperlink"/>
                <w:noProof/>
              </w:rPr>
              <w:t>5.6.</w:t>
            </w:r>
            <w:r>
              <w:rPr>
                <w:rFonts w:asciiTheme="minorHAnsi" w:hAnsiTheme="minorHAnsi" w:cstheme="minorBidi"/>
                <w:noProof/>
                <w:kern w:val="2"/>
                <w:sz w:val="24"/>
                <w:szCs w:val="24"/>
                <w14:ligatures w14:val="standardContextual"/>
              </w:rPr>
              <w:tab/>
            </w:r>
            <w:r w:rsidRPr="009D37D6">
              <w:rPr>
                <w:rStyle w:val="Hyperlink"/>
                <w:noProof/>
              </w:rPr>
              <w:t>Satisfaction of Requirements to Administer BioMAT Project Pricing and Contract Award Determination, and Integrate Such Services on Individual Webpages</w:t>
            </w:r>
            <w:r>
              <w:rPr>
                <w:noProof/>
                <w:webHidden/>
              </w:rPr>
              <w:tab/>
            </w:r>
            <w:r>
              <w:rPr>
                <w:noProof/>
                <w:webHidden/>
              </w:rPr>
              <w:fldChar w:fldCharType="begin"/>
            </w:r>
            <w:r>
              <w:rPr>
                <w:noProof/>
                <w:webHidden/>
              </w:rPr>
              <w:instrText xml:space="preserve"> PAGEREF _Toc233277293 \h </w:instrText>
            </w:r>
            <w:r>
              <w:rPr>
                <w:noProof/>
                <w:webHidden/>
              </w:rPr>
            </w:r>
            <w:r>
              <w:rPr>
                <w:noProof/>
                <w:webHidden/>
              </w:rPr>
              <w:fldChar w:fldCharType="separate"/>
            </w:r>
            <w:r w:rsidR="0043226B">
              <w:rPr>
                <w:noProof/>
                <w:webHidden/>
              </w:rPr>
              <w:t>30</w:t>
            </w:r>
            <w:r>
              <w:rPr>
                <w:noProof/>
                <w:webHidden/>
              </w:rPr>
              <w:fldChar w:fldCharType="end"/>
            </w:r>
          </w:hyperlink>
        </w:p>
        <w:p w:rsidR="001542DB" w:rsidRDefault="001542DB" w14:paraId="6E6D9AAA" w14:textId="193EE844">
          <w:pPr>
            <w:pStyle w:val="TOC2"/>
            <w:tabs>
              <w:tab w:val="right" w:leader="dot" w:pos="9350"/>
            </w:tabs>
            <w:rPr>
              <w:rFonts w:asciiTheme="minorHAnsi" w:hAnsiTheme="minorHAnsi" w:cstheme="minorBidi"/>
              <w:noProof/>
              <w:kern w:val="2"/>
              <w:sz w:val="24"/>
              <w:szCs w:val="24"/>
              <w14:ligatures w14:val="standardContextual"/>
            </w:rPr>
          </w:pPr>
          <w:hyperlink w:history="1" w:anchor="_Toc233277294">
            <w:r w:rsidRPr="009D37D6">
              <w:rPr>
                <w:rStyle w:val="Hyperlink"/>
                <w:noProof/>
              </w:rPr>
              <w:t>5.7.</w:t>
            </w:r>
            <w:r>
              <w:rPr>
                <w:rFonts w:asciiTheme="minorHAnsi" w:hAnsiTheme="minorHAnsi" w:cstheme="minorBidi"/>
                <w:noProof/>
                <w:kern w:val="2"/>
                <w:sz w:val="24"/>
                <w:szCs w:val="24"/>
                <w14:ligatures w14:val="standardContextual"/>
              </w:rPr>
              <w:tab/>
            </w:r>
            <w:r w:rsidRPr="009D37D6">
              <w:rPr>
                <w:rStyle w:val="Hyperlink"/>
                <w:noProof/>
              </w:rPr>
              <w:t>Satisfaction of Requirement to Request Approval of Standard CCA BioMAT Program Documentation</w:t>
            </w:r>
            <w:r>
              <w:rPr>
                <w:noProof/>
                <w:webHidden/>
              </w:rPr>
              <w:tab/>
            </w:r>
            <w:r>
              <w:rPr>
                <w:noProof/>
                <w:webHidden/>
              </w:rPr>
              <w:fldChar w:fldCharType="begin"/>
            </w:r>
            <w:r>
              <w:rPr>
                <w:noProof/>
                <w:webHidden/>
              </w:rPr>
              <w:instrText xml:space="preserve"> PAGEREF _Toc233277294 \h </w:instrText>
            </w:r>
            <w:r>
              <w:rPr>
                <w:noProof/>
                <w:webHidden/>
              </w:rPr>
            </w:r>
            <w:r>
              <w:rPr>
                <w:noProof/>
                <w:webHidden/>
              </w:rPr>
              <w:fldChar w:fldCharType="separate"/>
            </w:r>
            <w:r w:rsidR="0043226B">
              <w:rPr>
                <w:noProof/>
                <w:webHidden/>
              </w:rPr>
              <w:t>33</w:t>
            </w:r>
            <w:r>
              <w:rPr>
                <w:noProof/>
                <w:webHidden/>
              </w:rPr>
              <w:fldChar w:fldCharType="end"/>
            </w:r>
          </w:hyperlink>
        </w:p>
        <w:p w:rsidR="001542DB" w:rsidRDefault="001542DB" w14:paraId="7DD36F41" w14:textId="274C13E4">
          <w:pPr>
            <w:pStyle w:val="TOC1"/>
            <w:tabs>
              <w:tab w:val="right" w:leader="dot" w:pos="9350"/>
            </w:tabs>
            <w:rPr>
              <w:rFonts w:asciiTheme="minorHAnsi" w:hAnsiTheme="minorHAnsi" w:cstheme="minorBidi"/>
              <w:noProof/>
              <w:kern w:val="2"/>
              <w:sz w:val="24"/>
              <w:szCs w:val="24"/>
              <w14:ligatures w14:val="standardContextual"/>
            </w:rPr>
          </w:pPr>
          <w:hyperlink w:history="1" w:anchor="_Toc233277295">
            <w:r w:rsidRPr="009D37D6">
              <w:rPr>
                <w:rStyle w:val="Hyperlink"/>
                <w:noProof/>
              </w:rPr>
              <w:t>6.</w:t>
            </w:r>
            <w:r>
              <w:rPr>
                <w:rFonts w:asciiTheme="minorHAnsi" w:hAnsiTheme="minorHAnsi" w:cstheme="minorBidi"/>
                <w:noProof/>
                <w:kern w:val="2"/>
                <w:sz w:val="24"/>
                <w:szCs w:val="24"/>
                <w14:ligatures w14:val="standardContextual"/>
              </w:rPr>
              <w:tab/>
            </w:r>
            <w:r w:rsidRPr="009D37D6">
              <w:rPr>
                <w:rStyle w:val="Hyperlink"/>
                <w:noProof/>
              </w:rPr>
              <w:t>Compliance with the Commission’s Prudent Manager Standard During the Record Period</w:t>
            </w:r>
            <w:r>
              <w:rPr>
                <w:noProof/>
                <w:webHidden/>
              </w:rPr>
              <w:tab/>
            </w:r>
            <w:r>
              <w:rPr>
                <w:noProof/>
                <w:webHidden/>
              </w:rPr>
              <w:fldChar w:fldCharType="begin"/>
            </w:r>
            <w:r>
              <w:rPr>
                <w:noProof/>
                <w:webHidden/>
              </w:rPr>
              <w:instrText xml:space="preserve"> PAGEREF _Toc233277295 \h </w:instrText>
            </w:r>
            <w:r>
              <w:rPr>
                <w:noProof/>
                <w:webHidden/>
              </w:rPr>
            </w:r>
            <w:r>
              <w:rPr>
                <w:noProof/>
                <w:webHidden/>
              </w:rPr>
              <w:fldChar w:fldCharType="separate"/>
            </w:r>
            <w:r w:rsidR="0043226B">
              <w:rPr>
                <w:noProof/>
                <w:webHidden/>
              </w:rPr>
              <w:t>34</w:t>
            </w:r>
            <w:r>
              <w:rPr>
                <w:noProof/>
                <w:webHidden/>
              </w:rPr>
              <w:fldChar w:fldCharType="end"/>
            </w:r>
          </w:hyperlink>
        </w:p>
        <w:p w:rsidR="001542DB" w:rsidRDefault="001542DB" w14:paraId="3360086D" w14:textId="73A58CB8">
          <w:pPr>
            <w:pStyle w:val="TOC1"/>
            <w:tabs>
              <w:tab w:val="right" w:leader="dot" w:pos="9350"/>
            </w:tabs>
            <w:rPr>
              <w:rFonts w:asciiTheme="minorHAnsi" w:hAnsiTheme="minorHAnsi" w:cstheme="minorBidi"/>
              <w:noProof/>
              <w:kern w:val="2"/>
              <w:sz w:val="24"/>
              <w:szCs w:val="24"/>
              <w14:ligatures w14:val="standardContextual"/>
            </w:rPr>
          </w:pPr>
          <w:hyperlink w:history="1" w:anchor="_Toc233277296">
            <w:r w:rsidRPr="009D37D6">
              <w:rPr>
                <w:rStyle w:val="Hyperlink"/>
                <w:noProof/>
              </w:rPr>
              <w:t>7.</w:t>
            </w:r>
            <w:r>
              <w:rPr>
                <w:rFonts w:asciiTheme="minorHAnsi" w:hAnsiTheme="minorHAnsi" w:cstheme="minorBidi"/>
                <w:noProof/>
                <w:kern w:val="2"/>
                <w:sz w:val="24"/>
                <w:szCs w:val="24"/>
                <w14:ligatures w14:val="standardContextual"/>
              </w:rPr>
              <w:tab/>
            </w:r>
            <w:r w:rsidRPr="009D37D6">
              <w:rPr>
                <w:rStyle w:val="Hyperlink"/>
                <w:noProof/>
              </w:rPr>
              <w:t>Summary of Public Comment</w:t>
            </w:r>
            <w:r>
              <w:rPr>
                <w:noProof/>
                <w:webHidden/>
              </w:rPr>
              <w:tab/>
            </w:r>
            <w:r>
              <w:rPr>
                <w:noProof/>
                <w:webHidden/>
              </w:rPr>
              <w:fldChar w:fldCharType="begin"/>
            </w:r>
            <w:r>
              <w:rPr>
                <w:noProof/>
                <w:webHidden/>
              </w:rPr>
              <w:instrText xml:space="preserve"> PAGEREF _Toc233277296 \h </w:instrText>
            </w:r>
            <w:r>
              <w:rPr>
                <w:noProof/>
                <w:webHidden/>
              </w:rPr>
            </w:r>
            <w:r>
              <w:rPr>
                <w:noProof/>
                <w:webHidden/>
              </w:rPr>
              <w:fldChar w:fldCharType="separate"/>
            </w:r>
            <w:r w:rsidR="0043226B">
              <w:rPr>
                <w:noProof/>
                <w:webHidden/>
              </w:rPr>
              <w:t>36</w:t>
            </w:r>
            <w:r>
              <w:rPr>
                <w:noProof/>
                <w:webHidden/>
              </w:rPr>
              <w:fldChar w:fldCharType="end"/>
            </w:r>
          </w:hyperlink>
        </w:p>
        <w:p w:rsidR="001542DB" w:rsidRDefault="001542DB" w14:paraId="06300229" w14:textId="041D4458">
          <w:pPr>
            <w:pStyle w:val="TOC1"/>
            <w:tabs>
              <w:tab w:val="right" w:leader="dot" w:pos="9350"/>
            </w:tabs>
            <w:rPr>
              <w:rFonts w:asciiTheme="minorHAnsi" w:hAnsiTheme="minorHAnsi" w:cstheme="minorBidi"/>
              <w:noProof/>
              <w:kern w:val="2"/>
              <w:sz w:val="24"/>
              <w:szCs w:val="24"/>
              <w14:ligatures w14:val="standardContextual"/>
            </w:rPr>
          </w:pPr>
          <w:hyperlink w:history="1" w:anchor="_Toc233277297">
            <w:r w:rsidRPr="009D37D6">
              <w:rPr>
                <w:rStyle w:val="Hyperlink"/>
                <w:noProof/>
              </w:rPr>
              <w:t>8.</w:t>
            </w:r>
            <w:r>
              <w:rPr>
                <w:rFonts w:asciiTheme="minorHAnsi" w:hAnsiTheme="minorHAnsi" w:cstheme="minorBidi"/>
                <w:noProof/>
                <w:kern w:val="2"/>
                <w:sz w:val="24"/>
                <w:szCs w:val="24"/>
                <w14:ligatures w14:val="standardContextual"/>
              </w:rPr>
              <w:tab/>
            </w:r>
            <w:r w:rsidRPr="009D37D6">
              <w:rPr>
                <w:rStyle w:val="Hyperlink"/>
                <w:noProof/>
              </w:rPr>
              <w:t>Conclusion</w:t>
            </w:r>
            <w:r>
              <w:rPr>
                <w:noProof/>
                <w:webHidden/>
              </w:rPr>
              <w:tab/>
            </w:r>
            <w:r>
              <w:rPr>
                <w:noProof/>
                <w:webHidden/>
              </w:rPr>
              <w:fldChar w:fldCharType="begin"/>
            </w:r>
            <w:r>
              <w:rPr>
                <w:noProof/>
                <w:webHidden/>
              </w:rPr>
              <w:instrText xml:space="preserve"> PAGEREF _Toc233277297 \h </w:instrText>
            </w:r>
            <w:r>
              <w:rPr>
                <w:noProof/>
                <w:webHidden/>
              </w:rPr>
            </w:r>
            <w:r>
              <w:rPr>
                <w:noProof/>
                <w:webHidden/>
              </w:rPr>
              <w:fldChar w:fldCharType="separate"/>
            </w:r>
            <w:r w:rsidR="0043226B">
              <w:rPr>
                <w:noProof/>
                <w:webHidden/>
              </w:rPr>
              <w:t>36</w:t>
            </w:r>
            <w:r>
              <w:rPr>
                <w:noProof/>
                <w:webHidden/>
              </w:rPr>
              <w:fldChar w:fldCharType="end"/>
            </w:r>
          </w:hyperlink>
        </w:p>
        <w:p w:rsidR="001542DB" w:rsidRDefault="001542DB" w14:paraId="7ACF9A16" w14:textId="4F1C24C5">
          <w:pPr>
            <w:pStyle w:val="TOC1"/>
            <w:tabs>
              <w:tab w:val="right" w:leader="dot" w:pos="9350"/>
            </w:tabs>
            <w:rPr>
              <w:rFonts w:asciiTheme="minorHAnsi" w:hAnsiTheme="minorHAnsi" w:cstheme="minorBidi"/>
              <w:noProof/>
              <w:kern w:val="2"/>
              <w:sz w:val="24"/>
              <w:szCs w:val="24"/>
              <w14:ligatures w14:val="standardContextual"/>
            </w:rPr>
          </w:pPr>
          <w:hyperlink w:history="1" w:anchor="_Toc233277298">
            <w:r w:rsidRPr="009D37D6">
              <w:rPr>
                <w:rStyle w:val="Hyperlink"/>
                <w:noProof/>
              </w:rPr>
              <w:t>9.</w:t>
            </w:r>
            <w:r>
              <w:rPr>
                <w:rFonts w:asciiTheme="minorHAnsi" w:hAnsiTheme="minorHAnsi" w:cstheme="minorBidi"/>
                <w:noProof/>
                <w:kern w:val="2"/>
                <w:sz w:val="24"/>
                <w:szCs w:val="24"/>
                <w14:ligatures w14:val="standardContextual"/>
              </w:rPr>
              <w:tab/>
            </w:r>
            <w:r w:rsidRPr="009D37D6">
              <w:rPr>
                <w:rStyle w:val="Hyperlink"/>
                <w:noProof/>
              </w:rPr>
              <w:t>Procedural Matters</w:t>
            </w:r>
            <w:r>
              <w:rPr>
                <w:noProof/>
                <w:webHidden/>
              </w:rPr>
              <w:tab/>
            </w:r>
            <w:r>
              <w:rPr>
                <w:noProof/>
                <w:webHidden/>
              </w:rPr>
              <w:fldChar w:fldCharType="begin"/>
            </w:r>
            <w:r>
              <w:rPr>
                <w:noProof/>
                <w:webHidden/>
              </w:rPr>
              <w:instrText xml:space="preserve"> PAGEREF _Toc233277298 \h </w:instrText>
            </w:r>
            <w:r>
              <w:rPr>
                <w:noProof/>
                <w:webHidden/>
              </w:rPr>
            </w:r>
            <w:r>
              <w:rPr>
                <w:noProof/>
                <w:webHidden/>
              </w:rPr>
              <w:fldChar w:fldCharType="separate"/>
            </w:r>
            <w:r w:rsidR="0043226B">
              <w:rPr>
                <w:noProof/>
                <w:webHidden/>
              </w:rPr>
              <w:t>37</w:t>
            </w:r>
            <w:r>
              <w:rPr>
                <w:noProof/>
                <w:webHidden/>
              </w:rPr>
              <w:fldChar w:fldCharType="end"/>
            </w:r>
          </w:hyperlink>
        </w:p>
        <w:p w:rsidR="001542DB" w:rsidRDefault="001542DB" w14:paraId="09572ADE" w14:textId="467DEA0D">
          <w:pPr>
            <w:pStyle w:val="TOC1"/>
            <w:tabs>
              <w:tab w:val="right" w:leader="dot" w:pos="9350"/>
            </w:tabs>
            <w:rPr>
              <w:rFonts w:asciiTheme="minorHAnsi" w:hAnsiTheme="minorHAnsi" w:cstheme="minorBidi"/>
              <w:noProof/>
              <w:kern w:val="2"/>
              <w:sz w:val="24"/>
              <w:szCs w:val="24"/>
              <w14:ligatures w14:val="standardContextual"/>
            </w:rPr>
          </w:pPr>
          <w:hyperlink w:history="1" w:anchor="_Toc233277299">
            <w:r w:rsidRPr="009D37D6">
              <w:rPr>
                <w:rStyle w:val="Hyperlink"/>
                <w:noProof/>
              </w:rPr>
              <w:t>10.</w:t>
            </w:r>
            <w:r>
              <w:rPr>
                <w:rFonts w:asciiTheme="minorHAnsi" w:hAnsiTheme="minorHAnsi" w:cstheme="minorBidi"/>
                <w:noProof/>
                <w:kern w:val="2"/>
                <w:sz w:val="24"/>
                <w:szCs w:val="24"/>
                <w14:ligatures w14:val="standardContextual"/>
              </w:rPr>
              <w:tab/>
            </w:r>
            <w:r w:rsidRPr="009D37D6">
              <w:rPr>
                <w:rStyle w:val="Hyperlink"/>
                <w:noProof/>
              </w:rPr>
              <w:t>Comments on the Proposed Decision</w:t>
            </w:r>
            <w:r>
              <w:rPr>
                <w:noProof/>
                <w:webHidden/>
              </w:rPr>
              <w:tab/>
            </w:r>
            <w:r>
              <w:rPr>
                <w:noProof/>
                <w:webHidden/>
              </w:rPr>
              <w:fldChar w:fldCharType="begin"/>
            </w:r>
            <w:r>
              <w:rPr>
                <w:noProof/>
                <w:webHidden/>
              </w:rPr>
              <w:instrText xml:space="preserve"> PAGEREF _Toc233277299 \h </w:instrText>
            </w:r>
            <w:r>
              <w:rPr>
                <w:noProof/>
                <w:webHidden/>
              </w:rPr>
            </w:r>
            <w:r>
              <w:rPr>
                <w:noProof/>
                <w:webHidden/>
              </w:rPr>
              <w:fldChar w:fldCharType="separate"/>
            </w:r>
            <w:r w:rsidR="0043226B">
              <w:rPr>
                <w:noProof/>
                <w:webHidden/>
              </w:rPr>
              <w:t>37</w:t>
            </w:r>
            <w:r>
              <w:rPr>
                <w:noProof/>
                <w:webHidden/>
              </w:rPr>
              <w:fldChar w:fldCharType="end"/>
            </w:r>
          </w:hyperlink>
        </w:p>
        <w:p w:rsidR="001542DB" w:rsidRDefault="001542DB" w14:paraId="70143746" w14:textId="34A50BB7">
          <w:pPr>
            <w:pStyle w:val="TOC1"/>
            <w:tabs>
              <w:tab w:val="right" w:leader="dot" w:pos="9350"/>
            </w:tabs>
            <w:rPr>
              <w:rFonts w:asciiTheme="minorHAnsi" w:hAnsiTheme="minorHAnsi" w:cstheme="minorBidi"/>
              <w:noProof/>
              <w:kern w:val="2"/>
              <w:sz w:val="24"/>
              <w:szCs w:val="24"/>
              <w14:ligatures w14:val="standardContextual"/>
            </w:rPr>
          </w:pPr>
          <w:hyperlink w:history="1" w:anchor="_Toc233277300">
            <w:r w:rsidRPr="009D37D6">
              <w:rPr>
                <w:rStyle w:val="Hyperlink"/>
                <w:noProof/>
              </w:rPr>
              <w:t>11.</w:t>
            </w:r>
            <w:r>
              <w:rPr>
                <w:rFonts w:asciiTheme="minorHAnsi" w:hAnsiTheme="minorHAnsi" w:cstheme="minorBidi"/>
                <w:noProof/>
                <w:kern w:val="2"/>
                <w:sz w:val="24"/>
                <w:szCs w:val="24"/>
                <w14:ligatures w14:val="standardContextual"/>
              </w:rPr>
              <w:tab/>
            </w:r>
            <w:r w:rsidRPr="009D37D6">
              <w:rPr>
                <w:rStyle w:val="Hyperlink"/>
                <w:noProof/>
              </w:rPr>
              <w:t>Assignment of Proceeding</w:t>
            </w:r>
            <w:r>
              <w:rPr>
                <w:noProof/>
                <w:webHidden/>
              </w:rPr>
              <w:tab/>
            </w:r>
            <w:r>
              <w:rPr>
                <w:noProof/>
                <w:webHidden/>
              </w:rPr>
              <w:fldChar w:fldCharType="begin"/>
            </w:r>
            <w:r>
              <w:rPr>
                <w:noProof/>
                <w:webHidden/>
              </w:rPr>
              <w:instrText xml:space="preserve"> PAGEREF _Toc233277300 \h </w:instrText>
            </w:r>
            <w:r>
              <w:rPr>
                <w:noProof/>
                <w:webHidden/>
              </w:rPr>
            </w:r>
            <w:r>
              <w:rPr>
                <w:noProof/>
                <w:webHidden/>
              </w:rPr>
              <w:fldChar w:fldCharType="separate"/>
            </w:r>
            <w:r w:rsidR="0043226B">
              <w:rPr>
                <w:noProof/>
                <w:webHidden/>
              </w:rPr>
              <w:t>37</w:t>
            </w:r>
            <w:r>
              <w:rPr>
                <w:noProof/>
                <w:webHidden/>
              </w:rPr>
              <w:fldChar w:fldCharType="end"/>
            </w:r>
          </w:hyperlink>
        </w:p>
        <w:p w:rsidR="001542DB" w:rsidRDefault="001542DB" w14:paraId="52997436" w14:textId="761BE072">
          <w:pPr>
            <w:pStyle w:val="TOC1"/>
            <w:tabs>
              <w:tab w:val="right" w:leader="dot" w:pos="9350"/>
            </w:tabs>
            <w:rPr>
              <w:rFonts w:asciiTheme="minorHAnsi" w:hAnsiTheme="minorHAnsi" w:cstheme="minorBidi"/>
              <w:noProof/>
              <w:kern w:val="2"/>
              <w:sz w:val="24"/>
              <w:szCs w:val="24"/>
              <w14:ligatures w14:val="standardContextual"/>
            </w:rPr>
          </w:pPr>
          <w:hyperlink w:history="1" w:anchor="_Toc233277301">
            <w:r w:rsidRPr="009D37D6">
              <w:rPr>
                <w:rStyle w:val="Hyperlink"/>
                <w:noProof/>
              </w:rPr>
              <w:t>Findings of Fact</w:t>
            </w:r>
            <w:r>
              <w:rPr>
                <w:noProof/>
                <w:webHidden/>
              </w:rPr>
              <w:tab/>
            </w:r>
            <w:r>
              <w:rPr>
                <w:noProof/>
                <w:webHidden/>
              </w:rPr>
              <w:fldChar w:fldCharType="begin"/>
            </w:r>
            <w:r>
              <w:rPr>
                <w:noProof/>
                <w:webHidden/>
              </w:rPr>
              <w:instrText xml:space="preserve"> PAGEREF _Toc233277301 \h </w:instrText>
            </w:r>
            <w:r>
              <w:rPr>
                <w:noProof/>
                <w:webHidden/>
              </w:rPr>
            </w:r>
            <w:r>
              <w:rPr>
                <w:noProof/>
                <w:webHidden/>
              </w:rPr>
              <w:fldChar w:fldCharType="separate"/>
            </w:r>
            <w:r w:rsidR="0043226B">
              <w:rPr>
                <w:noProof/>
                <w:webHidden/>
              </w:rPr>
              <w:t>37</w:t>
            </w:r>
            <w:r>
              <w:rPr>
                <w:noProof/>
                <w:webHidden/>
              </w:rPr>
              <w:fldChar w:fldCharType="end"/>
            </w:r>
          </w:hyperlink>
        </w:p>
        <w:p w:rsidR="001542DB" w:rsidRDefault="001542DB" w14:paraId="640C1827" w14:textId="0E3B377B">
          <w:pPr>
            <w:pStyle w:val="TOC1"/>
            <w:tabs>
              <w:tab w:val="right" w:leader="dot" w:pos="9350"/>
            </w:tabs>
            <w:rPr>
              <w:rFonts w:asciiTheme="minorHAnsi" w:hAnsiTheme="minorHAnsi" w:cstheme="minorBidi"/>
              <w:noProof/>
              <w:kern w:val="2"/>
              <w:sz w:val="24"/>
              <w:szCs w:val="24"/>
              <w14:ligatures w14:val="standardContextual"/>
            </w:rPr>
          </w:pPr>
          <w:hyperlink w:history="1" w:anchor="_Toc233277302">
            <w:r w:rsidRPr="009D37D6">
              <w:rPr>
                <w:rStyle w:val="Hyperlink"/>
                <w:noProof/>
              </w:rPr>
              <w:t>Conclusions of Law</w:t>
            </w:r>
            <w:r>
              <w:rPr>
                <w:noProof/>
                <w:webHidden/>
              </w:rPr>
              <w:tab/>
            </w:r>
            <w:r>
              <w:rPr>
                <w:noProof/>
                <w:webHidden/>
              </w:rPr>
              <w:fldChar w:fldCharType="begin"/>
            </w:r>
            <w:r>
              <w:rPr>
                <w:noProof/>
                <w:webHidden/>
              </w:rPr>
              <w:instrText xml:space="preserve"> PAGEREF _Toc233277302 \h </w:instrText>
            </w:r>
            <w:r>
              <w:rPr>
                <w:noProof/>
                <w:webHidden/>
              </w:rPr>
            </w:r>
            <w:r>
              <w:rPr>
                <w:noProof/>
                <w:webHidden/>
              </w:rPr>
              <w:fldChar w:fldCharType="separate"/>
            </w:r>
            <w:r w:rsidR="0043226B">
              <w:rPr>
                <w:noProof/>
                <w:webHidden/>
              </w:rPr>
              <w:t>41</w:t>
            </w:r>
            <w:r>
              <w:rPr>
                <w:noProof/>
                <w:webHidden/>
              </w:rPr>
              <w:fldChar w:fldCharType="end"/>
            </w:r>
          </w:hyperlink>
        </w:p>
        <w:p w:rsidR="001542DB" w:rsidRDefault="001542DB" w14:paraId="3F077685" w14:textId="4B4D495E">
          <w:pPr>
            <w:pStyle w:val="TOC1"/>
            <w:tabs>
              <w:tab w:val="right" w:leader="dot" w:pos="9350"/>
            </w:tabs>
            <w:rPr>
              <w:rFonts w:asciiTheme="minorHAnsi" w:hAnsiTheme="minorHAnsi" w:cstheme="minorBidi"/>
              <w:noProof/>
              <w:kern w:val="2"/>
              <w:sz w:val="24"/>
              <w:szCs w:val="24"/>
              <w14:ligatures w14:val="standardContextual"/>
            </w:rPr>
          </w:pPr>
          <w:hyperlink w:history="1" w:anchor="_Toc233277303">
            <w:r w:rsidRPr="009D37D6">
              <w:rPr>
                <w:rStyle w:val="Hyperlink"/>
                <w:noProof/>
              </w:rPr>
              <w:t>ORDER</w:t>
            </w:r>
            <w:r>
              <w:rPr>
                <w:noProof/>
                <w:webHidden/>
              </w:rPr>
              <w:tab/>
            </w:r>
            <w:r>
              <w:rPr>
                <w:noProof/>
                <w:webHidden/>
              </w:rPr>
              <w:fldChar w:fldCharType="begin"/>
            </w:r>
            <w:r>
              <w:rPr>
                <w:noProof/>
                <w:webHidden/>
              </w:rPr>
              <w:instrText xml:space="preserve"> PAGEREF _Toc233277303 \h </w:instrText>
            </w:r>
            <w:r>
              <w:rPr>
                <w:noProof/>
                <w:webHidden/>
              </w:rPr>
            </w:r>
            <w:r>
              <w:rPr>
                <w:noProof/>
                <w:webHidden/>
              </w:rPr>
              <w:fldChar w:fldCharType="separate"/>
            </w:r>
            <w:r w:rsidR="0043226B">
              <w:rPr>
                <w:noProof/>
                <w:webHidden/>
              </w:rPr>
              <w:t>43</w:t>
            </w:r>
            <w:r>
              <w:rPr>
                <w:noProof/>
                <w:webHidden/>
              </w:rPr>
              <w:fldChar w:fldCharType="end"/>
            </w:r>
          </w:hyperlink>
        </w:p>
        <w:p w:rsidR="00D82A43" w:rsidP="008C7413" w:rsidRDefault="008C7413" w14:paraId="4675D584" w14:textId="1C5AAACE">
          <w:pPr>
            <w:pStyle w:val="TOC1"/>
            <w:tabs>
              <w:tab w:val="right" w:leader="dot" w:pos="9350"/>
            </w:tabs>
          </w:pPr>
          <w:r>
            <w:rPr>
              <w:rFonts w:asciiTheme="minorHAnsi" w:hAnsiTheme="minorHAnsi"/>
              <w:sz w:val="22"/>
            </w:rPr>
            <w:fldChar w:fldCharType="end"/>
          </w:r>
        </w:p>
      </w:sdtContent>
    </w:sdt>
    <w:p w:rsidR="00A30FF1" w:rsidP="005A148C" w:rsidRDefault="00A30FF1" w14:paraId="4D2BEE09" w14:textId="77777777">
      <w:pPr>
        <w:pStyle w:val="Dummy"/>
      </w:pPr>
      <w:bookmarkStart w:name="_Toc8123714" w:id="2"/>
    </w:p>
    <w:p w:rsidR="00FC43AF" w:rsidP="00A30FF1" w:rsidRDefault="00FC43AF" w14:paraId="47CE48EE" w14:textId="77777777">
      <w:pPr>
        <w:sectPr w:rsidR="00FC43AF" w:rsidSect="00FC43AF">
          <w:headerReference w:type="default" r:id="rId15"/>
          <w:footerReference w:type="default" r:id="rId16"/>
          <w:headerReference w:type="first" r:id="rId17"/>
          <w:footerReference w:type="first" r:id="rId18"/>
          <w:pgSz w:w="12240" w:h="15840"/>
          <w:pgMar w:top="1440" w:right="1440" w:bottom="1440" w:left="1440" w:header="720" w:footer="720" w:gutter="0"/>
          <w:pgNumType w:fmt="lowerRoman" w:start="1"/>
          <w:cols w:space="720"/>
          <w:titlePg/>
          <w:docGrid w:linePitch="360"/>
        </w:sectPr>
      </w:pPr>
    </w:p>
    <w:p w:rsidR="00A30FF1" w:rsidP="00FC43AF" w:rsidRDefault="00A30FF1" w14:paraId="4A4158C0" w14:textId="41CD446C">
      <w:pPr>
        <w:pStyle w:val="Dummy"/>
        <w:jc w:val="center"/>
      </w:pPr>
      <w:bookmarkStart w:name="_Toc230004010" w:id="3"/>
      <w:bookmarkStart w:name="_Toc231474338" w:id="4"/>
      <w:bookmarkStart w:name="_Toc231474377" w:id="5"/>
      <w:bookmarkStart w:name="_Toc233277277" w:id="6"/>
      <w:r>
        <w:lastRenderedPageBreak/>
        <w:t xml:space="preserve">DECISION APPROVING THE APPLICATION OF CENTRAL COAST COMMUNITY ENERGY FOR COMPLIANCE REVIEW OF ITS ADMINISTRATION OF THE BIOENERGY MARKET ADJUSTING </w:t>
      </w:r>
      <w:r w:rsidR="00E43D8D">
        <w:br/>
      </w:r>
      <w:r>
        <w:t xml:space="preserve">TARIFF PROGRAM FOR THE PERIOD SEPTEMBER 1, </w:t>
      </w:r>
      <w:proofErr w:type="gramStart"/>
      <w:r>
        <w:t>2024</w:t>
      </w:r>
      <w:proofErr w:type="gramEnd"/>
      <w:r>
        <w:t xml:space="preserve"> </w:t>
      </w:r>
      <w:r w:rsidR="00E43D8D">
        <w:br/>
      </w:r>
      <w:r>
        <w:t>THROUGH SEPTEMBER</w:t>
      </w:r>
      <w:r w:rsidR="00FC43AF">
        <w:t> </w:t>
      </w:r>
      <w:r>
        <w:t>1, 2025</w:t>
      </w:r>
      <w:bookmarkEnd w:id="3"/>
      <w:bookmarkEnd w:id="4"/>
      <w:bookmarkEnd w:id="5"/>
      <w:bookmarkEnd w:id="6"/>
    </w:p>
    <w:p w:rsidR="005A148C" w:rsidP="005A148C" w:rsidRDefault="005A148C" w14:paraId="38022698" w14:textId="05207BFD">
      <w:pPr>
        <w:pStyle w:val="Dummy"/>
      </w:pPr>
      <w:bookmarkStart w:name="_Toc233277278" w:id="7"/>
      <w:r>
        <w:t>Summary</w:t>
      </w:r>
      <w:bookmarkEnd w:id="2"/>
      <w:bookmarkEnd w:id="7"/>
    </w:p>
    <w:p w:rsidR="00ED6F82" w:rsidP="0011256C" w:rsidRDefault="004F1B11" w14:paraId="1D902C36" w14:textId="3B926281">
      <w:pPr>
        <w:pStyle w:val="Standard"/>
      </w:pPr>
      <w:r>
        <w:t xml:space="preserve">This decision approves the </w:t>
      </w:r>
      <w:r w:rsidR="001A1D6B">
        <w:t>Central Coast Community Energy</w:t>
      </w:r>
      <w:r>
        <w:t>’s</w:t>
      </w:r>
      <w:r w:rsidR="008D7063">
        <w:t xml:space="preserve"> </w:t>
      </w:r>
      <w:r w:rsidRPr="00CA67FE">
        <w:t>administration of the Bioenergy Market Adjusting Tariff program</w:t>
      </w:r>
      <w:r>
        <w:t xml:space="preserve"> for </w:t>
      </w:r>
      <w:r w:rsidRPr="00CA67FE">
        <w:t>operations</w:t>
      </w:r>
      <w:r>
        <w:t xml:space="preserve"> conducted between</w:t>
      </w:r>
      <w:r w:rsidRPr="00CA67FE">
        <w:t xml:space="preserve"> September 1, </w:t>
      </w:r>
      <w:proofErr w:type="gramStart"/>
      <w:r w:rsidRPr="00CA67FE">
        <w:t>2024</w:t>
      </w:r>
      <w:proofErr w:type="gramEnd"/>
      <w:r w:rsidRPr="00CA67FE">
        <w:t xml:space="preserve"> through September 1, 2025.</w:t>
      </w:r>
      <w:r>
        <w:rPr>
          <w:rStyle w:val="FootnoteReference"/>
        </w:rPr>
        <w:footnoteReference w:id="2"/>
      </w:r>
      <w:r>
        <w:t xml:space="preserve">  </w:t>
      </w:r>
      <w:r w:rsidR="00724E69">
        <w:t xml:space="preserve"> This </w:t>
      </w:r>
      <w:r>
        <w:t>proceeding is closed.</w:t>
      </w:r>
    </w:p>
    <w:p w:rsidR="00FE713A" w:rsidP="00FD0352" w:rsidRDefault="004F1B11" w14:paraId="709F862A" w14:textId="2BCFAB9F">
      <w:pPr>
        <w:pStyle w:val="Heading1"/>
      </w:pPr>
      <w:bookmarkStart w:name="_Toc233277279" w:id="8"/>
      <w:r>
        <w:t>Factual</w:t>
      </w:r>
      <w:r w:rsidRPr="008B5FF5" w:rsidR="00B47E70">
        <w:t xml:space="preserve"> Background</w:t>
      </w:r>
      <w:bookmarkEnd w:id="8"/>
    </w:p>
    <w:p w:rsidRPr="004F1B11" w:rsidR="004F1B11" w:rsidP="00FD0352" w:rsidRDefault="004F1B11" w14:paraId="642CD700" w14:textId="31054B7D">
      <w:pPr>
        <w:pStyle w:val="Heading2"/>
      </w:pPr>
      <w:bookmarkStart w:name="_Toc233277280" w:id="9"/>
      <w:r>
        <w:t xml:space="preserve">The </w:t>
      </w:r>
      <w:proofErr w:type="spellStart"/>
      <w:r>
        <w:t>BioMAT</w:t>
      </w:r>
      <w:proofErr w:type="spellEnd"/>
      <w:r>
        <w:t xml:space="preserve"> Program</w:t>
      </w:r>
      <w:bookmarkEnd w:id="9"/>
    </w:p>
    <w:p w:rsidR="00D32405" w:rsidP="006E6574" w:rsidRDefault="008A756B" w14:paraId="63D88B2F" w14:textId="785AF4C5">
      <w:pPr>
        <w:pStyle w:val="Standard"/>
      </w:pPr>
      <w:r w:rsidRPr="008A756B">
        <w:t>The</w:t>
      </w:r>
      <w:r w:rsidR="00467DF1">
        <w:t xml:space="preserve"> Bioenergy Market Adjusting Tariff </w:t>
      </w:r>
      <w:r w:rsidR="00BD3FA7">
        <w:t>(</w:t>
      </w:r>
      <w:proofErr w:type="spellStart"/>
      <w:r w:rsidRPr="008A756B">
        <w:t>BioMAT</w:t>
      </w:r>
      <w:proofErr w:type="spellEnd"/>
      <w:r w:rsidR="00BD3FA7">
        <w:t>)</w:t>
      </w:r>
      <w:r w:rsidRPr="008A756B">
        <w:t xml:space="preserve"> program is a feed-in tariff program for small bioenergy renewable generators, originally created by Senate Bill (SB) 1122 and implemented by the Commission in 2014 by the issuance of </w:t>
      </w:r>
      <w:r w:rsidR="00482AB2">
        <w:t>Decision (D</w:t>
      </w:r>
      <w:r w:rsidRPr="008A756B">
        <w:t>.</w:t>
      </w:r>
      <w:r w:rsidR="00482AB2">
        <w:t>)</w:t>
      </w:r>
      <w:r w:rsidRPr="008A756B">
        <w:t>14-12-081.</w:t>
      </w:r>
      <w:r>
        <w:rPr>
          <w:rStyle w:val="FootnoteReference"/>
        </w:rPr>
        <w:footnoteReference w:id="3"/>
      </w:r>
      <w:r w:rsidR="00381754">
        <w:t xml:space="preserve"> </w:t>
      </w:r>
      <w:r w:rsidRPr="00381754" w:rsidR="00381754">
        <w:t xml:space="preserve">The </w:t>
      </w:r>
      <w:proofErr w:type="spellStart"/>
      <w:r w:rsidRPr="00381754" w:rsidR="00381754">
        <w:t>BioMAT</w:t>
      </w:r>
      <w:proofErr w:type="spellEnd"/>
      <w:r w:rsidRPr="00381754" w:rsidR="00381754">
        <w:t xml:space="preserve"> program, as defined in Public Utilities Code Section</w:t>
      </w:r>
      <w:r w:rsidR="00463A75">
        <w:t xml:space="preserve"> (Section)</w:t>
      </w:r>
      <w:r w:rsidRPr="00381754" w:rsidR="00381754">
        <w:t xml:space="preserve"> 399.20, offers up to 250 megawatts (MW) to eligible projects through a fixed-price standard Power Purchase Agreement (PPA).</w:t>
      </w:r>
      <w:r w:rsidR="00D32405">
        <w:t xml:space="preserve"> </w:t>
      </w:r>
      <w:r w:rsidR="00463A75">
        <w:t xml:space="preserve"> Section 399.20 further provides that t</w:t>
      </w:r>
      <w:r w:rsidRPr="00D32405" w:rsidR="00D32405">
        <w:t xml:space="preserve">he 250 MW program capacity is allocated among the </w:t>
      </w:r>
      <w:r w:rsidR="0043226B">
        <w:t>I</w:t>
      </w:r>
      <w:r w:rsidRPr="00D32405" w:rsidR="00D32405">
        <w:t xml:space="preserve">nvestor-Owned Utilities (IOUs) and is further distributed among three fuel resource categories: </w:t>
      </w:r>
    </w:p>
    <w:p w:rsidR="00044024" w:rsidP="0062221B" w:rsidRDefault="00D32405" w14:paraId="788E83B3" w14:textId="46C4116F">
      <w:pPr>
        <w:pStyle w:val="Standard"/>
        <w:numPr>
          <w:ilvl w:val="0"/>
          <w:numId w:val="13"/>
        </w:numPr>
        <w:spacing w:after="120" w:line="240" w:lineRule="auto"/>
        <w:ind w:right="1440"/>
      </w:pPr>
      <w:r w:rsidRPr="00D32405">
        <w:t xml:space="preserve">110 MW of Category 1 Projects, sourced from biogas wastewater treatment, municipal organic waste diversion, food processing, and </w:t>
      </w:r>
      <w:proofErr w:type="spellStart"/>
      <w:r w:rsidRPr="00D32405">
        <w:t>codigestion</w:t>
      </w:r>
      <w:proofErr w:type="spellEnd"/>
      <w:r w:rsidRPr="00D32405">
        <w:t>;</w:t>
      </w:r>
    </w:p>
    <w:p w:rsidR="00044024" w:rsidP="0062221B" w:rsidRDefault="00D32405" w14:paraId="7BF15CF8" w14:textId="55BF4F33">
      <w:pPr>
        <w:pStyle w:val="Standard"/>
        <w:numPr>
          <w:ilvl w:val="0"/>
          <w:numId w:val="13"/>
        </w:numPr>
        <w:spacing w:after="120" w:line="240" w:lineRule="auto"/>
        <w:ind w:right="1440"/>
      </w:pPr>
      <w:r w:rsidRPr="00D32405">
        <w:lastRenderedPageBreak/>
        <w:t xml:space="preserve">90 MW of Category 2 Projects, sourced from dairy and other agricultural bioenergy; and </w:t>
      </w:r>
    </w:p>
    <w:p w:rsidR="008A756B" w:rsidP="0062221B" w:rsidRDefault="00D32405" w14:paraId="49FE69E3" w14:textId="1A484B9D">
      <w:pPr>
        <w:pStyle w:val="Standard"/>
        <w:numPr>
          <w:ilvl w:val="0"/>
          <w:numId w:val="13"/>
        </w:numPr>
        <w:spacing w:after="120" w:line="240" w:lineRule="auto"/>
        <w:ind w:right="1440"/>
      </w:pPr>
      <w:r w:rsidRPr="00D32405">
        <w:t xml:space="preserve">50 MW of Category 3 Projects, sourced from byproducts of sustainable forest management. </w:t>
      </w:r>
    </w:p>
    <w:p w:rsidR="00775995" w:rsidP="006E6574" w:rsidRDefault="00775995" w14:paraId="12C788B5" w14:textId="546D33E2">
      <w:pPr>
        <w:pStyle w:val="Standard"/>
      </w:pPr>
      <w:r w:rsidRPr="00775995">
        <w:t xml:space="preserve">Since the issuance of D.14-12-081, the </w:t>
      </w:r>
      <w:proofErr w:type="spellStart"/>
      <w:r w:rsidRPr="00775995">
        <w:t>BioMAT</w:t>
      </w:r>
      <w:proofErr w:type="spellEnd"/>
      <w:r w:rsidRPr="00775995">
        <w:t xml:space="preserve"> program has undergone several modifications.</w:t>
      </w:r>
      <w:r w:rsidR="002B3296">
        <w:t xml:space="preserve"> </w:t>
      </w:r>
      <w:r w:rsidRPr="00775995">
        <w:t xml:space="preserve">For example, </w:t>
      </w:r>
      <w:proofErr w:type="gramStart"/>
      <w:r w:rsidRPr="00775995">
        <w:t>in</w:t>
      </w:r>
      <w:proofErr w:type="gramEnd"/>
      <w:r w:rsidRPr="00775995">
        <w:t xml:space="preserve"> D.20-08-043, the Commission amended the </w:t>
      </w:r>
      <w:proofErr w:type="spellStart"/>
      <w:r w:rsidRPr="00775995">
        <w:t>BioMAT</w:t>
      </w:r>
      <w:proofErr w:type="spellEnd"/>
      <w:r w:rsidRPr="00775995">
        <w:t xml:space="preserve"> tariff and contract rules and prescribed </w:t>
      </w:r>
      <w:proofErr w:type="spellStart"/>
      <w:r w:rsidRPr="00775995">
        <w:t>BioMAT</w:t>
      </w:r>
      <w:proofErr w:type="spellEnd"/>
      <w:r w:rsidRPr="00775995">
        <w:t xml:space="preserve"> cost allocation and recovery requirements. The Commission also authorized </w:t>
      </w:r>
      <w:r w:rsidR="00CF6D9B">
        <w:t>I</w:t>
      </w:r>
      <w:r w:rsidRPr="00775995">
        <w:t xml:space="preserve">OU </w:t>
      </w:r>
      <w:proofErr w:type="spellStart"/>
      <w:r w:rsidRPr="00775995">
        <w:t>BioMAT</w:t>
      </w:r>
      <w:proofErr w:type="spellEnd"/>
      <w:r w:rsidRPr="00775995">
        <w:t xml:space="preserve"> procurement cost allocation through a non-</w:t>
      </w:r>
      <w:proofErr w:type="spellStart"/>
      <w:r w:rsidRPr="00775995">
        <w:t>bypassable</w:t>
      </w:r>
      <w:proofErr w:type="spellEnd"/>
      <w:r w:rsidRPr="00775995">
        <w:t xml:space="preserve"> charge (NBC) applicable to all customers in each IOU’s service territory, including </w:t>
      </w:r>
      <w:r w:rsidR="00901D84">
        <w:t>Community Choice Aggregator (</w:t>
      </w:r>
      <w:r w:rsidRPr="00775995">
        <w:t>CCA</w:t>
      </w:r>
      <w:r w:rsidR="00901D84">
        <w:t>)</w:t>
      </w:r>
      <w:r w:rsidRPr="00775995">
        <w:t xml:space="preserve"> customers, through the Public Purpose Program (PPP) rate.</w:t>
      </w:r>
      <w:r w:rsidR="008B6567">
        <w:rPr>
          <w:rStyle w:val="FootnoteReference"/>
        </w:rPr>
        <w:footnoteReference w:id="4"/>
      </w:r>
      <w:r w:rsidR="008B6567">
        <w:t xml:space="preserve">  </w:t>
      </w:r>
      <w:r w:rsidRPr="008B6567" w:rsidR="008B6567">
        <w:t xml:space="preserve">The decision also extended the </w:t>
      </w:r>
      <w:proofErr w:type="spellStart"/>
      <w:r w:rsidRPr="008B6567" w:rsidR="008B6567">
        <w:t>BioMAT</w:t>
      </w:r>
      <w:proofErr w:type="spellEnd"/>
      <w:r w:rsidRPr="008B6567" w:rsidR="008B6567">
        <w:t xml:space="preserve"> program end date to December 31, 2025.</w:t>
      </w:r>
      <w:r w:rsidR="008B6567">
        <w:rPr>
          <w:rStyle w:val="FootnoteReference"/>
        </w:rPr>
        <w:footnoteReference w:id="5"/>
      </w:r>
    </w:p>
    <w:p w:rsidR="00DB051B" w:rsidP="006E6574" w:rsidRDefault="004E554B" w14:paraId="75475633" w14:textId="081B13C2">
      <w:pPr>
        <w:pStyle w:val="Standard"/>
      </w:pPr>
      <w:r w:rsidRPr="004E554B">
        <w:t>Assembly Bill</w:t>
      </w:r>
      <w:r w:rsidR="0062221B">
        <w:t xml:space="preserve"> (AB)</w:t>
      </w:r>
      <w:r w:rsidRPr="004E554B">
        <w:t xml:space="preserve"> 843 (Aguiar), Stats. 2021, Chapter 234 was chaptered on September 21, </w:t>
      </w:r>
      <w:proofErr w:type="gramStart"/>
      <w:r w:rsidRPr="004E554B">
        <w:t>2021</w:t>
      </w:r>
      <w:proofErr w:type="gramEnd"/>
      <w:r w:rsidR="00276781">
        <w:t xml:space="preserve"> and was codified through amendments to </w:t>
      </w:r>
      <w:r w:rsidR="00724EEC">
        <w:t>Section 399.20</w:t>
      </w:r>
      <w:r w:rsidRPr="004E554B">
        <w:t xml:space="preserve">. </w:t>
      </w:r>
      <w:r w:rsidR="00901D84">
        <w:t xml:space="preserve"> </w:t>
      </w:r>
      <w:r w:rsidRPr="004E554B">
        <w:t>The bill authorize</w:t>
      </w:r>
      <w:r w:rsidR="003678C9">
        <w:t xml:space="preserve">d </w:t>
      </w:r>
      <w:r w:rsidRPr="004E554B">
        <w:t xml:space="preserve">CCAs to submit eligible bioenergy </w:t>
      </w:r>
      <w:proofErr w:type="gramStart"/>
      <w:r w:rsidR="00F035A5">
        <w:t xml:space="preserve">contracts </w:t>
      </w:r>
      <w:r w:rsidRPr="004E554B">
        <w:t xml:space="preserve"> for</w:t>
      </w:r>
      <w:proofErr w:type="gramEnd"/>
      <w:r w:rsidRPr="004E554B">
        <w:t xml:space="preserve"> cost recovery pursuant to the </w:t>
      </w:r>
      <w:proofErr w:type="spellStart"/>
      <w:r w:rsidRPr="004E554B">
        <w:t>BioMAT</w:t>
      </w:r>
      <w:proofErr w:type="spellEnd"/>
      <w:r w:rsidRPr="004E554B">
        <w:t xml:space="preserve"> program.</w:t>
      </w:r>
      <w:r w:rsidR="002B3296">
        <w:t xml:space="preserve"> </w:t>
      </w:r>
      <w:r w:rsidRPr="004E554B">
        <w:t xml:space="preserve">Under AB 843, CCAs were permitted to submit </w:t>
      </w:r>
      <w:r w:rsidR="00F035A5">
        <w:t xml:space="preserve">contracts </w:t>
      </w:r>
      <w:r w:rsidRPr="004E554B">
        <w:t xml:space="preserve">if unsubscribed capacity existed within the 250 MW </w:t>
      </w:r>
      <w:proofErr w:type="spellStart"/>
      <w:r w:rsidRPr="004E554B">
        <w:t>BioMAT</w:t>
      </w:r>
      <w:proofErr w:type="spellEnd"/>
      <w:r w:rsidRPr="004E554B">
        <w:t xml:space="preserve"> program capacity target.</w:t>
      </w:r>
      <w:r w:rsidR="002B3296">
        <w:t xml:space="preserve"> </w:t>
      </w:r>
      <w:r w:rsidRPr="004E554B">
        <w:t xml:space="preserve">In addition, AB 843 required that every kilowatt-hour (kWh) of electricity purchased from a CCA </w:t>
      </w:r>
      <w:r w:rsidRPr="00023A7B">
        <w:t xml:space="preserve">bioenergy </w:t>
      </w:r>
      <w:r w:rsidR="00F035A5">
        <w:t xml:space="preserve">contracted </w:t>
      </w:r>
      <w:r w:rsidRPr="00023A7B">
        <w:t xml:space="preserve">project count towards the CCA’s </w:t>
      </w:r>
      <w:r w:rsidRPr="00023A7B" w:rsidR="0062221B">
        <w:t>Renewables Portfolio Standard (</w:t>
      </w:r>
      <w:r w:rsidRPr="00023A7B">
        <w:t>RPS</w:t>
      </w:r>
      <w:r w:rsidRPr="00023A7B" w:rsidR="0062221B">
        <w:t>)</w:t>
      </w:r>
      <w:r w:rsidRPr="00023A7B">
        <w:t xml:space="preserve"> procurement</w:t>
      </w:r>
      <w:r w:rsidRPr="004E554B">
        <w:t xml:space="preserve"> requirements and the procurement requirements of the electrical corporation where a CCA provides service.</w:t>
      </w:r>
      <w:r w:rsidR="002B3296">
        <w:t xml:space="preserve">  </w:t>
      </w:r>
      <w:r w:rsidRPr="004E554B">
        <w:t xml:space="preserve">Likewise, the physical generating capacity of a CCA </w:t>
      </w:r>
      <w:r w:rsidR="003403BB">
        <w:t xml:space="preserve">contracted </w:t>
      </w:r>
      <w:proofErr w:type="spellStart"/>
      <w:r w:rsidRPr="004E554B">
        <w:t>BioMAT</w:t>
      </w:r>
      <w:proofErr w:type="spellEnd"/>
      <w:r w:rsidRPr="004E554B">
        <w:t xml:space="preserve"> project would count towards the CCA’s resource </w:t>
      </w:r>
      <w:r w:rsidRPr="004E554B">
        <w:lastRenderedPageBreak/>
        <w:t>adequacy (RA) requirements.</w:t>
      </w:r>
      <w:r w:rsidR="002B3296">
        <w:t xml:space="preserve"> </w:t>
      </w:r>
      <w:r w:rsidRPr="004E554B">
        <w:t xml:space="preserve">On October 22, 2023, the Commission issued </w:t>
      </w:r>
      <w:r w:rsidR="00644171">
        <w:t xml:space="preserve">Rulemaking </w:t>
      </w:r>
      <w:r w:rsidR="007A0A64">
        <w:t>(R.) 22-10-010</w:t>
      </w:r>
      <w:r w:rsidRPr="004E554B">
        <w:t xml:space="preserve"> to implement provisions of AB 843 and authorize CCAs to participate in the </w:t>
      </w:r>
      <w:proofErr w:type="spellStart"/>
      <w:r w:rsidRPr="004E554B">
        <w:t>BioMAT</w:t>
      </w:r>
      <w:proofErr w:type="spellEnd"/>
      <w:r w:rsidRPr="004E554B">
        <w:t xml:space="preserve"> program.</w:t>
      </w:r>
      <w:r>
        <w:rPr>
          <w:rStyle w:val="FootnoteReference"/>
        </w:rPr>
        <w:footnoteReference w:id="6"/>
      </w:r>
      <w:r w:rsidRPr="004E554B">
        <w:t xml:space="preserve">  </w:t>
      </w:r>
    </w:p>
    <w:p w:rsidR="00C82F34" w:rsidP="00512562" w:rsidRDefault="00C82F34" w14:paraId="630ED3A0" w14:textId="5F6AFE84">
      <w:pPr>
        <w:pStyle w:val="Standard"/>
      </w:pPr>
      <w:r w:rsidRPr="00C82F34">
        <w:t>As part of AB 843, the Legislature stated that “[t]he commission has ongoing review authority over any contracts of community choice aggregators submitted pursuant to this section consistent with its review of the contracts of electrical corporations entered into pursuant to this section.”</w:t>
      </w:r>
      <w:r w:rsidR="000735AA">
        <w:rPr>
          <w:rStyle w:val="FootnoteReference"/>
        </w:rPr>
        <w:footnoteReference w:id="7"/>
      </w:r>
    </w:p>
    <w:p w:rsidR="00710D18" w:rsidP="00512562" w:rsidRDefault="00E125B6" w14:paraId="59ADA348" w14:textId="11D19E7F">
      <w:pPr>
        <w:pStyle w:val="Standard"/>
      </w:pPr>
      <w:r>
        <w:t>Un</w:t>
      </w:r>
      <w:r w:rsidR="00F30EF2">
        <w:t xml:space="preserve">der </w:t>
      </w:r>
      <w:r>
        <w:t xml:space="preserve">the authority that </w:t>
      </w:r>
      <w:r w:rsidR="00F30EF2">
        <w:t>AB 843</w:t>
      </w:r>
      <w:r>
        <w:t xml:space="preserve"> granted the Commission, </w:t>
      </w:r>
      <w:r w:rsidR="00CF278C">
        <w:t xml:space="preserve">the Commission ordered that CCAs who wish to participate in the </w:t>
      </w:r>
      <w:proofErr w:type="spellStart"/>
      <w:r w:rsidR="00CF278C">
        <w:t>BioMAT</w:t>
      </w:r>
      <w:proofErr w:type="spellEnd"/>
      <w:r w:rsidR="00CF278C">
        <w:t xml:space="preserve"> program foll</w:t>
      </w:r>
      <w:r w:rsidR="00E257C9">
        <w:t xml:space="preserve">ow </w:t>
      </w:r>
      <w:proofErr w:type="gramStart"/>
      <w:r w:rsidR="00E257C9">
        <w:t>a number of</w:t>
      </w:r>
      <w:proofErr w:type="gramEnd"/>
      <w:r w:rsidR="00E257C9">
        <w:t xml:space="preserve"> requirements.</w:t>
      </w:r>
      <w:r w:rsidR="002B3296">
        <w:t xml:space="preserve"> </w:t>
      </w:r>
      <w:r w:rsidR="00E257C9">
        <w:t>Some of</w:t>
      </w:r>
      <w:r w:rsidR="00923897">
        <w:t xml:space="preserve"> the</w:t>
      </w:r>
      <w:r w:rsidR="00E257C9">
        <w:t xml:space="preserve"> key requirements are provided here.</w:t>
      </w:r>
      <w:r w:rsidR="00512562">
        <w:t xml:space="preserve">  First, t</w:t>
      </w:r>
      <w:r w:rsidR="00710D18">
        <w:t xml:space="preserve">he Commission </w:t>
      </w:r>
      <w:r w:rsidR="0000035E">
        <w:t>has ordered: “</w:t>
      </w:r>
      <w:r w:rsidRPr="00710D18" w:rsidR="00710D18">
        <w:t>Each</w:t>
      </w:r>
      <w:r w:rsidR="003D06CF">
        <w:t xml:space="preserve"> </w:t>
      </w:r>
      <w:r w:rsidRPr="00710D18" w:rsidR="00710D18">
        <w:t xml:space="preserve">(CCA) that elects to participate in Bioenergy Market Adjusting Tariff program shall file an application, to establish CCA compliance with the California Public Utilities Commission’s prudent manager standard for each calendar year, by September 1, </w:t>
      </w:r>
      <w:proofErr w:type="gramStart"/>
      <w:r w:rsidRPr="00710D18" w:rsidR="00710D18">
        <w:t>2024</w:t>
      </w:r>
      <w:proofErr w:type="gramEnd"/>
      <w:r w:rsidRPr="00710D18" w:rsidR="00710D18">
        <w:t xml:space="preserve"> and annually by September 1st thereafter.</w:t>
      </w:r>
      <w:r w:rsidR="00826038">
        <w:t>”</w:t>
      </w:r>
      <w:r w:rsidR="00A81D82">
        <w:rPr>
          <w:rStyle w:val="FootnoteReference"/>
        </w:rPr>
        <w:footnoteReference w:id="8"/>
      </w:r>
    </w:p>
    <w:p w:rsidR="00B44410" w:rsidP="00B44410" w:rsidRDefault="00512562" w14:paraId="55BBB843" w14:textId="31BA1746">
      <w:pPr>
        <w:pStyle w:val="Standard"/>
      </w:pPr>
      <w:r>
        <w:t xml:space="preserve">Second, </w:t>
      </w:r>
      <w:r w:rsidR="00B44410">
        <w:t>i</w:t>
      </w:r>
      <w:r w:rsidRPr="00331E9D" w:rsidR="00B44410">
        <w:t xml:space="preserve">n addition to satisfying the prudent manager standard, each CCA filing a compliance application under the </w:t>
      </w:r>
      <w:proofErr w:type="spellStart"/>
      <w:r w:rsidRPr="00331E9D" w:rsidR="00B44410">
        <w:t>BioMAT</w:t>
      </w:r>
      <w:proofErr w:type="spellEnd"/>
      <w:r w:rsidRPr="00331E9D" w:rsidR="00B44410">
        <w:t xml:space="preserve"> program is required “to demonstrate compliance with </w:t>
      </w:r>
      <w:proofErr w:type="spellStart"/>
      <w:r w:rsidRPr="00331E9D" w:rsidR="00B44410">
        <w:t>BioMAT</w:t>
      </w:r>
      <w:proofErr w:type="spellEnd"/>
      <w:r w:rsidRPr="00331E9D" w:rsidR="00B44410">
        <w:t xml:space="preserve"> requirements....”</w:t>
      </w:r>
      <w:r w:rsidR="00B44410">
        <w:rPr>
          <w:rStyle w:val="FootnoteReference"/>
        </w:rPr>
        <w:footnoteReference w:id="9"/>
      </w:r>
      <w:r w:rsidR="00B44410">
        <w:t xml:space="preserve"> </w:t>
      </w:r>
      <w:r w:rsidRPr="00B90FA6" w:rsidR="00B44410">
        <w:t xml:space="preserve">To accomplish this, the CCA is expected to present an evidentiary record that allows the Commission to “evaluate CCA compliance with a variety of </w:t>
      </w:r>
      <w:proofErr w:type="spellStart"/>
      <w:r w:rsidRPr="00B90FA6" w:rsidR="00B44410">
        <w:t>BioMAT</w:t>
      </w:r>
      <w:proofErr w:type="spellEnd"/>
      <w:r w:rsidRPr="00B90FA6" w:rsidR="00B44410">
        <w:t xml:space="preserve"> program elements, including but not limited to satisfaction of </w:t>
      </w:r>
      <w:proofErr w:type="spellStart"/>
      <w:r w:rsidRPr="00B90FA6" w:rsidR="00B44410">
        <w:t>BioMAT</w:t>
      </w:r>
      <w:proofErr w:type="spellEnd"/>
      <w:r w:rsidRPr="00B90FA6" w:rsidR="00B44410">
        <w:t xml:space="preserve"> tariff requirements…</w:t>
      </w:r>
      <w:r w:rsidR="00EB03FC">
        <w:t>.</w:t>
      </w:r>
      <w:r w:rsidRPr="00B90FA6" w:rsidR="00B44410">
        <w:t>”</w:t>
      </w:r>
      <w:r w:rsidR="00B44410">
        <w:rPr>
          <w:rStyle w:val="FootnoteReference"/>
        </w:rPr>
        <w:footnoteReference w:id="10"/>
      </w:r>
    </w:p>
    <w:p w:rsidR="00817D0C" w:rsidP="00817D0C" w:rsidRDefault="00B44410" w14:paraId="1C7F3E40" w14:textId="52B871DD">
      <w:pPr>
        <w:pStyle w:val="Standard"/>
      </w:pPr>
      <w:r>
        <w:lastRenderedPageBreak/>
        <w:t xml:space="preserve">Third, </w:t>
      </w:r>
      <w:r w:rsidR="00512562">
        <w:t>t</w:t>
      </w:r>
      <w:r w:rsidR="00817D0C">
        <w:t xml:space="preserve">he Commission </w:t>
      </w:r>
      <w:r w:rsidR="00A65D80">
        <w:t xml:space="preserve">has </w:t>
      </w:r>
      <w:r w:rsidR="00817D0C">
        <w:t xml:space="preserve">ordered CCAs that initially elect to participate in the </w:t>
      </w:r>
      <w:proofErr w:type="spellStart"/>
      <w:r w:rsidR="00817D0C">
        <w:t>BioMAT</w:t>
      </w:r>
      <w:proofErr w:type="spellEnd"/>
      <w:r w:rsidR="00817D0C">
        <w:t xml:space="preserve"> program develop </w:t>
      </w:r>
      <w:proofErr w:type="spellStart"/>
      <w:r w:rsidR="00817D0C">
        <w:t>BioMAT</w:t>
      </w:r>
      <w:proofErr w:type="spellEnd"/>
      <w:r w:rsidR="00817D0C">
        <w:t xml:space="preserve"> standard program documents including but not limited to program tariffs, power purchase agreement</w:t>
      </w:r>
      <w:r w:rsidR="00EB03FC">
        <w:t>s</w:t>
      </w:r>
      <w:r w:rsidR="00817D0C">
        <w:t>, program participation request forms, and non-</w:t>
      </w:r>
      <w:proofErr w:type="spellStart"/>
      <w:r w:rsidR="00817D0C">
        <w:t>bypassable</w:t>
      </w:r>
      <w:proofErr w:type="spellEnd"/>
      <w:r w:rsidR="00817D0C">
        <w:t xml:space="preserve"> charge rate schedules.</w:t>
      </w:r>
      <w:r w:rsidR="00817D0C">
        <w:rPr>
          <w:rStyle w:val="FootnoteReference"/>
        </w:rPr>
        <w:footnoteReference w:id="11"/>
      </w:r>
    </w:p>
    <w:p w:rsidR="002B5178" w:rsidP="00817D0C" w:rsidRDefault="00D757BE" w14:paraId="51E058CB" w14:textId="3447FB5D">
      <w:pPr>
        <w:pStyle w:val="Standard"/>
      </w:pPr>
      <w:r>
        <w:t xml:space="preserve">Fourth, the Commission ordered that each CCA that elects to participate in the </w:t>
      </w:r>
      <w:proofErr w:type="spellStart"/>
      <w:r>
        <w:t>BioMAT</w:t>
      </w:r>
      <w:proofErr w:type="spellEnd"/>
      <w:r>
        <w:t xml:space="preserve"> program shall submit a Tier 3 Advice </w:t>
      </w:r>
      <w:r w:rsidR="0043226B">
        <w:t>L</w:t>
      </w:r>
      <w:r>
        <w:t xml:space="preserve">etter </w:t>
      </w:r>
      <w:r w:rsidR="0043226B">
        <w:t>t</w:t>
      </w:r>
      <w:r>
        <w:t xml:space="preserve">hat seeks Commission approval of eligible </w:t>
      </w:r>
      <w:proofErr w:type="spellStart"/>
      <w:r>
        <w:t>BioMAT</w:t>
      </w:r>
      <w:proofErr w:type="spellEnd"/>
      <w:r>
        <w:t xml:space="preserve"> forecasted revenue requirements recorded in CCA balancing accounts that reflect </w:t>
      </w:r>
      <w:proofErr w:type="spellStart"/>
      <w:r>
        <w:t>BioMAT</w:t>
      </w:r>
      <w:proofErr w:type="spellEnd"/>
      <w:r>
        <w:t xml:space="preserve"> program net costs.</w:t>
      </w:r>
      <w:r>
        <w:rPr>
          <w:rStyle w:val="FootnoteReference"/>
        </w:rPr>
        <w:footnoteReference w:id="12"/>
      </w:r>
      <w:r>
        <w:t xml:space="preserve"> </w:t>
      </w:r>
    </w:p>
    <w:p w:rsidR="005877FB" w:rsidP="00AE5EDC" w:rsidRDefault="007B30CB" w14:paraId="10C5E782" w14:textId="1AEDFE15">
      <w:pPr>
        <w:pStyle w:val="Standard"/>
      </w:pPr>
      <w:r>
        <w:t>F</w:t>
      </w:r>
      <w:r w:rsidR="00D757BE">
        <w:t>ifth</w:t>
      </w:r>
      <w:r w:rsidR="00512562">
        <w:t xml:space="preserve">, </w:t>
      </w:r>
      <w:r w:rsidR="007D6C78">
        <w:t xml:space="preserve">the Commission ordered that CCAs shall submit a Joint CCA </w:t>
      </w:r>
      <w:proofErr w:type="spellStart"/>
      <w:r w:rsidR="00CA6FB9">
        <w:t>BioMAT</w:t>
      </w:r>
      <w:proofErr w:type="spellEnd"/>
      <w:r w:rsidR="00CA6FB9">
        <w:t xml:space="preserve"> Implementation Tier 2 </w:t>
      </w:r>
      <w:r w:rsidR="0043226B">
        <w:t>Advice Letter</w:t>
      </w:r>
      <w:r w:rsidR="00CA6FB9">
        <w:t xml:space="preserve"> to request Commission approval of standard CCA </w:t>
      </w:r>
      <w:proofErr w:type="spellStart"/>
      <w:r w:rsidR="00CA6FB9">
        <w:t>BioMAT</w:t>
      </w:r>
      <w:proofErr w:type="spellEnd"/>
      <w:r w:rsidR="00CA6FB9">
        <w:t xml:space="preserve"> program documentation, including tariffs, a power purchase agreement, program participation request forms, </w:t>
      </w:r>
      <w:proofErr w:type="spellStart"/>
      <w:r w:rsidR="00CA6FB9">
        <w:t>BioMAT</w:t>
      </w:r>
      <w:proofErr w:type="spellEnd"/>
      <w:r w:rsidR="00CA6FB9">
        <w:t xml:space="preserve"> program website and portal development contracts, independent third-party contracts, initial balancing account statements, and non-</w:t>
      </w:r>
      <w:proofErr w:type="spellStart"/>
      <w:r w:rsidR="00CA6FB9">
        <w:t>bypassable</w:t>
      </w:r>
      <w:proofErr w:type="spellEnd"/>
      <w:r w:rsidR="00CA6FB9">
        <w:t xml:space="preserve"> charge rate schedules</w:t>
      </w:r>
      <w:r w:rsidR="00F42F6A">
        <w:t xml:space="preserve"> within 60 days of the effective date of D.23-11-084.</w:t>
      </w:r>
      <w:r w:rsidR="00D93913">
        <w:rPr>
          <w:rStyle w:val="FootnoteReference"/>
        </w:rPr>
        <w:footnoteReference w:id="13"/>
      </w:r>
      <w:r w:rsidR="00B366BB">
        <w:t xml:space="preserve"> </w:t>
      </w:r>
      <w:r w:rsidR="00F42F6A">
        <w:t>T</w:t>
      </w:r>
      <w:r w:rsidR="00F3233F">
        <w:t xml:space="preserve">he Commission </w:t>
      </w:r>
      <w:r w:rsidR="007D6C78">
        <w:t xml:space="preserve">also </w:t>
      </w:r>
      <w:r w:rsidR="00F3233F">
        <w:t xml:space="preserve">ordered that </w:t>
      </w:r>
      <w:r w:rsidRPr="00F3233F" w:rsidR="00F3233F">
        <w:t xml:space="preserve">CCAs that elect to participate in the CCA </w:t>
      </w:r>
      <w:proofErr w:type="spellStart"/>
      <w:r w:rsidRPr="00F3233F" w:rsidR="00F3233F">
        <w:t>BioMAT</w:t>
      </w:r>
      <w:proofErr w:type="spellEnd"/>
      <w:r w:rsidRPr="00F3233F" w:rsidR="00F3233F">
        <w:t xml:space="preserve"> program after 60</w:t>
      </w:r>
      <w:r w:rsidR="00D1110A">
        <w:t> </w:t>
      </w:r>
      <w:r w:rsidRPr="00F3233F" w:rsidR="00F3233F">
        <w:t xml:space="preserve">days of the effective date of </w:t>
      </w:r>
      <w:r w:rsidR="00F3233F">
        <w:t>D.23-11-084</w:t>
      </w:r>
      <w:r w:rsidRPr="00F3233F" w:rsidR="00F3233F">
        <w:t xml:space="preserve"> </w:t>
      </w:r>
      <w:r w:rsidR="00FF25E5">
        <w:t>“</w:t>
      </w:r>
      <w:r w:rsidRPr="00F3233F" w:rsidR="00F3233F">
        <w:t xml:space="preserve">shall submit a CCA </w:t>
      </w:r>
      <w:proofErr w:type="spellStart"/>
      <w:r w:rsidRPr="00F3233F" w:rsidR="00F3233F">
        <w:t>BioMAT</w:t>
      </w:r>
      <w:proofErr w:type="spellEnd"/>
      <w:r w:rsidRPr="00F3233F" w:rsidR="00F3233F">
        <w:t xml:space="preserve"> Implementation Tier 2 advice with standard program documentation as required, and any needed independent third-party or vendor contract modifications, in the Joint CCA </w:t>
      </w:r>
      <w:proofErr w:type="spellStart"/>
      <w:r w:rsidRPr="00F3233F" w:rsidR="00F3233F">
        <w:t>BioMAT</w:t>
      </w:r>
      <w:proofErr w:type="spellEnd"/>
      <w:r w:rsidRPr="00F3233F" w:rsidR="00F3233F">
        <w:t xml:space="preserve"> Implementation Tier 2 </w:t>
      </w:r>
      <w:r w:rsidR="0043226B">
        <w:t>A</w:t>
      </w:r>
      <w:r w:rsidRPr="00F3233F" w:rsidR="00F3233F">
        <w:t xml:space="preserve">dvice </w:t>
      </w:r>
      <w:r w:rsidR="0043226B">
        <w:t>L</w:t>
      </w:r>
      <w:r w:rsidRPr="00F3233F" w:rsidR="00F3233F">
        <w:t>etter.</w:t>
      </w:r>
      <w:r w:rsidR="00FF25E5">
        <w:t>”</w:t>
      </w:r>
      <w:r w:rsidR="00FF25E5">
        <w:rPr>
          <w:rStyle w:val="FootnoteReference"/>
        </w:rPr>
        <w:footnoteReference w:id="14"/>
      </w:r>
      <w:r w:rsidR="00F42F6A">
        <w:t xml:space="preserve">  </w:t>
      </w:r>
    </w:p>
    <w:p w:rsidR="004F1B11" w:rsidP="00FD0352" w:rsidRDefault="00357989" w14:paraId="2DE8FF85" w14:textId="227B7ED1">
      <w:pPr>
        <w:pStyle w:val="Heading2"/>
      </w:pPr>
      <w:bookmarkStart w:name="_Toc233277281" w:id="10"/>
      <w:r>
        <w:lastRenderedPageBreak/>
        <w:t xml:space="preserve">3CE’s Participation in the </w:t>
      </w:r>
      <w:proofErr w:type="spellStart"/>
      <w:r>
        <w:t>BioMAT</w:t>
      </w:r>
      <w:proofErr w:type="spellEnd"/>
      <w:r w:rsidR="004F1B11">
        <w:t xml:space="preserve"> </w:t>
      </w:r>
      <w:r>
        <w:t>Program</w:t>
      </w:r>
      <w:bookmarkEnd w:id="10"/>
    </w:p>
    <w:p w:rsidR="00C90EBC" w:rsidP="00C90EBC" w:rsidRDefault="00C90EBC" w14:paraId="50DEDC88" w14:textId="66193396">
      <w:pPr>
        <w:pStyle w:val="Standard"/>
      </w:pPr>
      <w:r>
        <w:t xml:space="preserve">In compliance with </w:t>
      </w:r>
      <w:r w:rsidR="00EB03FC">
        <w:t xml:space="preserve">D.23-11-084 </w:t>
      </w:r>
      <w:r w:rsidRPr="002E0756" w:rsidR="00EB03FC">
        <w:t xml:space="preserve">OP </w:t>
      </w:r>
      <w:r w:rsidRPr="002E0756" w:rsidR="002E55F0">
        <w:t>12</w:t>
      </w:r>
      <w:r w:rsidRPr="002E0756">
        <w:t xml:space="preserve">, </w:t>
      </w:r>
      <w:r w:rsidRPr="002E0756" w:rsidR="004C471C">
        <w:t>Central</w:t>
      </w:r>
      <w:r w:rsidR="004C471C">
        <w:t xml:space="preserve"> Coast Community Energy (</w:t>
      </w:r>
      <w:r>
        <w:t>3CE</w:t>
      </w:r>
      <w:r w:rsidR="004C471C">
        <w:t>)</w:t>
      </w:r>
      <w:r>
        <w:t xml:space="preserve"> </w:t>
      </w:r>
      <w:r w:rsidR="00C77265">
        <w:t>had its</w:t>
      </w:r>
      <w:r>
        <w:t xml:space="preserve"> Advice Letter</w:t>
      </w:r>
      <w:r w:rsidR="007A7449">
        <w:t xml:space="preserve"> </w:t>
      </w:r>
      <w:r w:rsidR="00A37219">
        <w:t xml:space="preserve">(AL) </w:t>
      </w:r>
      <w:r w:rsidR="00C77265">
        <w:t>37-E</w:t>
      </w:r>
      <w:r w:rsidR="00EB03FC">
        <w:t xml:space="preserve"> </w:t>
      </w:r>
      <w:r w:rsidR="00C77265">
        <w:t xml:space="preserve">served </w:t>
      </w:r>
      <w:r w:rsidR="007A7449">
        <w:t>on the service list of R</w:t>
      </w:r>
      <w:r w:rsidR="0043226B">
        <w:t>.</w:t>
      </w:r>
      <w:r w:rsidR="007A7449">
        <w:t>22-10-010</w:t>
      </w:r>
      <w:r>
        <w:t>.</w:t>
      </w:r>
      <w:r>
        <w:rPr>
          <w:rStyle w:val="FootnoteReference"/>
        </w:rPr>
        <w:footnoteReference w:id="15"/>
      </w:r>
      <w:r>
        <w:t xml:space="preserve">  On June 20, 2024, the Commission </w:t>
      </w:r>
      <w:r w:rsidR="00EB03FC">
        <w:t>approved</w:t>
      </w:r>
      <w:r>
        <w:t xml:space="preserve"> </w:t>
      </w:r>
      <w:r w:rsidR="00EE38B3">
        <w:t>A</w:t>
      </w:r>
      <w:r w:rsidR="0043226B">
        <w:t xml:space="preserve">dvice </w:t>
      </w:r>
      <w:r w:rsidR="00EE38B3">
        <w:t>L</w:t>
      </w:r>
      <w:r w:rsidR="0043226B">
        <w:t>etter</w:t>
      </w:r>
      <w:r>
        <w:t xml:space="preserve"> </w:t>
      </w:r>
      <w:r w:rsidR="00E833CB">
        <w:t>37-E</w:t>
      </w:r>
      <w:r w:rsidR="00EB03FC">
        <w:t xml:space="preserve"> </w:t>
      </w:r>
      <w:r>
        <w:t>of 3CE</w:t>
      </w:r>
      <w:r w:rsidR="00E833CB">
        <w:t>,</w:t>
      </w:r>
      <w:r>
        <w:t xml:space="preserve"> and several other CCAs</w:t>
      </w:r>
      <w:r w:rsidR="00E833CB">
        <w:t>’ Advice Letters</w:t>
      </w:r>
      <w:r>
        <w:t>.</w:t>
      </w:r>
      <w:r>
        <w:rPr>
          <w:rStyle w:val="FootnoteReference"/>
        </w:rPr>
        <w:footnoteReference w:id="16"/>
      </w:r>
      <w:r>
        <w:t xml:space="preserve"> The resolution noted that 3CE and certain other CCA’s forecast and sought zero </w:t>
      </w:r>
      <w:proofErr w:type="spellStart"/>
      <w:r>
        <w:t>BioMAT</w:t>
      </w:r>
      <w:proofErr w:type="spellEnd"/>
      <w:r>
        <w:t xml:space="preserve"> program costs for 2024 and 2025.</w:t>
      </w:r>
      <w:r>
        <w:rPr>
          <w:rStyle w:val="FootnoteReference"/>
        </w:rPr>
        <w:footnoteReference w:id="17"/>
      </w:r>
      <w:r>
        <w:t xml:space="preserve"> </w:t>
      </w:r>
    </w:p>
    <w:p w:rsidR="003000F8" w:rsidP="007856A2" w:rsidRDefault="00EF16E7" w14:paraId="6A85C04A" w14:textId="7B1D836E">
      <w:pPr>
        <w:pStyle w:val="Standard"/>
      </w:pPr>
      <w:r>
        <w:t>O</w:t>
      </w:r>
      <w:r w:rsidRPr="00C0429D">
        <w:t xml:space="preserve">n January 29, 2024, </w:t>
      </w:r>
      <w:r>
        <w:t>in accordance with D.23-11-0</w:t>
      </w:r>
      <w:r w:rsidR="007856A2">
        <w:t>84, Ordering Paragraph 6</w:t>
      </w:r>
      <w:r>
        <w:t xml:space="preserve">, </w:t>
      </w:r>
      <w:r w:rsidRPr="00C0429D">
        <w:t>3CE, together with Orange County Power Authority, Pioneer Community Energy</w:t>
      </w:r>
      <w:r>
        <w:t>,</w:t>
      </w:r>
      <w:r w:rsidRPr="00C0429D">
        <w:t xml:space="preserve"> and Redwood Coast Energy Authority (collectively, “Participating CCAs”), opted to participate in the </w:t>
      </w:r>
      <w:proofErr w:type="spellStart"/>
      <w:r w:rsidRPr="00C0429D">
        <w:t>BioMAT</w:t>
      </w:r>
      <w:proofErr w:type="spellEnd"/>
      <w:r w:rsidRPr="00C0429D">
        <w:t xml:space="preserve"> program by submitting a joint Tier 2 </w:t>
      </w:r>
      <w:r w:rsidR="00EE38B3">
        <w:t>A</w:t>
      </w:r>
      <w:r w:rsidR="0043226B">
        <w:t xml:space="preserve">dvice </w:t>
      </w:r>
      <w:r w:rsidR="00EE38B3">
        <w:t>L</w:t>
      </w:r>
      <w:r w:rsidR="0043226B">
        <w:t>etter</w:t>
      </w:r>
      <w:r w:rsidR="00791350">
        <w:t>,</w:t>
      </w:r>
      <w:r w:rsidR="003A5740">
        <w:rPr>
          <w:rStyle w:val="FootnoteReference"/>
        </w:rPr>
        <w:footnoteReference w:id="18"/>
      </w:r>
      <w:r w:rsidRPr="00C0429D">
        <w:t xml:space="preserve"> seeking approval of standard </w:t>
      </w:r>
      <w:proofErr w:type="spellStart"/>
      <w:r w:rsidRPr="00C0429D">
        <w:t>BioMAT</w:t>
      </w:r>
      <w:proofErr w:type="spellEnd"/>
      <w:r w:rsidRPr="00C0429D">
        <w:t xml:space="preserve"> CCA program documentation.</w:t>
      </w:r>
      <w:r>
        <w:rPr>
          <w:rStyle w:val="FootnoteReference"/>
        </w:rPr>
        <w:footnoteReference w:id="19"/>
      </w:r>
      <w:r w:rsidRPr="00C0429D">
        <w:t xml:space="preserve"> </w:t>
      </w:r>
      <w:r>
        <w:t xml:space="preserve"> Also pursuant to D.23-11-084, on March 13, 2024, 3CE and several other CCAs submitted a </w:t>
      </w:r>
      <w:proofErr w:type="spellStart"/>
      <w:r>
        <w:t>BioMAT</w:t>
      </w:r>
      <w:proofErr w:type="spellEnd"/>
      <w:r>
        <w:t xml:space="preserve"> Tier 2 </w:t>
      </w:r>
      <w:r w:rsidR="00EE38B3">
        <w:t>A</w:t>
      </w:r>
      <w:r w:rsidR="0043226B">
        <w:t xml:space="preserve">dvice </w:t>
      </w:r>
      <w:r w:rsidR="00EE38B3">
        <w:t>L</w:t>
      </w:r>
      <w:r w:rsidR="0043226B">
        <w:t>etter</w:t>
      </w:r>
      <w:r w:rsidR="008346D7">
        <w:rPr>
          <w:rStyle w:val="FootnoteReference"/>
        </w:rPr>
        <w:footnoteReference w:id="20"/>
      </w:r>
      <w:r>
        <w:t xml:space="preserve"> that modified the original January 29, 2024 Tier</w:t>
      </w:r>
      <w:r w:rsidR="00D1110A">
        <w:t> </w:t>
      </w:r>
      <w:r>
        <w:t>2 Advice Letter.</w:t>
      </w:r>
      <w:r>
        <w:rPr>
          <w:rStyle w:val="FootnoteReference"/>
        </w:rPr>
        <w:footnoteReference w:id="21"/>
      </w:r>
      <w:r>
        <w:t xml:space="preserve">  </w:t>
      </w:r>
    </w:p>
    <w:p w:rsidR="00EF16E7" w:rsidP="003000F8" w:rsidRDefault="00EF16E7" w14:paraId="34B67C15" w14:textId="448C27F7">
      <w:pPr>
        <w:pStyle w:val="Standard"/>
      </w:pPr>
      <w:r>
        <w:lastRenderedPageBreak/>
        <w:t xml:space="preserve">On April 29, 2024, the Commission’s Energy Division issued a letter </w:t>
      </w:r>
      <w:r w:rsidR="00EB03FC">
        <w:t xml:space="preserve">approving </w:t>
      </w:r>
      <w:r w:rsidR="00E45E0B">
        <w:t>the Joint CCA A</w:t>
      </w:r>
      <w:r w:rsidR="0043226B">
        <w:t xml:space="preserve">dvice </w:t>
      </w:r>
      <w:r w:rsidR="00E45E0B">
        <w:t>L</w:t>
      </w:r>
      <w:r w:rsidR="0043226B">
        <w:t>etter</w:t>
      </w:r>
      <w:r w:rsidR="00E45E0B">
        <w:t>s, including CCA A</w:t>
      </w:r>
      <w:r w:rsidR="0043226B">
        <w:t xml:space="preserve">dvice </w:t>
      </w:r>
      <w:r w:rsidR="00E45E0B">
        <w:t>L</w:t>
      </w:r>
      <w:r w:rsidR="0043226B">
        <w:t>etter</w:t>
      </w:r>
      <w:r w:rsidR="00E45E0B">
        <w:t>s 3</w:t>
      </w:r>
      <w:r w:rsidR="00EB4224">
        <w:t>6-E, and 36-E-A,</w:t>
      </w:r>
      <w:r w:rsidR="00EB03FC">
        <w:t xml:space="preserve"> as</w:t>
      </w:r>
      <w:r>
        <w:t xml:space="preserve"> consistent with D.23-11-084 </w:t>
      </w:r>
      <w:r w:rsidR="004C78C5">
        <w:t>OP</w:t>
      </w:r>
      <w:r>
        <w:t xml:space="preserve"> 6</w:t>
      </w:r>
      <w:r w:rsidR="004C78C5">
        <w:t xml:space="preserve">, </w:t>
      </w:r>
      <w:r>
        <w:t>effective March 18, 2024.</w:t>
      </w:r>
      <w:r>
        <w:rPr>
          <w:rStyle w:val="FootnoteReference"/>
        </w:rPr>
        <w:footnoteReference w:id="22"/>
      </w:r>
      <w:r>
        <w:t xml:space="preserve"> </w:t>
      </w:r>
    </w:p>
    <w:p w:rsidR="00900C4B" w:rsidP="004F1B11" w:rsidRDefault="00900C4B" w14:paraId="52DE5A8F" w14:textId="631EFAD2">
      <w:pPr>
        <w:pStyle w:val="Standard"/>
      </w:pPr>
      <w:r>
        <w:t xml:space="preserve">In addition to filing the Advice Letters in compliance with D.23-11-084’s applicable ordering paragraphs, 3CE </w:t>
      </w:r>
      <w:r w:rsidR="00414785">
        <w:t xml:space="preserve">participated in the </w:t>
      </w:r>
      <w:proofErr w:type="spellStart"/>
      <w:r w:rsidR="00414785">
        <w:t>BioMAT</w:t>
      </w:r>
      <w:proofErr w:type="spellEnd"/>
      <w:r w:rsidR="00414785">
        <w:t xml:space="preserve"> program through </w:t>
      </w:r>
      <w:proofErr w:type="gramStart"/>
      <w:r w:rsidR="00414785">
        <w:t>a number of</w:t>
      </w:r>
      <w:proofErr w:type="gramEnd"/>
      <w:r w:rsidR="00414785">
        <w:t xml:space="preserve"> other steps.</w:t>
      </w:r>
    </w:p>
    <w:p w:rsidR="004F1B11" w:rsidP="004F1B11" w:rsidRDefault="004F1B11" w14:paraId="255A60A6" w14:textId="63A6339B">
      <w:pPr>
        <w:pStyle w:val="Standard"/>
      </w:pPr>
      <w:r w:rsidRPr="009064C1">
        <w:t xml:space="preserve">According to 3CE, </w:t>
      </w:r>
      <w:r w:rsidR="0062221B">
        <w:t>California Community Choice Association (</w:t>
      </w:r>
      <w:proofErr w:type="spellStart"/>
      <w:r w:rsidRPr="009064C1">
        <w:t>CalCCA</w:t>
      </w:r>
      <w:proofErr w:type="spellEnd"/>
      <w:r w:rsidR="0062221B">
        <w:t>)</w:t>
      </w:r>
      <w:r w:rsidRPr="009064C1">
        <w:t>, representing the Participating CCAs, and the IOUs selected Accion</w:t>
      </w:r>
      <w:r w:rsidR="008177B6">
        <w:t xml:space="preserve"> LLC, which was also 3CE’s independent third-party administrator,</w:t>
      </w:r>
      <w:r w:rsidRPr="009064C1">
        <w:t xml:space="preserve"> to perform the website and TPA services.</w:t>
      </w:r>
      <w:r w:rsidR="002B3296">
        <w:t xml:space="preserve">  </w:t>
      </w:r>
      <w:proofErr w:type="spellStart"/>
      <w:r w:rsidRPr="009064C1">
        <w:t>CalCCA</w:t>
      </w:r>
      <w:proofErr w:type="spellEnd"/>
      <w:r w:rsidRPr="009064C1">
        <w:t xml:space="preserve"> and the IOUs negotiated two Statements of Work (SOW) for Accion to provide required services by OP 3: </w:t>
      </w:r>
      <w:r w:rsidR="004C78C5">
        <w:t>(</w:t>
      </w:r>
      <w:r w:rsidRPr="009064C1">
        <w:t xml:space="preserve">1) a SOW for program website and portal development services; and </w:t>
      </w:r>
      <w:r w:rsidR="004C78C5">
        <w:t>(</w:t>
      </w:r>
      <w:r w:rsidRPr="009064C1">
        <w:t xml:space="preserve">2) a SOW for third party administration of the </w:t>
      </w:r>
      <w:proofErr w:type="spellStart"/>
      <w:r w:rsidRPr="009064C1">
        <w:t>BioMAT</w:t>
      </w:r>
      <w:proofErr w:type="spellEnd"/>
      <w:r w:rsidRPr="009064C1">
        <w:t xml:space="preserve"> program, both of which were included in the Joint A</w:t>
      </w:r>
      <w:r w:rsidR="0043226B">
        <w:t xml:space="preserve">dvice </w:t>
      </w:r>
      <w:r w:rsidRPr="009064C1">
        <w:t>L</w:t>
      </w:r>
      <w:r w:rsidR="0043226B">
        <w:t>etter</w:t>
      </w:r>
      <w:r w:rsidRPr="009064C1">
        <w:t>.</w:t>
      </w:r>
      <w:r w:rsidRPr="009064C1">
        <w:rPr>
          <w:rStyle w:val="FootnoteReference"/>
        </w:rPr>
        <w:footnoteReference w:id="23"/>
      </w:r>
      <w:r w:rsidRPr="009064C1">
        <w:t xml:space="preserve">  3CE Advice Letter 37-E shows that “The CCA-Accion Agreement incorporates two SOWs negotiated by the CCAs, IOUs, and Accion regarding both the website and TPA services that Accion will provide for the </w:t>
      </w:r>
      <w:proofErr w:type="spellStart"/>
      <w:r w:rsidRPr="009064C1">
        <w:t>BioMAT</w:t>
      </w:r>
      <w:proofErr w:type="spellEnd"/>
      <w:r w:rsidRPr="009064C1">
        <w:t xml:space="preserve"> program.</w:t>
      </w:r>
      <w:r w:rsidRPr="009064C1">
        <w:rPr>
          <w:rStyle w:val="FootnoteReference"/>
        </w:rPr>
        <w:footnoteReference w:id="24"/>
      </w:r>
      <w:r w:rsidRPr="00BD5F91">
        <w:t xml:space="preserve"> </w:t>
      </w:r>
      <w:r>
        <w:t>D.23-11-084, Ordering Paragraph 3 provided instructions related to this.</w:t>
      </w:r>
    </w:p>
    <w:p w:rsidR="004F1B11" w:rsidP="004F1B11" w:rsidRDefault="004F1B11" w14:paraId="173A78E1" w14:textId="55BCF3C1">
      <w:pPr>
        <w:pStyle w:val="Standard"/>
      </w:pPr>
      <w:r>
        <w:t xml:space="preserve">3CE </w:t>
      </w:r>
      <w:r w:rsidR="008177B6">
        <w:t xml:space="preserve">also </w:t>
      </w:r>
      <w:r>
        <w:t xml:space="preserve">entered into several agreements with Accion LLC. The first was for the provision of project pricing and contract award determination. The second was for confirmation of creation of a </w:t>
      </w:r>
      <w:proofErr w:type="spellStart"/>
      <w:r>
        <w:t>BioMAT</w:t>
      </w:r>
      <w:proofErr w:type="spellEnd"/>
      <w:r>
        <w:t xml:space="preserve"> website and development </w:t>
      </w:r>
      <w:r>
        <w:lastRenderedPageBreak/>
        <w:t xml:space="preserve">of a CCA Load Serving Entity Portal.  D.23-11-084 </w:t>
      </w:r>
      <w:r w:rsidR="004C78C5">
        <w:t>OP</w:t>
      </w:r>
      <w:r>
        <w:t xml:space="preserve"> 5 provided instructions related to this.</w:t>
      </w:r>
    </w:p>
    <w:p w:rsidR="004F1B11" w:rsidP="004F1B11" w:rsidRDefault="004F1B11" w14:paraId="393C0889" w14:textId="45169103">
      <w:pPr>
        <w:pStyle w:val="Standard"/>
      </w:pPr>
      <w:r>
        <w:t xml:space="preserve">3CE’s tariff is extensive, and it provided documentation to show that it took </w:t>
      </w:r>
      <w:proofErr w:type="gramStart"/>
      <w:r>
        <w:t>a number of</w:t>
      </w:r>
      <w:proofErr w:type="gramEnd"/>
      <w:r>
        <w:t xml:space="preserve"> steps to show compliance with it. 3CE reviewed </w:t>
      </w:r>
      <w:r w:rsidR="00F11C97">
        <w:t>Tracy Renewable Energy’s (</w:t>
      </w:r>
      <w:r>
        <w:t>TRE</w:t>
      </w:r>
      <w:r w:rsidR="00F11C97">
        <w:t>)</w:t>
      </w:r>
      <w:r>
        <w:t xml:space="preserve"> PPR related to whether it satisfied the 15 eligibility requirements specified in Section D of the </w:t>
      </w:r>
      <w:proofErr w:type="spellStart"/>
      <w:r>
        <w:t>BioMAT</w:t>
      </w:r>
      <w:proofErr w:type="spellEnd"/>
      <w:r>
        <w:t xml:space="preserve"> tariff.</w:t>
      </w:r>
      <w:r>
        <w:rPr>
          <w:rStyle w:val="FootnoteReference"/>
        </w:rPr>
        <w:footnoteReference w:id="25"/>
      </w:r>
      <w:r>
        <w:t xml:space="preserve"> These requirements are identified in D.23-11-084, Conclusion of Law 11. However, there are a few outstanding applicable tariff requirements that 3CE’s partner, TR</w:t>
      </w:r>
      <w:r w:rsidR="00E759E5">
        <w:t>E</w:t>
      </w:r>
      <w:r>
        <w:t>, has not yet been able to meet.</w:t>
      </w:r>
      <w:r w:rsidR="002B3296">
        <w:t xml:space="preserve"> </w:t>
      </w:r>
      <w:r>
        <w:t xml:space="preserve">3CE has informed </w:t>
      </w:r>
      <w:r w:rsidR="00D71C7B">
        <w:t xml:space="preserve">the </w:t>
      </w:r>
      <w:r>
        <w:t xml:space="preserve">Commission that as of the time it provided supplemental testimony, its contracting partner, </w:t>
      </w:r>
      <w:r w:rsidR="00E759E5">
        <w:t>TRE</w:t>
      </w:r>
      <w:r>
        <w:t>, has not yet received valid certification from the Federal Energy Regulatory Commission, nor received final certification from the California Energy Commission</w:t>
      </w:r>
      <w:r w:rsidR="009C0E2E">
        <w:t xml:space="preserve"> during the Record Year</w:t>
      </w:r>
      <w:r>
        <w:t xml:space="preserve">. </w:t>
      </w:r>
    </w:p>
    <w:p w:rsidR="00357989" w:rsidP="009D168D" w:rsidRDefault="00357989" w14:paraId="46B7DB8A" w14:textId="23F23C5C">
      <w:pPr>
        <w:pStyle w:val="Heading2"/>
      </w:pPr>
      <w:bookmarkStart w:name="_Toc233277282" w:id="11"/>
      <w:r>
        <w:t>The TRE Contract</w:t>
      </w:r>
      <w:bookmarkEnd w:id="11"/>
    </w:p>
    <w:p w:rsidR="00357989" w:rsidP="004F1B11" w:rsidRDefault="00236051" w14:paraId="6F68A76C" w14:textId="7674836C">
      <w:pPr>
        <w:pStyle w:val="Standard"/>
      </w:pPr>
      <w:r>
        <w:t xml:space="preserve">Project Applicants submit program participation requests (PPRs) through a project portal for IOUs and/or CCAs to review them and determine project </w:t>
      </w:r>
      <w:proofErr w:type="gramStart"/>
      <w:r>
        <w:t>eligibility, and</w:t>
      </w:r>
      <w:proofErr w:type="gramEnd"/>
      <w:r>
        <w:t xml:space="preserve"> place eligible projects in separate or merged IOU and CCA project queues.</w:t>
      </w:r>
      <w:r>
        <w:rPr>
          <w:rStyle w:val="FootnoteReference"/>
        </w:rPr>
        <w:footnoteReference w:id="26"/>
      </w:r>
      <w:r>
        <w:t xml:space="preserve"> </w:t>
      </w:r>
      <w:r w:rsidR="00357989">
        <w:t xml:space="preserve">On January 29, 2025, 3CE received its first PPR from TRE </w:t>
      </w:r>
      <w:r w:rsidR="00220BD6">
        <w:t>for</w:t>
      </w:r>
      <w:r w:rsidR="00357989">
        <w:t xml:space="preserve"> a </w:t>
      </w:r>
      <w:proofErr w:type="spellStart"/>
      <w:r w:rsidR="00357989">
        <w:t>BioMAT</w:t>
      </w:r>
      <w:proofErr w:type="spellEnd"/>
      <w:r w:rsidR="00357989">
        <w:t xml:space="preserve"> project in Tracy, California.</w:t>
      </w:r>
      <w:r w:rsidR="002B3296">
        <w:t xml:space="preserve"> </w:t>
      </w:r>
      <w:r w:rsidR="00612132">
        <w:t xml:space="preserve">As a fuel source for </w:t>
      </w:r>
      <w:r w:rsidR="00154834">
        <w:t xml:space="preserve">energy, </w:t>
      </w:r>
      <w:r w:rsidR="00DE6ACD">
        <w:t xml:space="preserve">3CE’s project will </w:t>
      </w:r>
      <w:r w:rsidR="006B4BCD">
        <w:t xml:space="preserve">use 100% feedstock, composed mainly of walnut shell and a small amount of almond shell, sourced </w:t>
      </w:r>
      <w:r w:rsidR="00612132">
        <w:t>from the waste and byproducts of agricultural drying and shelling/mixing.</w:t>
      </w:r>
      <w:r w:rsidR="00154834">
        <w:rPr>
          <w:rStyle w:val="FootnoteReference"/>
        </w:rPr>
        <w:footnoteReference w:id="27"/>
      </w:r>
      <w:r w:rsidR="00612132">
        <w:t xml:space="preserve"> </w:t>
      </w:r>
      <w:r w:rsidR="00357989">
        <w:t>3CE reviewed the eligibility of the TRE</w:t>
      </w:r>
      <w:r w:rsidR="001F1EA7">
        <w:t xml:space="preserve"> PPR</w:t>
      </w:r>
      <w:r w:rsidR="00357989">
        <w:t xml:space="preserve">, applied a process identified in standard CCA </w:t>
      </w:r>
      <w:proofErr w:type="spellStart"/>
      <w:r w:rsidR="00357989">
        <w:t>BioMAT</w:t>
      </w:r>
      <w:proofErr w:type="spellEnd"/>
      <w:r w:rsidR="00357989">
        <w:t xml:space="preserve"> program documents, and then deemed </w:t>
      </w:r>
      <w:r w:rsidR="00357989">
        <w:lastRenderedPageBreak/>
        <w:t xml:space="preserve">TRE’s PPR satisfied the requirements of the </w:t>
      </w:r>
      <w:proofErr w:type="spellStart"/>
      <w:r w:rsidR="00357989">
        <w:t>BioMAT</w:t>
      </w:r>
      <w:proofErr w:type="spellEnd"/>
      <w:r w:rsidR="00357989">
        <w:t xml:space="preserve"> tariff and program eligibility criteria. Upon this determination, TRE was assigned a program position by Accion</w:t>
      </w:r>
      <w:r w:rsidR="00FF7B9D">
        <w:t xml:space="preserve"> LLC</w:t>
      </w:r>
      <w:r w:rsidR="00357989">
        <w:t>.</w:t>
      </w:r>
      <w:r w:rsidR="00357989">
        <w:rPr>
          <w:rStyle w:val="FootnoteReference"/>
        </w:rPr>
        <w:footnoteReference w:id="28"/>
      </w:r>
      <w:r w:rsidRPr="00666DAE" w:rsidR="00357989">
        <w:rPr>
          <w:vertAlign w:val="superscript"/>
        </w:rPr>
        <w:t>,</w:t>
      </w:r>
      <w:r w:rsidR="00F315D9">
        <w:rPr>
          <w:vertAlign w:val="superscript"/>
        </w:rPr>
        <w:t xml:space="preserve"> </w:t>
      </w:r>
      <w:r w:rsidR="00357989">
        <w:rPr>
          <w:rStyle w:val="FootnoteReference"/>
        </w:rPr>
        <w:footnoteReference w:id="29"/>
      </w:r>
      <w:r w:rsidR="00357989">
        <w:t xml:space="preserve">  </w:t>
      </w:r>
    </w:p>
    <w:p w:rsidRPr="004F1B11" w:rsidR="004F1B11" w:rsidP="00404213" w:rsidRDefault="004F1B11" w14:paraId="77CD263A" w14:textId="6EE2B5CD">
      <w:pPr>
        <w:pStyle w:val="Standard"/>
      </w:pPr>
      <w:r>
        <w:t>3CE t</w:t>
      </w:r>
      <w:r w:rsidR="00465B0C">
        <w:t>ook</w:t>
      </w:r>
      <w:r>
        <w:t xml:space="preserve"> several steps to ensure its contracting partner, TRE, </w:t>
      </w:r>
      <w:r w:rsidR="00465B0C">
        <w:t xml:space="preserve">followed the </w:t>
      </w:r>
      <w:r>
        <w:t>contract.</w:t>
      </w:r>
      <w:r w:rsidR="002B3296">
        <w:t xml:space="preserve"> </w:t>
      </w:r>
      <w:r>
        <w:t>Such steps include</w:t>
      </w:r>
      <w:r w:rsidR="00465B0C">
        <w:t>d</w:t>
      </w:r>
      <w:r>
        <w:t xml:space="preserve"> storing PPAs, tracking contract milestones and deadlines, reviewing documentation, and ensuring that the </w:t>
      </w:r>
      <w:r w:rsidR="00465B0C">
        <w:t>TRE</w:t>
      </w:r>
      <w:r>
        <w:t xml:space="preserve"> continue</w:t>
      </w:r>
      <w:r w:rsidR="00465B0C">
        <w:t>d</w:t>
      </w:r>
      <w:r>
        <w:t xml:space="preserve"> to meet eligibility criteria and terms of the </w:t>
      </w:r>
      <w:proofErr w:type="spellStart"/>
      <w:r>
        <w:t>BioMAT</w:t>
      </w:r>
      <w:proofErr w:type="spellEnd"/>
      <w:r>
        <w:t xml:space="preserve"> PPA.</w:t>
      </w:r>
    </w:p>
    <w:p w:rsidRPr="008B5FF5" w:rsidR="00747BBF" w:rsidP="003F0510" w:rsidRDefault="004F1B11" w14:paraId="64727FFD" w14:textId="42EFE7DE">
      <w:pPr>
        <w:pStyle w:val="Heading1"/>
      </w:pPr>
      <w:bookmarkStart w:name="_Toc233277283" w:id="12"/>
      <w:r>
        <w:t>Procedural</w:t>
      </w:r>
      <w:r w:rsidRPr="008B5FF5" w:rsidR="00747BBF">
        <w:t xml:space="preserve"> Background</w:t>
      </w:r>
      <w:bookmarkEnd w:id="12"/>
    </w:p>
    <w:p w:rsidR="00747BBF" w:rsidP="00F87D7A" w:rsidRDefault="00747BBF" w14:paraId="17A502ED" w14:textId="3030A962">
      <w:pPr>
        <w:pStyle w:val="Standard"/>
      </w:pPr>
      <w:r>
        <w:t>3CE</w:t>
      </w:r>
      <w:r w:rsidR="00937C15">
        <w:t xml:space="preserve"> </w:t>
      </w:r>
      <w:r>
        <w:t>filed th</w:t>
      </w:r>
      <w:r w:rsidR="004F1B11">
        <w:t xml:space="preserve">e </w:t>
      </w:r>
      <w:r w:rsidRPr="00404213" w:rsidR="004F1B11">
        <w:rPr>
          <w:i/>
          <w:iCs/>
        </w:rPr>
        <w:t xml:space="preserve">Application of Central Coast Community Energy for Compliance Review of its Administration of the Bioenergy Market Adjusting Tariff Program for the Period September 1, </w:t>
      </w:r>
      <w:proofErr w:type="gramStart"/>
      <w:r w:rsidRPr="00404213" w:rsidR="004F1B11">
        <w:rPr>
          <w:i/>
          <w:iCs/>
        </w:rPr>
        <w:t>2024</w:t>
      </w:r>
      <w:proofErr w:type="gramEnd"/>
      <w:r w:rsidRPr="00404213" w:rsidR="004F1B11">
        <w:rPr>
          <w:i/>
          <w:iCs/>
        </w:rPr>
        <w:t xml:space="preserve"> through September 1, 2025</w:t>
      </w:r>
      <w:r>
        <w:t xml:space="preserve"> </w:t>
      </w:r>
      <w:r w:rsidR="004F1B11">
        <w:t>(</w:t>
      </w:r>
      <w:r>
        <w:t>Application</w:t>
      </w:r>
      <w:r w:rsidR="004F1B11">
        <w:t>)</w:t>
      </w:r>
      <w:r>
        <w:t xml:space="preserve"> on August 29, 2025</w:t>
      </w:r>
      <w:r w:rsidR="004F1B11">
        <w:t>,</w:t>
      </w:r>
      <w:r w:rsidR="00F60526">
        <w:t xml:space="preserve"> </w:t>
      </w:r>
      <w:r w:rsidR="004F1B11">
        <w:t xml:space="preserve">pursuant to the </w:t>
      </w:r>
      <w:r w:rsidR="00E63548">
        <w:t xml:space="preserve">requirements of D.23-11-084, </w:t>
      </w:r>
      <w:r w:rsidR="00FF1B56">
        <w:t xml:space="preserve">OP </w:t>
      </w:r>
      <w:r w:rsidR="00E63548">
        <w:t>17</w:t>
      </w:r>
      <w:r w:rsidR="004F1B11">
        <w:t xml:space="preserve">. </w:t>
      </w:r>
      <w:r w:rsidR="007E5B3F">
        <w:t xml:space="preserve"> On October </w:t>
      </w:r>
      <w:r w:rsidR="00FB4299">
        <w:t>2, 2025, Pacific Gas and Electric Company</w:t>
      </w:r>
      <w:r w:rsidR="0072232D">
        <w:t xml:space="preserve"> (PG&amp;E)</w:t>
      </w:r>
      <w:r w:rsidR="00FB4299">
        <w:t xml:space="preserve"> filed a response to the Application</w:t>
      </w:r>
      <w:r w:rsidR="0072232D">
        <w:t>, and 3CE replied to PG&amp;E’s response on October 13, 2025.</w:t>
      </w:r>
      <w:r w:rsidR="00FB4299">
        <w:t xml:space="preserve">  </w:t>
      </w:r>
      <w:r w:rsidR="00995DE8">
        <w:t>The A</w:t>
      </w:r>
      <w:r w:rsidR="00D71C7B">
        <w:t xml:space="preserve">dministrative </w:t>
      </w:r>
      <w:r w:rsidR="00995DE8">
        <w:t>L</w:t>
      </w:r>
      <w:r w:rsidR="00D71C7B">
        <w:t xml:space="preserve">aw </w:t>
      </w:r>
      <w:r w:rsidR="00995DE8">
        <w:t>J</w:t>
      </w:r>
      <w:r w:rsidR="00D71C7B">
        <w:t>udge (ALJ)</w:t>
      </w:r>
      <w:r w:rsidR="00995DE8">
        <w:t xml:space="preserve"> held a </w:t>
      </w:r>
      <w:r w:rsidR="007F3620">
        <w:t>p</w:t>
      </w:r>
      <w:r w:rsidR="00995DE8">
        <w:t xml:space="preserve">rehearing </w:t>
      </w:r>
      <w:r w:rsidR="007F3620">
        <w:t>c</w:t>
      </w:r>
      <w:r w:rsidR="00995DE8">
        <w:t xml:space="preserve">onference on November </w:t>
      </w:r>
      <w:r w:rsidR="0010660D">
        <w:t>19</w:t>
      </w:r>
      <w:r w:rsidR="00995DE8">
        <w:t>, 2025</w:t>
      </w:r>
      <w:r w:rsidR="003A4B51">
        <w:t xml:space="preserve">.  Southern California Edison Company (SCE) attended the Prehearing </w:t>
      </w:r>
      <w:proofErr w:type="gramStart"/>
      <w:r w:rsidR="003A4B51">
        <w:t>Conference</w:t>
      </w:r>
      <w:r w:rsidR="00830250">
        <w:t>, but</w:t>
      </w:r>
      <w:proofErr w:type="gramEnd"/>
      <w:r w:rsidR="00830250">
        <w:t xml:space="preserve"> did not request party status at that time.</w:t>
      </w:r>
      <w:r w:rsidR="002B3296">
        <w:t xml:space="preserve"> </w:t>
      </w:r>
      <w:r w:rsidR="00830250">
        <w:t>T</w:t>
      </w:r>
      <w:r w:rsidR="009C476D">
        <w:t xml:space="preserve">he ALJ issued a ruling on </w:t>
      </w:r>
      <w:r w:rsidR="0010660D">
        <w:t xml:space="preserve">November 25, </w:t>
      </w:r>
      <w:proofErr w:type="gramStart"/>
      <w:r w:rsidR="0010660D">
        <w:t>2025</w:t>
      </w:r>
      <w:proofErr w:type="gramEnd"/>
      <w:r w:rsidR="00830250">
        <w:t xml:space="preserve"> regarding whether SCE </w:t>
      </w:r>
      <w:r w:rsidR="00F75750">
        <w:t>sought party status.</w:t>
      </w:r>
      <w:r w:rsidR="002B3296">
        <w:t xml:space="preserve">  </w:t>
      </w:r>
      <w:r w:rsidR="00F75750">
        <w:t xml:space="preserve">SCE filed a motion for party status on December 3, 2025. On December 5, 2025, </w:t>
      </w:r>
      <w:r w:rsidR="005877C0">
        <w:t xml:space="preserve">the Assigned Commissioner’s Scoping Memo and Ruling </w:t>
      </w:r>
      <w:r w:rsidR="008612DF">
        <w:t xml:space="preserve">(Scoping Memo) </w:t>
      </w:r>
      <w:r w:rsidR="005877C0">
        <w:t>issued.</w:t>
      </w:r>
      <w:r w:rsidR="002B3296">
        <w:t xml:space="preserve"> </w:t>
      </w:r>
      <w:r w:rsidR="00A075DA">
        <w:t xml:space="preserve">On December 16, 2025, </w:t>
      </w:r>
      <w:r w:rsidR="008612DF">
        <w:t>3CE requested to extend certain due dates of the Scoping Memo</w:t>
      </w:r>
      <w:r w:rsidR="00A075DA">
        <w:t xml:space="preserve">, and the ALJ granted 3CE’s request </w:t>
      </w:r>
      <w:r w:rsidR="003D4AD6">
        <w:t xml:space="preserve">by ruling </w:t>
      </w:r>
      <w:r w:rsidR="00A075DA">
        <w:t xml:space="preserve">on December 18, 2025. </w:t>
      </w:r>
      <w:r w:rsidR="006E2F70">
        <w:t xml:space="preserve">In compliance with the ALJ’s December 18, </w:t>
      </w:r>
      <w:proofErr w:type="gramStart"/>
      <w:r w:rsidR="006E2F70">
        <w:t>2025</w:t>
      </w:r>
      <w:proofErr w:type="gramEnd"/>
      <w:r w:rsidR="006E2F70">
        <w:t xml:space="preserve"> ruling, 3CE served</w:t>
      </w:r>
      <w:r w:rsidR="00E11944">
        <w:t xml:space="preserve"> supplemental testimony on January 20, 2026. </w:t>
      </w:r>
      <w:r w:rsidR="00544137">
        <w:t xml:space="preserve">The December 18, </w:t>
      </w:r>
      <w:proofErr w:type="gramStart"/>
      <w:r w:rsidR="00544137">
        <w:t>2025</w:t>
      </w:r>
      <w:proofErr w:type="gramEnd"/>
      <w:r w:rsidR="00544137">
        <w:t xml:space="preserve"> ruling made i</w:t>
      </w:r>
      <w:r w:rsidR="00E11944">
        <w:t xml:space="preserve">ntervenor testimony </w:t>
      </w:r>
      <w:r w:rsidR="00544137">
        <w:t xml:space="preserve">due on </w:t>
      </w:r>
      <w:r w:rsidR="007F3620">
        <w:br/>
      </w:r>
      <w:r w:rsidR="00544137">
        <w:lastRenderedPageBreak/>
        <w:t xml:space="preserve">February 10, 2026, and no intervenor testimony was served by that date. </w:t>
      </w:r>
      <w:r w:rsidR="00664507">
        <w:t xml:space="preserve">On February 19, 2026, 3CE filed a motion to admit exhibits into the record and to modify the schedule. </w:t>
      </w:r>
      <w:r w:rsidR="00C773F2">
        <w:t xml:space="preserve">3CE’s motion stated that because no party had filed to protest or submitted intervenor testimony in opposition to the Application, the Application </w:t>
      </w:r>
      <w:r w:rsidR="00F60526">
        <w:t>was</w:t>
      </w:r>
      <w:r w:rsidR="00C773F2">
        <w:t xml:space="preserve"> uncontested.</w:t>
      </w:r>
      <w:r w:rsidR="00C773F2">
        <w:rPr>
          <w:rStyle w:val="FootnoteReference"/>
        </w:rPr>
        <w:footnoteReference w:id="30"/>
      </w:r>
      <w:r w:rsidR="00664507">
        <w:t xml:space="preserve"> </w:t>
      </w:r>
      <w:r w:rsidR="00EB32C8">
        <w:t xml:space="preserve">No responses to 3CE’s February 19, </w:t>
      </w:r>
      <w:proofErr w:type="gramStart"/>
      <w:r w:rsidR="00EB32C8">
        <w:t>2026</w:t>
      </w:r>
      <w:proofErr w:type="gramEnd"/>
      <w:r w:rsidR="00616077">
        <w:t xml:space="preserve"> Motion </w:t>
      </w:r>
      <w:proofErr w:type="gramStart"/>
      <w:r w:rsidR="00616077">
        <w:t>were</w:t>
      </w:r>
      <w:proofErr w:type="gramEnd"/>
      <w:r w:rsidR="00616077">
        <w:t xml:space="preserve"> filed.</w:t>
      </w:r>
      <w:r w:rsidR="00AB7CC1">
        <w:t xml:space="preserve"> On March 19, 2026, the ALJ issued a ruling granting 3CE’s motion to admit exhibits</w:t>
      </w:r>
      <w:r w:rsidR="00AD34B3">
        <w:t xml:space="preserve"> and to modify the schedule. At 3CE’s request, the March 19, </w:t>
      </w:r>
      <w:proofErr w:type="gramStart"/>
      <w:r w:rsidR="00AD34B3">
        <w:t>2026</w:t>
      </w:r>
      <w:proofErr w:type="gramEnd"/>
      <w:r w:rsidR="00AD34B3">
        <w:t xml:space="preserve"> rul</w:t>
      </w:r>
      <w:r w:rsidR="00AA7F27">
        <w:t xml:space="preserve">ing marked and admitted 3CE’s testimony into the record, </w:t>
      </w:r>
      <w:r w:rsidR="00AD34B3">
        <w:t>cancelled evidentiary hearings,</w:t>
      </w:r>
      <w:r w:rsidR="003D4AD6">
        <w:t xml:space="preserve"> and</w:t>
      </w:r>
      <w:r w:rsidR="00AD34B3">
        <w:t xml:space="preserve"> eliminated the requirement for briefs</w:t>
      </w:r>
      <w:r w:rsidR="00302700">
        <w:t>.</w:t>
      </w:r>
      <w:r w:rsidR="00302700">
        <w:rPr>
          <w:rStyle w:val="FootnoteReference"/>
        </w:rPr>
        <w:footnoteReference w:id="31"/>
      </w:r>
      <w:r w:rsidR="00DC6883">
        <w:t xml:space="preserve"> </w:t>
      </w:r>
      <w:r w:rsidR="00AA7F27">
        <w:t xml:space="preserve">The March 19, </w:t>
      </w:r>
      <w:proofErr w:type="gramStart"/>
      <w:r w:rsidR="00AA7F27">
        <w:t>2026</w:t>
      </w:r>
      <w:proofErr w:type="gramEnd"/>
      <w:r w:rsidR="00AA7F27">
        <w:t xml:space="preserve"> ruling also closed the evidentiary record.</w:t>
      </w:r>
      <w:r w:rsidR="002E543F">
        <w:rPr>
          <w:rStyle w:val="FootnoteReference"/>
        </w:rPr>
        <w:footnoteReference w:id="32"/>
      </w:r>
      <w:r w:rsidR="00AA7F27">
        <w:t xml:space="preserve"> </w:t>
      </w:r>
    </w:p>
    <w:p w:rsidRPr="00FA26BB" w:rsidR="00635A3A" w:rsidP="00012E48" w:rsidRDefault="0066609F" w14:paraId="015B698F" w14:textId="5E215BAE">
      <w:pPr>
        <w:pStyle w:val="Heading2"/>
      </w:pPr>
      <w:bookmarkStart w:name="_Toc233277284" w:id="13"/>
      <w:r w:rsidRPr="00FA26BB">
        <w:t>Submission Date</w:t>
      </w:r>
      <w:bookmarkEnd w:id="13"/>
    </w:p>
    <w:p w:rsidR="0066609F" w:rsidP="00983384" w:rsidRDefault="0066609F" w14:paraId="354A0FF6" w14:textId="109C2F72">
      <w:pPr>
        <w:pStyle w:val="Standard"/>
      </w:pPr>
      <w:r w:rsidRPr="00983384">
        <w:t xml:space="preserve">This matter was submitted on </w:t>
      </w:r>
      <w:r w:rsidRPr="00847B59" w:rsidR="00ED4D4B">
        <w:t xml:space="preserve">May </w:t>
      </w:r>
      <w:r w:rsidRPr="00847B59" w:rsidR="003D4AD6">
        <w:t>20</w:t>
      </w:r>
      <w:r w:rsidRPr="00847B59" w:rsidR="009B0CEE">
        <w:t>, 2026</w:t>
      </w:r>
      <w:r w:rsidRPr="00847B59">
        <w:t>, upon</w:t>
      </w:r>
      <w:r w:rsidRPr="00983384">
        <w:t xml:space="preserve"> </w:t>
      </w:r>
      <w:r w:rsidRPr="00983384" w:rsidR="00197BA9">
        <w:t xml:space="preserve">the filing of the Administrative Law Judge’s Ruling </w:t>
      </w:r>
      <w:r w:rsidR="009B0CEE">
        <w:t xml:space="preserve">Granting </w:t>
      </w:r>
      <w:r w:rsidRPr="00205A71" w:rsidR="009B0CEE">
        <w:rPr>
          <w:i/>
          <w:iCs/>
        </w:rPr>
        <w:t xml:space="preserve">the Motion of </w:t>
      </w:r>
      <w:r w:rsidRPr="00205A71" w:rsidR="00465B0C">
        <w:rPr>
          <w:i/>
          <w:iCs/>
        </w:rPr>
        <w:t>3CE</w:t>
      </w:r>
      <w:r w:rsidRPr="00205A71" w:rsidR="009B0CEE">
        <w:rPr>
          <w:i/>
          <w:iCs/>
        </w:rPr>
        <w:t xml:space="preserve"> to Admit Exhibits </w:t>
      </w:r>
      <w:r w:rsidRPr="0016385E" w:rsidR="009B0CEE">
        <w:rPr>
          <w:i/>
          <w:iCs/>
        </w:rPr>
        <w:t>into the Record and to Modify the Schedule</w:t>
      </w:r>
      <w:r w:rsidRPr="00983384" w:rsidR="00983384">
        <w:t>.</w:t>
      </w:r>
    </w:p>
    <w:p w:rsidRPr="00EE5A64" w:rsidR="00F977AE" w:rsidP="008D309E" w:rsidRDefault="00F977AE" w14:paraId="6FEF6CC6" w14:textId="10D1BB59">
      <w:pPr>
        <w:pStyle w:val="Heading1"/>
      </w:pPr>
      <w:bookmarkStart w:name="_Toc233277285" w:id="14"/>
      <w:r w:rsidRPr="00EE5A64">
        <w:t>Jurisdiction</w:t>
      </w:r>
      <w:bookmarkEnd w:id="14"/>
    </w:p>
    <w:p w:rsidR="00513640" w:rsidP="00465B0C" w:rsidRDefault="00513640" w14:paraId="44A7A076" w14:textId="55DEE2FA">
      <w:r>
        <w:t xml:space="preserve">AB 843 </w:t>
      </w:r>
      <w:r w:rsidR="00465B0C">
        <w:t xml:space="preserve">authorized the </w:t>
      </w:r>
      <w:r w:rsidR="001E20CD">
        <w:t xml:space="preserve">Commission </w:t>
      </w:r>
      <w:r w:rsidR="00465B0C">
        <w:t>to allow</w:t>
      </w:r>
      <w:r w:rsidR="001E20CD">
        <w:t xml:space="preserve"> CCA</w:t>
      </w:r>
      <w:r w:rsidR="006603F7">
        <w:t>s</w:t>
      </w:r>
      <w:r w:rsidR="001E20CD">
        <w:t xml:space="preserve"> </w:t>
      </w:r>
      <w:r w:rsidR="00465B0C">
        <w:t xml:space="preserve">to participate </w:t>
      </w:r>
      <w:r w:rsidR="006603F7">
        <w:t>in</w:t>
      </w:r>
      <w:r w:rsidR="00465B0C">
        <w:t xml:space="preserve"> the </w:t>
      </w:r>
      <w:proofErr w:type="spellStart"/>
      <w:r w:rsidR="00465B0C">
        <w:t>BioMAT</w:t>
      </w:r>
      <w:proofErr w:type="spellEnd"/>
      <w:r w:rsidR="006603F7">
        <w:t xml:space="preserve"> program</w:t>
      </w:r>
      <w:r w:rsidR="00F315D9">
        <w:t>,</w:t>
      </w:r>
      <w:r w:rsidR="00E0684E">
        <w:rPr>
          <w:rStyle w:val="FootnoteReference"/>
        </w:rPr>
        <w:footnoteReference w:id="33"/>
      </w:r>
      <w:r w:rsidR="00465B0C">
        <w:t xml:space="preserve"> </w:t>
      </w:r>
      <w:r w:rsidR="00A05A3F">
        <w:t xml:space="preserve">with </w:t>
      </w:r>
      <w:r w:rsidR="006B1596">
        <w:t xml:space="preserve">program </w:t>
      </w:r>
      <w:r w:rsidR="00465B0C">
        <w:t xml:space="preserve">requirements </w:t>
      </w:r>
      <w:r w:rsidR="006603F7">
        <w:t>for CCAs</w:t>
      </w:r>
      <w:r w:rsidR="000E37F4">
        <w:t xml:space="preserve"> </w:t>
      </w:r>
      <w:r w:rsidR="00465B0C">
        <w:t xml:space="preserve">set out </w:t>
      </w:r>
      <w:proofErr w:type="gramStart"/>
      <w:r w:rsidR="00465B0C">
        <w:t>in</w:t>
      </w:r>
      <w:proofErr w:type="gramEnd"/>
      <w:r w:rsidR="00465B0C">
        <w:t xml:space="preserve"> D.23-1</w:t>
      </w:r>
      <w:r w:rsidR="003F19AB">
        <w:t>1</w:t>
      </w:r>
      <w:r w:rsidR="00465B0C">
        <w:t>-084</w:t>
      </w:r>
      <w:r w:rsidR="001C712D">
        <w:t>.</w:t>
      </w:r>
      <w:r w:rsidR="00B24CFD">
        <w:rPr>
          <w:rStyle w:val="FootnoteReference"/>
        </w:rPr>
        <w:footnoteReference w:id="34"/>
      </w:r>
      <w:r w:rsidR="00B24662">
        <w:t xml:space="preserve"> </w:t>
      </w:r>
      <w:r w:rsidR="00465B0C">
        <w:t>3CE is a CCA operating in California, who request</w:t>
      </w:r>
      <w:r w:rsidR="00AB1CDC">
        <w:t>s</w:t>
      </w:r>
      <w:r w:rsidR="00465B0C">
        <w:t xml:space="preserve"> Commission approval for the operation of its </w:t>
      </w:r>
      <w:proofErr w:type="spellStart"/>
      <w:r w:rsidR="00465B0C">
        <w:t>BioMAT</w:t>
      </w:r>
      <w:proofErr w:type="spellEnd"/>
      <w:r w:rsidR="00465B0C">
        <w:t xml:space="preserve"> program pursuant to D.23-11-084. </w:t>
      </w:r>
      <w:r w:rsidR="00AB1CDC">
        <w:t xml:space="preserve">Therefore, the </w:t>
      </w:r>
      <w:r w:rsidR="00AB1CDC">
        <w:lastRenderedPageBreak/>
        <w:t>Commission</w:t>
      </w:r>
      <w:r w:rsidR="00465B0C">
        <w:t xml:space="preserve"> has jurisdiction to review and approve 3CE’s </w:t>
      </w:r>
      <w:proofErr w:type="spellStart"/>
      <w:r w:rsidR="00465B0C">
        <w:t>BioMAT</w:t>
      </w:r>
      <w:proofErr w:type="spellEnd"/>
      <w:r w:rsidR="00465B0C">
        <w:t xml:space="preserve"> program operations pursuant to</w:t>
      </w:r>
      <w:r w:rsidR="000B11C3">
        <w:t xml:space="preserve"> </w:t>
      </w:r>
      <w:r w:rsidR="001C712D">
        <w:t>AB 84</w:t>
      </w:r>
      <w:r w:rsidR="00465B0C">
        <w:t>3 and</w:t>
      </w:r>
      <w:r w:rsidR="00091614">
        <w:t xml:space="preserve"> D.23-11-084</w:t>
      </w:r>
      <w:r w:rsidR="00465B0C">
        <w:t>.</w:t>
      </w:r>
      <w:r w:rsidR="00091614">
        <w:t xml:space="preserve"> </w:t>
      </w:r>
    </w:p>
    <w:p w:rsidRPr="008C391A" w:rsidR="00010F4B" w:rsidP="00B01496" w:rsidRDefault="00010F4B" w14:paraId="7CF41737" w14:textId="20FA5BFD">
      <w:pPr>
        <w:pStyle w:val="Heading1"/>
      </w:pPr>
      <w:bookmarkStart w:name="_Toc233277286" w:id="15"/>
      <w:r w:rsidRPr="008C391A">
        <w:t>Issues Before the Commission</w:t>
      </w:r>
      <w:bookmarkEnd w:id="15"/>
    </w:p>
    <w:p w:rsidRPr="00E11D60" w:rsidR="00010F4B" w:rsidP="00010F4B" w:rsidRDefault="00E72E0E" w14:paraId="3B2B8434" w14:textId="387BF1F0">
      <w:pPr>
        <w:pStyle w:val="Standard"/>
      </w:pPr>
      <w:r>
        <w:t xml:space="preserve">The issues in the </w:t>
      </w:r>
      <w:proofErr w:type="gramStart"/>
      <w:r>
        <w:t>proceeding</w:t>
      </w:r>
      <w:proofErr w:type="gramEnd"/>
      <w:r>
        <w:t xml:space="preserve"> are:</w:t>
      </w:r>
    </w:p>
    <w:p w:rsidR="005000DA" w:rsidP="0062221B" w:rsidRDefault="00010F4B" w14:paraId="0566D06B" w14:textId="00537F10">
      <w:pPr>
        <w:pStyle w:val="Standard"/>
        <w:spacing w:after="120" w:line="240" w:lineRule="auto"/>
        <w:ind w:left="1080" w:right="1440" w:hanging="360"/>
      </w:pPr>
      <w:r w:rsidRPr="00BE2B2D">
        <w:t>1.</w:t>
      </w:r>
      <w:r w:rsidR="00D1110A">
        <w:tab/>
      </w:r>
      <w:r w:rsidRPr="00BE2B2D">
        <w:t xml:space="preserve">Whether 3CE’s administration of the </w:t>
      </w:r>
      <w:proofErr w:type="spellStart"/>
      <w:r w:rsidRPr="00BE2B2D">
        <w:t>BioMAT</w:t>
      </w:r>
      <w:proofErr w:type="spellEnd"/>
      <w:r w:rsidRPr="00BE2B2D">
        <w:t xml:space="preserve"> program during the Record Period, including the implementation of policies, practices, and procedures described in the Application and supporting testimony, complied with the Commission’s </w:t>
      </w:r>
      <w:proofErr w:type="spellStart"/>
      <w:r w:rsidRPr="00BE2B2D">
        <w:t>BioMAT</w:t>
      </w:r>
      <w:proofErr w:type="spellEnd"/>
      <w:r w:rsidRPr="00BE2B2D">
        <w:t xml:space="preserve"> program requirements and the Commission’s prudent manager standard, including, but not limited to, Standard of Conduct 4 from Commission D</w:t>
      </w:r>
      <w:r w:rsidR="007F3620">
        <w:t>.</w:t>
      </w:r>
      <w:r w:rsidRPr="00BE2B2D">
        <w:t xml:space="preserve">05-01-054. </w:t>
      </w:r>
    </w:p>
    <w:p w:rsidR="00010F4B" w:rsidP="0062221B" w:rsidRDefault="00010F4B" w14:paraId="13379444" w14:textId="49943BF6">
      <w:pPr>
        <w:pStyle w:val="Standard"/>
        <w:spacing w:after="120" w:line="240" w:lineRule="auto"/>
        <w:ind w:left="1080" w:right="1440" w:hanging="360"/>
      </w:pPr>
      <w:r w:rsidRPr="00BE2B2D">
        <w:t>2.</w:t>
      </w:r>
      <w:r w:rsidR="00D1110A">
        <w:tab/>
      </w:r>
      <w:r w:rsidRPr="00BE2B2D">
        <w:t xml:space="preserve">If </w:t>
      </w:r>
      <w:r>
        <w:t>3</w:t>
      </w:r>
      <w:r w:rsidRPr="00BE2B2D">
        <w:t>CE has not followed the Commission’s prudent manager standard, what adjustments, if any, should be made to account for imprudently managed or administered resources?</w:t>
      </w:r>
      <w:r>
        <w:rPr>
          <w:rStyle w:val="FootnoteReference"/>
        </w:rPr>
        <w:footnoteReference w:id="35"/>
      </w:r>
      <w:r w:rsidRPr="00BE2B2D">
        <w:t xml:space="preserve"> </w:t>
      </w:r>
    </w:p>
    <w:p w:rsidR="00010F4B" w:rsidP="0062221B" w:rsidRDefault="00010F4B" w14:paraId="563FA2A2" w14:textId="15F21FEE">
      <w:pPr>
        <w:pStyle w:val="Standard"/>
        <w:spacing w:after="120" w:line="240" w:lineRule="auto"/>
        <w:ind w:left="1080" w:right="1440" w:hanging="360"/>
      </w:pPr>
      <w:r w:rsidRPr="00BE2B2D">
        <w:t>3.</w:t>
      </w:r>
      <w:r w:rsidR="00D1110A">
        <w:tab/>
      </w:r>
      <w:r w:rsidRPr="00BE2B2D">
        <w:t xml:space="preserve">What are the impacts on environmental and social justice communities, and to what extent does 3CE’s </w:t>
      </w:r>
      <w:proofErr w:type="spellStart"/>
      <w:r w:rsidRPr="00BE2B2D">
        <w:t>BioMAT</w:t>
      </w:r>
      <w:proofErr w:type="spellEnd"/>
      <w:r w:rsidRPr="00BE2B2D">
        <w:t xml:space="preserve"> program implementation impact the achievement of any of the nine goals of the Commission’s Environmental and Social Justice Action Plan?</w:t>
      </w:r>
    </w:p>
    <w:p w:rsidR="00B943A9" w:rsidP="00E3005C" w:rsidRDefault="00B943A9" w14:paraId="259A319E" w14:textId="1E3E31CD">
      <w:r w:rsidRPr="00F909E9">
        <w:t xml:space="preserve">Because the Commission </w:t>
      </w:r>
      <w:r>
        <w:t>finds</w:t>
      </w:r>
      <w:r w:rsidRPr="00F909E9">
        <w:t xml:space="preserve"> that 3CE met </w:t>
      </w:r>
      <w:r>
        <w:t xml:space="preserve">Commission’s </w:t>
      </w:r>
      <w:proofErr w:type="spellStart"/>
      <w:r>
        <w:t>BioMAT</w:t>
      </w:r>
      <w:proofErr w:type="spellEnd"/>
      <w:r>
        <w:t xml:space="preserve"> program requirement and met </w:t>
      </w:r>
      <w:r w:rsidRPr="00F909E9">
        <w:t xml:space="preserve">the prudent manager standard in this application, </w:t>
      </w:r>
      <w:r>
        <w:t xml:space="preserve">issue 2 </w:t>
      </w:r>
      <w:r w:rsidRPr="00F909E9">
        <w:t>is moot</w:t>
      </w:r>
      <w:r>
        <w:t xml:space="preserve"> and will not be discussed further</w:t>
      </w:r>
      <w:r w:rsidRPr="00F909E9">
        <w:t>.</w:t>
      </w:r>
      <w:r w:rsidR="002B3296">
        <w:t xml:space="preserve"> </w:t>
      </w:r>
      <w:r>
        <w:t xml:space="preserve">Similarly, no ESJ issues were identified and therefore issue 3 will not be discussed in this decision.  </w:t>
      </w:r>
    </w:p>
    <w:p w:rsidR="00F075D5" w:rsidP="00F8722C" w:rsidRDefault="00F075D5" w14:paraId="34EA1C63" w14:textId="249D7CB3">
      <w:pPr>
        <w:pStyle w:val="Heading1"/>
      </w:pPr>
      <w:bookmarkStart w:name="_Toc233277287" w:id="16"/>
      <w:r>
        <w:lastRenderedPageBreak/>
        <w:t xml:space="preserve">3CE’s </w:t>
      </w:r>
      <w:r w:rsidR="00945C3B">
        <w:t xml:space="preserve">Administration of the </w:t>
      </w:r>
      <w:proofErr w:type="spellStart"/>
      <w:r w:rsidR="00945C3B">
        <w:t>BioMAT</w:t>
      </w:r>
      <w:proofErr w:type="spellEnd"/>
      <w:r w:rsidR="00945C3B">
        <w:t xml:space="preserve"> </w:t>
      </w:r>
      <w:r w:rsidR="007F3620">
        <w:br/>
      </w:r>
      <w:r w:rsidR="00945C3B">
        <w:t xml:space="preserve">Program During the Record Period: </w:t>
      </w:r>
      <w:r w:rsidR="007F3620">
        <w:br/>
      </w:r>
      <w:r w:rsidR="00945C3B">
        <w:t xml:space="preserve">Compliance with the Commission’s </w:t>
      </w:r>
      <w:r w:rsidR="007F3620">
        <w:br/>
      </w:r>
      <w:proofErr w:type="spellStart"/>
      <w:r w:rsidR="00945C3B">
        <w:t>BioM</w:t>
      </w:r>
      <w:r w:rsidR="00463446">
        <w:t>AT</w:t>
      </w:r>
      <w:proofErr w:type="spellEnd"/>
      <w:r w:rsidR="00945C3B">
        <w:t xml:space="preserve"> Requirements</w:t>
      </w:r>
      <w:bookmarkEnd w:id="16"/>
      <w:r w:rsidR="00945C3B">
        <w:t xml:space="preserve"> </w:t>
      </w:r>
    </w:p>
    <w:p w:rsidR="00FD75D1" w:rsidP="00010F4B" w:rsidRDefault="00745113" w14:paraId="3B8E920C" w14:textId="48C59247">
      <w:pPr>
        <w:pStyle w:val="Standard"/>
      </w:pPr>
      <w:r>
        <w:t>First,</w:t>
      </w:r>
      <w:r w:rsidR="00692856">
        <w:t xml:space="preserve"> we address </w:t>
      </w:r>
      <w:r w:rsidR="00FF10DC">
        <w:t xml:space="preserve">whether 3CE’s administration of the </w:t>
      </w:r>
      <w:proofErr w:type="spellStart"/>
      <w:r w:rsidR="00FF10DC">
        <w:t>BioMAT</w:t>
      </w:r>
      <w:proofErr w:type="spellEnd"/>
      <w:r w:rsidR="00FF10DC">
        <w:t xml:space="preserve"> program during the Record Period, including the implementation of policies, practices, and procedures described in the Application and supporting testimony, complied with the Commission’s </w:t>
      </w:r>
      <w:proofErr w:type="spellStart"/>
      <w:r w:rsidR="00FF10DC">
        <w:t>BioMAT</w:t>
      </w:r>
      <w:proofErr w:type="spellEnd"/>
      <w:r w:rsidR="00FF10DC">
        <w:t xml:space="preserve"> program requirements.</w:t>
      </w:r>
      <w:r w:rsidR="002B3296">
        <w:t xml:space="preserve"> </w:t>
      </w:r>
      <w:r w:rsidRPr="00D474DB" w:rsidR="00961E7A">
        <w:t xml:space="preserve">D.23-11-084 </w:t>
      </w:r>
      <w:r w:rsidR="001D5A54">
        <w:t xml:space="preserve">provides </w:t>
      </w:r>
      <w:proofErr w:type="spellStart"/>
      <w:r w:rsidR="001D5A54">
        <w:t>BioMAT</w:t>
      </w:r>
      <w:proofErr w:type="spellEnd"/>
      <w:r w:rsidR="001D5A54">
        <w:t xml:space="preserve"> program requirements </w:t>
      </w:r>
      <w:r w:rsidR="00606986">
        <w:t xml:space="preserve">that apply to CCAs that file </w:t>
      </w:r>
      <w:r w:rsidR="008517AC">
        <w:t xml:space="preserve">compliance applications under the </w:t>
      </w:r>
      <w:proofErr w:type="spellStart"/>
      <w:r w:rsidR="008517AC">
        <w:t>BioMAT</w:t>
      </w:r>
      <w:proofErr w:type="spellEnd"/>
      <w:r w:rsidR="008517AC">
        <w:t xml:space="preserve"> program, and also </w:t>
      </w:r>
      <w:r w:rsidR="006628EC">
        <w:t xml:space="preserve">provides that CCA applications under the </w:t>
      </w:r>
      <w:proofErr w:type="spellStart"/>
      <w:r w:rsidR="006628EC">
        <w:t>BioMAT</w:t>
      </w:r>
      <w:proofErr w:type="spellEnd"/>
      <w:r w:rsidR="006628EC">
        <w:t xml:space="preserve"> program must comply with the Commission’s prudent management standard.</w:t>
      </w:r>
      <w:r w:rsidRPr="00652937" w:rsidR="00981D1D">
        <w:rPr>
          <w:rStyle w:val="FootnoteReference"/>
        </w:rPr>
        <w:footnoteReference w:id="36"/>
      </w:r>
      <w:r w:rsidR="006628EC">
        <w:t xml:space="preserve"> </w:t>
      </w:r>
      <w:r w:rsidRPr="00150A7A" w:rsidR="00686166">
        <w:t xml:space="preserve">3CE </w:t>
      </w:r>
      <w:r w:rsidR="00563774">
        <w:t xml:space="preserve">requests a Commission finding that 3CE complied with the requirements set by the Commission in D.23-11-084 in implementing the </w:t>
      </w:r>
      <w:proofErr w:type="spellStart"/>
      <w:r w:rsidR="00563774">
        <w:t>BioMAT</w:t>
      </w:r>
      <w:proofErr w:type="spellEnd"/>
      <w:r w:rsidR="00563774">
        <w:t xml:space="preserve"> program during the Record </w:t>
      </w:r>
      <w:r w:rsidR="00216B90">
        <w:t>Period.</w:t>
      </w:r>
      <w:r w:rsidR="000E31C4">
        <w:rPr>
          <w:rStyle w:val="FootnoteReference"/>
        </w:rPr>
        <w:footnoteReference w:id="37"/>
      </w:r>
      <w:r w:rsidR="000E31C4">
        <w:t xml:space="preserve"> </w:t>
      </w:r>
      <w:r w:rsidR="00A37BBA">
        <w:t xml:space="preserve">The Commission grants 3CE’s request. </w:t>
      </w:r>
      <w:r w:rsidR="00CE639A">
        <w:t xml:space="preserve">As discussed in the subheadings below, </w:t>
      </w:r>
      <w:r w:rsidR="00B93226">
        <w:t xml:space="preserve">3CE has complied with each of these </w:t>
      </w:r>
      <w:proofErr w:type="spellStart"/>
      <w:r w:rsidR="000E260A">
        <w:t>BioMAT</w:t>
      </w:r>
      <w:proofErr w:type="spellEnd"/>
      <w:r w:rsidR="000E260A">
        <w:t xml:space="preserve"> program requirements</w:t>
      </w:r>
      <w:r w:rsidR="00C12D87">
        <w:t xml:space="preserve"> during the Record Period</w:t>
      </w:r>
      <w:r w:rsidR="00FD75D1">
        <w:t>.</w:t>
      </w:r>
      <w:r w:rsidR="000D5D6B">
        <w:rPr>
          <w:rStyle w:val="FootnoteReference"/>
        </w:rPr>
        <w:footnoteReference w:id="38"/>
      </w:r>
    </w:p>
    <w:p w:rsidR="00625400" w:rsidP="00625400" w:rsidRDefault="00625400" w14:paraId="19D0AB55" w14:textId="5E8990EC">
      <w:pPr>
        <w:pStyle w:val="Standard"/>
      </w:pPr>
      <w:r w:rsidRPr="00652937">
        <w:t xml:space="preserve">Each CCA that files a compliance application under the </w:t>
      </w:r>
      <w:proofErr w:type="spellStart"/>
      <w:r w:rsidRPr="00652937">
        <w:t>BioMAT</w:t>
      </w:r>
      <w:proofErr w:type="spellEnd"/>
      <w:r w:rsidRPr="00652937">
        <w:t xml:space="preserve"> program is required “to demonstrate compliance with </w:t>
      </w:r>
      <w:proofErr w:type="spellStart"/>
      <w:r w:rsidRPr="00652937">
        <w:t>BioMAT</w:t>
      </w:r>
      <w:proofErr w:type="spellEnd"/>
      <w:r w:rsidRPr="00652937">
        <w:t xml:space="preserve"> requirements…”</w:t>
      </w:r>
      <w:r w:rsidRPr="00652937">
        <w:rPr>
          <w:rStyle w:val="FootnoteReference"/>
        </w:rPr>
        <w:footnoteReference w:id="39"/>
      </w:r>
      <w:r w:rsidRPr="00652937">
        <w:t xml:space="preserve"> </w:t>
      </w:r>
      <w:r w:rsidRPr="000A2238">
        <w:t xml:space="preserve">To evaluate CCA compliance with a variety of </w:t>
      </w:r>
      <w:proofErr w:type="spellStart"/>
      <w:r w:rsidRPr="000A2238">
        <w:t>BioMAT</w:t>
      </w:r>
      <w:proofErr w:type="spellEnd"/>
      <w:r w:rsidRPr="000A2238">
        <w:t xml:space="preserve"> program elements, including but not limited to</w:t>
      </w:r>
      <w:r w:rsidR="002B6D50">
        <w:t>: (1)</w:t>
      </w:r>
      <w:r w:rsidRPr="000A2238">
        <w:t xml:space="preserve"> satisfaction of </w:t>
      </w:r>
      <w:proofErr w:type="spellStart"/>
      <w:r w:rsidRPr="000A2238">
        <w:t>BioMAT</w:t>
      </w:r>
      <w:proofErr w:type="spellEnd"/>
      <w:r w:rsidRPr="000A2238">
        <w:t xml:space="preserve"> tariff requirements, </w:t>
      </w:r>
      <w:r w:rsidR="002B6D50">
        <w:t>(2)</w:t>
      </w:r>
      <w:r w:rsidR="00D1110A">
        <w:t> </w:t>
      </w:r>
      <w:r w:rsidRPr="000A2238">
        <w:t xml:space="preserve">adherence to </w:t>
      </w:r>
      <w:r w:rsidR="00C53812">
        <w:t>California Independent System Operator (</w:t>
      </w:r>
      <w:r w:rsidRPr="000A2238">
        <w:t>CAISO</w:t>
      </w:r>
      <w:r w:rsidR="00C53812">
        <w:t>)</w:t>
      </w:r>
      <w:r w:rsidRPr="000A2238">
        <w:t xml:space="preserve"> market </w:t>
      </w:r>
      <w:r w:rsidRPr="000A2238">
        <w:lastRenderedPageBreak/>
        <w:t xml:space="preserve">dispatch rules per SOC 4, </w:t>
      </w:r>
      <w:r w:rsidR="002B6D50">
        <w:t xml:space="preserve">(3) </w:t>
      </w:r>
      <w:r w:rsidRPr="000A2238">
        <w:t xml:space="preserve">operation of balancing accounts, and </w:t>
      </w:r>
      <w:r w:rsidR="002B6D50">
        <w:t>(4)</w:t>
      </w:r>
      <w:r w:rsidR="00D1110A">
        <w:t> </w:t>
      </w:r>
      <w:r w:rsidRPr="000A2238">
        <w:t xml:space="preserve">administration of </w:t>
      </w:r>
      <w:proofErr w:type="spellStart"/>
      <w:r w:rsidRPr="000A2238">
        <w:t>BioMAT</w:t>
      </w:r>
      <w:proofErr w:type="spellEnd"/>
      <w:r w:rsidRPr="000A2238">
        <w:t xml:space="preserve"> rate schedule</w:t>
      </w:r>
      <w:r w:rsidR="002B6D50">
        <w:t>s</w:t>
      </w:r>
      <w:r w:rsidRPr="000A2238">
        <w:t>.</w:t>
      </w:r>
      <w:r w:rsidRPr="00EC587D">
        <w:rPr>
          <w:rStyle w:val="FootnoteReference"/>
        </w:rPr>
        <w:t xml:space="preserve"> </w:t>
      </w:r>
      <w:r>
        <w:rPr>
          <w:rStyle w:val="FootnoteReference"/>
        </w:rPr>
        <w:footnoteReference w:id="40"/>
      </w:r>
      <w:r>
        <w:t xml:space="preserve">  </w:t>
      </w:r>
    </w:p>
    <w:p w:rsidR="00C34A5D" w:rsidP="00F8722C" w:rsidRDefault="002B6D50" w14:paraId="03E3F889" w14:textId="1C504AE9">
      <w:pPr>
        <w:pStyle w:val="Heading2"/>
      </w:pPr>
      <w:bookmarkStart w:name="_Toc233277288" w:id="17"/>
      <w:r>
        <w:t xml:space="preserve">Satisfaction </w:t>
      </w:r>
      <w:proofErr w:type="gramStart"/>
      <w:r>
        <w:t>of</w:t>
      </w:r>
      <w:proofErr w:type="gramEnd"/>
      <w:r>
        <w:t xml:space="preserve"> </w:t>
      </w:r>
      <w:proofErr w:type="spellStart"/>
      <w:r>
        <w:t>BioMAT</w:t>
      </w:r>
      <w:proofErr w:type="spellEnd"/>
      <w:r>
        <w:t xml:space="preserve"> </w:t>
      </w:r>
      <w:r w:rsidR="00156213">
        <w:t xml:space="preserve">Program </w:t>
      </w:r>
      <w:r w:rsidR="007F3620">
        <w:br/>
      </w:r>
      <w:r w:rsidR="00474B0D">
        <w:t>Document Development and</w:t>
      </w:r>
      <w:r w:rsidR="00B51661">
        <w:t xml:space="preserve"> </w:t>
      </w:r>
      <w:r w:rsidR="007F3620">
        <w:br/>
      </w:r>
      <w:r>
        <w:t>Tariff Requirements</w:t>
      </w:r>
      <w:bookmarkEnd w:id="17"/>
    </w:p>
    <w:p w:rsidR="00C34A5D" w:rsidP="00C34A5D" w:rsidRDefault="00C34A5D" w14:paraId="5BC24994" w14:textId="285510B5">
      <w:pPr>
        <w:pStyle w:val="Standard"/>
      </w:pPr>
      <w:r>
        <w:t xml:space="preserve">D.23-11-084 Ordering Paragraph (OP) 2 instructed that: </w:t>
      </w:r>
      <w:r w:rsidRPr="00B134DC">
        <w:t xml:space="preserve">CCAs that initially elect to participate in the </w:t>
      </w:r>
      <w:proofErr w:type="spellStart"/>
      <w:r w:rsidRPr="00B134DC">
        <w:t>BioMAT</w:t>
      </w:r>
      <w:proofErr w:type="spellEnd"/>
      <w:r w:rsidRPr="00B134DC">
        <w:t xml:space="preserve"> program are directed to develop </w:t>
      </w:r>
      <w:proofErr w:type="spellStart"/>
      <w:r w:rsidRPr="00B134DC">
        <w:t>BioMAT</w:t>
      </w:r>
      <w:proofErr w:type="spellEnd"/>
      <w:r w:rsidRPr="00B134DC">
        <w:t xml:space="preserve"> standard program documents including but not limited to program tariffs, </w:t>
      </w:r>
      <w:r w:rsidR="00687E41">
        <w:t>Power Purchase Agreements (</w:t>
      </w:r>
      <w:r w:rsidRPr="00B134DC">
        <w:t>PPAs</w:t>
      </w:r>
      <w:r w:rsidR="00687E41">
        <w:t>)</w:t>
      </w:r>
      <w:r w:rsidRPr="00B134DC">
        <w:t xml:space="preserve">, program participation request (PPR) forms, and </w:t>
      </w:r>
      <w:r w:rsidR="002E4229">
        <w:t>Non-</w:t>
      </w:r>
      <w:proofErr w:type="spellStart"/>
      <w:r w:rsidR="002E4229">
        <w:t>Bypassable</w:t>
      </w:r>
      <w:proofErr w:type="spellEnd"/>
      <w:r w:rsidR="002E4229">
        <w:t xml:space="preserve"> Charge (</w:t>
      </w:r>
      <w:r w:rsidRPr="00B134DC">
        <w:t>NBC</w:t>
      </w:r>
      <w:r w:rsidR="00FF17C6">
        <w:t>)</w:t>
      </w:r>
      <w:r w:rsidRPr="00B134DC">
        <w:t xml:space="preserve"> </w:t>
      </w:r>
      <w:proofErr w:type="gramStart"/>
      <w:r w:rsidRPr="00B134DC">
        <w:t>rate schedules</w:t>
      </w:r>
      <w:proofErr w:type="gramEnd"/>
      <w:r w:rsidRPr="00B134DC">
        <w:t>.</w:t>
      </w:r>
    </w:p>
    <w:p w:rsidR="00C92520" w:rsidP="00C34A5D" w:rsidRDefault="002B6D50" w14:paraId="792CEE48" w14:textId="45EDE661">
      <w:pPr>
        <w:pStyle w:val="Standard"/>
      </w:pPr>
      <w:r>
        <w:t>The Commission fi</w:t>
      </w:r>
      <w:r w:rsidR="00613376">
        <w:t>n</w:t>
      </w:r>
      <w:r>
        <w:t>ds that, i</w:t>
      </w:r>
      <w:r w:rsidR="00C92520">
        <w:t xml:space="preserve">n compliance with this </w:t>
      </w:r>
      <w:r>
        <w:t>o</w:t>
      </w:r>
      <w:r w:rsidR="00C92520">
        <w:t xml:space="preserve">rdering </w:t>
      </w:r>
      <w:r>
        <w:t>p</w:t>
      </w:r>
      <w:r w:rsidR="00C92520">
        <w:t xml:space="preserve">aragraph, 3CE developed program tariffs, </w:t>
      </w:r>
      <w:r w:rsidR="007B79C4">
        <w:t xml:space="preserve">a PPA, and </w:t>
      </w:r>
      <w:proofErr w:type="spellStart"/>
      <w:r w:rsidR="00C92520">
        <w:t>BioMAT</w:t>
      </w:r>
      <w:proofErr w:type="spellEnd"/>
      <w:r w:rsidR="00C92520">
        <w:t xml:space="preserve"> PPR</w:t>
      </w:r>
      <w:r w:rsidR="00E54243">
        <w:t>s</w:t>
      </w:r>
      <w:r w:rsidR="00C92520">
        <w:t xml:space="preserve">. </w:t>
      </w:r>
      <w:r w:rsidR="005E3498">
        <w:t xml:space="preserve">Also, </w:t>
      </w:r>
      <w:r w:rsidR="00AD1EF0">
        <w:t>as discussed below, in this case, it is not necessary for 3CE to maintain separate NBC rate schedules.</w:t>
      </w:r>
      <w:r w:rsidR="002B3296">
        <w:t xml:space="preserve"> </w:t>
      </w:r>
      <w:r w:rsidR="00AD1EF0">
        <w:t xml:space="preserve">Further, </w:t>
      </w:r>
      <w:r w:rsidR="005E3498">
        <w:t>a</w:t>
      </w:r>
      <w:r w:rsidR="00C92520">
        <w:t>s discussed below, 3CE made extensive efforts to follow the applicable tariffs</w:t>
      </w:r>
      <w:r w:rsidR="00FF459E">
        <w:t xml:space="preserve"> it developed. </w:t>
      </w:r>
      <w:r w:rsidR="00C92520">
        <w:t xml:space="preserve">  </w:t>
      </w:r>
    </w:p>
    <w:p w:rsidR="00E54243" w:rsidP="00663C40" w:rsidRDefault="008C0501" w14:paraId="254CA120" w14:textId="6D48B1AD">
      <w:pPr>
        <w:pStyle w:val="Heading2"/>
      </w:pPr>
      <w:bookmarkStart w:name="_Toc233277289" w:id="18"/>
      <w:r>
        <w:t xml:space="preserve">Provision of a </w:t>
      </w:r>
      <w:r w:rsidR="00CD7DF4">
        <w:t>Standard</w:t>
      </w:r>
      <w:r w:rsidR="00B51661">
        <w:t xml:space="preserve"> </w:t>
      </w:r>
      <w:r w:rsidR="00E54243">
        <w:t>PPA and PPR</w:t>
      </w:r>
      <w:bookmarkEnd w:id="18"/>
    </w:p>
    <w:p w:rsidRPr="00402D10" w:rsidR="00402D10" w:rsidP="00402D10" w:rsidRDefault="0043478F" w14:paraId="326469B1" w14:textId="52ABFA38">
      <w:pPr>
        <w:pStyle w:val="Standard"/>
      </w:pPr>
      <w:r>
        <w:t xml:space="preserve">On behalf of </w:t>
      </w:r>
      <w:r w:rsidR="00763EFD">
        <w:t>3CE</w:t>
      </w:r>
      <w:r>
        <w:t xml:space="preserve"> and other participating CCA’s, </w:t>
      </w:r>
      <w:r w:rsidR="00991EE5">
        <w:t xml:space="preserve">on January 29, 2024, </w:t>
      </w:r>
      <w:r w:rsidR="0056737A">
        <w:t xml:space="preserve">the </w:t>
      </w:r>
      <w:r>
        <w:t>California Community Choice A</w:t>
      </w:r>
      <w:r w:rsidR="0056737A">
        <w:t>ssociation (</w:t>
      </w:r>
      <w:proofErr w:type="spellStart"/>
      <w:r w:rsidR="0056737A">
        <w:t>CalCCA</w:t>
      </w:r>
      <w:proofErr w:type="spellEnd"/>
      <w:r w:rsidR="0056737A">
        <w:t>)</w:t>
      </w:r>
      <w:r w:rsidR="00763EFD">
        <w:t xml:space="preserve"> filed a Joint Advice Letter</w:t>
      </w:r>
      <w:r w:rsidR="00CE71D8">
        <w:t>.</w:t>
      </w:r>
      <w:r w:rsidR="00991EE5">
        <w:rPr>
          <w:rStyle w:val="FootnoteReference"/>
        </w:rPr>
        <w:footnoteReference w:id="41"/>
      </w:r>
      <w:r w:rsidR="00CE71D8">
        <w:t xml:space="preserve">  That Joint Advice Letter </w:t>
      </w:r>
      <w:r w:rsidR="005A4985">
        <w:t xml:space="preserve">shows a standard pro forma CCA PPA, which </w:t>
      </w:r>
      <w:r w:rsidR="00830067">
        <w:t xml:space="preserve">made minor changes to PG&amp;E’s </w:t>
      </w:r>
      <w:proofErr w:type="spellStart"/>
      <w:r w:rsidR="00830067">
        <w:t>BioMAT</w:t>
      </w:r>
      <w:proofErr w:type="spellEnd"/>
      <w:r w:rsidR="00830067">
        <w:t xml:space="preserve"> PPA to apply to CCAs.</w:t>
      </w:r>
      <w:r w:rsidR="00830067">
        <w:rPr>
          <w:rStyle w:val="FootnoteReference"/>
        </w:rPr>
        <w:footnoteReference w:id="42"/>
      </w:r>
      <w:r w:rsidR="00830067">
        <w:t xml:space="preserve"> </w:t>
      </w:r>
      <w:r w:rsidR="00CE71D8">
        <w:t xml:space="preserve">That Joint Advice Letter also shows </w:t>
      </w:r>
      <w:r w:rsidR="00763EFD">
        <w:t>the participating CCA’s provided a CCA PPR</w:t>
      </w:r>
      <w:r w:rsidR="00A54D35">
        <w:t xml:space="preserve"> that was based on</w:t>
      </w:r>
      <w:r w:rsidR="006F215E">
        <w:t xml:space="preserve"> exist</w:t>
      </w:r>
      <w:r w:rsidR="00D040DC">
        <w:t>ing PG&amp;E forms</w:t>
      </w:r>
      <w:r w:rsidR="005B06FD">
        <w:t>.</w:t>
      </w:r>
      <w:r w:rsidR="00AF0D9C">
        <w:rPr>
          <w:rStyle w:val="FootnoteReference"/>
        </w:rPr>
        <w:footnoteReference w:id="43"/>
      </w:r>
      <w:r w:rsidR="00A54D35">
        <w:t xml:space="preserve">  </w:t>
      </w:r>
    </w:p>
    <w:p w:rsidR="00B965A8" w:rsidP="00663C40" w:rsidRDefault="00913B83" w14:paraId="4BD962D3" w14:textId="39701EF9">
      <w:pPr>
        <w:pStyle w:val="Heading2"/>
      </w:pPr>
      <w:bookmarkStart w:name="_Toc233277290" w:id="19"/>
      <w:r>
        <w:lastRenderedPageBreak/>
        <w:t xml:space="preserve">Compliance with </w:t>
      </w:r>
      <w:proofErr w:type="spellStart"/>
      <w:r>
        <w:t>BioMAT</w:t>
      </w:r>
      <w:proofErr w:type="spellEnd"/>
      <w:r>
        <w:t xml:space="preserve"> </w:t>
      </w:r>
      <w:r w:rsidR="003F0636">
        <w:t>Tarif</w:t>
      </w:r>
      <w:r w:rsidR="00A50A9E">
        <w:t>f</w:t>
      </w:r>
      <w:bookmarkEnd w:id="19"/>
    </w:p>
    <w:p w:rsidR="00C34A5D" w:rsidP="00C34A5D" w:rsidRDefault="00C34A5D" w14:paraId="478D9A3E" w14:textId="2AAB0E29">
      <w:pPr>
        <w:pStyle w:val="Standard"/>
      </w:pPr>
      <w:r>
        <w:t xml:space="preserve">The tariff requirements that apply </w:t>
      </w:r>
      <w:r w:rsidR="00AD24E7">
        <w:t xml:space="preserve">to </w:t>
      </w:r>
      <w:proofErr w:type="spellStart"/>
      <w:r w:rsidR="00AD24E7">
        <w:t>BioMAT</w:t>
      </w:r>
      <w:proofErr w:type="spellEnd"/>
      <w:r w:rsidR="00AD24E7">
        <w:t xml:space="preserve"> </w:t>
      </w:r>
      <w:r>
        <w:t xml:space="preserve">are </w:t>
      </w:r>
      <w:proofErr w:type="gramStart"/>
      <w:r>
        <w:t>extensive, and</w:t>
      </w:r>
      <w:proofErr w:type="gramEnd"/>
      <w:r>
        <w:t xml:space="preserve"> provided in </w:t>
      </w:r>
      <w:r w:rsidR="00226B74">
        <w:t xml:space="preserve">the Joint CCAs Advice Letter that includes 3CE </w:t>
      </w:r>
      <w:r w:rsidR="00AC2474">
        <w:t>A</w:t>
      </w:r>
      <w:r>
        <w:t xml:space="preserve">dvice </w:t>
      </w:r>
      <w:r w:rsidR="00AC2474">
        <w:t>L</w:t>
      </w:r>
      <w:r>
        <w:t>etter</w:t>
      </w:r>
      <w:r w:rsidR="00AC2474">
        <w:t xml:space="preserve"> 36-E</w:t>
      </w:r>
      <w:r>
        <w:t>, and included in its materials.</w:t>
      </w:r>
      <w:r>
        <w:rPr>
          <w:rStyle w:val="FootnoteReference"/>
        </w:rPr>
        <w:footnoteReference w:id="44"/>
      </w:r>
      <w:r>
        <w:t xml:space="preserve"> Compliance with the tariffs is discussed here.</w:t>
      </w:r>
    </w:p>
    <w:p w:rsidR="005C3D54" w:rsidP="00B6138D" w:rsidRDefault="005C3D54" w14:paraId="01D3C9B3" w14:textId="7F4B103C">
      <w:r>
        <w:t xml:space="preserve">As an initial matter, 3CE </w:t>
      </w:r>
      <w:r w:rsidR="009B758E">
        <w:t xml:space="preserve">Advice Letter </w:t>
      </w:r>
      <w:r w:rsidR="000506BE">
        <w:t xml:space="preserve">36-E </w:t>
      </w:r>
      <w:r>
        <w:t xml:space="preserve">includes a statement of work for the third-party administration of the </w:t>
      </w:r>
      <w:proofErr w:type="spellStart"/>
      <w:r>
        <w:t>BioMAT</w:t>
      </w:r>
      <w:proofErr w:type="spellEnd"/>
      <w:r>
        <w:t xml:space="preserve"> program</w:t>
      </w:r>
      <w:r w:rsidR="00556D4A">
        <w:t>.</w:t>
      </w:r>
      <w:r w:rsidR="002B3296">
        <w:t xml:space="preserve">  </w:t>
      </w:r>
      <w:r w:rsidR="00556D4A">
        <w:t>T</w:t>
      </w:r>
      <w:r>
        <w:t xml:space="preserve">hat shows its contractor will provide third party administration services that, at a minimum, comply with the </w:t>
      </w:r>
      <w:proofErr w:type="spellStart"/>
      <w:r>
        <w:t>BioMAT</w:t>
      </w:r>
      <w:proofErr w:type="spellEnd"/>
      <w:r>
        <w:t xml:space="preserve"> tariffs.</w:t>
      </w:r>
      <w:r>
        <w:rPr>
          <w:rStyle w:val="FootnoteReference"/>
        </w:rPr>
        <w:footnoteReference w:id="45"/>
      </w:r>
      <w:r>
        <w:t xml:space="preserve"> This shows 3CE’s contractor </w:t>
      </w:r>
      <w:r w:rsidR="00B66010">
        <w:t>is</w:t>
      </w:r>
      <w:r>
        <w:t xml:space="preserve"> tasked with meeting the </w:t>
      </w:r>
      <w:proofErr w:type="spellStart"/>
      <w:r>
        <w:t>BioMAT</w:t>
      </w:r>
      <w:proofErr w:type="spellEnd"/>
      <w:r>
        <w:t xml:space="preserve"> tariffs. </w:t>
      </w:r>
    </w:p>
    <w:p w:rsidRPr="00B56647" w:rsidR="00C34A5D" w:rsidP="00B6138D" w:rsidRDefault="00C34A5D" w14:paraId="597AA9AC" w14:textId="2AA20517">
      <w:r>
        <w:t xml:space="preserve">The tariff provides as follows: </w:t>
      </w:r>
      <w:r w:rsidRPr="00E21BE6">
        <w:t>The Applicant will submit a PPR for a Project to the IOU</w:t>
      </w:r>
      <w:r>
        <w:t xml:space="preserve"> </w:t>
      </w:r>
      <w:r w:rsidRPr="00E21BE6">
        <w:t xml:space="preserve">or CCA in whose territory the Project is located, and execution of a </w:t>
      </w:r>
      <w:proofErr w:type="spellStart"/>
      <w:r w:rsidRPr="00E21BE6">
        <w:t>BioMAT</w:t>
      </w:r>
      <w:proofErr w:type="spellEnd"/>
      <w:r w:rsidRPr="00E21BE6">
        <w:t xml:space="preserve"> PPA</w:t>
      </w:r>
      <w:r>
        <w:t xml:space="preserve"> </w:t>
      </w:r>
      <w:r w:rsidRPr="00E21BE6">
        <w:t>will result in the Contract Capacity of that Project being attributed to the Contract</w:t>
      </w:r>
      <w:r>
        <w:t xml:space="preserve"> </w:t>
      </w:r>
      <w:r w:rsidRPr="00E21BE6">
        <w:t>Capacity target for the IOU in whose service territory the Project is located, subject to</w:t>
      </w:r>
      <w:r>
        <w:t xml:space="preserve"> </w:t>
      </w:r>
      <w:r w:rsidRPr="00E21BE6">
        <w:t xml:space="preserve">Section G.4 of </w:t>
      </w:r>
      <w:r w:rsidRPr="00E21BE6" w:rsidR="004C50C1">
        <w:t>th</w:t>
      </w:r>
      <w:r w:rsidR="004C50C1">
        <w:t>e tariff’s</w:t>
      </w:r>
      <w:r w:rsidRPr="00E21BE6" w:rsidR="004C50C1">
        <w:t xml:space="preserve"> </w:t>
      </w:r>
      <w:r w:rsidRPr="00E21BE6">
        <w:t>schedule. Category 2 (Dairy) and Category 2 (Other Agriculture)</w:t>
      </w:r>
      <w:r>
        <w:t xml:space="preserve"> </w:t>
      </w:r>
      <w:r w:rsidRPr="00E21BE6">
        <w:t>are maintained in the same Category 2 queue.</w:t>
      </w:r>
      <w:r w:rsidR="002B3296">
        <w:t xml:space="preserve"> </w:t>
      </w:r>
      <w:r w:rsidRPr="00E21BE6">
        <w:t>However, an Applicant with a Category</w:t>
      </w:r>
      <w:r>
        <w:t xml:space="preserve"> </w:t>
      </w:r>
      <w:r w:rsidRPr="00E21BE6">
        <w:t>2 Project must indicate in its PPR whether its Project is (</w:t>
      </w:r>
      <w:proofErr w:type="spellStart"/>
      <w:r w:rsidRPr="00E21BE6">
        <w:t>i</w:t>
      </w:r>
      <w:proofErr w:type="spellEnd"/>
      <w:r w:rsidRPr="00E21BE6">
        <w:t>) Category 2 (Dairy), or (ii)</w:t>
      </w:r>
      <w:r>
        <w:t xml:space="preserve"> </w:t>
      </w:r>
      <w:r w:rsidRPr="00E21BE6">
        <w:t xml:space="preserve">Category 2 (Other Agriculture), for the purposes of establishing a </w:t>
      </w:r>
      <w:r w:rsidR="00795E77">
        <w:t>c</w:t>
      </w:r>
      <w:r w:rsidRPr="00E21BE6">
        <w:t xml:space="preserve">ontract </w:t>
      </w:r>
      <w:r w:rsidR="00795E77">
        <w:t>p</w:t>
      </w:r>
      <w:r w:rsidRPr="00E21BE6">
        <w:t>rice as</w:t>
      </w:r>
      <w:r>
        <w:t xml:space="preserve"> </w:t>
      </w:r>
      <w:r w:rsidRPr="00E21BE6">
        <w:t>set forth in Section H of th</w:t>
      </w:r>
      <w:r w:rsidR="00795E77">
        <w:t>e tariff’s</w:t>
      </w:r>
      <w:r w:rsidRPr="00E21BE6">
        <w:t xml:space="preserve"> </w:t>
      </w:r>
      <w:r w:rsidR="00795E77">
        <w:t>s</w:t>
      </w:r>
      <w:r w:rsidRPr="00E21BE6">
        <w:t>chedule and establishing th</w:t>
      </w:r>
      <w:r w:rsidR="006428EC">
        <w:t>at</w:t>
      </w:r>
      <w:r w:rsidRPr="00E21BE6">
        <w:t xml:space="preserve"> </w:t>
      </w:r>
      <w:r w:rsidR="006428EC">
        <w:t>p</w:t>
      </w:r>
      <w:r w:rsidRPr="00E21BE6">
        <w:t>roject</w:t>
      </w:r>
      <w:r>
        <w:t>’</w:t>
      </w:r>
      <w:r w:rsidRPr="00E21BE6">
        <w:t>s fuel resource</w:t>
      </w:r>
      <w:r>
        <w:t xml:space="preserve"> </w:t>
      </w:r>
      <w:r w:rsidRPr="00E21BE6">
        <w:t xml:space="preserve">requirements as set forth in the </w:t>
      </w:r>
      <w:proofErr w:type="spellStart"/>
      <w:r w:rsidRPr="00E21BE6">
        <w:t>BioMAT</w:t>
      </w:r>
      <w:proofErr w:type="spellEnd"/>
      <w:r w:rsidRPr="00E21BE6">
        <w:t xml:space="preserve"> PPA and Section D.13 of th</w:t>
      </w:r>
      <w:r w:rsidR="00795E77">
        <w:t>e tariff</w:t>
      </w:r>
      <w:r w:rsidRPr="00E21BE6">
        <w:t xml:space="preserve"> </w:t>
      </w:r>
      <w:r w:rsidR="00795E77">
        <w:t>s</w:t>
      </w:r>
      <w:r w:rsidRPr="00E21BE6">
        <w:t>chedule.</w:t>
      </w:r>
      <w:r>
        <w:rPr>
          <w:rStyle w:val="FootnoteReference"/>
        </w:rPr>
        <w:footnoteReference w:id="46"/>
      </w:r>
      <w:r>
        <w:t xml:space="preserve"> </w:t>
      </w:r>
      <w:r w:rsidRPr="007A1601">
        <w:t xml:space="preserve">To be eligible for CCAs </w:t>
      </w:r>
      <w:proofErr w:type="spellStart"/>
      <w:r w:rsidRPr="007A1601">
        <w:t>BioMAT</w:t>
      </w:r>
      <w:proofErr w:type="spellEnd"/>
      <w:r w:rsidRPr="007A1601">
        <w:t xml:space="preserve"> program and obtain a position in the applicable</w:t>
      </w:r>
      <w:r>
        <w:t xml:space="preserve"> </w:t>
      </w:r>
      <w:r w:rsidR="006428EC">
        <w:t>f</w:t>
      </w:r>
      <w:r w:rsidRPr="007A1601">
        <w:t xml:space="preserve">uel </w:t>
      </w:r>
      <w:r w:rsidR="006428EC">
        <w:t>r</w:t>
      </w:r>
      <w:r w:rsidRPr="00B56647">
        <w:t xml:space="preserve">esource </w:t>
      </w:r>
      <w:r w:rsidR="006428EC">
        <w:t>c</w:t>
      </w:r>
      <w:r w:rsidRPr="00B56647">
        <w:t xml:space="preserve">ategory queue, an Applicant must submit a complete </w:t>
      </w:r>
      <w:r w:rsidRPr="00B56647">
        <w:lastRenderedPageBreak/>
        <w:t>PPR to CCA.</w:t>
      </w:r>
      <w:r w:rsidRPr="00B56647">
        <w:rPr>
          <w:rStyle w:val="FootnoteReference"/>
        </w:rPr>
        <w:footnoteReference w:id="47"/>
      </w:r>
      <w:r w:rsidRPr="00B56647">
        <w:t xml:space="preserve"> The </w:t>
      </w:r>
      <w:r w:rsidRPr="007A1601">
        <w:t>Applicant must submit the PPR form to CCA in a manner and form</w:t>
      </w:r>
      <w:r w:rsidRPr="00B56647">
        <w:t xml:space="preserve"> specified by CCA.</w:t>
      </w:r>
      <w:r w:rsidRPr="00B56647">
        <w:rPr>
          <w:rStyle w:val="FootnoteReference"/>
        </w:rPr>
        <w:footnoteReference w:id="48"/>
      </w:r>
      <w:r w:rsidR="00B6138D">
        <w:t xml:space="preserve"> </w:t>
      </w:r>
      <w:r w:rsidRPr="00B56647">
        <w:t xml:space="preserve">In compliance with this tariff requirement, 3CE has provided a copy of the PPR that the Applicant, </w:t>
      </w:r>
      <w:r w:rsidR="00A432C1">
        <w:t>TRE</w:t>
      </w:r>
      <w:r w:rsidRPr="00B56647">
        <w:t>, submitted to it.</w:t>
      </w:r>
      <w:r w:rsidRPr="00B56647">
        <w:rPr>
          <w:rStyle w:val="FootnoteReference"/>
        </w:rPr>
        <w:footnoteReference w:id="49"/>
      </w:r>
      <w:r w:rsidRPr="00B56647">
        <w:t xml:space="preserve"> </w:t>
      </w:r>
      <w:r w:rsidR="002D7F18">
        <w:t>Also b</w:t>
      </w:r>
      <w:r w:rsidR="00A9606E">
        <w:t>ased upon confidential evidence provided by 3CE, t</w:t>
      </w:r>
      <w:r w:rsidRPr="00B56647">
        <w:t xml:space="preserve">his PPR is adequate to meet this tariff requirement.  </w:t>
      </w:r>
    </w:p>
    <w:p w:rsidRPr="00B56647" w:rsidR="00C34A5D" w:rsidP="00C34A5D" w:rsidRDefault="00C34A5D" w14:paraId="51CC1788" w14:textId="6FF5D63E">
      <w:r w:rsidRPr="00B56647">
        <w:t xml:space="preserve">The tariff also requires a </w:t>
      </w:r>
      <w:r w:rsidRPr="007A1601">
        <w:t>PPR Fee</w:t>
      </w:r>
      <w:r w:rsidRPr="00B56647">
        <w:t>, and states specifically that</w:t>
      </w:r>
      <w:r w:rsidRPr="007A1601">
        <w:t xml:space="preserve"> </w:t>
      </w:r>
      <w:r w:rsidRPr="00B56647">
        <w:t>“</w:t>
      </w:r>
      <w:r w:rsidRPr="007A1601">
        <w:t>Applicant must pay to CCA a non-refundable application fee as part</w:t>
      </w:r>
      <w:r w:rsidRPr="00B56647">
        <w:t xml:space="preserve"> </w:t>
      </w:r>
      <w:r w:rsidRPr="007A1601">
        <w:t>of each PPR submission calculated as follows: $2 per kilowatt (kW) multiplied</w:t>
      </w:r>
      <w:r w:rsidRPr="00B56647">
        <w:t xml:space="preserve"> by the Project’s Contract Capacity.”</w:t>
      </w:r>
      <w:r w:rsidRPr="00B56647">
        <w:rPr>
          <w:rStyle w:val="FootnoteReference"/>
        </w:rPr>
        <w:footnoteReference w:id="50"/>
      </w:r>
      <w:r w:rsidRPr="00B56647">
        <w:t xml:space="preserve"> In satisfaction of this tariff requirement, on February 12, 2025, 3CE received payment from TRE for the non-refundable application fee of $6,000.</w:t>
      </w:r>
      <w:r w:rsidRPr="00B56647">
        <w:rPr>
          <w:rStyle w:val="FootnoteReference"/>
        </w:rPr>
        <w:footnoteReference w:id="51"/>
      </w:r>
    </w:p>
    <w:p w:rsidR="00C34A5D" w:rsidP="00C34A5D" w:rsidRDefault="00C34A5D" w14:paraId="1DAF9367" w14:textId="4C6B8467">
      <w:r w:rsidRPr="00F15F6B">
        <w:t>The tariff also requires supporting documentation in the form of an interconnection study or interconnection agreement, that must be submitted to the CCA in a timely fashion.</w:t>
      </w:r>
      <w:r w:rsidRPr="00F15F6B">
        <w:rPr>
          <w:rStyle w:val="FootnoteReference"/>
        </w:rPr>
        <w:footnoteReference w:id="52"/>
      </w:r>
      <w:r w:rsidRPr="00F15F6B">
        <w:t xml:space="preserve"> In compliance with this requirement, </w:t>
      </w:r>
      <w:r w:rsidRPr="00FA1D1D">
        <w:t>TRE provided an executed Rule 21 agreement with PG&amp;E for interconnection to PG&amp;E’s distribution system.</w:t>
      </w:r>
      <w:r w:rsidRPr="00FA1D1D">
        <w:rPr>
          <w:rStyle w:val="FootnoteReference"/>
        </w:rPr>
        <w:footnoteReference w:id="53"/>
      </w:r>
      <w:r w:rsidRPr="00F15F6B">
        <w:t xml:space="preserve">  </w:t>
      </w:r>
    </w:p>
    <w:p w:rsidRPr="007A1601" w:rsidR="00C34A5D" w:rsidP="00C34A5D" w:rsidRDefault="00C34A5D" w14:paraId="73B68578" w14:textId="53C347F9">
      <w:r w:rsidRPr="00E403C1">
        <w:t>The tariff requires a</w:t>
      </w:r>
      <w:r w:rsidRPr="007A1601">
        <w:t xml:space="preserve"> completed </w:t>
      </w:r>
      <w:r w:rsidR="00A9606E">
        <w:t>c</w:t>
      </w:r>
      <w:r w:rsidRPr="007A1601">
        <w:t xml:space="preserve">over </w:t>
      </w:r>
      <w:r w:rsidR="00A9606E">
        <w:t>s</w:t>
      </w:r>
      <w:r w:rsidRPr="007A1601">
        <w:t xml:space="preserve">heet for the </w:t>
      </w:r>
      <w:proofErr w:type="spellStart"/>
      <w:r w:rsidRPr="007A1601">
        <w:t>BioMAT</w:t>
      </w:r>
      <w:proofErr w:type="spellEnd"/>
      <w:r w:rsidRPr="007A1601">
        <w:t xml:space="preserve"> PPA, including (but not</w:t>
      </w:r>
      <w:r w:rsidRPr="00E403C1">
        <w:t xml:space="preserve"> </w:t>
      </w:r>
      <w:r w:rsidRPr="007A1601">
        <w:t xml:space="preserve">limited to) a description of the </w:t>
      </w:r>
      <w:r w:rsidR="00A9606E">
        <w:t>p</w:t>
      </w:r>
      <w:r w:rsidRPr="007A1601">
        <w:t xml:space="preserve">roject, a </w:t>
      </w:r>
      <w:r w:rsidR="00A9606E">
        <w:t>f</w:t>
      </w:r>
      <w:r w:rsidRPr="007A1601">
        <w:t>acility drawing, a single line</w:t>
      </w:r>
      <w:r w:rsidRPr="00E403C1">
        <w:t xml:space="preserve"> </w:t>
      </w:r>
      <w:r w:rsidRPr="007A1601">
        <w:lastRenderedPageBreak/>
        <w:t xml:space="preserve">diagram and a site map clearly outlining the border of the </w:t>
      </w:r>
      <w:r w:rsidR="009E213B">
        <w:t>p</w:t>
      </w:r>
      <w:r w:rsidRPr="007A1601">
        <w:t>roject site for</w:t>
      </w:r>
      <w:r w:rsidRPr="00E403C1">
        <w:t xml:space="preserve"> </w:t>
      </w:r>
      <w:r w:rsidRPr="007A1601">
        <w:t>which site control exists.</w:t>
      </w:r>
      <w:r w:rsidRPr="00E403C1">
        <w:rPr>
          <w:rStyle w:val="FootnoteReference"/>
        </w:rPr>
        <w:footnoteReference w:id="54"/>
      </w:r>
      <w:r w:rsidRPr="00E403C1">
        <w:t xml:space="preserve"> </w:t>
      </w:r>
      <w:r w:rsidR="006D21DB">
        <w:t>3CE provided adequate information to show</w:t>
      </w:r>
      <w:r>
        <w:t xml:space="preserve"> compliance with this requirement, </w:t>
      </w:r>
      <w:r w:rsidR="006D21DB">
        <w:t>including a</w:t>
      </w:r>
      <w:r w:rsidR="00F8171A">
        <w:t xml:space="preserve"> </w:t>
      </w:r>
      <w:proofErr w:type="spellStart"/>
      <w:r w:rsidR="00F8171A">
        <w:t>BioMAT</w:t>
      </w:r>
      <w:proofErr w:type="spellEnd"/>
      <w:r w:rsidR="00F8171A">
        <w:t xml:space="preserve"> PPA it executed with TRE, </w:t>
      </w:r>
      <w:r w:rsidR="006D5276">
        <w:t xml:space="preserve">and </w:t>
      </w:r>
      <w:r w:rsidR="00F8171A">
        <w:t xml:space="preserve">including </w:t>
      </w:r>
      <w:r w:rsidR="00942C80">
        <w:t>a</w:t>
      </w:r>
      <w:r w:rsidR="001F18F9">
        <w:t xml:space="preserve"> site map with the project boundary</w:t>
      </w:r>
      <w:r w:rsidR="00AE51A2">
        <w:t>.</w:t>
      </w:r>
      <w:r w:rsidR="00AE51A2">
        <w:rPr>
          <w:rStyle w:val="FootnoteReference"/>
        </w:rPr>
        <w:footnoteReference w:id="55"/>
      </w:r>
      <w:r w:rsidR="00AE51A2">
        <w:t xml:space="preserve"> </w:t>
      </w:r>
      <w:r w:rsidR="00FB6FB7">
        <w:t xml:space="preserve"> </w:t>
      </w:r>
    </w:p>
    <w:p w:rsidRPr="004C77A7" w:rsidR="00C34A5D" w:rsidP="002C7D73" w:rsidRDefault="00C34A5D" w14:paraId="11821DDE" w14:textId="19B4CCB7">
      <w:r w:rsidRPr="00AA1444">
        <w:t xml:space="preserve">The </w:t>
      </w:r>
      <w:proofErr w:type="spellStart"/>
      <w:r w:rsidRPr="00AA1444">
        <w:t>BioMAT</w:t>
      </w:r>
      <w:proofErr w:type="spellEnd"/>
      <w:r w:rsidRPr="00AA1444">
        <w:t xml:space="preserve"> tariff also requires that within</w:t>
      </w:r>
      <w:r w:rsidRPr="007A1601">
        <w:t xml:space="preserve"> twenty (20)</w:t>
      </w:r>
      <w:r w:rsidRPr="00AA1444">
        <w:t xml:space="preserve"> </w:t>
      </w:r>
      <w:r w:rsidRPr="007A1601">
        <w:t xml:space="preserve">business days of receiving a PPR, </w:t>
      </w:r>
      <w:r w:rsidR="00D519EB">
        <w:t>the CCA,</w:t>
      </w:r>
      <w:r w:rsidRPr="007A1601">
        <w:t xml:space="preserve"> in its sole discretion, will confirm</w:t>
      </w:r>
      <w:r w:rsidRPr="00AA1444">
        <w:t xml:space="preserve"> </w:t>
      </w:r>
      <w:r w:rsidRPr="007A1601">
        <w:t>whether the Applican</w:t>
      </w:r>
      <w:r w:rsidRPr="00AA1444">
        <w:t>t’</w:t>
      </w:r>
      <w:r w:rsidRPr="007A1601">
        <w:t xml:space="preserve">s PPR is deemed complete and satisfies the </w:t>
      </w:r>
      <w:r w:rsidR="002D7F18">
        <w:t>e</w:t>
      </w:r>
      <w:r w:rsidRPr="007A1601">
        <w:t>ligibility</w:t>
      </w:r>
      <w:r w:rsidRPr="00AA1444">
        <w:t xml:space="preserve"> </w:t>
      </w:r>
      <w:r w:rsidR="002D7F18">
        <w:t>c</w:t>
      </w:r>
      <w:r w:rsidRPr="007A1601">
        <w:t>riteria. Applicants will be assigned a program position (</w:t>
      </w:r>
      <w:proofErr w:type="spellStart"/>
      <w:r w:rsidRPr="007A1601">
        <w:t>BioMAT</w:t>
      </w:r>
      <w:proofErr w:type="spellEnd"/>
      <w:r w:rsidRPr="007A1601">
        <w:t xml:space="preserve"> Queue</w:t>
      </w:r>
      <w:r w:rsidRPr="00AA1444">
        <w:t xml:space="preserve"> </w:t>
      </w:r>
      <w:r w:rsidRPr="007A1601">
        <w:t>Number) by the Third-Party Administrator once the PPR is deemed complete</w:t>
      </w:r>
      <w:r w:rsidRPr="00AA1444">
        <w:t xml:space="preserve"> </w:t>
      </w:r>
      <w:r w:rsidRPr="007A1601">
        <w:t>by the CCA.</w:t>
      </w:r>
      <w:r w:rsidR="002B3296">
        <w:t xml:space="preserve"> </w:t>
      </w:r>
      <w:r w:rsidRPr="007A1601">
        <w:t xml:space="preserve">If the PPR is deemed complete, the </w:t>
      </w:r>
      <w:proofErr w:type="spellStart"/>
      <w:r w:rsidRPr="007A1601">
        <w:t>BioMAT</w:t>
      </w:r>
      <w:proofErr w:type="spellEnd"/>
      <w:r w:rsidRPr="007A1601">
        <w:t xml:space="preserve"> Queue Number</w:t>
      </w:r>
      <w:r w:rsidRPr="00AA1444">
        <w:t xml:space="preserve"> </w:t>
      </w:r>
      <w:r w:rsidRPr="007A1601">
        <w:t>assignment provided by the Third-Party Administrator will be based on the date</w:t>
      </w:r>
      <w:r w:rsidRPr="00AA1444">
        <w:t xml:space="preserve"> and time that the PPR was received by CCA.</w:t>
      </w:r>
      <w:r w:rsidRPr="00AA1444">
        <w:rPr>
          <w:rStyle w:val="FootnoteReference"/>
        </w:rPr>
        <w:footnoteReference w:id="56"/>
      </w:r>
      <w:r w:rsidRPr="00AA1444">
        <w:t xml:space="preserve"> According to the tariff, the </w:t>
      </w:r>
      <w:r w:rsidRPr="007A1601">
        <w:t>CCA, in its sole discretion, may permit the Applicant to cure</w:t>
      </w:r>
      <w:r w:rsidRPr="00AA1444">
        <w:t xml:space="preserve"> </w:t>
      </w:r>
      <w:r w:rsidRPr="007A1601">
        <w:t xml:space="preserve">minor deficiencies, as determined by </w:t>
      </w:r>
      <w:r w:rsidRPr="00AA1444">
        <w:t>th</w:t>
      </w:r>
      <w:r w:rsidRPr="00924FC0">
        <w:t xml:space="preserve">e </w:t>
      </w:r>
      <w:r w:rsidRPr="007A1601">
        <w:t>CCA, by re-submitting the PPR (or a</w:t>
      </w:r>
      <w:r w:rsidRPr="00924FC0">
        <w:t xml:space="preserve"> </w:t>
      </w:r>
      <w:r w:rsidRPr="007A1601">
        <w:t>subset thereof) within ten (10) business days of notice from CCA of the</w:t>
      </w:r>
      <w:r w:rsidRPr="00924FC0">
        <w:t xml:space="preserve"> deficiency.</w:t>
      </w:r>
      <w:r w:rsidRPr="00924FC0">
        <w:rPr>
          <w:rStyle w:val="FootnoteReference"/>
        </w:rPr>
        <w:footnoteReference w:id="57"/>
      </w:r>
      <w:r w:rsidRPr="00924FC0">
        <w:t xml:space="preserve"> The tariff also provides: “</w:t>
      </w:r>
      <w:r w:rsidRPr="004E4359">
        <w:t>Upon notification of PPA award, CCA will review the PPR within twenty (20)</w:t>
      </w:r>
      <w:r w:rsidRPr="00924FC0">
        <w:t xml:space="preserve"> </w:t>
      </w:r>
      <w:r w:rsidRPr="004E4359">
        <w:t>business days and will notif</w:t>
      </w:r>
      <w:r w:rsidR="004C78C5">
        <w:t>y</w:t>
      </w:r>
      <w:r w:rsidRPr="004E4359">
        <w:t xml:space="preserve"> the Applicant of any deficiencies.</w:t>
      </w:r>
      <w:r w:rsidR="002B3296">
        <w:t xml:space="preserve"> </w:t>
      </w:r>
      <w:r w:rsidRPr="004E4359">
        <w:t>The Applicant must</w:t>
      </w:r>
      <w:r w:rsidRPr="00924FC0">
        <w:t xml:space="preserve"> cure the deficiencies and resubmit the PPR within ten (10) business days of notice from</w:t>
      </w:r>
      <w:r w:rsidRPr="00924FC0">
        <w:rPr>
          <w:rFonts w:ascii="TimesNewRoman" w:eastAsia="TimesNewRoman" w:cs="TimesNewRoman"/>
          <w:color w:val="00B1F1"/>
          <w:sz w:val="24"/>
          <w:szCs w:val="24"/>
        </w:rPr>
        <w:t xml:space="preserve"> </w:t>
      </w:r>
      <w:r w:rsidRPr="00924FC0">
        <w:t xml:space="preserve">CCA of the deficiency. CCA will review the PPR within ten (10) business days of </w:t>
      </w:r>
      <w:r w:rsidRPr="004E4359">
        <w:t>receipt of the resubmitted PPR.</w:t>
      </w:r>
      <w:r w:rsidR="002B3296">
        <w:t xml:space="preserve"> </w:t>
      </w:r>
      <w:r w:rsidRPr="004E4359">
        <w:t>If no deficiencies remain, CCA will notify the</w:t>
      </w:r>
      <w:r w:rsidRPr="00924FC0">
        <w:t xml:space="preserve"> </w:t>
      </w:r>
      <w:r w:rsidRPr="004E4359">
        <w:t>Applicant. CCA will offer an executable PPA to the Applicant within twenty (20)</w:t>
      </w:r>
      <w:r w:rsidRPr="00924FC0">
        <w:t xml:space="preserve"> </w:t>
      </w:r>
      <w:r w:rsidRPr="00924FC0">
        <w:lastRenderedPageBreak/>
        <w:t>business days of notice that no deficiencies remain.”</w:t>
      </w:r>
      <w:r w:rsidRPr="00924FC0">
        <w:rPr>
          <w:rStyle w:val="FootnoteReference"/>
        </w:rPr>
        <w:footnoteReference w:id="58"/>
      </w:r>
      <w:r>
        <w:t xml:space="preserve"> According to the tariff, “</w:t>
      </w:r>
      <w:r w:rsidRPr="00AB3E99">
        <w:t xml:space="preserve">Applicants that are awarded a </w:t>
      </w:r>
      <w:proofErr w:type="spellStart"/>
      <w:r w:rsidRPr="00AB3E99">
        <w:t>BioMAT</w:t>
      </w:r>
      <w:proofErr w:type="spellEnd"/>
      <w:r w:rsidRPr="00AB3E99">
        <w:t xml:space="preserve"> PPA for a Period must submit an executed </w:t>
      </w:r>
      <w:proofErr w:type="spellStart"/>
      <w:r w:rsidRPr="00AB3E99">
        <w:t>BioMAT</w:t>
      </w:r>
      <w:proofErr w:type="spellEnd"/>
      <w:r w:rsidRPr="00AB3E99">
        <w:t xml:space="preserve"> PPA to CCA within twenty (20) business days of receiving an executable </w:t>
      </w:r>
      <w:proofErr w:type="spellStart"/>
      <w:r w:rsidRPr="00AB3E99">
        <w:t>BioMAT</w:t>
      </w:r>
      <w:proofErr w:type="spellEnd"/>
      <w:r w:rsidRPr="00AB3E99">
        <w:t xml:space="preserve"> PPA from CCA.”</w:t>
      </w:r>
      <w:r w:rsidRPr="00AB3E99">
        <w:rPr>
          <w:rStyle w:val="FootnoteReference"/>
        </w:rPr>
        <w:footnoteReference w:id="59"/>
      </w:r>
    </w:p>
    <w:p w:rsidRPr="00AA1444" w:rsidR="00C34A5D" w:rsidP="00C34A5D" w:rsidRDefault="00C34A5D" w14:paraId="47C090A2" w14:textId="47817A47">
      <w:pPr>
        <w:spacing w:after="160"/>
      </w:pPr>
      <w:r>
        <w:t xml:space="preserve">In compliance with the tariff, </w:t>
      </w:r>
      <w:r w:rsidRPr="00AA1444">
        <w:t xml:space="preserve">3CE reviewed TRE’s application, and identified a minor deficiency with TPE’s PPR in that TRE inadvertently uploaded an incorrect file instead of providing an organization chart required by the </w:t>
      </w:r>
      <w:proofErr w:type="spellStart"/>
      <w:r w:rsidRPr="00AA1444">
        <w:t>BioMAT</w:t>
      </w:r>
      <w:proofErr w:type="spellEnd"/>
      <w:r w:rsidRPr="00AA1444">
        <w:t xml:space="preserve"> tariff.</w:t>
      </w:r>
      <w:r w:rsidRPr="00AA1444">
        <w:rPr>
          <w:rStyle w:val="FootnoteReference"/>
        </w:rPr>
        <w:footnoteReference w:id="60"/>
      </w:r>
      <w:r w:rsidRPr="00AA1444">
        <w:t xml:space="preserve">  Pursuant to the tariff, 3CE notified TRE of the deficiency on February 25, 2025. TRE then uploaded an updated organization chart on March 3, 2025, within the allowed 10 business days to cure.</w:t>
      </w:r>
      <w:r w:rsidRPr="00AA1444">
        <w:rPr>
          <w:rStyle w:val="FootnoteReference"/>
        </w:rPr>
        <w:footnoteReference w:id="61"/>
      </w:r>
      <w:r w:rsidRPr="00AA1444">
        <w:t xml:space="preserve"> On March 11, 2025, within 20 days of the date the PPR was re-submitted, 3CE confirmed the PPR was deemed complete.</w:t>
      </w:r>
      <w:r w:rsidRPr="00AA1444">
        <w:rPr>
          <w:rStyle w:val="FootnoteReference"/>
        </w:rPr>
        <w:footnoteReference w:id="62"/>
      </w:r>
      <w:r w:rsidR="007F3620">
        <w:t xml:space="preserve"> </w:t>
      </w:r>
      <w:r>
        <w:t xml:space="preserve">3CE messaged Accion </w:t>
      </w:r>
      <w:r w:rsidR="002D7F18">
        <w:t xml:space="preserve">LLC </w:t>
      </w:r>
      <w:r>
        <w:t>on April 25, 2025 to confirm no deficiencies.</w:t>
      </w:r>
      <w:r>
        <w:rPr>
          <w:rStyle w:val="FootnoteReference"/>
        </w:rPr>
        <w:footnoteReference w:id="63"/>
      </w:r>
      <w:r>
        <w:t xml:space="preserve">  On May 8, 2025, 3CE shared an executable PPA with TRE via upload to 3CE’s web portal.</w:t>
      </w:r>
      <w:r>
        <w:rPr>
          <w:rStyle w:val="FootnoteReference"/>
        </w:rPr>
        <w:footnoteReference w:id="64"/>
      </w:r>
      <w:r>
        <w:t xml:space="preserve"> On June 5, 2025, TRE returned an executed PPA to 3CE.</w:t>
      </w:r>
      <w:r>
        <w:rPr>
          <w:rStyle w:val="FootnoteReference"/>
        </w:rPr>
        <w:footnoteReference w:id="65"/>
      </w:r>
      <w:r>
        <w:t xml:space="preserve"> June 5, 2025 is 20 business days after May 8, 2025.</w:t>
      </w:r>
      <w:r w:rsidR="002B3296">
        <w:t xml:space="preserve"> </w:t>
      </w:r>
      <w:r>
        <w:t>3CE’s process of notifying TRE of the deficiency, allowing for the deficiency to be cured, deeming the application complete, offering an executable PPA to TRE, and receiving an executed PPA from TRE all timely comply with these tariff requirements.</w:t>
      </w:r>
    </w:p>
    <w:p w:rsidRPr="00720F2A" w:rsidR="00C34A5D" w:rsidP="002C7D73" w:rsidRDefault="00C34A5D" w14:paraId="387FBF48" w14:textId="330D8C30">
      <w:pPr>
        <w:spacing w:after="120"/>
      </w:pPr>
      <w:r>
        <w:lastRenderedPageBreak/>
        <w:t xml:space="preserve">The tariff also requires that a website contain specific </w:t>
      </w:r>
      <w:proofErr w:type="spellStart"/>
      <w:r>
        <w:t>BioMAT</w:t>
      </w:r>
      <w:proofErr w:type="spellEnd"/>
      <w:r>
        <w:t xml:space="preserve"> information. First, </w:t>
      </w:r>
      <w:r w:rsidR="002D7F18">
        <w:t>r</w:t>
      </w:r>
      <w:r w:rsidRPr="00720F2A">
        <w:t xml:space="preserve">egarding capacity, the tariff requires of CCA’s as follows: </w:t>
      </w:r>
    </w:p>
    <w:p w:rsidRPr="009667EE" w:rsidR="00C34A5D" w:rsidP="004B6C2B" w:rsidRDefault="00C34A5D" w14:paraId="17D9F923" w14:textId="74DB0225">
      <w:pPr>
        <w:ind w:firstLine="0"/>
      </w:pPr>
      <w:r w:rsidRPr="009667EE">
        <w:t xml:space="preserve">On the Effective Date of </w:t>
      </w:r>
      <w:proofErr w:type="spellStart"/>
      <w:r w:rsidRPr="009667EE">
        <w:t>BioMAT</w:t>
      </w:r>
      <w:proofErr w:type="spellEnd"/>
      <w:r w:rsidRPr="009667EE">
        <w:t xml:space="preserve"> and by the first business day of each Period, the</w:t>
      </w:r>
      <w:r w:rsidRPr="00720F2A">
        <w:t xml:space="preserve"> </w:t>
      </w:r>
      <w:r w:rsidRPr="009667EE">
        <w:t>following capacity information will be posted on CCA</w:t>
      </w:r>
      <w:r>
        <w:t>’s</w:t>
      </w:r>
      <w:r w:rsidRPr="009667EE">
        <w:t xml:space="preserve"> website and/or online</w:t>
      </w:r>
      <w:r w:rsidRPr="00720F2A">
        <w:t xml:space="preserve"> </w:t>
      </w:r>
      <w:r w:rsidRPr="009667EE">
        <w:t xml:space="preserve">platform, or as otherwise </w:t>
      </w:r>
      <w:proofErr w:type="gramStart"/>
      <w:r w:rsidRPr="009667EE">
        <w:t>determine</w:t>
      </w:r>
      <w:proofErr w:type="gramEnd"/>
      <w:r w:rsidRPr="009667EE">
        <w:t xml:space="preserve"> by the Third-Party Administrator in </w:t>
      </w:r>
      <w:proofErr w:type="spellStart"/>
      <w:r w:rsidRPr="009667EE">
        <w:t>BioMAT</w:t>
      </w:r>
      <w:proofErr w:type="spellEnd"/>
      <w:r w:rsidRPr="009667EE">
        <w:t>:</w:t>
      </w:r>
    </w:p>
    <w:p w:rsidRPr="009667EE" w:rsidR="00C34A5D" w:rsidP="00B754C4" w:rsidRDefault="00C34A5D" w14:paraId="20376E3C" w14:textId="6549241C">
      <w:pPr>
        <w:spacing w:after="120" w:line="240" w:lineRule="auto"/>
        <w:ind w:left="1080" w:right="1440" w:hanging="360"/>
      </w:pPr>
      <w:r w:rsidRPr="009667EE">
        <w:t>a.</w:t>
      </w:r>
      <w:r w:rsidR="00D1110A">
        <w:tab/>
      </w:r>
      <w:r w:rsidRPr="009667EE">
        <w:t>Available Allocation for each Fuel Resource Category</w:t>
      </w:r>
    </w:p>
    <w:p w:rsidRPr="009667EE" w:rsidR="00C34A5D" w:rsidP="00B754C4" w:rsidRDefault="00C34A5D" w14:paraId="098CC852" w14:textId="3A72F5DF">
      <w:pPr>
        <w:spacing w:after="120" w:line="240" w:lineRule="auto"/>
        <w:ind w:left="1080" w:right="1440" w:hanging="360"/>
      </w:pPr>
      <w:r w:rsidRPr="009667EE">
        <w:t>b.</w:t>
      </w:r>
      <w:r w:rsidR="00D1110A">
        <w:tab/>
      </w:r>
      <w:r w:rsidRPr="009667EE">
        <w:t>Total remaining Program Capacity</w:t>
      </w:r>
    </w:p>
    <w:p w:rsidRPr="00720F2A" w:rsidR="00C34A5D" w:rsidP="00B754C4" w:rsidRDefault="00C34A5D" w14:paraId="78EDA111" w14:textId="5BF44FAC">
      <w:pPr>
        <w:spacing w:after="120" w:line="240" w:lineRule="auto"/>
        <w:ind w:left="1080" w:right="1440" w:hanging="360"/>
      </w:pPr>
      <w:r w:rsidRPr="00720F2A">
        <w:t>c.</w:t>
      </w:r>
      <w:r w:rsidR="00D1110A">
        <w:tab/>
      </w:r>
      <w:r w:rsidRPr="00720F2A">
        <w:t>Total remaining capacity in each Fuel Resource Category</w:t>
      </w:r>
      <w:r w:rsidRPr="00720F2A">
        <w:rPr>
          <w:rStyle w:val="FootnoteReference"/>
        </w:rPr>
        <w:footnoteReference w:id="66"/>
      </w:r>
    </w:p>
    <w:p w:rsidRPr="008253BC" w:rsidR="00C34A5D" w:rsidP="00B754C4" w:rsidRDefault="00C34A5D" w14:paraId="4F48FA9E" w14:textId="6555CFF3">
      <w:r w:rsidRPr="008253BC">
        <w:t>Second, the tariff requires that w</w:t>
      </w:r>
      <w:r w:rsidRPr="004E4359">
        <w:t xml:space="preserve">ithin ten (10) business days of the execution of the </w:t>
      </w:r>
      <w:proofErr w:type="spellStart"/>
      <w:r w:rsidRPr="004E4359">
        <w:t>BioMAT</w:t>
      </w:r>
      <w:proofErr w:type="spellEnd"/>
      <w:r w:rsidRPr="004E4359">
        <w:t xml:space="preserve"> PPA by both the</w:t>
      </w:r>
      <w:r w:rsidRPr="008253BC">
        <w:t xml:space="preserve"> </w:t>
      </w:r>
      <w:r w:rsidRPr="004E4359">
        <w:t>Applicant and CCA, CCA shall provide on its website information regarding the</w:t>
      </w:r>
      <w:r w:rsidRPr="008253BC">
        <w:t xml:space="preserve"> </w:t>
      </w:r>
      <w:proofErr w:type="gramStart"/>
      <w:r w:rsidRPr="008253BC">
        <w:t xml:space="preserve">executed </w:t>
      </w:r>
      <w:proofErr w:type="spellStart"/>
      <w:r w:rsidRPr="008253BC">
        <w:t>BioMAT</w:t>
      </w:r>
      <w:proofErr w:type="spellEnd"/>
      <w:r w:rsidRPr="008253BC">
        <w:t xml:space="preserve"> PPA</w:t>
      </w:r>
      <w:proofErr w:type="gramEnd"/>
      <w:r w:rsidRPr="008253BC">
        <w:t xml:space="preserve"> as required by the CPUC.</w:t>
      </w:r>
      <w:r w:rsidRPr="008253BC">
        <w:rPr>
          <w:rStyle w:val="FootnoteReference"/>
        </w:rPr>
        <w:footnoteReference w:id="67"/>
      </w:r>
    </w:p>
    <w:p w:rsidRPr="00720F2A" w:rsidR="00C34A5D" w:rsidP="00C34A5D" w:rsidRDefault="00C34A5D" w14:paraId="3DC3598A" w14:textId="2830082A">
      <w:r w:rsidRPr="00720F2A">
        <w:t>Accion</w:t>
      </w:r>
      <w:r w:rsidR="00CB10E9">
        <w:t xml:space="preserve"> LLC </w:t>
      </w:r>
      <w:r w:rsidRPr="00720F2A">
        <w:t xml:space="preserve">is required to provide </w:t>
      </w:r>
      <w:proofErr w:type="spellStart"/>
      <w:r w:rsidRPr="00720F2A">
        <w:t>BioMAT</w:t>
      </w:r>
      <w:proofErr w:type="spellEnd"/>
      <w:r w:rsidRPr="00720F2A">
        <w:t xml:space="preserve"> Website services that, at a minimum, implement</w:t>
      </w:r>
      <w:r w:rsidR="00C00EAD">
        <w:t>s</w:t>
      </w:r>
      <w:r w:rsidRPr="00720F2A">
        <w:t xml:space="preserve"> the Decision and compl</w:t>
      </w:r>
      <w:r w:rsidR="00C00EAD">
        <w:t xml:space="preserve">ies </w:t>
      </w:r>
      <w:r w:rsidRPr="00720F2A">
        <w:t xml:space="preserve">with the </w:t>
      </w:r>
      <w:proofErr w:type="spellStart"/>
      <w:r w:rsidRPr="00720F2A">
        <w:t>BioMAT</w:t>
      </w:r>
      <w:proofErr w:type="spellEnd"/>
      <w:r w:rsidRPr="00720F2A">
        <w:t xml:space="preserve"> Tariffs and meet</w:t>
      </w:r>
      <w:r w:rsidR="00C00EAD">
        <w:t>s</w:t>
      </w:r>
      <w:r w:rsidRPr="00720F2A">
        <w:t xml:space="preserve"> all requirements as specified in the statement of work.</w:t>
      </w:r>
      <w:r w:rsidRPr="00720F2A">
        <w:rPr>
          <w:rStyle w:val="FootnoteReference"/>
        </w:rPr>
        <w:footnoteReference w:id="68"/>
      </w:r>
      <w:r w:rsidRPr="00720F2A">
        <w:t xml:space="preserve"> The scope of services identifies that D.23-11-084 directs the CCAs to “develop distinct CCA </w:t>
      </w:r>
      <w:proofErr w:type="spellStart"/>
      <w:r w:rsidRPr="00720F2A">
        <w:t>BioMAT</w:t>
      </w:r>
      <w:proofErr w:type="spellEnd"/>
      <w:r w:rsidRPr="00720F2A">
        <w:t xml:space="preserve"> websites and portals on the Accion </w:t>
      </w:r>
      <w:proofErr w:type="spellStart"/>
      <w:r w:rsidRPr="00720F2A">
        <w:t>BioMAT</w:t>
      </w:r>
      <w:proofErr w:type="spellEnd"/>
      <w:r w:rsidRPr="00720F2A">
        <w:t xml:space="preserve"> platform”. D.23-11-084 requires a Central </w:t>
      </w:r>
      <w:proofErr w:type="spellStart"/>
      <w:r w:rsidRPr="00720F2A">
        <w:t>BioMAT</w:t>
      </w:r>
      <w:proofErr w:type="spellEnd"/>
      <w:r w:rsidRPr="00720F2A">
        <w:t xml:space="preserve"> Website that will allow </w:t>
      </w:r>
      <w:proofErr w:type="spellStart"/>
      <w:r w:rsidRPr="00720F2A">
        <w:t>BioMAT</w:t>
      </w:r>
      <w:proofErr w:type="spellEnd"/>
      <w:r w:rsidRPr="00720F2A">
        <w:t xml:space="preserve"> program participants to access both IOU and CCA </w:t>
      </w:r>
      <w:proofErr w:type="spellStart"/>
      <w:r w:rsidRPr="00720F2A">
        <w:t>BioMAT</w:t>
      </w:r>
      <w:proofErr w:type="spellEnd"/>
      <w:r w:rsidRPr="00720F2A">
        <w:t xml:space="preserve"> websites and portals.</w:t>
      </w:r>
      <w:r w:rsidRPr="00720F2A">
        <w:rPr>
          <w:rStyle w:val="FootnoteReference"/>
        </w:rPr>
        <w:footnoteReference w:id="69"/>
      </w:r>
      <w:r w:rsidRPr="00720F2A">
        <w:t xml:space="preserve"> For purposes of this decision, this language shall be deemed sufficient to show compliance with this tariff requirement. However, </w:t>
      </w:r>
      <w:r w:rsidR="00EA1B86">
        <w:t xml:space="preserve">as part of 3CE’s reporting in </w:t>
      </w:r>
      <w:r w:rsidR="00EA1B86">
        <w:lastRenderedPageBreak/>
        <w:t xml:space="preserve">the next record period, </w:t>
      </w:r>
      <w:r w:rsidRPr="00720F2A">
        <w:t>3CE shall report to the Commission</w:t>
      </w:r>
      <w:r w:rsidR="00EB5C42">
        <w:t xml:space="preserve"> </w:t>
      </w:r>
      <w:r w:rsidR="00EA1B86">
        <w:t xml:space="preserve">if Accion’s website is not in compliance with any part of the </w:t>
      </w:r>
      <w:proofErr w:type="spellStart"/>
      <w:r w:rsidR="00EA1B86">
        <w:t>BioMAT</w:t>
      </w:r>
      <w:proofErr w:type="spellEnd"/>
      <w:r w:rsidR="00EA1B86">
        <w:t xml:space="preserve"> tariff, and 3CE shall also </w:t>
      </w:r>
      <w:r w:rsidR="001B7916">
        <w:t xml:space="preserve">identify the fixes that will be taken to correct Accion’s website and when such fixes will occur.  </w:t>
      </w:r>
      <w:r w:rsidRPr="00720F2A">
        <w:t xml:space="preserve">   </w:t>
      </w:r>
    </w:p>
    <w:p w:rsidR="00C34A5D" w:rsidP="00B754C4" w:rsidRDefault="00C34A5D" w14:paraId="46CD6A1A" w14:textId="55B606E0">
      <w:r w:rsidRPr="009667EE">
        <w:t xml:space="preserve">Contract Prices will be adjusted by the </w:t>
      </w:r>
      <w:r w:rsidR="0011452E">
        <w:t>p</w:t>
      </w:r>
      <w:r w:rsidRPr="009667EE">
        <w:t xml:space="preserve">ayment </w:t>
      </w:r>
      <w:r w:rsidR="0011452E">
        <w:t>a</w:t>
      </w:r>
      <w:r w:rsidRPr="009667EE">
        <w:t>llocation</w:t>
      </w:r>
      <w:r w:rsidRPr="002970BE">
        <w:t xml:space="preserve"> </w:t>
      </w:r>
      <w:r w:rsidR="0011452E">
        <w:t>f</w:t>
      </w:r>
      <w:r w:rsidRPr="009667EE">
        <w:t xml:space="preserve">actors included in the </w:t>
      </w:r>
      <w:proofErr w:type="spellStart"/>
      <w:r w:rsidRPr="009667EE">
        <w:t>BioMAT</w:t>
      </w:r>
      <w:proofErr w:type="spellEnd"/>
      <w:r w:rsidRPr="009667EE">
        <w:t xml:space="preserve"> PPA in accordance with the terms of the </w:t>
      </w:r>
      <w:proofErr w:type="spellStart"/>
      <w:r w:rsidRPr="009667EE">
        <w:t>BioMAT</w:t>
      </w:r>
      <w:proofErr w:type="spellEnd"/>
      <w:r w:rsidRPr="009667EE">
        <w:t xml:space="preserve"> PPA.</w:t>
      </w:r>
      <w:r w:rsidR="002B3296">
        <w:t xml:space="preserve"> </w:t>
      </w:r>
      <w:r w:rsidRPr="009667EE">
        <w:t xml:space="preserve">The </w:t>
      </w:r>
      <w:r w:rsidR="0011452E">
        <w:t>p</w:t>
      </w:r>
      <w:r w:rsidRPr="009667EE">
        <w:t xml:space="preserve">ayment </w:t>
      </w:r>
      <w:r w:rsidR="00DF028E">
        <w:t>a</w:t>
      </w:r>
      <w:r w:rsidRPr="009667EE">
        <w:t xml:space="preserve">llocation </w:t>
      </w:r>
      <w:r w:rsidR="00C66ADA">
        <w:t>f</w:t>
      </w:r>
      <w:r w:rsidRPr="009667EE">
        <w:t>actors are based on time-of-delivery periods and whether the</w:t>
      </w:r>
      <w:r w:rsidRPr="002970BE">
        <w:t xml:space="preserve"> </w:t>
      </w:r>
      <w:r w:rsidRPr="009667EE">
        <w:t xml:space="preserve">Project is an energy-only facility or has </w:t>
      </w:r>
      <w:r w:rsidR="002A2FE3">
        <w:t>f</w:t>
      </w:r>
      <w:r w:rsidRPr="009667EE">
        <w:t xml:space="preserve">ull </w:t>
      </w:r>
      <w:r w:rsidR="002A2FE3">
        <w:t>c</w:t>
      </w:r>
      <w:r w:rsidRPr="009667EE">
        <w:t xml:space="preserve">apacity </w:t>
      </w:r>
      <w:r w:rsidR="002A2FE3">
        <w:t>d</w:t>
      </w:r>
      <w:r w:rsidRPr="009667EE">
        <w:t>eliverability Status.</w:t>
      </w:r>
      <w:r w:rsidR="002B3296">
        <w:t xml:space="preserve">  </w:t>
      </w:r>
      <w:r w:rsidRPr="009667EE">
        <w:t xml:space="preserve">The </w:t>
      </w:r>
      <w:proofErr w:type="spellStart"/>
      <w:r w:rsidRPr="009667EE">
        <w:t>BioMAT</w:t>
      </w:r>
      <w:proofErr w:type="spellEnd"/>
      <w:r w:rsidRPr="002970BE">
        <w:t xml:space="preserve"> </w:t>
      </w:r>
      <w:r w:rsidRPr="009667EE">
        <w:t xml:space="preserve">PPA provides further </w:t>
      </w:r>
      <w:proofErr w:type="gramStart"/>
      <w:r w:rsidRPr="009667EE">
        <w:t>detail</w:t>
      </w:r>
      <w:proofErr w:type="gramEnd"/>
      <w:r w:rsidRPr="009667EE">
        <w:t xml:space="preserve"> regarding monthly payment calculations and the Payment</w:t>
      </w:r>
      <w:r w:rsidRPr="002970BE">
        <w:t xml:space="preserve"> Allocation Factors.</w:t>
      </w:r>
      <w:r w:rsidRPr="002970BE">
        <w:rPr>
          <w:rStyle w:val="FootnoteReference"/>
        </w:rPr>
        <w:footnoteReference w:id="70"/>
      </w:r>
      <w:r>
        <w:t xml:space="preserve"> </w:t>
      </w:r>
      <w:r w:rsidRPr="002970BE">
        <w:t xml:space="preserve">The payment allocation factors </w:t>
      </w:r>
      <w:r>
        <w:t>meet this requirement</w:t>
      </w:r>
      <w:r w:rsidRPr="002970BE">
        <w:t>.</w:t>
      </w:r>
    </w:p>
    <w:p w:rsidRPr="002750CE" w:rsidR="00C34A5D" w:rsidP="00B754C4" w:rsidRDefault="00C34A5D" w14:paraId="516C4FD2" w14:textId="22D40443">
      <w:r w:rsidRPr="002750CE">
        <w:t>According to the tariff, “</w:t>
      </w:r>
      <w:r w:rsidRPr="004E4359">
        <w:t>The Project may not have an existing PPA or other contract for energy and/or capacity</w:t>
      </w:r>
      <w:r w:rsidRPr="002750CE">
        <w:t xml:space="preserve"> </w:t>
      </w:r>
      <w:r w:rsidRPr="004E4359">
        <w:t>deliveries to CCA, or any other counterparty, from the same Project at the time of</w:t>
      </w:r>
      <w:r w:rsidRPr="002750CE">
        <w:t xml:space="preserve"> </w:t>
      </w:r>
      <w:r w:rsidRPr="004E4359">
        <w:t xml:space="preserve">execution of the </w:t>
      </w:r>
      <w:proofErr w:type="spellStart"/>
      <w:r w:rsidRPr="004E4359">
        <w:t>BioMAT</w:t>
      </w:r>
      <w:proofErr w:type="spellEnd"/>
      <w:r w:rsidRPr="004E4359">
        <w:t xml:space="preserve"> PPA or, if allowed per the terms of the existing contract, the</w:t>
      </w:r>
      <w:r w:rsidRPr="002750CE">
        <w:t xml:space="preserve"> </w:t>
      </w:r>
      <w:r w:rsidRPr="004E4359">
        <w:t>Seller must provide documentation demonstrating that the existing contract will be</w:t>
      </w:r>
      <w:r w:rsidRPr="002750CE">
        <w:t xml:space="preserve"> </w:t>
      </w:r>
      <w:r w:rsidRPr="004E4359">
        <w:t xml:space="preserve">terminated on a date certain that is within the COD </w:t>
      </w:r>
      <w:r w:rsidR="00D842BC">
        <w:t>[c</w:t>
      </w:r>
      <w:r w:rsidR="008D55F4">
        <w:t xml:space="preserve">ommercial </w:t>
      </w:r>
      <w:r w:rsidR="00D842BC">
        <w:t>o</w:t>
      </w:r>
      <w:r w:rsidR="008D55F4">
        <w:t xml:space="preserve">peration </w:t>
      </w:r>
      <w:r w:rsidR="00D842BC">
        <w:t>d</w:t>
      </w:r>
      <w:r w:rsidR="008D55F4">
        <w:t xml:space="preserve">ate] </w:t>
      </w:r>
      <w:r w:rsidRPr="004E4359">
        <w:t xml:space="preserve">timing allowed in the </w:t>
      </w:r>
      <w:proofErr w:type="spellStart"/>
      <w:r w:rsidRPr="004E4359">
        <w:t>BioMAT</w:t>
      </w:r>
      <w:proofErr w:type="spellEnd"/>
      <w:r w:rsidRPr="004E4359">
        <w:t xml:space="preserve"> PPA</w:t>
      </w:r>
      <w:r w:rsidRPr="002750CE">
        <w:t xml:space="preserve"> prior to the execution of the </w:t>
      </w:r>
      <w:proofErr w:type="spellStart"/>
      <w:r w:rsidRPr="002750CE">
        <w:t>BioMAT</w:t>
      </w:r>
      <w:proofErr w:type="spellEnd"/>
      <w:r w:rsidRPr="002750CE">
        <w:t xml:space="preserve"> PPA.”</w:t>
      </w:r>
      <w:r w:rsidRPr="002750CE">
        <w:rPr>
          <w:rStyle w:val="FootnoteReference"/>
        </w:rPr>
        <w:footnoteReference w:id="71"/>
      </w:r>
      <w:r w:rsidRPr="002750CE">
        <w:t xml:space="preserve"> As discussed in the Section that discusses eligibility criteria of this decision, 3CE’s documentation is adequate to show compliance with D.23-11-084’s requirement that prevents the same project from occupying two spaces in the </w:t>
      </w:r>
      <w:proofErr w:type="spellStart"/>
      <w:r w:rsidRPr="002750CE">
        <w:t>BioMAT</w:t>
      </w:r>
      <w:proofErr w:type="spellEnd"/>
      <w:r w:rsidRPr="002750CE">
        <w:t xml:space="preserve"> queue.  </w:t>
      </w:r>
    </w:p>
    <w:p w:rsidRPr="005D4965" w:rsidR="00C34A5D" w:rsidP="00B754C4" w:rsidRDefault="005E1345" w14:paraId="433F061A" w14:textId="7082FF1A">
      <w:r>
        <w:lastRenderedPageBreak/>
        <w:t>The tariff provides that t</w:t>
      </w:r>
      <w:r w:rsidRPr="004E4359" w:rsidR="00C34A5D">
        <w:t xml:space="preserve">he </w:t>
      </w:r>
      <w:proofErr w:type="spellStart"/>
      <w:r w:rsidRPr="004E4359" w:rsidR="00C34A5D">
        <w:t>BioMAT</w:t>
      </w:r>
      <w:proofErr w:type="spellEnd"/>
      <w:r w:rsidRPr="004E4359" w:rsidR="00C34A5D">
        <w:t xml:space="preserve"> PPA will be completed by </w:t>
      </w:r>
      <w:r w:rsidR="00A15F25">
        <w:t xml:space="preserve">the </w:t>
      </w:r>
      <w:proofErr w:type="gramStart"/>
      <w:r w:rsidR="00A15F25">
        <w:t xml:space="preserve">CCA </w:t>
      </w:r>
      <w:r w:rsidRPr="004E4359" w:rsidR="00C34A5D">
        <w:t xml:space="preserve"> for</w:t>
      </w:r>
      <w:proofErr w:type="gramEnd"/>
      <w:r w:rsidRPr="004E4359" w:rsidR="00C34A5D">
        <w:t xml:space="preserve"> execution by the Applicant and shall</w:t>
      </w:r>
      <w:r w:rsidRPr="005D4965" w:rsidR="00C34A5D">
        <w:t xml:space="preserve"> </w:t>
      </w:r>
      <w:r w:rsidRPr="004E4359" w:rsidR="00C34A5D">
        <w:t>include the information submitted in the PPR, which includes, but is not limited to, the</w:t>
      </w:r>
      <w:r w:rsidRPr="005D4965" w:rsidR="00C34A5D">
        <w:t xml:space="preserve"> information listed below:</w:t>
      </w:r>
    </w:p>
    <w:p w:rsidRPr="005D4965" w:rsidR="00C34A5D" w:rsidP="00D1110A" w:rsidRDefault="00C34A5D" w14:paraId="63D9F2FA" w14:textId="77777777">
      <w:pPr>
        <w:pStyle w:val="ListParagraph"/>
        <w:numPr>
          <w:ilvl w:val="0"/>
          <w:numId w:val="10"/>
        </w:numPr>
        <w:spacing w:after="120" w:line="259" w:lineRule="auto"/>
        <w:ind w:left="1080" w:right="1440"/>
        <w:contextualSpacing w:val="0"/>
      </w:pPr>
      <w:r w:rsidRPr="005D4965">
        <w:t>Seller Name: Must be a legal entity</w:t>
      </w:r>
    </w:p>
    <w:p w:rsidRPr="005D4965" w:rsidR="00C34A5D" w:rsidP="00D1110A" w:rsidRDefault="00C34A5D" w14:paraId="3B4B515D" w14:textId="77777777">
      <w:pPr>
        <w:pStyle w:val="ListParagraph"/>
        <w:numPr>
          <w:ilvl w:val="0"/>
          <w:numId w:val="10"/>
        </w:numPr>
        <w:spacing w:after="120" w:line="259" w:lineRule="auto"/>
        <w:ind w:left="1080" w:right="1440"/>
        <w:contextualSpacing w:val="0"/>
      </w:pPr>
      <w:r w:rsidRPr="005D4965">
        <w:t>Project Name</w:t>
      </w:r>
    </w:p>
    <w:p w:rsidRPr="005D4965" w:rsidR="00C34A5D" w:rsidP="00D1110A" w:rsidRDefault="00C34A5D" w14:paraId="537D2FE1" w14:textId="77777777">
      <w:pPr>
        <w:pStyle w:val="ListParagraph"/>
        <w:numPr>
          <w:ilvl w:val="0"/>
          <w:numId w:val="10"/>
        </w:numPr>
        <w:spacing w:after="120" w:line="259" w:lineRule="auto"/>
        <w:ind w:left="1080" w:right="1440"/>
        <w:contextualSpacing w:val="0"/>
      </w:pPr>
      <w:r w:rsidRPr="005D4965">
        <w:t xml:space="preserve">Facility Street Address (or nearest intersection) (or coordinates if </w:t>
      </w:r>
      <w:proofErr w:type="gramStart"/>
      <w:r w:rsidRPr="005D4965">
        <w:t>no</w:t>
      </w:r>
      <w:proofErr w:type="gramEnd"/>
      <w:r w:rsidRPr="005D4965">
        <w:t xml:space="preserve"> intersection or street address)</w:t>
      </w:r>
    </w:p>
    <w:p w:rsidRPr="005D4965" w:rsidR="00C34A5D" w:rsidP="00D1110A" w:rsidRDefault="00C34A5D" w14:paraId="04A2B571" w14:textId="77777777">
      <w:pPr>
        <w:pStyle w:val="ListParagraph"/>
        <w:numPr>
          <w:ilvl w:val="0"/>
          <w:numId w:val="10"/>
        </w:numPr>
        <w:spacing w:after="120" w:line="259" w:lineRule="auto"/>
        <w:ind w:left="1080" w:right="1440"/>
        <w:contextualSpacing w:val="0"/>
      </w:pPr>
      <w:r w:rsidRPr="005D4965">
        <w:t>Type of Facility: Category 1, 2, or 3</w:t>
      </w:r>
    </w:p>
    <w:p w:rsidRPr="005D4965" w:rsidR="00C34A5D" w:rsidP="00D1110A" w:rsidRDefault="00C34A5D" w14:paraId="71175656" w14:textId="77777777">
      <w:pPr>
        <w:pStyle w:val="ListParagraph"/>
        <w:numPr>
          <w:ilvl w:val="0"/>
          <w:numId w:val="10"/>
        </w:numPr>
        <w:spacing w:after="120" w:line="259" w:lineRule="auto"/>
        <w:ind w:left="1080" w:right="1440"/>
        <w:contextualSpacing w:val="0"/>
      </w:pPr>
      <w:r w:rsidRPr="005D4965">
        <w:t>Fuel Resource Category (including proportions if using multiple fuel sources within the selected Fuel Source Category)</w:t>
      </w:r>
    </w:p>
    <w:p w:rsidRPr="005D4965" w:rsidR="00C34A5D" w:rsidP="00D1110A" w:rsidRDefault="00C34A5D" w14:paraId="27581A7A" w14:textId="77777777">
      <w:pPr>
        <w:pStyle w:val="ListParagraph"/>
        <w:numPr>
          <w:ilvl w:val="0"/>
          <w:numId w:val="10"/>
        </w:numPr>
        <w:spacing w:after="120" w:line="259" w:lineRule="auto"/>
        <w:ind w:left="1080" w:right="1440"/>
        <w:contextualSpacing w:val="0"/>
      </w:pPr>
      <w:r w:rsidRPr="005D4965">
        <w:t>Interconnection Queue Position</w:t>
      </w:r>
    </w:p>
    <w:p w:rsidRPr="005D4965" w:rsidR="00C34A5D" w:rsidP="00D1110A" w:rsidRDefault="00C34A5D" w14:paraId="79FC9043" w14:textId="77777777">
      <w:pPr>
        <w:pStyle w:val="ListParagraph"/>
        <w:numPr>
          <w:ilvl w:val="0"/>
          <w:numId w:val="10"/>
        </w:numPr>
        <w:spacing w:after="120" w:line="259" w:lineRule="auto"/>
        <w:ind w:left="1080" w:right="1440"/>
        <w:contextualSpacing w:val="0"/>
      </w:pPr>
      <w:r w:rsidRPr="005D4965">
        <w:t>Interconnection Point</w:t>
      </w:r>
    </w:p>
    <w:p w:rsidRPr="005D4965" w:rsidR="00C34A5D" w:rsidP="00D1110A" w:rsidRDefault="00C34A5D" w14:paraId="6937414A" w14:textId="77777777">
      <w:pPr>
        <w:pStyle w:val="ListParagraph"/>
        <w:numPr>
          <w:ilvl w:val="0"/>
          <w:numId w:val="10"/>
        </w:numPr>
        <w:spacing w:after="120" w:line="259" w:lineRule="auto"/>
        <w:ind w:left="1080" w:right="1440"/>
        <w:contextualSpacing w:val="0"/>
      </w:pPr>
      <w:r w:rsidRPr="005D4965">
        <w:t>Service Voltage</w:t>
      </w:r>
    </w:p>
    <w:p w:rsidRPr="005D4965" w:rsidR="00C34A5D" w:rsidP="00D1110A" w:rsidRDefault="00C34A5D" w14:paraId="07D0A3E8" w14:textId="77777777">
      <w:pPr>
        <w:pStyle w:val="ListParagraph"/>
        <w:numPr>
          <w:ilvl w:val="0"/>
          <w:numId w:val="10"/>
        </w:numPr>
        <w:spacing w:after="120" w:line="259" w:lineRule="auto"/>
        <w:ind w:left="1080" w:right="1440"/>
        <w:contextualSpacing w:val="0"/>
      </w:pPr>
      <w:r w:rsidRPr="005D4965">
        <w:t>Delivery Point</w:t>
      </w:r>
    </w:p>
    <w:p w:rsidRPr="005D4965" w:rsidR="00C34A5D" w:rsidP="00D1110A" w:rsidRDefault="00C34A5D" w14:paraId="6A2C9D99" w14:textId="77777777">
      <w:pPr>
        <w:pStyle w:val="ListParagraph"/>
        <w:numPr>
          <w:ilvl w:val="0"/>
          <w:numId w:val="10"/>
        </w:numPr>
        <w:spacing w:after="120" w:line="259" w:lineRule="auto"/>
        <w:ind w:left="1080" w:right="1440"/>
        <w:contextualSpacing w:val="0"/>
      </w:pPr>
      <w:r w:rsidRPr="005D4965">
        <w:t xml:space="preserve">Expected COD: No later than thirty-six (36) months from execution date of the </w:t>
      </w:r>
      <w:proofErr w:type="spellStart"/>
      <w:r w:rsidRPr="005D4965">
        <w:t>BioMAT</w:t>
      </w:r>
      <w:proofErr w:type="spellEnd"/>
      <w:r w:rsidRPr="005D4965">
        <w:t xml:space="preserve"> PPA, or within thirty-six (36) months of the Interconnection </w:t>
      </w:r>
      <w:proofErr w:type="gramStart"/>
      <w:r w:rsidRPr="005D4965">
        <w:t>Study Completion</w:t>
      </w:r>
      <w:proofErr w:type="gramEnd"/>
      <w:r w:rsidRPr="005D4965">
        <w:t xml:space="preserve"> Date for Category 3 Projects that do not have an Active Interconnection Study at the time the </w:t>
      </w:r>
      <w:proofErr w:type="spellStart"/>
      <w:r w:rsidRPr="005D4965">
        <w:t>BioMAT</w:t>
      </w:r>
      <w:proofErr w:type="spellEnd"/>
      <w:r w:rsidRPr="005D4965">
        <w:t xml:space="preserve"> PPA is executed, as described in Section D.6(b).</w:t>
      </w:r>
    </w:p>
    <w:p w:rsidRPr="005D4965" w:rsidR="00C34A5D" w:rsidP="00D1110A" w:rsidRDefault="00C34A5D" w14:paraId="4CA6D7C3" w14:textId="77777777">
      <w:pPr>
        <w:pStyle w:val="ListParagraph"/>
        <w:numPr>
          <w:ilvl w:val="0"/>
          <w:numId w:val="10"/>
        </w:numPr>
        <w:spacing w:after="120" w:line="259" w:lineRule="auto"/>
        <w:ind w:left="1080" w:right="1440"/>
        <w:contextualSpacing w:val="0"/>
      </w:pPr>
      <w:r w:rsidRPr="005D4965">
        <w:t>Contract Capacity</w:t>
      </w:r>
    </w:p>
    <w:p w:rsidRPr="005D4965" w:rsidR="00C34A5D" w:rsidP="00D1110A" w:rsidRDefault="00C34A5D" w14:paraId="37B0443C" w14:textId="77777777">
      <w:pPr>
        <w:pStyle w:val="ListParagraph"/>
        <w:numPr>
          <w:ilvl w:val="0"/>
          <w:numId w:val="10"/>
        </w:numPr>
        <w:spacing w:after="120" w:line="259" w:lineRule="auto"/>
        <w:ind w:left="1080" w:right="1440"/>
        <w:contextualSpacing w:val="0"/>
      </w:pPr>
      <w:r w:rsidRPr="005D4965">
        <w:t>Nameplate Capacity</w:t>
      </w:r>
    </w:p>
    <w:p w:rsidRPr="005D4965" w:rsidR="00C34A5D" w:rsidP="00D1110A" w:rsidRDefault="00C34A5D" w14:paraId="003676F6" w14:textId="77777777">
      <w:pPr>
        <w:pStyle w:val="ListParagraph"/>
        <w:numPr>
          <w:ilvl w:val="0"/>
          <w:numId w:val="10"/>
        </w:numPr>
        <w:spacing w:after="120" w:line="259" w:lineRule="auto"/>
        <w:ind w:left="1080" w:right="1440"/>
        <w:contextualSpacing w:val="0"/>
      </w:pPr>
      <w:r w:rsidRPr="005D4965">
        <w:t>Delivery Term: 10, 15, or 20 years</w:t>
      </w:r>
    </w:p>
    <w:p w:rsidRPr="005D4965" w:rsidR="00C34A5D" w:rsidP="00D1110A" w:rsidRDefault="00C34A5D" w14:paraId="447E6195" w14:textId="77777777">
      <w:pPr>
        <w:pStyle w:val="ListParagraph"/>
        <w:numPr>
          <w:ilvl w:val="0"/>
          <w:numId w:val="10"/>
        </w:numPr>
        <w:spacing w:after="120" w:line="259" w:lineRule="auto"/>
        <w:ind w:left="1080" w:right="1440"/>
        <w:contextualSpacing w:val="0"/>
      </w:pPr>
      <w:r w:rsidRPr="005D4965">
        <w:t>Transaction: Full Buy/Sell or Excess Sale</w:t>
      </w:r>
    </w:p>
    <w:p w:rsidRPr="005D4965" w:rsidR="00C34A5D" w:rsidP="00D1110A" w:rsidRDefault="00C34A5D" w14:paraId="3F725D08" w14:textId="77777777">
      <w:pPr>
        <w:pStyle w:val="ListParagraph"/>
        <w:numPr>
          <w:ilvl w:val="0"/>
          <w:numId w:val="10"/>
        </w:numPr>
        <w:spacing w:after="120" w:line="240" w:lineRule="auto"/>
        <w:ind w:left="1080" w:right="1440"/>
        <w:contextualSpacing w:val="0"/>
      </w:pPr>
      <w:r w:rsidRPr="005D4965">
        <w:lastRenderedPageBreak/>
        <w:t>Contract Quantity: Provide estimates in MWh/year, net of Station Use and Site Host Load for each year of the Delivery Term.</w:t>
      </w:r>
      <w:r w:rsidRPr="005D4965">
        <w:rPr>
          <w:rStyle w:val="FootnoteReference"/>
        </w:rPr>
        <w:footnoteReference w:id="72"/>
      </w:r>
    </w:p>
    <w:p w:rsidRPr="005D4965" w:rsidR="00C34A5D" w:rsidP="00C34A5D" w:rsidRDefault="00C34A5D" w14:paraId="2167E435" w14:textId="36E23601">
      <w:r w:rsidRPr="005D4965">
        <w:t xml:space="preserve">The PPR </w:t>
      </w:r>
      <w:r>
        <w:t xml:space="preserve">is a confidentially marked document that </w:t>
      </w:r>
      <w:r w:rsidRPr="005D4965">
        <w:t>includes each of the pieces of information that this tariff provision requires.</w:t>
      </w:r>
      <w:r w:rsidR="00AB5AF6">
        <w:t xml:space="preserve"> The one exception is the expected COD</w:t>
      </w:r>
      <w:r w:rsidR="00C92CA3">
        <w:t>.</w:t>
      </w:r>
      <w:r w:rsidR="002B3296">
        <w:t xml:space="preserve"> </w:t>
      </w:r>
      <w:r w:rsidR="00C14DF0">
        <w:t xml:space="preserve">On February 1, 2024, </w:t>
      </w:r>
      <w:r w:rsidR="00C92CA3">
        <w:t>3CE not</w:t>
      </w:r>
      <w:r w:rsidR="00920853">
        <w:t xml:space="preserve">ed in </w:t>
      </w:r>
      <w:r w:rsidR="00284915">
        <w:t xml:space="preserve">an </w:t>
      </w:r>
      <w:r w:rsidR="003E35B6">
        <w:t>A</w:t>
      </w:r>
      <w:r w:rsidR="00284915">
        <w:t xml:space="preserve">dvice </w:t>
      </w:r>
      <w:r w:rsidR="003E35B6">
        <w:t>L</w:t>
      </w:r>
      <w:r w:rsidR="00284915">
        <w:t>etter</w:t>
      </w:r>
      <w:r w:rsidR="003E35B6">
        <w:t xml:space="preserve"> 37-E</w:t>
      </w:r>
      <w:r w:rsidR="00920853">
        <w:t xml:space="preserve"> that the </w:t>
      </w:r>
      <w:proofErr w:type="spellStart"/>
      <w:r w:rsidR="00920853">
        <w:t>BioMAT</w:t>
      </w:r>
      <w:proofErr w:type="spellEnd"/>
      <w:r w:rsidR="00920853">
        <w:t xml:space="preserve"> program was in the very early stages and no PPAs had yet been signed.</w:t>
      </w:r>
      <w:r w:rsidR="00D338A0">
        <w:rPr>
          <w:rStyle w:val="FootnoteReference"/>
        </w:rPr>
        <w:footnoteReference w:id="73"/>
      </w:r>
      <w:r w:rsidR="00920853">
        <w:t xml:space="preserve"> </w:t>
      </w:r>
      <w:r w:rsidR="00372BE3">
        <w:t>Therefore, t</w:t>
      </w:r>
      <w:r w:rsidR="00F43E23">
        <w:t>he issu</w:t>
      </w:r>
      <w:r w:rsidR="00372BE3">
        <w:t xml:space="preserve">ance of </w:t>
      </w:r>
      <w:r w:rsidR="00F43E23">
        <w:t xml:space="preserve">this decision is still </w:t>
      </w:r>
      <w:r w:rsidR="00372BE3">
        <w:t xml:space="preserve">within the </w:t>
      </w:r>
      <w:r w:rsidR="00314C9D">
        <w:t>36-month</w:t>
      </w:r>
      <w:r w:rsidR="00372BE3">
        <w:t xml:space="preserve"> execution date of a </w:t>
      </w:r>
      <w:proofErr w:type="spellStart"/>
      <w:r w:rsidR="00372BE3">
        <w:t>BioMAT</w:t>
      </w:r>
      <w:proofErr w:type="spellEnd"/>
      <w:r w:rsidR="00372BE3">
        <w:t xml:space="preserve"> PPA, and </w:t>
      </w:r>
      <w:r w:rsidR="00D710A0">
        <w:t xml:space="preserve">it is too early to determine whether this </w:t>
      </w:r>
      <w:r w:rsidR="00372BE3">
        <w:t xml:space="preserve">part of the tariff </w:t>
      </w:r>
      <w:r w:rsidR="00D710A0">
        <w:t>has been followed</w:t>
      </w:r>
      <w:r w:rsidR="00372BE3">
        <w:t>.</w:t>
      </w:r>
    </w:p>
    <w:p w:rsidRPr="00A7306D" w:rsidR="00C34A5D" w:rsidP="00B754C4" w:rsidRDefault="00C34A5D" w14:paraId="29AA991A" w14:textId="1F3EA579">
      <w:r w:rsidRPr="00A7306D">
        <w:t>The tariff also requires as follows: “</w:t>
      </w:r>
      <w:r w:rsidRPr="004E4359">
        <w:t>Projects must be electrically independent and separately metered. Metering requirements are</w:t>
      </w:r>
      <w:r w:rsidRPr="00A7306D">
        <w:t xml:space="preserve"> described in the </w:t>
      </w:r>
      <w:proofErr w:type="spellStart"/>
      <w:r w:rsidRPr="00A7306D">
        <w:t>BioMAT</w:t>
      </w:r>
      <w:proofErr w:type="spellEnd"/>
      <w:r w:rsidRPr="00A7306D">
        <w:t xml:space="preserve"> PPA.”</w:t>
      </w:r>
      <w:r w:rsidRPr="00A7306D">
        <w:rPr>
          <w:rStyle w:val="FootnoteReference"/>
        </w:rPr>
        <w:footnoteReference w:id="74"/>
      </w:r>
      <w:r w:rsidRPr="00A7306D">
        <w:t xml:space="preserve"> The PPA is a confidential </w:t>
      </w:r>
      <w:proofErr w:type="gramStart"/>
      <w:r w:rsidRPr="00A7306D">
        <w:t>document, but</w:t>
      </w:r>
      <w:proofErr w:type="gramEnd"/>
      <w:r w:rsidRPr="00A7306D">
        <w:t xml:space="preserve"> describes the metering requirements as required by this tariff provision.</w:t>
      </w:r>
    </w:p>
    <w:p w:rsidRPr="003042E3" w:rsidR="00C34A5D" w:rsidP="00B754C4" w:rsidRDefault="00A24286" w14:paraId="10C037BD" w14:textId="6F675C8A">
      <w:r>
        <w:t>Section D of t</w:t>
      </w:r>
      <w:r w:rsidRPr="003042E3" w:rsidR="00C34A5D">
        <w:t xml:space="preserve">he tariff </w:t>
      </w:r>
      <w:r w:rsidR="00F65765">
        <w:t xml:space="preserve">provides eligibility criteria for </w:t>
      </w:r>
      <w:r w:rsidR="007C576F">
        <w:t>A</w:t>
      </w:r>
      <w:r w:rsidR="00F65765">
        <w:t xml:space="preserve">pplicants </w:t>
      </w:r>
      <w:r w:rsidR="007C576F">
        <w:t>in the investor</w:t>
      </w:r>
      <w:r w:rsidR="00E952DB">
        <w:t>-</w:t>
      </w:r>
      <w:r w:rsidR="007C576F">
        <w:t>owned utilities’ service areas.</w:t>
      </w:r>
      <w:r w:rsidR="002B3296">
        <w:t xml:space="preserve">  </w:t>
      </w:r>
      <w:r w:rsidR="008B5D12">
        <w:t xml:space="preserve">Section D also requires the CCA to review </w:t>
      </w:r>
      <w:r w:rsidRPr="009667EE" w:rsidR="00C34A5D">
        <w:t xml:space="preserve">applications submitted to its </w:t>
      </w:r>
      <w:proofErr w:type="spellStart"/>
      <w:r w:rsidRPr="009667EE" w:rsidR="00C34A5D">
        <w:t>BioMAT</w:t>
      </w:r>
      <w:proofErr w:type="spellEnd"/>
      <w:r w:rsidRPr="009667EE" w:rsidR="00C34A5D">
        <w:t xml:space="preserve"> program</w:t>
      </w:r>
      <w:r w:rsidRPr="003042E3" w:rsidR="00C34A5D">
        <w:t xml:space="preserve"> and determine which applications meet the </w:t>
      </w:r>
      <w:r w:rsidR="005D5FD6">
        <w:t>e</w:t>
      </w:r>
      <w:r w:rsidRPr="003042E3" w:rsidR="00C34A5D">
        <w:t xml:space="preserve">ligibility </w:t>
      </w:r>
      <w:r w:rsidR="005D5FD6">
        <w:t>c</w:t>
      </w:r>
      <w:r w:rsidRPr="003042E3" w:rsidR="00C34A5D">
        <w:t>riteria.</w:t>
      </w:r>
      <w:r w:rsidRPr="003042E3" w:rsidR="00C34A5D">
        <w:rPr>
          <w:rStyle w:val="FootnoteReference"/>
        </w:rPr>
        <w:footnoteReference w:id="75"/>
      </w:r>
      <w:r w:rsidRPr="003042E3" w:rsidR="00C34A5D">
        <w:t xml:space="preserve"> </w:t>
      </w:r>
    </w:p>
    <w:p w:rsidRPr="00AB3E99" w:rsidR="00C34A5D" w:rsidP="00774F74" w:rsidRDefault="005D5FD6" w14:paraId="39271777" w14:textId="6E454718">
      <w:pPr>
        <w:pStyle w:val="Standard"/>
      </w:pPr>
      <w:r>
        <w:t xml:space="preserve">As shown here, </w:t>
      </w:r>
      <w:r w:rsidRPr="004640C8" w:rsidR="00C34A5D">
        <w:t xml:space="preserve">3CE reviewed the PPR TRE </w:t>
      </w:r>
      <w:proofErr w:type="gramStart"/>
      <w:r w:rsidRPr="004640C8" w:rsidR="00C34A5D">
        <w:t>submitted</w:t>
      </w:r>
      <w:r w:rsidR="000053D1">
        <w:t xml:space="preserve"> </w:t>
      </w:r>
      <w:r w:rsidR="00F724C1">
        <w:t xml:space="preserve"> 3</w:t>
      </w:r>
      <w:proofErr w:type="gramEnd"/>
      <w:r w:rsidR="00F724C1">
        <w:t xml:space="preserve">CE could not review </w:t>
      </w:r>
      <w:r w:rsidR="00865CDA">
        <w:t xml:space="preserve">TRE’s satisfaction of </w:t>
      </w:r>
      <w:r w:rsidR="00F724C1">
        <w:t xml:space="preserve">certain </w:t>
      </w:r>
      <w:r w:rsidR="00181E1B">
        <w:t xml:space="preserve">parts of </w:t>
      </w:r>
      <w:r w:rsidR="00865CDA">
        <w:t>section D</w:t>
      </w:r>
      <w:r w:rsidR="00181E1B">
        <w:t xml:space="preserve"> because TRE was dependent upon external agencies</w:t>
      </w:r>
      <w:r w:rsidR="000F1C9B">
        <w:t>’</w:t>
      </w:r>
      <w:r w:rsidR="00181E1B">
        <w:t xml:space="preserve"> processes that had not yet completed at the </w:t>
      </w:r>
      <w:r w:rsidR="00181E1B">
        <w:lastRenderedPageBreak/>
        <w:t>time of 3CE’s application. However</w:t>
      </w:r>
      <w:r w:rsidR="00865CDA">
        <w:t xml:space="preserve">, 3CE’s review is </w:t>
      </w:r>
      <w:r w:rsidR="00CB56E2">
        <w:t>adequate for purposes of granting its request</w:t>
      </w:r>
      <w:r w:rsidRPr="00AB3E99" w:rsidR="00C34A5D">
        <w:t>.</w:t>
      </w:r>
      <w:r w:rsidRPr="00327384" w:rsidR="00C34A5D">
        <w:rPr>
          <w:rStyle w:val="FootnoteReference"/>
        </w:rPr>
        <w:footnoteReference w:id="76"/>
      </w:r>
      <w:r w:rsidRPr="00327384" w:rsidR="00C34A5D">
        <w:rPr>
          <w:rStyle w:val="FootnoteReference"/>
        </w:rPr>
        <w:t xml:space="preserve"> </w:t>
      </w:r>
      <w:r w:rsidRPr="00AB3E99" w:rsidR="00C34A5D">
        <w:t>3CE’s 15 requirements are as follows:</w:t>
      </w:r>
    </w:p>
    <w:p w:rsidR="00AB3E99" w:rsidP="00B754C4" w:rsidRDefault="00C34A5D" w14:paraId="258B3246" w14:textId="0A2C0876">
      <w:pPr>
        <w:pStyle w:val="Standard"/>
        <w:numPr>
          <w:ilvl w:val="0"/>
          <w:numId w:val="9"/>
        </w:numPr>
        <w:spacing w:after="120" w:line="240" w:lineRule="auto"/>
        <w:ind w:left="1080" w:right="1440"/>
      </w:pPr>
      <w:r w:rsidRPr="00AB3E99">
        <w:t>Because 3CE spans the service of both Pacific Gas &amp; Electric Company (PG&amp;E) and Southern California Edison (SCE), a project must be physically located within PG&amp;E’s or SCE’s electric service territory and must be interconnected to PG&amp;E’s or SCE’s electric distribution system or an existing transmission line. TRE is physically located in PG&amp;E’s service territory and is interconnected to PG&amp;E’s electric distribution system. TRE provided the Commission with an executed Rule 21 interconnection agreement with PG&amp;E within its PPR to demonstrate compliance with this requirement.</w:t>
      </w:r>
      <w:r w:rsidRPr="00AB3E99">
        <w:rPr>
          <w:rStyle w:val="FootnoteReference"/>
        </w:rPr>
        <w:footnoteReference w:id="77"/>
      </w:r>
      <w:r w:rsidRPr="00AB3E99">
        <w:t xml:space="preserve"> The Commission finds this document adequate to show compliance with this requirement.</w:t>
      </w:r>
    </w:p>
    <w:p w:rsidRPr="00AB3E99" w:rsidR="00C34A5D" w:rsidP="00B754C4" w:rsidRDefault="00C34A5D" w14:paraId="675F8BC5" w14:textId="6DA5A996">
      <w:pPr>
        <w:pStyle w:val="Standard"/>
        <w:numPr>
          <w:ilvl w:val="0"/>
          <w:numId w:val="9"/>
        </w:numPr>
        <w:spacing w:after="120" w:line="240" w:lineRule="auto"/>
        <w:ind w:left="1080" w:right="1440"/>
      </w:pPr>
      <w:r w:rsidRPr="00AB3E99">
        <w:t>The Project must be an Eligible Renewable Energy Resource as defined in Section 399.12.</w:t>
      </w:r>
      <w:r w:rsidR="002B3296">
        <w:t xml:space="preserve"> </w:t>
      </w:r>
      <w:r w:rsidRPr="00AB3E99">
        <w:t xml:space="preserve">Per the milestones submitted in TRE’s PPR, TRE has filed a </w:t>
      </w:r>
      <w:proofErr w:type="gramStart"/>
      <w:r w:rsidRPr="00AB3E99">
        <w:t>Pre-Certification</w:t>
      </w:r>
      <w:proofErr w:type="gramEnd"/>
      <w:r w:rsidRPr="001410B0">
        <w:t xml:space="preserve"> application with the California Energy Commission (CEC) and expects receipt of CEC Pre-Certification by November 21, 2025, and final CEC Certification in March 2027.</w:t>
      </w:r>
      <w:r w:rsidR="002B3296">
        <w:t xml:space="preserve"> </w:t>
      </w:r>
      <w:r w:rsidRPr="001410B0">
        <w:t>3CE says it will monitor TRE’s progress towards these project milestones.  3CE has provided the Pre-Certification application that TRE has filed with the CEC.</w:t>
      </w:r>
      <w:r w:rsidRPr="001410B0">
        <w:rPr>
          <w:rStyle w:val="FootnoteReference"/>
        </w:rPr>
        <w:footnoteReference w:id="78"/>
      </w:r>
      <w:r w:rsidRPr="001410B0">
        <w:t xml:space="preserve">  3CE has clarified that the final certification from the CEC is not </w:t>
      </w:r>
      <w:r w:rsidRPr="00AB3E99">
        <w:t>anticipated until March 2027.</w:t>
      </w:r>
      <w:r w:rsidRPr="00AB3E99">
        <w:rPr>
          <w:rStyle w:val="FootnoteReference"/>
        </w:rPr>
        <w:footnoteReference w:id="79"/>
      </w:r>
      <w:r w:rsidRPr="00AB3E99">
        <w:t xml:space="preserve"> 3CE has also clarified that TRE is the recipient of the final certification from the CEC, not 3CE.</w:t>
      </w:r>
      <w:r w:rsidRPr="00AB3E99">
        <w:rPr>
          <w:rStyle w:val="FootnoteReference"/>
        </w:rPr>
        <w:footnoteReference w:id="80"/>
      </w:r>
      <w:r w:rsidRPr="00AB3E99">
        <w:t xml:space="preserve"> The scoping memo requires 3CE to serve the </w:t>
      </w:r>
      <w:r w:rsidRPr="00AB3E99">
        <w:lastRenderedPageBreak/>
        <w:t>final CEC certification within seven days of receipt.</w:t>
      </w:r>
      <w:r w:rsidRPr="00AB3E99">
        <w:rPr>
          <w:rStyle w:val="FootnoteReference"/>
        </w:rPr>
        <w:footnoteReference w:id="81"/>
      </w:r>
      <w:r w:rsidRPr="00AB3E99">
        <w:t xml:space="preserve"> 3CE requests leniency in the seven-day timeline to the extent there is a delay outside of 3CE’s control in TRE transmitting the final CEC certification to 3CE.  The Commission agrees</w:t>
      </w:r>
      <w:r w:rsidRPr="00AB3E99" w:rsidR="0043159E">
        <w:t xml:space="preserve"> with the need for this leniency and grants the request</w:t>
      </w:r>
      <w:r w:rsidRPr="00AB3E99">
        <w:t xml:space="preserve">. </w:t>
      </w:r>
      <w:r w:rsidR="00EF64B6">
        <w:t xml:space="preserve">3CE shall </w:t>
      </w:r>
      <w:r w:rsidR="00ED4FE2">
        <w:t>provide</w:t>
      </w:r>
      <w:r w:rsidR="00EF64B6">
        <w:t xml:space="preserve"> </w:t>
      </w:r>
      <w:r w:rsidR="005B3DF9">
        <w:t>this</w:t>
      </w:r>
      <w:r w:rsidR="00C47BCA">
        <w:t xml:space="preserve"> certification </w:t>
      </w:r>
      <w:r w:rsidR="00513A1A">
        <w:t xml:space="preserve">to the Commission’s Energy Division with due diligence, and by the </w:t>
      </w:r>
      <w:r w:rsidR="00C000E5">
        <w:t>upcoming</w:t>
      </w:r>
      <w:r w:rsidR="00513A1A">
        <w:t xml:space="preserve"> record year, upon learning </w:t>
      </w:r>
      <w:r w:rsidR="004D7F82">
        <w:t xml:space="preserve">of final CEC certification. </w:t>
      </w:r>
      <w:r w:rsidR="00C000E5">
        <w:t xml:space="preserve">If CEC does not provide the final certification by the next record year, </w:t>
      </w:r>
      <w:r w:rsidR="00A931B9">
        <w:t xml:space="preserve">3CE shall inform Energy Division of this and explain the facts as to why the certification has not yet </w:t>
      </w:r>
      <w:r w:rsidR="008D7816">
        <w:t>been issued.</w:t>
      </w:r>
    </w:p>
    <w:p w:rsidR="007761CE" w:rsidP="00B754C4" w:rsidRDefault="00C34A5D" w14:paraId="249B392B" w14:textId="5138CCAB">
      <w:pPr>
        <w:pStyle w:val="Standard"/>
        <w:numPr>
          <w:ilvl w:val="0"/>
          <w:numId w:val="9"/>
        </w:numPr>
        <w:spacing w:after="120" w:line="240" w:lineRule="auto"/>
        <w:ind w:left="1080" w:right="1440"/>
      </w:pPr>
      <w:r w:rsidRPr="00AB3E99">
        <w:t>The Project must be a Qualifying Facility (QF) as defined by the Federal Energy Regulatory Commission (FERC). TRE’s PPR indicates that TRE is on track for status as a Qualifying Facility and anticipates receipt of a FERC docket number assigned to the seller’s filing of FERC Form 556 by March 31, 2026.</w:t>
      </w:r>
      <w:r w:rsidRPr="00AB3E99">
        <w:rPr>
          <w:rStyle w:val="FootnoteReference"/>
        </w:rPr>
        <w:footnoteReference w:id="82"/>
      </w:r>
      <w:r w:rsidRPr="00AB3E99">
        <w:t xml:space="preserve"> 3CE understands that the project obtain</w:t>
      </w:r>
      <w:r w:rsidR="00083E42">
        <w:t>s</w:t>
      </w:r>
      <w:r w:rsidRPr="00AB3E99">
        <w:t xml:space="preserve"> QF status through self-certification.</w:t>
      </w:r>
      <w:r w:rsidRPr="00AB3E99">
        <w:rPr>
          <w:rStyle w:val="FootnoteReference"/>
        </w:rPr>
        <w:footnoteReference w:id="83"/>
      </w:r>
      <w:r w:rsidRPr="00AB3E99">
        <w:t xml:space="preserve"> The scoping memo requires that “Within seven days of receipt of FERC documentation that demonstrates the Project is a Qualifying Facility as defined by the FERC, serve it on the service list, and state that such documentation has been received.”</w:t>
      </w:r>
      <w:r w:rsidRPr="00AB3E99">
        <w:rPr>
          <w:rStyle w:val="FootnoteReference"/>
        </w:rPr>
        <w:footnoteReference w:id="84"/>
      </w:r>
      <w:r w:rsidRPr="00AB3E99" w:rsidR="0009528A">
        <w:t xml:space="preserve"> </w:t>
      </w:r>
      <w:r w:rsidRPr="00AB3E99">
        <w:t>3CE notes that if there are no protests to TRE’s FERC filing, no further FERC action is required for self-certification to become effective.</w:t>
      </w:r>
      <w:r w:rsidRPr="00AB3E99">
        <w:rPr>
          <w:rStyle w:val="FootnoteReference"/>
        </w:rPr>
        <w:footnoteReference w:id="85"/>
      </w:r>
      <w:r w:rsidRPr="00AB3E99">
        <w:t xml:space="preserve"> 3CE represents that TRE anticipates receipt of a FERC docket number of FERC Form 556 by March 31, 2026. 3CE </w:t>
      </w:r>
      <w:r w:rsidR="007761CE">
        <w:t xml:space="preserve">shall </w:t>
      </w:r>
      <w:r w:rsidR="00E76FC7">
        <w:t xml:space="preserve">report </w:t>
      </w:r>
      <w:r w:rsidR="00CE02CA">
        <w:t xml:space="preserve">the updated status of the FERC certification </w:t>
      </w:r>
      <w:r w:rsidR="00936FEC">
        <w:t>to the Commission</w:t>
      </w:r>
      <w:r w:rsidR="00AC4EF2">
        <w:t>’s Energy Division</w:t>
      </w:r>
      <w:r w:rsidR="00936FEC">
        <w:t xml:space="preserve"> </w:t>
      </w:r>
      <w:r w:rsidR="00274BBE">
        <w:t>with due diligence</w:t>
      </w:r>
      <w:r w:rsidR="00247D9B">
        <w:t>, and by the next record year,</w:t>
      </w:r>
      <w:r w:rsidR="00274BBE">
        <w:t xml:space="preserve"> </w:t>
      </w:r>
      <w:r w:rsidR="009A5454">
        <w:lastRenderedPageBreak/>
        <w:t xml:space="preserve">upon learning whether the project </w:t>
      </w:r>
      <w:r w:rsidR="0092118F">
        <w:t xml:space="preserve">is a QF as defined by FERC.  </w:t>
      </w:r>
    </w:p>
    <w:p w:rsidRPr="00AB3E99" w:rsidR="00C34A5D" w:rsidP="00B754C4" w:rsidRDefault="00C34A5D" w14:paraId="2FBC053C" w14:textId="5CA67B7B">
      <w:pPr>
        <w:pStyle w:val="Standard"/>
        <w:numPr>
          <w:ilvl w:val="0"/>
          <w:numId w:val="9"/>
        </w:numPr>
        <w:spacing w:after="120" w:line="240" w:lineRule="auto"/>
        <w:ind w:left="1080" w:right="1440"/>
      </w:pPr>
      <w:r w:rsidRPr="00AB3E99">
        <w:t xml:space="preserve">The contract capacity for the project cannot exceed </w:t>
      </w:r>
      <w:r w:rsidR="00F53537">
        <w:t>three</w:t>
      </w:r>
      <w:r w:rsidRPr="00AB3E99">
        <w:t xml:space="preserve"> MW.</w:t>
      </w:r>
      <w:r w:rsidRPr="00AB3E99">
        <w:rPr>
          <w:rStyle w:val="FootnoteReference"/>
        </w:rPr>
        <w:footnoteReference w:id="86"/>
      </w:r>
      <w:r w:rsidRPr="00AB3E99">
        <w:t xml:space="preserve"> 3CE </w:t>
      </w:r>
      <w:proofErr w:type="gramStart"/>
      <w:r w:rsidRPr="00AB3E99">
        <w:t>provided documentation</w:t>
      </w:r>
      <w:proofErr w:type="gramEnd"/>
      <w:r w:rsidRPr="00AB3E99">
        <w:t xml:space="preserve"> to show that the contract capacity for 3CE’s PPA with TRE is </w:t>
      </w:r>
      <w:r w:rsidR="00E122DD">
        <w:t>three</w:t>
      </w:r>
      <w:r w:rsidRPr="00AB3E99">
        <w:t xml:space="preserve"> MW.</w:t>
      </w:r>
      <w:r w:rsidRPr="00AB3E99">
        <w:rPr>
          <w:rStyle w:val="FootnoteReference"/>
        </w:rPr>
        <w:footnoteReference w:id="87"/>
      </w:r>
      <w:r w:rsidRPr="00AB3E99">
        <w:t xml:space="preserve">  This document is adequate to show TRE has met this criterion.</w:t>
      </w:r>
    </w:p>
    <w:p w:rsidRPr="00AB3E99" w:rsidR="00C34A5D" w:rsidP="00B754C4" w:rsidRDefault="00C34A5D" w14:paraId="5B219886" w14:textId="3939D003">
      <w:pPr>
        <w:pStyle w:val="Standard"/>
        <w:numPr>
          <w:ilvl w:val="0"/>
          <w:numId w:val="9"/>
        </w:numPr>
        <w:spacing w:after="120" w:line="240" w:lineRule="auto"/>
        <w:ind w:left="1080" w:right="1440"/>
      </w:pPr>
      <w:r w:rsidRPr="00AB3E99">
        <w:t xml:space="preserve">The nameplate capacity for the project cannot exceed </w:t>
      </w:r>
      <w:r w:rsidR="00F53537">
        <w:t>five</w:t>
      </w:r>
      <w:r w:rsidRPr="00AB3E99">
        <w:t xml:space="preserve"> MW.</w:t>
      </w:r>
      <w:r w:rsidR="002B3296">
        <w:t xml:space="preserve">  </w:t>
      </w:r>
      <w:r w:rsidRPr="00AB3E99">
        <w:t xml:space="preserve">TRE’s nameplate capacity is </w:t>
      </w:r>
      <w:r w:rsidR="00E122DD">
        <w:t>five</w:t>
      </w:r>
      <w:r w:rsidRPr="00AB3E99">
        <w:t xml:space="preserve"> MW.</w:t>
      </w:r>
      <w:r w:rsidRPr="00AB3E99">
        <w:rPr>
          <w:rStyle w:val="FootnoteReference"/>
        </w:rPr>
        <w:footnoteReference w:id="88"/>
      </w:r>
      <w:r w:rsidRPr="00AB3E99">
        <w:t xml:space="preserve"> TRE has met this criterion.</w:t>
      </w:r>
    </w:p>
    <w:p w:rsidRPr="00AB3E99" w:rsidR="00C34A5D" w:rsidP="00B754C4" w:rsidRDefault="00C34A5D" w14:paraId="32E542B1" w14:textId="329B06A8">
      <w:pPr>
        <w:pStyle w:val="Standard"/>
        <w:numPr>
          <w:ilvl w:val="0"/>
          <w:numId w:val="9"/>
        </w:numPr>
        <w:spacing w:after="120" w:line="240" w:lineRule="auto"/>
        <w:ind w:left="1080" w:right="1440"/>
      </w:pPr>
      <w:r w:rsidRPr="00AB3E99">
        <w:t>Regarding an interconnection study and whether a project is strategically located, an applicant can satisfy</w:t>
      </w:r>
      <w:r w:rsidRPr="00126D40">
        <w:t xml:space="preserve"> this requirement by making use of an existing interconnection agreement to the extent permitted by applicable IOU tariff or CAISO’s tariff. The applicant’s interconnection study must have an active interconnection queue number in the applicable IOU’s public wholesale distribution queue of the public CAISO interconnection queue to be eligible to participate and remain in</w:t>
      </w:r>
      <w:r>
        <w:t xml:space="preserve"> </w:t>
      </w:r>
      <w:r w:rsidRPr="00126D40">
        <w:t>th</w:t>
      </w:r>
      <w:r>
        <w:t>e</w:t>
      </w:r>
      <w:r w:rsidRPr="00126D40">
        <w:t xml:space="preserve"> </w:t>
      </w:r>
      <w:proofErr w:type="spellStart"/>
      <w:r w:rsidRPr="00126D40">
        <w:t>BioMAT</w:t>
      </w:r>
      <w:proofErr w:type="spellEnd"/>
      <w:r w:rsidRPr="00126D40">
        <w:t xml:space="preserve"> queue, with certain inapplicable exceptions.</w:t>
      </w:r>
      <w:r w:rsidRPr="00A90D2C">
        <w:rPr>
          <w:rStyle w:val="FootnoteReference"/>
        </w:rPr>
        <w:footnoteReference w:id="89"/>
      </w:r>
      <w:r w:rsidRPr="00A90D2C">
        <w:rPr>
          <w:rStyle w:val="FootnoteReference"/>
        </w:rPr>
        <w:t xml:space="preserve"> </w:t>
      </w:r>
      <w:r w:rsidRPr="00126D40">
        <w:t xml:space="preserve"> TRE provided an executed Rule 21 agreement with PG&amp;E for interconnection to PG&amp;E’s distribution system.</w:t>
      </w:r>
      <w:r w:rsidR="002B3296">
        <w:t xml:space="preserve">  </w:t>
      </w:r>
      <w:r w:rsidRPr="00126D40">
        <w:t xml:space="preserve">3CE represents that this interconnection agreement contains TRE’s queue number and affirmatively supports the project’s ability to interconnect within 36 months of the execution of the </w:t>
      </w:r>
      <w:proofErr w:type="spellStart"/>
      <w:r w:rsidRPr="00126D40">
        <w:t>BioMAT</w:t>
      </w:r>
      <w:proofErr w:type="spellEnd"/>
      <w:r w:rsidRPr="00126D40">
        <w:t xml:space="preserve"> PPA.</w:t>
      </w:r>
      <w:r w:rsidRPr="00A90D2C">
        <w:rPr>
          <w:rStyle w:val="FootnoteReference"/>
        </w:rPr>
        <w:footnoteReference w:id="90"/>
      </w:r>
      <w:r w:rsidRPr="00A90D2C">
        <w:rPr>
          <w:rStyle w:val="FootnoteReference"/>
        </w:rPr>
        <w:t xml:space="preserve">  </w:t>
      </w:r>
      <w:r w:rsidRPr="00126D40">
        <w:t xml:space="preserve">3CE </w:t>
      </w:r>
      <w:r w:rsidR="00F73691">
        <w:t xml:space="preserve">has executed its first </w:t>
      </w:r>
      <w:proofErr w:type="spellStart"/>
      <w:r w:rsidR="00F73691">
        <w:t>BioMAT</w:t>
      </w:r>
      <w:proofErr w:type="spellEnd"/>
      <w:r w:rsidR="00F73691">
        <w:t xml:space="preserve"> PPA with TRE.</w:t>
      </w:r>
      <w:r w:rsidRPr="00A90D2C" w:rsidR="001416D9">
        <w:rPr>
          <w:rStyle w:val="FootnoteReference"/>
        </w:rPr>
        <w:footnoteReference w:id="91"/>
      </w:r>
      <w:r w:rsidRPr="00A90D2C" w:rsidR="00F73691">
        <w:rPr>
          <w:rStyle w:val="FootnoteReference"/>
        </w:rPr>
        <w:t xml:space="preserve"> </w:t>
      </w:r>
      <w:r w:rsidR="00F73691">
        <w:t xml:space="preserve">3CE also </w:t>
      </w:r>
      <w:r w:rsidR="001416D9">
        <w:t xml:space="preserve">provided </w:t>
      </w:r>
      <w:r w:rsidRPr="00126D40">
        <w:t>i</w:t>
      </w:r>
      <w:r w:rsidR="009446A2">
        <w:t>t</w:t>
      </w:r>
      <w:r w:rsidRPr="00126D40">
        <w:t xml:space="preserve">s existing Rule 21 interconnection </w:t>
      </w:r>
      <w:r w:rsidRPr="00AB3E99">
        <w:t>agreement</w:t>
      </w:r>
      <w:r w:rsidR="001D7D51">
        <w:t xml:space="preserve"> with PG&amp;E</w:t>
      </w:r>
      <w:r w:rsidRPr="00AB3E99">
        <w:t xml:space="preserve">, with reference to its queue number, and timelines to support TRE’s ability to </w:t>
      </w:r>
      <w:r w:rsidRPr="00AB3E99">
        <w:lastRenderedPageBreak/>
        <w:t>interconnect within 36 months of execution of the PP</w:t>
      </w:r>
      <w:r w:rsidR="00887AAC">
        <w:t>A</w:t>
      </w:r>
      <w:r w:rsidRPr="00AB3E99">
        <w:t>.</w:t>
      </w:r>
      <w:r w:rsidRPr="00A90D2C">
        <w:rPr>
          <w:rStyle w:val="FootnoteReference"/>
        </w:rPr>
        <w:footnoteReference w:id="92"/>
      </w:r>
      <w:r w:rsidRPr="00AB3E99">
        <w:t xml:space="preserve">  This documentation is adequate to show that TRE’s executed Rule 21 agreement with PG&amp;E for interconnection to its distribution system meets the interconnection study criterion.</w:t>
      </w:r>
    </w:p>
    <w:p w:rsidRPr="00AB3E99" w:rsidR="00C34A5D" w:rsidP="00B754C4" w:rsidRDefault="00C34A5D" w14:paraId="203C5D5D" w14:textId="4CE74636">
      <w:pPr>
        <w:pStyle w:val="Standard"/>
        <w:numPr>
          <w:ilvl w:val="0"/>
          <w:numId w:val="9"/>
        </w:numPr>
        <w:spacing w:after="120" w:line="240" w:lineRule="auto"/>
        <w:ind w:left="1080" w:right="1440"/>
      </w:pPr>
      <w:r w:rsidRPr="00AB3E99">
        <w:t>Regarding site control, the applicant must provide an attestation that it has 100% site control for the project through one of several means, such as a lease.</w:t>
      </w:r>
      <w:r w:rsidRPr="00A90D2C">
        <w:rPr>
          <w:rStyle w:val="FootnoteReference"/>
        </w:rPr>
        <w:footnoteReference w:id="93"/>
      </w:r>
      <w:r w:rsidRPr="00AB3E99">
        <w:t xml:space="preserve"> TRE attested it has 100% site control through a lease.</w:t>
      </w:r>
      <w:r w:rsidRPr="00A90D2C">
        <w:rPr>
          <w:rStyle w:val="FootnoteReference"/>
        </w:rPr>
        <w:footnoteReference w:id="94"/>
      </w:r>
      <w:r w:rsidRPr="00AB3E99">
        <w:t xml:space="preserve"> 3CE provided the attestation within its PPR, attesting that “there is 100 percent site control for the Project through a lease.”</w:t>
      </w:r>
      <w:r w:rsidRPr="00A90D2C">
        <w:rPr>
          <w:rStyle w:val="FootnoteReference"/>
        </w:rPr>
        <w:footnoteReference w:id="95"/>
      </w:r>
      <w:r w:rsidRPr="00AB3E99">
        <w:t xml:space="preserve"> 3CE also provided a copy of the lease.</w:t>
      </w:r>
      <w:r w:rsidRPr="00A90D2C">
        <w:rPr>
          <w:rStyle w:val="FootnoteReference"/>
        </w:rPr>
        <w:footnoteReference w:id="96"/>
      </w:r>
      <w:r w:rsidRPr="00A90D2C">
        <w:rPr>
          <w:rStyle w:val="FootnoteReference"/>
        </w:rPr>
        <w:t xml:space="preserve"> </w:t>
      </w:r>
      <w:r w:rsidRPr="00AB3E99">
        <w:t>This documentation is sufficient to show that TRE has validly attested it has 100% site control of the project.</w:t>
      </w:r>
    </w:p>
    <w:p w:rsidRPr="00AB3E99" w:rsidR="00C34A5D" w:rsidP="00B754C4" w:rsidRDefault="00C34A5D" w14:paraId="46D68330" w14:textId="69C945E5">
      <w:pPr>
        <w:pStyle w:val="Standard"/>
        <w:numPr>
          <w:ilvl w:val="0"/>
          <w:numId w:val="9"/>
        </w:numPr>
        <w:spacing w:after="120" w:line="240" w:lineRule="auto"/>
        <w:ind w:left="1080" w:right="1440"/>
      </w:pPr>
      <w:r w:rsidRPr="00AB3E99">
        <w:t>Regarding developer experience, the applicant must provide an attestation that at least one member of its development</w:t>
      </w:r>
      <w:r>
        <w:t xml:space="preserve"> team has either completed development </w:t>
      </w:r>
      <w:proofErr w:type="gramStart"/>
      <w:r>
        <w:t>of, or</w:t>
      </w:r>
      <w:proofErr w:type="gramEnd"/>
      <w:r>
        <w:t xml:space="preserve"> begun construction of at least one other project of </w:t>
      </w:r>
      <w:r w:rsidRPr="00AB3E99">
        <w:t>similar technology and capacity. 3CE noted that within the PPR, TRE attested it satisfies this criterion.</w:t>
      </w:r>
      <w:r w:rsidRPr="00A90D2C">
        <w:rPr>
          <w:rStyle w:val="FootnoteReference"/>
        </w:rPr>
        <w:footnoteReference w:id="97"/>
      </w:r>
      <w:r w:rsidRPr="00AB3E99">
        <w:t xml:space="preserve"> 3CE provided TRE’s attestation as well.</w:t>
      </w:r>
      <w:r w:rsidRPr="00A90D2C">
        <w:rPr>
          <w:rStyle w:val="FootnoteReference"/>
        </w:rPr>
        <w:footnoteReference w:id="98"/>
      </w:r>
      <w:r w:rsidRPr="00AB3E99">
        <w:t xml:space="preserve"> This documentation is adequate to show that TRE has shown enough developer experience.</w:t>
      </w:r>
    </w:p>
    <w:p w:rsidRPr="00AB3E99" w:rsidR="00C34A5D" w:rsidP="00B754C4" w:rsidRDefault="00C34A5D" w14:paraId="2E73B070" w14:textId="214AE563">
      <w:pPr>
        <w:pStyle w:val="Standard"/>
        <w:numPr>
          <w:ilvl w:val="0"/>
          <w:numId w:val="9"/>
        </w:numPr>
        <w:spacing w:after="120" w:line="240" w:lineRule="auto"/>
        <w:ind w:left="1080" w:right="1440"/>
      </w:pPr>
      <w:r w:rsidRPr="00AB3E99">
        <w:t xml:space="preserve">Regarding daisy chaining, the applicant must provide an attestation that only </w:t>
      </w:r>
      <w:r w:rsidR="00DB27D8">
        <w:t xml:space="preserve">the </w:t>
      </w:r>
      <w:r w:rsidRPr="00AB3E99">
        <w:t xml:space="preserve">exporting project the applicant is developing, </w:t>
      </w:r>
      <w:proofErr w:type="gramStart"/>
      <w:r w:rsidRPr="00AB3E99">
        <w:t>owns</w:t>
      </w:r>
      <w:proofErr w:type="gramEnd"/>
      <w:r w:rsidRPr="00AB3E99">
        <w:t xml:space="preserve"> or </w:t>
      </w:r>
      <w:proofErr w:type="gramStart"/>
      <w:r w:rsidRPr="00AB3E99">
        <w:t>controls</w:t>
      </w:r>
      <w:proofErr w:type="gramEnd"/>
      <w:r w:rsidRPr="00AB3E99">
        <w:t xml:space="preserve"> </w:t>
      </w:r>
      <w:r w:rsidR="00E6230E">
        <w:t xml:space="preserve">is </w:t>
      </w:r>
      <w:r w:rsidRPr="00AB3E99">
        <w:t xml:space="preserve">on any single or contiguous pieces of property. Alternatively, if </w:t>
      </w:r>
      <w:proofErr w:type="gramStart"/>
      <w:r w:rsidRPr="00AB3E99">
        <w:t>applicant</w:t>
      </w:r>
      <w:proofErr w:type="gramEnd"/>
      <w:r w:rsidRPr="00AB3E99">
        <w:t xml:space="preserve"> cannot meet this condition, the total aggregated installed contract capacity of the projects </w:t>
      </w:r>
      <w:r w:rsidR="00035B8E">
        <w:t>can</w:t>
      </w:r>
      <w:r w:rsidRPr="00AB3E99">
        <w:t xml:space="preserve">not exceed </w:t>
      </w:r>
      <w:r w:rsidR="0069357C">
        <w:t xml:space="preserve">three </w:t>
      </w:r>
      <w:r w:rsidRPr="00AB3E99">
        <w:t xml:space="preserve">MW.  </w:t>
      </w:r>
      <w:r w:rsidRPr="00AB3E99">
        <w:lastRenderedPageBreak/>
        <w:t>3CE represented that TRE attested it satisfied this criterion.</w:t>
      </w:r>
      <w:r w:rsidRPr="00AB3E99">
        <w:rPr>
          <w:rStyle w:val="FootnoteReference"/>
        </w:rPr>
        <w:footnoteReference w:id="99"/>
      </w:r>
      <w:r w:rsidRPr="00AB3E99">
        <w:t xml:space="preserve"> 3CE also provided documentation that showed TRE’s attestation.</w:t>
      </w:r>
      <w:r w:rsidRPr="00AB3E99">
        <w:rPr>
          <w:rStyle w:val="FootnoteReference"/>
        </w:rPr>
        <w:footnoteReference w:id="100"/>
      </w:r>
      <w:r w:rsidRPr="00AB3E99">
        <w:t xml:space="preserve"> This documentation is sufficient to show TRE has met the </w:t>
      </w:r>
      <w:proofErr w:type="gramStart"/>
      <w:r w:rsidRPr="00AB3E99">
        <w:t>criterion</w:t>
      </w:r>
      <w:proofErr w:type="gramEnd"/>
      <w:r w:rsidRPr="00AB3E99">
        <w:t xml:space="preserve"> to avoid daisy chaining.</w:t>
      </w:r>
    </w:p>
    <w:p w:rsidRPr="00AB3E99" w:rsidR="00C34A5D" w:rsidP="00B754C4" w:rsidRDefault="00C34A5D" w14:paraId="27449706" w14:textId="2F280ED2">
      <w:pPr>
        <w:pStyle w:val="Standard"/>
        <w:numPr>
          <w:ilvl w:val="0"/>
          <w:numId w:val="9"/>
        </w:numPr>
        <w:spacing w:after="120" w:line="240" w:lineRule="auto"/>
        <w:ind w:left="1080" w:right="1440"/>
      </w:pPr>
      <w:r w:rsidRPr="00AB3E99">
        <w:t xml:space="preserve">Regarding other incentives, a project that previously received incentives under the Self-Generation Incentive Program (SGIP) is ineligible for </w:t>
      </w:r>
      <w:proofErr w:type="spellStart"/>
      <w:r w:rsidRPr="00AB3E99">
        <w:t>BioMAT</w:t>
      </w:r>
      <w:proofErr w:type="spellEnd"/>
      <w:r w:rsidRPr="00AB3E99">
        <w:t xml:space="preserve"> if the</w:t>
      </w:r>
      <w:r>
        <w:t xml:space="preserve"> incentives were received within 10 years or less from the date that the applicant submits a PPR for </w:t>
      </w:r>
      <w:proofErr w:type="spellStart"/>
      <w:r>
        <w:t>BioMAT</w:t>
      </w:r>
      <w:proofErr w:type="spellEnd"/>
      <w:r>
        <w:t xml:space="preserve"> for that project. A project Applicant must make certain attestations to show the project is not ineligible because of receipt of this SGIP incentives.</w:t>
      </w:r>
      <w:r>
        <w:rPr>
          <w:rStyle w:val="FootnoteReference"/>
        </w:rPr>
        <w:footnoteReference w:id="101"/>
      </w:r>
      <w:r>
        <w:t xml:space="preserve"> 3CE represented that TRE attested it satisfied this criterion.</w:t>
      </w:r>
      <w:r w:rsidRPr="00CE08D8">
        <w:rPr>
          <w:rStyle w:val="FootnoteReference"/>
        </w:rPr>
        <w:t xml:space="preserve"> </w:t>
      </w:r>
      <w:r>
        <w:rPr>
          <w:rStyle w:val="FootnoteReference"/>
        </w:rPr>
        <w:footnoteReference w:id="102"/>
      </w:r>
      <w:r>
        <w:t xml:space="preserve"> 3CE also provided TRE’s </w:t>
      </w:r>
      <w:r w:rsidRPr="00AB3E99">
        <w:t>attestation.</w:t>
      </w:r>
      <w:r w:rsidRPr="00AB3E99">
        <w:rPr>
          <w:rStyle w:val="FootnoteReference"/>
        </w:rPr>
        <w:footnoteReference w:id="103"/>
      </w:r>
      <w:r w:rsidRPr="00AB3E99">
        <w:t xml:space="preserve">  This documentation is sufficient to show that TRE’s project is not ineligible due to receipt of untimely SGIP incentives.</w:t>
      </w:r>
    </w:p>
    <w:p w:rsidR="00C34A5D" w:rsidP="00B754C4" w:rsidRDefault="00C34A5D" w14:paraId="0D628EF5" w14:textId="477B90EC">
      <w:pPr>
        <w:pStyle w:val="Standard"/>
        <w:numPr>
          <w:ilvl w:val="0"/>
          <w:numId w:val="9"/>
        </w:numPr>
        <w:spacing w:after="120" w:line="240" w:lineRule="auto"/>
        <w:ind w:left="1080" w:right="1440"/>
      </w:pPr>
      <w:r w:rsidRPr="00AB3E99">
        <w:t xml:space="preserve">Regarding Net Energy Metering, “An applicant that is a net energy metering (NEM) customer can only participate in </w:t>
      </w:r>
      <w:proofErr w:type="spellStart"/>
      <w:r w:rsidRPr="00AB3E99">
        <w:t>BioMAT</w:t>
      </w:r>
      <w:proofErr w:type="spellEnd"/>
      <w:r w:rsidRPr="00AB3E99">
        <w:t xml:space="preserve"> if the applicant terminates its participation in the NEM program for the project prior to the </w:t>
      </w:r>
      <w:proofErr w:type="spellStart"/>
      <w:r w:rsidRPr="00AB3E99">
        <w:t>BioMAT</w:t>
      </w:r>
      <w:proofErr w:type="spellEnd"/>
      <w:r w:rsidRPr="00AB3E99">
        <w:t xml:space="preserve"> PPA’s execution date.”</w:t>
      </w:r>
      <w:r w:rsidRPr="00A90D2C">
        <w:rPr>
          <w:rStyle w:val="FootnoteReference"/>
        </w:rPr>
        <w:footnoteReference w:id="104"/>
      </w:r>
      <w:r w:rsidRPr="00A90D2C">
        <w:rPr>
          <w:rStyle w:val="FootnoteReference"/>
        </w:rPr>
        <w:t xml:space="preserve"> </w:t>
      </w:r>
      <w:r w:rsidRPr="00AB3E99">
        <w:t>According to 3CE, within the PPR, TRE attested that it satisfies this criterion by indicating it is not currently delivering under NEM.</w:t>
      </w:r>
      <w:r w:rsidRPr="00A90D2C">
        <w:rPr>
          <w:rStyle w:val="FootnoteReference"/>
        </w:rPr>
        <w:footnoteReference w:id="105"/>
      </w:r>
      <w:r w:rsidRPr="00A90D2C">
        <w:rPr>
          <w:rStyle w:val="FootnoteReference"/>
        </w:rPr>
        <w:t xml:space="preserve">  </w:t>
      </w:r>
      <w:r w:rsidRPr="00AB3E99">
        <w:t>3CE also showed TRE’s attestation, in which TRE answered that the facility in question is not currently delivering under NEM.</w:t>
      </w:r>
      <w:r w:rsidRPr="00A90D2C">
        <w:rPr>
          <w:rStyle w:val="FootnoteReference"/>
        </w:rPr>
        <w:footnoteReference w:id="106"/>
      </w:r>
      <w:r w:rsidRPr="00A90D2C">
        <w:rPr>
          <w:rStyle w:val="FootnoteReference"/>
        </w:rPr>
        <w:t xml:space="preserve"> </w:t>
      </w:r>
      <w:r w:rsidRPr="00AB3E99">
        <w:t xml:space="preserve"> This documentation shows that TRE’s project is not part of the NEM program prior to the </w:t>
      </w:r>
      <w:proofErr w:type="spellStart"/>
      <w:r w:rsidRPr="00AB3E99">
        <w:t>BioMAT</w:t>
      </w:r>
      <w:proofErr w:type="spellEnd"/>
      <w:r w:rsidRPr="00AB3E99">
        <w:t xml:space="preserve"> PPA’s execution date.</w:t>
      </w:r>
    </w:p>
    <w:p w:rsidRPr="00AB3E99" w:rsidR="00D635C5" w:rsidP="00B754C4" w:rsidRDefault="00881EB2" w14:paraId="70D4B07F" w14:textId="6A7394D5">
      <w:pPr>
        <w:pStyle w:val="Standard"/>
        <w:numPr>
          <w:ilvl w:val="0"/>
          <w:numId w:val="9"/>
        </w:numPr>
        <w:spacing w:after="120" w:line="240" w:lineRule="auto"/>
        <w:ind w:left="1080" w:right="1440"/>
      </w:pPr>
      <w:r>
        <w:lastRenderedPageBreak/>
        <w:t>Regarding Renewable Market Adjusting Tariff</w:t>
      </w:r>
      <w:r w:rsidR="005A12D7">
        <w:t xml:space="preserve"> (</w:t>
      </w:r>
      <w:proofErr w:type="spellStart"/>
      <w:r w:rsidR="005A12D7">
        <w:t>ReMAT</w:t>
      </w:r>
      <w:proofErr w:type="spellEnd"/>
      <w:r w:rsidR="005A12D7">
        <w:t>)</w:t>
      </w:r>
      <w:r>
        <w:t xml:space="preserve">, </w:t>
      </w:r>
      <w:r w:rsidR="004C3627">
        <w:t>a</w:t>
      </w:r>
      <w:r>
        <w:t xml:space="preserve">n applicant may not submit a PPR or maintain a position in the queue for the same </w:t>
      </w:r>
      <w:r w:rsidR="00182B8A">
        <w:t xml:space="preserve">project in both the </w:t>
      </w:r>
      <w:proofErr w:type="spellStart"/>
      <w:r w:rsidR="00F21603">
        <w:t>ReMAT</w:t>
      </w:r>
      <w:proofErr w:type="spellEnd"/>
      <w:r w:rsidR="00F21603">
        <w:t xml:space="preserve"> program and the </w:t>
      </w:r>
      <w:proofErr w:type="spellStart"/>
      <w:r w:rsidR="00F21603">
        <w:t>BioMAT</w:t>
      </w:r>
      <w:proofErr w:type="spellEnd"/>
      <w:r w:rsidR="00F21603">
        <w:t xml:space="preserve"> program. </w:t>
      </w:r>
      <w:r w:rsidR="00115028">
        <w:t>According to 3CE, b</w:t>
      </w:r>
      <w:r w:rsidR="00F21603">
        <w:t xml:space="preserve">ecause the TRE project has a nameplate capacity of </w:t>
      </w:r>
      <w:r w:rsidR="00E6230E">
        <w:t>five</w:t>
      </w:r>
      <w:r w:rsidR="00F21603">
        <w:t xml:space="preserve"> MW, it exceeds the </w:t>
      </w:r>
      <w:proofErr w:type="spellStart"/>
      <w:r w:rsidR="00F21603">
        <w:t>ReMAT</w:t>
      </w:r>
      <w:proofErr w:type="spellEnd"/>
      <w:r w:rsidR="00F21603">
        <w:t xml:space="preserve"> program eligibility criteria.</w:t>
      </w:r>
      <w:r w:rsidR="000B0F0C">
        <w:rPr>
          <w:rStyle w:val="FootnoteReference"/>
        </w:rPr>
        <w:footnoteReference w:id="107"/>
      </w:r>
      <w:r w:rsidR="00115028">
        <w:t xml:space="preserve"> </w:t>
      </w:r>
      <w:r w:rsidR="003114DD">
        <w:t>The Commission has considered this approach and accepts the point as valid.</w:t>
      </w:r>
    </w:p>
    <w:p w:rsidRPr="00AB3E99" w:rsidR="00C34A5D" w:rsidP="00B754C4" w:rsidRDefault="00C34A5D" w14:paraId="19131550" w14:textId="6F21AD2E">
      <w:pPr>
        <w:pStyle w:val="Standard"/>
        <w:numPr>
          <w:ilvl w:val="0"/>
          <w:numId w:val="9"/>
        </w:numPr>
        <w:spacing w:after="120" w:line="240" w:lineRule="auto"/>
        <w:ind w:left="1080" w:right="1440"/>
      </w:pPr>
      <w:r w:rsidRPr="00AB3E99">
        <w:t xml:space="preserve">Regarding </w:t>
      </w:r>
      <w:r w:rsidR="008648BB">
        <w:t>fuel resource requirements</w:t>
      </w:r>
      <w:r w:rsidRPr="00AB3E99">
        <w:t>, TRE is a Category 2 (Other Agriculture) project.</w:t>
      </w:r>
      <w:r w:rsidRPr="00A90D2C">
        <w:rPr>
          <w:rStyle w:val="FootnoteReference"/>
        </w:rPr>
        <w:footnoteReference w:id="108"/>
      </w:r>
      <w:r w:rsidRPr="00A90D2C">
        <w:rPr>
          <w:rStyle w:val="FootnoteReference"/>
        </w:rPr>
        <w:t xml:space="preserve"> </w:t>
      </w:r>
      <w:r w:rsidRPr="00AB3E99">
        <w:t>Projects within this category are required to use at least 80% of eligible fuel under this category on an annual basis.</w:t>
      </w:r>
      <w:r w:rsidRPr="00A90D2C">
        <w:rPr>
          <w:rStyle w:val="FootnoteReference"/>
        </w:rPr>
        <w:footnoteReference w:id="109"/>
      </w:r>
      <w:r w:rsidRPr="00A90D2C">
        <w:rPr>
          <w:rStyle w:val="FootnoteReference"/>
        </w:rPr>
        <w:t xml:space="preserve">  </w:t>
      </w:r>
      <w:r w:rsidRPr="00AB3E99">
        <w:t>3CE represented that in its PPR submission</w:t>
      </w:r>
      <w:r>
        <w:t xml:space="preserve">, TRE attested that the project will use 100% feedstock that conforms to the Category 2 definition as a fuel source and meets all fuel resources requirements in the </w:t>
      </w:r>
      <w:proofErr w:type="spellStart"/>
      <w:r>
        <w:t>BioMAT</w:t>
      </w:r>
      <w:proofErr w:type="spellEnd"/>
      <w:r>
        <w:t xml:space="preserve"> tariff and PPA.</w:t>
      </w:r>
      <w:r w:rsidRPr="00A90D2C">
        <w:rPr>
          <w:rStyle w:val="FootnoteReference"/>
        </w:rPr>
        <w:footnoteReference w:id="110"/>
      </w:r>
      <w:r>
        <w:t xml:space="preserve"> 3CE also provided TRE’s attestation to meeting the fuel resource </w:t>
      </w:r>
      <w:r w:rsidRPr="00AB3E99">
        <w:t>requirement.</w:t>
      </w:r>
      <w:r w:rsidRPr="00A90D2C">
        <w:rPr>
          <w:rStyle w:val="FootnoteReference"/>
        </w:rPr>
        <w:footnoteReference w:id="111"/>
      </w:r>
      <w:r w:rsidRPr="00A90D2C">
        <w:rPr>
          <w:rStyle w:val="FootnoteReference"/>
        </w:rPr>
        <w:t xml:space="preserve"> </w:t>
      </w:r>
      <w:r w:rsidRPr="00AB3E99">
        <w:t xml:space="preserve"> 3CE’s documentation shows TRE’s project category meets the eligible fuel requirement.  </w:t>
      </w:r>
    </w:p>
    <w:p w:rsidRPr="00AB3E99" w:rsidR="00C34A5D" w:rsidP="00B754C4" w:rsidRDefault="00C34A5D" w14:paraId="0C255C68" w14:textId="77777777">
      <w:pPr>
        <w:pStyle w:val="Standard"/>
        <w:numPr>
          <w:ilvl w:val="0"/>
          <w:numId w:val="9"/>
        </w:numPr>
        <w:spacing w:after="120" w:line="240" w:lineRule="auto"/>
        <w:ind w:left="1080" w:right="1440"/>
      </w:pPr>
      <w:r w:rsidRPr="00AB3E99">
        <w:t>Regarding commercial operations, the project must have commenced commercial operations on or after June 1, 2013, based on the definition of “commercial operations date” in the CEC’s Renewables Portfolio Standard Eligibility Guidebook.</w:t>
      </w:r>
      <w:r w:rsidRPr="00A90D2C">
        <w:rPr>
          <w:rStyle w:val="FootnoteReference"/>
        </w:rPr>
        <w:footnoteReference w:id="112"/>
      </w:r>
      <w:r w:rsidRPr="00A90D2C">
        <w:rPr>
          <w:rStyle w:val="FootnoteReference"/>
        </w:rPr>
        <w:t xml:space="preserve"> </w:t>
      </w:r>
      <w:r w:rsidRPr="00AB3E99">
        <w:t xml:space="preserve"> 3CE represented that TRE’s PPR indicates an estimated commercial operations date of February 26, 2027.</w:t>
      </w:r>
      <w:r w:rsidRPr="00A90D2C">
        <w:rPr>
          <w:rStyle w:val="FootnoteReference"/>
        </w:rPr>
        <w:footnoteReference w:id="113"/>
      </w:r>
      <w:r w:rsidRPr="00A90D2C">
        <w:rPr>
          <w:rStyle w:val="FootnoteReference"/>
        </w:rPr>
        <w:t xml:space="preserve"> </w:t>
      </w:r>
      <w:r w:rsidRPr="00AB3E99">
        <w:t xml:space="preserve"> 3CE also provided documentation that showed expected commercial operations are anticipated to start on </w:t>
      </w:r>
      <w:r w:rsidRPr="00AB3E99">
        <w:lastRenderedPageBreak/>
        <w:t>February 26, 2027.</w:t>
      </w:r>
      <w:r w:rsidRPr="00A90D2C">
        <w:rPr>
          <w:rStyle w:val="FootnoteReference"/>
        </w:rPr>
        <w:footnoteReference w:id="114"/>
      </w:r>
      <w:r w:rsidRPr="00AB3E99">
        <w:t xml:space="preserve"> 3CE’s documentation shows TRE starts commercial operations after the required date of June 1, 2013.</w:t>
      </w:r>
    </w:p>
    <w:p w:rsidRPr="00AB3E99" w:rsidR="00C34A5D" w:rsidP="00B754C4" w:rsidRDefault="00F35614" w14:paraId="1056BA0E" w14:textId="1D4CCAD7">
      <w:pPr>
        <w:pStyle w:val="Standard"/>
        <w:numPr>
          <w:ilvl w:val="0"/>
          <w:numId w:val="9"/>
        </w:numPr>
        <w:spacing w:after="120" w:line="240" w:lineRule="auto"/>
        <w:ind w:left="1080" w:right="1440"/>
      </w:pPr>
      <w:r>
        <w:t>Regarding the project application, a</w:t>
      </w:r>
      <w:r w:rsidRPr="00AB3E99" w:rsidR="00C34A5D">
        <w:t xml:space="preserve">n applicant may only submit one PPR per project to </w:t>
      </w:r>
      <w:proofErr w:type="spellStart"/>
      <w:r w:rsidRPr="00AB3E99" w:rsidR="00C34A5D">
        <w:t>BioMAT</w:t>
      </w:r>
      <w:proofErr w:type="spellEnd"/>
      <w:r w:rsidRPr="00AB3E99" w:rsidR="00C34A5D">
        <w:t xml:space="preserve"> and may not submit a PPR or maintain</w:t>
      </w:r>
      <w:r w:rsidR="00C34A5D">
        <w:t xml:space="preserve"> a position in the queue for the same project in multiple </w:t>
      </w:r>
      <w:proofErr w:type="spellStart"/>
      <w:r w:rsidR="00C34A5D">
        <w:t>BioMAT</w:t>
      </w:r>
      <w:proofErr w:type="spellEnd"/>
      <w:r w:rsidR="00C34A5D">
        <w:t xml:space="preserve"> programs.</w:t>
      </w:r>
      <w:r w:rsidRPr="00A90D2C" w:rsidR="00C34A5D">
        <w:rPr>
          <w:rStyle w:val="FootnoteReference"/>
        </w:rPr>
        <w:footnoteReference w:id="115"/>
      </w:r>
      <w:r w:rsidR="00C34A5D">
        <w:t xml:space="preserve"> D.23-11-084 required that </w:t>
      </w:r>
      <w:proofErr w:type="spellStart"/>
      <w:r w:rsidR="00C34A5D">
        <w:t>BioMAT</w:t>
      </w:r>
      <w:proofErr w:type="spellEnd"/>
      <w:r w:rsidR="00C34A5D">
        <w:t xml:space="preserve"> applicants cannot submit multiple applications to each participating CCA or IOU for the same project to prevent the same project from occupying two spaces in the </w:t>
      </w:r>
      <w:proofErr w:type="spellStart"/>
      <w:r w:rsidR="00C34A5D">
        <w:t>BioMAT</w:t>
      </w:r>
      <w:proofErr w:type="spellEnd"/>
      <w:r w:rsidR="00C34A5D">
        <w:t xml:space="preserve"> queue.</w:t>
      </w:r>
      <w:r w:rsidRPr="00A90D2C" w:rsidR="00C34A5D">
        <w:rPr>
          <w:rStyle w:val="FootnoteReference"/>
        </w:rPr>
        <w:footnoteReference w:id="116"/>
      </w:r>
      <w:r w:rsidR="00C34A5D">
        <w:t xml:space="preserve"> Per the </w:t>
      </w:r>
      <w:proofErr w:type="spellStart"/>
      <w:r w:rsidR="00C34A5D">
        <w:t>BioMAT</w:t>
      </w:r>
      <w:proofErr w:type="spellEnd"/>
      <w:r w:rsidR="00C34A5D">
        <w:t xml:space="preserve"> tariff timeline, 3CE says it reviewed a re-submitted PPR and confirmed that PPR was deemed complete, and continued to meet the eligibility requirement criteria within the </w:t>
      </w:r>
      <w:proofErr w:type="spellStart"/>
      <w:r w:rsidR="00C34A5D">
        <w:t>BioMAT</w:t>
      </w:r>
      <w:proofErr w:type="spellEnd"/>
      <w:r w:rsidR="00C34A5D">
        <w:t xml:space="preserve"> tariff.</w:t>
      </w:r>
      <w:r w:rsidRPr="00A90D2C" w:rsidR="00C34A5D">
        <w:rPr>
          <w:rStyle w:val="FootnoteReference"/>
        </w:rPr>
        <w:footnoteReference w:id="117"/>
      </w:r>
      <w:r w:rsidRPr="00A90D2C" w:rsidR="00C34A5D">
        <w:rPr>
          <w:rStyle w:val="FootnoteReference"/>
        </w:rPr>
        <w:t xml:space="preserve"> </w:t>
      </w:r>
      <w:r w:rsidR="00C34A5D">
        <w:t xml:space="preserve">3CE says this prompted an automated notification to </w:t>
      </w:r>
      <w:r w:rsidRPr="00AB3E99" w:rsidR="00C34A5D">
        <w:t xml:space="preserve">be sent out to the </w:t>
      </w:r>
      <w:proofErr w:type="spellStart"/>
      <w:r w:rsidRPr="00AB3E99" w:rsidR="00C34A5D">
        <w:t>BioMAT</w:t>
      </w:r>
      <w:proofErr w:type="spellEnd"/>
      <w:r w:rsidRPr="00AB3E99" w:rsidR="00C34A5D">
        <w:t xml:space="preserve"> Applicant and internal 3CE staff members.</w:t>
      </w:r>
      <w:r w:rsidRPr="00A90D2C" w:rsidR="00C34A5D">
        <w:rPr>
          <w:rStyle w:val="FootnoteReference"/>
        </w:rPr>
        <w:footnoteReference w:id="118"/>
      </w:r>
      <w:r w:rsidRPr="00AB3E99" w:rsidR="00C34A5D">
        <w:t xml:space="preserve"> 3CE provided a copy of that notification.</w:t>
      </w:r>
      <w:r w:rsidRPr="00A90D2C" w:rsidR="00C34A5D">
        <w:rPr>
          <w:rStyle w:val="FootnoteReference"/>
        </w:rPr>
        <w:footnoteReference w:id="119"/>
      </w:r>
      <w:r w:rsidRPr="00A90D2C" w:rsidR="00C34A5D">
        <w:rPr>
          <w:rStyle w:val="FootnoteReference"/>
        </w:rPr>
        <w:t xml:space="preserve"> </w:t>
      </w:r>
      <w:r w:rsidRPr="00AB3E99" w:rsidR="00C34A5D">
        <w:t xml:space="preserve"> This documentation is adequate to show compliance with D.23-11-084’s requirement that prevents the same project from occupying two spaces in the </w:t>
      </w:r>
      <w:proofErr w:type="spellStart"/>
      <w:r w:rsidRPr="00AB3E99" w:rsidR="00C34A5D">
        <w:t>BioMAT</w:t>
      </w:r>
      <w:proofErr w:type="spellEnd"/>
      <w:r w:rsidRPr="00AB3E99" w:rsidR="00C34A5D">
        <w:t xml:space="preserve"> queue. The re-submitted PPR was not occupying a second space in the </w:t>
      </w:r>
      <w:proofErr w:type="spellStart"/>
      <w:r w:rsidRPr="00AB3E99" w:rsidR="00C34A5D">
        <w:t>BioMAT</w:t>
      </w:r>
      <w:proofErr w:type="spellEnd"/>
      <w:r w:rsidRPr="00AB3E99" w:rsidR="00C34A5D">
        <w:t xml:space="preserve"> queue, but rather a re-submittal to correct a minor error in the originally submitted PPR.</w:t>
      </w:r>
    </w:p>
    <w:p w:rsidRPr="00AB3E99" w:rsidR="004416A6" w:rsidP="00663C40" w:rsidRDefault="00224FD4" w14:paraId="478EB9BE" w14:textId="3B58C8C4">
      <w:pPr>
        <w:pStyle w:val="Heading2"/>
      </w:pPr>
      <w:bookmarkStart w:name="_Toc233277291" w:id="20"/>
      <w:r>
        <w:t xml:space="preserve">No Need for Separate </w:t>
      </w:r>
      <w:r w:rsidRPr="00AB3E99" w:rsidR="004416A6">
        <w:t>NBC Rate Schedules</w:t>
      </w:r>
      <w:bookmarkEnd w:id="20"/>
    </w:p>
    <w:p w:rsidR="004416A6" w:rsidP="004416A6" w:rsidRDefault="004416A6" w14:paraId="07CFA0DD" w14:textId="3E2EAB57">
      <w:pPr>
        <w:pStyle w:val="Standard"/>
      </w:pPr>
      <w:r w:rsidRPr="00AB3E99">
        <w:t xml:space="preserve">With regards to administration of NBC rate schedules, 3CE states that the participating </w:t>
      </w:r>
      <w:r>
        <w:t xml:space="preserve">CCAs are not charging customers for the </w:t>
      </w:r>
      <w:proofErr w:type="spellStart"/>
      <w:r>
        <w:t>BioMAT</w:t>
      </w:r>
      <w:proofErr w:type="spellEnd"/>
      <w:r>
        <w:t xml:space="preserve"> program </w:t>
      </w:r>
      <w:proofErr w:type="gramStart"/>
      <w:r>
        <w:t>costs, and</w:t>
      </w:r>
      <w:proofErr w:type="gramEnd"/>
      <w:r>
        <w:t xml:space="preserve"> therefore will not have an NBC rate schedule. Because the Commission </w:t>
      </w:r>
      <w:r>
        <w:lastRenderedPageBreak/>
        <w:t xml:space="preserve">authorized IOUs to recover CCA </w:t>
      </w:r>
      <w:proofErr w:type="spellStart"/>
      <w:r>
        <w:t>BioMAT</w:t>
      </w:r>
      <w:proofErr w:type="spellEnd"/>
      <w:r>
        <w:t xml:space="preserve"> costs through existing NBC’s in the IOUs’ respective PPP surcharges, Participating CCAs, such as 3CE, do not charge their customers directly and therefore do not maintain separate NBC </w:t>
      </w:r>
      <w:r w:rsidR="00F2683D">
        <w:t xml:space="preserve">rate </w:t>
      </w:r>
      <w:r>
        <w:t>schedules.</w:t>
      </w:r>
      <w:r>
        <w:rPr>
          <w:rStyle w:val="FootnoteReference"/>
        </w:rPr>
        <w:footnoteReference w:id="120"/>
      </w:r>
      <w:r>
        <w:t xml:space="preserve"> </w:t>
      </w:r>
      <w:r w:rsidR="00907CC9">
        <w:t xml:space="preserve">In this case, </w:t>
      </w:r>
      <w:r w:rsidR="00520972">
        <w:t xml:space="preserve">it is not necessary for 3CE to maintain separate NBC </w:t>
      </w:r>
      <w:r w:rsidR="00F2683D">
        <w:t>rate schedules.</w:t>
      </w:r>
    </w:p>
    <w:p w:rsidRPr="009064C1" w:rsidR="00C34A5D" w:rsidP="00663C40" w:rsidRDefault="00220FFC" w14:paraId="459310B2" w14:textId="29148A54">
      <w:pPr>
        <w:pStyle w:val="Heading2"/>
      </w:pPr>
      <w:bookmarkStart w:name="_Toc233277292" w:id="21"/>
      <w:r>
        <w:t xml:space="preserve">Satisfaction </w:t>
      </w:r>
      <w:proofErr w:type="gramStart"/>
      <w:r>
        <w:t>of</w:t>
      </w:r>
      <w:proofErr w:type="gramEnd"/>
      <w:r>
        <w:t xml:space="preserve"> Requirements to </w:t>
      </w:r>
      <w:r w:rsidR="00D41B52">
        <w:br/>
      </w:r>
      <w:r w:rsidR="009B56A4">
        <w:t xml:space="preserve">Solicit Contract Terms, Develop </w:t>
      </w:r>
      <w:proofErr w:type="spellStart"/>
      <w:r w:rsidR="0049135A">
        <w:t>BioMAT</w:t>
      </w:r>
      <w:proofErr w:type="spellEnd"/>
      <w:r w:rsidR="0049135A">
        <w:t xml:space="preserve"> Websites and Portals, and Provide </w:t>
      </w:r>
      <w:r w:rsidR="00D41B52">
        <w:br/>
      </w:r>
      <w:r w:rsidR="0049135A">
        <w:t xml:space="preserve">Access to a Central </w:t>
      </w:r>
      <w:proofErr w:type="spellStart"/>
      <w:r w:rsidR="0049135A">
        <w:t>BioMAT</w:t>
      </w:r>
      <w:proofErr w:type="spellEnd"/>
      <w:r w:rsidR="0049135A">
        <w:t xml:space="preserve"> Webpage</w:t>
      </w:r>
      <w:bookmarkEnd w:id="21"/>
      <w:r w:rsidR="0049135A">
        <w:t xml:space="preserve"> </w:t>
      </w:r>
    </w:p>
    <w:p w:rsidRPr="009064C1" w:rsidR="00C34A5D" w:rsidP="00C34A5D" w:rsidRDefault="00C34A5D" w14:paraId="35F462DE" w14:textId="3F5EBEB9">
      <w:pPr>
        <w:pStyle w:val="Standard"/>
      </w:pPr>
      <w:r w:rsidRPr="009064C1">
        <w:t xml:space="preserve">D.23-11-084 OP 3 ordered CCAs that elect to participate in the </w:t>
      </w:r>
      <w:proofErr w:type="spellStart"/>
      <w:r w:rsidRPr="009064C1">
        <w:t>BioMAT</w:t>
      </w:r>
      <w:proofErr w:type="spellEnd"/>
      <w:r w:rsidRPr="009064C1">
        <w:t xml:space="preserve"> program will be represented by the </w:t>
      </w:r>
      <w:proofErr w:type="spellStart"/>
      <w:r w:rsidRPr="009064C1">
        <w:t>CalCCA</w:t>
      </w:r>
      <w:proofErr w:type="spellEnd"/>
      <w:r w:rsidRPr="009064C1">
        <w:t xml:space="preserve"> to consult with SCE, SDG&amp;E (collectively, the IOUs), and the third-party administrator, Accion</w:t>
      </w:r>
      <w:r w:rsidR="0025277A">
        <w:t xml:space="preserve"> LLC</w:t>
      </w:r>
      <w:r w:rsidRPr="009064C1">
        <w:t xml:space="preserve">, to solicit contract terms and to develop individual CCA </w:t>
      </w:r>
      <w:proofErr w:type="spellStart"/>
      <w:r w:rsidRPr="009064C1">
        <w:t>BioMAT</w:t>
      </w:r>
      <w:proofErr w:type="spellEnd"/>
      <w:r w:rsidRPr="009064C1">
        <w:t xml:space="preserve"> websites and portals on the Accion </w:t>
      </w:r>
      <w:r w:rsidR="0025277A">
        <w:t>LLC</w:t>
      </w:r>
      <w:r w:rsidRPr="009064C1" w:rsidR="0025277A">
        <w:t xml:space="preserve"> </w:t>
      </w:r>
      <w:proofErr w:type="spellStart"/>
      <w:r w:rsidRPr="009064C1">
        <w:t>BioMAT</w:t>
      </w:r>
      <w:proofErr w:type="spellEnd"/>
      <w:r w:rsidRPr="009064C1">
        <w:t xml:space="preserve"> platform as well as a central </w:t>
      </w:r>
      <w:proofErr w:type="spellStart"/>
      <w:r w:rsidRPr="009064C1">
        <w:t>BioMAT</w:t>
      </w:r>
      <w:proofErr w:type="spellEnd"/>
      <w:r w:rsidRPr="009064C1">
        <w:t xml:space="preserve"> Accion </w:t>
      </w:r>
      <w:r w:rsidR="0025277A">
        <w:t>LLC</w:t>
      </w:r>
      <w:r w:rsidRPr="009064C1" w:rsidR="0025277A">
        <w:t xml:space="preserve"> </w:t>
      </w:r>
      <w:r w:rsidRPr="009064C1">
        <w:t>webpage.</w:t>
      </w:r>
      <w:r w:rsidR="002B3296">
        <w:t xml:space="preserve">  </w:t>
      </w:r>
      <w:r w:rsidRPr="009064C1">
        <w:t xml:space="preserve">IOU and CCA </w:t>
      </w:r>
      <w:proofErr w:type="spellStart"/>
      <w:r w:rsidRPr="009064C1">
        <w:t>BioMAT</w:t>
      </w:r>
      <w:proofErr w:type="spellEnd"/>
      <w:r w:rsidRPr="009064C1">
        <w:t xml:space="preserve"> Accion</w:t>
      </w:r>
      <w:r w:rsidR="0025277A">
        <w:t xml:space="preserve"> LLC</w:t>
      </w:r>
      <w:r w:rsidRPr="009064C1">
        <w:t xml:space="preserve"> webpages shall provide CCA </w:t>
      </w:r>
      <w:proofErr w:type="spellStart"/>
      <w:r w:rsidRPr="009064C1">
        <w:t>BioMAT</w:t>
      </w:r>
      <w:proofErr w:type="spellEnd"/>
      <w:r w:rsidRPr="009064C1">
        <w:t xml:space="preserve"> participants with access to a central </w:t>
      </w:r>
      <w:proofErr w:type="spellStart"/>
      <w:r w:rsidRPr="009064C1">
        <w:t>BioMAT</w:t>
      </w:r>
      <w:proofErr w:type="spellEnd"/>
      <w:r w:rsidRPr="009064C1">
        <w:t xml:space="preserve"> Accion webpage.</w:t>
      </w:r>
      <w:r w:rsidR="002B3296">
        <w:t xml:space="preserve"> </w:t>
      </w:r>
      <w:r w:rsidRPr="009064C1">
        <w:t xml:space="preserve">Each </w:t>
      </w:r>
      <w:proofErr w:type="gramStart"/>
      <w:r w:rsidRPr="009064C1">
        <w:t>participating</w:t>
      </w:r>
      <w:proofErr w:type="gramEnd"/>
      <w:r w:rsidRPr="009064C1">
        <w:t xml:space="preserve"> CCA shall solicit contract terms with Accion </w:t>
      </w:r>
      <w:r w:rsidR="0025277A">
        <w:t>LLC</w:t>
      </w:r>
      <w:r w:rsidRPr="009064C1" w:rsidR="0025277A">
        <w:t xml:space="preserve"> </w:t>
      </w:r>
      <w:r w:rsidRPr="009064C1">
        <w:t>within 60 days after the effective date of this decision.</w:t>
      </w:r>
      <w:r w:rsidR="002B3296">
        <w:t xml:space="preserve"> </w:t>
      </w:r>
      <w:r w:rsidRPr="009064C1">
        <w:t xml:space="preserve">Each </w:t>
      </w:r>
      <w:proofErr w:type="gramStart"/>
      <w:r w:rsidRPr="009064C1">
        <w:t>participating</w:t>
      </w:r>
      <w:proofErr w:type="gramEnd"/>
      <w:r w:rsidRPr="009064C1">
        <w:t xml:space="preserve"> </w:t>
      </w:r>
      <w:proofErr w:type="gramStart"/>
      <w:r w:rsidRPr="009064C1">
        <w:t>CCA shall</w:t>
      </w:r>
      <w:proofErr w:type="gramEnd"/>
      <w:r w:rsidRPr="009064C1">
        <w:t xml:space="preserve"> also contract directly with Accion</w:t>
      </w:r>
      <w:r w:rsidR="007E0F0A">
        <w:t xml:space="preserve"> LLC</w:t>
      </w:r>
      <w:r w:rsidRPr="009064C1">
        <w:t xml:space="preserve"> to develop their webpages.</w:t>
      </w:r>
    </w:p>
    <w:p w:rsidRPr="00AB3E99" w:rsidR="00A2287D" w:rsidP="00C34A5D" w:rsidRDefault="0081483D" w14:paraId="5F6B7C77" w14:textId="26941DBB">
      <w:pPr>
        <w:pStyle w:val="Standard"/>
      </w:pPr>
      <w:r w:rsidRPr="009064C1">
        <w:t>According to 3CE,</w:t>
      </w:r>
      <w:r w:rsidRPr="009064C1" w:rsidR="00AB4B7B">
        <w:t xml:space="preserve"> </w:t>
      </w:r>
      <w:proofErr w:type="spellStart"/>
      <w:r w:rsidRPr="009064C1" w:rsidR="00AB4B7B">
        <w:t>CalCCA</w:t>
      </w:r>
      <w:proofErr w:type="spellEnd"/>
      <w:r w:rsidRPr="009064C1" w:rsidR="00AF0CBC">
        <w:t>,</w:t>
      </w:r>
      <w:r w:rsidRPr="009064C1" w:rsidR="00AB4B7B">
        <w:t xml:space="preserve"> represent</w:t>
      </w:r>
      <w:r w:rsidRPr="009064C1" w:rsidR="00AF0CBC">
        <w:t>ing</w:t>
      </w:r>
      <w:r w:rsidRPr="009064C1" w:rsidR="00AB4B7B">
        <w:t xml:space="preserve"> the Participating CCAs</w:t>
      </w:r>
      <w:r w:rsidRPr="009064C1" w:rsidR="00AF0CBC">
        <w:t xml:space="preserve">, and the IOUs selected Accion </w:t>
      </w:r>
      <w:r w:rsidR="007E0F0A">
        <w:t>LLC</w:t>
      </w:r>
      <w:r w:rsidRPr="009064C1" w:rsidR="007E0F0A">
        <w:t xml:space="preserve"> </w:t>
      </w:r>
      <w:r w:rsidRPr="009064C1" w:rsidR="00AF0CBC">
        <w:t>to perform the website and TP</w:t>
      </w:r>
      <w:r w:rsidRPr="009064C1" w:rsidR="00E0380B">
        <w:t>A services.</w:t>
      </w:r>
      <w:r w:rsidR="002B3296">
        <w:t xml:space="preserve">  </w:t>
      </w:r>
      <w:proofErr w:type="spellStart"/>
      <w:r w:rsidRPr="009064C1">
        <w:t>CalCCA</w:t>
      </w:r>
      <w:proofErr w:type="spellEnd"/>
      <w:r w:rsidRPr="009064C1">
        <w:t xml:space="preserve"> and the IOUs negotiated two Statements of Work (“SOW”) for Accion</w:t>
      </w:r>
      <w:r w:rsidR="007E0F0A">
        <w:t xml:space="preserve"> LLC</w:t>
      </w:r>
      <w:r w:rsidRPr="009064C1">
        <w:t xml:space="preserve"> to provide </w:t>
      </w:r>
      <w:r w:rsidRPr="009064C1" w:rsidR="00355382">
        <w:t xml:space="preserve">required services by OP 3: 1) a SOW for program website and portal development services; and 2) a SOW </w:t>
      </w:r>
      <w:r w:rsidRPr="009064C1" w:rsidR="0085365B">
        <w:t xml:space="preserve">for third party administration of the </w:t>
      </w:r>
      <w:proofErr w:type="spellStart"/>
      <w:r w:rsidRPr="009064C1" w:rsidR="0085365B">
        <w:t>BioMAT</w:t>
      </w:r>
      <w:proofErr w:type="spellEnd"/>
      <w:r w:rsidRPr="009064C1" w:rsidR="0085365B">
        <w:t xml:space="preserve"> program</w:t>
      </w:r>
      <w:r w:rsidRPr="009064C1" w:rsidR="002037B0">
        <w:t xml:space="preserve">, both of which were included in the Joint </w:t>
      </w:r>
      <w:proofErr w:type="spellStart"/>
      <w:r w:rsidRPr="009064C1" w:rsidR="002037B0">
        <w:t>A</w:t>
      </w:r>
      <w:r w:rsidR="00D41B52">
        <w:t>dice</w:t>
      </w:r>
      <w:proofErr w:type="spellEnd"/>
      <w:r w:rsidR="00D41B52">
        <w:t xml:space="preserve"> </w:t>
      </w:r>
      <w:r w:rsidRPr="009064C1" w:rsidR="002037B0">
        <w:t>L</w:t>
      </w:r>
      <w:r w:rsidR="00D41B52">
        <w:t>etter</w:t>
      </w:r>
      <w:r w:rsidRPr="009064C1" w:rsidR="002037B0">
        <w:t>.</w:t>
      </w:r>
      <w:r w:rsidRPr="009064C1" w:rsidR="005E05C8">
        <w:rPr>
          <w:rStyle w:val="FootnoteReference"/>
        </w:rPr>
        <w:footnoteReference w:id="121"/>
      </w:r>
      <w:r w:rsidRPr="009064C1" w:rsidR="00AF1062">
        <w:t xml:space="preserve"> </w:t>
      </w:r>
      <w:r w:rsidRPr="009064C1" w:rsidR="005E05C8">
        <w:t xml:space="preserve">3CE </w:t>
      </w:r>
      <w:r w:rsidRPr="009064C1" w:rsidR="005E05C8">
        <w:lastRenderedPageBreak/>
        <w:t>Advice Letter</w:t>
      </w:r>
      <w:r w:rsidRPr="009064C1" w:rsidR="00365872">
        <w:t xml:space="preserve"> 37-E shows that “The CCA-Accion Agreement incorporates two </w:t>
      </w:r>
      <w:r w:rsidRPr="00AB3E99" w:rsidR="00365872">
        <w:t xml:space="preserve">Statements of Work (SOWs) negotiated by the CCAs, IOUs, and Accion regarding both the website and TPA services that Accion will provide for the </w:t>
      </w:r>
      <w:proofErr w:type="spellStart"/>
      <w:r w:rsidRPr="00AB3E99" w:rsidR="00365872">
        <w:t>BioMAT</w:t>
      </w:r>
      <w:proofErr w:type="spellEnd"/>
      <w:r w:rsidRPr="00AB3E99" w:rsidR="00365872">
        <w:t xml:space="preserve"> program.</w:t>
      </w:r>
      <w:r w:rsidRPr="00AB3E99" w:rsidR="005479E1">
        <w:rPr>
          <w:rStyle w:val="FootnoteReference"/>
        </w:rPr>
        <w:footnoteReference w:id="122"/>
      </w:r>
    </w:p>
    <w:p w:rsidRPr="00AB3E99" w:rsidR="009064C1" w:rsidP="00C34A5D" w:rsidRDefault="009064C1" w14:paraId="6B36FCAA" w14:textId="3656BCAC">
      <w:pPr>
        <w:pStyle w:val="Standard"/>
      </w:pPr>
      <w:r w:rsidRPr="00AB3E99">
        <w:t>3CE’s statements and documentation are adequate to show</w:t>
      </w:r>
      <w:r w:rsidR="00C70865">
        <w:t xml:space="preserve"> that it </w:t>
      </w:r>
      <w:r w:rsidR="00AC2F18">
        <w:t xml:space="preserve">solicited contract terms, developed </w:t>
      </w:r>
      <w:proofErr w:type="spellStart"/>
      <w:r w:rsidR="00AC2F18">
        <w:t>BioMAT</w:t>
      </w:r>
      <w:proofErr w:type="spellEnd"/>
      <w:r w:rsidR="00AC2F18">
        <w:t xml:space="preserve"> websites and portals, provided access to a central </w:t>
      </w:r>
      <w:proofErr w:type="spellStart"/>
      <w:r w:rsidR="00AC2F18">
        <w:t>BioMAT</w:t>
      </w:r>
      <w:proofErr w:type="spellEnd"/>
      <w:r w:rsidR="00AC2F18">
        <w:t xml:space="preserve"> webpage, and </w:t>
      </w:r>
      <w:r w:rsidR="00137E4F">
        <w:t>consulted with the IOU</w:t>
      </w:r>
      <w:r w:rsidR="007E0F0A">
        <w:t>s</w:t>
      </w:r>
      <w:r w:rsidR="00137E4F">
        <w:t xml:space="preserve"> and third</w:t>
      </w:r>
      <w:r w:rsidR="007E0F0A">
        <w:t>-</w:t>
      </w:r>
      <w:r w:rsidR="00137E4F">
        <w:t>party administrator in</w:t>
      </w:r>
      <w:r w:rsidRPr="00AB3E99">
        <w:t xml:space="preserve"> compliance with D.23-11-084 OP 3.</w:t>
      </w:r>
    </w:p>
    <w:p w:rsidRPr="00AB3E99" w:rsidR="00C34A5D" w:rsidP="00663C40" w:rsidRDefault="0049135A" w14:paraId="7B81AF31" w14:textId="1AA5C587">
      <w:pPr>
        <w:pStyle w:val="Heading2"/>
      </w:pPr>
      <w:bookmarkStart w:name="_Toc233277293" w:id="22"/>
      <w:r>
        <w:t xml:space="preserve">Satisfaction </w:t>
      </w:r>
      <w:proofErr w:type="gramStart"/>
      <w:r>
        <w:t>of</w:t>
      </w:r>
      <w:proofErr w:type="gramEnd"/>
      <w:r>
        <w:t xml:space="preserve"> Requirements to Administer </w:t>
      </w:r>
      <w:proofErr w:type="spellStart"/>
      <w:r>
        <w:t>BioMAT</w:t>
      </w:r>
      <w:proofErr w:type="spellEnd"/>
      <w:r>
        <w:t xml:space="preserve"> Project Pricing and Contract Award</w:t>
      </w:r>
      <w:r w:rsidR="00B51661">
        <w:t xml:space="preserve"> </w:t>
      </w:r>
      <w:r>
        <w:t>Determination, and Integrate Such Services on Individual Webpages</w:t>
      </w:r>
      <w:bookmarkEnd w:id="22"/>
    </w:p>
    <w:p w:rsidR="00C34A5D" w:rsidP="00C34A5D" w:rsidRDefault="00C34A5D" w14:paraId="392AF51F" w14:textId="4F69F5C4">
      <w:pPr>
        <w:pStyle w:val="Standard"/>
      </w:pPr>
      <w:r w:rsidRPr="00AB3E99">
        <w:t>D.23-11-084 OP</w:t>
      </w:r>
      <w:r w:rsidRPr="00D53764">
        <w:t xml:space="preserve"> 5 provided CCAs that elect to participate in the </w:t>
      </w:r>
      <w:proofErr w:type="spellStart"/>
      <w:r w:rsidRPr="00D53764">
        <w:t>BioMAT</w:t>
      </w:r>
      <w:proofErr w:type="spellEnd"/>
      <w:r w:rsidRPr="00D53764">
        <w:t xml:space="preserve"> program shall be represented by </w:t>
      </w:r>
      <w:proofErr w:type="spellStart"/>
      <w:r w:rsidRPr="00D53764">
        <w:t>CalCCA</w:t>
      </w:r>
      <w:proofErr w:type="spellEnd"/>
      <w:r w:rsidRPr="00D53764">
        <w:t xml:space="preserve"> to consult with the Joint IOUs to solicit contract terms to hire an independent third party that shall administer the </w:t>
      </w:r>
      <w:proofErr w:type="spellStart"/>
      <w:r w:rsidRPr="00D53764">
        <w:t>BioMAT</w:t>
      </w:r>
      <w:proofErr w:type="spellEnd"/>
      <w:r w:rsidRPr="00D53764">
        <w:t xml:space="preserve"> project pricing and the contract award determination process</w:t>
      </w:r>
      <w:r w:rsidRPr="00D53764">
        <w:rPr>
          <w:rFonts w:ascii="BBBUHG+TimesNewRomanPSMT" w:hAnsi="BBBUHG+TimesNewRomanPSMT" w:cs="BBBUHG+TimesNewRomanPSMT"/>
          <w:color w:val="000000"/>
          <w:sz w:val="23"/>
          <w:szCs w:val="23"/>
        </w:rPr>
        <w:t xml:space="preserve"> </w:t>
      </w:r>
      <w:r w:rsidRPr="00D53764">
        <w:t>within 60 days of the effective date of this decision.</w:t>
      </w:r>
      <w:r w:rsidR="00B754C4">
        <w:t xml:space="preserve"> </w:t>
      </w:r>
      <w:r w:rsidRPr="00D53764">
        <w:t xml:space="preserve">Each </w:t>
      </w:r>
      <w:proofErr w:type="gramStart"/>
      <w:r w:rsidRPr="00D53764">
        <w:t>participating</w:t>
      </w:r>
      <w:proofErr w:type="gramEnd"/>
      <w:r w:rsidRPr="00D53764">
        <w:t xml:space="preserve"> CCA shall also contract directly with the third-party administrator to support integration of such services with their individual webpages.</w:t>
      </w:r>
      <w:r w:rsidR="002B3296">
        <w:t xml:space="preserve"> </w:t>
      </w:r>
      <w:r w:rsidRPr="00D53764">
        <w:t xml:space="preserve">The pricing and contract award determination process shall include management of merged fuel category procurement project </w:t>
      </w:r>
      <w:proofErr w:type="gramStart"/>
      <w:r w:rsidRPr="00D53764">
        <w:t>queues, and</w:t>
      </w:r>
      <w:proofErr w:type="gramEnd"/>
      <w:r w:rsidRPr="00D53764">
        <w:t xml:space="preserve"> tracking of PPA awards and executions. Vendor costs associated with the provision of these services are eligible for</w:t>
      </w:r>
      <w:r w:rsidR="00B754C4">
        <w:t xml:space="preserve"> </w:t>
      </w:r>
      <w:r w:rsidRPr="00D53764">
        <w:t>recovery against IOU-managed Public Purpose Program (PPP”) charges.</w:t>
      </w:r>
      <w:r w:rsidR="009A1CBB">
        <w:t xml:space="preserve"> </w:t>
      </w:r>
    </w:p>
    <w:p w:rsidR="00EF0A3F" w:rsidP="00C34A5D" w:rsidRDefault="000C7474" w14:paraId="3119D3E1" w14:textId="205D5939">
      <w:pPr>
        <w:pStyle w:val="Standard"/>
      </w:pPr>
      <w:r>
        <w:t xml:space="preserve">3CE entered into </w:t>
      </w:r>
      <w:r w:rsidR="001D608F">
        <w:t>a</w:t>
      </w:r>
      <w:r w:rsidR="00AC7675">
        <w:t>n agreement with Accion</w:t>
      </w:r>
      <w:r w:rsidR="007E0F0A">
        <w:t xml:space="preserve"> LLC</w:t>
      </w:r>
      <w:r w:rsidR="00AC7675">
        <w:t>, entitled,</w:t>
      </w:r>
      <w:r w:rsidR="001D608F">
        <w:t xml:space="preserve"> Bioenergy Market Adjusting Tariff Program Website, Portal Development, and Third-Party </w:t>
      </w:r>
      <w:r w:rsidR="00AC7675">
        <w:lastRenderedPageBreak/>
        <w:t>Administration Agreement.</w:t>
      </w:r>
      <w:r w:rsidR="00AC7675">
        <w:rPr>
          <w:rStyle w:val="FootnoteReference"/>
        </w:rPr>
        <w:footnoteReference w:id="123"/>
      </w:r>
      <w:r w:rsidR="00AC7675">
        <w:t xml:space="preserve"> </w:t>
      </w:r>
      <w:r w:rsidR="002E0287">
        <w:t xml:space="preserve">This agreement recognized </w:t>
      </w:r>
      <w:r w:rsidR="0062226B">
        <w:t>D.23-11-084</w:t>
      </w:r>
      <w:r w:rsidR="002E0287">
        <w:t xml:space="preserve"> requir</w:t>
      </w:r>
      <w:r w:rsidR="003F74EC">
        <w:t>ed</w:t>
      </w:r>
      <w:r w:rsidR="00933038">
        <w:t xml:space="preserve"> </w:t>
      </w:r>
      <w:r w:rsidR="003F74EC">
        <w:t xml:space="preserve">“the CCAs and IOU’s to hire an independent third-party administrator (TPA) for the </w:t>
      </w:r>
      <w:proofErr w:type="spellStart"/>
      <w:r w:rsidR="003F74EC">
        <w:t>BioMAT</w:t>
      </w:r>
      <w:proofErr w:type="spellEnd"/>
      <w:r w:rsidR="003F74EC">
        <w:t xml:space="preserve"> project pricing and contract award determination process</w:t>
      </w:r>
      <w:r w:rsidR="00F2200B">
        <w:t>…”</w:t>
      </w:r>
      <w:r w:rsidR="001C30C5">
        <w:t>.</w:t>
      </w:r>
      <w:r w:rsidR="00F2200B">
        <w:rPr>
          <w:rStyle w:val="FootnoteReference"/>
        </w:rPr>
        <w:footnoteReference w:id="124"/>
      </w:r>
      <w:r w:rsidR="001C30C5">
        <w:t xml:space="preserve">  The agreement also recognized </w:t>
      </w:r>
      <w:r w:rsidR="0062226B">
        <w:t xml:space="preserve">that D.23-11-084 required “the CCAs participating in the </w:t>
      </w:r>
      <w:proofErr w:type="spellStart"/>
      <w:r w:rsidR="0062226B">
        <w:t>BioMAT</w:t>
      </w:r>
      <w:proofErr w:type="spellEnd"/>
      <w:r w:rsidR="0062226B">
        <w:t xml:space="preserve"> program to contract </w:t>
      </w:r>
      <w:r w:rsidR="00F02D81">
        <w:t>directly with the TPA to support integration of their individual webpages.”</w:t>
      </w:r>
      <w:r w:rsidR="00F02D81">
        <w:rPr>
          <w:rStyle w:val="FootnoteReference"/>
        </w:rPr>
        <w:footnoteReference w:id="125"/>
      </w:r>
      <w:r w:rsidR="00093310">
        <w:t xml:space="preserve"> </w:t>
      </w:r>
      <w:r w:rsidR="00AC7481">
        <w:t>The</w:t>
      </w:r>
      <w:r w:rsidR="00093310">
        <w:t xml:space="preserve"> agreement </w:t>
      </w:r>
      <w:r w:rsidR="002B1359">
        <w:t xml:space="preserve">showed Accion </w:t>
      </w:r>
      <w:r w:rsidR="007E0F0A">
        <w:t xml:space="preserve">LLC </w:t>
      </w:r>
      <w:r w:rsidR="002B1359">
        <w:t xml:space="preserve">agreed to provide tasks shown in a “Website Statement of Work”, and </w:t>
      </w:r>
      <w:r w:rsidR="009655AF">
        <w:t>also provide tasks in a “TPA Statement of Work”.</w:t>
      </w:r>
      <w:r w:rsidR="009655AF">
        <w:rPr>
          <w:rStyle w:val="FootnoteReference"/>
        </w:rPr>
        <w:footnoteReference w:id="126"/>
      </w:r>
    </w:p>
    <w:p w:rsidR="00CA3B59" w:rsidP="00C34A5D" w:rsidRDefault="00CA3B59" w14:paraId="52199074" w14:textId="18DFD679">
      <w:pPr>
        <w:pStyle w:val="Standard"/>
      </w:pPr>
      <w:r>
        <w:t>The Website Statement of Work</w:t>
      </w:r>
      <w:r w:rsidR="00101327">
        <w:t xml:space="preserve"> </w:t>
      </w:r>
      <w:r w:rsidR="00C41D73">
        <w:t xml:space="preserve">has a project name of </w:t>
      </w:r>
      <w:proofErr w:type="spellStart"/>
      <w:r w:rsidR="00077383">
        <w:t>BioMAT</w:t>
      </w:r>
      <w:proofErr w:type="spellEnd"/>
      <w:r w:rsidR="00077383">
        <w:t xml:space="preserve"> Program Website and Portal Development Services, dated January </w:t>
      </w:r>
      <w:r w:rsidR="00BA24A9">
        <w:t xml:space="preserve">26, 2024, with contractor name “Accion Group, LLC”, and </w:t>
      </w:r>
      <w:r w:rsidRPr="00A90D2C" w:rsidR="00EE5AED">
        <w:t>Load Serving Entities (</w:t>
      </w:r>
      <w:r w:rsidRPr="00A90D2C" w:rsidR="009F38A7">
        <w:t>LSE</w:t>
      </w:r>
      <w:r w:rsidR="00EE5AED">
        <w:t>)</w:t>
      </w:r>
      <w:r w:rsidR="009F38A7">
        <w:t xml:space="preserve"> name “Central Coast Community Energy”, dated January 26, 2024.</w:t>
      </w:r>
      <w:r w:rsidR="009F38A7">
        <w:rPr>
          <w:rStyle w:val="FootnoteReference"/>
        </w:rPr>
        <w:footnoteReference w:id="127"/>
      </w:r>
      <w:r w:rsidR="004A1997">
        <w:t xml:space="preserve">  The Website Statement of Work include</w:t>
      </w:r>
      <w:r w:rsidR="00D96376">
        <w:t xml:space="preserve">s deliverables such as a central </w:t>
      </w:r>
      <w:proofErr w:type="spellStart"/>
      <w:r w:rsidR="00D96376">
        <w:t>BioMAT</w:t>
      </w:r>
      <w:proofErr w:type="spellEnd"/>
      <w:r w:rsidR="00D96376">
        <w:t xml:space="preserve"> website and development of CCA LSE portals.</w:t>
      </w:r>
      <w:r w:rsidR="00174FFD">
        <w:rPr>
          <w:rStyle w:val="FootnoteReference"/>
        </w:rPr>
        <w:footnoteReference w:id="128"/>
      </w:r>
      <w:r w:rsidR="00D96376">
        <w:t xml:space="preserve"> </w:t>
      </w:r>
      <w:r w:rsidR="006F2396">
        <w:t xml:space="preserve">As part of the Central </w:t>
      </w:r>
      <w:proofErr w:type="spellStart"/>
      <w:r w:rsidR="006F2396">
        <w:t>BioMAT</w:t>
      </w:r>
      <w:proofErr w:type="spellEnd"/>
      <w:r w:rsidR="006F2396">
        <w:t xml:space="preserve"> Website, Accion </w:t>
      </w:r>
      <w:r w:rsidR="007E0F0A">
        <w:t xml:space="preserve">LLC </w:t>
      </w:r>
      <w:r w:rsidR="006F2396">
        <w:t xml:space="preserve">plans to build things such as separate document folders for the documents unique to each participating LSE, such as the LSE’s </w:t>
      </w:r>
      <w:proofErr w:type="spellStart"/>
      <w:r w:rsidR="006F2396">
        <w:t>BioMAT</w:t>
      </w:r>
      <w:proofErr w:type="spellEnd"/>
      <w:r w:rsidR="006F2396">
        <w:t xml:space="preserve"> </w:t>
      </w:r>
      <w:r w:rsidR="006F2396">
        <w:lastRenderedPageBreak/>
        <w:t>Tariffs.</w:t>
      </w:r>
      <w:r w:rsidR="009E5022">
        <w:rPr>
          <w:rStyle w:val="FootnoteReference"/>
        </w:rPr>
        <w:footnoteReference w:id="129"/>
      </w:r>
      <w:r w:rsidR="00526957">
        <w:t xml:space="preserve">  </w:t>
      </w:r>
      <w:r w:rsidR="00CB0706">
        <w:t xml:space="preserve">The </w:t>
      </w:r>
      <w:r w:rsidR="009E5022">
        <w:t>development of individual CCA LSE portals includes firewalls between each LSE portal.</w:t>
      </w:r>
      <w:r w:rsidR="00ED7117">
        <w:rPr>
          <w:rStyle w:val="FootnoteReference"/>
        </w:rPr>
        <w:footnoteReference w:id="130"/>
      </w:r>
    </w:p>
    <w:p w:rsidR="008661AB" w:rsidP="00C34A5D" w:rsidRDefault="00C757C1" w14:paraId="4EB69787" w14:textId="5DE73614">
      <w:pPr>
        <w:pStyle w:val="Standard"/>
      </w:pPr>
      <w:r>
        <w:t>Pursuant to D.23-11-084</w:t>
      </w:r>
      <w:r w:rsidR="00842518">
        <w:t xml:space="preserve"> and the approved </w:t>
      </w:r>
      <w:r w:rsidR="00AE30DA">
        <w:t xml:space="preserve">SOW </w:t>
      </w:r>
      <w:r w:rsidR="00842518">
        <w:t xml:space="preserve">between 3CE and Accion </w:t>
      </w:r>
      <w:r w:rsidR="007E0F0A">
        <w:t xml:space="preserve">LLC </w:t>
      </w:r>
      <w:r w:rsidR="00842518">
        <w:t xml:space="preserve">for third party administration </w:t>
      </w:r>
      <w:r w:rsidR="00B7113D">
        <w:t xml:space="preserve">TPA </w:t>
      </w:r>
      <w:r w:rsidR="00842518">
        <w:t xml:space="preserve">of the </w:t>
      </w:r>
      <w:proofErr w:type="spellStart"/>
      <w:r w:rsidR="00842518">
        <w:t>BioMAT</w:t>
      </w:r>
      <w:proofErr w:type="spellEnd"/>
      <w:r w:rsidR="00842518">
        <w:t xml:space="preserve"> program, </w:t>
      </w:r>
      <w:r w:rsidR="00335C51">
        <w:t>Accion</w:t>
      </w:r>
      <w:r w:rsidR="007E0F0A">
        <w:t xml:space="preserve"> LLC</w:t>
      </w:r>
      <w:r w:rsidR="00335C51">
        <w:t xml:space="preserve"> is responsible for managing </w:t>
      </w:r>
      <w:r w:rsidR="00B7113D">
        <w:t xml:space="preserve">multiple elements of </w:t>
      </w:r>
      <w:r w:rsidR="00335C51">
        <w:t xml:space="preserve">the </w:t>
      </w:r>
      <w:proofErr w:type="spellStart"/>
      <w:r w:rsidR="00335C51">
        <w:t>BioMAT</w:t>
      </w:r>
      <w:proofErr w:type="spellEnd"/>
      <w:r w:rsidR="00335C51">
        <w:t xml:space="preserve"> program.</w:t>
      </w:r>
      <w:r w:rsidR="007D1D7D">
        <w:rPr>
          <w:rStyle w:val="FootnoteReference"/>
        </w:rPr>
        <w:footnoteReference w:id="131"/>
      </w:r>
      <w:r w:rsidR="00335C51">
        <w:t xml:space="preserve"> </w:t>
      </w:r>
      <w:r w:rsidR="00577EB9">
        <w:t>Th</w:t>
      </w:r>
      <w:r w:rsidR="00856F65">
        <w:t>is</w:t>
      </w:r>
      <w:r w:rsidR="00577EB9">
        <w:t xml:space="preserve"> SOW </w:t>
      </w:r>
      <w:r w:rsidR="00E25B82">
        <w:t xml:space="preserve">for Accion </w:t>
      </w:r>
      <w:r w:rsidR="005E7FB6">
        <w:t xml:space="preserve">provides </w:t>
      </w:r>
      <w:r w:rsidR="00A369FF">
        <w:t>several deliverables for Accion, including “Monthly confirmation of PPA winners</w:t>
      </w:r>
      <w:r w:rsidR="00450A54">
        <w:t>,</w:t>
      </w:r>
      <w:r w:rsidR="00A369FF">
        <w:t>” and “Monthly determination, confirmation, and posting of prices</w:t>
      </w:r>
      <w:r w:rsidR="00450A54">
        <w:t>”.</w:t>
      </w:r>
      <w:r w:rsidR="00450A54">
        <w:rPr>
          <w:rStyle w:val="FootnoteReference"/>
        </w:rPr>
        <w:footnoteReference w:id="132"/>
      </w:r>
      <w:r w:rsidR="00450A54">
        <w:t xml:space="preserve"> </w:t>
      </w:r>
      <w:r w:rsidR="00500600">
        <w:t>“</w:t>
      </w:r>
      <w:r w:rsidR="00F4262E">
        <w:t>Monthly confirmation of PPA winners</w:t>
      </w:r>
      <w:r w:rsidR="00500600">
        <w:t>”</w:t>
      </w:r>
      <w:r w:rsidR="00F4262E">
        <w:t xml:space="preserve"> includes a description </w:t>
      </w:r>
      <w:r w:rsidR="00F0786E">
        <w:t>that says</w:t>
      </w:r>
      <w:r w:rsidR="00F4262E">
        <w:t xml:space="preserve"> Accion </w:t>
      </w:r>
      <w:r w:rsidR="007E0F0A">
        <w:t xml:space="preserve">LLC </w:t>
      </w:r>
      <w:r w:rsidR="00F4262E">
        <w:t>will “</w:t>
      </w:r>
      <w:r w:rsidR="00684C1E">
        <w:t>[c]</w:t>
      </w:r>
      <w:proofErr w:type="spellStart"/>
      <w:r w:rsidR="00684C1E">
        <w:t>onfirm</w:t>
      </w:r>
      <w:proofErr w:type="spellEnd"/>
      <w:r w:rsidR="00684C1E">
        <w:t xml:space="preserve"> and communicate to LSE P</w:t>
      </w:r>
      <w:r w:rsidR="00573C7E">
        <w:t>As</w:t>
      </w:r>
      <w:r w:rsidR="00684C1E">
        <w:t xml:space="preserve"> the PPA winners for the LSEs in each IOU service area based on queue numbers, monthly.</w:t>
      </w:r>
      <w:r w:rsidR="00500600">
        <w:t>”</w:t>
      </w:r>
      <w:r w:rsidR="00500600">
        <w:rPr>
          <w:rStyle w:val="FootnoteReference"/>
        </w:rPr>
        <w:footnoteReference w:id="133"/>
      </w:r>
      <w:r w:rsidR="00500600">
        <w:t xml:space="preserve"> “Monthly determination</w:t>
      </w:r>
      <w:r w:rsidR="00F0786E">
        <w:t>, confirmation and posting of prices includes a description that says Accion will “[d]</w:t>
      </w:r>
      <w:proofErr w:type="spellStart"/>
      <w:r w:rsidR="00F0786E">
        <w:t>etermine</w:t>
      </w:r>
      <w:proofErr w:type="spellEnd"/>
      <w:r w:rsidR="00F0786E">
        <w:t>, confirm</w:t>
      </w:r>
      <w:r w:rsidR="000D23A3">
        <w:t xml:space="preserve">, and post on a monthly basis the </w:t>
      </w:r>
      <w:proofErr w:type="spellStart"/>
      <w:r w:rsidR="000D23A3">
        <w:t>BioMAT</w:t>
      </w:r>
      <w:proofErr w:type="spellEnd"/>
      <w:r w:rsidR="000D23A3">
        <w:t xml:space="preserve"> prices for the Program Periods.</w:t>
      </w:r>
      <w:r w:rsidR="00E36671">
        <w:rPr>
          <w:rStyle w:val="FootnoteReference"/>
        </w:rPr>
        <w:footnoteReference w:id="134"/>
      </w:r>
    </w:p>
    <w:p w:rsidRPr="00AB3E99" w:rsidR="00BE258F" w:rsidP="00C34A5D" w:rsidRDefault="00BE258F" w14:paraId="7A3A2006" w14:textId="0A128006">
      <w:pPr>
        <w:pStyle w:val="Standard"/>
      </w:pPr>
      <w:r>
        <w:t xml:space="preserve">The TPA Statement of Work also </w:t>
      </w:r>
      <w:r w:rsidR="00E10C57">
        <w:t xml:space="preserve">notes that D.23-11-084 provides for </w:t>
      </w:r>
      <w:r w:rsidR="00DF75EA">
        <w:t>“management of fuel category project procurement queues”.</w:t>
      </w:r>
      <w:r w:rsidR="00DF75EA">
        <w:rPr>
          <w:rStyle w:val="FootnoteReference"/>
        </w:rPr>
        <w:footnoteReference w:id="135"/>
      </w:r>
      <w:r w:rsidR="00DF75EA">
        <w:t xml:space="preserve"> </w:t>
      </w:r>
      <w:r w:rsidR="00C2012B">
        <w:t xml:space="preserve">As a deliverable, the TPA Statement of Work also identifies queue management, </w:t>
      </w:r>
      <w:r w:rsidR="00265007">
        <w:t xml:space="preserve">and provides the </w:t>
      </w:r>
      <w:r w:rsidRPr="00AB3E99" w:rsidR="00265007">
        <w:t xml:space="preserve">following description: “Per the </w:t>
      </w:r>
      <w:proofErr w:type="spellStart"/>
      <w:r w:rsidRPr="00AB3E99" w:rsidR="00265007">
        <w:t>BioMAT</w:t>
      </w:r>
      <w:proofErr w:type="spellEnd"/>
      <w:r w:rsidRPr="00AB3E99" w:rsidR="00265007">
        <w:t xml:space="preserve"> Tariffs, upon an LSE deeming the PPR </w:t>
      </w:r>
      <w:r w:rsidRPr="00AB3E99" w:rsidR="00265007">
        <w:lastRenderedPageBreak/>
        <w:t xml:space="preserve">complete, merge applicant’s queue number </w:t>
      </w:r>
      <w:r w:rsidRPr="00AB3E99" w:rsidR="009C0E66">
        <w:t>with the applicable IOU’s and CCA’s Fuel Resource Category queue numbers.</w:t>
      </w:r>
      <w:r w:rsidRPr="00AB3E99" w:rsidR="008F4836">
        <w:t>”</w:t>
      </w:r>
      <w:r w:rsidRPr="00AB3E99" w:rsidR="008F4836">
        <w:rPr>
          <w:rStyle w:val="FootnoteReference"/>
        </w:rPr>
        <w:footnoteReference w:id="136"/>
      </w:r>
    </w:p>
    <w:p w:rsidRPr="00AB3E99" w:rsidR="008F4836" w:rsidP="008F4836" w:rsidRDefault="008F4836" w14:paraId="69F1B476" w14:textId="0A18DAD6">
      <w:pPr>
        <w:pStyle w:val="Standard"/>
      </w:pPr>
      <w:r w:rsidRPr="00AB3E99">
        <w:t xml:space="preserve">3CE’s documentation is </w:t>
      </w:r>
      <w:r w:rsidRPr="00AB3E99" w:rsidR="00D53764">
        <w:t>sufficient to</w:t>
      </w:r>
      <w:r w:rsidR="00744DEB">
        <w:t xml:space="preserve"> show it administered </w:t>
      </w:r>
      <w:proofErr w:type="spellStart"/>
      <w:r w:rsidR="00744DEB">
        <w:t>BioMAT</w:t>
      </w:r>
      <w:proofErr w:type="spellEnd"/>
      <w:r w:rsidR="00744DEB">
        <w:t xml:space="preserve"> project pricing and </w:t>
      </w:r>
      <w:r w:rsidR="00EE4C06">
        <w:t xml:space="preserve">contract award </w:t>
      </w:r>
      <w:proofErr w:type="gramStart"/>
      <w:r w:rsidR="00EE4C06">
        <w:t>determination, and</w:t>
      </w:r>
      <w:proofErr w:type="gramEnd"/>
      <w:r w:rsidR="00EE4C06">
        <w:t xml:space="preserve"> integrated such services on an individual webpage in compliance </w:t>
      </w:r>
      <w:r w:rsidRPr="00AB3E99">
        <w:t xml:space="preserve">with D.23-11-084 OP </w:t>
      </w:r>
      <w:r w:rsidRPr="00AB3E99" w:rsidR="00D53764">
        <w:t>5</w:t>
      </w:r>
      <w:r w:rsidRPr="00AB3E99">
        <w:t>.</w:t>
      </w:r>
    </w:p>
    <w:p w:rsidRPr="00AB3E99" w:rsidR="00C34A5D" w:rsidP="00DE1C18" w:rsidRDefault="00850DFA" w14:paraId="400A65BA" w14:textId="6BCDA839">
      <w:pPr>
        <w:pStyle w:val="Heading2"/>
      </w:pPr>
      <w:bookmarkStart w:name="_Toc233277294" w:id="23"/>
      <w:r>
        <w:t xml:space="preserve">Satisfaction of Requirement </w:t>
      </w:r>
      <w:r w:rsidR="00967408">
        <w:br/>
      </w:r>
      <w:r>
        <w:t xml:space="preserve">to Request Approval of </w:t>
      </w:r>
      <w:r w:rsidR="00967408">
        <w:br/>
      </w:r>
      <w:r>
        <w:t xml:space="preserve">Standard CCA </w:t>
      </w:r>
      <w:proofErr w:type="spellStart"/>
      <w:r>
        <w:t>BioMAT</w:t>
      </w:r>
      <w:proofErr w:type="spellEnd"/>
      <w:r>
        <w:t xml:space="preserve"> </w:t>
      </w:r>
      <w:r w:rsidR="00967408">
        <w:br/>
      </w:r>
      <w:r>
        <w:t>Program Documentation</w:t>
      </w:r>
      <w:bookmarkEnd w:id="23"/>
    </w:p>
    <w:p w:rsidR="00C34A5D" w:rsidP="00C34A5D" w:rsidRDefault="00C34A5D" w14:paraId="69ED64A3" w14:textId="73466617">
      <w:pPr>
        <w:pStyle w:val="Standard"/>
      </w:pPr>
      <w:r w:rsidRPr="00AB3E99">
        <w:t xml:space="preserve">D.23-11-084 OP 6 ordered in part that CCAs shall submit a Joint CCA </w:t>
      </w:r>
      <w:proofErr w:type="spellStart"/>
      <w:r w:rsidRPr="00AB3E99">
        <w:t>BioMAT</w:t>
      </w:r>
      <w:proofErr w:type="spellEnd"/>
      <w:r w:rsidRPr="00AB3E99">
        <w:t xml:space="preserve"> Implementation</w:t>
      </w:r>
      <w:r w:rsidRPr="0035671B">
        <w:t xml:space="preserve"> Tier 2 A</w:t>
      </w:r>
      <w:r w:rsidR="00D41B52">
        <w:t xml:space="preserve">dvice </w:t>
      </w:r>
      <w:r w:rsidRPr="0035671B">
        <w:t>L</w:t>
      </w:r>
      <w:r w:rsidR="00D41B52">
        <w:t>etter</w:t>
      </w:r>
      <w:r w:rsidRPr="0035671B">
        <w:t xml:space="preserve"> to request Commission approval of standard CCA </w:t>
      </w:r>
      <w:proofErr w:type="spellStart"/>
      <w:r w:rsidRPr="0035671B">
        <w:t>BioMAT</w:t>
      </w:r>
      <w:proofErr w:type="spellEnd"/>
      <w:r w:rsidRPr="0035671B">
        <w:t xml:space="preserve"> program documentation including tariffs, a PPA, PPR forms, </w:t>
      </w:r>
      <w:proofErr w:type="spellStart"/>
      <w:r w:rsidRPr="0035671B">
        <w:t>BioMAT</w:t>
      </w:r>
      <w:proofErr w:type="spellEnd"/>
      <w:r w:rsidRPr="0035671B">
        <w:t xml:space="preserve"> program website and portal development contracts, independent third-party contracts, initial balancing account statements, and NBC rate schedules within 60 days of the effective date of this decision.</w:t>
      </w:r>
      <w:r w:rsidR="002B3296">
        <w:t xml:space="preserve"> </w:t>
      </w:r>
      <w:r w:rsidRPr="0035671B">
        <w:t xml:space="preserve">CCAs shall include a redline version of the CCAs’ proposed tariffs that </w:t>
      </w:r>
      <w:proofErr w:type="gramStart"/>
      <w:r w:rsidRPr="0035671B">
        <w:t>compares</w:t>
      </w:r>
      <w:proofErr w:type="gramEnd"/>
      <w:r w:rsidRPr="0035671B">
        <w:t xml:space="preserve"> them with the IOUs’ tariffs (as proposed to be modified by the IOUs to implement this decision).</w:t>
      </w:r>
    </w:p>
    <w:p w:rsidR="00FC6935" w:rsidP="00C34A5D" w:rsidRDefault="00893AAE" w14:paraId="03C263EC" w14:textId="41EA97CF">
      <w:pPr>
        <w:pStyle w:val="Standard"/>
      </w:pPr>
      <w:r>
        <w:t xml:space="preserve">The record contains a Joint Advice Letter </w:t>
      </w:r>
      <w:r w:rsidR="002B2ABC">
        <w:t xml:space="preserve">that </w:t>
      </w:r>
      <w:proofErr w:type="spellStart"/>
      <w:r w:rsidR="002B2ABC">
        <w:t>CalCCA</w:t>
      </w:r>
      <w:proofErr w:type="spellEnd"/>
      <w:r w:rsidR="002B2ABC">
        <w:t xml:space="preserve"> submitted on behalf of 3CE </w:t>
      </w:r>
      <w:r w:rsidR="0056117F">
        <w:t xml:space="preserve">and includes 3CE Advice Letter 36-E </w:t>
      </w:r>
      <w:r w:rsidR="002B2ABC">
        <w:t>in compliance with OP 6.</w:t>
      </w:r>
      <w:r w:rsidR="00F6047F">
        <w:t xml:space="preserve"> That Joint Advice letter requested approval </w:t>
      </w:r>
      <w:proofErr w:type="gramStart"/>
      <w:r w:rsidR="00F6047F">
        <w:t>of</w:t>
      </w:r>
      <w:r w:rsidR="001D2679">
        <w:t>:</w:t>
      </w:r>
      <w:proofErr w:type="gramEnd"/>
      <w:r w:rsidR="001D2679">
        <w:t xml:space="preserve"> 1) the standard program documentation required by D.23-11-084 to allow CCA participation in the </w:t>
      </w:r>
      <w:proofErr w:type="spellStart"/>
      <w:r w:rsidR="001D2679">
        <w:t>BioMAT</w:t>
      </w:r>
      <w:proofErr w:type="spellEnd"/>
      <w:r w:rsidR="001D2679">
        <w:t xml:space="preserve"> program; and 2) certain costs of Accion</w:t>
      </w:r>
      <w:r w:rsidR="00B3689B">
        <w:t xml:space="preserve"> LLC</w:t>
      </w:r>
      <w:r w:rsidR="001D2679">
        <w:t>, the website and TPA provider</w:t>
      </w:r>
      <w:r w:rsidR="00246873">
        <w:t>.</w:t>
      </w:r>
      <w:r w:rsidR="002B3296">
        <w:t xml:space="preserve"> </w:t>
      </w:r>
      <w:proofErr w:type="spellStart"/>
      <w:r w:rsidR="00246873">
        <w:t>CalCCA</w:t>
      </w:r>
      <w:proofErr w:type="spellEnd"/>
      <w:r w:rsidR="00246873">
        <w:t xml:space="preserve"> provided certain Appendices in support.</w:t>
      </w:r>
      <w:r w:rsidR="008125D9">
        <w:rPr>
          <w:rStyle w:val="FootnoteReference"/>
        </w:rPr>
        <w:footnoteReference w:id="137"/>
      </w:r>
      <w:r w:rsidR="002B2ABC">
        <w:t xml:space="preserve"> </w:t>
      </w:r>
      <w:r w:rsidR="009233B0">
        <w:t xml:space="preserve">The record </w:t>
      </w:r>
      <w:r>
        <w:t xml:space="preserve">also </w:t>
      </w:r>
      <w:r w:rsidR="009233B0">
        <w:t xml:space="preserve">contains a Disposition Letter </w:t>
      </w:r>
      <w:r w:rsidR="00B537E6">
        <w:t xml:space="preserve">from the Commission’s Energy Division that, in pertinent part, approves 3CE’s </w:t>
      </w:r>
      <w:r w:rsidR="00B537E6">
        <w:lastRenderedPageBreak/>
        <w:t xml:space="preserve">Advice Letter 36-E/36-E-A. In that disposition letter, Energy Division found: “The Joint Advice Letter also contains </w:t>
      </w:r>
      <w:r w:rsidRPr="00AB3E99" w:rsidR="00B537E6">
        <w:t>all of the required documents required by Ordering Paragraph 6.”</w:t>
      </w:r>
      <w:r w:rsidRPr="00AB3E99" w:rsidR="00341D21">
        <w:t xml:space="preserve"> Energy Division staff determined that the Joint CCA’s Advice Letters, which included the one required of 3CE</w:t>
      </w:r>
      <w:r w:rsidRPr="00AB3E99" w:rsidR="00C23AA8">
        <w:t>, w</w:t>
      </w:r>
      <w:r w:rsidR="003F187A">
        <w:t>ere</w:t>
      </w:r>
      <w:r w:rsidRPr="00AB3E99" w:rsidR="00C23AA8">
        <w:t xml:space="preserve"> consistent with D.23-11-084 OP 6.</w:t>
      </w:r>
      <w:r w:rsidRPr="00AB3E99" w:rsidR="00AF5355">
        <w:rPr>
          <w:rStyle w:val="FootnoteReference"/>
        </w:rPr>
        <w:footnoteReference w:id="138"/>
      </w:r>
      <w:r w:rsidRPr="00AB3E99" w:rsidR="001C332E">
        <w:t xml:space="preserve"> </w:t>
      </w:r>
      <w:r w:rsidR="00333251">
        <w:t>3CE has provided</w:t>
      </w:r>
      <w:r w:rsidRPr="00AB3E99" w:rsidR="001C332E">
        <w:t xml:space="preserve"> adequate documentation to show that </w:t>
      </w:r>
      <w:proofErr w:type="gramStart"/>
      <w:r w:rsidR="00A4511C">
        <w:t>the Joint</w:t>
      </w:r>
      <w:proofErr w:type="gramEnd"/>
      <w:r w:rsidR="00A4511C">
        <w:t xml:space="preserve"> CCA’s have requested approval of standard CCA program documentation</w:t>
      </w:r>
      <w:r w:rsidR="00CF727C">
        <w:t xml:space="preserve"> in </w:t>
      </w:r>
      <w:r w:rsidRPr="00AB3E99" w:rsidR="001C332E">
        <w:t>compli</w:t>
      </w:r>
      <w:r w:rsidR="00CF727C">
        <w:t>ance</w:t>
      </w:r>
      <w:r w:rsidRPr="00AB3E99" w:rsidR="001C332E">
        <w:t xml:space="preserve"> with D.23-11-084 OP 6.</w:t>
      </w:r>
    </w:p>
    <w:p w:rsidRPr="007E2E5C" w:rsidR="000404A2" w:rsidP="00DE1C18" w:rsidRDefault="000404A2" w14:paraId="37A75032" w14:textId="19FA24BE">
      <w:pPr>
        <w:pStyle w:val="Heading1"/>
      </w:pPr>
      <w:bookmarkStart w:name="_Toc233277295" w:id="24"/>
      <w:r w:rsidRPr="007E2E5C">
        <w:t xml:space="preserve">Compliance with the Commission’s </w:t>
      </w:r>
      <w:r w:rsidR="00967408">
        <w:br/>
      </w:r>
      <w:r w:rsidRPr="007E2E5C">
        <w:t>Prudent Manager Standard</w:t>
      </w:r>
      <w:r w:rsidR="00C42E3E">
        <w:t xml:space="preserve"> </w:t>
      </w:r>
      <w:r w:rsidR="00C662DF">
        <w:t xml:space="preserve">During </w:t>
      </w:r>
      <w:r w:rsidR="00967408">
        <w:br/>
      </w:r>
      <w:r w:rsidR="00C662DF">
        <w:t>the Record Period</w:t>
      </w:r>
      <w:bookmarkEnd w:id="24"/>
    </w:p>
    <w:p w:rsidR="00E24D8A" w:rsidP="00E24D8A" w:rsidRDefault="004428D0" w14:paraId="05325ED7" w14:textId="16AA5B7E">
      <w:r>
        <w:t xml:space="preserve">Each CCA that files a compliance application under the </w:t>
      </w:r>
      <w:proofErr w:type="spellStart"/>
      <w:r>
        <w:t>BioMAT</w:t>
      </w:r>
      <w:proofErr w:type="spellEnd"/>
      <w:r>
        <w:t xml:space="preserve"> program is required to demonstrate compliance with the Commission’s prudent management standard.</w:t>
      </w:r>
      <w:r w:rsidRPr="00652937">
        <w:rPr>
          <w:rStyle w:val="FootnoteReference"/>
        </w:rPr>
        <w:footnoteReference w:id="139"/>
      </w:r>
      <w:r w:rsidRPr="00652937">
        <w:t xml:space="preserve"> </w:t>
      </w:r>
      <w:r w:rsidR="00A876F9">
        <w:t xml:space="preserve">To that end, 3CE has requested that the Commission find that 3CE’s administration of its </w:t>
      </w:r>
      <w:proofErr w:type="spellStart"/>
      <w:r w:rsidR="00A876F9">
        <w:t>BioMAT</w:t>
      </w:r>
      <w:proofErr w:type="spellEnd"/>
      <w:r w:rsidR="00A876F9">
        <w:t xml:space="preserve"> PPA during the Record Period complies with the Commission’s prudent manager standard</w:t>
      </w:r>
      <w:r w:rsidR="00C04E20">
        <w:t xml:space="preserve"> and other applicable requirements</w:t>
      </w:r>
      <w:r w:rsidR="00A876F9">
        <w:t>.</w:t>
      </w:r>
      <w:r w:rsidR="00A876F9">
        <w:rPr>
          <w:rStyle w:val="FootnoteReference"/>
        </w:rPr>
        <w:footnoteReference w:id="140"/>
      </w:r>
      <w:r w:rsidR="00C37865">
        <w:t xml:space="preserve"> 3CE’s request is granted.</w:t>
      </w:r>
    </w:p>
    <w:p w:rsidR="006D74C8" w:rsidP="000404A2" w:rsidRDefault="005C14C7" w14:paraId="785EE382" w14:textId="1C0E17E1">
      <w:r w:rsidRPr="00646822">
        <w:t xml:space="preserve">TRE </w:t>
      </w:r>
      <w:r w:rsidRPr="00646822" w:rsidR="002B2E76">
        <w:t>returned a signed</w:t>
      </w:r>
      <w:r w:rsidRPr="00646822" w:rsidR="00EF3C60">
        <w:t xml:space="preserve"> </w:t>
      </w:r>
      <w:r w:rsidRPr="00646822" w:rsidR="00573C7E">
        <w:t>Bioenergy</w:t>
      </w:r>
      <w:r w:rsidRPr="00646822" w:rsidR="00B20989">
        <w:t xml:space="preserve"> Market Adjusting Tariff Power Purchase Agreement </w:t>
      </w:r>
      <w:r w:rsidRPr="00646822" w:rsidR="002B2E76">
        <w:t xml:space="preserve">to 3CE </w:t>
      </w:r>
      <w:r w:rsidRPr="00646822">
        <w:t>on June 5, 2025</w:t>
      </w:r>
      <w:r w:rsidRPr="00646822" w:rsidR="0008234D">
        <w:t>.</w:t>
      </w:r>
      <w:r w:rsidRPr="00646822" w:rsidR="00660E13">
        <w:rPr>
          <w:rStyle w:val="FootnoteReference"/>
        </w:rPr>
        <w:footnoteReference w:id="141"/>
      </w:r>
      <w:r w:rsidRPr="00646822">
        <w:t xml:space="preserve"> 3CE </w:t>
      </w:r>
      <w:r w:rsidRPr="00646822" w:rsidR="00E50ACE">
        <w:t xml:space="preserve">signed that document </w:t>
      </w:r>
      <w:r w:rsidRPr="00646822">
        <w:t>on July 2, 2025</w:t>
      </w:r>
      <w:r w:rsidRPr="00646822" w:rsidR="00E50ACE">
        <w:t>.</w:t>
      </w:r>
      <w:r w:rsidRPr="00646822" w:rsidR="00A05709">
        <w:rPr>
          <w:rStyle w:val="FootnoteReference"/>
        </w:rPr>
        <w:footnoteReference w:id="142"/>
      </w:r>
      <w:r w:rsidRPr="00646822" w:rsidR="00E50ACE">
        <w:t xml:space="preserve"> </w:t>
      </w:r>
      <w:r w:rsidRPr="00646822" w:rsidR="0082510E">
        <w:t xml:space="preserve">3CE represents that </w:t>
      </w:r>
      <w:r w:rsidRPr="00646822" w:rsidR="001D52A4">
        <w:t xml:space="preserve">prior to PPA execution, </w:t>
      </w:r>
      <w:r w:rsidRPr="00646822" w:rsidR="003D3763">
        <w:t xml:space="preserve">it accessed TRE’s </w:t>
      </w:r>
      <w:r w:rsidRPr="00646822" w:rsidR="008A1238">
        <w:t xml:space="preserve">PPR during the Record Period, including review of the following supporting documentation: </w:t>
      </w:r>
      <w:r w:rsidRPr="00646822" w:rsidR="008A1238">
        <w:lastRenderedPageBreak/>
        <w:t xml:space="preserve">1) Table of Major Components; 2) Facility Layout Drawing; 3) Site Map; 4) Single Line Diagram; 5) Fuel Resource Attestation, </w:t>
      </w:r>
      <w:r w:rsidRPr="00646822" w:rsidR="00913F00">
        <w:t xml:space="preserve">6) </w:t>
      </w:r>
      <w:r w:rsidRPr="00646822" w:rsidR="008A1238">
        <w:t xml:space="preserve">Milestones, </w:t>
      </w:r>
      <w:r w:rsidRPr="00646822" w:rsidR="00913F00">
        <w:t xml:space="preserve">7) </w:t>
      </w:r>
      <w:r w:rsidRPr="00646822" w:rsidR="008A1238">
        <w:t xml:space="preserve">Legal Description of the Site; </w:t>
      </w:r>
      <w:r w:rsidRPr="00646822" w:rsidR="00913F00">
        <w:t>8</w:t>
      </w:r>
      <w:r w:rsidRPr="00646822" w:rsidR="008A1238">
        <w:t>) Most Recent</w:t>
      </w:r>
      <w:r w:rsidRPr="00646822" w:rsidR="00913F00">
        <w:t xml:space="preserve"> Interconnection Documentation; 9) Site Control Documentation; 10) Production Profile; 11) Ownership Documentation; 12) GIS Map; and 13) Ownership Organizational Chart.</w:t>
      </w:r>
      <w:r w:rsidRPr="00646822" w:rsidR="002F172A">
        <w:rPr>
          <w:rStyle w:val="FootnoteReference"/>
        </w:rPr>
        <w:footnoteReference w:id="143"/>
      </w:r>
      <w:r w:rsidRPr="00646822" w:rsidR="008D55CE">
        <w:t xml:space="preserve"> </w:t>
      </w:r>
      <w:r w:rsidRPr="00646822">
        <w:t xml:space="preserve"> </w:t>
      </w:r>
    </w:p>
    <w:p w:rsidR="00B51661" w:rsidP="00B51661" w:rsidRDefault="00996022" w14:paraId="3455B9BB" w14:textId="63B6E4DC">
      <w:r>
        <w:t xml:space="preserve">The record also shows </w:t>
      </w:r>
      <w:r w:rsidR="00846C42">
        <w:t xml:space="preserve">3CE takes several steps to </w:t>
      </w:r>
      <w:r w:rsidR="00AB461E">
        <w:t xml:space="preserve">ensure </w:t>
      </w:r>
      <w:r w:rsidR="008A5C97">
        <w:t xml:space="preserve">TRE </w:t>
      </w:r>
      <w:r w:rsidR="0002343E">
        <w:t xml:space="preserve">will follow the terms of the contract between the two parties. </w:t>
      </w:r>
      <w:r w:rsidR="00A75E2F">
        <w:t xml:space="preserve">As a matter of practice, 3CE stores PPA’s, </w:t>
      </w:r>
      <w:r w:rsidR="00CA588C">
        <w:t>tracks contract milestones and deadlines, reviews documentation, and ensures that the PPA counterpart</w:t>
      </w:r>
      <w:r w:rsidR="00532399">
        <w:t xml:space="preserve">y continues to meet eligibility criteria and terms of the </w:t>
      </w:r>
      <w:proofErr w:type="spellStart"/>
      <w:r w:rsidR="00532399">
        <w:t>BioMAT</w:t>
      </w:r>
      <w:proofErr w:type="spellEnd"/>
      <w:r w:rsidR="00532399">
        <w:t xml:space="preserve"> PPA.</w:t>
      </w:r>
      <w:r w:rsidR="00532399">
        <w:rPr>
          <w:rStyle w:val="FootnoteReference"/>
        </w:rPr>
        <w:footnoteReference w:id="144"/>
      </w:r>
      <w:r w:rsidR="00532399">
        <w:t xml:space="preserve"> </w:t>
      </w:r>
      <w:r w:rsidR="00B51661">
        <w:t xml:space="preserve"> </w:t>
      </w:r>
    </w:p>
    <w:p w:rsidR="007F262F" w:rsidP="00792395" w:rsidRDefault="009369BC" w14:paraId="206CAF36" w14:textId="7A76A8C1">
      <w:r>
        <w:t xml:space="preserve">The record also shows 3CE has taken steps related to </w:t>
      </w:r>
      <w:r w:rsidR="00DD08F9">
        <w:t>the</w:t>
      </w:r>
      <w:r>
        <w:t xml:space="preserve"> PPA </w:t>
      </w:r>
      <w:r w:rsidR="00DD08F9">
        <w:t xml:space="preserve">it executed </w:t>
      </w:r>
      <w:r>
        <w:t xml:space="preserve">with TRE.  </w:t>
      </w:r>
      <w:r w:rsidR="00A62CCD">
        <w:t xml:space="preserve">3CE </w:t>
      </w:r>
      <w:r w:rsidR="000F3DB1">
        <w:t>has engaged in ongoing communication with TRE to ensure TRE is aware of ongoing requirements set by the PPA</w:t>
      </w:r>
      <w:r w:rsidR="00DD08F9">
        <w:t>.</w:t>
      </w:r>
      <w:r w:rsidR="009130E6">
        <w:rPr>
          <w:rStyle w:val="FootnoteReference"/>
        </w:rPr>
        <w:footnoteReference w:id="145"/>
      </w:r>
      <w:r w:rsidR="00DD08F9">
        <w:t xml:space="preserve"> </w:t>
      </w:r>
      <w:r w:rsidR="00A25D4B">
        <w:t xml:space="preserve">3CE also </w:t>
      </w:r>
      <w:r w:rsidR="00DD08F9">
        <w:t>represents it</w:t>
      </w:r>
      <w:r w:rsidR="00E83C23">
        <w:t xml:space="preserve"> </w:t>
      </w:r>
      <w:r w:rsidR="00773B20">
        <w:t>will</w:t>
      </w:r>
      <w:r w:rsidR="00A25D4B">
        <w:t xml:space="preserve"> take future steps to ensure </w:t>
      </w:r>
      <w:r w:rsidR="00953650">
        <w:t>TRE meets future contract milestones.  3CE testifies it will</w:t>
      </w:r>
      <w:r w:rsidR="00773B20">
        <w:t xml:space="preserve"> engage in quarterly meetings with TRE to monitor TRE’s progress toward the remaining milestones and adherence to the PPA requirements</w:t>
      </w:r>
      <w:r w:rsidR="00E83C23">
        <w:t>. In future applications to the Commission r</w:t>
      </w:r>
      <w:r w:rsidR="00EA264C">
        <w:t xml:space="preserve">elated to this one, 3CE </w:t>
      </w:r>
      <w:r w:rsidR="00953650">
        <w:t xml:space="preserve">represents it </w:t>
      </w:r>
      <w:r w:rsidR="00EA264C">
        <w:t xml:space="preserve">will report on its ongoing review of its </w:t>
      </w:r>
      <w:proofErr w:type="spellStart"/>
      <w:r w:rsidR="00EA264C">
        <w:t>BioMAT</w:t>
      </w:r>
      <w:proofErr w:type="spellEnd"/>
      <w:r w:rsidR="00EA264C">
        <w:t xml:space="preserve"> project’s milestones.</w:t>
      </w:r>
      <w:r w:rsidR="002B3296">
        <w:t xml:space="preserve">  </w:t>
      </w:r>
      <w:r w:rsidR="006F7DDD">
        <w:t xml:space="preserve">Once the </w:t>
      </w:r>
      <w:proofErr w:type="spellStart"/>
      <w:r w:rsidR="006F7DDD">
        <w:t>BioMAT</w:t>
      </w:r>
      <w:proofErr w:type="spellEnd"/>
      <w:r w:rsidR="006F7DDD">
        <w:t xml:space="preserve"> project has achieved </w:t>
      </w:r>
      <w:r w:rsidR="00F81F6B">
        <w:t>a Commercial Online Date</w:t>
      </w:r>
      <w:r w:rsidR="006F7DDD">
        <w:t>, 3CE</w:t>
      </w:r>
      <w:r w:rsidR="00681D1E">
        <w:t xml:space="preserve"> says that it</w:t>
      </w:r>
      <w:r w:rsidR="006F7DDD">
        <w:t xml:space="preserve">s scheduling coordinator will be responsible for scheduling the project in the CAISO market.  3CE </w:t>
      </w:r>
      <w:r w:rsidR="00681D1E">
        <w:t xml:space="preserve">also </w:t>
      </w:r>
      <w:r w:rsidR="009130E6">
        <w:t xml:space="preserve">represents </w:t>
      </w:r>
      <w:r w:rsidR="00C53812">
        <w:t xml:space="preserve">it </w:t>
      </w:r>
      <w:r w:rsidR="006F7DDD">
        <w:t xml:space="preserve">will include information related to the dispatch of its project </w:t>
      </w:r>
      <w:r>
        <w:t>in future applications, where applicable.</w:t>
      </w:r>
      <w:r w:rsidR="009130E6">
        <w:rPr>
          <w:rStyle w:val="FootnoteReference"/>
        </w:rPr>
        <w:footnoteReference w:id="146"/>
      </w:r>
    </w:p>
    <w:p w:rsidR="00E12925" w:rsidP="00E12925" w:rsidRDefault="00E12925" w14:paraId="64A2F582" w14:textId="4BDB35C1">
      <w:r>
        <w:lastRenderedPageBreak/>
        <w:t xml:space="preserve">During the record period, 3CE has complied with the CCA </w:t>
      </w:r>
      <w:proofErr w:type="spellStart"/>
      <w:r>
        <w:t>BioMAT</w:t>
      </w:r>
      <w:proofErr w:type="spellEnd"/>
      <w:r>
        <w:t xml:space="preserve"> tariff, and administered its </w:t>
      </w:r>
      <w:proofErr w:type="spellStart"/>
      <w:r>
        <w:t>BioMAT</w:t>
      </w:r>
      <w:proofErr w:type="spellEnd"/>
      <w:r>
        <w:t xml:space="preserve"> PPA in compliance with the Commission’s prudent manager standard.</w:t>
      </w:r>
      <w:r w:rsidR="002B3296">
        <w:t xml:space="preserve"> </w:t>
      </w:r>
      <w:r>
        <w:t>3CE’s documentation estimates that the project will not begin commercial operations until February 26, 2027.</w:t>
      </w:r>
      <w:r>
        <w:rPr>
          <w:rStyle w:val="FootnoteReference"/>
        </w:rPr>
        <w:footnoteReference w:id="147"/>
      </w:r>
      <w:r>
        <w:t xml:space="preserve"> As the project is still in the planning stages, the application </w:t>
      </w:r>
      <w:r w:rsidR="003E6648">
        <w:t>does not yet</w:t>
      </w:r>
      <w:r>
        <w:t xml:space="preserve"> provide </w:t>
      </w:r>
      <w:r w:rsidR="005E69AE">
        <w:t xml:space="preserve">a significant amount of </w:t>
      </w:r>
      <w:r>
        <w:t xml:space="preserve">information related to prudency.  </w:t>
      </w:r>
    </w:p>
    <w:p w:rsidR="00187596" w:rsidP="002509DE" w:rsidRDefault="00187596" w14:paraId="414A368D" w14:textId="77777777">
      <w:pPr>
        <w:pStyle w:val="Heading1"/>
      </w:pPr>
      <w:bookmarkStart w:name="_Toc230785187" w:id="25"/>
      <w:bookmarkStart w:name="_Toc230785189" w:id="26"/>
      <w:bookmarkStart w:name="_Toc230785190" w:id="27"/>
      <w:bookmarkStart w:name="_Toc233277296" w:id="28"/>
      <w:bookmarkEnd w:id="25"/>
      <w:bookmarkEnd w:id="26"/>
      <w:bookmarkEnd w:id="27"/>
      <w:r>
        <w:t>Summary of Public Comment</w:t>
      </w:r>
      <w:bookmarkEnd w:id="28"/>
    </w:p>
    <w:p w:rsidR="00187596" w:rsidP="00187596" w:rsidRDefault="00187596" w14:paraId="571BA38D" w14:textId="33AA1843">
      <w:r w:rsidRPr="00C55581">
        <w:t>Rule 1.18 allows any member of the public to submit written comment in any Commission proceeding using the “Public Comment” tab of the online Docket Card for that proceeding on the Commission’s website</w:t>
      </w:r>
      <w:r w:rsidR="002B3296">
        <w:t>.</w:t>
      </w:r>
      <w:r w:rsidRPr="00C55581">
        <w:t> </w:t>
      </w:r>
      <w:r w:rsidR="00AA6068">
        <w:t xml:space="preserve">Rule 1.18(a) requires that all written public comment submitted prior to the submission of the proceeding are part of the administrative record of the proceeding. </w:t>
      </w:r>
      <w:r w:rsidRPr="00C55581">
        <w:t>Rule 1.18(b) requires that relevant written comment submitted in a proceeding be summarized in the final decision issued in that proceeding.</w:t>
      </w:r>
    </w:p>
    <w:p w:rsidR="00187596" w:rsidP="002D3139" w:rsidRDefault="00187596" w14:paraId="5A61ACE7" w14:textId="6D5D2D25">
      <w:r>
        <w:t>As of the date of submission, the public comments tab on the docket card showed no public comments.</w:t>
      </w:r>
    </w:p>
    <w:p w:rsidR="002D3139" w:rsidP="002509DE" w:rsidRDefault="0036136F" w14:paraId="54FA9219" w14:textId="576DF6B4">
      <w:pPr>
        <w:pStyle w:val="Heading1"/>
      </w:pPr>
      <w:bookmarkStart w:name="_Toc233277297" w:id="29"/>
      <w:r>
        <w:t>Conclusion</w:t>
      </w:r>
      <w:bookmarkEnd w:id="29"/>
      <w:r>
        <w:t xml:space="preserve"> </w:t>
      </w:r>
    </w:p>
    <w:p w:rsidR="00C662DF" w:rsidP="006D1618" w:rsidRDefault="0036136F" w14:paraId="7F3DD42D" w14:textId="13EB6A0A">
      <w:pPr>
        <w:pStyle w:val="Standard"/>
      </w:pPr>
      <w:r>
        <w:t xml:space="preserve">For the reasons discussed </w:t>
      </w:r>
      <w:r w:rsidR="00CA14C8">
        <w:t>above</w:t>
      </w:r>
      <w:r>
        <w:t>, the Commission grants each of 3CE’s requests</w:t>
      </w:r>
      <w:r w:rsidR="00B307A0">
        <w:t xml:space="preserve"> and finds that</w:t>
      </w:r>
      <w:r>
        <w:t xml:space="preserve">: (1) </w:t>
      </w:r>
      <w:r w:rsidRPr="00D474DB">
        <w:t xml:space="preserve">3CE complied with the requirements set by the Commission in D.23-11-084 in implementing the </w:t>
      </w:r>
      <w:proofErr w:type="spellStart"/>
      <w:r w:rsidRPr="00D474DB">
        <w:t>BioMAT</w:t>
      </w:r>
      <w:proofErr w:type="spellEnd"/>
      <w:r w:rsidRPr="00D474DB">
        <w:t xml:space="preserve"> program during the Record Period; (2) 3CE complied with the CCA </w:t>
      </w:r>
      <w:proofErr w:type="spellStart"/>
      <w:r w:rsidRPr="00D474DB">
        <w:t>BioMAT</w:t>
      </w:r>
      <w:proofErr w:type="spellEnd"/>
      <w:r w:rsidRPr="00D474DB">
        <w:t xml:space="preserve"> tariff during the Record Period; and (3) 3CE’s administration of its </w:t>
      </w:r>
      <w:proofErr w:type="spellStart"/>
      <w:r w:rsidRPr="00D474DB">
        <w:t>BioMAT</w:t>
      </w:r>
      <w:proofErr w:type="spellEnd"/>
      <w:r w:rsidRPr="00D474DB">
        <w:t xml:space="preserve"> PPA during the Record Period complies with the Commission’s prudent manager standard.</w:t>
      </w:r>
      <w:r>
        <w:rPr>
          <w:rStyle w:val="FootnoteReference"/>
        </w:rPr>
        <w:footnoteReference w:id="148"/>
      </w:r>
      <w:r w:rsidRPr="00D474DB">
        <w:t xml:space="preserve"> </w:t>
      </w:r>
      <w:r>
        <w:t xml:space="preserve"> </w:t>
      </w:r>
    </w:p>
    <w:p w:rsidR="002D3139" w:rsidP="002509DE" w:rsidRDefault="002D3139" w14:paraId="3B38A3E4" w14:textId="47A778AB">
      <w:pPr>
        <w:pStyle w:val="Heading1"/>
      </w:pPr>
      <w:bookmarkStart w:name="_Toc233277298" w:id="30"/>
      <w:r>
        <w:lastRenderedPageBreak/>
        <w:t>Procedural Matters</w:t>
      </w:r>
      <w:bookmarkEnd w:id="30"/>
    </w:p>
    <w:p w:rsidRPr="00407D5F" w:rsidR="002D3139" w:rsidP="00407D5F" w:rsidRDefault="002D3139" w14:paraId="7211BC08" w14:textId="31FA3841">
      <w:pPr>
        <w:pStyle w:val="Standard"/>
      </w:pPr>
      <w:r w:rsidRPr="00922766">
        <w:t>This decision affirms all rulings made by the A</w:t>
      </w:r>
      <w:r w:rsidR="00D41B52">
        <w:t>LJ</w:t>
      </w:r>
      <w:r w:rsidRPr="00922766">
        <w:t xml:space="preserve"> and assigned Commissioner in this proceeding. All motions not ruled on are deemed denied.</w:t>
      </w:r>
    </w:p>
    <w:p w:rsidRPr="003001C9" w:rsidR="0078441B" w:rsidP="0069517D" w:rsidRDefault="000851EA" w14:paraId="5BA37CCC" w14:textId="550251FC">
      <w:pPr>
        <w:pStyle w:val="Heading1"/>
      </w:pPr>
      <w:bookmarkStart w:name="_Toc233277299" w:id="31"/>
      <w:r w:rsidRPr="003001C9">
        <w:t>Comment</w:t>
      </w:r>
      <w:r w:rsidRPr="003001C9" w:rsidR="007F5408">
        <w:t>s on the Proposed Decision</w:t>
      </w:r>
      <w:bookmarkEnd w:id="31"/>
    </w:p>
    <w:p w:rsidRPr="00DE0551" w:rsidR="00187596" w:rsidP="00407D5F" w:rsidRDefault="00187596" w14:paraId="4D01C788" w14:textId="674CE63C">
      <w:pPr>
        <w:pStyle w:val="Standard"/>
      </w:pPr>
      <w:r w:rsidRPr="00DE0551">
        <w:t>This is an uncontested matter in which the decision grants the relief requested.</w:t>
      </w:r>
      <w:r w:rsidR="002B3296">
        <w:t xml:space="preserve"> </w:t>
      </w:r>
      <w:r w:rsidRPr="00DE0551">
        <w:t xml:space="preserve">Accordingly, pursuant to </w:t>
      </w:r>
      <w:r>
        <w:t>Section</w:t>
      </w:r>
      <w:r w:rsidRPr="00DE0551">
        <w:t> 311(g)(2) of the Pub</w:t>
      </w:r>
      <w:r>
        <w:t>. Util.</w:t>
      </w:r>
      <w:r w:rsidRPr="00DE0551">
        <w:t xml:space="preserve"> Code and Rule</w:t>
      </w:r>
      <w:r>
        <w:t> </w:t>
      </w:r>
      <w:r w:rsidRPr="00DE0551">
        <w:t>14.6(c)(2), the otherwise applicable 30</w:t>
      </w:r>
      <w:r>
        <w:noBreakHyphen/>
      </w:r>
      <w:r w:rsidRPr="00DE0551">
        <w:t>day period for public</w:t>
      </w:r>
      <w:r>
        <w:t> </w:t>
      </w:r>
      <w:r w:rsidRPr="00DE0551">
        <w:t>review and comment is waived.</w:t>
      </w:r>
    </w:p>
    <w:p w:rsidR="005939A5" w:rsidP="0069517D" w:rsidRDefault="005939A5" w14:paraId="3B1873B1" w14:textId="77777777">
      <w:pPr>
        <w:pStyle w:val="Heading1"/>
      </w:pPr>
      <w:bookmarkStart w:name="_Toc8123724" w:id="32"/>
      <w:bookmarkStart w:name="_Toc233277300" w:id="33"/>
      <w:r>
        <w:t>Assignment of Proceeding</w:t>
      </w:r>
      <w:bookmarkEnd w:id="32"/>
      <w:bookmarkEnd w:id="33"/>
    </w:p>
    <w:p w:rsidR="005939A5" w:rsidP="006E6574" w:rsidRDefault="00CA14C8" w14:paraId="341B1695" w14:textId="43B3FE04">
      <w:pPr>
        <w:pStyle w:val="Standard"/>
      </w:pPr>
      <w:r>
        <w:t>Christine Harada</w:t>
      </w:r>
      <w:r w:rsidR="005939A5">
        <w:t xml:space="preserve"> is the assigned Commissioner and </w:t>
      </w:r>
      <w:r w:rsidR="00656CC9">
        <w:t>Darryl Gruen</w:t>
      </w:r>
      <w:r w:rsidR="005939A5">
        <w:t xml:space="preserve"> is the assigned </w:t>
      </w:r>
      <w:r w:rsidR="00D41B52">
        <w:t>ALJ</w:t>
      </w:r>
      <w:r w:rsidR="005939A5">
        <w:t xml:space="preserve"> in this proceeding.</w:t>
      </w:r>
    </w:p>
    <w:p w:rsidR="00EF3256" w:rsidP="00EF3256" w:rsidRDefault="005939A5" w14:paraId="24A8BF85" w14:textId="77777777">
      <w:pPr>
        <w:pStyle w:val="Dummy"/>
      </w:pPr>
      <w:bookmarkStart w:name="_Toc8123725" w:id="34"/>
      <w:bookmarkStart w:name="_Toc233277301" w:id="35"/>
      <w:r>
        <w:t>Findings of Fact</w:t>
      </w:r>
      <w:bookmarkEnd w:id="34"/>
      <w:bookmarkEnd w:id="35"/>
    </w:p>
    <w:p w:rsidR="00D3204E" w:rsidP="00EE5AED" w:rsidRDefault="00D3204E" w14:paraId="2BEC03A6" w14:textId="77217CCE">
      <w:pPr>
        <w:pStyle w:val="FoF"/>
      </w:pPr>
      <w:r>
        <w:t>D</w:t>
      </w:r>
      <w:r w:rsidR="00EE23E6">
        <w:t>.</w:t>
      </w:r>
      <w:r>
        <w:t xml:space="preserve">23-11-084 provides </w:t>
      </w:r>
      <w:proofErr w:type="spellStart"/>
      <w:r>
        <w:t>BioMAT</w:t>
      </w:r>
      <w:proofErr w:type="spellEnd"/>
      <w:r>
        <w:t xml:space="preserve"> program requirements that apply to Community Choice Aggregators that file compliance applications under the </w:t>
      </w:r>
      <w:proofErr w:type="spellStart"/>
      <w:r>
        <w:t>BioMAT</w:t>
      </w:r>
      <w:proofErr w:type="spellEnd"/>
      <w:r>
        <w:t xml:space="preserve"> program.</w:t>
      </w:r>
    </w:p>
    <w:p w:rsidR="00DF78D2" w:rsidP="00EE5AED" w:rsidRDefault="00D3204E" w14:paraId="6D7180C6" w14:textId="55C62922">
      <w:pPr>
        <w:pStyle w:val="FoF"/>
      </w:pPr>
      <w:r>
        <w:t>Pursuant to D</w:t>
      </w:r>
      <w:r w:rsidR="00A9395B">
        <w:t>.</w:t>
      </w:r>
      <w:r>
        <w:t>23-11-084, Community Choice Aggregator</w:t>
      </w:r>
      <w:r w:rsidR="005A161A">
        <w:t>s</w:t>
      </w:r>
      <w:r>
        <w:t xml:space="preserve"> under the </w:t>
      </w:r>
      <w:proofErr w:type="spellStart"/>
      <w:r>
        <w:t>BioMAT</w:t>
      </w:r>
      <w:proofErr w:type="spellEnd"/>
      <w:r>
        <w:t xml:space="preserve"> program must comply with the Commission’s prudent management standard.</w:t>
      </w:r>
    </w:p>
    <w:p w:rsidR="003A203F" w:rsidP="00EE5AED" w:rsidRDefault="003A203F" w14:paraId="6D2A8D86" w14:textId="7321A986">
      <w:pPr>
        <w:pStyle w:val="FoF"/>
      </w:pPr>
      <w:r>
        <w:t xml:space="preserve">3CE’s documentation estimates that the project will not begin commercial operations until February 26, 2027.  </w:t>
      </w:r>
    </w:p>
    <w:p w:rsidR="003A203F" w:rsidP="00EE5AED" w:rsidRDefault="003A203F" w14:paraId="46245572" w14:textId="280526F7">
      <w:pPr>
        <w:pStyle w:val="FoF"/>
      </w:pPr>
      <w:r>
        <w:t xml:space="preserve">As the project is still in the planning stages, the application </w:t>
      </w:r>
      <w:r w:rsidR="00DF0040">
        <w:t xml:space="preserve">does not </w:t>
      </w:r>
      <w:proofErr w:type="gramStart"/>
      <w:r w:rsidR="00DF0040">
        <w:t>yet</w:t>
      </w:r>
      <w:r w:rsidR="003E6648">
        <w:t xml:space="preserve"> </w:t>
      </w:r>
      <w:r>
        <w:t xml:space="preserve"> provide</w:t>
      </w:r>
      <w:proofErr w:type="gramEnd"/>
      <w:r>
        <w:t xml:space="preserve"> </w:t>
      </w:r>
      <w:r w:rsidR="004C6B83">
        <w:t>a significant amount of</w:t>
      </w:r>
      <w:r w:rsidR="00BE6B01">
        <w:t xml:space="preserve"> </w:t>
      </w:r>
      <w:r>
        <w:t xml:space="preserve">information related to prudency.  </w:t>
      </w:r>
    </w:p>
    <w:p w:rsidR="000F7120" w:rsidP="00EE5AED" w:rsidRDefault="000F7120" w14:paraId="6CB54907" w14:textId="6D5E8088">
      <w:pPr>
        <w:pStyle w:val="FoF"/>
      </w:pPr>
      <w:r>
        <w:t>D</w:t>
      </w:r>
      <w:r w:rsidR="00830166">
        <w:t>.</w:t>
      </w:r>
      <w:r>
        <w:t>23-11-084 O</w:t>
      </w:r>
      <w:r w:rsidR="00D41B52">
        <w:t>P</w:t>
      </w:r>
      <w:r>
        <w:t xml:space="preserve">s 2, 3, 5, and 6 </w:t>
      </w:r>
      <w:proofErr w:type="gramStart"/>
      <w:r>
        <w:t>laid</w:t>
      </w:r>
      <w:proofErr w:type="gramEnd"/>
      <w:r>
        <w:t xml:space="preserve"> the groundwork for the implementation of </w:t>
      </w:r>
      <w:r w:rsidR="00C278A6">
        <w:t>3CE’s</w:t>
      </w:r>
      <w:r>
        <w:t xml:space="preserve"> </w:t>
      </w:r>
      <w:proofErr w:type="spellStart"/>
      <w:r>
        <w:t>BioMAT</w:t>
      </w:r>
      <w:proofErr w:type="spellEnd"/>
      <w:r>
        <w:t xml:space="preserve"> program.</w:t>
      </w:r>
    </w:p>
    <w:p w:rsidRPr="00F7515B" w:rsidR="00C3261C" w:rsidP="00EE5AED" w:rsidRDefault="00D3204E" w14:paraId="0391DEEE" w14:textId="1B2FA8A7">
      <w:pPr>
        <w:pStyle w:val="FoF"/>
      </w:pPr>
      <w:r>
        <w:t>D</w:t>
      </w:r>
      <w:r w:rsidR="00830166">
        <w:t>.</w:t>
      </w:r>
      <w:r>
        <w:t>23-11-084 O</w:t>
      </w:r>
      <w:r w:rsidR="00D41B52">
        <w:t>P</w:t>
      </w:r>
      <w:r>
        <w:t xml:space="preserve"> 2 instructed that: </w:t>
      </w:r>
      <w:r w:rsidRPr="00B134DC">
        <w:t xml:space="preserve">CCAs that initially elect to participate in the </w:t>
      </w:r>
      <w:proofErr w:type="spellStart"/>
      <w:r w:rsidRPr="00B134DC">
        <w:t>BioMAT</w:t>
      </w:r>
      <w:proofErr w:type="spellEnd"/>
      <w:r w:rsidRPr="00B134DC">
        <w:t xml:space="preserve"> program are directed to develop </w:t>
      </w:r>
      <w:proofErr w:type="spellStart"/>
      <w:r w:rsidRPr="00B134DC">
        <w:t>BioMAT</w:t>
      </w:r>
      <w:proofErr w:type="spellEnd"/>
      <w:r w:rsidRPr="00B134DC">
        <w:t xml:space="preserve"> standard program </w:t>
      </w:r>
      <w:r w:rsidRPr="00B134DC">
        <w:lastRenderedPageBreak/>
        <w:t xml:space="preserve">documents including but not limited to </w:t>
      </w:r>
      <w:r w:rsidRPr="00F7515B">
        <w:t>program tariffs, PPAs, PPR forms, and NBC rate schedules.</w:t>
      </w:r>
    </w:p>
    <w:p w:rsidRPr="00F7515B" w:rsidR="00C3261C" w:rsidP="00EE5AED" w:rsidRDefault="00D3204E" w14:paraId="46A81CF5" w14:textId="71D5AB9A">
      <w:pPr>
        <w:pStyle w:val="FoF"/>
      </w:pPr>
      <w:r w:rsidRPr="00F7515B">
        <w:t xml:space="preserve">Central Coast Community Energy </w:t>
      </w:r>
      <w:proofErr w:type="gramStart"/>
      <w:r w:rsidRPr="00F7515B">
        <w:t>entered into</w:t>
      </w:r>
      <w:proofErr w:type="gramEnd"/>
      <w:r w:rsidRPr="00F7515B">
        <w:t xml:space="preserve"> a </w:t>
      </w:r>
      <w:proofErr w:type="spellStart"/>
      <w:r w:rsidRPr="00F7515B">
        <w:t>Bio</w:t>
      </w:r>
      <w:r w:rsidR="00F73823">
        <w:t>MAT</w:t>
      </w:r>
      <w:proofErr w:type="spellEnd"/>
      <w:r w:rsidRPr="00F7515B">
        <w:t xml:space="preserve"> </w:t>
      </w:r>
      <w:r w:rsidR="00C278A6">
        <w:t>PPA</w:t>
      </w:r>
      <w:r w:rsidRPr="00F7515B">
        <w:t xml:space="preserve"> with </w:t>
      </w:r>
      <w:r w:rsidR="00950115">
        <w:br/>
      </w:r>
      <w:r w:rsidRPr="00F7515B">
        <w:t>TRE in 2025</w:t>
      </w:r>
      <w:r w:rsidRPr="00F7515B" w:rsidR="00C4214C">
        <w:t xml:space="preserve">, </w:t>
      </w:r>
      <w:r w:rsidRPr="00F7515B" w:rsidR="00F26A7D">
        <w:t>consistent with</w:t>
      </w:r>
      <w:r w:rsidRPr="00F7515B" w:rsidR="00C4214C">
        <w:t xml:space="preserve"> D</w:t>
      </w:r>
      <w:r w:rsidR="00A9395B">
        <w:t>.</w:t>
      </w:r>
      <w:r w:rsidRPr="00F7515B" w:rsidR="00C4214C">
        <w:t>23-11-084, O</w:t>
      </w:r>
      <w:r w:rsidR="00D41B52">
        <w:t>P</w:t>
      </w:r>
      <w:r w:rsidRPr="00F7515B" w:rsidR="00C4214C">
        <w:t xml:space="preserve"> 2.</w:t>
      </w:r>
      <w:r w:rsidRPr="00F7515B">
        <w:t xml:space="preserve"> </w:t>
      </w:r>
    </w:p>
    <w:p w:rsidRPr="00F7515B" w:rsidR="00C3261C" w:rsidP="00EE5AED" w:rsidRDefault="00C278A6" w14:paraId="71B45490" w14:textId="7F526C15">
      <w:pPr>
        <w:pStyle w:val="FoF"/>
      </w:pPr>
      <w:r>
        <w:t>3CE</w:t>
      </w:r>
      <w:r w:rsidRPr="00F7515B" w:rsidR="00D3204E">
        <w:t xml:space="preserve"> has a PPR from TRE</w:t>
      </w:r>
      <w:r w:rsidRPr="00F7515B" w:rsidR="00B149DB">
        <w:t xml:space="preserve">, </w:t>
      </w:r>
      <w:r w:rsidRPr="00F7515B" w:rsidR="00F26A7D">
        <w:t>consistent with</w:t>
      </w:r>
      <w:r w:rsidRPr="00F7515B" w:rsidR="00B149DB">
        <w:t xml:space="preserve"> D</w:t>
      </w:r>
      <w:r w:rsidR="00830166">
        <w:t>.</w:t>
      </w:r>
      <w:r w:rsidRPr="00F7515B" w:rsidR="00B149DB">
        <w:t>23-11-084, O</w:t>
      </w:r>
      <w:r w:rsidR="00D41B52">
        <w:t>P</w:t>
      </w:r>
      <w:r w:rsidRPr="00F7515B" w:rsidR="00B149DB">
        <w:t xml:space="preserve"> 2</w:t>
      </w:r>
      <w:r w:rsidRPr="00F7515B" w:rsidR="00D3204E">
        <w:t xml:space="preserve">. </w:t>
      </w:r>
    </w:p>
    <w:p w:rsidRPr="00F7515B" w:rsidR="005974E9" w:rsidP="00EE5AED" w:rsidRDefault="00D3204E" w14:paraId="5289BB4C" w14:textId="65D0A25F">
      <w:pPr>
        <w:pStyle w:val="FoF"/>
      </w:pPr>
      <w:r w:rsidRPr="00F7515B">
        <w:t xml:space="preserve">The </w:t>
      </w:r>
      <w:proofErr w:type="spellStart"/>
      <w:r w:rsidRPr="00F7515B">
        <w:t>BioMAT</w:t>
      </w:r>
      <w:proofErr w:type="spellEnd"/>
      <w:r w:rsidRPr="00F7515B">
        <w:t xml:space="preserve"> program has </w:t>
      </w:r>
      <w:r w:rsidRPr="00F7515B" w:rsidR="005D40D5">
        <w:t xml:space="preserve">a </w:t>
      </w:r>
      <w:r w:rsidRPr="00F7515B">
        <w:t>program tariff</w:t>
      </w:r>
      <w:r w:rsidRPr="00F7515B" w:rsidR="00365C2D">
        <w:t xml:space="preserve">, </w:t>
      </w:r>
      <w:r w:rsidRPr="00F7515B" w:rsidR="00F26A7D">
        <w:t>consistent with</w:t>
      </w:r>
      <w:r w:rsidRPr="00F7515B" w:rsidR="00365C2D">
        <w:t xml:space="preserve"> D</w:t>
      </w:r>
      <w:r w:rsidR="00950115">
        <w:t>.</w:t>
      </w:r>
      <w:r w:rsidRPr="00F7515B" w:rsidR="00365C2D">
        <w:t xml:space="preserve">23-11-084 </w:t>
      </w:r>
      <w:r w:rsidR="00D41B52">
        <w:br/>
        <w:t>OP</w:t>
      </w:r>
      <w:r w:rsidRPr="00F7515B" w:rsidR="00365C2D">
        <w:t xml:space="preserve"> 2</w:t>
      </w:r>
      <w:r w:rsidRPr="00F7515B">
        <w:t>.</w:t>
      </w:r>
    </w:p>
    <w:p w:rsidRPr="00F7515B" w:rsidR="005D40D5" w:rsidP="00EE5AED" w:rsidRDefault="00D3204E" w14:paraId="4E403114" w14:textId="1B128A96">
      <w:pPr>
        <w:pStyle w:val="FoF"/>
      </w:pPr>
      <w:r w:rsidRPr="00F7515B">
        <w:t xml:space="preserve">During the record period, </w:t>
      </w:r>
      <w:r w:rsidR="009801F1">
        <w:t>3CE</w:t>
      </w:r>
      <w:r w:rsidRPr="00F7515B">
        <w:t xml:space="preserve"> and TRE followed the requirements of the </w:t>
      </w:r>
      <w:proofErr w:type="spellStart"/>
      <w:r w:rsidRPr="00F7515B">
        <w:t>BioMAT</w:t>
      </w:r>
      <w:proofErr w:type="spellEnd"/>
      <w:r w:rsidRPr="00F7515B">
        <w:t xml:space="preserve"> program tariff.</w:t>
      </w:r>
    </w:p>
    <w:p w:rsidRPr="00F7515B" w:rsidR="005D40D5" w:rsidP="00EE5AED" w:rsidRDefault="00D3204E" w14:paraId="08BFA467" w14:textId="0327F40C">
      <w:pPr>
        <w:pStyle w:val="FoF"/>
      </w:pPr>
      <w:r w:rsidRPr="00F7515B">
        <w:t xml:space="preserve">The </w:t>
      </w:r>
      <w:proofErr w:type="spellStart"/>
      <w:r w:rsidRPr="00F7515B">
        <w:t>BioMAT</w:t>
      </w:r>
      <w:proofErr w:type="spellEnd"/>
      <w:r w:rsidRPr="00F7515B">
        <w:t xml:space="preserve"> tariff provides eligibility criteria, and </w:t>
      </w:r>
      <w:r w:rsidR="009801F1">
        <w:t>3CE</w:t>
      </w:r>
      <w:r w:rsidRPr="00F7515B">
        <w:t xml:space="preserve"> has reviewed TRE’s application to determine it met</w:t>
      </w:r>
      <w:r w:rsidRPr="00F7515B" w:rsidR="005562C0">
        <w:t xml:space="preserve"> all</w:t>
      </w:r>
      <w:r w:rsidRPr="00F7515B">
        <w:t xml:space="preserve"> eligibility criteria that can be met to date.</w:t>
      </w:r>
    </w:p>
    <w:p w:rsidRPr="00F7515B" w:rsidR="005D40D5" w:rsidP="00EE5AED" w:rsidRDefault="00D3204E" w14:paraId="60FD0769" w14:textId="11103B5C">
      <w:pPr>
        <w:pStyle w:val="FoF"/>
      </w:pPr>
      <w:r w:rsidRPr="00F7515B">
        <w:t xml:space="preserve">TRE cannot yet meet several eligibility criteria, including a final </w:t>
      </w:r>
      <w:r w:rsidR="007032F9">
        <w:t>CEC</w:t>
      </w:r>
      <w:r w:rsidRPr="00F7515B">
        <w:t xml:space="preserve"> Certification and a FERC self-certification that automatically becomes effective if there are no protests to TRE’s FERC filing that includes that self-certification.</w:t>
      </w:r>
    </w:p>
    <w:p w:rsidRPr="00F7515B" w:rsidR="005D40D5" w:rsidP="00EE5AED" w:rsidRDefault="00D3204E" w14:paraId="3543921D" w14:textId="66170A08">
      <w:pPr>
        <w:pStyle w:val="FoF"/>
      </w:pPr>
      <w:proofErr w:type="gramStart"/>
      <w:r w:rsidRPr="00F7515B">
        <w:t>Participating</w:t>
      </w:r>
      <w:proofErr w:type="gramEnd"/>
      <w:r w:rsidRPr="00F7515B">
        <w:t xml:space="preserve"> CCAs, such as </w:t>
      </w:r>
      <w:r w:rsidR="009801F1">
        <w:t>3CE</w:t>
      </w:r>
      <w:r w:rsidRPr="00F7515B">
        <w:t>, do not charge their customers directly and therefore do not maintain separate NBC rate schedules.</w:t>
      </w:r>
    </w:p>
    <w:p w:rsidRPr="00F7515B" w:rsidR="005D40D5" w:rsidP="00EE5AED" w:rsidRDefault="005E69AE" w14:paraId="71AF3E5E" w14:textId="5458A7EC">
      <w:pPr>
        <w:pStyle w:val="FoF"/>
      </w:pPr>
      <w:r w:rsidRPr="00F7515B">
        <w:t>D.</w:t>
      </w:r>
      <w:r w:rsidRPr="00F7515B" w:rsidR="00D3204E">
        <w:t>23-11-084 O</w:t>
      </w:r>
      <w:r w:rsidR="00D41B52">
        <w:t>P</w:t>
      </w:r>
      <w:r w:rsidRPr="00F7515B" w:rsidR="00D3204E">
        <w:t xml:space="preserve"> 3 ordered </w:t>
      </w:r>
      <w:r w:rsidRPr="00F7515B" w:rsidR="002C4757">
        <w:t xml:space="preserve">that: 1) </w:t>
      </w:r>
      <w:r w:rsidRPr="00F7515B" w:rsidR="00D3204E">
        <w:t xml:space="preserve">CCAs that elect to participate in the </w:t>
      </w:r>
      <w:proofErr w:type="spellStart"/>
      <w:r w:rsidRPr="00F7515B" w:rsidR="00D3204E">
        <w:t>BioMAT</w:t>
      </w:r>
      <w:proofErr w:type="spellEnd"/>
      <w:r w:rsidRPr="00F7515B" w:rsidR="00D3204E">
        <w:t xml:space="preserve"> program will be represented by the </w:t>
      </w:r>
      <w:proofErr w:type="spellStart"/>
      <w:r w:rsidRPr="00F7515B" w:rsidR="00D3204E">
        <w:t>CalCCA</w:t>
      </w:r>
      <w:proofErr w:type="spellEnd"/>
      <w:r w:rsidRPr="00F7515B" w:rsidR="00D3204E">
        <w:t xml:space="preserve"> to consult with PG&amp;E, SCE, SDG&amp;E, and the third-party administrator, Accion, to solicit contract terms and to develop individual CCA </w:t>
      </w:r>
      <w:proofErr w:type="spellStart"/>
      <w:r w:rsidRPr="00F7515B" w:rsidR="00D3204E">
        <w:t>BioMAT</w:t>
      </w:r>
      <w:proofErr w:type="spellEnd"/>
      <w:r w:rsidRPr="00F7515B" w:rsidR="00D3204E">
        <w:t xml:space="preserve"> websites and portals on the Accion </w:t>
      </w:r>
      <w:proofErr w:type="spellStart"/>
      <w:r w:rsidRPr="00F7515B" w:rsidR="00D3204E">
        <w:t>BioMAT</w:t>
      </w:r>
      <w:proofErr w:type="spellEnd"/>
      <w:r w:rsidRPr="00F7515B" w:rsidR="00D3204E">
        <w:t xml:space="preserve"> platform as well as a central </w:t>
      </w:r>
      <w:proofErr w:type="spellStart"/>
      <w:r w:rsidRPr="00F7515B" w:rsidR="00D3204E">
        <w:t>BioMAT</w:t>
      </w:r>
      <w:proofErr w:type="spellEnd"/>
      <w:r w:rsidRPr="00F7515B" w:rsidR="00D3204E">
        <w:t xml:space="preserve"> Accion webpage</w:t>
      </w:r>
      <w:r w:rsidRPr="00F7515B" w:rsidR="002C4757">
        <w:t>; 2)</w:t>
      </w:r>
      <w:r w:rsidRPr="00F7515B" w:rsidR="00D3204E">
        <w:t xml:space="preserve"> IOU and CCA </w:t>
      </w:r>
      <w:proofErr w:type="spellStart"/>
      <w:r w:rsidRPr="00F7515B" w:rsidR="00D3204E">
        <w:t>BioMAT</w:t>
      </w:r>
      <w:proofErr w:type="spellEnd"/>
      <w:r w:rsidRPr="00F7515B" w:rsidR="00D3204E">
        <w:t xml:space="preserve"> Accion webpages shall provide CCA </w:t>
      </w:r>
      <w:proofErr w:type="spellStart"/>
      <w:r w:rsidRPr="00F7515B" w:rsidR="00D3204E">
        <w:t>BioMAT</w:t>
      </w:r>
      <w:proofErr w:type="spellEnd"/>
      <w:r w:rsidRPr="00F7515B" w:rsidR="00D3204E">
        <w:t xml:space="preserve"> participants with access to a central </w:t>
      </w:r>
      <w:proofErr w:type="spellStart"/>
      <w:r w:rsidRPr="00F7515B" w:rsidR="00D3204E">
        <w:t>BioMAT</w:t>
      </w:r>
      <w:proofErr w:type="spellEnd"/>
      <w:r w:rsidRPr="00F7515B" w:rsidR="00D3204E">
        <w:t xml:space="preserve"> Accion webpage</w:t>
      </w:r>
      <w:r w:rsidRPr="00F7515B" w:rsidR="006A6771">
        <w:t>; 3)</w:t>
      </w:r>
      <w:r w:rsidRPr="00F7515B" w:rsidR="00D3204E">
        <w:t xml:space="preserve"> Each participating CCA shall solicit contract terms with Accion within 60 days after the effective date of</w:t>
      </w:r>
      <w:r w:rsidRPr="00F7515B">
        <w:t xml:space="preserve"> D.23-11-084</w:t>
      </w:r>
      <w:r w:rsidRPr="00F7515B" w:rsidR="006F0519">
        <w:t xml:space="preserve">; </w:t>
      </w:r>
      <w:r w:rsidRPr="00F7515B" w:rsidR="006F0519">
        <w:lastRenderedPageBreak/>
        <w:t>and 4)</w:t>
      </w:r>
      <w:r w:rsidRPr="00F7515B" w:rsidR="00D3204E">
        <w:t xml:space="preserve"> Each participating CCA shall also contract directly with Accion to develop their webpages.</w:t>
      </w:r>
    </w:p>
    <w:p w:rsidRPr="00F7515B" w:rsidR="005D40D5" w:rsidP="00EE5AED" w:rsidRDefault="00D3204E" w14:paraId="35CC978F" w14:textId="3069E44A">
      <w:pPr>
        <w:pStyle w:val="FoF"/>
      </w:pPr>
      <w:proofErr w:type="spellStart"/>
      <w:r w:rsidRPr="00F7515B">
        <w:t>CalCCA</w:t>
      </w:r>
      <w:proofErr w:type="spellEnd"/>
      <w:r w:rsidRPr="00F7515B">
        <w:t xml:space="preserve">, representing the participating CCAs, and the IOUs selected Accion to perform the website and portal development services, and the </w:t>
      </w:r>
      <w:proofErr w:type="spellStart"/>
      <w:r w:rsidRPr="00F7515B">
        <w:t>BioMAT</w:t>
      </w:r>
      <w:proofErr w:type="spellEnd"/>
      <w:r w:rsidRPr="00F7515B">
        <w:t xml:space="preserve"> program third party administration services</w:t>
      </w:r>
      <w:r w:rsidRPr="00F7515B" w:rsidR="00D71436">
        <w:t>, as</w:t>
      </w:r>
      <w:r w:rsidRPr="00F7515B">
        <w:t xml:space="preserve"> required by D</w:t>
      </w:r>
      <w:r w:rsidR="00830166">
        <w:t>.</w:t>
      </w:r>
      <w:r w:rsidRPr="00F7515B">
        <w:t>23-11-084, O</w:t>
      </w:r>
      <w:r w:rsidR="00A9395B">
        <w:t xml:space="preserve">rdering </w:t>
      </w:r>
      <w:r w:rsidRPr="00F7515B">
        <w:t>P</w:t>
      </w:r>
      <w:r w:rsidR="00A9395B">
        <w:t>aragraph</w:t>
      </w:r>
      <w:r w:rsidRPr="00F7515B">
        <w:t xml:space="preserve"> 3.</w:t>
      </w:r>
    </w:p>
    <w:p w:rsidRPr="00F7515B" w:rsidR="005D40D5" w:rsidP="00EE5AED" w:rsidRDefault="00D3204E" w14:paraId="10F8C1FE" w14:textId="221840DE">
      <w:pPr>
        <w:pStyle w:val="FoF"/>
      </w:pPr>
      <w:r w:rsidRPr="00F7515B">
        <w:t>D</w:t>
      </w:r>
      <w:r w:rsidR="00AD452E">
        <w:t>.</w:t>
      </w:r>
      <w:r w:rsidRPr="00F7515B">
        <w:t xml:space="preserve">23-11-084 </w:t>
      </w:r>
      <w:r w:rsidRPr="00F7515B" w:rsidR="00A9395B">
        <w:t>O</w:t>
      </w:r>
      <w:r w:rsidR="00D41B52">
        <w:t>P</w:t>
      </w:r>
      <w:r w:rsidRPr="00F7515B" w:rsidR="00A9395B">
        <w:t xml:space="preserve"> </w:t>
      </w:r>
      <w:r w:rsidRPr="00F7515B">
        <w:t>5 provided</w:t>
      </w:r>
      <w:r w:rsidRPr="00F7515B" w:rsidR="009A27DA">
        <w:t>: 1)</w:t>
      </w:r>
      <w:r w:rsidRPr="00F7515B">
        <w:t xml:space="preserve"> CCAs that elect to participate in the </w:t>
      </w:r>
      <w:proofErr w:type="spellStart"/>
      <w:r w:rsidRPr="00F7515B">
        <w:t>BioMAT</w:t>
      </w:r>
      <w:proofErr w:type="spellEnd"/>
      <w:r w:rsidRPr="00F7515B">
        <w:t xml:space="preserve"> program shall be represented by </w:t>
      </w:r>
      <w:proofErr w:type="spellStart"/>
      <w:r w:rsidRPr="00F7515B">
        <w:t>CalCCA</w:t>
      </w:r>
      <w:proofErr w:type="spellEnd"/>
      <w:r w:rsidRPr="00F7515B">
        <w:t xml:space="preserve"> to consult with the Joint IOUs to solicit contract terms to hire an independent third party that shall administer the </w:t>
      </w:r>
      <w:proofErr w:type="spellStart"/>
      <w:r w:rsidRPr="00F7515B">
        <w:t>BioMAT</w:t>
      </w:r>
      <w:proofErr w:type="spellEnd"/>
      <w:r w:rsidRPr="00F7515B">
        <w:t xml:space="preserve"> project pricing and the contract award determination process</w:t>
      </w:r>
      <w:r w:rsidRPr="00F7515B">
        <w:rPr>
          <w:rFonts w:ascii="BBBUHG+TimesNewRomanPSMT" w:hAnsi="BBBUHG+TimesNewRomanPSMT" w:cs="BBBUHG+TimesNewRomanPSMT"/>
          <w:color w:val="000000"/>
          <w:sz w:val="23"/>
          <w:szCs w:val="23"/>
        </w:rPr>
        <w:t xml:space="preserve"> </w:t>
      </w:r>
      <w:r w:rsidRPr="00F7515B">
        <w:t>within 60 days of the effective date of this decision</w:t>
      </w:r>
      <w:r w:rsidRPr="00F7515B" w:rsidR="009A27DA">
        <w:t xml:space="preserve">; </w:t>
      </w:r>
      <w:r w:rsidR="00950115">
        <w:br/>
      </w:r>
      <w:r w:rsidRPr="00F7515B" w:rsidR="009A27DA">
        <w:t>2)</w:t>
      </w:r>
      <w:r w:rsidRPr="00F7515B">
        <w:t xml:space="preserve"> Each participating CCA shall also contract directly with the third-party administrator to support integration of such services with their individual webpages</w:t>
      </w:r>
      <w:r w:rsidRPr="00F7515B" w:rsidR="009A27DA">
        <w:t>; 3)</w:t>
      </w:r>
      <w:r w:rsidRPr="00F7515B">
        <w:t xml:space="preserve"> The pricing and contract award determination process shall include management of merged fuel category procurement project queues, and tracking of PPA awards and executions</w:t>
      </w:r>
      <w:r w:rsidRPr="00F7515B" w:rsidR="00965D73">
        <w:t>; and 4)</w:t>
      </w:r>
      <w:r w:rsidRPr="00F7515B">
        <w:t xml:space="preserve"> Vendor costs associated with the provision of these services are eligible for recovery against IOU-managed Public Purpose Program charges.</w:t>
      </w:r>
    </w:p>
    <w:p w:rsidR="00F7515B" w:rsidP="00EE5AED" w:rsidRDefault="00326DB9" w14:paraId="13F968AC" w14:textId="69B1B02E">
      <w:pPr>
        <w:pStyle w:val="FoF"/>
      </w:pPr>
      <w:r w:rsidRPr="00F7515B">
        <w:t>Consistent with D</w:t>
      </w:r>
      <w:r w:rsidR="00F323B1">
        <w:t>.</w:t>
      </w:r>
      <w:r w:rsidRPr="00F7515B">
        <w:t xml:space="preserve">23-11-084 </w:t>
      </w:r>
      <w:r w:rsidRPr="00F7515B" w:rsidR="00A9395B">
        <w:t>O</w:t>
      </w:r>
      <w:r w:rsidR="00D41B52">
        <w:t>P</w:t>
      </w:r>
      <w:r w:rsidRPr="00F7515B" w:rsidR="00A9395B">
        <w:t xml:space="preserve"> </w:t>
      </w:r>
      <w:r w:rsidRPr="00F7515B">
        <w:t xml:space="preserve">5, </w:t>
      </w:r>
      <w:r w:rsidRPr="00F7515B" w:rsidR="00FA06A2">
        <w:t>3CE entered into an agreement with Accion</w:t>
      </w:r>
      <w:r w:rsidRPr="00F7515B" w:rsidR="00875C02">
        <w:t>, which</w:t>
      </w:r>
      <w:r w:rsidRPr="00F7515B" w:rsidR="00FA06A2">
        <w:t xml:space="preserve"> recognized D.23-11-084 required “the CCAs and </w:t>
      </w:r>
      <w:proofErr w:type="gramStart"/>
      <w:r w:rsidRPr="00F7515B" w:rsidR="00FA06A2">
        <w:t>IOU’s</w:t>
      </w:r>
      <w:proofErr w:type="gramEnd"/>
      <w:r w:rsidRPr="00F7515B" w:rsidR="00FA06A2">
        <w:t xml:space="preserve"> to hire an independent third-party administrator TP</w:t>
      </w:r>
      <w:r w:rsidR="00D41B52">
        <w:t>A</w:t>
      </w:r>
      <w:r w:rsidRPr="00F7515B" w:rsidR="00FA06A2">
        <w:t xml:space="preserve"> for the </w:t>
      </w:r>
      <w:proofErr w:type="spellStart"/>
      <w:r w:rsidRPr="00F7515B" w:rsidR="00FA06A2">
        <w:t>BioMAT</w:t>
      </w:r>
      <w:proofErr w:type="spellEnd"/>
      <w:r w:rsidRPr="00F7515B" w:rsidR="00FA06A2">
        <w:t xml:space="preserve"> project pricing and contract award determination process…”.  </w:t>
      </w:r>
    </w:p>
    <w:p w:rsidRPr="00F7515B" w:rsidR="005D40D5" w:rsidP="00EE5AED" w:rsidRDefault="00D3204E" w14:paraId="7AEB2CB6" w14:textId="60F703B4">
      <w:pPr>
        <w:pStyle w:val="FoF"/>
      </w:pPr>
      <w:r w:rsidRPr="00F7515B">
        <w:t>Consistent with D</w:t>
      </w:r>
      <w:r w:rsidR="00CB71D6">
        <w:t>.</w:t>
      </w:r>
      <w:r w:rsidRPr="00F7515B">
        <w:t xml:space="preserve">23-11-084 </w:t>
      </w:r>
      <w:r w:rsidRPr="00F7515B" w:rsidR="00A9395B">
        <w:t>O</w:t>
      </w:r>
      <w:r w:rsidR="00D41B52">
        <w:t>P</w:t>
      </w:r>
      <w:r w:rsidRPr="00F7515B" w:rsidR="00A9395B">
        <w:t xml:space="preserve"> </w:t>
      </w:r>
      <w:r w:rsidRPr="00F7515B">
        <w:t>5, 3CE entered into an agreement with Accion to determine pricing and contract award determinations</w:t>
      </w:r>
      <w:r w:rsidRPr="0045467C">
        <w:t xml:space="preserve"> of merged fuel category procurement project queues.</w:t>
      </w:r>
    </w:p>
    <w:p w:rsidR="0023718D" w:rsidP="00EE5AED" w:rsidRDefault="00D3204E" w14:paraId="5C130C4A" w14:textId="210168D6">
      <w:pPr>
        <w:pStyle w:val="FoF"/>
      </w:pPr>
      <w:r w:rsidRPr="00F7515B">
        <w:lastRenderedPageBreak/>
        <w:t>Consistent with D</w:t>
      </w:r>
      <w:r w:rsidR="00CB71D6">
        <w:t>.</w:t>
      </w:r>
      <w:r w:rsidRPr="00F7515B">
        <w:t xml:space="preserve">23-11-084, </w:t>
      </w:r>
      <w:r w:rsidRPr="00F7515B" w:rsidR="00A9395B">
        <w:t>O</w:t>
      </w:r>
      <w:r w:rsidR="00D41B52">
        <w:t>P</w:t>
      </w:r>
      <w:r w:rsidRPr="00F7515B" w:rsidR="00A9395B">
        <w:t xml:space="preserve"> </w:t>
      </w:r>
      <w:r w:rsidRPr="00F7515B">
        <w:t xml:space="preserve">5, 3CE entered into an agreement with Accion as a </w:t>
      </w:r>
      <w:r w:rsidRPr="00F7515B" w:rsidR="005E797C">
        <w:t>third-party</w:t>
      </w:r>
      <w:r w:rsidRPr="00F7515B">
        <w:t xml:space="preserve"> administrator to support integration of CCAs’ individual webpages.</w:t>
      </w:r>
      <w:r w:rsidRPr="00961736">
        <w:t xml:space="preserve">  </w:t>
      </w:r>
    </w:p>
    <w:p w:rsidR="00F4479D" w:rsidP="00EE5AED" w:rsidRDefault="00D3204E" w14:paraId="7A449BF3" w14:textId="7DF335E4">
      <w:pPr>
        <w:pStyle w:val="FoF"/>
      </w:pPr>
      <w:r>
        <w:t>D</w:t>
      </w:r>
      <w:r w:rsidR="00CB71D6">
        <w:t>.</w:t>
      </w:r>
      <w:r>
        <w:t xml:space="preserve">23-11-084 </w:t>
      </w:r>
      <w:r w:rsidRPr="00F7515B" w:rsidR="00A9395B">
        <w:t>O</w:t>
      </w:r>
      <w:r w:rsidR="00D41B52">
        <w:t>P</w:t>
      </w:r>
      <w:r w:rsidRPr="00F7515B" w:rsidR="00A9395B">
        <w:t xml:space="preserve"> </w:t>
      </w:r>
      <w:r>
        <w:t>6 ordered in part that</w:t>
      </w:r>
      <w:r w:rsidRPr="0035671B">
        <w:t xml:space="preserve"> CCAs shall submit a Joint CCA </w:t>
      </w:r>
      <w:proofErr w:type="spellStart"/>
      <w:r w:rsidRPr="0035671B">
        <w:t>BioMAT</w:t>
      </w:r>
      <w:proofErr w:type="spellEnd"/>
      <w:r w:rsidRPr="0035671B">
        <w:t xml:space="preserve"> Implementation Tier 2 A</w:t>
      </w:r>
      <w:r w:rsidR="00D41B52">
        <w:t xml:space="preserve">dvice </w:t>
      </w:r>
      <w:r w:rsidRPr="0035671B">
        <w:t>L</w:t>
      </w:r>
      <w:r w:rsidR="00D41B52">
        <w:t>etter</w:t>
      </w:r>
      <w:r w:rsidRPr="0035671B">
        <w:t xml:space="preserve"> to request Commission approval of standard CCA </w:t>
      </w:r>
      <w:proofErr w:type="spellStart"/>
      <w:r w:rsidRPr="0035671B">
        <w:t>BioMAT</w:t>
      </w:r>
      <w:proofErr w:type="spellEnd"/>
      <w:r w:rsidRPr="0035671B">
        <w:t xml:space="preserve"> program documentation including tariffs, a PPA, PPR forms, </w:t>
      </w:r>
      <w:proofErr w:type="spellStart"/>
      <w:r w:rsidRPr="0035671B">
        <w:t>BioMAT</w:t>
      </w:r>
      <w:proofErr w:type="spellEnd"/>
      <w:r w:rsidRPr="0035671B">
        <w:t xml:space="preserve"> program website and portal development contracts, independent third-party contracts, initial balancing account statements, and NBC rate schedules within 60 days of the effective date of this decision. CCAs shall include a redline version of the CCAs’ proposed tariffs that </w:t>
      </w:r>
      <w:proofErr w:type="gramStart"/>
      <w:r w:rsidRPr="0035671B">
        <w:t>compares</w:t>
      </w:r>
      <w:proofErr w:type="gramEnd"/>
      <w:r w:rsidRPr="0035671B">
        <w:t xml:space="preserve"> them with the IOUs’ tariffs (as proposed to be modified by the IOUs to implement this decision).</w:t>
      </w:r>
    </w:p>
    <w:p w:rsidR="005D40D5" w:rsidP="00EE5AED" w:rsidRDefault="00D3204E" w14:paraId="3914300C" w14:textId="3DFF0D77">
      <w:pPr>
        <w:pStyle w:val="FoF"/>
      </w:pPr>
      <w:r>
        <w:t xml:space="preserve">On January 29, 2024, </w:t>
      </w:r>
      <w:proofErr w:type="spellStart"/>
      <w:r>
        <w:t>CalCCA</w:t>
      </w:r>
      <w:proofErr w:type="spellEnd"/>
      <w:r>
        <w:t xml:space="preserve"> submitted a Joint Advice Letter on behalf of 3CE</w:t>
      </w:r>
      <w:r w:rsidR="002319CB">
        <w:t>, including 3CE Advice Letter 36-E,</w:t>
      </w:r>
      <w:r>
        <w:t xml:space="preserve"> that requested approval of the standard program documentation required by D</w:t>
      </w:r>
      <w:r w:rsidR="00A9395B">
        <w:t>.</w:t>
      </w:r>
      <w:r>
        <w:t xml:space="preserve">23-11-084 to allow CCA participation in the </w:t>
      </w:r>
      <w:proofErr w:type="spellStart"/>
      <w:r>
        <w:t>BioMAT</w:t>
      </w:r>
      <w:proofErr w:type="spellEnd"/>
      <w:r>
        <w:t xml:space="preserve"> program.</w:t>
      </w:r>
    </w:p>
    <w:p w:rsidR="005D40D5" w:rsidP="00EE5AED" w:rsidRDefault="00D3204E" w14:paraId="6A1B3385" w14:textId="1BFB82C1">
      <w:pPr>
        <w:pStyle w:val="FoF"/>
      </w:pPr>
      <w:r>
        <w:t xml:space="preserve">On April 29, 2024, the Commission’s Energy Division </w:t>
      </w:r>
      <w:r w:rsidR="00FB748F">
        <w:t xml:space="preserve">approved </w:t>
      </w:r>
      <w:r>
        <w:t>the Joint Advice Letters, including 3CE</w:t>
      </w:r>
      <w:r w:rsidR="000F05AA">
        <w:t xml:space="preserve"> Advice Letter 36-E</w:t>
      </w:r>
      <w:r>
        <w:t>,</w:t>
      </w:r>
      <w:r w:rsidR="00FB748F">
        <w:t xml:space="preserve"> and determined that these Joint Advice Letters</w:t>
      </w:r>
      <w:r>
        <w:t xml:space="preserve"> w</w:t>
      </w:r>
      <w:r w:rsidR="004765B8">
        <w:t>ere</w:t>
      </w:r>
      <w:r>
        <w:t xml:space="preserve"> consistent with D</w:t>
      </w:r>
      <w:r w:rsidR="00D63755">
        <w:t>.</w:t>
      </w:r>
      <w:r>
        <w:t xml:space="preserve">23-11-084, </w:t>
      </w:r>
      <w:r w:rsidRPr="00F7515B" w:rsidR="00A9395B">
        <w:t>O</w:t>
      </w:r>
      <w:r w:rsidR="00A9395B">
        <w:t xml:space="preserve">rdering </w:t>
      </w:r>
      <w:r w:rsidRPr="00F7515B" w:rsidR="00A9395B">
        <w:t>P</w:t>
      </w:r>
      <w:r w:rsidR="00A9395B">
        <w:t>aragraph</w:t>
      </w:r>
      <w:r w:rsidRPr="00F7515B" w:rsidR="00A9395B">
        <w:t xml:space="preserve"> </w:t>
      </w:r>
      <w:r>
        <w:t>6.</w:t>
      </w:r>
    </w:p>
    <w:p w:rsidR="000123C1" w:rsidP="00EE5AED" w:rsidRDefault="000123C1" w14:paraId="68C81EBD" w14:textId="78B97FE0">
      <w:pPr>
        <w:pStyle w:val="FoF"/>
      </w:pPr>
      <w:r>
        <w:t>D</w:t>
      </w:r>
      <w:r w:rsidR="00D63755">
        <w:t>.</w:t>
      </w:r>
      <w:r>
        <w:t>23-11-084</w:t>
      </w:r>
      <w:r w:rsidR="00E65155">
        <w:t xml:space="preserve">, </w:t>
      </w:r>
      <w:r w:rsidRPr="00F7515B" w:rsidR="00A9395B">
        <w:t>O</w:t>
      </w:r>
      <w:r w:rsidR="00D41B52">
        <w:t>P</w:t>
      </w:r>
      <w:r w:rsidRPr="00F7515B" w:rsidR="00A9395B">
        <w:t xml:space="preserve"> </w:t>
      </w:r>
      <w:r w:rsidR="00E65155">
        <w:t xml:space="preserve">12 ordered that each CCA that elects to participate in the </w:t>
      </w:r>
      <w:proofErr w:type="spellStart"/>
      <w:r w:rsidR="00E65155">
        <w:t>BioMAT</w:t>
      </w:r>
      <w:proofErr w:type="spellEnd"/>
      <w:r w:rsidR="00E65155">
        <w:t xml:space="preserve"> program shall submit a Tier 3 Advice Letter that seeks Commission approval of eligible </w:t>
      </w:r>
      <w:proofErr w:type="spellStart"/>
      <w:r w:rsidR="00E65155">
        <w:t>BioMAT</w:t>
      </w:r>
      <w:proofErr w:type="spellEnd"/>
      <w:r w:rsidR="00E65155">
        <w:t xml:space="preserve"> forecasted revenue requirements recorded in CCA balancing accounts that reflect </w:t>
      </w:r>
      <w:proofErr w:type="spellStart"/>
      <w:r w:rsidR="00E65155">
        <w:t>BioMAT</w:t>
      </w:r>
      <w:proofErr w:type="spellEnd"/>
      <w:r w:rsidR="00E65155">
        <w:t xml:space="preserve"> program net costs.</w:t>
      </w:r>
    </w:p>
    <w:p w:rsidR="00961736" w:rsidP="00EE5AED" w:rsidRDefault="00310D15" w14:paraId="73CE81B8" w14:textId="5F43C2CF">
      <w:pPr>
        <w:pStyle w:val="FoF"/>
      </w:pPr>
      <w:r>
        <w:t>Consistent with D</w:t>
      </w:r>
      <w:r w:rsidR="00D63755">
        <w:t>.</w:t>
      </w:r>
      <w:r>
        <w:t xml:space="preserve">23-11-084, </w:t>
      </w:r>
      <w:r w:rsidRPr="00F7515B" w:rsidR="00A9395B">
        <w:t>O</w:t>
      </w:r>
      <w:r w:rsidR="00D41B52">
        <w:t>P</w:t>
      </w:r>
      <w:r w:rsidRPr="00F7515B" w:rsidR="00A9395B">
        <w:t xml:space="preserve"> </w:t>
      </w:r>
      <w:r>
        <w:t>12, o</w:t>
      </w:r>
      <w:r w:rsidR="00387516">
        <w:t xml:space="preserve">n June </w:t>
      </w:r>
      <w:r w:rsidRPr="00961736" w:rsidR="00387516">
        <w:t xml:space="preserve">20, 2024, the Commission issued a resolution that </w:t>
      </w:r>
      <w:r w:rsidR="002219CC">
        <w:t>approved</w:t>
      </w:r>
      <w:r w:rsidRPr="00961736" w:rsidR="00387516">
        <w:t xml:space="preserve"> </w:t>
      </w:r>
      <w:r w:rsidR="00AC3BA2">
        <w:t xml:space="preserve">3CE’s </w:t>
      </w:r>
      <w:r w:rsidRPr="00961736" w:rsidR="00387516">
        <w:t xml:space="preserve">Advice Letter </w:t>
      </w:r>
      <w:r w:rsidR="00AC3BA2">
        <w:t>37-E</w:t>
      </w:r>
      <w:r w:rsidRPr="00961736" w:rsidR="00387516">
        <w:t xml:space="preserve">, and </w:t>
      </w:r>
      <w:r w:rsidRPr="00961736" w:rsidR="00C328BB">
        <w:t>approved</w:t>
      </w:r>
      <w:r w:rsidRPr="00961736" w:rsidR="00387516">
        <w:t xml:space="preserve"> 3CE</w:t>
      </w:r>
      <w:r w:rsidRPr="00961736" w:rsidR="00C328BB">
        <w:t xml:space="preserve">’s forecast of zero </w:t>
      </w:r>
      <w:proofErr w:type="spellStart"/>
      <w:r w:rsidRPr="00961736" w:rsidR="00C328BB">
        <w:t>BioMAT</w:t>
      </w:r>
      <w:proofErr w:type="spellEnd"/>
      <w:r w:rsidRPr="00961736" w:rsidR="00C328BB">
        <w:t xml:space="preserve"> program costs f</w:t>
      </w:r>
      <w:r w:rsidRPr="00961736" w:rsidR="00FF2BBE">
        <w:t>or 2024 and 2025.</w:t>
      </w:r>
      <w:r w:rsidRPr="00961736" w:rsidR="00C328BB">
        <w:t xml:space="preserve"> </w:t>
      </w:r>
    </w:p>
    <w:p w:rsidRPr="00961736" w:rsidR="009111B5" w:rsidP="00EE5AED" w:rsidRDefault="009111B5" w14:paraId="589C0347" w14:textId="39510235">
      <w:pPr>
        <w:pStyle w:val="FoF"/>
      </w:pPr>
      <w:r w:rsidRPr="00961736">
        <w:lastRenderedPageBreak/>
        <w:t>As a matter of practice, 3CE stores PPA’s, tracks contract milestones</w:t>
      </w:r>
      <w:r>
        <w:t xml:space="preserve"> and deadlines, reviews documentation, and ensures that the PPA counterparty continues to meet eligibility criteria and terms of the </w:t>
      </w:r>
      <w:proofErr w:type="spellStart"/>
      <w:r>
        <w:t>BioMAT</w:t>
      </w:r>
      <w:proofErr w:type="spellEnd"/>
      <w:r>
        <w:t xml:space="preserve"> PPA.</w:t>
      </w:r>
    </w:p>
    <w:p w:rsidR="005D40D5" w:rsidP="00EE5AED" w:rsidRDefault="00D3204E" w14:paraId="2027E745" w14:textId="033DC652">
      <w:pPr>
        <w:pStyle w:val="FoF"/>
      </w:pPr>
      <w:r>
        <w:t xml:space="preserve">As a matter of practice, </w:t>
      </w:r>
      <w:r w:rsidR="00D63755">
        <w:t>3CE</w:t>
      </w:r>
      <w:r>
        <w:t xml:space="preserve"> stores PPAs, tracks contract milestones, reviews documentation, and ensures that the PPA counterparty continues to meet eligibility criteria and terms of the </w:t>
      </w:r>
      <w:proofErr w:type="spellStart"/>
      <w:r>
        <w:t>BioMAT</w:t>
      </w:r>
      <w:proofErr w:type="spellEnd"/>
      <w:r>
        <w:t xml:space="preserve"> PPA.</w:t>
      </w:r>
    </w:p>
    <w:p w:rsidR="005D40D5" w:rsidP="00EE5AED" w:rsidRDefault="00D63755" w14:paraId="5F633C58" w14:textId="706BE810">
      <w:pPr>
        <w:pStyle w:val="FoF"/>
      </w:pPr>
      <w:r>
        <w:t>3CE</w:t>
      </w:r>
      <w:r w:rsidR="00D3204E">
        <w:t xml:space="preserve"> has engaged in ongoing communications with TRE to ensure TRE is aware of ongoing requirements set by the PPA.</w:t>
      </w:r>
    </w:p>
    <w:p w:rsidR="005D40D5" w:rsidP="00EE5AED" w:rsidRDefault="00D63755" w14:paraId="2AE4A258" w14:textId="1164DE7B">
      <w:pPr>
        <w:pStyle w:val="FoF"/>
      </w:pPr>
      <w:r>
        <w:t>3CE</w:t>
      </w:r>
      <w:r w:rsidR="00D3204E">
        <w:t xml:space="preserve"> represents it will engage in quarterly meetings with TRE to monitor TRE’s progress toward the remaining PPA milestones and adherence toward the PPA requirements.</w:t>
      </w:r>
    </w:p>
    <w:p w:rsidR="005D40D5" w:rsidP="00EE5AED" w:rsidRDefault="00D63755" w14:paraId="23B2517C" w14:textId="65B7BCFE">
      <w:pPr>
        <w:pStyle w:val="FoF"/>
      </w:pPr>
      <w:r>
        <w:t>3CE</w:t>
      </w:r>
      <w:r w:rsidR="00D3204E">
        <w:t xml:space="preserve"> represents in future applications related to the instant one, it will report on its ongoing review of its </w:t>
      </w:r>
      <w:proofErr w:type="spellStart"/>
      <w:r w:rsidR="00D3204E">
        <w:t>BioMAT</w:t>
      </w:r>
      <w:proofErr w:type="spellEnd"/>
      <w:r w:rsidR="00D3204E">
        <w:t xml:space="preserve"> project’s milestones.</w:t>
      </w:r>
    </w:p>
    <w:p w:rsidR="005939A5" w:rsidP="005939A5" w:rsidRDefault="005939A5" w14:paraId="496DED65" w14:textId="69C9AB90">
      <w:pPr>
        <w:pStyle w:val="Dummy"/>
      </w:pPr>
      <w:bookmarkStart w:name="_Toc8123726" w:id="36"/>
      <w:bookmarkStart w:name="_Toc233277302" w:id="37"/>
      <w:r>
        <w:t>Conclusions of Law</w:t>
      </w:r>
      <w:bookmarkEnd w:id="36"/>
      <w:bookmarkEnd w:id="37"/>
    </w:p>
    <w:p w:rsidR="00C3261C" w:rsidP="00EE5AED" w:rsidRDefault="00D63755" w14:paraId="73CAF539" w14:textId="2A794819">
      <w:pPr>
        <w:pStyle w:val="CoL"/>
      </w:pPr>
      <w:r>
        <w:t>3CE</w:t>
      </w:r>
      <w:r w:rsidR="00D405DF">
        <w:t xml:space="preserve">’s administration of the </w:t>
      </w:r>
      <w:proofErr w:type="spellStart"/>
      <w:r w:rsidR="00D405DF">
        <w:t>Bio</w:t>
      </w:r>
      <w:r w:rsidR="0031078B">
        <w:t>MAT</w:t>
      </w:r>
      <w:proofErr w:type="spellEnd"/>
      <w:r w:rsidR="0031078B">
        <w:t xml:space="preserve"> program, during the Record Period, including implementation of policies, practices, and procedures described in the Application and supporting testimony, </w:t>
      </w:r>
      <w:r w:rsidR="00901776">
        <w:t>complied with the Commission’s program requirements, as provided in D</w:t>
      </w:r>
      <w:r w:rsidR="003309B6">
        <w:t>.</w:t>
      </w:r>
      <w:r w:rsidR="00901776">
        <w:t xml:space="preserve">23-11-084.  </w:t>
      </w:r>
    </w:p>
    <w:p w:rsidR="003E1926" w:rsidP="00EE5AED" w:rsidRDefault="003309B6" w14:paraId="1E31A94C" w14:textId="09CF9ED5">
      <w:pPr>
        <w:pStyle w:val="CoL"/>
      </w:pPr>
      <w:r>
        <w:t>3CE</w:t>
      </w:r>
      <w:r w:rsidR="00901776">
        <w:t xml:space="preserve">’s </w:t>
      </w:r>
      <w:r w:rsidR="00834714">
        <w:t xml:space="preserve">administration of the </w:t>
      </w:r>
      <w:proofErr w:type="spellStart"/>
      <w:r w:rsidR="00834714">
        <w:t>BioMAT</w:t>
      </w:r>
      <w:proofErr w:type="spellEnd"/>
      <w:r w:rsidR="00834714">
        <w:t xml:space="preserve"> program during the </w:t>
      </w:r>
      <w:r w:rsidR="003214C8">
        <w:t>r</w:t>
      </w:r>
      <w:r w:rsidR="00834714">
        <w:t xml:space="preserve">ecord </w:t>
      </w:r>
      <w:r w:rsidR="003214C8">
        <w:t>p</w:t>
      </w:r>
      <w:r w:rsidR="00834714">
        <w:t xml:space="preserve">eriod </w:t>
      </w:r>
      <w:r w:rsidR="002C0E3B">
        <w:t>c</w:t>
      </w:r>
      <w:r w:rsidR="00834714">
        <w:t>ompli</w:t>
      </w:r>
      <w:r w:rsidR="00A04E91">
        <w:t>ed</w:t>
      </w:r>
      <w:r w:rsidR="00834714">
        <w:t xml:space="preserve"> with the Commission’s prudent manager standard.  </w:t>
      </w:r>
    </w:p>
    <w:p w:rsidR="003E1926" w:rsidP="00EE5AED" w:rsidRDefault="003309B6" w14:paraId="1AEE4A48" w14:textId="66F16A52">
      <w:pPr>
        <w:pStyle w:val="CoL"/>
      </w:pPr>
      <w:r>
        <w:t>3CE</w:t>
      </w:r>
      <w:r w:rsidR="00C3261C">
        <w:t xml:space="preserve"> complied with D</w:t>
      </w:r>
      <w:r>
        <w:t>.</w:t>
      </w:r>
      <w:r w:rsidR="00C3261C">
        <w:t xml:space="preserve">23-11-084 </w:t>
      </w:r>
      <w:r w:rsidRPr="00F7515B" w:rsidR="00A9395B">
        <w:t>O</w:t>
      </w:r>
      <w:r w:rsidR="00D41B52">
        <w:t>P</w:t>
      </w:r>
      <w:r w:rsidRPr="00F7515B" w:rsidR="00A9395B">
        <w:t xml:space="preserve"> </w:t>
      </w:r>
      <w:r w:rsidR="00C3261C">
        <w:t xml:space="preserve">2 </w:t>
      </w:r>
      <w:r w:rsidR="006814B0">
        <w:t xml:space="preserve">during the record period </w:t>
      </w:r>
      <w:r w:rsidR="00A34B70">
        <w:t xml:space="preserve">because it </w:t>
      </w:r>
      <w:r w:rsidR="008310B4">
        <w:t>developed</w:t>
      </w:r>
      <w:r w:rsidR="00D319B6">
        <w:t xml:space="preserve"> </w:t>
      </w:r>
      <w:proofErr w:type="spellStart"/>
      <w:r w:rsidR="00D319B6">
        <w:t>BioMAT</w:t>
      </w:r>
      <w:proofErr w:type="spellEnd"/>
      <w:r w:rsidR="00D319B6">
        <w:t xml:space="preserve"> standard program documents, including</w:t>
      </w:r>
      <w:r w:rsidR="008310B4">
        <w:t xml:space="preserve"> program tariffs, a Power Purchase Agreement,</w:t>
      </w:r>
      <w:r w:rsidR="00363BFC">
        <w:t xml:space="preserve"> and </w:t>
      </w:r>
      <w:proofErr w:type="spellStart"/>
      <w:r w:rsidR="00363BFC">
        <w:t>BioMAT</w:t>
      </w:r>
      <w:proofErr w:type="spellEnd"/>
      <w:r w:rsidR="00363BFC">
        <w:t xml:space="preserve"> PPRs</w:t>
      </w:r>
      <w:r w:rsidR="00BD2500">
        <w:t xml:space="preserve"> </w:t>
      </w:r>
      <w:r w:rsidR="00C3261C">
        <w:t xml:space="preserve">during the </w:t>
      </w:r>
      <w:r w:rsidR="001E41D0">
        <w:t>r</w:t>
      </w:r>
      <w:r w:rsidR="00C3261C">
        <w:t xml:space="preserve">ecord </w:t>
      </w:r>
      <w:r w:rsidR="001E41D0">
        <w:t>p</w:t>
      </w:r>
      <w:r w:rsidR="00C3261C">
        <w:t>eriod.</w:t>
      </w:r>
    </w:p>
    <w:p w:rsidR="00D319B6" w:rsidP="00EE5AED" w:rsidRDefault="00363BFC" w14:paraId="2A4B8EE5" w14:textId="565D5F98">
      <w:pPr>
        <w:pStyle w:val="CoL"/>
      </w:pPr>
      <w:r>
        <w:t xml:space="preserve">It </w:t>
      </w:r>
      <w:r w:rsidR="00006163">
        <w:t>is not</w:t>
      </w:r>
      <w:r>
        <w:t xml:space="preserve"> </w:t>
      </w:r>
      <w:r w:rsidR="008709D8">
        <w:t xml:space="preserve">necessary for </w:t>
      </w:r>
      <w:r w:rsidR="003309B6">
        <w:t>3CE</w:t>
      </w:r>
      <w:r w:rsidR="008709D8">
        <w:t xml:space="preserve"> to maintain separate NBC rate schedules </w:t>
      </w:r>
      <w:proofErr w:type="gramStart"/>
      <w:r w:rsidR="008709D8">
        <w:t>in order to</w:t>
      </w:r>
      <w:proofErr w:type="gramEnd"/>
      <w:r w:rsidR="008709D8">
        <w:t xml:space="preserve"> comply with D</w:t>
      </w:r>
      <w:r w:rsidR="003309B6">
        <w:t>.</w:t>
      </w:r>
      <w:r w:rsidR="008709D8">
        <w:t xml:space="preserve">23-11-084 </w:t>
      </w:r>
      <w:r w:rsidRPr="00F7515B" w:rsidR="00A9395B">
        <w:t>O</w:t>
      </w:r>
      <w:r w:rsidR="00D41B52">
        <w:t>P</w:t>
      </w:r>
      <w:r w:rsidRPr="00F7515B" w:rsidR="00A9395B">
        <w:t xml:space="preserve"> </w:t>
      </w:r>
      <w:r w:rsidR="008709D8">
        <w:t>2.</w:t>
      </w:r>
    </w:p>
    <w:p w:rsidR="003E1926" w:rsidP="00EE5AED" w:rsidRDefault="003309B6" w14:paraId="2F87F189" w14:textId="62EB6781">
      <w:pPr>
        <w:pStyle w:val="CoL"/>
      </w:pPr>
      <w:r>
        <w:lastRenderedPageBreak/>
        <w:t>3CE</w:t>
      </w:r>
      <w:r w:rsidR="00C3261C">
        <w:t xml:space="preserve"> </w:t>
      </w:r>
      <w:r w:rsidR="00BB7232">
        <w:t>complied with D</w:t>
      </w:r>
      <w:r>
        <w:t>.</w:t>
      </w:r>
      <w:r w:rsidR="00BB7232">
        <w:t xml:space="preserve">23-11-084 </w:t>
      </w:r>
      <w:r w:rsidRPr="00F7515B" w:rsidR="00A9395B">
        <w:t>O</w:t>
      </w:r>
      <w:r w:rsidR="00D41B52">
        <w:t>P</w:t>
      </w:r>
      <w:r w:rsidRPr="00F7515B" w:rsidR="00A9395B">
        <w:t xml:space="preserve"> </w:t>
      </w:r>
      <w:r w:rsidR="00BB7232">
        <w:t xml:space="preserve">3 </w:t>
      </w:r>
      <w:r w:rsidR="006814B0">
        <w:t xml:space="preserve">during the record period </w:t>
      </w:r>
      <w:r w:rsidR="00BB7232">
        <w:t xml:space="preserve">because it </w:t>
      </w:r>
      <w:r w:rsidR="00FF341D">
        <w:t xml:space="preserve">solicited contract terms, developed </w:t>
      </w:r>
      <w:proofErr w:type="spellStart"/>
      <w:r w:rsidR="00FF341D">
        <w:t>BioMAT</w:t>
      </w:r>
      <w:proofErr w:type="spellEnd"/>
      <w:r w:rsidR="00FF341D">
        <w:t xml:space="preserve"> websites and portals, provided access to a central </w:t>
      </w:r>
      <w:proofErr w:type="spellStart"/>
      <w:r w:rsidR="00FF341D">
        <w:t>BioMAT</w:t>
      </w:r>
      <w:proofErr w:type="spellEnd"/>
      <w:r w:rsidR="00FF341D">
        <w:t xml:space="preserve"> webpage, and </w:t>
      </w:r>
      <w:r w:rsidR="00DE2459">
        <w:t xml:space="preserve">appropriately </w:t>
      </w:r>
      <w:r w:rsidR="00FF341D">
        <w:t xml:space="preserve">consulted with the </w:t>
      </w:r>
      <w:r>
        <w:t>IOU</w:t>
      </w:r>
      <w:r w:rsidR="00FF341D">
        <w:t>s and a third-party administrator</w:t>
      </w:r>
      <w:r w:rsidR="00C3261C">
        <w:t>.</w:t>
      </w:r>
    </w:p>
    <w:p w:rsidR="003E1926" w:rsidP="00EE5AED" w:rsidRDefault="003309B6" w14:paraId="38A22BB0" w14:textId="0DC76654">
      <w:pPr>
        <w:pStyle w:val="CoL"/>
      </w:pPr>
      <w:r>
        <w:t>3CE</w:t>
      </w:r>
      <w:r w:rsidR="00326747">
        <w:t xml:space="preserve"> </w:t>
      </w:r>
      <w:r w:rsidR="00BD2500">
        <w:t>complied with D</w:t>
      </w:r>
      <w:r>
        <w:t>.</w:t>
      </w:r>
      <w:r w:rsidR="00BD2500">
        <w:t xml:space="preserve">23-11-084 </w:t>
      </w:r>
      <w:r w:rsidRPr="00F7515B" w:rsidR="00A9395B">
        <w:t>O</w:t>
      </w:r>
      <w:r w:rsidR="00D41B52">
        <w:t>P</w:t>
      </w:r>
      <w:r w:rsidR="00023323">
        <w:t xml:space="preserve"> 5 </w:t>
      </w:r>
      <w:r w:rsidR="00532D55">
        <w:t xml:space="preserve">during the record period </w:t>
      </w:r>
      <w:r w:rsidR="00BD2500">
        <w:t xml:space="preserve">because </w:t>
      </w:r>
      <w:r w:rsidR="007A1B11">
        <w:t xml:space="preserve">it </w:t>
      </w:r>
      <w:r w:rsidR="0008791B">
        <w:t xml:space="preserve">consulted with the Joint </w:t>
      </w:r>
      <w:r>
        <w:t>IOU</w:t>
      </w:r>
      <w:r w:rsidR="007A1B11">
        <w:t>s</w:t>
      </w:r>
      <w:r w:rsidR="0008791B">
        <w:t xml:space="preserve"> to solicit contract terms to hire an independent third party </w:t>
      </w:r>
      <w:r w:rsidR="00642EFB">
        <w:t>that</w:t>
      </w:r>
      <w:r w:rsidR="00BD2500">
        <w:t xml:space="preserve"> </w:t>
      </w:r>
      <w:r w:rsidR="00326747">
        <w:t xml:space="preserve">administered </w:t>
      </w:r>
      <w:proofErr w:type="spellStart"/>
      <w:r w:rsidR="00326747">
        <w:t>BioMAT</w:t>
      </w:r>
      <w:proofErr w:type="spellEnd"/>
      <w:r w:rsidR="00326747">
        <w:t xml:space="preserve"> project pricing and contract award determination, and </w:t>
      </w:r>
      <w:r w:rsidR="00642EFB">
        <w:t xml:space="preserve">supported </w:t>
      </w:r>
      <w:r w:rsidR="00326747">
        <w:t>integrat</w:t>
      </w:r>
      <w:r w:rsidR="007A1B11">
        <w:t>ion</w:t>
      </w:r>
      <w:r w:rsidR="00326747">
        <w:t xml:space="preserve"> </w:t>
      </w:r>
      <w:r w:rsidR="00642EFB">
        <w:t xml:space="preserve">of </w:t>
      </w:r>
      <w:r w:rsidR="00326747">
        <w:t xml:space="preserve">such services on an individual webpage </w:t>
      </w:r>
      <w:r w:rsidR="00C3261C">
        <w:t xml:space="preserve">during the </w:t>
      </w:r>
      <w:r w:rsidR="001E41D0">
        <w:t>r</w:t>
      </w:r>
      <w:r w:rsidR="00C3261C">
        <w:t xml:space="preserve">ecord </w:t>
      </w:r>
      <w:r w:rsidR="001E41D0">
        <w:t>p</w:t>
      </w:r>
      <w:r w:rsidR="00C3261C">
        <w:t>eriod</w:t>
      </w:r>
      <w:r w:rsidR="003E1926">
        <w:t>.</w:t>
      </w:r>
    </w:p>
    <w:p w:rsidR="003E1926" w:rsidP="00EE5AED" w:rsidRDefault="003309B6" w14:paraId="738A5C03" w14:textId="40B64055">
      <w:pPr>
        <w:pStyle w:val="CoL"/>
      </w:pPr>
      <w:r>
        <w:t>3CE</w:t>
      </w:r>
      <w:r w:rsidR="00C3261C">
        <w:t xml:space="preserve"> complied with the requirements set by the Commission </w:t>
      </w:r>
      <w:proofErr w:type="gramStart"/>
      <w:r w:rsidR="00C3261C">
        <w:t>in</w:t>
      </w:r>
      <w:proofErr w:type="gramEnd"/>
      <w:r w:rsidR="00C3261C">
        <w:t xml:space="preserve"> D</w:t>
      </w:r>
      <w:r>
        <w:t>.</w:t>
      </w:r>
      <w:r w:rsidR="00C3261C">
        <w:t xml:space="preserve">23-11-084 in implementing the </w:t>
      </w:r>
      <w:proofErr w:type="spellStart"/>
      <w:r w:rsidR="00C3261C">
        <w:t>BioMAT</w:t>
      </w:r>
      <w:proofErr w:type="spellEnd"/>
      <w:r w:rsidR="00C3261C">
        <w:t xml:space="preserve"> program during the Record Period.</w:t>
      </w:r>
    </w:p>
    <w:p w:rsidR="003E1926" w:rsidP="00EE5AED" w:rsidRDefault="003309B6" w14:paraId="6D6EAB40" w14:textId="7B7B0059">
      <w:pPr>
        <w:pStyle w:val="CoL"/>
      </w:pPr>
      <w:r>
        <w:t>3CE</w:t>
      </w:r>
      <w:r w:rsidR="00C3261C">
        <w:t xml:space="preserve"> </w:t>
      </w:r>
      <w:r w:rsidR="005A161A">
        <w:t xml:space="preserve">reasonably administered and </w:t>
      </w:r>
      <w:r w:rsidR="00C3261C">
        <w:t xml:space="preserve">complied with the CCA </w:t>
      </w:r>
      <w:proofErr w:type="spellStart"/>
      <w:r w:rsidR="00C3261C">
        <w:t>BioMAT</w:t>
      </w:r>
      <w:proofErr w:type="spellEnd"/>
      <w:r w:rsidR="00C3261C">
        <w:t xml:space="preserve"> tariff during the Record Period.</w:t>
      </w:r>
    </w:p>
    <w:p w:rsidR="003E1926" w:rsidP="00EE5AED" w:rsidRDefault="003309B6" w14:paraId="4D664590" w14:textId="4FBBB40F">
      <w:pPr>
        <w:pStyle w:val="CoL"/>
      </w:pPr>
      <w:r>
        <w:t>3CE</w:t>
      </w:r>
      <w:r w:rsidR="00C3261C">
        <w:t xml:space="preserve">’s </w:t>
      </w:r>
      <w:r w:rsidR="005A161A">
        <w:t xml:space="preserve">contract </w:t>
      </w:r>
      <w:r w:rsidR="00C3261C">
        <w:t xml:space="preserve">administration of its </w:t>
      </w:r>
      <w:proofErr w:type="spellStart"/>
      <w:r w:rsidR="00C3261C">
        <w:t>BioMAT</w:t>
      </w:r>
      <w:proofErr w:type="spellEnd"/>
      <w:r w:rsidR="00C3261C">
        <w:t xml:space="preserve"> PPA during the </w:t>
      </w:r>
      <w:r w:rsidR="00B63A9C">
        <w:t>r</w:t>
      </w:r>
      <w:r w:rsidR="00C3261C">
        <w:t xml:space="preserve">ecord </w:t>
      </w:r>
      <w:r w:rsidR="00B63A9C">
        <w:t>p</w:t>
      </w:r>
      <w:r w:rsidR="00C3261C">
        <w:t>eriod complied with the Commission’s prudent manager standard.</w:t>
      </w:r>
    </w:p>
    <w:p w:rsidR="00B6175F" w:rsidP="00EE5AED" w:rsidRDefault="00C3261C" w14:paraId="6CE9249C" w14:textId="533CA1E6">
      <w:pPr>
        <w:pStyle w:val="CoL"/>
      </w:pPr>
      <w:r>
        <w:t xml:space="preserve">Because the Commission </w:t>
      </w:r>
      <w:r w:rsidR="00AF7FFB">
        <w:t>should find</w:t>
      </w:r>
      <w:r>
        <w:t xml:space="preserve"> that </w:t>
      </w:r>
      <w:r w:rsidR="003309B6">
        <w:t>3CE</w:t>
      </w:r>
      <w:r>
        <w:t xml:space="preserve"> has </w:t>
      </w:r>
      <w:r w:rsidR="00A6753A">
        <w:t>complied with</w:t>
      </w:r>
      <w:r>
        <w:t xml:space="preserve"> the prudent manager standard </w:t>
      </w:r>
      <w:r w:rsidR="00A6753A">
        <w:t xml:space="preserve">during the </w:t>
      </w:r>
      <w:r w:rsidR="005A161A">
        <w:t>R</w:t>
      </w:r>
      <w:r w:rsidR="00A6753A">
        <w:t xml:space="preserve">ecord </w:t>
      </w:r>
      <w:r w:rsidR="005A161A">
        <w:t>P</w:t>
      </w:r>
      <w:r w:rsidR="00A6753A">
        <w:t xml:space="preserve">eriod </w:t>
      </w:r>
      <w:r>
        <w:t>in this application, the scoping memo question regarding whether 3CE imprudently managed or administered resources should be moot.</w:t>
      </w:r>
    </w:p>
    <w:p w:rsidR="00752E03" w:rsidP="00EE5AED" w:rsidRDefault="00B6175F" w14:paraId="298BC2F5" w14:textId="6B2FA790">
      <w:pPr>
        <w:pStyle w:val="CoL"/>
      </w:pPr>
      <w:r>
        <w:t>3CE</w:t>
      </w:r>
      <w:r w:rsidR="003309B6">
        <w:t>’s</w:t>
      </w:r>
      <w:r>
        <w:t xml:space="preserve"> Application should be approved and its requested relief should be granted</w:t>
      </w:r>
      <w:r w:rsidR="00752E03">
        <w:t>.</w:t>
      </w:r>
    </w:p>
    <w:p w:rsidR="0037033E" w:rsidP="00EE5AED" w:rsidRDefault="00752E03" w14:paraId="092ADEFC" w14:textId="058F006C">
      <w:pPr>
        <w:pStyle w:val="CoL"/>
      </w:pPr>
      <w:r>
        <w:t>3CE should report the updated status of the FERC certification</w:t>
      </w:r>
      <w:r w:rsidR="0037033E">
        <w:t xml:space="preserve"> to the Commission’s Energy Division with due diligence, and by the next record year, upon learning whether the project is a Qualifying Facility as defined by FERC.  </w:t>
      </w:r>
    </w:p>
    <w:p w:rsidR="00B6175F" w:rsidP="00EE5AED" w:rsidRDefault="0037033E" w14:paraId="2066FBA6" w14:textId="72F34E4E">
      <w:pPr>
        <w:pStyle w:val="CoL"/>
      </w:pPr>
      <w:r>
        <w:lastRenderedPageBreak/>
        <w:t xml:space="preserve">3CE should provide the </w:t>
      </w:r>
      <w:r w:rsidR="006A129D">
        <w:t>C</w:t>
      </w:r>
      <w:r w:rsidR="0053029E">
        <w:t>EC</w:t>
      </w:r>
      <w:r w:rsidR="006A129D">
        <w:t>s final certification</w:t>
      </w:r>
      <w:r w:rsidR="00924011">
        <w:t xml:space="preserve"> of the project as a qualifying facility</w:t>
      </w:r>
      <w:r w:rsidR="006A129D">
        <w:t xml:space="preserve"> </w:t>
      </w:r>
      <w:r w:rsidR="00592F1E">
        <w:t xml:space="preserve">to the Commission’s Energy Division </w:t>
      </w:r>
      <w:r w:rsidR="006A129D">
        <w:t>with due diligence</w:t>
      </w:r>
      <w:r w:rsidR="00592F1E">
        <w:t>, and by the next record year</w:t>
      </w:r>
      <w:r w:rsidR="00924011">
        <w:t xml:space="preserve">.  </w:t>
      </w:r>
    </w:p>
    <w:p w:rsidR="0053029E" w:rsidP="00EE5AED" w:rsidRDefault="0053029E" w14:paraId="27648624" w14:textId="760F50E8">
      <w:pPr>
        <w:pStyle w:val="CoL"/>
      </w:pPr>
      <w:r>
        <w:t>If CEC does not provide the final certification by the next record year, 3CE should inform the Commission’s Energy Division of this and explain the facts as to why the certification has not yet been issued.</w:t>
      </w:r>
    </w:p>
    <w:p w:rsidR="00C72B01" w:rsidP="00EE5AED" w:rsidRDefault="00E0215D" w14:paraId="0C23A8C3" w14:textId="1D77D237">
      <w:pPr>
        <w:pStyle w:val="CoL"/>
      </w:pPr>
      <w:r>
        <w:t xml:space="preserve">As part of its reporting </w:t>
      </w:r>
      <w:proofErr w:type="gramStart"/>
      <w:r>
        <w:t>in</w:t>
      </w:r>
      <w:proofErr w:type="gramEnd"/>
      <w:r>
        <w:t xml:space="preserve"> the next record period, </w:t>
      </w:r>
      <w:r w:rsidRPr="00720F2A" w:rsidR="00C72B01">
        <w:t>3CE sh</w:t>
      </w:r>
      <w:r w:rsidR="00C72B01">
        <w:t>ould</w:t>
      </w:r>
      <w:r w:rsidRPr="00720F2A" w:rsidR="00C72B01">
        <w:t xml:space="preserve"> report to the Commission if Accion’s website is not in compliance with any part of the </w:t>
      </w:r>
      <w:proofErr w:type="spellStart"/>
      <w:r w:rsidRPr="00720F2A" w:rsidR="00C72B01">
        <w:t>BioMAT</w:t>
      </w:r>
      <w:proofErr w:type="spellEnd"/>
      <w:r w:rsidRPr="00720F2A" w:rsidR="00C72B01">
        <w:t xml:space="preserve"> tariff.  </w:t>
      </w:r>
    </w:p>
    <w:p w:rsidR="00C72B01" w:rsidP="00EE5AED" w:rsidRDefault="00A35CD8" w14:paraId="7A603472" w14:textId="381A0738">
      <w:pPr>
        <w:pStyle w:val="CoL"/>
      </w:pPr>
      <w:r>
        <w:t xml:space="preserve">If Accion’s website is not in compliance with any part of the </w:t>
      </w:r>
      <w:proofErr w:type="spellStart"/>
      <w:r>
        <w:t>BioMAT</w:t>
      </w:r>
      <w:proofErr w:type="spellEnd"/>
      <w:r>
        <w:t xml:space="preserve"> tariff, </w:t>
      </w:r>
      <w:r w:rsidR="00804D1C">
        <w:t xml:space="preserve">3CE’s reporting in the next record period </w:t>
      </w:r>
      <w:r w:rsidRPr="00720F2A" w:rsidR="00C72B01">
        <w:t>sh</w:t>
      </w:r>
      <w:r w:rsidR="00C72B01">
        <w:t>ould</w:t>
      </w:r>
      <w:r w:rsidRPr="00720F2A" w:rsidR="00C72B01">
        <w:t xml:space="preserve"> identify the fixes that will be taken to correct Accion’s website and when such fixes </w:t>
      </w:r>
      <w:r w:rsidR="00C72B01">
        <w:t>will</w:t>
      </w:r>
      <w:r w:rsidRPr="00720F2A" w:rsidR="00C72B01">
        <w:t xml:space="preserve"> occur.   </w:t>
      </w:r>
    </w:p>
    <w:p w:rsidR="00F71557" w:rsidP="00EE5AED" w:rsidRDefault="00F71557" w14:paraId="741BDBFF" w14:textId="53C50AF9">
      <w:pPr>
        <w:pStyle w:val="CoL"/>
      </w:pPr>
      <w:r>
        <w:t>All rulings made by the A</w:t>
      </w:r>
      <w:r w:rsidR="00D41B52">
        <w:t>LJ</w:t>
      </w:r>
      <w:r>
        <w:t xml:space="preserve"> and assigned Commissioner in this proceeding should be affirmed.</w:t>
      </w:r>
    </w:p>
    <w:p w:rsidR="00F71557" w:rsidP="00EE5AED" w:rsidRDefault="00F71557" w14:paraId="58CA5105" w14:textId="22C531A6">
      <w:pPr>
        <w:pStyle w:val="CoL"/>
      </w:pPr>
      <w:r>
        <w:t>All motions not ruled on to date should be denied.</w:t>
      </w:r>
    </w:p>
    <w:p w:rsidR="00F71557" w:rsidP="00EE5AED" w:rsidRDefault="00F71557" w14:paraId="7CA3AA53" w14:textId="3293C95C">
      <w:pPr>
        <w:pStyle w:val="CoL"/>
      </w:pPr>
      <w:r>
        <w:t>This proceeding should be closed.</w:t>
      </w:r>
    </w:p>
    <w:p w:rsidR="00BB0243" w:rsidP="000A6E05" w:rsidRDefault="005939A5" w14:paraId="500BD309" w14:textId="77777777">
      <w:pPr>
        <w:pStyle w:val="Mainex"/>
      </w:pPr>
      <w:bookmarkStart w:name="_Toc233277303" w:id="38"/>
      <w:r>
        <w:t>O</w:t>
      </w:r>
      <w:r w:rsidR="00722850">
        <w:t>RDER</w:t>
      </w:r>
      <w:bookmarkEnd w:id="38"/>
    </w:p>
    <w:p w:rsidR="00BB0243" w:rsidP="000A6E05" w:rsidRDefault="00BB0243" w14:paraId="70ABDC47" w14:textId="77777777">
      <w:pPr>
        <w:keepNext/>
      </w:pPr>
      <w:r w:rsidRPr="00BB0243">
        <w:rPr>
          <w:b/>
        </w:rPr>
        <w:t>IT IS ORDERED</w:t>
      </w:r>
      <w:r>
        <w:t xml:space="preserve"> that:</w:t>
      </w:r>
    </w:p>
    <w:p w:rsidRPr="00EE5AED" w:rsidR="008E6D6C" w:rsidP="00EE5AED" w:rsidRDefault="00573BF8" w14:paraId="5B57C95A" w14:textId="68A70987">
      <w:pPr>
        <w:pStyle w:val="OP"/>
      </w:pPr>
      <w:r w:rsidRPr="00EE5AED">
        <w:t xml:space="preserve">Central Coast Community Energy’s </w:t>
      </w:r>
      <w:r w:rsidRPr="00EE5AED" w:rsidR="004C05F9">
        <w:t>(3CE</w:t>
      </w:r>
      <w:r w:rsidR="005A161A">
        <w:t>’s</w:t>
      </w:r>
      <w:r w:rsidRPr="00EE5AED" w:rsidR="004C05F9">
        <w:t xml:space="preserve">) </w:t>
      </w:r>
      <w:r w:rsidRPr="00EE5AED" w:rsidR="002219CC">
        <w:t>a</w:t>
      </w:r>
      <w:r w:rsidRPr="00EE5AED">
        <w:t xml:space="preserve">pplication is </w:t>
      </w:r>
      <w:r w:rsidRPr="00EE5AED" w:rsidR="00523BE5">
        <w:t>approve</w:t>
      </w:r>
      <w:r w:rsidRPr="00EE5AED" w:rsidR="002219CC">
        <w:t xml:space="preserve">d because </w:t>
      </w:r>
      <w:r w:rsidRPr="00EE5AED" w:rsidR="00EE174B">
        <w:t xml:space="preserve">3CE </w:t>
      </w:r>
      <w:r w:rsidRPr="00EE5AED" w:rsidR="002902CE">
        <w:t>complied with the C</w:t>
      </w:r>
      <w:r w:rsidRPr="00EE5AED" w:rsidR="00CC7F81">
        <w:t xml:space="preserve">ommunity Choice Aggregator </w:t>
      </w:r>
      <w:r w:rsidRPr="00EE5AED" w:rsidR="002902CE">
        <w:t>Bio</w:t>
      </w:r>
      <w:r w:rsidRPr="00EE5AED" w:rsidR="00EE174B">
        <w:t xml:space="preserve">energy Market Adjusting Tariff </w:t>
      </w:r>
      <w:r w:rsidRPr="00EE5AED" w:rsidR="002219CC">
        <w:t>requirements</w:t>
      </w:r>
      <w:r w:rsidRPr="00EE5AED" w:rsidR="002902CE">
        <w:t xml:space="preserve"> </w:t>
      </w:r>
      <w:r w:rsidRPr="00EE5AED" w:rsidR="002219CC">
        <w:t xml:space="preserve">and met the Commission’s prudent manager standard </w:t>
      </w:r>
      <w:r w:rsidRPr="00EE5AED" w:rsidR="002902CE">
        <w:t>during the Record Period</w:t>
      </w:r>
      <w:r w:rsidRPr="00EE5AED" w:rsidR="00CC7F81">
        <w:t xml:space="preserve"> of September 1, </w:t>
      </w:r>
      <w:proofErr w:type="gramStart"/>
      <w:r w:rsidRPr="00EE5AED" w:rsidR="00CC7F81">
        <w:t>2024</w:t>
      </w:r>
      <w:proofErr w:type="gramEnd"/>
      <w:r w:rsidRPr="00EE5AED" w:rsidR="00CC7F81">
        <w:t xml:space="preserve"> through September 1, 2025.</w:t>
      </w:r>
    </w:p>
    <w:p w:rsidRPr="00EE5AED" w:rsidR="00F71557" w:rsidP="00EE5AED" w:rsidRDefault="00F71557" w14:paraId="2F0DD367" w14:textId="399516F8">
      <w:pPr>
        <w:pStyle w:val="OP"/>
      </w:pPr>
      <w:r w:rsidRPr="00EE5AED">
        <w:t>All rulings made by the Administrative Law Judge and assigned Commissioner in this proceeding are affirmed.</w:t>
      </w:r>
    </w:p>
    <w:p w:rsidRPr="00EE5AED" w:rsidR="00F71557" w:rsidP="00EE5AED" w:rsidRDefault="00F71557" w14:paraId="68622321" w14:textId="60F2CE5F">
      <w:pPr>
        <w:pStyle w:val="OP"/>
      </w:pPr>
      <w:r w:rsidRPr="00EE5AED">
        <w:t xml:space="preserve">All motions not </w:t>
      </w:r>
      <w:proofErr w:type="gramStart"/>
      <w:r w:rsidRPr="00EE5AED">
        <w:t>ruled</w:t>
      </w:r>
      <w:proofErr w:type="gramEnd"/>
      <w:r w:rsidRPr="00EE5AED">
        <w:t xml:space="preserve"> on to date are denied.</w:t>
      </w:r>
    </w:p>
    <w:p w:rsidR="00F6397D" w:rsidP="00EE5AED" w:rsidRDefault="00E23CBB" w14:paraId="71A777C2" w14:textId="1FB71CB2">
      <w:pPr>
        <w:pStyle w:val="OP"/>
      </w:pPr>
      <w:r w:rsidRPr="00EE5AED">
        <w:lastRenderedPageBreak/>
        <w:t>Application</w:t>
      </w:r>
      <w:r w:rsidRPr="00EE5AED" w:rsidR="00573BF8">
        <w:t xml:space="preserve"> 25</w:t>
      </w:r>
      <w:r w:rsidRPr="00EE5AED">
        <w:t>-</w:t>
      </w:r>
      <w:r w:rsidRPr="00EE5AED" w:rsidR="00573BF8">
        <w:t>08</w:t>
      </w:r>
      <w:r w:rsidRPr="00EE5AED">
        <w:t>-</w:t>
      </w:r>
      <w:r w:rsidRPr="00EE5AED" w:rsidR="00573BF8">
        <w:t>015</w:t>
      </w:r>
      <w:r w:rsidRPr="00EE5AED">
        <w:t xml:space="preserve"> is close</w:t>
      </w:r>
      <w:r w:rsidRPr="001E2A62">
        <w:t>d.</w:t>
      </w:r>
    </w:p>
    <w:p w:rsidR="008F0116" w:rsidP="008F0116" w:rsidRDefault="008F0116" w14:paraId="40AA53E6" w14:textId="77777777">
      <w:r>
        <w:t>This order is effective today.</w:t>
      </w:r>
    </w:p>
    <w:p w:rsidR="00714CF2" w:rsidP="00816E05" w:rsidRDefault="008F0116" w14:paraId="6161734C" w14:textId="431EE9EA">
      <w:r>
        <w:t>Dated</w:t>
      </w:r>
      <w:r w:rsidR="00857999">
        <w:t xml:space="preserve"> July 16, 2026</w:t>
      </w:r>
      <w:r>
        <w:t xml:space="preserve">, at </w:t>
      </w:r>
      <w:r w:rsidR="00BB5EF2">
        <w:t xml:space="preserve">San </w:t>
      </w:r>
      <w:r w:rsidR="00447DD5">
        <w:t>Francisco</w:t>
      </w:r>
      <w:r>
        <w:t>, California</w:t>
      </w:r>
      <w:r w:rsidR="00E43D8D">
        <w:t>.</w:t>
      </w:r>
    </w:p>
    <w:p w:rsidR="00160F94" w:rsidP="00816E05" w:rsidRDefault="00160F94" w14:paraId="36397FC2" w14:textId="77777777"/>
    <w:p w:rsidRPr="00B331DE" w:rsidR="00B331DE" w:rsidP="00B331DE" w:rsidRDefault="00B331DE" w14:paraId="70650BFC" w14:textId="77777777">
      <w:pPr>
        <w:autoSpaceDE w:val="0"/>
        <w:autoSpaceDN w:val="0"/>
        <w:adjustRightInd w:val="0"/>
        <w:spacing w:line="240" w:lineRule="auto"/>
        <w:ind w:left="4320" w:firstLine="1602"/>
        <w:jc w:val="both"/>
        <w:rPr>
          <w:rFonts w:cs="Times New Roman"/>
          <w:szCs w:val="20"/>
        </w:rPr>
      </w:pPr>
      <w:r w:rsidRPr="00B331DE">
        <w:rPr>
          <w:rFonts w:cs="Times New Roman"/>
          <w:szCs w:val="20"/>
        </w:rPr>
        <w:t>JOHN REYNOLDS</w:t>
      </w:r>
    </w:p>
    <w:p w:rsidRPr="00B331DE" w:rsidR="00B331DE" w:rsidP="00B331DE" w:rsidRDefault="00B331DE" w14:paraId="6F89BACE" w14:textId="77777777">
      <w:pPr>
        <w:autoSpaceDE w:val="0"/>
        <w:autoSpaceDN w:val="0"/>
        <w:adjustRightInd w:val="0"/>
        <w:spacing w:line="240" w:lineRule="auto"/>
        <w:ind w:left="720" w:firstLine="1602"/>
        <w:jc w:val="both"/>
        <w:rPr>
          <w:rFonts w:cs="Times New Roman"/>
          <w:szCs w:val="20"/>
        </w:rPr>
      </w:pPr>
      <w:r w:rsidRPr="00B331DE">
        <w:rPr>
          <w:rFonts w:cs="Times New Roman"/>
          <w:szCs w:val="20"/>
        </w:rPr>
        <w:tab/>
      </w:r>
      <w:r w:rsidRPr="00B331DE">
        <w:rPr>
          <w:rFonts w:cs="Times New Roman"/>
          <w:szCs w:val="20"/>
        </w:rPr>
        <w:tab/>
      </w:r>
      <w:r w:rsidRPr="00B331DE">
        <w:rPr>
          <w:rFonts w:cs="Times New Roman"/>
          <w:szCs w:val="20"/>
        </w:rPr>
        <w:tab/>
      </w:r>
      <w:r w:rsidRPr="00B331DE">
        <w:rPr>
          <w:rFonts w:cs="Times New Roman"/>
          <w:szCs w:val="20"/>
        </w:rPr>
        <w:tab/>
      </w:r>
      <w:r w:rsidRPr="00B331DE">
        <w:rPr>
          <w:rFonts w:cs="Times New Roman"/>
          <w:szCs w:val="20"/>
        </w:rPr>
        <w:tab/>
        <w:t xml:space="preserve">                    President</w:t>
      </w:r>
    </w:p>
    <w:p w:rsidRPr="00B331DE" w:rsidR="00B331DE" w:rsidP="00B331DE" w:rsidRDefault="00B331DE" w14:paraId="11D05F35" w14:textId="77777777">
      <w:pPr>
        <w:autoSpaceDE w:val="0"/>
        <w:autoSpaceDN w:val="0"/>
        <w:adjustRightInd w:val="0"/>
        <w:spacing w:line="240" w:lineRule="auto"/>
        <w:ind w:left="4320" w:firstLine="1602"/>
        <w:jc w:val="both"/>
        <w:rPr>
          <w:rFonts w:cs="Times New Roman"/>
          <w:szCs w:val="20"/>
        </w:rPr>
      </w:pPr>
      <w:r w:rsidRPr="00B331DE">
        <w:rPr>
          <w:rFonts w:cs="Times New Roman"/>
          <w:szCs w:val="20"/>
        </w:rPr>
        <w:t>DARCIE L. HOUCK</w:t>
      </w:r>
    </w:p>
    <w:p w:rsidRPr="00B331DE" w:rsidR="00B331DE" w:rsidP="00B331DE" w:rsidRDefault="00B331DE" w14:paraId="01E13D2A" w14:textId="77777777">
      <w:pPr>
        <w:autoSpaceDE w:val="0"/>
        <w:autoSpaceDN w:val="0"/>
        <w:adjustRightInd w:val="0"/>
        <w:spacing w:line="240" w:lineRule="auto"/>
        <w:ind w:left="4320" w:firstLine="1602"/>
        <w:jc w:val="both"/>
        <w:rPr>
          <w:rFonts w:eastAsia="Times New Roman" w:cs="Calibri"/>
          <w:color w:val="000000"/>
          <w:szCs w:val="26"/>
        </w:rPr>
      </w:pPr>
      <w:r w:rsidRPr="00B331DE">
        <w:rPr>
          <w:rFonts w:eastAsia="Times New Roman" w:cs="Calibri"/>
          <w:color w:val="000000"/>
          <w:szCs w:val="26"/>
        </w:rPr>
        <w:t>KAREN DOUGLAS</w:t>
      </w:r>
    </w:p>
    <w:p w:rsidRPr="00B331DE" w:rsidR="00B331DE" w:rsidP="00B331DE" w:rsidRDefault="00B331DE" w14:paraId="38F41D9E" w14:textId="77777777">
      <w:pPr>
        <w:autoSpaceDE w:val="0"/>
        <w:autoSpaceDN w:val="0"/>
        <w:adjustRightInd w:val="0"/>
        <w:spacing w:line="240" w:lineRule="auto"/>
        <w:ind w:left="4320" w:firstLine="1602"/>
        <w:jc w:val="both"/>
        <w:rPr>
          <w:rFonts w:eastAsia="Times New Roman" w:cs="Calibri"/>
          <w:color w:val="000000"/>
          <w:szCs w:val="26"/>
        </w:rPr>
      </w:pPr>
      <w:r w:rsidRPr="00B331DE">
        <w:rPr>
          <w:rFonts w:eastAsia="Times New Roman" w:cs="Calibri"/>
          <w:color w:val="000000"/>
          <w:szCs w:val="26"/>
        </w:rPr>
        <w:t>MATTHEW BAKER</w:t>
      </w:r>
    </w:p>
    <w:p w:rsidRPr="00B331DE" w:rsidR="00B331DE" w:rsidP="00B331DE" w:rsidRDefault="00B331DE" w14:paraId="08211A6F" w14:textId="77777777">
      <w:pPr>
        <w:autoSpaceDE w:val="0"/>
        <w:autoSpaceDN w:val="0"/>
        <w:adjustRightInd w:val="0"/>
        <w:spacing w:line="240" w:lineRule="auto"/>
        <w:ind w:left="4320" w:firstLine="1602"/>
        <w:jc w:val="both"/>
        <w:rPr>
          <w:rFonts w:cs="Times New Roman"/>
          <w:szCs w:val="20"/>
        </w:rPr>
      </w:pPr>
      <w:r w:rsidRPr="00B331DE">
        <w:rPr>
          <w:rFonts w:cs="Times New Roman"/>
          <w:szCs w:val="20"/>
        </w:rPr>
        <w:t>CHRISTINE HARADA</w:t>
      </w:r>
    </w:p>
    <w:p w:rsidRPr="00B331DE" w:rsidR="00B331DE" w:rsidP="00B331DE" w:rsidRDefault="00B331DE" w14:paraId="78FFCB3E" w14:textId="77777777">
      <w:pPr>
        <w:autoSpaceDE w:val="0"/>
        <w:autoSpaceDN w:val="0"/>
        <w:adjustRightInd w:val="0"/>
        <w:spacing w:line="240" w:lineRule="auto"/>
        <w:ind w:left="5040" w:firstLine="1602"/>
        <w:jc w:val="both"/>
        <w:rPr>
          <w:rFonts w:cs="Times New Roman"/>
          <w:szCs w:val="20"/>
        </w:rPr>
      </w:pPr>
      <w:r w:rsidRPr="00B331DE">
        <w:rPr>
          <w:rFonts w:cs="Times New Roman"/>
          <w:szCs w:val="20"/>
        </w:rPr>
        <w:t xml:space="preserve">      Commissioners</w:t>
      </w:r>
    </w:p>
    <w:p w:rsidRPr="00B331DE" w:rsidR="00B331DE" w:rsidP="00B331DE" w:rsidRDefault="00B331DE" w14:paraId="08250F33" w14:textId="77777777">
      <w:pPr>
        <w:autoSpaceDE w:val="0"/>
        <w:autoSpaceDN w:val="0"/>
        <w:adjustRightInd w:val="0"/>
        <w:spacing w:line="240" w:lineRule="auto"/>
        <w:ind w:left="4320"/>
        <w:jc w:val="both"/>
        <w:rPr>
          <w:rFonts w:cs="Times New Roman"/>
          <w:szCs w:val="20"/>
        </w:rPr>
      </w:pPr>
    </w:p>
    <w:p w:rsidR="00160F94" w:rsidP="00160F94" w:rsidRDefault="00160F94" w14:paraId="1BEBB5EB" w14:textId="77777777">
      <w:pPr>
        <w:autoSpaceDE w:val="0"/>
        <w:autoSpaceDN w:val="0"/>
        <w:adjustRightInd w:val="0"/>
        <w:ind w:left="5040"/>
        <w:jc w:val="both"/>
        <w:rPr>
          <w:rFonts w:cs="Times New Roman"/>
          <w:szCs w:val="20"/>
        </w:rPr>
      </w:pPr>
    </w:p>
    <w:p w:rsidRPr="00714CF2" w:rsidR="00857999" w:rsidP="00816E05" w:rsidRDefault="00857999" w14:paraId="75B7DCB3" w14:textId="77777777"/>
    <w:sectPr w:rsidRPr="00714CF2" w:rsidR="00857999" w:rsidSect="00AE7048">
      <w:headerReference w:type="default" r:id="rId19"/>
      <w:footerReference w:type="default" r:id="rId20"/>
      <w:footerReference w:type="first" r:id="rId21"/>
      <w:pgSz w:w="12240" w:h="15840"/>
      <w:pgMar w:top="1728"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FE94E" w14:textId="77777777" w:rsidR="003E6EA8" w:rsidRDefault="003E6EA8" w:rsidP="0098138E">
      <w:pPr>
        <w:spacing w:line="240" w:lineRule="auto"/>
      </w:pPr>
      <w:r>
        <w:separator/>
      </w:r>
    </w:p>
  </w:endnote>
  <w:endnote w:type="continuationSeparator" w:id="0">
    <w:p w14:paraId="6CCD5B76" w14:textId="77777777" w:rsidR="003E6EA8" w:rsidRDefault="003E6EA8"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imesNewRoman">
    <w:altName w:val="Yu Gothic"/>
    <w:panose1 w:val="00000000000000000000"/>
    <w:charset w:val="80"/>
    <w:family w:val="auto"/>
    <w:notTrueType/>
    <w:pitch w:val="default"/>
    <w:sig w:usb0="00000001" w:usb1="08070000" w:usb2="00000010" w:usb3="00000000" w:csb0="00020000" w:csb1="00000000"/>
  </w:font>
  <w:font w:name="BBBUHG+TimesNewRomanPSM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A2BD" w14:textId="77777777" w:rsidR="00F92385" w:rsidRDefault="00F92385" w:rsidP="007E0FEE">
    <w:pPr>
      <w:ind w:firstLine="0"/>
      <w:jc w:val="center"/>
    </w:pPr>
    <w:r>
      <w:t>-</w:t>
    </w:r>
    <w:sdt>
      <w:sdtPr>
        <w:id w:val="-14722089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FFDC" w14:textId="3FB12731" w:rsidR="00632207" w:rsidRDefault="00845BCF" w:rsidP="00845BCF">
    <w:pPr>
      <w:tabs>
        <w:tab w:val="left" w:pos="2352"/>
        <w:tab w:val="center" w:pos="4680"/>
      </w:tabs>
      <w:ind w:firstLine="0"/>
      <w:rPr>
        <w:noProof/>
      </w:rPr>
    </w:pPr>
    <w:r w:rsidRPr="00845BCF">
      <w:rPr>
        <w:sz w:val="16"/>
        <w:szCs w:val="16"/>
      </w:rPr>
      <w:t>611634481</w:t>
    </w:r>
    <w:sdt>
      <w:sdtPr>
        <w:id w:val="-1352874971"/>
        <w:docPartObj>
          <w:docPartGallery w:val="Page Numbers (Bottom of Page)"/>
          <w:docPartUnique/>
        </w:docPartObj>
      </w:sdtPr>
      <w:sdtEndPr>
        <w:rPr>
          <w:noProof/>
        </w:rPr>
      </w:sdtEndPr>
      <w:sdtContent>
        <w:r w:rsidR="00632207">
          <w:rPr>
            <w:rFonts w:ascii="Arial" w:hAnsi="Arial" w:cs="Arial"/>
            <w:sz w:val="16"/>
            <w:szCs w:val="16"/>
          </w:rPr>
          <w:tab/>
        </w:r>
        <w:r>
          <w:rPr>
            <w:rFonts w:ascii="Arial" w:hAnsi="Arial" w:cs="Arial"/>
            <w:sz w:val="16"/>
            <w:szCs w:val="16"/>
          </w:rPr>
          <w:tab/>
        </w:r>
        <w:r w:rsidR="00F92385">
          <w:t>-</w:t>
        </w:r>
        <w:r w:rsidR="00EE4315">
          <w:t xml:space="preserve"> </w:t>
        </w:r>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sdtContent>
    </w:sdt>
    <w:r w:rsidR="00EE4315">
      <w:rPr>
        <w:noProof/>
      </w:rPr>
      <w:t xml:space="preserve"> </w:t>
    </w:r>
    <w:r w:rsidR="00F92385">
      <w:rPr>
        <w:noProof/>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73375" w14:textId="77777777" w:rsidR="00A30FF1" w:rsidRDefault="00A30FF1" w:rsidP="007E0FEE">
    <w:pPr>
      <w:ind w:firstLine="0"/>
      <w:jc w:val="center"/>
    </w:pPr>
    <w:r>
      <w:t>-</w:t>
    </w:r>
    <w:sdt>
      <w:sdtPr>
        <w:id w:val="-26631335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298AF" w14:textId="1E4C11DC" w:rsidR="00A30FF1" w:rsidRDefault="00000000" w:rsidP="007E0FEE">
    <w:pPr>
      <w:tabs>
        <w:tab w:val="center" w:pos="4680"/>
      </w:tabs>
      <w:ind w:firstLine="0"/>
      <w:rPr>
        <w:noProof/>
      </w:rPr>
    </w:pPr>
    <w:sdt>
      <w:sdtPr>
        <w:id w:val="130907724"/>
        <w:docPartObj>
          <w:docPartGallery w:val="Page Numbers (Bottom of Page)"/>
          <w:docPartUnique/>
        </w:docPartObj>
      </w:sdtPr>
      <w:sdtEndPr>
        <w:rPr>
          <w:noProof/>
        </w:rPr>
      </w:sdtEndPr>
      <w:sdtContent>
        <w:r w:rsidR="00A30FF1">
          <w:rPr>
            <w:rFonts w:ascii="Arial" w:hAnsi="Arial" w:cs="Arial"/>
            <w:sz w:val="16"/>
            <w:szCs w:val="16"/>
          </w:rPr>
          <w:tab/>
        </w:r>
        <w:r w:rsidR="00A30FF1">
          <w:t xml:space="preserve">- </w:t>
        </w:r>
        <w:r w:rsidR="00A30FF1">
          <w:fldChar w:fldCharType="begin"/>
        </w:r>
        <w:r w:rsidR="00A30FF1">
          <w:instrText xml:space="preserve"> PAGE   \* MERGEFORMAT </w:instrText>
        </w:r>
        <w:r w:rsidR="00A30FF1">
          <w:fldChar w:fldCharType="separate"/>
        </w:r>
        <w:r w:rsidR="00A30FF1">
          <w:rPr>
            <w:noProof/>
          </w:rPr>
          <w:t>2</w:t>
        </w:r>
        <w:r w:rsidR="00A30FF1">
          <w:rPr>
            <w:noProof/>
          </w:rPr>
          <w:fldChar w:fldCharType="end"/>
        </w:r>
      </w:sdtContent>
    </w:sdt>
    <w:r w:rsidR="00A30FF1">
      <w:rPr>
        <w:noProof/>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73A8C" w14:textId="77777777"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07C9A" w14:textId="77777777" w:rsidR="00AE7048" w:rsidRDefault="00000000" w:rsidP="007E0FEE">
    <w:pPr>
      <w:tabs>
        <w:tab w:val="center" w:pos="4680"/>
      </w:tabs>
      <w:ind w:firstLine="0"/>
      <w:rPr>
        <w:noProof/>
      </w:rPr>
    </w:pPr>
    <w:sdt>
      <w:sdtPr>
        <w:id w:val="-1603177414"/>
        <w:docPartObj>
          <w:docPartGallery w:val="Page Numbers (Bottom of Page)"/>
          <w:docPartUnique/>
        </w:docPartObj>
      </w:sdtPr>
      <w:sdtEndPr>
        <w:rPr>
          <w:noProof/>
        </w:rPr>
      </w:sdtEndPr>
      <w:sdtContent>
        <w:r w:rsidR="00AE7048">
          <w:rPr>
            <w:rFonts w:ascii="Arial" w:hAnsi="Arial" w:cs="Arial"/>
            <w:sz w:val="16"/>
            <w:szCs w:val="16"/>
          </w:rPr>
          <w:tab/>
        </w:r>
        <w:r w:rsidR="00AE7048">
          <w:t xml:space="preserve">- </w:t>
        </w:r>
        <w:r w:rsidR="00AE7048">
          <w:fldChar w:fldCharType="begin"/>
        </w:r>
        <w:r w:rsidR="00AE7048">
          <w:instrText xml:space="preserve"> PAGE   \* MERGEFORMAT </w:instrText>
        </w:r>
        <w:r w:rsidR="00AE7048">
          <w:fldChar w:fldCharType="separate"/>
        </w:r>
        <w:r w:rsidR="00AE7048">
          <w:rPr>
            <w:noProof/>
          </w:rPr>
          <w:t>2</w:t>
        </w:r>
        <w:r w:rsidR="00AE7048">
          <w:rPr>
            <w:noProof/>
          </w:rPr>
          <w:fldChar w:fldCharType="end"/>
        </w:r>
      </w:sdtContent>
    </w:sdt>
    <w:r w:rsidR="00AE7048">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D8F62" w14:textId="77777777" w:rsidR="003E6EA8" w:rsidRDefault="003E6EA8" w:rsidP="00DF58E7">
      <w:pPr>
        <w:spacing w:line="240" w:lineRule="auto"/>
        <w:ind w:firstLine="0"/>
      </w:pPr>
      <w:r>
        <w:separator/>
      </w:r>
    </w:p>
  </w:footnote>
  <w:footnote w:type="continuationSeparator" w:id="0">
    <w:p w14:paraId="6D53B2A1" w14:textId="77777777" w:rsidR="003E6EA8" w:rsidRDefault="003E6EA8" w:rsidP="00DF58E7">
      <w:pPr>
        <w:spacing w:line="240" w:lineRule="auto"/>
        <w:ind w:firstLine="0"/>
      </w:pPr>
      <w:r>
        <w:continuationSeparator/>
      </w:r>
    </w:p>
  </w:footnote>
  <w:footnote w:type="continuationNotice" w:id="1">
    <w:p w14:paraId="69274E49" w14:textId="77777777" w:rsidR="003E6EA8" w:rsidRPr="00DF58E7" w:rsidRDefault="003E6EA8"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4F45ABA4" w14:textId="77777777" w:rsidR="004F1B11" w:rsidRDefault="004F1B11" w:rsidP="004F1B11">
      <w:pPr>
        <w:pStyle w:val="FootnoteText"/>
      </w:pPr>
      <w:r>
        <w:rPr>
          <w:rStyle w:val="FootnoteReference"/>
        </w:rPr>
        <w:footnoteRef/>
      </w:r>
      <w:r>
        <w:t xml:space="preserve"> Application of Central Coast Community Energy for Compliance Review of Its Administration of the Bioenergy Market Adjusting Tariff Program for the Period September 1, 2024 Through September 1, 2025, August 29, 2025, (Application) at 1. </w:t>
      </w:r>
    </w:p>
  </w:footnote>
  <w:footnote w:id="3">
    <w:p w14:paraId="5270E5E2" w14:textId="4B03F0D9" w:rsidR="008A756B" w:rsidRDefault="008A756B">
      <w:pPr>
        <w:pStyle w:val="FootnoteText"/>
      </w:pPr>
      <w:r>
        <w:rPr>
          <w:rStyle w:val="FootnoteReference"/>
        </w:rPr>
        <w:footnoteRef/>
      </w:r>
      <w:r>
        <w:t xml:space="preserve"> </w:t>
      </w:r>
      <w:r w:rsidR="00381754" w:rsidRPr="00FA6372">
        <w:rPr>
          <w:i/>
          <w:iCs/>
        </w:rPr>
        <w:t xml:space="preserve">See </w:t>
      </w:r>
      <w:r w:rsidR="00381754" w:rsidRPr="00381754">
        <w:t>SB 1122 (Rubio), Stats. 2012, Ch. 612 (Sept. 27, 2012) (amending Pub. Util Code § 399.20).</w:t>
      </w:r>
    </w:p>
  </w:footnote>
  <w:footnote w:id="4">
    <w:p w14:paraId="74BB4856" w14:textId="60CD310A" w:rsidR="008B6567" w:rsidRDefault="008B6567">
      <w:pPr>
        <w:pStyle w:val="FootnoteText"/>
      </w:pPr>
      <w:r>
        <w:rPr>
          <w:rStyle w:val="FootnoteReference"/>
        </w:rPr>
        <w:footnoteRef/>
      </w:r>
      <w:r>
        <w:t xml:space="preserve"> </w:t>
      </w:r>
      <w:r w:rsidRPr="00FA6372">
        <w:rPr>
          <w:i/>
          <w:iCs/>
        </w:rPr>
        <w:t xml:space="preserve">See </w:t>
      </w:r>
      <w:r w:rsidRPr="008B6567">
        <w:t>D.20-08-043 at 15.</w:t>
      </w:r>
    </w:p>
  </w:footnote>
  <w:footnote w:id="5">
    <w:p w14:paraId="29F28A1A" w14:textId="567F7D24" w:rsidR="008B6567" w:rsidRDefault="008B6567">
      <w:pPr>
        <w:pStyle w:val="FootnoteText"/>
      </w:pPr>
      <w:r>
        <w:rPr>
          <w:rStyle w:val="FootnoteReference"/>
        </w:rPr>
        <w:footnoteRef/>
      </w:r>
      <w:r>
        <w:t xml:space="preserve"> </w:t>
      </w:r>
      <w:r w:rsidR="00384B20" w:rsidRPr="00FA6372">
        <w:rPr>
          <w:i/>
          <w:iCs/>
        </w:rPr>
        <w:t>See</w:t>
      </w:r>
      <w:r w:rsidR="00384B20" w:rsidRPr="00384B20">
        <w:t xml:space="preserve"> D.20-08-043 at 60; Conclusion of Law (COL) 1.</w:t>
      </w:r>
    </w:p>
  </w:footnote>
  <w:footnote w:id="6">
    <w:p w14:paraId="26BAED22" w14:textId="2D8145F1" w:rsidR="004E554B" w:rsidRDefault="004E554B">
      <w:pPr>
        <w:pStyle w:val="FootnoteText"/>
      </w:pPr>
      <w:r>
        <w:rPr>
          <w:rStyle w:val="FootnoteReference"/>
        </w:rPr>
        <w:footnoteRef/>
      </w:r>
      <w:r>
        <w:t xml:space="preserve"> </w:t>
      </w:r>
      <w:r w:rsidR="00484EA9">
        <w:t>D.23-11-084</w:t>
      </w:r>
      <w:r w:rsidR="00236478">
        <w:t xml:space="preserve"> </w:t>
      </w:r>
      <w:r w:rsidR="00E647E6">
        <w:t xml:space="preserve">at </w:t>
      </w:r>
      <w:r w:rsidR="008D2A9B">
        <w:t>11.</w:t>
      </w:r>
    </w:p>
  </w:footnote>
  <w:footnote w:id="7">
    <w:p w14:paraId="4B8CAC74" w14:textId="77203344" w:rsidR="000735AA" w:rsidRDefault="000735AA">
      <w:pPr>
        <w:pStyle w:val="FootnoteText"/>
      </w:pPr>
      <w:r>
        <w:rPr>
          <w:rStyle w:val="FootnoteReference"/>
        </w:rPr>
        <w:footnoteRef/>
      </w:r>
      <w:r>
        <w:t xml:space="preserve"> </w:t>
      </w:r>
      <w:r w:rsidRPr="000735AA">
        <w:t>Pub. Util Code § 399.20 (f)(5)(K).</w:t>
      </w:r>
    </w:p>
  </w:footnote>
  <w:footnote w:id="8">
    <w:p w14:paraId="1DF797BF" w14:textId="4D08228A" w:rsidR="00A81D82" w:rsidRDefault="00A81D82">
      <w:pPr>
        <w:pStyle w:val="FootnoteText"/>
      </w:pPr>
      <w:r>
        <w:rPr>
          <w:rStyle w:val="FootnoteReference"/>
        </w:rPr>
        <w:footnoteRef/>
      </w:r>
      <w:r>
        <w:t xml:space="preserve"> D.23-11-084 at </w:t>
      </w:r>
      <w:r w:rsidR="008829BE">
        <w:t>69. Ordering Paragraph</w:t>
      </w:r>
      <w:r w:rsidR="00236478">
        <w:t xml:space="preserve"> (OP)</w:t>
      </w:r>
      <w:r w:rsidR="008829BE">
        <w:t xml:space="preserve"> 17. </w:t>
      </w:r>
    </w:p>
  </w:footnote>
  <w:footnote w:id="9">
    <w:p w14:paraId="07BFDF27" w14:textId="77777777" w:rsidR="00B44410" w:rsidRDefault="00B44410" w:rsidP="00B44410">
      <w:pPr>
        <w:pStyle w:val="FootnoteText"/>
      </w:pPr>
      <w:r>
        <w:rPr>
          <w:rStyle w:val="FootnoteReference"/>
        </w:rPr>
        <w:footnoteRef/>
      </w:r>
      <w:r>
        <w:t xml:space="preserve"> </w:t>
      </w:r>
      <w:r w:rsidRPr="00652441">
        <w:t>D.23-11-084 at 62; COL 11.</w:t>
      </w:r>
    </w:p>
  </w:footnote>
  <w:footnote w:id="10">
    <w:p w14:paraId="66E09A41" w14:textId="77777777" w:rsidR="00B44410" w:rsidRDefault="00B44410" w:rsidP="00B44410">
      <w:pPr>
        <w:pStyle w:val="FootnoteText"/>
      </w:pPr>
      <w:r>
        <w:rPr>
          <w:rStyle w:val="FootnoteReference"/>
        </w:rPr>
        <w:footnoteRef/>
      </w:r>
      <w:r>
        <w:t xml:space="preserve"> </w:t>
      </w:r>
      <w:r w:rsidRPr="00D67157">
        <w:t>D.23-11-084 at 52.</w:t>
      </w:r>
    </w:p>
  </w:footnote>
  <w:footnote w:id="11">
    <w:p w14:paraId="5883F0A5" w14:textId="55A09ED2" w:rsidR="00817D0C" w:rsidRDefault="00817D0C" w:rsidP="00817D0C">
      <w:pPr>
        <w:pStyle w:val="FootnoteText"/>
      </w:pPr>
      <w:r>
        <w:rPr>
          <w:rStyle w:val="FootnoteReference"/>
        </w:rPr>
        <w:footnoteRef/>
      </w:r>
      <w:r>
        <w:t xml:space="preserve"> D.23-11-084 at 62, </w:t>
      </w:r>
      <w:r w:rsidR="00FF1B56">
        <w:t>OP</w:t>
      </w:r>
      <w:r>
        <w:t xml:space="preserve"> 2.</w:t>
      </w:r>
    </w:p>
  </w:footnote>
  <w:footnote w:id="12">
    <w:p w14:paraId="67403B75" w14:textId="77777777" w:rsidR="00D757BE" w:rsidRDefault="00D757BE" w:rsidP="00D757BE">
      <w:pPr>
        <w:pStyle w:val="FootnoteText"/>
      </w:pPr>
      <w:r>
        <w:rPr>
          <w:rStyle w:val="FootnoteReference"/>
        </w:rPr>
        <w:footnoteRef/>
      </w:r>
      <w:r>
        <w:t xml:space="preserve"> D.23-11-084 at 66, OP 12.</w:t>
      </w:r>
    </w:p>
  </w:footnote>
  <w:footnote w:id="13">
    <w:p w14:paraId="33749305" w14:textId="1C03039C" w:rsidR="00D93913" w:rsidRDefault="00D93913">
      <w:pPr>
        <w:pStyle w:val="FootnoteText"/>
      </w:pPr>
      <w:r>
        <w:rPr>
          <w:rStyle w:val="FootnoteReference"/>
        </w:rPr>
        <w:footnoteRef/>
      </w:r>
      <w:r>
        <w:t xml:space="preserve"> D.23-11-084, OP 6.</w:t>
      </w:r>
    </w:p>
  </w:footnote>
  <w:footnote w:id="14">
    <w:p w14:paraId="48204657" w14:textId="5DAB407F" w:rsidR="00FF25E5" w:rsidRDefault="00FF25E5">
      <w:pPr>
        <w:pStyle w:val="FootnoteText"/>
      </w:pPr>
      <w:r>
        <w:rPr>
          <w:rStyle w:val="FootnoteReference"/>
        </w:rPr>
        <w:footnoteRef/>
      </w:r>
      <w:r>
        <w:t xml:space="preserve"> D.23-11-084 at 64, O</w:t>
      </w:r>
      <w:r w:rsidR="00FF1B56">
        <w:t>P</w:t>
      </w:r>
      <w:r>
        <w:t xml:space="preserve"> 6.</w:t>
      </w:r>
    </w:p>
  </w:footnote>
  <w:footnote w:id="15">
    <w:p w14:paraId="56C3F088" w14:textId="73385C15" w:rsidR="00C90EBC" w:rsidRDefault="00C90EBC" w:rsidP="00C90EBC">
      <w:pPr>
        <w:pStyle w:val="FootnoteText"/>
      </w:pPr>
      <w:r>
        <w:rPr>
          <w:rStyle w:val="FootnoteReference"/>
        </w:rPr>
        <w:footnoteRef/>
      </w:r>
      <w:r>
        <w:t xml:space="preserve"> Resolution E-5322, June 20, 2024, at </w:t>
      </w:r>
      <w:r w:rsidR="001F6218">
        <w:t>3</w:t>
      </w:r>
      <w:r>
        <w:t>.</w:t>
      </w:r>
    </w:p>
  </w:footnote>
  <w:footnote w:id="16">
    <w:p w14:paraId="35EF68D9" w14:textId="77777777" w:rsidR="00C90EBC" w:rsidRDefault="00C90EBC" w:rsidP="00C90EBC">
      <w:pPr>
        <w:pStyle w:val="FootnoteText"/>
      </w:pPr>
      <w:r>
        <w:rPr>
          <w:rStyle w:val="FootnoteReference"/>
        </w:rPr>
        <w:footnoteRef/>
      </w:r>
      <w:r>
        <w:t xml:space="preserve"> Resolution E-5322, June 20, 2024, at 1.</w:t>
      </w:r>
    </w:p>
  </w:footnote>
  <w:footnote w:id="17">
    <w:p w14:paraId="3C9625B3" w14:textId="77777777" w:rsidR="00C90EBC" w:rsidRDefault="00C90EBC" w:rsidP="00C90EBC">
      <w:pPr>
        <w:pStyle w:val="FootnoteText"/>
      </w:pPr>
      <w:r>
        <w:rPr>
          <w:rStyle w:val="FootnoteReference"/>
        </w:rPr>
        <w:footnoteRef/>
      </w:r>
      <w:r>
        <w:t xml:space="preserve"> Resolution E-5322, June 20, 2024, at 1-2.</w:t>
      </w:r>
    </w:p>
  </w:footnote>
  <w:footnote w:id="18">
    <w:p w14:paraId="52E04E97" w14:textId="69341108" w:rsidR="003A5740" w:rsidRDefault="003A5740">
      <w:pPr>
        <w:pStyle w:val="FootnoteText"/>
      </w:pPr>
      <w:r>
        <w:rPr>
          <w:rStyle w:val="FootnoteReference"/>
        </w:rPr>
        <w:footnoteRef/>
      </w:r>
      <w:r>
        <w:t xml:space="preserve"> </w:t>
      </w:r>
      <w:r w:rsidR="00741796">
        <w:t>Although this was a Joint A</w:t>
      </w:r>
      <w:r w:rsidR="0043226B">
        <w:t xml:space="preserve">dvice </w:t>
      </w:r>
      <w:r w:rsidR="00741796">
        <w:t>L</w:t>
      </w:r>
      <w:r w:rsidR="0043226B">
        <w:t>etter</w:t>
      </w:r>
      <w:r w:rsidR="00741796">
        <w:t>, each CCA had its own A</w:t>
      </w:r>
      <w:r w:rsidR="0043226B">
        <w:t xml:space="preserve">dvice </w:t>
      </w:r>
      <w:r w:rsidR="00741796">
        <w:t>L</w:t>
      </w:r>
      <w:r w:rsidR="0043226B">
        <w:t>etter</w:t>
      </w:r>
      <w:r w:rsidR="00741796">
        <w:t xml:space="preserve"> number identified.  3CE’s </w:t>
      </w:r>
      <w:r w:rsidR="000E0ACB">
        <w:t>A</w:t>
      </w:r>
      <w:r w:rsidR="0043226B">
        <w:t xml:space="preserve">dvice </w:t>
      </w:r>
      <w:r w:rsidR="000E0ACB">
        <w:t>L</w:t>
      </w:r>
      <w:r w:rsidR="0043226B">
        <w:t>etter</w:t>
      </w:r>
      <w:r w:rsidR="000E0ACB">
        <w:t xml:space="preserve"> number was “3CE Advice Letter 36-E”.</w:t>
      </w:r>
    </w:p>
  </w:footnote>
  <w:footnote w:id="19">
    <w:p w14:paraId="72D26EAE" w14:textId="388D4A0C" w:rsidR="00EF16E7" w:rsidRDefault="00EF16E7" w:rsidP="00EF16E7">
      <w:pPr>
        <w:pStyle w:val="FootnoteText"/>
      </w:pPr>
      <w:r>
        <w:rPr>
          <w:rStyle w:val="FootnoteReference"/>
        </w:rPr>
        <w:footnoteRef/>
      </w:r>
      <w:r>
        <w:t xml:space="preserve"> Ex.3CE-02 Attachment H, Central Coast Community Energy Advice Letter 36-E, January 29, 2024 at H-1.</w:t>
      </w:r>
    </w:p>
  </w:footnote>
  <w:footnote w:id="20">
    <w:p w14:paraId="7EE58DCE" w14:textId="03A2FFB0" w:rsidR="008346D7" w:rsidRDefault="008346D7">
      <w:pPr>
        <w:pStyle w:val="FootnoteText"/>
      </w:pPr>
      <w:r>
        <w:rPr>
          <w:rStyle w:val="FootnoteReference"/>
        </w:rPr>
        <w:footnoteRef/>
      </w:r>
      <w:r>
        <w:t xml:space="preserve"> Although this was a Joint AL, each CCA had its own AL number identified.  3CE’s A</w:t>
      </w:r>
      <w:r w:rsidR="0043226B">
        <w:t xml:space="preserve">dvice </w:t>
      </w:r>
      <w:r>
        <w:t>L</w:t>
      </w:r>
      <w:r w:rsidR="0043226B">
        <w:t>etter</w:t>
      </w:r>
      <w:r>
        <w:t xml:space="preserve"> number was “3CE Advice Letter 36-E</w:t>
      </w:r>
      <w:r w:rsidR="004229CF">
        <w:t>-A</w:t>
      </w:r>
      <w:r>
        <w:t>”.</w:t>
      </w:r>
    </w:p>
  </w:footnote>
  <w:footnote w:id="21">
    <w:p w14:paraId="0DECF9D5" w14:textId="08A19DF2" w:rsidR="00EF16E7" w:rsidRDefault="00EF16E7" w:rsidP="00EF16E7">
      <w:pPr>
        <w:pStyle w:val="FootnoteText"/>
      </w:pPr>
      <w:r>
        <w:rPr>
          <w:rStyle w:val="FootnoteReference"/>
        </w:rPr>
        <w:footnoteRef/>
      </w:r>
      <w:r>
        <w:t xml:space="preserve"> Ex.3CE-02 Attachment I, March 13, 2024 at I-1.</w:t>
      </w:r>
    </w:p>
  </w:footnote>
  <w:footnote w:id="22">
    <w:p w14:paraId="57391427" w14:textId="7A0F5D00" w:rsidR="00EF16E7" w:rsidRDefault="00EF16E7" w:rsidP="00EF16E7">
      <w:pPr>
        <w:pStyle w:val="FootnoteText"/>
      </w:pPr>
      <w:r>
        <w:rPr>
          <w:rStyle w:val="FootnoteReference"/>
        </w:rPr>
        <w:footnoteRef/>
      </w:r>
      <w:r>
        <w:t xml:space="preserve"> Ex. 3CE-02 Attachment J, Disposition Letter Approving Central Coast Community Energy Advice Letter 36-E/36-E-A, April 29, 2024 at J-2.</w:t>
      </w:r>
    </w:p>
  </w:footnote>
  <w:footnote w:id="23">
    <w:p w14:paraId="27A61354" w14:textId="77777777" w:rsidR="004F1B11" w:rsidRDefault="004F1B11" w:rsidP="004F1B11">
      <w:pPr>
        <w:pStyle w:val="FootnoteText"/>
      </w:pPr>
      <w:r>
        <w:rPr>
          <w:rStyle w:val="FootnoteReference"/>
        </w:rPr>
        <w:footnoteRef/>
      </w:r>
      <w:r>
        <w:t xml:space="preserve"> Ex. 3CE-01E at 6-7.</w:t>
      </w:r>
    </w:p>
  </w:footnote>
  <w:footnote w:id="24">
    <w:p w14:paraId="29403EBE" w14:textId="6A5C061B" w:rsidR="004F1B11" w:rsidRDefault="004F1B11" w:rsidP="004F1B11">
      <w:pPr>
        <w:pStyle w:val="FootnoteText"/>
      </w:pPr>
      <w:r w:rsidRPr="009E70D2">
        <w:rPr>
          <w:rStyle w:val="FootnoteReference"/>
        </w:rPr>
        <w:footnoteRef/>
      </w:r>
      <w:r w:rsidRPr="009E70D2">
        <w:t xml:space="preserve"> Ex. 3CE-02 Attachment K, Central Coast Community Energy Tier 3 Advice Letter No.37-E; Request for Approval of Bioenergy Market Adjusting Tariff (BioMAT) Program 2024 and 2025 Forecasted Revenue Requirements Pursuant to D.23-11-084, February 1, 2024 at K-6.</w:t>
      </w:r>
    </w:p>
  </w:footnote>
  <w:footnote w:id="25">
    <w:p w14:paraId="20B3CA37" w14:textId="67632567" w:rsidR="004F1B11" w:rsidRPr="00E43D8D" w:rsidRDefault="004F1B11" w:rsidP="004F1B11">
      <w:pPr>
        <w:pStyle w:val="FootnoteText"/>
        <w:rPr>
          <w:lang w:val="it-IT"/>
        </w:rPr>
      </w:pPr>
      <w:r>
        <w:rPr>
          <w:rStyle w:val="FootnoteReference"/>
        </w:rPr>
        <w:footnoteRef/>
      </w:r>
      <w:r w:rsidRPr="00E43D8D">
        <w:rPr>
          <w:lang w:val="it-IT"/>
        </w:rPr>
        <w:t xml:space="preserve"> Ex.3CE-01E at 11.</w:t>
      </w:r>
    </w:p>
  </w:footnote>
  <w:footnote w:id="26">
    <w:p w14:paraId="6F80848D" w14:textId="77777777" w:rsidR="00236051" w:rsidRPr="00E43D8D" w:rsidRDefault="00236051" w:rsidP="00236051">
      <w:pPr>
        <w:pStyle w:val="FootnoteText"/>
        <w:rPr>
          <w:lang w:val="it-IT"/>
        </w:rPr>
      </w:pPr>
      <w:r>
        <w:rPr>
          <w:rStyle w:val="FootnoteReference"/>
        </w:rPr>
        <w:footnoteRef/>
      </w:r>
      <w:r w:rsidRPr="00E43D8D">
        <w:rPr>
          <w:lang w:val="it-IT"/>
        </w:rPr>
        <w:t xml:space="preserve"> D.23-11-084 at 25, FN 49.</w:t>
      </w:r>
    </w:p>
  </w:footnote>
  <w:footnote w:id="27">
    <w:p w14:paraId="6A9FD36F" w14:textId="619EDA53" w:rsidR="00154834" w:rsidRPr="00E43D8D" w:rsidRDefault="00154834">
      <w:pPr>
        <w:pStyle w:val="FootnoteText"/>
        <w:rPr>
          <w:lang w:val="it-IT"/>
        </w:rPr>
      </w:pPr>
      <w:r>
        <w:rPr>
          <w:rStyle w:val="FootnoteReference"/>
        </w:rPr>
        <w:footnoteRef/>
      </w:r>
      <w:r w:rsidRPr="00E43D8D">
        <w:rPr>
          <w:lang w:val="it-IT"/>
        </w:rPr>
        <w:t xml:space="preserve"> Ex.</w:t>
      </w:r>
      <w:r w:rsidR="00241346" w:rsidRPr="00E43D8D">
        <w:rPr>
          <w:lang w:val="it-IT"/>
        </w:rPr>
        <w:t xml:space="preserve"> </w:t>
      </w:r>
      <w:r w:rsidRPr="00E43D8D">
        <w:rPr>
          <w:lang w:val="it-IT"/>
        </w:rPr>
        <w:t>3CE</w:t>
      </w:r>
      <w:r w:rsidR="00241346" w:rsidRPr="00E43D8D">
        <w:rPr>
          <w:lang w:val="it-IT"/>
        </w:rPr>
        <w:t xml:space="preserve">-01E </w:t>
      </w:r>
      <w:r w:rsidRPr="00E43D8D">
        <w:rPr>
          <w:lang w:val="it-IT"/>
        </w:rPr>
        <w:t>at 16.</w:t>
      </w:r>
    </w:p>
  </w:footnote>
  <w:footnote w:id="28">
    <w:p w14:paraId="2F5A03C4" w14:textId="77777777" w:rsidR="00357989" w:rsidRDefault="00357989" w:rsidP="00357989">
      <w:pPr>
        <w:pStyle w:val="FootnoteText"/>
      </w:pPr>
      <w:r>
        <w:rPr>
          <w:rStyle w:val="FootnoteReference"/>
        </w:rPr>
        <w:footnoteRef/>
      </w:r>
      <w:r>
        <w:t xml:space="preserve"> Application at 7.</w:t>
      </w:r>
    </w:p>
  </w:footnote>
  <w:footnote w:id="29">
    <w:p w14:paraId="2B4F4926" w14:textId="1702D829" w:rsidR="00357989" w:rsidRPr="00666DAE" w:rsidRDefault="00357989" w:rsidP="00357989">
      <w:pPr>
        <w:pStyle w:val="FootnoteText"/>
        <w:rPr>
          <w:lang w:val="en-ZW"/>
        </w:rPr>
      </w:pPr>
      <w:r>
        <w:rPr>
          <w:rStyle w:val="FootnoteReference"/>
        </w:rPr>
        <w:footnoteRef/>
      </w:r>
      <w:r>
        <w:t xml:space="preserve"> The process was made per D.23-11-084, O</w:t>
      </w:r>
      <w:r w:rsidR="007F3620">
        <w:t>P</w:t>
      </w:r>
      <w:r>
        <w:t xml:space="preserve"> 2.</w:t>
      </w:r>
    </w:p>
  </w:footnote>
  <w:footnote w:id="30">
    <w:p w14:paraId="76E91D32" w14:textId="73A95F03" w:rsidR="00C773F2" w:rsidRDefault="00C773F2">
      <w:pPr>
        <w:pStyle w:val="FootnoteText"/>
      </w:pPr>
      <w:r>
        <w:rPr>
          <w:rStyle w:val="FootnoteReference"/>
        </w:rPr>
        <w:footnoteRef/>
      </w:r>
      <w:r>
        <w:t xml:space="preserve"> </w:t>
      </w:r>
      <w:r w:rsidR="00EB32C8">
        <w:t xml:space="preserve">Motion of Central Coast Community Energy to Admit Exhibits into the Record and to Modify the Schedule, February 19, 2026, </w:t>
      </w:r>
      <w:r>
        <w:t>at 2.</w:t>
      </w:r>
    </w:p>
  </w:footnote>
  <w:footnote w:id="31">
    <w:p w14:paraId="3F37AD01" w14:textId="7EC83238" w:rsidR="00302700" w:rsidRDefault="00302700">
      <w:pPr>
        <w:pStyle w:val="FootnoteText"/>
      </w:pPr>
      <w:r>
        <w:rPr>
          <w:rStyle w:val="FootnoteReference"/>
        </w:rPr>
        <w:footnoteRef/>
      </w:r>
      <w:r>
        <w:t xml:space="preserve"> Ruling Granting Motion of Central Coast Community Energy to Admit Exhibits into the Record and to Modify the Schedule, March 19, 2026, at </w:t>
      </w:r>
      <w:r w:rsidR="00053EC1">
        <w:t>3.</w:t>
      </w:r>
    </w:p>
  </w:footnote>
  <w:footnote w:id="32">
    <w:p w14:paraId="3E848789" w14:textId="41989D5C" w:rsidR="002E543F" w:rsidRDefault="002E543F">
      <w:pPr>
        <w:pStyle w:val="FootnoteText"/>
      </w:pPr>
      <w:r>
        <w:rPr>
          <w:rStyle w:val="FootnoteReference"/>
        </w:rPr>
        <w:footnoteRef/>
      </w:r>
      <w:r>
        <w:t xml:space="preserve"> Ruling Granting Motion of Central Coast Community Energy to Admit Exhibits into the Record and to Modify the Schedule, March 19, 2026, at 4.</w:t>
      </w:r>
    </w:p>
  </w:footnote>
  <w:footnote w:id="33">
    <w:p w14:paraId="0B5AB5A0" w14:textId="77777777" w:rsidR="00E0684E" w:rsidRDefault="00E0684E" w:rsidP="00E0684E">
      <w:pPr>
        <w:pStyle w:val="FootnoteText"/>
      </w:pPr>
      <w:r>
        <w:rPr>
          <w:rStyle w:val="FootnoteReference"/>
        </w:rPr>
        <w:footnoteRef/>
      </w:r>
      <w:r>
        <w:t xml:space="preserve"> </w:t>
      </w:r>
      <w:r w:rsidRPr="000735AA">
        <w:t>Pub. Util Code § 399.20 (f)(5)(K).</w:t>
      </w:r>
    </w:p>
  </w:footnote>
  <w:footnote w:id="34">
    <w:p w14:paraId="3EBDD510" w14:textId="77773961" w:rsidR="00B24CFD" w:rsidRDefault="00B24CFD" w:rsidP="00B24CFD">
      <w:pPr>
        <w:pStyle w:val="FootnoteText"/>
      </w:pPr>
      <w:r>
        <w:rPr>
          <w:rStyle w:val="FootnoteReference"/>
        </w:rPr>
        <w:footnoteRef/>
      </w:r>
      <w:r>
        <w:t xml:space="preserve"> </w:t>
      </w:r>
      <w:r w:rsidR="00F013B4" w:rsidRPr="00FA6372">
        <w:rPr>
          <w:i/>
          <w:iCs/>
        </w:rPr>
        <w:t>See</w:t>
      </w:r>
      <w:r w:rsidR="00F013B4">
        <w:t xml:space="preserve"> eg. </w:t>
      </w:r>
      <w:r w:rsidR="0057664A">
        <w:t>D.23-11-084, Ordering Paragraphs 2-6</w:t>
      </w:r>
      <w:r w:rsidR="0023611B">
        <w:t xml:space="preserve">. </w:t>
      </w:r>
    </w:p>
  </w:footnote>
  <w:footnote w:id="35">
    <w:p w14:paraId="624F07F3" w14:textId="77777777" w:rsidR="00010F4B" w:rsidRDefault="00010F4B" w:rsidP="00010F4B">
      <w:pPr>
        <w:pStyle w:val="FootnoteText"/>
      </w:pPr>
      <w:r>
        <w:rPr>
          <w:rStyle w:val="FootnoteReference"/>
        </w:rPr>
        <w:footnoteRef/>
      </w:r>
      <w:r>
        <w:t xml:space="preserve"> The Scoping Memo has a typo, and inadvertently says “SCE” instead of 3CE in this question.  Given that 3CE’s compliance with the prudent manager standard is raised in question 1, the fact that this is a 3CE application, and the rest of the context of the scoping memo, the Commission assumes that parties understood this was a typo.</w:t>
      </w:r>
    </w:p>
  </w:footnote>
  <w:footnote w:id="36">
    <w:p w14:paraId="3651DEE9" w14:textId="77777777" w:rsidR="00981D1D" w:rsidRDefault="00981D1D" w:rsidP="00981D1D">
      <w:pPr>
        <w:pStyle w:val="FootnoteText"/>
      </w:pPr>
      <w:r>
        <w:rPr>
          <w:rStyle w:val="FootnoteReference"/>
        </w:rPr>
        <w:footnoteRef/>
      </w:r>
      <w:r>
        <w:t xml:space="preserve"> </w:t>
      </w:r>
      <w:r w:rsidRPr="00426121">
        <w:t>D.23-11-084 at 62; COL 11.</w:t>
      </w:r>
      <w:r>
        <w:t xml:space="preserve">  </w:t>
      </w:r>
      <w:r w:rsidRPr="00F44CEA">
        <w:rPr>
          <w:i/>
          <w:iCs/>
        </w:rPr>
        <w:t>See also</w:t>
      </w:r>
      <w:r>
        <w:t>, D.23-11-084 at 53.</w:t>
      </w:r>
    </w:p>
  </w:footnote>
  <w:footnote w:id="37">
    <w:p w14:paraId="67511FAA" w14:textId="262A904D" w:rsidR="000E31C4" w:rsidRDefault="000E31C4">
      <w:pPr>
        <w:pStyle w:val="FootnoteText"/>
      </w:pPr>
      <w:r>
        <w:rPr>
          <w:rStyle w:val="FootnoteReference"/>
        </w:rPr>
        <w:footnoteRef/>
      </w:r>
      <w:r>
        <w:t xml:space="preserve"> </w:t>
      </w:r>
      <w:r w:rsidR="00216B90">
        <w:t>Ex. 3CE-01E at 28.</w:t>
      </w:r>
    </w:p>
  </w:footnote>
  <w:footnote w:id="38">
    <w:p w14:paraId="14361B4E" w14:textId="5E89937C" w:rsidR="000D5D6B" w:rsidRDefault="000D5D6B">
      <w:pPr>
        <w:pStyle w:val="FootnoteText"/>
      </w:pPr>
      <w:r>
        <w:rPr>
          <w:rStyle w:val="FootnoteReference"/>
        </w:rPr>
        <w:footnoteRef/>
      </w:r>
      <w:r>
        <w:t xml:space="preserve"> </w:t>
      </w:r>
      <w:r w:rsidR="00B42C27" w:rsidRPr="002C7D73">
        <w:rPr>
          <w:i/>
          <w:iCs/>
        </w:rPr>
        <w:t>See</w:t>
      </w:r>
      <w:r w:rsidR="00B42C27">
        <w:t xml:space="preserve"> </w:t>
      </w:r>
      <w:r>
        <w:t>Ex. 3CE-01E at 3-4. 3CE notes that D.23-11-084 Ordering Paragraphs 2, 3, 5, and 6 laid the groundwork for the implementation of 3CE’s BioMAT program.</w:t>
      </w:r>
      <w:r w:rsidR="00B42C27">
        <w:t xml:space="preserve"> </w:t>
      </w:r>
      <w:r w:rsidR="00197B69">
        <w:t>This section discusses that 3CE’s actions are consistent with each of these ordering paragraphs.</w:t>
      </w:r>
    </w:p>
  </w:footnote>
  <w:footnote w:id="39">
    <w:p w14:paraId="26013A36" w14:textId="7CB2B9C3" w:rsidR="00625400" w:rsidRDefault="00625400" w:rsidP="00625400">
      <w:pPr>
        <w:pStyle w:val="FootnoteText"/>
      </w:pPr>
      <w:r>
        <w:rPr>
          <w:rStyle w:val="FootnoteReference"/>
        </w:rPr>
        <w:footnoteRef/>
      </w:r>
      <w:r>
        <w:t xml:space="preserve"> </w:t>
      </w:r>
      <w:r w:rsidRPr="00426121">
        <w:t>D.23-11-084 at 62</w:t>
      </w:r>
      <w:r w:rsidR="005E4362">
        <w:t>,</w:t>
      </w:r>
      <w:r w:rsidRPr="00426121">
        <w:t xml:space="preserve"> COL 11.</w:t>
      </w:r>
    </w:p>
  </w:footnote>
  <w:footnote w:id="40">
    <w:p w14:paraId="1822E3FD" w14:textId="77777777" w:rsidR="00625400" w:rsidRDefault="00625400" w:rsidP="00625400">
      <w:pPr>
        <w:pStyle w:val="FootnoteText"/>
      </w:pPr>
      <w:r>
        <w:rPr>
          <w:rStyle w:val="FootnoteReference"/>
        </w:rPr>
        <w:footnoteRef/>
      </w:r>
      <w:r>
        <w:t xml:space="preserve"> </w:t>
      </w:r>
      <w:r w:rsidRPr="0076166C">
        <w:t>D.23-11-084 at 52.</w:t>
      </w:r>
    </w:p>
  </w:footnote>
  <w:footnote w:id="41">
    <w:p w14:paraId="616577BD" w14:textId="042FBC8E" w:rsidR="00991EE5" w:rsidRDefault="00991EE5">
      <w:pPr>
        <w:pStyle w:val="FootnoteText"/>
      </w:pPr>
      <w:r>
        <w:rPr>
          <w:rStyle w:val="FootnoteReference"/>
        </w:rPr>
        <w:footnoteRef/>
      </w:r>
      <w:r>
        <w:t xml:space="preserve"> Ex. 3CE-01E at 5</w:t>
      </w:r>
      <w:r w:rsidR="00874F06">
        <w:t xml:space="preserve">; </w:t>
      </w:r>
      <w:r w:rsidR="00851D28" w:rsidRPr="00851D28">
        <w:rPr>
          <w:i/>
          <w:iCs/>
        </w:rPr>
        <w:t>See also</w:t>
      </w:r>
      <w:r w:rsidR="00851D28">
        <w:t xml:space="preserve"> </w:t>
      </w:r>
      <w:r w:rsidR="00874F06">
        <w:t>Ex. 3CE-02</w:t>
      </w:r>
      <w:r w:rsidR="00851D28">
        <w:t xml:space="preserve"> Appendix H at H-1 (3CE Advice Letter 36-E).</w:t>
      </w:r>
    </w:p>
  </w:footnote>
  <w:footnote w:id="42">
    <w:p w14:paraId="4FF0E370" w14:textId="12E4B58A" w:rsidR="00830067" w:rsidRPr="00E43D8D" w:rsidRDefault="00830067">
      <w:pPr>
        <w:pStyle w:val="FootnoteText"/>
        <w:rPr>
          <w:lang w:val="it-IT"/>
        </w:rPr>
      </w:pPr>
      <w:r>
        <w:rPr>
          <w:rStyle w:val="FootnoteReference"/>
        </w:rPr>
        <w:footnoteRef/>
      </w:r>
      <w:r w:rsidRPr="00E43D8D">
        <w:rPr>
          <w:lang w:val="it-IT"/>
        </w:rPr>
        <w:t xml:space="preserve"> </w:t>
      </w:r>
      <w:r w:rsidR="00850B25" w:rsidRPr="00E43D8D">
        <w:rPr>
          <w:lang w:val="it-IT"/>
        </w:rPr>
        <w:t>Ex. 3CE-01E at 6.</w:t>
      </w:r>
    </w:p>
  </w:footnote>
  <w:footnote w:id="43">
    <w:p w14:paraId="66E72470" w14:textId="51A52996" w:rsidR="00AF0D9C" w:rsidRPr="00E43D8D" w:rsidRDefault="00AF0D9C">
      <w:pPr>
        <w:pStyle w:val="FootnoteText"/>
        <w:rPr>
          <w:lang w:val="it-IT"/>
        </w:rPr>
      </w:pPr>
      <w:r>
        <w:rPr>
          <w:rStyle w:val="FootnoteReference"/>
        </w:rPr>
        <w:footnoteRef/>
      </w:r>
      <w:r w:rsidRPr="00E43D8D">
        <w:rPr>
          <w:lang w:val="it-IT"/>
        </w:rPr>
        <w:t xml:space="preserve"> </w:t>
      </w:r>
      <w:r w:rsidR="00C90159" w:rsidRPr="00E43D8D">
        <w:rPr>
          <w:lang w:val="it-IT"/>
        </w:rPr>
        <w:t>Ex. 3CE-01E at 6.</w:t>
      </w:r>
    </w:p>
  </w:footnote>
  <w:footnote w:id="44">
    <w:p w14:paraId="154202C2" w14:textId="02B0A785" w:rsidR="00C34A5D" w:rsidRPr="00E104EA" w:rsidRDefault="00C34A5D" w:rsidP="00C34A5D">
      <w:pPr>
        <w:pStyle w:val="FootnoteText"/>
        <w:rPr>
          <w:highlight w:val="red"/>
        </w:rPr>
      </w:pPr>
      <w:r w:rsidRPr="000279B0">
        <w:rPr>
          <w:rStyle w:val="FootnoteReference"/>
        </w:rPr>
        <w:footnoteRef/>
      </w:r>
      <w:r w:rsidRPr="000279B0">
        <w:t xml:space="preserve"> Ex. 3CE-02 </w:t>
      </w:r>
      <w:r w:rsidR="000F1A7D" w:rsidRPr="000279B0">
        <w:t xml:space="preserve">Attachment </w:t>
      </w:r>
      <w:r w:rsidR="00861454" w:rsidRPr="000279B0">
        <w:t>H</w:t>
      </w:r>
      <w:r w:rsidR="000F1A7D" w:rsidRPr="000279B0">
        <w:t xml:space="preserve"> at H-24. </w:t>
      </w:r>
      <w:r w:rsidR="00EC06BE">
        <w:t xml:space="preserve"> [Appendix A to Joint CCAs BioEnergy Market Adjusting Tariff (BioMAT) Implementation Tier 2 Advice Letter Pursuant to D.23-11-084)]</w:t>
      </w:r>
    </w:p>
  </w:footnote>
  <w:footnote w:id="45">
    <w:p w14:paraId="0A87D969" w14:textId="33EAB810" w:rsidR="005C3D54" w:rsidRPr="00A21A29" w:rsidRDefault="005C3D54" w:rsidP="005C3D54">
      <w:pPr>
        <w:pStyle w:val="FootnoteText"/>
      </w:pPr>
      <w:r w:rsidRPr="000279B0">
        <w:rPr>
          <w:rStyle w:val="FootnoteReference"/>
        </w:rPr>
        <w:footnoteRef/>
      </w:r>
      <w:r w:rsidRPr="000279B0">
        <w:t xml:space="preserve"> Ex. 3CE-02 Attachment H at H-339.</w:t>
      </w:r>
    </w:p>
  </w:footnote>
  <w:footnote w:id="46">
    <w:p w14:paraId="20709AC7" w14:textId="08A4EDE9" w:rsidR="00C34A5D" w:rsidRPr="00A21A29" w:rsidRDefault="00C34A5D" w:rsidP="00C34A5D">
      <w:pPr>
        <w:pStyle w:val="FootnoteText"/>
        <w:rPr>
          <w:b/>
          <w:bCs/>
        </w:rPr>
      </w:pPr>
      <w:r w:rsidRPr="000279B0">
        <w:rPr>
          <w:rStyle w:val="FootnoteReference"/>
        </w:rPr>
        <w:footnoteRef/>
      </w:r>
      <w:r w:rsidRPr="000279B0">
        <w:t xml:space="preserve"> Ex. 3CE-02 </w:t>
      </w:r>
      <w:r w:rsidR="00E104EA" w:rsidRPr="000279B0">
        <w:t xml:space="preserve">Attachment H at </w:t>
      </w:r>
      <w:r w:rsidRPr="000279B0">
        <w:t>H-24, Section E,1.</w:t>
      </w:r>
    </w:p>
  </w:footnote>
  <w:footnote w:id="47">
    <w:p w14:paraId="1AEE9704" w14:textId="60932489" w:rsidR="00C34A5D" w:rsidRPr="00A21A29" w:rsidRDefault="00C34A5D" w:rsidP="00C34A5D">
      <w:pPr>
        <w:pStyle w:val="FootnoteText"/>
      </w:pPr>
      <w:r w:rsidRPr="00A21A29">
        <w:rPr>
          <w:rStyle w:val="FootnoteReference"/>
        </w:rPr>
        <w:footnoteRef/>
      </w:r>
      <w:r w:rsidRPr="00A21A29">
        <w:t xml:space="preserve"> </w:t>
      </w:r>
      <w:r w:rsidR="00E104EA" w:rsidRPr="000279B0">
        <w:t>Ex. 3CE-02 Attachment H at H-24, Section E</w:t>
      </w:r>
      <w:r w:rsidR="007742CA" w:rsidRPr="000279B0">
        <w:t>.2.</w:t>
      </w:r>
      <w:r w:rsidR="007742CA" w:rsidRPr="00A21A29">
        <w:t xml:space="preserve">  </w:t>
      </w:r>
    </w:p>
  </w:footnote>
  <w:footnote w:id="48">
    <w:p w14:paraId="4E243C4F" w14:textId="07ED78C2" w:rsidR="00C34A5D" w:rsidRPr="00A21A29" w:rsidRDefault="00C34A5D" w:rsidP="00C34A5D">
      <w:pPr>
        <w:pStyle w:val="FootnoteText"/>
      </w:pPr>
      <w:r w:rsidRPr="00A21A29">
        <w:rPr>
          <w:rStyle w:val="FootnoteReference"/>
        </w:rPr>
        <w:footnoteRef/>
      </w:r>
      <w:r w:rsidR="004A7593" w:rsidRPr="00A21A29">
        <w:t xml:space="preserve"> </w:t>
      </w:r>
      <w:r w:rsidRPr="000279B0">
        <w:t xml:space="preserve">Ex. 3CE-02 </w:t>
      </w:r>
      <w:r w:rsidRPr="000279B0">
        <w:rPr>
          <w:sz w:val="20"/>
        </w:rPr>
        <w:t>A</w:t>
      </w:r>
      <w:r w:rsidR="00610BBE" w:rsidRPr="000279B0">
        <w:rPr>
          <w:sz w:val="20"/>
        </w:rPr>
        <w:t>ttachment</w:t>
      </w:r>
      <w:r w:rsidRPr="000279B0">
        <w:rPr>
          <w:sz w:val="20"/>
        </w:rPr>
        <w:t xml:space="preserve"> H</w:t>
      </w:r>
      <w:r w:rsidRPr="000279B0">
        <w:t xml:space="preserve"> at H-24, Section E.2.c.</w:t>
      </w:r>
    </w:p>
  </w:footnote>
  <w:footnote w:id="49">
    <w:p w14:paraId="5F2A83F4" w14:textId="3C3E6DEA" w:rsidR="00C34A5D" w:rsidRDefault="00C34A5D" w:rsidP="00C34A5D">
      <w:pPr>
        <w:pStyle w:val="FootnoteText"/>
      </w:pPr>
      <w:r w:rsidRPr="00A21A29">
        <w:rPr>
          <w:rStyle w:val="FootnoteReference"/>
        </w:rPr>
        <w:footnoteRef/>
      </w:r>
      <w:r w:rsidRPr="00A21A29">
        <w:t xml:space="preserve"> </w:t>
      </w:r>
      <w:r w:rsidRPr="000279B0">
        <w:t xml:space="preserve">Ex. 3CE-02 </w:t>
      </w:r>
      <w:r w:rsidR="00263EA5" w:rsidRPr="000279B0">
        <w:t xml:space="preserve">at 4, referencing </w:t>
      </w:r>
      <w:r w:rsidR="00FD4C61" w:rsidRPr="000279B0">
        <w:t xml:space="preserve">Attachment A, </w:t>
      </w:r>
      <w:r w:rsidR="00770BAA" w:rsidRPr="000279B0">
        <w:t>Program Participation Request</w:t>
      </w:r>
      <w:r w:rsidR="00FD4C61" w:rsidRPr="000279B0">
        <w:t>, 218-01</w:t>
      </w:r>
      <w:r w:rsidRPr="000279B0">
        <w:t>.</w:t>
      </w:r>
    </w:p>
  </w:footnote>
  <w:footnote w:id="50">
    <w:p w14:paraId="2E532A67" w14:textId="274509DD" w:rsidR="00C34A5D" w:rsidRPr="00A21A29" w:rsidRDefault="00C34A5D" w:rsidP="00C34A5D">
      <w:pPr>
        <w:pStyle w:val="FootnoteText"/>
      </w:pPr>
      <w:r w:rsidRPr="00A21A29">
        <w:rPr>
          <w:rStyle w:val="FootnoteReference"/>
        </w:rPr>
        <w:footnoteRef/>
      </w:r>
      <w:r w:rsidRPr="00A21A29">
        <w:t xml:space="preserve"> </w:t>
      </w:r>
      <w:r w:rsidRPr="000279B0">
        <w:t xml:space="preserve">Ex. 3CE-02 </w:t>
      </w:r>
      <w:r w:rsidR="00610BBE" w:rsidRPr="000279B0">
        <w:rPr>
          <w:sz w:val="20"/>
        </w:rPr>
        <w:t>Attachment</w:t>
      </w:r>
      <w:r w:rsidRPr="000279B0">
        <w:rPr>
          <w:sz w:val="20"/>
        </w:rPr>
        <w:t xml:space="preserve"> H</w:t>
      </w:r>
      <w:r w:rsidRPr="000279B0">
        <w:t xml:space="preserve"> at H-24, Section E.2.a</w:t>
      </w:r>
      <w:r w:rsidRPr="00A21A29">
        <w:t xml:space="preserve">; Ex. 3CE-01 at 22-23.  </w:t>
      </w:r>
    </w:p>
    <w:p w14:paraId="478E7E5F" w14:textId="4CDEBACD" w:rsidR="00C34A5D" w:rsidRPr="00A21A29" w:rsidRDefault="00C34A5D" w:rsidP="00C34A5D">
      <w:pPr>
        <w:pStyle w:val="FootnoteText"/>
      </w:pPr>
      <w:r w:rsidRPr="00A21A29">
        <w:rPr>
          <w:rStyle w:val="FootnoteReference"/>
        </w:rPr>
        <w:footnoteRef/>
      </w:r>
      <w:r w:rsidRPr="00A21A29">
        <w:t xml:space="preserve"> </w:t>
      </w:r>
      <w:r w:rsidRPr="000279B0">
        <w:t>Ex. 3CE-02</w:t>
      </w:r>
      <w:r w:rsidRPr="00A21A29">
        <w:t xml:space="preserve"> </w:t>
      </w:r>
      <w:r w:rsidRPr="000279B0">
        <w:rPr>
          <w:sz w:val="20"/>
        </w:rPr>
        <w:t>A</w:t>
      </w:r>
      <w:r w:rsidR="00610BBE" w:rsidRPr="000279B0">
        <w:rPr>
          <w:sz w:val="20"/>
        </w:rPr>
        <w:t>ttachment</w:t>
      </w:r>
      <w:r w:rsidRPr="000279B0">
        <w:rPr>
          <w:sz w:val="20"/>
        </w:rPr>
        <w:t xml:space="preserve"> H</w:t>
      </w:r>
      <w:r w:rsidRPr="000279B0">
        <w:t xml:space="preserve"> at H-24, Section E.2.a.</w:t>
      </w:r>
    </w:p>
  </w:footnote>
  <w:footnote w:id="51">
    <w:p w14:paraId="4092CAE5" w14:textId="77777777" w:rsidR="00C34A5D" w:rsidRPr="00A21A29" w:rsidRDefault="00C34A5D" w:rsidP="00C34A5D">
      <w:pPr>
        <w:pStyle w:val="FootnoteText"/>
      </w:pPr>
      <w:r w:rsidRPr="00A21A29">
        <w:rPr>
          <w:rStyle w:val="FootnoteReference"/>
        </w:rPr>
        <w:footnoteRef/>
      </w:r>
      <w:r w:rsidRPr="00A21A29">
        <w:t xml:space="preserve"> Ex. 3CE-01 at 22.</w:t>
      </w:r>
    </w:p>
  </w:footnote>
  <w:footnote w:id="52">
    <w:p w14:paraId="5A7E7880" w14:textId="05403AE8" w:rsidR="00C34A5D" w:rsidRPr="00A21A29" w:rsidRDefault="00C34A5D" w:rsidP="00C34A5D">
      <w:pPr>
        <w:pStyle w:val="FootnoteText"/>
      </w:pPr>
      <w:r w:rsidRPr="00A21A29">
        <w:rPr>
          <w:rStyle w:val="FootnoteReference"/>
        </w:rPr>
        <w:footnoteRef/>
      </w:r>
      <w:r w:rsidRPr="00A21A29">
        <w:t xml:space="preserve"> </w:t>
      </w:r>
      <w:r w:rsidR="00BC0B04" w:rsidRPr="000279B0">
        <w:t>Ex. 3CE-02</w:t>
      </w:r>
      <w:r w:rsidR="00BC0B04" w:rsidRPr="00A21A29">
        <w:t xml:space="preserve"> </w:t>
      </w:r>
      <w:r w:rsidR="005E797C" w:rsidRPr="000279B0">
        <w:rPr>
          <w:sz w:val="20"/>
        </w:rPr>
        <w:t>Attachment</w:t>
      </w:r>
      <w:r w:rsidRPr="000279B0">
        <w:rPr>
          <w:sz w:val="20"/>
        </w:rPr>
        <w:t xml:space="preserve"> H</w:t>
      </w:r>
      <w:r w:rsidR="007F65C3" w:rsidRPr="000279B0">
        <w:t xml:space="preserve"> </w:t>
      </w:r>
      <w:r w:rsidRPr="000279B0">
        <w:t>at H-25</w:t>
      </w:r>
      <w:r w:rsidR="004C78C5">
        <w:t xml:space="preserve"> </w:t>
      </w:r>
      <w:r w:rsidRPr="000279B0">
        <w:t>-</w:t>
      </w:r>
      <w:r w:rsidR="004C78C5">
        <w:t xml:space="preserve"> </w:t>
      </w:r>
      <w:r w:rsidRPr="000279B0">
        <w:t>H-26, Section E.2.d.</w:t>
      </w:r>
    </w:p>
  </w:footnote>
  <w:footnote w:id="53">
    <w:p w14:paraId="40E1A103" w14:textId="77777777" w:rsidR="00C34A5D" w:rsidRPr="00A21A29" w:rsidRDefault="00C34A5D" w:rsidP="00C34A5D">
      <w:pPr>
        <w:pStyle w:val="FootnoteText"/>
      </w:pPr>
      <w:r w:rsidRPr="00A21A29">
        <w:rPr>
          <w:rStyle w:val="FootnoteReference"/>
        </w:rPr>
        <w:footnoteRef/>
      </w:r>
      <w:r w:rsidRPr="00A21A29">
        <w:t xml:space="preserve"> Ex. 3CE-01 at 13.</w:t>
      </w:r>
    </w:p>
  </w:footnote>
  <w:footnote w:id="54">
    <w:p w14:paraId="2AEADA1D" w14:textId="6421E12A" w:rsidR="00C34A5D" w:rsidRDefault="00C34A5D" w:rsidP="00C34A5D">
      <w:pPr>
        <w:pStyle w:val="FootnoteText"/>
      </w:pPr>
      <w:r w:rsidRPr="00A21A29">
        <w:rPr>
          <w:rStyle w:val="FootnoteReference"/>
        </w:rPr>
        <w:footnoteRef/>
      </w:r>
      <w:r w:rsidRPr="00A21A29">
        <w:t xml:space="preserve"> </w:t>
      </w:r>
      <w:r w:rsidR="00073C29" w:rsidRPr="000279B0">
        <w:t xml:space="preserve">Ex. 3CE-02, </w:t>
      </w:r>
      <w:r w:rsidRPr="000279B0">
        <w:rPr>
          <w:sz w:val="20"/>
        </w:rPr>
        <w:t>A</w:t>
      </w:r>
      <w:r w:rsidR="00EE12B8" w:rsidRPr="000279B0">
        <w:rPr>
          <w:sz w:val="20"/>
        </w:rPr>
        <w:t>ttachment</w:t>
      </w:r>
      <w:r w:rsidRPr="000279B0">
        <w:rPr>
          <w:sz w:val="20"/>
        </w:rPr>
        <w:t xml:space="preserve"> H</w:t>
      </w:r>
      <w:r w:rsidR="00EE12B8" w:rsidRPr="000279B0">
        <w:rPr>
          <w:sz w:val="20"/>
        </w:rPr>
        <w:t>,</w:t>
      </w:r>
      <w:r w:rsidRPr="000279B0">
        <w:t xml:space="preserve"> at H-25-H-26, Section E.2.d.</w:t>
      </w:r>
    </w:p>
  </w:footnote>
  <w:footnote w:id="55">
    <w:p w14:paraId="18B31F6D" w14:textId="0C208604" w:rsidR="00AE51A2" w:rsidRDefault="00AE51A2">
      <w:pPr>
        <w:pStyle w:val="FootnoteText"/>
      </w:pPr>
      <w:r w:rsidRPr="00A21A29">
        <w:rPr>
          <w:rStyle w:val="FootnoteReference"/>
        </w:rPr>
        <w:footnoteRef/>
      </w:r>
      <w:r w:rsidRPr="00A21A29">
        <w:t xml:space="preserve"> Ex. 3CE-02 at 11</w:t>
      </w:r>
      <w:r w:rsidR="007521A3" w:rsidRPr="00A21A29">
        <w:t>, referencing Attachment E at E-104 and E-105.</w:t>
      </w:r>
    </w:p>
  </w:footnote>
  <w:footnote w:id="56">
    <w:p w14:paraId="1D80C7A4" w14:textId="691241A9" w:rsidR="00C34A5D" w:rsidRPr="00A21A29" w:rsidRDefault="00C34A5D" w:rsidP="00C34A5D">
      <w:pPr>
        <w:pStyle w:val="FootnoteText"/>
      </w:pPr>
      <w:r w:rsidRPr="00A21A29">
        <w:rPr>
          <w:rStyle w:val="FootnoteReference"/>
        </w:rPr>
        <w:footnoteRef/>
      </w:r>
      <w:r w:rsidRPr="00A21A29">
        <w:t xml:space="preserve"> </w:t>
      </w:r>
      <w:r w:rsidR="00BF508B" w:rsidRPr="00DE704F">
        <w:t xml:space="preserve">Ex. 3CE-02 </w:t>
      </w:r>
      <w:r w:rsidRPr="00DE704F">
        <w:rPr>
          <w:sz w:val="20"/>
        </w:rPr>
        <w:t>A</w:t>
      </w:r>
      <w:r w:rsidR="00BF508B" w:rsidRPr="00DE704F">
        <w:rPr>
          <w:sz w:val="20"/>
        </w:rPr>
        <w:t>ttachment</w:t>
      </w:r>
      <w:r w:rsidRPr="00DE704F">
        <w:rPr>
          <w:sz w:val="20"/>
        </w:rPr>
        <w:t xml:space="preserve"> H</w:t>
      </w:r>
      <w:r w:rsidRPr="00DE704F">
        <w:t xml:space="preserve"> at H-26, Section E.2.e.</w:t>
      </w:r>
    </w:p>
  </w:footnote>
  <w:footnote w:id="57">
    <w:p w14:paraId="70779BF1" w14:textId="1C27C3A2" w:rsidR="00C34A5D" w:rsidRPr="00A21A29" w:rsidRDefault="00C34A5D" w:rsidP="00C34A5D">
      <w:pPr>
        <w:pStyle w:val="FootnoteText"/>
      </w:pPr>
      <w:r w:rsidRPr="00A21A29">
        <w:rPr>
          <w:rStyle w:val="FootnoteReference"/>
        </w:rPr>
        <w:footnoteRef/>
      </w:r>
      <w:r w:rsidRPr="00A21A29">
        <w:t xml:space="preserve"> </w:t>
      </w:r>
      <w:r w:rsidR="00BF508B" w:rsidRPr="00DE704F">
        <w:t xml:space="preserve">Ex. 3CE-02 </w:t>
      </w:r>
      <w:r w:rsidRPr="00DE704F">
        <w:rPr>
          <w:sz w:val="20"/>
        </w:rPr>
        <w:t>A</w:t>
      </w:r>
      <w:r w:rsidR="00BF508B" w:rsidRPr="00DE704F">
        <w:rPr>
          <w:sz w:val="20"/>
        </w:rPr>
        <w:t>ttachment</w:t>
      </w:r>
      <w:r w:rsidRPr="00DE704F">
        <w:rPr>
          <w:sz w:val="20"/>
        </w:rPr>
        <w:t xml:space="preserve"> H</w:t>
      </w:r>
      <w:r w:rsidRPr="00DE704F">
        <w:t xml:space="preserve"> at H-27, Section E.2.g.</w:t>
      </w:r>
    </w:p>
  </w:footnote>
  <w:footnote w:id="58">
    <w:p w14:paraId="37A663B0" w14:textId="6AAD7456" w:rsidR="00C34A5D" w:rsidRPr="00A21A29" w:rsidRDefault="00C34A5D" w:rsidP="00C34A5D">
      <w:pPr>
        <w:pStyle w:val="FootnoteText"/>
      </w:pPr>
      <w:r w:rsidRPr="00A21A29">
        <w:rPr>
          <w:rStyle w:val="FootnoteReference"/>
        </w:rPr>
        <w:footnoteRef/>
      </w:r>
      <w:r w:rsidRPr="00A21A29">
        <w:t xml:space="preserve"> </w:t>
      </w:r>
      <w:r w:rsidR="00BF508B" w:rsidRPr="00DE704F">
        <w:t xml:space="preserve">Ex. 3CE-02 Attachment H </w:t>
      </w:r>
      <w:r w:rsidRPr="00DE704F">
        <w:t>at H-34-H-35, Section I.4.</w:t>
      </w:r>
    </w:p>
  </w:footnote>
  <w:footnote w:id="59">
    <w:p w14:paraId="054B2996" w14:textId="265685BF" w:rsidR="00C34A5D" w:rsidRDefault="00C34A5D" w:rsidP="00C34A5D">
      <w:pPr>
        <w:pStyle w:val="FootnoteText"/>
      </w:pPr>
      <w:r w:rsidRPr="00A21A29">
        <w:rPr>
          <w:rStyle w:val="FootnoteReference"/>
        </w:rPr>
        <w:footnoteRef/>
      </w:r>
      <w:r w:rsidRPr="00A21A29">
        <w:t xml:space="preserve"> </w:t>
      </w:r>
      <w:r w:rsidR="00BF508B" w:rsidRPr="00DE704F">
        <w:t xml:space="preserve">Ex. 3CE-02 Attachment H </w:t>
      </w:r>
      <w:r w:rsidRPr="00DE704F">
        <w:t>at H-35, Section I.6.</w:t>
      </w:r>
    </w:p>
  </w:footnote>
  <w:footnote w:id="60">
    <w:p w14:paraId="2F872062" w14:textId="6055B000" w:rsidR="00C34A5D" w:rsidRDefault="00C34A5D" w:rsidP="00C34A5D">
      <w:pPr>
        <w:pStyle w:val="FootnoteText"/>
      </w:pPr>
      <w:r>
        <w:rPr>
          <w:rStyle w:val="FootnoteReference"/>
        </w:rPr>
        <w:footnoteRef/>
      </w:r>
      <w:r>
        <w:t xml:space="preserve"> Ex. 3CE-01 at 16-17.</w:t>
      </w:r>
    </w:p>
  </w:footnote>
  <w:footnote w:id="61">
    <w:p w14:paraId="6DF20E9D" w14:textId="524DD201" w:rsidR="00C34A5D" w:rsidRDefault="00C34A5D" w:rsidP="00C34A5D">
      <w:pPr>
        <w:pStyle w:val="FootnoteText"/>
      </w:pPr>
      <w:r>
        <w:rPr>
          <w:rStyle w:val="FootnoteReference"/>
        </w:rPr>
        <w:footnoteRef/>
      </w:r>
      <w:r>
        <w:t xml:space="preserve"> Ex. 3CE-01 at 17.</w:t>
      </w:r>
    </w:p>
  </w:footnote>
  <w:footnote w:id="62">
    <w:p w14:paraId="7A279405" w14:textId="0E7E60AF" w:rsidR="00C34A5D" w:rsidRDefault="00C34A5D" w:rsidP="00C34A5D">
      <w:pPr>
        <w:pStyle w:val="FootnoteText"/>
      </w:pPr>
      <w:r>
        <w:rPr>
          <w:rStyle w:val="FootnoteReference"/>
        </w:rPr>
        <w:footnoteRef/>
      </w:r>
      <w:r>
        <w:t xml:space="preserve"> Ex. 3CE-01 at 17.</w:t>
      </w:r>
    </w:p>
  </w:footnote>
  <w:footnote w:id="63">
    <w:p w14:paraId="5B666EBD" w14:textId="214FD7C4" w:rsidR="00C34A5D" w:rsidRDefault="00C34A5D" w:rsidP="00C34A5D">
      <w:pPr>
        <w:pStyle w:val="FootnoteText"/>
      </w:pPr>
      <w:r>
        <w:rPr>
          <w:rStyle w:val="FootnoteReference"/>
        </w:rPr>
        <w:footnoteRef/>
      </w:r>
      <w:r>
        <w:t xml:space="preserve"> Ex. 3CE-01 at 18.</w:t>
      </w:r>
    </w:p>
  </w:footnote>
  <w:footnote w:id="64">
    <w:p w14:paraId="03B32A4C" w14:textId="3EE74B72" w:rsidR="00C34A5D" w:rsidRDefault="00C34A5D" w:rsidP="00C34A5D">
      <w:pPr>
        <w:pStyle w:val="FootnoteText"/>
      </w:pPr>
      <w:r>
        <w:rPr>
          <w:rStyle w:val="FootnoteReference"/>
        </w:rPr>
        <w:footnoteRef/>
      </w:r>
      <w:r>
        <w:t xml:space="preserve"> Ex. 3CE-01</w:t>
      </w:r>
      <w:r w:rsidR="00EE174B">
        <w:t xml:space="preserve"> </w:t>
      </w:r>
      <w:r>
        <w:t>at 18.</w:t>
      </w:r>
    </w:p>
  </w:footnote>
  <w:footnote w:id="65">
    <w:p w14:paraId="0B6A4CBA" w14:textId="77777777" w:rsidR="00C34A5D" w:rsidRDefault="00C34A5D" w:rsidP="00C34A5D">
      <w:pPr>
        <w:pStyle w:val="FootnoteText"/>
      </w:pPr>
      <w:r>
        <w:rPr>
          <w:rStyle w:val="FootnoteReference"/>
        </w:rPr>
        <w:footnoteRef/>
      </w:r>
      <w:r>
        <w:t xml:space="preserve"> Ex. 3CE-01 at 18.</w:t>
      </w:r>
    </w:p>
  </w:footnote>
  <w:footnote w:id="66">
    <w:p w14:paraId="22217D31" w14:textId="3F04B18E" w:rsidR="00C34A5D" w:rsidRPr="00A21A29" w:rsidRDefault="00C34A5D" w:rsidP="00C34A5D">
      <w:pPr>
        <w:pStyle w:val="FootnoteText"/>
      </w:pPr>
      <w:r w:rsidRPr="00A21A29">
        <w:rPr>
          <w:rStyle w:val="FootnoteReference"/>
        </w:rPr>
        <w:footnoteRef/>
      </w:r>
      <w:r w:rsidRPr="00A21A29">
        <w:t xml:space="preserve"> </w:t>
      </w:r>
      <w:r w:rsidR="00930791" w:rsidRPr="00DE704F">
        <w:t>Ex. 3CE-02 Attachment H at H-30, Section G.2.</w:t>
      </w:r>
    </w:p>
  </w:footnote>
  <w:footnote w:id="67">
    <w:p w14:paraId="79CC7792" w14:textId="321C66DC" w:rsidR="00C34A5D" w:rsidRPr="00A21A29" w:rsidRDefault="00C34A5D" w:rsidP="00C34A5D">
      <w:pPr>
        <w:pStyle w:val="FootnoteText"/>
      </w:pPr>
      <w:r w:rsidRPr="00A21A29">
        <w:rPr>
          <w:rStyle w:val="FootnoteReference"/>
        </w:rPr>
        <w:footnoteRef/>
      </w:r>
      <w:r w:rsidRPr="00A21A29">
        <w:t xml:space="preserve"> </w:t>
      </w:r>
      <w:r w:rsidR="00EC6A1B" w:rsidRPr="00DE704F">
        <w:t xml:space="preserve">Ex. 3CE-02 Attachment H </w:t>
      </w:r>
      <w:r w:rsidRPr="00DE704F">
        <w:t>at H-35, Section I.8.</w:t>
      </w:r>
    </w:p>
  </w:footnote>
  <w:footnote w:id="68">
    <w:p w14:paraId="341413C7" w14:textId="06A2CA56" w:rsidR="00C34A5D" w:rsidRPr="00A21A29" w:rsidRDefault="00C34A5D" w:rsidP="00C34A5D">
      <w:pPr>
        <w:pStyle w:val="FootnoteText"/>
      </w:pPr>
      <w:r w:rsidRPr="00A21A29">
        <w:rPr>
          <w:rStyle w:val="FootnoteReference"/>
        </w:rPr>
        <w:footnoteRef/>
      </w:r>
      <w:r w:rsidRPr="00A21A29">
        <w:t xml:space="preserve"> </w:t>
      </w:r>
      <w:r w:rsidR="00EC6A1B" w:rsidRPr="00DE704F">
        <w:t xml:space="preserve">Ex. 3CE-02 Attachment H </w:t>
      </w:r>
      <w:r w:rsidR="00CA2934" w:rsidRPr="00DE704F">
        <w:t>at H-</w:t>
      </w:r>
      <w:r w:rsidR="004254AC" w:rsidRPr="00DE704F">
        <w:t>30-</w:t>
      </w:r>
      <w:r w:rsidR="00CA2934" w:rsidRPr="00DE704F">
        <w:t>31, Section H.</w:t>
      </w:r>
    </w:p>
  </w:footnote>
  <w:footnote w:id="69">
    <w:p w14:paraId="014776F7" w14:textId="2E38F280" w:rsidR="00C34A5D" w:rsidRPr="00285B91" w:rsidRDefault="00C34A5D" w:rsidP="00C34A5D">
      <w:pPr>
        <w:pStyle w:val="FootnoteText"/>
      </w:pPr>
      <w:r w:rsidRPr="00A21A29">
        <w:rPr>
          <w:rStyle w:val="FootnoteReference"/>
        </w:rPr>
        <w:footnoteRef/>
      </w:r>
      <w:r w:rsidRPr="00A21A29">
        <w:t xml:space="preserve"> </w:t>
      </w:r>
      <w:r w:rsidRPr="00DE704F">
        <w:t xml:space="preserve">Ex. 3CE-02 </w:t>
      </w:r>
      <w:r w:rsidR="000E2092" w:rsidRPr="00DE704F">
        <w:t xml:space="preserve">Attachment H </w:t>
      </w:r>
      <w:r w:rsidRPr="00DE704F">
        <w:t>at H-327</w:t>
      </w:r>
      <w:r w:rsidR="00B14E35" w:rsidRPr="00DE704F">
        <w:t>.</w:t>
      </w:r>
    </w:p>
  </w:footnote>
  <w:footnote w:id="70">
    <w:p w14:paraId="62B304DC" w14:textId="4D83D65D" w:rsidR="00C34A5D" w:rsidRDefault="00C34A5D" w:rsidP="00C34A5D">
      <w:pPr>
        <w:pStyle w:val="FootnoteText"/>
      </w:pPr>
      <w:r w:rsidRPr="00A21A29">
        <w:rPr>
          <w:rStyle w:val="FootnoteReference"/>
        </w:rPr>
        <w:footnoteRef/>
      </w:r>
      <w:r w:rsidRPr="00A21A29">
        <w:t xml:space="preserve"> </w:t>
      </w:r>
      <w:r w:rsidR="00C21ADA" w:rsidRPr="00DE704F">
        <w:t>Ex. 3CE-02 Attachment H</w:t>
      </w:r>
      <w:r w:rsidR="00C21ADA" w:rsidRPr="00DE704F">
        <w:rPr>
          <w:sz w:val="20"/>
        </w:rPr>
        <w:t xml:space="preserve"> </w:t>
      </w:r>
      <w:r w:rsidRPr="00DE704F">
        <w:t>at H-31, Section H.5.</w:t>
      </w:r>
    </w:p>
  </w:footnote>
  <w:footnote w:id="71">
    <w:p w14:paraId="6FCF538C" w14:textId="55C3914A" w:rsidR="00C34A5D" w:rsidRDefault="00C34A5D" w:rsidP="00C34A5D">
      <w:pPr>
        <w:pStyle w:val="FootnoteText"/>
      </w:pPr>
      <w:r w:rsidRPr="00A21A29">
        <w:rPr>
          <w:rStyle w:val="FootnoteReference"/>
        </w:rPr>
        <w:footnoteRef/>
      </w:r>
      <w:r w:rsidRPr="00A21A29">
        <w:t xml:space="preserve"> </w:t>
      </w:r>
      <w:r w:rsidR="000724A1" w:rsidRPr="00DE704F">
        <w:t xml:space="preserve">Ex. 3CE-02 Attachment H </w:t>
      </w:r>
      <w:r w:rsidRPr="00DE704F">
        <w:t>at H-35, Section I.7</w:t>
      </w:r>
      <w:r w:rsidRPr="00B1390E">
        <w:t>.</w:t>
      </w:r>
    </w:p>
  </w:footnote>
  <w:footnote w:id="72">
    <w:p w14:paraId="7FC51A31" w14:textId="6B93EEEC" w:rsidR="00C34A5D" w:rsidRPr="00A21A29" w:rsidRDefault="00C34A5D" w:rsidP="00C34A5D">
      <w:pPr>
        <w:pStyle w:val="FootnoteText"/>
      </w:pPr>
      <w:r w:rsidRPr="00A21A29">
        <w:rPr>
          <w:rStyle w:val="FootnoteReference"/>
        </w:rPr>
        <w:footnoteRef/>
      </w:r>
      <w:r w:rsidRPr="00A21A29">
        <w:t xml:space="preserve"> </w:t>
      </w:r>
      <w:r w:rsidR="00DF7106" w:rsidRPr="007076F6">
        <w:t>Ex. 3CE-02 Attachment H</w:t>
      </w:r>
      <w:r w:rsidRPr="007076F6">
        <w:t xml:space="preserve"> at H-35 to H-36, Section J.</w:t>
      </w:r>
    </w:p>
  </w:footnote>
  <w:footnote w:id="73">
    <w:p w14:paraId="253FD21B" w14:textId="37484BE2" w:rsidR="00D338A0" w:rsidRDefault="00D338A0">
      <w:pPr>
        <w:pStyle w:val="FootnoteText"/>
      </w:pPr>
      <w:r w:rsidRPr="00A21A29">
        <w:rPr>
          <w:rStyle w:val="FootnoteReference"/>
        </w:rPr>
        <w:footnoteRef/>
      </w:r>
      <w:r w:rsidRPr="00A21A29">
        <w:t xml:space="preserve"> </w:t>
      </w:r>
      <w:r w:rsidR="002949FA" w:rsidRPr="00E65B36">
        <w:t>Ex. 3CE-02 Attachment K a</w:t>
      </w:r>
      <w:r w:rsidRPr="00E65B36">
        <w:t>t K-6.</w:t>
      </w:r>
    </w:p>
  </w:footnote>
  <w:footnote w:id="74">
    <w:p w14:paraId="478ABF37" w14:textId="52165C7E" w:rsidR="00C34A5D" w:rsidRPr="00A21A29" w:rsidRDefault="00C34A5D" w:rsidP="00C34A5D">
      <w:pPr>
        <w:pStyle w:val="FootnoteText"/>
      </w:pPr>
      <w:r w:rsidRPr="00A21A29">
        <w:rPr>
          <w:rStyle w:val="FootnoteReference"/>
        </w:rPr>
        <w:footnoteRef/>
      </w:r>
      <w:r w:rsidRPr="00A21A29">
        <w:t xml:space="preserve"> </w:t>
      </w:r>
      <w:r w:rsidR="00DF7106" w:rsidRPr="00327384">
        <w:t>Ex. 3CE-02 Attachment H</w:t>
      </w:r>
      <w:r w:rsidRPr="00327384">
        <w:t xml:space="preserve"> at H-36, Section K.</w:t>
      </w:r>
    </w:p>
  </w:footnote>
  <w:footnote w:id="75">
    <w:p w14:paraId="30D66CBC" w14:textId="680CE768" w:rsidR="00C34A5D" w:rsidRDefault="00C34A5D" w:rsidP="00C34A5D">
      <w:pPr>
        <w:pStyle w:val="FootnoteText"/>
      </w:pPr>
      <w:r w:rsidRPr="00A21A29">
        <w:rPr>
          <w:rStyle w:val="FootnoteReference"/>
        </w:rPr>
        <w:footnoteRef/>
      </w:r>
      <w:r w:rsidRPr="00A21A29">
        <w:t xml:space="preserve"> </w:t>
      </w:r>
      <w:r w:rsidR="00DF7106" w:rsidRPr="00327384">
        <w:t>Ex. 3CE-02 Attachment H</w:t>
      </w:r>
      <w:r w:rsidR="00DF7106" w:rsidRPr="00327384">
        <w:rPr>
          <w:sz w:val="20"/>
        </w:rPr>
        <w:t xml:space="preserve"> </w:t>
      </w:r>
      <w:r w:rsidRPr="00327384">
        <w:t>at H-34, Section I.3.</w:t>
      </w:r>
    </w:p>
  </w:footnote>
  <w:footnote w:id="76">
    <w:p w14:paraId="2D163447" w14:textId="7CBDB07A" w:rsidR="00C34A5D" w:rsidRPr="00E43D8D" w:rsidRDefault="00C34A5D" w:rsidP="00C34A5D">
      <w:pPr>
        <w:pStyle w:val="FootnoteText"/>
        <w:rPr>
          <w:lang w:val="it-IT"/>
        </w:rPr>
      </w:pPr>
      <w:r>
        <w:rPr>
          <w:rStyle w:val="FootnoteReference"/>
        </w:rPr>
        <w:footnoteRef/>
      </w:r>
      <w:r w:rsidRPr="00E43D8D">
        <w:rPr>
          <w:lang w:val="it-IT"/>
        </w:rPr>
        <w:t xml:space="preserve"> Ex. 3CE-01E at 11.</w:t>
      </w:r>
    </w:p>
  </w:footnote>
  <w:footnote w:id="77">
    <w:p w14:paraId="47E04250" w14:textId="142845DD" w:rsidR="00C34A5D" w:rsidRPr="00E43D8D" w:rsidRDefault="00C34A5D" w:rsidP="00C34A5D">
      <w:pPr>
        <w:pStyle w:val="FootnoteText"/>
        <w:rPr>
          <w:lang w:val="it-IT"/>
        </w:rPr>
      </w:pPr>
      <w:r>
        <w:rPr>
          <w:rStyle w:val="FootnoteReference"/>
        </w:rPr>
        <w:footnoteRef/>
      </w:r>
      <w:r w:rsidRPr="00E43D8D">
        <w:rPr>
          <w:lang w:val="it-IT"/>
        </w:rPr>
        <w:t xml:space="preserve"> Ex. 3CE-01E at 11. </w:t>
      </w:r>
    </w:p>
  </w:footnote>
  <w:footnote w:id="78">
    <w:p w14:paraId="5FFAE8C5" w14:textId="3B778FC6" w:rsidR="00C34A5D" w:rsidRPr="00E43D8D" w:rsidRDefault="00C34A5D" w:rsidP="00C34A5D">
      <w:pPr>
        <w:pStyle w:val="FootnoteText"/>
        <w:rPr>
          <w:lang w:val="it-IT"/>
        </w:rPr>
      </w:pPr>
      <w:r w:rsidRPr="00A21A29">
        <w:rPr>
          <w:rStyle w:val="FootnoteReference"/>
        </w:rPr>
        <w:footnoteRef/>
      </w:r>
      <w:r w:rsidRPr="00E43D8D">
        <w:rPr>
          <w:lang w:val="it-IT"/>
        </w:rPr>
        <w:t xml:space="preserve"> Ex.</w:t>
      </w:r>
      <w:r w:rsidR="00516CBD" w:rsidRPr="00E43D8D">
        <w:rPr>
          <w:lang w:val="it-IT"/>
        </w:rPr>
        <w:t xml:space="preserve"> </w:t>
      </w:r>
      <w:r w:rsidRPr="00E43D8D">
        <w:rPr>
          <w:lang w:val="it-IT"/>
        </w:rPr>
        <w:t>3CE-02 at 6.</w:t>
      </w:r>
    </w:p>
  </w:footnote>
  <w:footnote w:id="79">
    <w:p w14:paraId="37C0BF03" w14:textId="77777777" w:rsidR="00C34A5D" w:rsidRPr="00E43D8D" w:rsidRDefault="00C34A5D" w:rsidP="00C34A5D">
      <w:pPr>
        <w:pStyle w:val="FootnoteText"/>
        <w:rPr>
          <w:lang w:val="it-IT"/>
        </w:rPr>
      </w:pPr>
      <w:r w:rsidRPr="00A21A29">
        <w:rPr>
          <w:rStyle w:val="FootnoteReference"/>
        </w:rPr>
        <w:footnoteRef/>
      </w:r>
      <w:r w:rsidRPr="00E43D8D">
        <w:rPr>
          <w:lang w:val="it-IT"/>
        </w:rPr>
        <w:t xml:space="preserve"> Ex. 3CE-01E at 11.</w:t>
      </w:r>
    </w:p>
  </w:footnote>
  <w:footnote w:id="80">
    <w:p w14:paraId="786C952D" w14:textId="3EE73433" w:rsidR="00C34A5D" w:rsidRDefault="00C34A5D" w:rsidP="00C34A5D">
      <w:pPr>
        <w:pStyle w:val="FootnoteText"/>
      </w:pPr>
      <w:r w:rsidRPr="00A21A29">
        <w:rPr>
          <w:rStyle w:val="FootnoteReference"/>
        </w:rPr>
        <w:footnoteRef/>
      </w:r>
      <w:r w:rsidRPr="00A21A29">
        <w:t xml:space="preserve"> Ex.3CE-02 at </w:t>
      </w:r>
      <w:r w:rsidR="00957901" w:rsidRPr="00A21A29">
        <w:t>6</w:t>
      </w:r>
      <w:r w:rsidRPr="00A21A29">
        <w:t>.</w:t>
      </w:r>
    </w:p>
  </w:footnote>
  <w:footnote w:id="81">
    <w:p w14:paraId="78A3DD4D" w14:textId="60690D8D" w:rsidR="00C34A5D" w:rsidRDefault="00C34A5D" w:rsidP="00C34A5D">
      <w:pPr>
        <w:pStyle w:val="FootnoteText"/>
      </w:pPr>
      <w:r>
        <w:rPr>
          <w:rStyle w:val="FootnoteReference"/>
        </w:rPr>
        <w:footnoteRef/>
      </w:r>
      <w:r>
        <w:t xml:space="preserve"> </w:t>
      </w:r>
      <w:r w:rsidR="005117A0">
        <w:t xml:space="preserve">Assigned Commissioner’s Scoping Memo, December 5, 2025, </w:t>
      </w:r>
      <w:r w:rsidR="007F3620">
        <w:br/>
      </w:r>
      <w:r w:rsidR="00FA34DA">
        <w:t>at 7.</w:t>
      </w:r>
    </w:p>
  </w:footnote>
  <w:footnote w:id="82">
    <w:p w14:paraId="416DB9D9" w14:textId="46CA6DFB" w:rsidR="00C34A5D" w:rsidRPr="00E43D8D" w:rsidRDefault="00C34A5D" w:rsidP="00C34A5D">
      <w:pPr>
        <w:pStyle w:val="FootnoteText"/>
        <w:rPr>
          <w:lang w:val="it-IT"/>
        </w:rPr>
      </w:pPr>
      <w:r>
        <w:rPr>
          <w:rStyle w:val="FootnoteReference"/>
        </w:rPr>
        <w:footnoteRef/>
      </w:r>
      <w:r w:rsidRPr="00E43D8D">
        <w:rPr>
          <w:lang w:val="it-IT"/>
        </w:rPr>
        <w:t xml:space="preserve"> Ex. 3CE-01E at 12.</w:t>
      </w:r>
    </w:p>
  </w:footnote>
  <w:footnote w:id="83">
    <w:p w14:paraId="297FA2CF" w14:textId="5EEA0DC6" w:rsidR="00C34A5D" w:rsidRPr="00E43D8D" w:rsidRDefault="00C34A5D" w:rsidP="00C34A5D">
      <w:pPr>
        <w:pStyle w:val="FootnoteText"/>
        <w:rPr>
          <w:lang w:val="it-IT"/>
        </w:rPr>
      </w:pPr>
      <w:r w:rsidRPr="00A21A29">
        <w:rPr>
          <w:rStyle w:val="FootnoteReference"/>
        </w:rPr>
        <w:footnoteRef/>
      </w:r>
      <w:r w:rsidRPr="00E43D8D">
        <w:rPr>
          <w:lang w:val="it-IT"/>
        </w:rPr>
        <w:t xml:space="preserve"> Ex. 3CE-02 at 8.  </w:t>
      </w:r>
    </w:p>
  </w:footnote>
  <w:footnote w:id="84">
    <w:p w14:paraId="2095A509" w14:textId="77777777" w:rsidR="00C34A5D" w:rsidRPr="00A21A29" w:rsidRDefault="00C34A5D" w:rsidP="00C34A5D">
      <w:pPr>
        <w:pStyle w:val="FootnoteText"/>
      </w:pPr>
      <w:r w:rsidRPr="00A21A29">
        <w:rPr>
          <w:rStyle w:val="FootnoteReference"/>
        </w:rPr>
        <w:footnoteRef/>
      </w:r>
      <w:r w:rsidRPr="00A21A29">
        <w:t xml:space="preserve"> Scoping Memo at 8.</w:t>
      </w:r>
    </w:p>
  </w:footnote>
  <w:footnote w:id="85">
    <w:p w14:paraId="27E908D6" w14:textId="77777777" w:rsidR="00C34A5D" w:rsidRDefault="00C34A5D" w:rsidP="00C34A5D">
      <w:pPr>
        <w:pStyle w:val="FootnoteText"/>
      </w:pPr>
      <w:r w:rsidRPr="00A21A29">
        <w:rPr>
          <w:rStyle w:val="FootnoteReference"/>
        </w:rPr>
        <w:footnoteRef/>
      </w:r>
      <w:r w:rsidRPr="00A21A29">
        <w:t xml:space="preserve"> Ex. 3CE-02 at 8, citing 18 Code of Federal Regulations 292.207(a)(3).</w:t>
      </w:r>
    </w:p>
  </w:footnote>
  <w:footnote w:id="86">
    <w:p w14:paraId="3204C6EB" w14:textId="77777777" w:rsidR="00C34A5D" w:rsidRPr="00E43D8D" w:rsidRDefault="00C34A5D" w:rsidP="00C34A5D">
      <w:pPr>
        <w:pStyle w:val="FootnoteText"/>
        <w:rPr>
          <w:lang w:val="it-IT"/>
        </w:rPr>
      </w:pPr>
      <w:r w:rsidRPr="00A21A29">
        <w:rPr>
          <w:rStyle w:val="FootnoteReference"/>
        </w:rPr>
        <w:footnoteRef/>
      </w:r>
      <w:r w:rsidRPr="00E43D8D">
        <w:rPr>
          <w:lang w:val="it-IT"/>
        </w:rPr>
        <w:t xml:space="preserve"> Ex. 3CE-01E at 12.</w:t>
      </w:r>
    </w:p>
  </w:footnote>
  <w:footnote w:id="87">
    <w:p w14:paraId="7C5002A7" w14:textId="541F4BBB" w:rsidR="00C34A5D" w:rsidRPr="00E43D8D" w:rsidRDefault="00C34A5D" w:rsidP="00C34A5D">
      <w:pPr>
        <w:pStyle w:val="FootnoteText"/>
        <w:rPr>
          <w:lang w:val="it-IT"/>
        </w:rPr>
      </w:pPr>
      <w:r w:rsidRPr="00A21A29">
        <w:rPr>
          <w:rStyle w:val="FootnoteReference"/>
        </w:rPr>
        <w:footnoteRef/>
      </w:r>
      <w:r w:rsidR="00E431FA" w:rsidRPr="00E43D8D">
        <w:rPr>
          <w:lang w:val="it-IT"/>
        </w:rPr>
        <w:t xml:space="preserve"> </w:t>
      </w:r>
      <w:r w:rsidRPr="00E43D8D">
        <w:rPr>
          <w:lang w:val="it-IT"/>
        </w:rPr>
        <w:t xml:space="preserve">Ex. 3CE-02 at 9.  </w:t>
      </w:r>
    </w:p>
  </w:footnote>
  <w:footnote w:id="88">
    <w:p w14:paraId="2482C658" w14:textId="77777777" w:rsidR="00C34A5D" w:rsidRPr="00E43D8D" w:rsidRDefault="00C34A5D" w:rsidP="00C34A5D">
      <w:pPr>
        <w:pStyle w:val="FootnoteText"/>
        <w:rPr>
          <w:lang w:val="it-IT"/>
        </w:rPr>
      </w:pPr>
      <w:r>
        <w:rPr>
          <w:rStyle w:val="FootnoteReference"/>
        </w:rPr>
        <w:footnoteRef/>
      </w:r>
      <w:r w:rsidRPr="00E43D8D">
        <w:rPr>
          <w:lang w:val="it-IT"/>
        </w:rPr>
        <w:t xml:space="preserve"> Ex. 3CE-01E at 12.</w:t>
      </w:r>
    </w:p>
  </w:footnote>
  <w:footnote w:id="89">
    <w:p w14:paraId="3C57D0FC" w14:textId="77777777" w:rsidR="00C34A5D" w:rsidRPr="00E43D8D" w:rsidRDefault="00C34A5D" w:rsidP="00C34A5D">
      <w:pPr>
        <w:pStyle w:val="FootnoteText"/>
        <w:rPr>
          <w:lang w:val="it-IT"/>
        </w:rPr>
      </w:pPr>
      <w:r>
        <w:rPr>
          <w:rStyle w:val="FootnoteReference"/>
        </w:rPr>
        <w:footnoteRef/>
      </w:r>
      <w:r w:rsidRPr="00E43D8D">
        <w:rPr>
          <w:lang w:val="it-IT"/>
        </w:rPr>
        <w:t xml:space="preserve"> Ex. 3CE-01E at 12.</w:t>
      </w:r>
    </w:p>
  </w:footnote>
  <w:footnote w:id="90">
    <w:p w14:paraId="0FF916C3" w14:textId="77777777" w:rsidR="00C34A5D" w:rsidRPr="00E43D8D" w:rsidRDefault="00C34A5D" w:rsidP="00C34A5D">
      <w:pPr>
        <w:pStyle w:val="FootnoteText"/>
        <w:rPr>
          <w:lang w:val="it-IT"/>
        </w:rPr>
      </w:pPr>
      <w:r>
        <w:rPr>
          <w:rStyle w:val="FootnoteReference"/>
        </w:rPr>
        <w:footnoteRef/>
      </w:r>
      <w:r w:rsidRPr="00E43D8D">
        <w:rPr>
          <w:lang w:val="it-IT"/>
        </w:rPr>
        <w:t xml:space="preserve"> Ex. 3CE-01E at 12.</w:t>
      </w:r>
    </w:p>
  </w:footnote>
  <w:footnote w:id="91">
    <w:p w14:paraId="7823A1A9" w14:textId="4EE65E8A" w:rsidR="001416D9" w:rsidRPr="00E43D8D" w:rsidRDefault="001416D9">
      <w:pPr>
        <w:pStyle w:val="FootnoteText"/>
        <w:rPr>
          <w:lang w:val="it-IT"/>
        </w:rPr>
      </w:pPr>
      <w:r>
        <w:rPr>
          <w:rStyle w:val="FootnoteReference"/>
        </w:rPr>
        <w:footnoteRef/>
      </w:r>
      <w:r w:rsidRPr="00E43D8D">
        <w:rPr>
          <w:lang w:val="it-IT"/>
        </w:rPr>
        <w:t xml:space="preserve"> Ex. 3CE-01E at 27.</w:t>
      </w:r>
    </w:p>
  </w:footnote>
  <w:footnote w:id="92">
    <w:p w14:paraId="61EAE7B1" w14:textId="61898B02" w:rsidR="00C34A5D" w:rsidRPr="00E43D8D" w:rsidRDefault="00C34A5D" w:rsidP="00C34A5D">
      <w:pPr>
        <w:pStyle w:val="FootnoteText"/>
        <w:rPr>
          <w:lang w:val="it-IT"/>
        </w:rPr>
      </w:pPr>
      <w:r>
        <w:rPr>
          <w:rStyle w:val="FootnoteReference"/>
        </w:rPr>
        <w:footnoteRef/>
      </w:r>
      <w:r w:rsidRPr="00E43D8D">
        <w:rPr>
          <w:lang w:val="it-IT"/>
        </w:rPr>
        <w:t xml:space="preserve"> Ex. 3CE-0</w:t>
      </w:r>
      <w:r w:rsidR="00A71EF6" w:rsidRPr="00E43D8D">
        <w:rPr>
          <w:lang w:val="it-IT"/>
        </w:rPr>
        <w:t>1</w:t>
      </w:r>
      <w:r w:rsidRPr="00E43D8D">
        <w:rPr>
          <w:lang w:val="it-IT"/>
        </w:rPr>
        <w:t xml:space="preserve"> at 1</w:t>
      </w:r>
      <w:r w:rsidR="003772D8" w:rsidRPr="00E43D8D">
        <w:rPr>
          <w:lang w:val="it-IT"/>
        </w:rPr>
        <w:t>3</w:t>
      </w:r>
      <w:r w:rsidRPr="00E43D8D">
        <w:rPr>
          <w:lang w:val="it-IT"/>
        </w:rPr>
        <w:t>.</w:t>
      </w:r>
    </w:p>
  </w:footnote>
  <w:footnote w:id="93">
    <w:p w14:paraId="0BC75BA1" w14:textId="77777777" w:rsidR="00C34A5D" w:rsidRPr="00E43D8D" w:rsidRDefault="00C34A5D" w:rsidP="00C34A5D">
      <w:pPr>
        <w:pStyle w:val="FootnoteText"/>
        <w:rPr>
          <w:lang w:val="it-IT"/>
        </w:rPr>
      </w:pPr>
      <w:r>
        <w:rPr>
          <w:rStyle w:val="FootnoteReference"/>
        </w:rPr>
        <w:footnoteRef/>
      </w:r>
      <w:r w:rsidRPr="00E43D8D">
        <w:rPr>
          <w:lang w:val="it-IT"/>
        </w:rPr>
        <w:t xml:space="preserve"> Ex. 3CE-01E at 13.</w:t>
      </w:r>
    </w:p>
  </w:footnote>
  <w:footnote w:id="94">
    <w:p w14:paraId="7A12D94C" w14:textId="77777777" w:rsidR="00C34A5D" w:rsidRPr="00E43D8D" w:rsidRDefault="00C34A5D" w:rsidP="00C34A5D">
      <w:pPr>
        <w:pStyle w:val="FootnoteText"/>
        <w:rPr>
          <w:lang w:val="it-IT"/>
        </w:rPr>
      </w:pPr>
      <w:r>
        <w:rPr>
          <w:rStyle w:val="FootnoteReference"/>
        </w:rPr>
        <w:footnoteRef/>
      </w:r>
      <w:r w:rsidRPr="00E43D8D">
        <w:rPr>
          <w:lang w:val="it-IT"/>
        </w:rPr>
        <w:t xml:space="preserve"> Ex. 3CE-01E at 13.</w:t>
      </w:r>
    </w:p>
  </w:footnote>
  <w:footnote w:id="95">
    <w:p w14:paraId="40272016" w14:textId="77777777" w:rsidR="00C34A5D" w:rsidRPr="00E43D8D" w:rsidRDefault="00C34A5D" w:rsidP="00C34A5D">
      <w:pPr>
        <w:pStyle w:val="FootnoteText"/>
        <w:rPr>
          <w:lang w:val="it-IT"/>
        </w:rPr>
      </w:pPr>
      <w:r w:rsidRPr="00A21A29">
        <w:rPr>
          <w:rStyle w:val="FootnoteReference"/>
        </w:rPr>
        <w:footnoteRef/>
      </w:r>
      <w:r w:rsidRPr="00E43D8D">
        <w:rPr>
          <w:lang w:val="it-IT"/>
        </w:rPr>
        <w:t xml:space="preserve"> Ex. 3CE-02 at 11.</w:t>
      </w:r>
    </w:p>
  </w:footnote>
  <w:footnote w:id="96">
    <w:p w14:paraId="3806BFFD" w14:textId="559E4CF4" w:rsidR="00C34A5D" w:rsidRDefault="00C34A5D" w:rsidP="00C34A5D">
      <w:pPr>
        <w:pStyle w:val="FootnoteText"/>
      </w:pPr>
      <w:r w:rsidRPr="00A21A29">
        <w:rPr>
          <w:rStyle w:val="FootnoteReference"/>
        </w:rPr>
        <w:footnoteRef/>
      </w:r>
      <w:r w:rsidRPr="00A21A29">
        <w:t xml:space="preserve"> </w:t>
      </w:r>
      <w:r w:rsidRPr="00557A26">
        <w:t>Ex. 3CE-02 at 11</w:t>
      </w:r>
      <w:r w:rsidR="00F30FA5" w:rsidRPr="00A21A29">
        <w:t>, referencing</w:t>
      </w:r>
      <w:r w:rsidRPr="004F5D2E">
        <w:t xml:space="preserve"> Attachment A1</w:t>
      </w:r>
      <w:r w:rsidR="009202DB" w:rsidRPr="004F5D2E">
        <w:t>.</w:t>
      </w:r>
    </w:p>
  </w:footnote>
  <w:footnote w:id="97">
    <w:p w14:paraId="76001823" w14:textId="77777777" w:rsidR="00C34A5D" w:rsidRDefault="00C34A5D" w:rsidP="00C34A5D">
      <w:pPr>
        <w:pStyle w:val="FootnoteText"/>
      </w:pPr>
      <w:r>
        <w:rPr>
          <w:rStyle w:val="FootnoteReference"/>
        </w:rPr>
        <w:footnoteRef/>
      </w:r>
      <w:r>
        <w:t xml:space="preserve"> Ex. 3CE-01E at 13.</w:t>
      </w:r>
    </w:p>
  </w:footnote>
  <w:footnote w:id="98">
    <w:p w14:paraId="7CAADEA3" w14:textId="4FA926DD" w:rsidR="00C34A5D" w:rsidRPr="00A21A29" w:rsidRDefault="00C34A5D" w:rsidP="00C34A5D">
      <w:pPr>
        <w:pStyle w:val="FootnoteText"/>
      </w:pPr>
      <w:r w:rsidRPr="00A21A29">
        <w:rPr>
          <w:rStyle w:val="FootnoteReference"/>
        </w:rPr>
        <w:footnoteRef/>
      </w:r>
      <w:r w:rsidRPr="00A21A29">
        <w:t xml:space="preserve"> </w:t>
      </w:r>
      <w:r w:rsidRPr="00557A26">
        <w:t xml:space="preserve">Ex. 3CE-02 at 12, </w:t>
      </w:r>
      <w:r w:rsidR="00F30FA5" w:rsidRPr="00557A26">
        <w:t xml:space="preserve">referencing </w:t>
      </w:r>
      <w:r w:rsidRPr="00557A26">
        <w:t>Attachment A, at A-4.</w:t>
      </w:r>
    </w:p>
  </w:footnote>
  <w:footnote w:id="99">
    <w:p w14:paraId="422C1105" w14:textId="77777777" w:rsidR="00C34A5D" w:rsidRPr="00A21A29" w:rsidRDefault="00C34A5D" w:rsidP="00C34A5D">
      <w:pPr>
        <w:pStyle w:val="FootnoteText"/>
      </w:pPr>
      <w:r w:rsidRPr="00A21A29">
        <w:rPr>
          <w:rStyle w:val="FootnoteReference"/>
        </w:rPr>
        <w:footnoteRef/>
      </w:r>
      <w:r w:rsidRPr="00A21A29">
        <w:t xml:space="preserve"> Ex. 3CE-01E at 13.</w:t>
      </w:r>
    </w:p>
  </w:footnote>
  <w:footnote w:id="100">
    <w:p w14:paraId="2F95C5C2" w14:textId="2CC143B8" w:rsidR="00C34A5D" w:rsidRPr="00A21A29" w:rsidRDefault="00C34A5D" w:rsidP="00C34A5D">
      <w:pPr>
        <w:pStyle w:val="FootnoteText"/>
      </w:pPr>
      <w:r w:rsidRPr="00A21A29">
        <w:rPr>
          <w:rStyle w:val="FootnoteReference"/>
        </w:rPr>
        <w:footnoteRef/>
      </w:r>
      <w:r w:rsidRPr="00A21A29">
        <w:t xml:space="preserve"> </w:t>
      </w:r>
      <w:r w:rsidRPr="00557A26">
        <w:t xml:space="preserve">Ex. 3CE-02 at 12-13, </w:t>
      </w:r>
      <w:r w:rsidR="00C52C69" w:rsidRPr="00557A26">
        <w:t xml:space="preserve">referencing </w:t>
      </w:r>
      <w:r w:rsidRPr="00557A26">
        <w:t>Attachment A, at A-4.</w:t>
      </w:r>
    </w:p>
  </w:footnote>
  <w:footnote w:id="101">
    <w:p w14:paraId="1FD06E42" w14:textId="77777777" w:rsidR="00C34A5D" w:rsidRPr="00E43D8D" w:rsidRDefault="00C34A5D" w:rsidP="00C34A5D">
      <w:pPr>
        <w:pStyle w:val="FootnoteText"/>
        <w:rPr>
          <w:lang w:val="it-IT"/>
        </w:rPr>
      </w:pPr>
      <w:r w:rsidRPr="00A21A29">
        <w:rPr>
          <w:rStyle w:val="FootnoteReference"/>
        </w:rPr>
        <w:footnoteRef/>
      </w:r>
      <w:r w:rsidRPr="00E43D8D">
        <w:rPr>
          <w:lang w:val="it-IT"/>
        </w:rPr>
        <w:t xml:space="preserve"> Ex. 3CE-01E at 14.</w:t>
      </w:r>
    </w:p>
  </w:footnote>
  <w:footnote w:id="102">
    <w:p w14:paraId="1A229818" w14:textId="77777777" w:rsidR="00C34A5D" w:rsidRPr="00E43D8D" w:rsidRDefault="00C34A5D" w:rsidP="00C34A5D">
      <w:pPr>
        <w:pStyle w:val="FootnoteText"/>
        <w:rPr>
          <w:lang w:val="it-IT"/>
        </w:rPr>
      </w:pPr>
      <w:r w:rsidRPr="00A21A29">
        <w:rPr>
          <w:rStyle w:val="FootnoteReference"/>
        </w:rPr>
        <w:footnoteRef/>
      </w:r>
      <w:r w:rsidRPr="00E43D8D">
        <w:rPr>
          <w:lang w:val="it-IT"/>
        </w:rPr>
        <w:t xml:space="preserve"> Ex. 3CE-01E at 14.</w:t>
      </w:r>
    </w:p>
  </w:footnote>
  <w:footnote w:id="103">
    <w:p w14:paraId="3C319A73" w14:textId="44FEEF1D" w:rsidR="00C34A5D" w:rsidRDefault="00C34A5D" w:rsidP="00C34A5D">
      <w:pPr>
        <w:pStyle w:val="FootnoteText"/>
      </w:pPr>
      <w:r w:rsidRPr="00A21A29">
        <w:rPr>
          <w:rStyle w:val="FootnoteReference"/>
        </w:rPr>
        <w:footnoteRef/>
      </w:r>
      <w:r w:rsidRPr="00A21A29">
        <w:t xml:space="preserve"> </w:t>
      </w:r>
      <w:r w:rsidRPr="00557A26">
        <w:t xml:space="preserve">Ex. 3CE-02 at 13-14, </w:t>
      </w:r>
      <w:r w:rsidR="00007FBD" w:rsidRPr="00557A26">
        <w:t xml:space="preserve">referencing </w:t>
      </w:r>
      <w:r w:rsidRPr="00557A26">
        <w:t>Attachment A, at A-4.</w:t>
      </w:r>
    </w:p>
  </w:footnote>
  <w:footnote w:id="104">
    <w:p w14:paraId="55FEFD6D" w14:textId="77777777" w:rsidR="00C34A5D" w:rsidRPr="00E43D8D" w:rsidRDefault="00C34A5D" w:rsidP="00C34A5D">
      <w:pPr>
        <w:pStyle w:val="FootnoteText"/>
        <w:rPr>
          <w:lang w:val="it-IT"/>
        </w:rPr>
      </w:pPr>
      <w:r>
        <w:rPr>
          <w:rStyle w:val="FootnoteReference"/>
        </w:rPr>
        <w:footnoteRef/>
      </w:r>
      <w:r w:rsidRPr="00E43D8D">
        <w:rPr>
          <w:lang w:val="it-IT"/>
        </w:rPr>
        <w:t xml:space="preserve"> Ex. 3CE-01E at 14.</w:t>
      </w:r>
    </w:p>
  </w:footnote>
  <w:footnote w:id="105">
    <w:p w14:paraId="324D1BA9" w14:textId="77777777" w:rsidR="00C34A5D" w:rsidRPr="00E43D8D" w:rsidRDefault="00C34A5D" w:rsidP="00C34A5D">
      <w:pPr>
        <w:pStyle w:val="FootnoteText"/>
        <w:rPr>
          <w:lang w:val="it-IT"/>
        </w:rPr>
      </w:pPr>
      <w:r w:rsidRPr="00A21A29">
        <w:rPr>
          <w:rStyle w:val="FootnoteReference"/>
        </w:rPr>
        <w:footnoteRef/>
      </w:r>
      <w:r w:rsidRPr="00E43D8D">
        <w:rPr>
          <w:lang w:val="it-IT"/>
        </w:rPr>
        <w:t xml:space="preserve"> Ex. 3CE-02 at 14.</w:t>
      </w:r>
    </w:p>
  </w:footnote>
  <w:footnote w:id="106">
    <w:p w14:paraId="532AECCC" w14:textId="0486DB33" w:rsidR="00C34A5D" w:rsidRPr="00A21A29" w:rsidRDefault="00C34A5D" w:rsidP="00C34A5D">
      <w:pPr>
        <w:pStyle w:val="FootnoteText"/>
      </w:pPr>
      <w:r w:rsidRPr="00A21A29">
        <w:rPr>
          <w:rStyle w:val="FootnoteReference"/>
        </w:rPr>
        <w:footnoteRef/>
      </w:r>
      <w:r w:rsidRPr="00A21A29">
        <w:t xml:space="preserve"> </w:t>
      </w:r>
      <w:r w:rsidRPr="00557A26">
        <w:t>Ex. 3CE-02</w:t>
      </w:r>
      <w:r w:rsidR="00A540EB" w:rsidRPr="00557A26">
        <w:t xml:space="preserve"> at 14, referencing</w:t>
      </w:r>
      <w:r w:rsidRPr="00557A26">
        <w:t xml:space="preserve"> Attachment A, at A-11.</w:t>
      </w:r>
    </w:p>
  </w:footnote>
  <w:footnote w:id="107">
    <w:p w14:paraId="6B853287" w14:textId="48B47441" w:rsidR="000B0F0C" w:rsidRPr="00E43D8D" w:rsidRDefault="000B0F0C">
      <w:pPr>
        <w:pStyle w:val="FootnoteText"/>
        <w:rPr>
          <w:lang w:val="it-IT"/>
        </w:rPr>
      </w:pPr>
      <w:r>
        <w:rPr>
          <w:rStyle w:val="FootnoteReference"/>
        </w:rPr>
        <w:footnoteRef/>
      </w:r>
      <w:r w:rsidRPr="00E43D8D">
        <w:rPr>
          <w:lang w:val="it-IT"/>
        </w:rPr>
        <w:t xml:space="preserve"> Ex. 3CE-01E at 15.</w:t>
      </w:r>
    </w:p>
  </w:footnote>
  <w:footnote w:id="108">
    <w:p w14:paraId="30CB361C" w14:textId="77777777" w:rsidR="00C34A5D" w:rsidRPr="00E43D8D" w:rsidRDefault="00C34A5D" w:rsidP="00C34A5D">
      <w:pPr>
        <w:pStyle w:val="FootnoteText"/>
        <w:rPr>
          <w:lang w:val="it-IT"/>
        </w:rPr>
      </w:pPr>
      <w:r w:rsidRPr="00A21A29">
        <w:rPr>
          <w:rStyle w:val="FootnoteReference"/>
        </w:rPr>
        <w:footnoteRef/>
      </w:r>
      <w:r w:rsidRPr="00E43D8D">
        <w:rPr>
          <w:lang w:val="it-IT"/>
        </w:rPr>
        <w:t xml:space="preserve"> Ex. 3CE-01E at 15.</w:t>
      </w:r>
    </w:p>
  </w:footnote>
  <w:footnote w:id="109">
    <w:p w14:paraId="7EE7AE81" w14:textId="77777777" w:rsidR="00C34A5D" w:rsidRPr="00E43D8D" w:rsidRDefault="00C34A5D" w:rsidP="00C34A5D">
      <w:pPr>
        <w:pStyle w:val="FootnoteText"/>
        <w:rPr>
          <w:lang w:val="it-IT"/>
        </w:rPr>
      </w:pPr>
      <w:r w:rsidRPr="00A21A29">
        <w:rPr>
          <w:rStyle w:val="FootnoteReference"/>
        </w:rPr>
        <w:footnoteRef/>
      </w:r>
      <w:r w:rsidRPr="00E43D8D">
        <w:rPr>
          <w:lang w:val="it-IT"/>
        </w:rPr>
        <w:t xml:space="preserve"> Ex. 3CE-01E at 15.</w:t>
      </w:r>
    </w:p>
  </w:footnote>
  <w:footnote w:id="110">
    <w:p w14:paraId="191E7F01" w14:textId="77777777" w:rsidR="00C34A5D" w:rsidRPr="00E43D8D" w:rsidRDefault="00C34A5D" w:rsidP="00C34A5D">
      <w:pPr>
        <w:pStyle w:val="FootnoteText"/>
        <w:rPr>
          <w:lang w:val="it-IT"/>
        </w:rPr>
      </w:pPr>
      <w:r w:rsidRPr="00A21A29">
        <w:rPr>
          <w:rStyle w:val="FootnoteReference"/>
        </w:rPr>
        <w:footnoteRef/>
      </w:r>
      <w:r w:rsidRPr="00E43D8D">
        <w:rPr>
          <w:lang w:val="it-IT"/>
        </w:rPr>
        <w:t xml:space="preserve"> Ex. 3CE-01E at 16.</w:t>
      </w:r>
    </w:p>
  </w:footnote>
  <w:footnote w:id="111">
    <w:p w14:paraId="41FB11D2" w14:textId="2744D5A3" w:rsidR="00C34A5D" w:rsidRDefault="00C34A5D" w:rsidP="00C34A5D">
      <w:pPr>
        <w:pStyle w:val="FootnoteText"/>
      </w:pPr>
      <w:r w:rsidRPr="00A21A29">
        <w:rPr>
          <w:rStyle w:val="FootnoteReference"/>
        </w:rPr>
        <w:footnoteRef/>
      </w:r>
      <w:r w:rsidRPr="00A21A29">
        <w:t xml:space="preserve"> </w:t>
      </w:r>
      <w:r w:rsidRPr="00557A26">
        <w:t>Ex. 3CE-02</w:t>
      </w:r>
      <w:r w:rsidR="00290FB7" w:rsidRPr="00557A26">
        <w:t xml:space="preserve"> at 15, referencing</w:t>
      </w:r>
      <w:r w:rsidRPr="00557A26">
        <w:t xml:space="preserve"> Attachment A2</w:t>
      </w:r>
      <w:r w:rsidR="004F5D2E">
        <w:t>.</w:t>
      </w:r>
    </w:p>
  </w:footnote>
  <w:footnote w:id="112">
    <w:p w14:paraId="57E77191" w14:textId="16C49087" w:rsidR="00C34A5D" w:rsidRPr="00E43D8D" w:rsidRDefault="00C34A5D" w:rsidP="00C34A5D">
      <w:pPr>
        <w:pStyle w:val="FootnoteText"/>
        <w:rPr>
          <w:lang w:val="it-IT"/>
        </w:rPr>
      </w:pPr>
      <w:r>
        <w:rPr>
          <w:rStyle w:val="FootnoteReference"/>
        </w:rPr>
        <w:footnoteRef/>
      </w:r>
      <w:r w:rsidRPr="00E43D8D">
        <w:rPr>
          <w:lang w:val="it-IT"/>
        </w:rPr>
        <w:t xml:space="preserve"> Ex. 3CE-01E at 16.</w:t>
      </w:r>
    </w:p>
  </w:footnote>
  <w:footnote w:id="113">
    <w:p w14:paraId="64FC9E11" w14:textId="0DE95B5F" w:rsidR="00C34A5D" w:rsidRPr="00E43D8D" w:rsidRDefault="00C34A5D" w:rsidP="00C34A5D">
      <w:pPr>
        <w:pStyle w:val="FootnoteText"/>
        <w:rPr>
          <w:lang w:val="it-IT"/>
        </w:rPr>
      </w:pPr>
      <w:r>
        <w:rPr>
          <w:rStyle w:val="FootnoteReference"/>
        </w:rPr>
        <w:footnoteRef/>
      </w:r>
      <w:r w:rsidRPr="00E43D8D">
        <w:rPr>
          <w:lang w:val="it-IT"/>
        </w:rPr>
        <w:t xml:space="preserve"> Ex. 3CE-01E at 16.</w:t>
      </w:r>
    </w:p>
  </w:footnote>
  <w:footnote w:id="114">
    <w:p w14:paraId="4A48DC93" w14:textId="5453E970" w:rsidR="00C34A5D" w:rsidRPr="00A21A29" w:rsidRDefault="00C34A5D" w:rsidP="00C34A5D">
      <w:pPr>
        <w:pStyle w:val="FootnoteText"/>
      </w:pPr>
      <w:r w:rsidRPr="00A21A29">
        <w:rPr>
          <w:rStyle w:val="FootnoteReference"/>
        </w:rPr>
        <w:footnoteRef/>
      </w:r>
      <w:r w:rsidRPr="00A21A29">
        <w:t xml:space="preserve"> </w:t>
      </w:r>
      <w:r w:rsidRPr="00557A26">
        <w:t>Ex. 3CE-02</w:t>
      </w:r>
      <w:r w:rsidR="00AA6DC5" w:rsidRPr="00557A26">
        <w:t xml:space="preserve"> at 15-16, referencing </w:t>
      </w:r>
      <w:r w:rsidRPr="00557A26">
        <w:t>Attachment A, at A-9</w:t>
      </w:r>
      <w:r w:rsidR="004A2244" w:rsidRPr="00557A26">
        <w:t xml:space="preserve"> through A-10</w:t>
      </w:r>
      <w:r w:rsidRPr="00557A26">
        <w:t>.</w:t>
      </w:r>
    </w:p>
  </w:footnote>
  <w:footnote w:id="115">
    <w:p w14:paraId="6842CA8B" w14:textId="4C62F433" w:rsidR="00C34A5D" w:rsidRPr="00A21A29" w:rsidRDefault="00C34A5D" w:rsidP="00C34A5D">
      <w:pPr>
        <w:pStyle w:val="FootnoteText"/>
      </w:pPr>
      <w:r w:rsidRPr="00A21A29">
        <w:rPr>
          <w:rStyle w:val="FootnoteReference"/>
        </w:rPr>
        <w:footnoteRef/>
      </w:r>
      <w:r w:rsidRPr="00A21A29">
        <w:t xml:space="preserve"> Ex. 3CE-01E at 16.</w:t>
      </w:r>
    </w:p>
  </w:footnote>
  <w:footnote w:id="116">
    <w:p w14:paraId="656119D9" w14:textId="77777777" w:rsidR="00C34A5D" w:rsidRPr="00A21A29" w:rsidRDefault="00C34A5D" w:rsidP="00C34A5D">
      <w:pPr>
        <w:pStyle w:val="FootnoteText"/>
      </w:pPr>
      <w:r w:rsidRPr="00A21A29">
        <w:rPr>
          <w:rStyle w:val="FootnoteReference"/>
        </w:rPr>
        <w:footnoteRef/>
      </w:r>
      <w:r w:rsidRPr="00A21A29">
        <w:t xml:space="preserve"> D.23-11-084 at 61, Conclusion of Law 7. </w:t>
      </w:r>
      <w:r w:rsidRPr="00A21A29">
        <w:rPr>
          <w:i/>
          <w:iCs/>
        </w:rPr>
        <w:t>See also</w:t>
      </w:r>
      <w:r w:rsidRPr="00A21A29">
        <w:t xml:space="preserve"> Ex. 3CE-01E, at 16.</w:t>
      </w:r>
    </w:p>
  </w:footnote>
  <w:footnote w:id="117">
    <w:p w14:paraId="5929947D" w14:textId="0B3F1435" w:rsidR="00C34A5D" w:rsidRPr="00E43D8D" w:rsidRDefault="00C34A5D" w:rsidP="00C34A5D">
      <w:pPr>
        <w:pStyle w:val="FootnoteText"/>
        <w:rPr>
          <w:lang w:val="it-IT"/>
        </w:rPr>
      </w:pPr>
      <w:r w:rsidRPr="00A21A29">
        <w:rPr>
          <w:rStyle w:val="FootnoteReference"/>
        </w:rPr>
        <w:footnoteRef/>
      </w:r>
      <w:r w:rsidRPr="00E43D8D">
        <w:rPr>
          <w:lang w:val="it-IT"/>
        </w:rPr>
        <w:t xml:space="preserve"> Ex. 3CE-01E at 17.</w:t>
      </w:r>
    </w:p>
  </w:footnote>
  <w:footnote w:id="118">
    <w:p w14:paraId="2B326683" w14:textId="0DF6FA44" w:rsidR="00C34A5D" w:rsidRPr="00E43D8D" w:rsidRDefault="00C34A5D" w:rsidP="00C34A5D">
      <w:pPr>
        <w:pStyle w:val="FootnoteText"/>
        <w:rPr>
          <w:lang w:val="it-IT"/>
        </w:rPr>
      </w:pPr>
      <w:r w:rsidRPr="00A21A29">
        <w:rPr>
          <w:rStyle w:val="FootnoteReference"/>
        </w:rPr>
        <w:footnoteRef/>
      </w:r>
      <w:r w:rsidRPr="00E43D8D">
        <w:rPr>
          <w:lang w:val="it-IT"/>
        </w:rPr>
        <w:t xml:space="preserve"> Ex. 3CE-02 at 16.</w:t>
      </w:r>
    </w:p>
  </w:footnote>
  <w:footnote w:id="119">
    <w:p w14:paraId="47938708" w14:textId="06110684" w:rsidR="00C34A5D" w:rsidRPr="00A21A29" w:rsidRDefault="00C34A5D" w:rsidP="00C34A5D">
      <w:pPr>
        <w:pStyle w:val="FootnoteText"/>
      </w:pPr>
      <w:r w:rsidRPr="00A21A29">
        <w:rPr>
          <w:rStyle w:val="FootnoteReference"/>
        </w:rPr>
        <w:footnoteRef/>
      </w:r>
      <w:r w:rsidRPr="00A21A29">
        <w:t xml:space="preserve"> </w:t>
      </w:r>
      <w:r w:rsidRPr="00557A26">
        <w:t>Ex. 3CE-02</w:t>
      </w:r>
      <w:r w:rsidR="00D341C7" w:rsidRPr="00557A26">
        <w:t xml:space="preserve"> at 16</w:t>
      </w:r>
      <w:r w:rsidRPr="00557A26">
        <w:t xml:space="preserve">, </w:t>
      </w:r>
      <w:r w:rsidR="00D341C7" w:rsidRPr="00557A26">
        <w:t xml:space="preserve">referencing </w:t>
      </w:r>
      <w:r w:rsidRPr="00557A26">
        <w:t>Attachment F, Email Notification of PPR-218-01 Status Change.</w:t>
      </w:r>
    </w:p>
  </w:footnote>
  <w:footnote w:id="120">
    <w:p w14:paraId="435B0372" w14:textId="56EBC158" w:rsidR="004416A6" w:rsidRPr="00E43D8D" w:rsidRDefault="004416A6" w:rsidP="004416A6">
      <w:pPr>
        <w:pStyle w:val="FootnoteText"/>
        <w:rPr>
          <w:lang w:val="it-IT"/>
        </w:rPr>
      </w:pPr>
      <w:r w:rsidRPr="00A21A29">
        <w:rPr>
          <w:rStyle w:val="FootnoteReference"/>
        </w:rPr>
        <w:footnoteRef/>
      </w:r>
      <w:r w:rsidRPr="00E43D8D">
        <w:rPr>
          <w:lang w:val="it-IT"/>
        </w:rPr>
        <w:t xml:space="preserve"> Ex. 3CE-01E at 27.</w:t>
      </w:r>
    </w:p>
  </w:footnote>
  <w:footnote w:id="121">
    <w:p w14:paraId="5A3216D0" w14:textId="2D65211D" w:rsidR="005E05C8" w:rsidRPr="00E43D8D" w:rsidRDefault="005E05C8">
      <w:pPr>
        <w:pStyle w:val="FootnoteText"/>
        <w:rPr>
          <w:lang w:val="it-IT"/>
        </w:rPr>
      </w:pPr>
      <w:r>
        <w:rPr>
          <w:rStyle w:val="FootnoteReference"/>
        </w:rPr>
        <w:footnoteRef/>
      </w:r>
      <w:r w:rsidRPr="00E43D8D">
        <w:rPr>
          <w:lang w:val="it-IT"/>
        </w:rPr>
        <w:t xml:space="preserve"> Ex. 3CE-01E at </w:t>
      </w:r>
      <w:r w:rsidR="00365872" w:rsidRPr="00E43D8D">
        <w:rPr>
          <w:lang w:val="it-IT"/>
        </w:rPr>
        <w:t>6-7.</w:t>
      </w:r>
    </w:p>
  </w:footnote>
  <w:footnote w:id="122">
    <w:p w14:paraId="0A08B57C" w14:textId="6A7068B5" w:rsidR="005479E1" w:rsidRDefault="005479E1">
      <w:pPr>
        <w:pStyle w:val="FootnoteText"/>
      </w:pPr>
      <w:r w:rsidRPr="00A21A29">
        <w:rPr>
          <w:rStyle w:val="FootnoteReference"/>
        </w:rPr>
        <w:footnoteRef/>
      </w:r>
      <w:r w:rsidRPr="00A21A29">
        <w:t xml:space="preserve"> </w:t>
      </w:r>
      <w:r w:rsidRPr="00557A26">
        <w:t>Ex. 3CE-02 Attachment K at K-6.</w:t>
      </w:r>
    </w:p>
  </w:footnote>
  <w:footnote w:id="123">
    <w:p w14:paraId="63CD0957" w14:textId="142656A7" w:rsidR="00AC7675" w:rsidRPr="00A21A29" w:rsidRDefault="00AC7675">
      <w:pPr>
        <w:pStyle w:val="FootnoteText"/>
      </w:pPr>
      <w:r w:rsidRPr="00A21A29">
        <w:rPr>
          <w:rStyle w:val="FootnoteReference"/>
        </w:rPr>
        <w:footnoteRef/>
      </w:r>
      <w:r w:rsidRPr="00A21A29">
        <w:t xml:space="preserve"> </w:t>
      </w:r>
      <w:r w:rsidRPr="002A54DF">
        <w:t xml:space="preserve">Ex. 3CE-02 Attachment G, </w:t>
      </w:r>
      <w:r w:rsidR="00205BD0" w:rsidRPr="00A21A29">
        <w:t xml:space="preserve">Bioenergy Market Adjusting Tariff Program Website, Portal Development, and Third-Party Administration Agreement Between Central Coast Community Energy and Accion Group LLC </w:t>
      </w:r>
      <w:r w:rsidRPr="002A54DF">
        <w:t>at G-1.</w:t>
      </w:r>
    </w:p>
  </w:footnote>
  <w:footnote w:id="124">
    <w:p w14:paraId="2C0C6A62" w14:textId="261252FD" w:rsidR="00F2200B" w:rsidRDefault="00F2200B">
      <w:pPr>
        <w:pStyle w:val="FootnoteText"/>
      </w:pPr>
      <w:r w:rsidRPr="00A21A29">
        <w:rPr>
          <w:rStyle w:val="FootnoteReference"/>
        </w:rPr>
        <w:footnoteRef/>
      </w:r>
      <w:r w:rsidRPr="00A21A29">
        <w:t xml:space="preserve"> </w:t>
      </w:r>
      <w:r w:rsidRPr="002A54DF">
        <w:t>Ex. 3CE-02 Attachment G at G-1.</w:t>
      </w:r>
    </w:p>
  </w:footnote>
  <w:footnote w:id="125">
    <w:p w14:paraId="44816E61" w14:textId="2806892E" w:rsidR="00F02D81" w:rsidRPr="00A21A29" w:rsidRDefault="00F02D81">
      <w:pPr>
        <w:pStyle w:val="FootnoteText"/>
      </w:pPr>
      <w:r w:rsidRPr="00A21A29">
        <w:rPr>
          <w:rStyle w:val="FootnoteReference"/>
        </w:rPr>
        <w:footnoteRef/>
      </w:r>
      <w:r w:rsidRPr="00A21A29">
        <w:t xml:space="preserve"> </w:t>
      </w:r>
      <w:r w:rsidRPr="002A54DF">
        <w:t>Ex. 3CE-02 Attachment G at G-1.</w:t>
      </w:r>
    </w:p>
  </w:footnote>
  <w:footnote w:id="126">
    <w:p w14:paraId="2BAE1A07" w14:textId="1DC97850" w:rsidR="009655AF" w:rsidRPr="00A21A29" w:rsidRDefault="009655AF">
      <w:pPr>
        <w:pStyle w:val="FootnoteText"/>
      </w:pPr>
      <w:r w:rsidRPr="00A21A29">
        <w:rPr>
          <w:rStyle w:val="FootnoteReference"/>
        </w:rPr>
        <w:footnoteRef/>
      </w:r>
      <w:r w:rsidRPr="00A21A29">
        <w:t xml:space="preserve"> </w:t>
      </w:r>
      <w:r w:rsidRPr="002A54DF">
        <w:t>Ex. 3CE-02 Attachment G at G-2.</w:t>
      </w:r>
    </w:p>
  </w:footnote>
  <w:footnote w:id="127">
    <w:p w14:paraId="3A6680E4" w14:textId="55195D4B" w:rsidR="009F38A7" w:rsidRPr="00A21A29" w:rsidRDefault="009F38A7">
      <w:pPr>
        <w:pStyle w:val="FootnoteText"/>
      </w:pPr>
      <w:r w:rsidRPr="00A21A29">
        <w:rPr>
          <w:rStyle w:val="FootnoteReference"/>
        </w:rPr>
        <w:footnoteRef/>
      </w:r>
      <w:r w:rsidRPr="00A21A29">
        <w:t xml:space="preserve"> </w:t>
      </w:r>
      <w:r w:rsidR="008305B8" w:rsidRPr="002A54DF">
        <w:t>Ex. 3CE-02 Attachment G at G-10.</w:t>
      </w:r>
    </w:p>
  </w:footnote>
  <w:footnote w:id="128">
    <w:p w14:paraId="5D980E59" w14:textId="133132A8" w:rsidR="00174FFD" w:rsidRPr="00A21A29" w:rsidRDefault="00174FFD">
      <w:pPr>
        <w:pStyle w:val="FootnoteText"/>
      </w:pPr>
      <w:r w:rsidRPr="00A21A29">
        <w:rPr>
          <w:rStyle w:val="FootnoteReference"/>
        </w:rPr>
        <w:footnoteRef/>
      </w:r>
      <w:r w:rsidRPr="00A21A29">
        <w:t xml:space="preserve"> </w:t>
      </w:r>
      <w:r w:rsidRPr="002A54DF">
        <w:t>Ex. 3CE-02 Attachment G at G-16-17.</w:t>
      </w:r>
    </w:p>
  </w:footnote>
  <w:footnote w:id="129">
    <w:p w14:paraId="363CF5DE" w14:textId="6171184B" w:rsidR="009E5022" w:rsidRPr="00A21A29" w:rsidRDefault="009E5022">
      <w:pPr>
        <w:pStyle w:val="FootnoteText"/>
      </w:pPr>
      <w:r w:rsidRPr="00A21A29">
        <w:rPr>
          <w:rStyle w:val="FootnoteReference"/>
        </w:rPr>
        <w:footnoteRef/>
      </w:r>
      <w:r w:rsidRPr="00A21A29">
        <w:t xml:space="preserve"> </w:t>
      </w:r>
      <w:r w:rsidR="00ED7117" w:rsidRPr="002A54DF">
        <w:t>Ex. 3CE-02 Attachment G at G-16-17.</w:t>
      </w:r>
    </w:p>
  </w:footnote>
  <w:footnote w:id="130">
    <w:p w14:paraId="082E537C" w14:textId="4ABDD71A" w:rsidR="00ED7117" w:rsidRDefault="00ED7117">
      <w:pPr>
        <w:pStyle w:val="FootnoteText"/>
      </w:pPr>
      <w:r w:rsidRPr="00A21A29">
        <w:rPr>
          <w:rStyle w:val="FootnoteReference"/>
        </w:rPr>
        <w:footnoteRef/>
      </w:r>
      <w:r w:rsidRPr="00A21A29">
        <w:t xml:space="preserve"> </w:t>
      </w:r>
      <w:r w:rsidRPr="002A54DF">
        <w:t>Ex. 3CE-02 Attachment G at G-17.</w:t>
      </w:r>
    </w:p>
  </w:footnote>
  <w:footnote w:id="131">
    <w:p w14:paraId="231DAFCF" w14:textId="387116A6" w:rsidR="007D1D7D" w:rsidRDefault="007D1D7D">
      <w:pPr>
        <w:pStyle w:val="FootnoteText"/>
      </w:pPr>
      <w:r>
        <w:rPr>
          <w:rStyle w:val="FootnoteReference"/>
        </w:rPr>
        <w:footnoteRef/>
      </w:r>
      <w:r>
        <w:t xml:space="preserve"> Ex. 3CE-01E at 21.</w:t>
      </w:r>
    </w:p>
  </w:footnote>
  <w:footnote w:id="132">
    <w:p w14:paraId="1735809A" w14:textId="6FF1E2D3" w:rsidR="00450A54" w:rsidRPr="00A21A29" w:rsidRDefault="00450A54">
      <w:pPr>
        <w:pStyle w:val="FootnoteText"/>
      </w:pPr>
      <w:r w:rsidRPr="00A21A29">
        <w:rPr>
          <w:rStyle w:val="FootnoteReference"/>
        </w:rPr>
        <w:footnoteRef/>
      </w:r>
      <w:r w:rsidRPr="00A21A29">
        <w:t xml:space="preserve"> </w:t>
      </w:r>
      <w:r w:rsidRPr="002A54DF">
        <w:t>Ex. 3CE-02 Attachment H at H-343.</w:t>
      </w:r>
    </w:p>
  </w:footnote>
  <w:footnote w:id="133">
    <w:p w14:paraId="4113E836" w14:textId="2D97A573" w:rsidR="00500600" w:rsidRPr="00A21A29" w:rsidRDefault="00500600">
      <w:pPr>
        <w:pStyle w:val="FootnoteText"/>
      </w:pPr>
      <w:r w:rsidRPr="00A21A29">
        <w:rPr>
          <w:rStyle w:val="FootnoteReference"/>
        </w:rPr>
        <w:footnoteRef/>
      </w:r>
      <w:r w:rsidRPr="00A21A29">
        <w:t xml:space="preserve"> </w:t>
      </w:r>
      <w:r w:rsidRPr="002A54DF">
        <w:t>Ex. 3CE-02 Attachment H at H-343.</w:t>
      </w:r>
    </w:p>
  </w:footnote>
  <w:footnote w:id="134">
    <w:p w14:paraId="77A5A15F" w14:textId="2DB2FCBA" w:rsidR="00E36671" w:rsidRPr="00A21A29" w:rsidRDefault="00E36671">
      <w:pPr>
        <w:pStyle w:val="FootnoteText"/>
      </w:pPr>
      <w:r w:rsidRPr="00A21A29">
        <w:rPr>
          <w:rStyle w:val="FootnoteReference"/>
        </w:rPr>
        <w:footnoteRef/>
      </w:r>
      <w:r w:rsidRPr="00A21A29">
        <w:t xml:space="preserve"> </w:t>
      </w:r>
      <w:r w:rsidRPr="002A54DF">
        <w:t>Ex. 3CE-02 Attachment H at H-343.</w:t>
      </w:r>
    </w:p>
  </w:footnote>
  <w:footnote w:id="135">
    <w:p w14:paraId="5711F15D" w14:textId="46963E24" w:rsidR="00DF75EA" w:rsidRPr="00A21A29" w:rsidRDefault="00DF75EA">
      <w:pPr>
        <w:pStyle w:val="FootnoteText"/>
      </w:pPr>
      <w:r w:rsidRPr="00A21A29">
        <w:rPr>
          <w:rStyle w:val="FootnoteReference"/>
        </w:rPr>
        <w:footnoteRef/>
      </w:r>
      <w:r w:rsidRPr="00A21A29">
        <w:t xml:space="preserve"> </w:t>
      </w:r>
      <w:r w:rsidRPr="002A54DF">
        <w:t>Ex. 3CE-02 Attachment H at H-343.</w:t>
      </w:r>
    </w:p>
  </w:footnote>
  <w:footnote w:id="136">
    <w:p w14:paraId="6C14E2B2" w14:textId="7EF73AFB" w:rsidR="008F4836" w:rsidRDefault="008F4836">
      <w:pPr>
        <w:pStyle w:val="FootnoteText"/>
      </w:pPr>
      <w:r w:rsidRPr="00A21A29">
        <w:rPr>
          <w:rStyle w:val="FootnoteReference"/>
        </w:rPr>
        <w:footnoteRef/>
      </w:r>
      <w:r w:rsidRPr="00A21A29">
        <w:t xml:space="preserve"> </w:t>
      </w:r>
      <w:r w:rsidRPr="002A54DF">
        <w:t>Ex. 3CE-02 Attachment H at H-342.</w:t>
      </w:r>
    </w:p>
  </w:footnote>
  <w:footnote w:id="137">
    <w:p w14:paraId="60636593" w14:textId="6D9E9DA0" w:rsidR="008125D9" w:rsidRPr="00A21A29" w:rsidRDefault="008125D9">
      <w:pPr>
        <w:pStyle w:val="FootnoteText"/>
      </w:pPr>
      <w:r w:rsidRPr="00A21A29">
        <w:rPr>
          <w:rStyle w:val="FootnoteReference"/>
        </w:rPr>
        <w:footnoteRef/>
      </w:r>
      <w:r w:rsidRPr="00A21A29">
        <w:t xml:space="preserve"> </w:t>
      </w:r>
      <w:r w:rsidR="00307626" w:rsidRPr="006610B2">
        <w:t>Ex.3CE-02 Attachment H</w:t>
      </w:r>
      <w:r w:rsidR="00981A75" w:rsidRPr="006610B2">
        <w:t xml:space="preserve"> </w:t>
      </w:r>
      <w:r w:rsidR="00246873" w:rsidRPr="006610B2">
        <w:t>at H-5.</w:t>
      </w:r>
    </w:p>
  </w:footnote>
  <w:footnote w:id="138">
    <w:p w14:paraId="402C5744" w14:textId="419B1055" w:rsidR="00AF5355" w:rsidRDefault="00AF5355">
      <w:pPr>
        <w:pStyle w:val="FootnoteText"/>
      </w:pPr>
      <w:r w:rsidRPr="00A21A29">
        <w:rPr>
          <w:rStyle w:val="FootnoteReference"/>
        </w:rPr>
        <w:footnoteRef/>
      </w:r>
      <w:r w:rsidRPr="00A21A29">
        <w:t xml:space="preserve"> </w:t>
      </w:r>
      <w:r w:rsidR="00794981" w:rsidRPr="006610B2">
        <w:t xml:space="preserve">Ex. 3CE-02 </w:t>
      </w:r>
      <w:r w:rsidRPr="006610B2">
        <w:t xml:space="preserve">Attachment J, </w:t>
      </w:r>
      <w:r w:rsidR="00303AFC" w:rsidRPr="006610B2">
        <w:t xml:space="preserve">Commission </w:t>
      </w:r>
      <w:r w:rsidR="009A35D5" w:rsidRPr="006610B2">
        <w:t xml:space="preserve">Energy Division </w:t>
      </w:r>
      <w:r w:rsidR="00303AFC" w:rsidRPr="006610B2">
        <w:t xml:space="preserve">Correspondence Entitled, “Central Coast Community Energy 36-E/E-A; Orange County Power </w:t>
      </w:r>
      <w:r w:rsidR="000B2779" w:rsidRPr="006610B2">
        <w:t>Authority 06-E/E-A; Pioneer Community Energy 15-E/E-A; and Redwood Coast Energy Authority 18-E/E-A relating to Joint CCAs’ Bioenergy Market Adjusting Tariff (BioMAT) Implementation Tier 2 Advice Letter Pursuant to D.</w:t>
      </w:r>
      <w:r w:rsidR="001C332E" w:rsidRPr="006610B2">
        <w:t>23-11-084,</w:t>
      </w:r>
      <w:r w:rsidR="002F6088" w:rsidRPr="006610B2">
        <w:t xml:space="preserve"> dated April 29, 2024</w:t>
      </w:r>
      <w:r w:rsidR="000B2779" w:rsidRPr="006610B2">
        <w:t xml:space="preserve"> </w:t>
      </w:r>
      <w:r w:rsidRPr="006610B2">
        <w:t>at J-2.</w:t>
      </w:r>
    </w:p>
  </w:footnote>
  <w:footnote w:id="139">
    <w:p w14:paraId="153851F2" w14:textId="77777777" w:rsidR="004428D0" w:rsidRDefault="004428D0" w:rsidP="004428D0">
      <w:pPr>
        <w:pStyle w:val="FootnoteText"/>
      </w:pPr>
      <w:r>
        <w:rPr>
          <w:rStyle w:val="FootnoteReference"/>
        </w:rPr>
        <w:footnoteRef/>
      </w:r>
      <w:r>
        <w:t xml:space="preserve"> </w:t>
      </w:r>
      <w:r w:rsidRPr="00426121">
        <w:t>D.23-11-084 at 62; C</w:t>
      </w:r>
      <w:r>
        <w:t>onclusion of Law (C</w:t>
      </w:r>
      <w:r w:rsidRPr="00426121">
        <w:t>OL</w:t>
      </w:r>
      <w:r>
        <w:t>)</w:t>
      </w:r>
      <w:r w:rsidRPr="00426121">
        <w:t xml:space="preserve"> 11.</w:t>
      </w:r>
      <w:r>
        <w:t xml:space="preserve">  </w:t>
      </w:r>
      <w:r w:rsidRPr="00F44CEA">
        <w:rPr>
          <w:i/>
          <w:iCs/>
        </w:rPr>
        <w:t>See also</w:t>
      </w:r>
      <w:r>
        <w:t>, D.23-11-084 at 53.</w:t>
      </w:r>
    </w:p>
  </w:footnote>
  <w:footnote w:id="140">
    <w:p w14:paraId="47B113FE" w14:textId="74CE7434" w:rsidR="00A876F9" w:rsidRDefault="00A876F9" w:rsidP="00A876F9">
      <w:pPr>
        <w:pStyle w:val="FootnoteText"/>
      </w:pPr>
      <w:r>
        <w:rPr>
          <w:rStyle w:val="FootnoteReference"/>
        </w:rPr>
        <w:footnoteRef/>
      </w:r>
      <w:r>
        <w:t xml:space="preserve"> Application at 9</w:t>
      </w:r>
      <w:r w:rsidR="00C04E20">
        <w:t>; Ex. 3CE-01E at 28.</w:t>
      </w:r>
    </w:p>
  </w:footnote>
  <w:footnote w:id="141">
    <w:p w14:paraId="4D8BB7E5" w14:textId="2F4CDB3D" w:rsidR="00660E13" w:rsidRPr="00E43D8D" w:rsidRDefault="00660E13">
      <w:pPr>
        <w:pStyle w:val="FootnoteText"/>
        <w:rPr>
          <w:lang w:val="it-IT"/>
        </w:rPr>
      </w:pPr>
      <w:r>
        <w:rPr>
          <w:rStyle w:val="FootnoteReference"/>
        </w:rPr>
        <w:footnoteRef/>
      </w:r>
      <w:r w:rsidRPr="00E43D8D">
        <w:rPr>
          <w:lang w:val="it-IT"/>
        </w:rPr>
        <w:t xml:space="preserve"> Ex. 3CE-01E at 19.</w:t>
      </w:r>
    </w:p>
  </w:footnote>
  <w:footnote w:id="142">
    <w:p w14:paraId="1F7458E0" w14:textId="32837FD0" w:rsidR="00A05709" w:rsidRPr="00E43D8D" w:rsidRDefault="00A05709">
      <w:pPr>
        <w:pStyle w:val="FootnoteText"/>
        <w:rPr>
          <w:lang w:val="it-IT"/>
        </w:rPr>
      </w:pPr>
      <w:r>
        <w:rPr>
          <w:rStyle w:val="FootnoteReference"/>
        </w:rPr>
        <w:footnoteRef/>
      </w:r>
      <w:r w:rsidRPr="00E43D8D">
        <w:rPr>
          <w:lang w:val="it-IT"/>
        </w:rPr>
        <w:t xml:space="preserve"> Ex. 3CE-01E at 21.</w:t>
      </w:r>
    </w:p>
  </w:footnote>
  <w:footnote w:id="143">
    <w:p w14:paraId="26193BD3" w14:textId="79CB216E" w:rsidR="002F172A" w:rsidRPr="00E43D8D" w:rsidRDefault="002F172A">
      <w:pPr>
        <w:pStyle w:val="FootnoteText"/>
        <w:rPr>
          <w:lang w:val="it-IT"/>
        </w:rPr>
      </w:pPr>
      <w:r>
        <w:rPr>
          <w:rStyle w:val="FootnoteReference"/>
        </w:rPr>
        <w:footnoteRef/>
      </w:r>
      <w:r w:rsidRPr="00E43D8D">
        <w:rPr>
          <w:lang w:val="it-IT"/>
        </w:rPr>
        <w:t xml:space="preserve"> Ex. 3CE-01 at 22.</w:t>
      </w:r>
    </w:p>
  </w:footnote>
  <w:footnote w:id="144">
    <w:p w14:paraId="6148D821" w14:textId="23671E05" w:rsidR="00532399" w:rsidRPr="00E43D8D" w:rsidRDefault="00532399">
      <w:pPr>
        <w:pStyle w:val="FootnoteText"/>
        <w:rPr>
          <w:lang w:val="it-IT"/>
        </w:rPr>
      </w:pPr>
      <w:r>
        <w:rPr>
          <w:rStyle w:val="FootnoteReference"/>
        </w:rPr>
        <w:footnoteRef/>
      </w:r>
      <w:r w:rsidRPr="00E43D8D">
        <w:rPr>
          <w:lang w:val="it-IT"/>
        </w:rPr>
        <w:t xml:space="preserve"> Ex. 3CE-01E at 23.</w:t>
      </w:r>
    </w:p>
  </w:footnote>
  <w:footnote w:id="145">
    <w:p w14:paraId="1AA0054A" w14:textId="22B2006D" w:rsidR="009130E6" w:rsidRPr="00E43D8D" w:rsidRDefault="009130E6">
      <w:pPr>
        <w:pStyle w:val="FootnoteText"/>
        <w:rPr>
          <w:lang w:val="it-IT"/>
        </w:rPr>
      </w:pPr>
      <w:r>
        <w:rPr>
          <w:rStyle w:val="FootnoteReference"/>
        </w:rPr>
        <w:footnoteRef/>
      </w:r>
      <w:r w:rsidRPr="00E43D8D">
        <w:rPr>
          <w:lang w:val="it-IT"/>
        </w:rPr>
        <w:t xml:space="preserve"> Ex. 3CE-01E at 25.</w:t>
      </w:r>
    </w:p>
  </w:footnote>
  <w:footnote w:id="146">
    <w:p w14:paraId="6CFA6171" w14:textId="4E00B9C6" w:rsidR="009130E6" w:rsidRPr="00E43D8D" w:rsidRDefault="009130E6">
      <w:pPr>
        <w:pStyle w:val="FootnoteText"/>
        <w:rPr>
          <w:lang w:val="it-IT"/>
        </w:rPr>
      </w:pPr>
      <w:r>
        <w:rPr>
          <w:rStyle w:val="FootnoteReference"/>
        </w:rPr>
        <w:footnoteRef/>
      </w:r>
      <w:r w:rsidRPr="00E43D8D">
        <w:rPr>
          <w:lang w:val="it-IT"/>
        </w:rPr>
        <w:t xml:space="preserve"> Ex. 3CE-01E at 25.</w:t>
      </w:r>
    </w:p>
  </w:footnote>
  <w:footnote w:id="147">
    <w:p w14:paraId="1CC68878" w14:textId="00CE751F" w:rsidR="00E12925" w:rsidRDefault="00E12925" w:rsidP="00E12925">
      <w:pPr>
        <w:pStyle w:val="FootnoteText"/>
      </w:pPr>
      <w:r>
        <w:rPr>
          <w:rStyle w:val="FootnoteReference"/>
        </w:rPr>
        <w:footnoteRef/>
      </w:r>
      <w:r>
        <w:t xml:space="preserve"> Ex. 3CE-01E at 16. </w:t>
      </w:r>
    </w:p>
  </w:footnote>
  <w:footnote w:id="148">
    <w:p w14:paraId="5F6FBB04" w14:textId="77777777" w:rsidR="0036136F" w:rsidRDefault="0036136F" w:rsidP="0036136F">
      <w:pPr>
        <w:pStyle w:val="FootnoteText"/>
      </w:pPr>
      <w:r>
        <w:rPr>
          <w:rStyle w:val="FootnoteReference"/>
        </w:rPr>
        <w:footnoteRef/>
      </w:r>
      <w:r>
        <w:t xml:space="preserve"> Application at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13333" w14:textId="77777777" w:rsidR="00F92385" w:rsidRDefault="00F92385" w:rsidP="007E0FEE">
    <w:pPr>
      <w:pStyle w:val="Header"/>
      <w:tabs>
        <w:tab w:val="clear" w:pos="4680"/>
      </w:tabs>
      <w:ind w:firstLine="0"/>
      <w:jc w:val="center"/>
      <w:rPr>
        <w:b/>
      </w:rPr>
    </w:pPr>
    <w:r w:rsidRPr="00F92385">
      <w:rPr>
        <w:i/>
        <w:color w:val="FF0000"/>
        <w:sz w:val="20"/>
        <w:szCs w:val="20"/>
      </w:rPr>
      <w:t xml:space="preserve">Internal Review Draft; Subject to </w:t>
    </w:r>
    <w:r w:rsidRPr="00F92385">
      <w:rPr>
        <w:b/>
        <w:i/>
        <w:color w:val="FF0000"/>
        <w:sz w:val="20"/>
        <w:szCs w:val="20"/>
      </w:rPr>
      <w:t>ALJ Division Review</w:t>
    </w:r>
    <w:r w:rsidRPr="00F92385">
      <w:rPr>
        <w:i/>
        <w:color w:val="FF0000"/>
        <w:sz w:val="20"/>
        <w:szCs w:val="20"/>
      </w:rPr>
      <w:t xml:space="preserve"> /</w:t>
    </w:r>
    <w:r w:rsidRPr="00585390">
      <w:rPr>
        <w:color w:val="FF0000"/>
        <w:sz w:val="20"/>
        <w:szCs w:val="20"/>
      </w:rPr>
      <w:t xml:space="preserve"> </w:t>
    </w:r>
    <w:r w:rsidRPr="00F92385">
      <w:rPr>
        <w:b/>
        <w:color w:val="FF0000"/>
        <w:sz w:val="20"/>
        <w:szCs w:val="20"/>
      </w:rPr>
      <w:t>CONFIDENTIA</w:t>
    </w:r>
    <w:r w:rsidRPr="008F0116">
      <w:rPr>
        <w:b/>
        <w:color w:val="FF0000"/>
        <w:sz w:val="20"/>
        <w:szCs w:val="20"/>
      </w:rPr>
      <w:t>L;</w:t>
    </w:r>
    <w:r w:rsidRPr="008F0116">
      <w:rPr>
        <w:color w:val="FF0000"/>
        <w:sz w:val="20"/>
        <w:szCs w:val="20"/>
      </w:rPr>
      <w:t xml:space="preserve"> </w:t>
    </w:r>
    <w:r w:rsidRPr="008F0116">
      <w:rPr>
        <w:i/>
        <w:color w:val="FF0000"/>
        <w:sz w:val="20"/>
        <w:szCs w:val="20"/>
      </w:rPr>
      <w:t>Deliberative Process Privilege</w:t>
    </w:r>
    <w:r w:rsidRPr="008F0116">
      <w:br/>
    </w:r>
    <w:r>
      <w:t>X.XX-XX-</w:t>
    </w:r>
    <w:proofErr w:type="gramStart"/>
    <w:r>
      <w:t>XXX  ^</w:t>
    </w:r>
    <w:proofErr w:type="gramEnd"/>
    <w:r>
      <w:t>^^/^^^/^^^</w:t>
    </w:r>
    <w:r w:rsidR="007E0FEE">
      <w:tab/>
    </w:r>
    <w:r>
      <w:rPr>
        <w:b/>
      </w:rPr>
      <w:t>PROPOSED DECISION</w:t>
    </w:r>
  </w:p>
  <w:p w14:paraId="2A25F9AE" w14:textId="77777777" w:rsidR="00F92385" w:rsidRPr="00585390" w:rsidRDefault="00F92385" w:rsidP="00F92385">
    <w:pPr>
      <w:pStyle w:val="Header"/>
      <w:ind w:firstLine="0"/>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32FA0" w14:textId="178F0DF4" w:rsidR="00F92385" w:rsidRPr="00F92385" w:rsidRDefault="00F92385" w:rsidP="00121CA2">
    <w:pPr>
      <w:pStyle w:val="Header"/>
      <w:ind w:firstLine="0"/>
      <w:rPr>
        <w:i/>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2C766" w14:textId="44F45005" w:rsidR="00A30FF1" w:rsidRPr="00C76AB0" w:rsidRDefault="00C76AB0" w:rsidP="00C76AB0">
    <w:pPr>
      <w:pStyle w:val="Header"/>
      <w:tabs>
        <w:tab w:val="clear" w:pos="4680"/>
      </w:tabs>
      <w:ind w:firstLine="0"/>
      <w:rPr>
        <w:rFonts w:ascii="Arial" w:hAnsi="Arial" w:cs="Arial"/>
        <w:b/>
      </w:rPr>
    </w:pPr>
    <w:r>
      <w:t>A.25-08-015</w:t>
    </w:r>
    <w:r w:rsidR="00A30FF1">
      <w:t xml:space="preserve"> </w:t>
    </w:r>
    <w:r>
      <w:t>ALJ</w:t>
    </w:r>
    <w:r w:rsidR="00A30FF1">
      <w:t>/</w:t>
    </w:r>
    <w:r>
      <w:t>DJG</w:t>
    </w:r>
    <w:r w:rsidR="00A30FF1">
      <w:t>/</w:t>
    </w:r>
    <w:proofErr w:type="spellStart"/>
    <w:r>
      <w:t>vhj</w:t>
    </w:r>
    <w:proofErr w:type="spellEnd"/>
    <w:r w:rsidR="00A30FF1">
      <w:tab/>
    </w:r>
  </w:p>
  <w:p w14:paraId="057872D8" w14:textId="5C5D1E69" w:rsidR="00A30FF1" w:rsidRPr="00C76AB0" w:rsidRDefault="00A30FF1" w:rsidP="00C76AB0">
    <w:pPr>
      <w:pStyle w:val="Header"/>
      <w:tabs>
        <w:tab w:val="clear" w:pos="4680"/>
      </w:tabs>
      <w:ind w:firstLine="0"/>
      <w:rPr>
        <w:i/>
        <w:color w:val="FF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9C82B" w14:textId="1266C8F0" w:rsidR="00C76AB0" w:rsidRPr="00C76AB0" w:rsidRDefault="00C76AB0" w:rsidP="00C76AB0">
    <w:pPr>
      <w:pStyle w:val="Header"/>
      <w:tabs>
        <w:tab w:val="clear" w:pos="4680"/>
      </w:tabs>
      <w:ind w:firstLine="0"/>
      <w:rPr>
        <w:rFonts w:ascii="Arial" w:hAnsi="Arial" w:cs="Arial"/>
        <w:b/>
      </w:rPr>
    </w:pPr>
    <w:r>
      <w:t>A.25-08-015 ALJ/DJG/</w:t>
    </w:r>
    <w:proofErr w:type="spellStart"/>
    <w:r>
      <w:t>vhj</w:t>
    </w:r>
    <w:proofErr w:type="spellEnd"/>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90AB2" w14:textId="5584B3CD" w:rsidR="00FE2351" w:rsidRDefault="00C76AB0" w:rsidP="00EE4315">
    <w:pPr>
      <w:pStyle w:val="Header"/>
      <w:tabs>
        <w:tab w:val="clear" w:pos="4680"/>
      </w:tabs>
      <w:ind w:firstLine="0"/>
      <w:rPr>
        <w:b/>
      </w:rPr>
    </w:pPr>
    <w:r>
      <w:t>A.25-08-015</w:t>
    </w:r>
    <w:r w:rsidR="002D5BAD">
      <w:t xml:space="preserve"> ALJ/DJG/</w:t>
    </w:r>
    <w:proofErr w:type="spellStart"/>
    <w:r w:rsidR="002D5BAD">
      <w:t>vhj</w:t>
    </w:r>
    <w:proofErr w:type="spellEnd"/>
    <w:r w:rsidR="00FE2351">
      <w:tab/>
    </w:r>
  </w:p>
  <w:p w14:paraId="35D43840" w14:textId="1C74F279" w:rsidR="00FE2351" w:rsidRPr="00B3087D" w:rsidRDefault="00FE2351" w:rsidP="00B3087D">
    <w:pPr>
      <w:pStyle w:val="Header"/>
      <w:tabs>
        <w:tab w:val="clear" w:pos="4680"/>
      </w:tabs>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FE790C"/>
    <w:multiLevelType w:val="hybridMultilevel"/>
    <w:tmpl w:val="41667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C1C14"/>
    <w:multiLevelType w:val="multilevel"/>
    <w:tmpl w:val="18F4A5AC"/>
    <w:styleLink w:val="FoFCoLOP"/>
    <w:lvl w:ilvl="0">
      <w:start w:val="1"/>
      <w:numFmt w:val="decimal"/>
      <w:pStyle w:val="Co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5F056CB"/>
    <w:multiLevelType w:val="multilevel"/>
    <w:tmpl w:val="18F4A5AC"/>
    <w:numStyleLink w:val="FoFCoLOP"/>
  </w:abstractNum>
  <w:abstractNum w:abstractNumId="4" w15:restartNumberingAfterBreak="0">
    <w:nsid w:val="27885913"/>
    <w:multiLevelType w:val="hybridMultilevel"/>
    <w:tmpl w:val="1278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6" w15:restartNumberingAfterBreak="0">
    <w:nsid w:val="44901A45"/>
    <w:multiLevelType w:val="hybridMultilevel"/>
    <w:tmpl w:val="4FA01F98"/>
    <w:lvl w:ilvl="0" w:tplc="10CCC79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59D042D7"/>
    <w:multiLevelType w:val="multilevel"/>
    <w:tmpl w:val="18F4A5AC"/>
    <w:numStyleLink w:val="FoFCoLOP"/>
  </w:abstractNum>
  <w:abstractNum w:abstractNumId="8" w15:restartNumberingAfterBreak="0">
    <w:nsid w:val="5A9E2171"/>
    <w:multiLevelType w:val="multilevel"/>
    <w:tmpl w:val="3C526EDE"/>
    <w:numStyleLink w:val="Headings"/>
  </w:abstractNum>
  <w:abstractNum w:abstractNumId="9" w15:restartNumberingAfterBreak="0">
    <w:nsid w:val="5F701736"/>
    <w:multiLevelType w:val="hybridMultilevel"/>
    <w:tmpl w:val="3EFEF7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1A25780"/>
    <w:multiLevelType w:val="multilevel"/>
    <w:tmpl w:val="3C526EDE"/>
    <w:numStyleLink w:val="Headings"/>
  </w:abstractNum>
  <w:abstractNum w:abstractNumId="11" w15:restartNumberingAfterBreak="0">
    <w:nsid w:val="64682B74"/>
    <w:multiLevelType w:val="hybridMultilevel"/>
    <w:tmpl w:val="C58C0CE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9A0AFE"/>
    <w:multiLevelType w:val="multilevel"/>
    <w:tmpl w:val="18F4A5AC"/>
    <w:numStyleLink w:val="FoFCoLOP"/>
  </w:abstractNum>
  <w:num w:numId="1" w16cid:durableId="1354526949">
    <w:abstractNumId w:val="8"/>
  </w:num>
  <w:num w:numId="2" w16cid:durableId="140774137">
    <w:abstractNumId w:val="2"/>
  </w:num>
  <w:num w:numId="3" w16cid:durableId="1898543446">
    <w:abstractNumId w:val="7"/>
  </w:num>
  <w:num w:numId="4" w16cid:durableId="701521005">
    <w:abstractNumId w:val="3"/>
  </w:num>
  <w:num w:numId="5" w16cid:durableId="2017029027">
    <w:abstractNumId w:val="12"/>
  </w:num>
  <w:num w:numId="6" w16cid:durableId="973756952">
    <w:abstractNumId w:val="5"/>
  </w:num>
  <w:num w:numId="7" w16cid:durableId="816924040">
    <w:abstractNumId w:val="0"/>
  </w:num>
  <w:num w:numId="8" w16cid:durableId="1714382259">
    <w:abstractNumId w:val="10"/>
    <w:lvlOverride w:ilvl="0">
      <w:lvl w:ilvl="0">
        <w:start w:val="1"/>
        <w:numFmt w:val="decimal"/>
        <w:pStyle w:val="Heading1"/>
        <w:lvlText w:val="%1."/>
        <w:lvlJc w:val="left"/>
        <w:pPr>
          <w:ind w:left="720" w:hanging="720"/>
        </w:p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9" w16cid:durableId="1615550755">
    <w:abstractNumId w:val="11"/>
  </w:num>
  <w:num w:numId="10" w16cid:durableId="87697491">
    <w:abstractNumId w:val="4"/>
  </w:num>
  <w:num w:numId="11" w16cid:durableId="1617516520">
    <w:abstractNumId w:val="1"/>
  </w:num>
  <w:num w:numId="12" w16cid:durableId="1177695718">
    <w:abstractNumId w:val="6"/>
  </w:num>
  <w:num w:numId="13" w16cid:durableId="21427204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657"/>
    <w:rsid w:val="0000035E"/>
    <w:rsid w:val="00000F6A"/>
    <w:rsid w:val="000021EC"/>
    <w:rsid w:val="00002A42"/>
    <w:rsid w:val="00003EF6"/>
    <w:rsid w:val="00004E45"/>
    <w:rsid w:val="0000505B"/>
    <w:rsid w:val="000053D1"/>
    <w:rsid w:val="0000612C"/>
    <w:rsid w:val="00006163"/>
    <w:rsid w:val="00007FBD"/>
    <w:rsid w:val="0001004C"/>
    <w:rsid w:val="00010F4B"/>
    <w:rsid w:val="000123C1"/>
    <w:rsid w:val="00012E48"/>
    <w:rsid w:val="000134FD"/>
    <w:rsid w:val="00013E39"/>
    <w:rsid w:val="0001508D"/>
    <w:rsid w:val="000159F7"/>
    <w:rsid w:val="00017BF5"/>
    <w:rsid w:val="00017E08"/>
    <w:rsid w:val="00021F0D"/>
    <w:rsid w:val="00023323"/>
    <w:rsid w:val="0002343E"/>
    <w:rsid w:val="00023A7B"/>
    <w:rsid w:val="00026B43"/>
    <w:rsid w:val="000279B0"/>
    <w:rsid w:val="00030024"/>
    <w:rsid w:val="00030744"/>
    <w:rsid w:val="00031178"/>
    <w:rsid w:val="000317BD"/>
    <w:rsid w:val="00031903"/>
    <w:rsid w:val="00034BBE"/>
    <w:rsid w:val="00034C80"/>
    <w:rsid w:val="00035B8E"/>
    <w:rsid w:val="0003736D"/>
    <w:rsid w:val="000404A2"/>
    <w:rsid w:val="000405D4"/>
    <w:rsid w:val="000424D8"/>
    <w:rsid w:val="00043546"/>
    <w:rsid w:val="00044024"/>
    <w:rsid w:val="0004453E"/>
    <w:rsid w:val="00044E16"/>
    <w:rsid w:val="00044E4A"/>
    <w:rsid w:val="00044EC1"/>
    <w:rsid w:val="00047266"/>
    <w:rsid w:val="000506BE"/>
    <w:rsid w:val="00052025"/>
    <w:rsid w:val="0005209B"/>
    <w:rsid w:val="00052530"/>
    <w:rsid w:val="00053524"/>
    <w:rsid w:val="00053612"/>
    <w:rsid w:val="00053AFC"/>
    <w:rsid w:val="00053EC1"/>
    <w:rsid w:val="00054E0B"/>
    <w:rsid w:val="00056349"/>
    <w:rsid w:val="000563D3"/>
    <w:rsid w:val="00056653"/>
    <w:rsid w:val="00057850"/>
    <w:rsid w:val="000607A7"/>
    <w:rsid w:val="000609B9"/>
    <w:rsid w:val="0006130D"/>
    <w:rsid w:val="00061A3E"/>
    <w:rsid w:val="00061CD1"/>
    <w:rsid w:val="000620FC"/>
    <w:rsid w:val="000627D3"/>
    <w:rsid w:val="00062A09"/>
    <w:rsid w:val="00062FB2"/>
    <w:rsid w:val="000631A2"/>
    <w:rsid w:val="00065404"/>
    <w:rsid w:val="00065BF5"/>
    <w:rsid w:val="00066DF1"/>
    <w:rsid w:val="00070B13"/>
    <w:rsid w:val="0007115A"/>
    <w:rsid w:val="000724A1"/>
    <w:rsid w:val="000732A4"/>
    <w:rsid w:val="000735AA"/>
    <w:rsid w:val="00073C29"/>
    <w:rsid w:val="00074E6A"/>
    <w:rsid w:val="00077383"/>
    <w:rsid w:val="000804E7"/>
    <w:rsid w:val="00080723"/>
    <w:rsid w:val="0008234D"/>
    <w:rsid w:val="00083E42"/>
    <w:rsid w:val="000851EA"/>
    <w:rsid w:val="00085244"/>
    <w:rsid w:val="0008791B"/>
    <w:rsid w:val="00087B30"/>
    <w:rsid w:val="0009004F"/>
    <w:rsid w:val="00090243"/>
    <w:rsid w:val="00091614"/>
    <w:rsid w:val="00091658"/>
    <w:rsid w:val="00091A0C"/>
    <w:rsid w:val="00092796"/>
    <w:rsid w:val="000931AA"/>
    <w:rsid w:val="00093310"/>
    <w:rsid w:val="0009528A"/>
    <w:rsid w:val="000973C8"/>
    <w:rsid w:val="000A0806"/>
    <w:rsid w:val="000A08CD"/>
    <w:rsid w:val="000A1276"/>
    <w:rsid w:val="000A19D3"/>
    <w:rsid w:val="000A2238"/>
    <w:rsid w:val="000A2AA9"/>
    <w:rsid w:val="000A51CA"/>
    <w:rsid w:val="000A56F2"/>
    <w:rsid w:val="000A6E05"/>
    <w:rsid w:val="000A759D"/>
    <w:rsid w:val="000A7B93"/>
    <w:rsid w:val="000B0F0C"/>
    <w:rsid w:val="000B11C3"/>
    <w:rsid w:val="000B12FA"/>
    <w:rsid w:val="000B22FE"/>
    <w:rsid w:val="000B2779"/>
    <w:rsid w:val="000B36D0"/>
    <w:rsid w:val="000B4DF1"/>
    <w:rsid w:val="000B6ADB"/>
    <w:rsid w:val="000B6BAC"/>
    <w:rsid w:val="000B75B5"/>
    <w:rsid w:val="000C08BF"/>
    <w:rsid w:val="000C2AC2"/>
    <w:rsid w:val="000C37E9"/>
    <w:rsid w:val="000C3B9A"/>
    <w:rsid w:val="000C4A3F"/>
    <w:rsid w:val="000C53BF"/>
    <w:rsid w:val="000C5B43"/>
    <w:rsid w:val="000C6993"/>
    <w:rsid w:val="000C6A87"/>
    <w:rsid w:val="000C7474"/>
    <w:rsid w:val="000D0077"/>
    <w:rsid w:val="000D23A3"/>
    <w:rsid w:val="000D25A8"/>
    <w:rsid w:val="000D4054"/>
    <w:rsid w:val="000D43F7"/>
    <w:rsid w:val="000D5BF6"/>
    <w:rsid w:val="000D5D6B"/>
    <w:rsid w:val="000D7B7B"/>
    <w:rsid w:val="000E0ACB"/>
    <w:rsid w:val="000E0D40"/>
    <w:rsid w:val="000E2092"/>
    <w:rsid w:val="000E260A"/>
    <w:rsid w:val="000E270A"/>
    <w:rsid w:val="000E31C4"/>
    <w:rsid w:val="000E37F4"/>
    <w:rsid w:val="000E4B2D"/>
    <w:rsid w:val="000E4C53"/>
    <w:rsid w:val="000E5BA1"/>
    <w:rsid w:val="000E7BD8"/>
    <w:rsid w:val="000F05AA"/>
    <w:rsid w:val="000F1A7D"/>
    <w:rsid w:val="000F1C9B"/>
    <w:rsid w:val="000F2172"/>
    <w:rsid w:val="000F3810"/>
    <w:rsid w:val="000F3AB4"/>
    <w:rsid w:val="000F3DB1"/>
    <w:rsid w:val="000F48C6"/>
    <w:rsid w:val="000F7120"/>
    <w:rsid w:val="000F736D"/>
    <w:rsid w:val="000F73AE"/>
    <w:rsid w:val="0010085B"/>
    <w:rsid w:val="00100B43"/>
    <w:rsid w:val="00101327"/>
    <w:rsid w:val="00102050"/>
    <w:rsid w:val="001025B9"/>
    <w:rsid w:val="00102CAF"/>
    <w:rsid w:val="00105612"/>
    <w:rsid w:val="0010660D"/>
    <w:rsid w:val="00106DBA"/>
    <w:rsid w:val="00107A85"/>
    <w:rsid w:val="0011256C"/>
    <w:rsid w:val="0011285B"/>
    <w:rsid w:val="0011452E"/>
    <w:rsid w:val="00115028"/>
    <w:rsid w:val="001162CF"/>
    <w:rsid w:val="00116696"/>
    <w:rsid w:val="001177EC"/>
    <w:rsid w:val="00120899"/>
    <w:rsid w:val="00121089"/>
    <w:rsid w:val="00121A85"/>
    <w:rsid w:val="00121CA2"/>
    <w:rsid w:val="0012272C"/>
    <w:rsid w:val="001264E7"/>
    <w:rsid w:val="00126D40"/>
    <w:rsid w:val="001328C8"/>
    <w:rsid w:val="00132A55"/>
    <w:rsid w:val="00133AF8"/>
    <w:rsid w:val="001379D4"/>
    <w:rsid w:val="00137B76"/>
    <w:rsid w:val="00137E4F"/>
    <w:rsid w:val="001410B0"/>
    <w:rsid w:val="001413D4"/>
    <w:rsid w:val="001416D9"/>
    <w:rsid w:val="001456FA"/>
    <w:rsid w:val="00145A62"/>
    <w:rsid w:val="00147465"/>
    <w:rsid w:val="001509C1"/>
    <w:rsid w:val="0015420A"/>
    <w:rsid w:val="001542DB"/>
    <w:rsid w:val="00154834"/>
    <w:rsid w:val="00154A1D"/>
    <w:rsid w:val="00155CD6"/>
    <w:rsid w:val="00155E9C"/>
    <w:rsid w:val="001560DB"/>
    <w:rsid w:val="00156213"/>
    <w:rsid w:val="0015641E"/>
    <w:rsid w:val="0015738B"/>
    <w:rsid w:val="00160F94"/>
    <w:rsid w:val="00161F92"/>
    <w:rsid w:val="00163217"/>
    <w:rsid w:val="00163456"/>
    <w:rsid w:val="0016385E"/>
    <w:rsid w:val="00163DFF"/>
    <w:rsid w:val="001653B0"/>
    <w:rsid w:val="0016556A"/>
    <w:rsid w:val="00166941"/>
    <w:rsid w:val="0017001D"/>
    <w:rsid w:val="00170542"/>
    <w:rsid w:val="0017093A"/>
    <w:rsid w:val="0017099D"/>
    <w:rsid w:val="0017116C"/>
    <w:rsid w:val="00171B68"/>
    <w:rsid w:val="0017220E"/>
    <w:rsid w:val="001735E9"/>
    <w:rsid w:val="00174FFD"/>
    <w:rsid w:val="00175979"/>
    <w:rsid w:val="0018086A"/>
    <w:rsid w:val="001816FC"/>
    <w:rsid w:val="00181E1B"/>
    <w:rsid w:val="00182B8A"/>
    <w:rsid w:val="00183998"/>
    <w:rsid w:val="001839F0"/>
    <w:rsid w:val="001840D5"/>
    <w:rsid w:val="00184515"/>
    <w:rsid w:val="00184A8F"/>
    <w:rsid w:val="00184CA2"/>
    <w:rsid w:val="001853F7"/>
    <w:rsid w:val="0018736E"/>
    <w:rsid w:val="00187596"/>
    <w:rsid w:val="00187B9A"/>
    <w:rsid w:val="00190316"/>
    <w:rsid w:val="001909D3"/>
    <w:rsid w:val="00190E47"/>
    <w:rsid w:val="00191242"/>
    <w:rsid w:val="00191426"/>
    <w:rsid w:val="001919F7"/>
    <w:rsid w:val="00194154"/>
    <w:rsid w:val="001947DC"/>
    <w:rsid w:val="001974D6"/>
    <w:rsid w:val="00197B69"/>
    <w:rsid w:val="00197BA9"/>
    <w:rsid w:val="001A09DB"/>
    <w:rsid w:val="001A0E9F"/>
    <w:rsid w:val="001A1D6B"/>
    <w:rsid w:val="001A28C9"/>
    <w:rsid w:val="001A4C13"/>
    <w:rsid w:val="001A5E2A"/>
    <w:rsid w:val="001A6996"/>
    <w:rsid w:val="001B03B1"/>
    <w:rsid w:val="001B38E3"/>
    <w:rsid w:val="001B4171"/>
    <w:rsid w:val="001B4928"/>
    <w:rsid w:val="001B695C"/>
    <w:rsid w:val="001B74DC"/>
    <w:rsid w:val="001B7916"/>
    <w:rsid w:val="001C0591"/>
    <w:rsid w:val="001C30C5"/>
    <w:rsid w:val="001C332E"/>
    <w:rsid w:val="001C363F"/>
    <w:rsid w:val="001C4314"/>
    <w:rsid w:val="001C4B12"/>
    <w:rsid w:val="001C5F0F"/>
    <w:rsid w:val="001C6FC1"/>
    <w:rsid w:val="001C712D"/>
    <w:rsid w:val="001D069F"/>
    <w:rsid w:val="001D2679"/>
    <w:rsid w:val="001D52A4"/>
    <w:rsid w:val="001D5392"/>
    <w:rsid w:val="001D5A54"/>
    <w:rsid w:val="001D608F"/>
    <w:rsid w:val="001D60D9"/>
    <w:rsid w:val="001D6D53"/>
    <w:rsid w:val="001D7416"/>
    <w:rsid w:val="001D7D51"/>
    <w:rsid w:val="001E0363"/>
    <w:rsid w:val="001E20CD"/>
    <w:rsid w:val="001E2A62"/>
    <w:rsid w:val="001E3B54"/>
    <w:rsid w:val="001E41D0"/>
    <w:rsid w:val="001E5C2E"/>
    <w:rsid w:val="001E6426"/>
    <w:rsid w:val="001E64B4"/>
    <w:rsid w:val="001F18F9"/>
    <w:rsid w:val="001F1EA7"/>
    <w:rsid w:val="001F2819"/>
    <w:rsid w:val="001F31F3"/>
    <w:rsid w:val="001F3FB2"/>
    <w:rsid w:val="001F4AA7"/>
    <w:rsid w:val="001F6218"/>
    <w:rsid w:val="001F7F60"/>
    <w:rsid w:val="0020203F"/>
    <w:rsid w:val="002037B0"/>
    <w:rsid w:val="00203B78"/>
    <w:rsid w:val="00203F63"/>
    <w:rsid w:val="002043EC"/>
    <w:rsid w:val="00204888"/>
    <w:rsid w:val="00205A71"/>
    <w:rsid w:val="00205BD0"/>
    <w:rsid w:val="002062D5"/>
    <w:rsid w:val="0021214B"/>
    <w:rsid w:val="00213C11"/>
    <w:rsid w:val="00213DDC"/>
    <w:rsid w:val="00215FC7"/>
    <w:rsid w:val="00216ADE"/>
    <w:rsid w:val="00216B90"/>
    <w:rsid w:val="00216C49"/>
    <w:rsid w:val="00217116"/>
    <w:rsid w:val="0021769D"/>
    <w:rsid w:val="00220BD6"/>
    <w:rsid w:val="00220F90"/>
    <w:rsid w:val="00220FFC"/>
    <w:rsid w:val="002219CC"/>
    <w:rsid w:val="002232E8"/>
    <w:rsid w:val="0022422F"/>
    <w:rsid w:val="00224445"/>
    <w:rsid w:val="002247F8"/>
    <w:rsid w:val="00224FD4"/>
    <w:rsid w:val="00226B74"/>
    <w:rsid w:val="00230912"/>
    <w:rsid w:val="002312C9"/>
    <w:rsid w:val="002319CB"/>
    <w:rsid w:val="00235560"/>
    <w:rsid w:val="00236051"/>
    <w:rsid w:val="0023611B"/>
    <w:rsid w:val="00236478"/>
    <w:rsid w:val="0023718D"/>
    <w:rsid w:val="002375EA"/>
    <w:rsid w:val="002379F2"/>
    <w:rsid w:val="00241239"/>
    <w:rsid w:val="00241346"/>
    <w:rsid w:val="00242CCD"/>
    <w:rsid w:val="00243DC0"/>
    <w:rsid w:val="0024409E"/>
    <w:rsid w:val="00246873"/>
    <w:rsid w:val="00246DDB"/>
    <w:rsid w:val="00247477"/>
    <w:rsid w:val="00247D9B"/>
    <w:rsid w:val="00250244"/>
    <w:rsid w:val="002509DE"/>
    <w:rsid w:val="00251164"/>
    <w:rsid w:val="002517F4"/>
    <w:rsid w:val="00251F1E"/>
    <w:rsid w:val="00251F31"/>
    <w:rsid w:val="0025277A"/>
    <w:rsid w:val="002527CF"/>
    <w:rsid w:val="00252B2A"/>
    <w:rsid w:val="00253482"/>
    <w:rsid w:val="00254AF8"/>
    <w:rsid w:val="00256FE4"/>
    <w:rsid w:val="00260E5E"/>
    <w:rsid w:val="00263592"/>
    <w:rsid w:val="00263EA5"/>
    <w:rsid w:val="00264D01"/>
    <w:rsid w:val="00265007"/>
    <w:rsid w:val="00270440"/>
    <w:rsid w:val="00271A71"/>
    <w:rsid w:val="00274BBE"/>
    <w:rsid w:val="002750CE"/>
    <w:rsid w:val="002764EE"/>
    <w:rsid w:val="00276781"/>
    <w:rsid w:val="0027780F"/>
    <w:rsid w:val="00281652"/>
    <w:rsid w:val="00281A6E"/>
    <w:rsid w:val="00282E98"/>
    <w:rsid w:val="00282FF7"/>
    <w:rsid w:val="00283708"/>
    <w:rsid w:val="00284915"/>
    <w:rsid w:val="00284D8D"/>
    <w:rsid w:val="00285B91"/>
    <w:rsid w:val="00287162"/>
    <w:rsid w:val="00287BC5"/>
    <w:rsid w:val="002902CE"/>
    <w:rsid w:val="00290FB7"/>
    <w:rsid w:val="0029184C"/>
    <w:rsid w:val="00291B0A"/>
    <w:rsid w:val="00291FED"/>
    <w:rsid w:val="00293DEE"/>
    <w:rsid w:val="002949FA"/>
    <w:rsid w:val="002970BE"/>
    <w:rsid w:val="002A01BF"/>
    <w:rsid w:val="002A0B5D"/>
    <w:rsid w:val="002A0DD8"/>
    <w:rsid w:val="002A0FA8"/>
    <w:rsid w:val="002A2013"/>
    <w:rsid w:val="002A2FE3"/>
    <w:rsid w:val="002A32D7"/>
    <w:rsid w:val="002A54DF"/>
    <w:rsid w:val="002A7020"/>
    <w:rsid w:val="002A714C"/>
    <w:rsid w:val="002B107C"/>
    <w:rsid w:val="002B1359"/>
    <w:rsid w:val="002B290F"/>
    <w:rsid w:val="002B2ABC"/>
    <w:rsid w:val="002B2E76"/>
    <w:rsid w:val="002B3296"/>
    <w:rsid w:val="002B39DC"/>
    <w:rsid w:val="002B3DE5"/>
    <w:rsid w:val="002B5178"/>
    <w:rsid w:val="002B5C4C"/>
    <w:rsid w:val="002B5F38"/>
    <w:rsid w:val="002B6B29"/>
    <w:rsid w:val="002B6D50"/>
    <w:rsid w:val="002C073F"/>
    <w:rsid w:val="002C0E3B"/>
    <w:rsid w:val="002C4757"/>
    <w:rsid w:val="002C76D8"/>
    <w:rsid w:val="002C7D73"/>
    <w:rsid w:val="002C7FE9"/>
    <w:rsid w:val="002D0DC5"/>
    <w:rsid w:val="002D1175"/>
    <w:rsid w:val="002D21FF"/>
    <w:rsid w:val="002D2608"/>
    <w:rsid w:val="002D28B5"/>
    <w:rsid w:val="002D3139"/>
    <w:rsid w:val="002D46CA"/>
    <w:rsid w:val="002D4EFD"/>
    <w:rsid w:val="002D5BAD"/>
    <w:rsid w:val="002D65B3"/>
    <w:rsid w:val="002D7F18"/>
    <w:rsid w:val="002E0287"/>
    <w:rsid w:val="002E0491"/>
    <w:rsid w:val="002E0756"/>
    <w:rsid w:val="002E14F3"/>
    <w:rsid w:val="002E2C61"/>
    <w:rsid w:val="002E4229"/>
    <w:rsid w:val="002E4258"/>
    <w:rsid w:val="002E46F4"/>
    <w:rsid w:val="002E4E21"/>
    <w:rsid w:val="002E543F"/>
    <w:rsid w:val="002E55F0"/>
    <w:rsid w:val="002E5FC9"/>
    <w:rsid w:val="002E64E3"/>
    <w:rsid w:val="002F01BB"/>
    <w:rsid w:val="002F1172"/>
    <w:rsid w:val="002F12EA"/>
    <w:rsid w:val="002F172A"/>
    <w:rsid w:val="002F265C"/>
    <w:rsid w:val="002F6088"/>
    <w:rsid w:val="002F725E"/>
    <w:rsid w:val="002F79DA"/>
    <w:rsid w:val="003000F8"/>
    <w:rsid w:val="003001C9"/>
    <w:rsid w:val="0030041B"/>
    <w:rsid w:val="00301D8E"/>
    <w:rsid w:val="003022DF"/>
    <w:rsid w:val="00302700"/>
    <w:rsid w:val="00303AFC"/>
    <w:rsid w:val="00303D71"/>
    <w:rsid w:val="0030406F"/>
    <w:rsid w:val="003042E3"/>
    <w:rsid w:val="003057A4"/>
    <w:rsid w:val="003067C4"/>
    <w:rsid w:val="00306E79"/>
    <w:rsid w:val="00307626"/>
    <w:rsid w:val="003101EA"/>
    <w:rsid w:val="0031078B"/>
    <w:rsid w:val="00310D15"/>
    <w:rsid w:val="003114DD"/>
    <w:rsid w:val="00313049"/>
    <w:rsid w:val="00314C9D"/>
    <w:rsid w:val="00315230"/>
    <w:rsid w:val="00315A2F"/>
    <w:rsid w:val="00315A97"/>
    <w:rsid w:val="00316071"/>
    <w:rsid w:val="00316F30"/>
    <w:rsid w:val="0032057A"/>
    <w:rsid w:val="003214C8"/>
    <w:rsid w:val="003224B4"/>
    <w:rsid w:val="0032253A"/>
    <w:rsid w:val="00323835"/>
    <w:rsid w:val="00326680"/>
    <w:rsid w:val="0032669B"/>
    <w:rsid w:val="00326747"/>
    <w:rsid w:val="00326DB9"/>
    <w:rsid w:val="00327384"/>
    <w:rsid w:val="00327E7B"/>
    <w:rsid w:val="003309B6"/>
    <w:rsid w:val="00331E9D"/>
    <w:rsid w:val="00332E80"/>
    <w:rsid w:val="00333251"/>
    <w:rsid w:val="00335C51"/>
    <w:rsid w:val="00335F19"/>
    <w:rsid w:val="0033687B"/>
    <w:rsid w:val="00340208"/>
    <w:rsid w:val="003403BB"/>
    <w:rsid w:val="0034124F"/>
    <w:rsid w:val="0034173E"/>
    <w:rsid w:val="0034184E"/>
    <w:rsid w:val="00341D21"/>
    <w:rsid w:val="00342981"/>
    <w:rsid w:val="00342BA8"/>
    <w:rsid w:val="003432BC"/>
    <w:rsid w:val="00343E5C"/>
    <w:rsid w:val="00344FB8"/>
    <w:rsid w:val="003526D0"/>
    <w:rsid w:val="0035350F"/>
    <w:rsid w:val="00353AFA"/>
    <w:rsid w:val="00354459"/>
    <w:rsid w:val="00355382"/>
    <w:rsid w:val="003554A2"/>
    <w:rsid w:val="0035671B"/>
    <w:rsid w:val="0035688C"/>
    <w:rsid w:val="00356BE1"/>
    <w:rsid w:val="00357700"/>
    <w:rsid w:val="00357989"/>
    <w:rsid w:val="00357A10"/>
    <w:rsid w:val="0036017B"/>
    <w:rsid w:val="0036136F"/>
    <w:rsid w:val="00362755"/>
    <w:rsid w:val="00363BFC"/>
    <w:rsid w:val="00365872"/>
    <w:rsid w:val="00365C2D"/>
    <w:rsid w:val="00366D71"/>
    <w:rsid w:val="003678C9"/>
    <w:rsid w:val="0037033E"/>
    <w:rsid w:val="003708C8"/>
    <w:rsid w:val="00370B6B"/>
    <w:rsid w:val="003719DD"/>
    <w:rsid w:val="003725FD"/>
    <w:rsid w:val="00372BE3"/>
    <w:rsid w:val="00373B93"/>
    <w:rsid w:val="00375030"/>
    <w:rsid w:val="00376782"/>
    <w:rsid w:val="003768C6"/>
    <w:rsid w:val="0037692D"/>
    <w:rsid w:val="003772D8"/>
    <w:rsid w:val="003801F5"/>
    <w:rsid w:val="00380A5B"/>
    <w:rsid w:val="00380CD1"/>
    <w:rsid w:val="00380F58"/>
    <w:rsid w:val="00381754"/>
    <w:rsid w:val="003822BB"/>
    <w:rsid w:val="00383CCF"/>
    <w:rsid w:val="00383EFC"/>
    <w:rsid w:val="00384B20"/>
    <w:rsid w:val="00385FBC"/>
    <w:rsid w:val="00387516"/>
    <w:rsid w:val="003878DC"/>
    <w:rsid w:val="0039155D"/>
    <w:rsid w:val="003947A4"/>
    <w:rsid w:val="00394F0B"/>
    <w:rsid w:val="003A02CA"/>
    <w:rsid w:val="003A0A3B"/>
    <w:rsid w:val="003A1F03"/>
    <w:rsid w:val="003A203F"/>
    <w:rsid w:val="003A28CE"/>
    <w:rsid w:val="003A2BFA"/>
    <w:rsid w:val="003A38F0"/>
    <w:rsid w:val="003A4AE0"/>
    <w:rsid w:val="003A4B49"/>
    <w:rsid w:val="003A4B51"/>
    <w:rsid w:val="003A546A"/>
    <w:rsid w:val="003A5740"/>
    <w:rsid w:val="003A7401"/>
    <w:rsid w:val="003B1B64"/>
    <w:rsid w:val="003B211A"/>
    <w:rsid w:val="003C5914"/>
    <w:rsid w:val="003C6338"/>
    <w:rsid w:val="003C6CFD"/>
    <w:rsid w:val="003C775C"/>
    <w:rsid w:val="003C7F15"/>
    <w:rsid w:val="003D06CF"/>
    <w:rsid w:val="003D3763"/>
    <w:rsid w:val="003D3BF7"/>
    <w:rsid w:val="003D3FB8"/>
    <w:rsid w:val="003D4AD6"/>
    <w:rsid w:val="003D5466"/>
    <w:rsid w:val="003D56AA"/>
    <w:rsid w:val="003E04E8"/>
    <w:rsid w:val="003E06DC"/>
    <w:rsid w:val="003E18AB"/>
    <w:rsid w:val="003E1926"/>
    <w:rsid w:val="003E234C"/>
    <w:rsid w:val="003E2DD3"/>
    <w:rsid w:val="003E35B6"/>
    <w:rsid w:val="003E3E3F"/>
    <w:rsid w:val="003E3FCA"/>
    <w:rsid w:val="003E52FD"/>
    <w:rsid w:val="003E6648"/>
    <w:rsid w:val="003E675B"/>
    <w:rsid w:val="003E6EA8"/>
    <w:rsid w:val="003F0124"/>
    <w:rsid w:val="003F0510"/>
    <w:rsid w:val="003F0636"/>
    <w:rsid w:val="003F069A"/>
    <w:rsid w:val="003F187A"/>
    <w:rsid w:val="003F19AB"/>
    <w:rsid w:val="003F1DBC"/>
    <w:rsid w:val="003F2609"/>
    <w:rsid w:val="003F3688"/>
    <w:rsid w:val="003F4329"/>
    <w:rsid w:val="003F5715"/>
    <w:rsid w:val="003F649C"/>
    <w:rsid w:val="003F7003"/>
    <w:rsid w:val="003F74EC"/>
    <w:rsid w:val="00401E5E"/>
    <w:rsid w:val="00401FC9"/>
    <w:rsid w:val="00402D10"/>
    <w:rsid w:val="00404213"/>
    <w:rsid w:val="004046CD"/>
    <w:rsid w:val="00404FCA"/>
    <w:rsid w:val="0040578D"/>
    <w:rsid w:val="00406AB0"/>
    <w:rsid w:val="0040778E"/>
    <w:rsid w:val="00407D5F"/>
    <w:rsid w:val="00407F1A"/>
    <w:rsid w:val="004106DF"/>
    <w:rsid w:val="00410A13"/>
    <w:rsid w:val="00412534"/>
    <w:rsid w:val="00412C83"/>
    <w:rsid w:val="00412DCC"/>
    <w:rsid w:val="00414785"/>
    <w:rsid w:val="00415060"/>
    <w:rsid w:val="00416CE2"/>
    <w:rsid w:val="00417222"/>
    <w:rsid w:val="00417515"/>
    <w:rsid w:val="0041757C"/>
    <w:rsid w:val="0042051F"/>
    <w:rsid w:val="0042274B"/>
    <w:rsid w:val="004229CF"/>
    <w:rsid w:val="004254AC"/>
    <w:rsid w:val="00426014"/>
    <w:rsid w:val="00426121"/>
    <w:rsid w:val="0042625F"/>
    <w:rsid w:val="00426B5A"/>
    <w:rsid w:val="0043159E"/>
    <w:rsid w:val="00431CB7"/>
    <w:rsid w:val="0043226B"/>
    <w:rsid w:val="00432FED"/>
    <w:rsid w:val="0043478F"/>
    <w:rsid w:val="0043549F"/>
    <w:rsid w:val="004362B1"/>
    <w:rsid w:val="00436C92"/>
    <w:rsid w:val="00437740"/>
    <w:rsid w:val="00437D12"/>
    <w:rsid w:val="004416A6"/>
    <w:rsid w:val="004428D0"/>
    <w:rsid w:val="00444E0D"/>
    <w:rsid w:val="00445EE4"/>
    <w:rsid w:val="0044617E"/>
    <w:rsid w:val="004467A2"/>
    <w:rsid w:val="00447DD5"/>
    <w:rsid w:val="00450378"/>
    <w:rsid w:val="00450A54"/>
    <w:rsid w:val="00450B96"/>
    <w:rsid w:val="004510A4"/>
    <w:rsid w:val="00451850"/>
    <w:rsid w:val="00453139"/>
    <w:rsid w:val="0045467C"/>
    <w:rsid w:val="00454CC4"/>
    <w:rsid w:val="004552DA"/>
    <w:rsid w:val="0045698C"/>
    <w:rsid w:val="00456C49"/>
    <w:rsid w:val="0046078B"/>
    <w:rsid w:val="00460B7D"/>
    <w:rsid w:val="00462B1B"/>
    <w:rsid w:val="00463446"/>
    <w:rsid w:val="00463A75"/>
    <w:rsid w:val="004640C8"/>
    <w:rsid w:val="00464476"/>
    <w:rsid w:val="0046495C"/>
    <w:rsid w:val="00465574"/>
    <w:rsid w:val="00465B0C"/>
    <w:rsid w:val="00465BD4"/>
    <w:rsid w:val="00466692"/>
    <w:rsid w:val="0046707A"/>
    <w:rsid w:val="00467DF1"/>
    <w:rsid w:val="00470548"/>
    <w:rsid w:val="00472019"/>
    <w:rsid w:val="004739FE"/>
    <w:rsid w:val="00474B0D"/>
    <w:rsid w:val="00475466"/>
    <w:rsid w:val="004765B8"/>
    <w:rsid w:val="00480CB0"/>
    <w:rsid w:val="004813D7"/>
    <w:rsid w:val="0048196D"/>
    <w:rsid w:val="00481F1C"/>
    <w:rsid w:val="00482AB2"/>
    <w:rsid w:val="00483603"/>
    <w:rsid w:val="00484097"/>
    <w:rsid w:val="00484EA9"/>
    <w:rsid w:val="00486647"/>
    <w:rsid w:val="004878B7"/>
    <w:rsid w:val="00490BD9"/>
    <w:rsid w:val="0049135A"/>
    <w:rsid w:val="00496494"/>
    <w:rsid w:val="004971BB"/>
    <w:rsid w:val="004A1997"/>
    <w:rsid w:val="004A1EAD"/>
    <w:rsid w:val="004A1F8D"/>
    <w:rsid w:val="004A2244"/>
    <w:rsid w:val="004A2938"/>
    <w:rsid w:val="004A47BE"/>
    <w:rsid w:val="004A7593"/>
    <w:rsid w:val="004B15C0"/>
    <w:rsid w:val="004B34EA"/>
    <w:rsid w:val="004B5494"/>
    <w:rsid w:val="004B5F93"/>
    <w:rsid w:val="004B6C2B"/>
    <w:rsid w:val="004B6F8C"/>
    <w:rsid w:val="004B7664"/>
    <w:rsid w:val="004C05F9"/>
    <w:rsid w:val="004C3627"/>
    <w:rsid w:val="004C471C"/>
    <w:rsid w:val="004C50C1"/>
    <w:rsid w:val="004C53AA"/>
    <w:rsid w:val="004C6B83"/>
    <w:rsid w:val="004C77A7"/>
    <w:rsid w:val="004C78C5"/>
    <w:rsid w:val="004C7A2B"/>
    <w:rsid w:val="004C7D3A"/>
    <w:rsid w:val="004C7FEA"/>
    <w:rsid w:val="004D04C7"/>
    <w:rsid w:val="004D05A0"/>
    <w:rsid w:val="004D2340"/>
    <w:rsid w:val="004D25FA"/>
    <w:rsid w:val="004D31BD"/>
    <w:rsid w:val="004D31E1"/>
    <w:rsid w:val="004D5698"/>
    <w:rsid w:val="004D6D97"/>
    <w:rsid w:val="004D763D"/>
    <w:rsid w:val="004D7F82"/>
    <w:rsid w:val="004E1A62"/>
    <w:rsid w:val="004E554B"/>
    <w:rsid w:val="004E56D9"/>
    <w:rsid w:val="004E5D54"/>
    <w:rsid w:val="004E5F5D"/>
    <w:rsid w:val="004E6E67"/>
    <w:rsid w:val="004E75E0"/>
    <w:rsid w:val="004E76C2"/>
    <w:rsid w:val="004E794D"/>
    <w:rsid w:val="004E7D63"/>
    <w:rsid w:val="004F0AF6"/>
    <w:rsid w:val="004F1B11"/>
    <w:rsid w:val="004F3230"/>
    <w:rsid w:val="004F487D"/>
    <w:rsid w:val="004F545C"/>
    <w:rsid w:val="004F5D2E"/>
    <w:rsid w:val="004F68D6"/>
    <w:rsid w:val="004F7532"/>
    <w:rsid w:val="004F75DD"/>
    <w:rsid w:val="004F7E97"/>
    <w:rsid w:val="005000DA"/>
    <w:rsid w:val="00500600"/>
    <w:rsid w:val="00500869"/>
    <w:rsid w:val="005018A8"/>
    <w:rsid w:val="00503822"/>
    <w:rsid w:val="00505A39"/>
    <w:rsid w:val="00505A56"/>
    <w:rsid w:val="005063EB"/>
    <w:rsid w:val="00506FA6"/>
    <w:rsid w:val="0050740E"/>
    <w:rsid w:val="00507652"/>
    <w:rsid w:val="005117A0"/>
    <w:rsid w:val="00511D89"/>
    <w:rsid w:val="00512562"/>
    <w:rsid w:val="00512A3D"/>
    <w:rsid w:val="00513640"/>
    <w:rsid w:val="00513A1A"/>
    <w:rsid w:val="00514234"/>
    <w:rsid w:val="0051527F"/>
    <w:rsid w:val="00516231"/>
    <w:rsid w:val="005169BE"/>
    <w:rsid w:val="005169E4"/>
    <w:rsid w:val="00516CBD"/>
    <w:rsid w:val="00520032"/>
    <w:rsid w:val="00520972"/>
    <w:rsid w:val="00523751"/>
    <w:rsid w:val="00523BE5"/>
    <w:rsid w:val="005240BF"/>
    <w:rsid w:val="005246AB"/>
    <w:rsid w:val="005250E9"/>
    <w:rsid w:val="00525B5B"/>
    <w:rsid w:val="00526957"/>
    <w:rsid w:val="0053002A"/>
    <w:rsid w:val="0053029E"/>
    <w:rsid w:val="00532399"/>
    <w:rsid w:val="00532D55"/>
    <w:rsid w:val="0053576C"/>
    <w:rsid w:val="00535853"/>
    <w:rsid w:val="00535AB1"/>
    <w:rsid w:val="00537747"/>
    <w:rsid w:val="00540EA2"/>
    <w:rsid w:val="005410B6"/>
    <w:rsid w:val="0054183F"/>
    <w:rsid w:val="00544137"/>
    <w:rsid w:val="00545F27"/>
    <w:rsid w:val="005469F6"/>
    <w:rsid w:val="0054796D"/>
    <w:rsid w:val="005479E1"/>
    <w:rsid w:val="00547B01"/>
    <w:rsid w:val="005531B3"/>
    <w:rsid w:val="00553EB6"/>
    <w:rsid w:val="00555228"/>
    <w:rsid w:val="00555E47"/>
    <w:rsid w:val="005562C0"/>
    <w:rsid w:val="005565E9"/>
    <w:rsid w:val="00556C35"/>
    <w:rsid w:val="00556D4A"/>
    <w:rsid w:val="0055728B"/>
    <w:rsid w:val="005579EA"/>
    <w:rsid w:val="00557A26"/>
    <w:rsid w:val="00560A65"/>
    <w:rsid w:val="0056117F"/>
    <w:rsid w:val="00562B75"/>
    <w:rsid w:val="00563484"/>
    <w:rsid w:val="0056371C"/>
    <w:rsid w:val="00563774"/>
    <w:rsid w:val="0056737A"/>
    <w:rsid w:val="00570503"/>
    <w:rsid w:val="00573A2E"/>
    <w:rsid w:val="00573BF8"/>
    <w:rsid w:val="00573C7E"/>
    <w:rsid w:val="0057448F"/>
    <w:rsid w:val="0057465C"/>
    <w:rsid w:val="00575542"/>
    <w:rsid w:val="00575667"/>
    <w:rsid w:val="0057664A"/>
    <w:rsid w:val="00576C30"/>
    <w:rsid w:val="00576EF9"/>
    <w:rsid w:val="00577CEF"/>
    <w:rsid w:val="00577EB9"/>
    <w:rsid w:val="00580870"/>
    <w:rsid w:val="00584F4C"/>
    <w:rsid w:val="00585390"/>
    <w:rsid w:val="005877C0"/>
    <w:rsid w:val="005877FB"/>
    <w:rsid w:val="00592F1E"/>
    <w:rsid w:val="005939A5"/>
    <w:rsid w:val="005953C1"/>
    <w:rsid w:val="005974E9"/>
    <w:rsid w:val="005A0B05"/>
    <w:rsid w:val="005A101D"/>
    <w:rsid w:val="005A12D7"/>
    <w:rsid w:val="005A148C"/>
    <w:rsid w:val="005A161A"/>
    <w:rsid w:val="005A1916"/>
    <w:rsid w:val="005A1A3D"/>
    <w:rsid w:val="005A2546"/>
    <w:rsid w:val="005A2681"/>
    <w:rsid w:val="005A42BD"/>
    <w:rsid w:val="005A4985"/>
    <w:rsid w:val="005A5340"/>
    <w:rsid w:val="005A7713"/>
    <w:rsid w:val="005B06FD"/>
    <w:rsid w:val="005B2341"/>
    <w:rsid w:val="005B2945"/>
    <w:rsid w:val="005B3012"/>
    <w:rsid w:val="005B3121"/>
    <w:rsid w:val="005B389F"/>
    <w:rsid w:val="005B3A5E"/>
    <w:rsid w:val="005B3DF9"/>
    <w:rsid w:val="005B49BF"/>
    <w:rsid w:val="005B5FF0"/>
    <w:rsid w:val="005B694D"/>
    <w:rsid w:val="005C0A09"/>
    <w:rsid w:val="005C14C7"/>
    <w:rsid w:val="005C19A0"/>
    <w:rsid w:val="005C3D54"/>
    <w:rsid w:val="005C58FA"/>
    <w:rsid w:val="005C7F76"/>
    <w:rsid w:val="005D00E0"/>
    <w:rsid w:val="005D079B"/>
    <w:rsid w:val="005D12B8"/>
    <w:rsid w:val="005D2E54"/>
    <w:rsid w:val="005D31D8"/>
    <w:rsid w:val="005D40D5"/>
    <w:rsid w:val="005D4965"/>
    <w:rsid w:val="005D5FD6"/>
    <w:rsid w:val="005D6127"/>
    <w:rsid w:val="005E04BF"/>
    <w:rsid w:val="005E05C8"/>
    <w:rsid w:val="005E1345"/>
    <w:rsid w:val="005E1A78"/>
    <w:rsid w:val="005E1B28"/>
    <w:rsid w:val="005E20E1"/>
    <w:rsid w:val="005E293D"/>
    <w:rsid w:val="005E3498"/>
    <w:rsid w:val="005E3DFF"/>
    <w:rsid w:val="005E4021"/>
    <w:rsid w:val="005E4362"/>
    <w:rsid w:val="005E5597"/>
    <w:rsid w:val="005E69AE"/>
    <w:rsid w:val="005E7094"/>
    <w:rsid w:val="005E797C"/>
    <w:rsid w:val="005E7ECE"/>
    <w:rsid w:val="005E7FB6"/>
    <w:rsid w:val="005F0752"/>
    <w:rsid w:val="005F1131"/>
    <w:rsid w:val="005F2C79"/>
    <w:rsid w:val="005F38F9"/>
    <w:rsid w:val="005F4299"/>
    <w:rsid w:val="00603238"/>
    <w:rsid w:val="0060359D"/>
    <w:rsid w:val="00603E87"/>
    <w:rsid w:val="00606986"/>
    <w:rsid w:val="00606E0C"/>
    <w:rsid w:val="00606E96"/>
    <w:rsid w:val="0060705B"/>
    <w:rsid w:val="006074A8"/>
    <w:rsid w:val="00610BBE"/>
    <w:rsid w:val="00612132"/>
    <w:rsid w:val="006125BA"/>
    <w:rsid w:val="006127E6"/>
    <w:rsid w:val="00613376"/>
    <w:rsid w:val="006152AE"/>
    <w:rsid w:val="00616077"/>
    <w:rsid w:val="0061703C"/>
    <w:rsid w:val="00621369"/>
    <w:rsid w:val="0062221B"/>
    <w:rsid w:val="0062226B"/>
    <w:rsid w:val="0062238D"/>
    <w:rsid w:val="00625400"/>
    <w:rsid w:val="0062594A"/>
    <w:rsid w:val="0063016B"/>
    <w:rsid w:val="006315E8"/>
    <w:rsid w:val="00632207"/>
    <w:rsid w:val="0063491C"/>
    <w:rsid w:val="00635A3A"/>
    <w:rsid w:val="00636BE4"/>
    <w:rsid w:val="00637E17"/>
    <w:rsid w:val="006416F2"/>
    <w:rsid w:val="00641A5C"/>
    <w:rsid w:val="006427A0"/>
    <w:rsid w:val="006428EC"/>
    <w:rsid w:val="00642EFB"/>
    <w:rsid w:val="00643409"/>
    <w:rsid w:val="00644171"/>
    <w:rsid w:val="00646822"/>
    <w:rsid w:val="00650F3B"/>
    <w:rsid w:val="0065104B"/>
    <w:rsid w:val="00652441"/>
    <w:rsid w:val="00652937"/>
    <w:rsid w:val="006552DA"/>
    <w:rsid w:val="00656CC9"/>
    <w:rsid w:val="00657389"/>
    <w:rsid w:val="006603F7"/>
    <w:rsid w:val="00660E13"/>
    <w:rsid w:val="006610B2"/>
    <w:rsid w:val="00661AFE"/>
    <w:rsid w:val="00661B73"/>
    <w:rsid w:val="00662288"/>
    <w:rsid w:val="006628EC"/>
    <w:rsid w:val="00663C40"/>
    <w:rsid w:val="00664114"/>
    <w:rsid w:val="00664507"/>
    <w:rsid w:val="00664893"/>
    <w:rsid w:val="006652F4"/>
    <w:rsid w:val="0066609F"/>
    <w:rsid w:val="00666296"/>
    <w:rsid w:val="006674F0"/>
    <w:rsid w:val="006701D0"/>
    <w:rsid w:val="006729B2"/>
    <w:rsid w:val="006763BD"/>
    <w:rsid w:val="00677489"/>
    <w:rsid w:val="00680F19"/>
    <w:rsid w:val="006814B0"/>
    <w:rsid w:val="00681652"/>
    <w:rsid w:val="00681D1E"/>
    <w:rsid w:val="00683B2C"/>
    <w:rsid w:val="00684C1E"/>
    <w:rsid w:val="00686166"/>
    <w:rsid w:val="00687E41"/>
    <w:rsid w:val="00690168"/>
    <w:rsid w:val="0069063A"/>
    <w:rsid w:val="00691728"/>
    <w:rsid w:val="00692856"/>
    <w:rsid w:val="00692893"/>
    <w:rsid w:val="0069357C"/>
    <w:rsid w:val="00693B62"/>
    <w:rsid w:val="00694091"/>
    <w:rsid w:val="0069476F"/>
    <w:rsid w:val="0069517D"/>
    <w:rsid w:val="006956C5"/>
    <w:rsid w:val="0069688F"/>
    <w:rsid w:val="00697C36"/>
    <w:rsid w:val="006A0DA1"/>
    <w:rsid w:val="006A129D"/>
    <w:rsid w:val="006A1937"/>
    <w:rsid w:val="006A5F74"/>
    <w:rsid w:val="006A6373"/>
    <w:rsid w:val="006A6771"/>
    <w:rsid w:val="006B02B2"/>
    <w:rsid w:val="006B1596"/>
    <w:rsid w:val="006B19A4"/>
    <w:rsid w:val="006B2327"/>
    <w:rsid w:val="006B244E"/>
    <w:rsid w:val="006B34A0"/>
    <w:rsid w:val="006B4143"/>
    <w:rsid w:val="006B4BCD"/>
    <w:rsid w:val="006C0F02"/>
    <w:rsid w:val="006C1F10"/>
    <w:rsid w:val="006C2BA7"/>
    <w:rsid w:val="006C3432"/>
    <w:rsid w:val="006C36FB"/>
    <w:rsid w:val="006C3B2C"/>
    <w:rsid w:val="006C44FC"/>
    <w:rsid w:val="006C61A5"/>
    <w:rsid w:val="006C7C86"/>
    <w:rsid w:val="006D03E2"/>
    <w:rsid w:val="006D1618"/>
    <w:rsid w:val="006D21DB"/>
    <w:rsid w:val="006D23FC"/>
    <w:rsid w:val="006D3239"/>
    <w:rsid w:val="006D3BDC"/>
    <w:rsid w:val="006D4A09"/>
    <w:rsid w:val="006D5276"/>
    <w:rsid w:val="006D6393"/>
    <w:rsid w:val="006D693F"/>
    <w:rsid w:val="006D74C8"/>
    <w:rsid w:val="006E04A5"/>
    <w:rsid w:val="006E0600"/>
    <w:rsid w:val="006E1016"/>
    <w:rsid w:val="006E238B"/>
    <w:rsid w:val="006E27DA"/>
    <w:rsid w:val="006E2CD9"/>
    <w:rsid w:val="006E2F70"/>
    <w:rsid w:val="006E325E"/>
    <w:rsid w:val="006E5E28"/>
    <w:rsid w:val="006E5E83"/>
    <w:rsid w:val="006E63B9"/>
    <w:rsid w:val="006E6574"/>
    <w:rsid w:val="006E7B0F"/>
    <w:rsid w:val="006F03A2"/>
    <w:rsid w:val="006F0519"/>
    <w:rsid w:val="006F0CFB"/>
    <w:rsid w:val="006F0E6C"/>
    <w:rsid w:val="006F215E"/>
    <w:rsid w:val="006F2396"/>
    <w:rsid w:val="006F6CF4"/>
    <w:rsid w:val="006F7DDD"/>
    <w:rsid w:val="00700268"/>
    <w:rsid w:val="0070049A"/>
    <w:rsid w:val="00700D18"/>
    <w:rsid w:val="007014D5"/>
    <w:rsid w:val="007032F9"/>
    <w:rsid w:val="007035A1"/>
    <w:rsid w:val="00703FCD"/>
    <w:rsid w:val="00704652"/>
    <w:rsid w:val="00706BF0"/>
    <w:rsid w:val="007071D1"/>
    <w:rsid w:val="0070741A"/>
    <w:rsid w:val="007076F6"/>
    <w:rsid w:val="00707ACD"/>
    <w:rsid w:val="007101C2"/>
    <w:rsid w:val="0071042C"/>
    <w:rsid w:val="00710D18"/>
    <w:rsid w:val="00710DC8"/>
    <w:rsid w:val="00714CF2"/>
    <w:rsid w:val="00714E4A"/>
    <w:rsid w:val="00714FD9"/>
    <w:rsid w:val="007156B9"/>
    <w:rsid w:val="007165C2"/>
    <w:rsid w:val="007170E9"/>
    <w:rsid w:val="00720817"/>
    <w:rsid w:val="00720BDF"/>
    <w:rsid w:val="00720F2A"/>
    <w:rsid w:val="007213A5"/>
    <w:rsid w:val="0072163A"/>
    <w:rsid w:val="0072184E"/>
    <w:rsid w:val="0072232D"/>
    <w:rsid w:val="00722850"/>
    <w:rsid w:val="00724E69"/>
    <w:rsid w:val="00724EEC"/>
    <w:rsid w:val="00726B2A"/>
    <w:rsid w:val="0072762D"/>
    <w:rsid w:val="00731BEB"/>
    <w:rsid w:val="00732C29"/>
    <w:rsid w:val="00733315"/>
    <w:rsid w:val="0073353F"/>
    <w:rsid w:val="0073426A"/>
    <w:rsid w:val="007358D2"/>
    <w:rsid w:val="00735A91"/>
    <w:rsid w:val="00737555"/>
    <w:rsid w:val="0074001D"/>
    <w:rsid w:val="00740F8C"/>
    <w:rsid w:val="0074126E"/>
    <w:rsid w:val="00741796"/>
    <w:rsid w:val="007419F1"/>
    <w:rsid w:val="00742571"/>
    <w:rsid w:val="00742E45"/>
    <w:rsid w:val="007447AF"/>
    <w:rsid w:val="00744DEB"/>
    <w:rsid w:val="00745113"/>
    <w:rsid w:val="00747BBF"/>
    <w:rsid w:val="00750816"/>
    <w:rsid w:val="00751BB6"/>
    <w:rsid w:val="007521A3"/>
    <w:rsid w:val="007526CB"/>
    <w:rsid w:val="00752E03"/>
    <w:rsid w:val="00753633"/>
    <w:rsid w:val="0075791E"/>
    <w:rsid w:val="0076166C"/>
    <w:rsid w:val="00763875"/>
    <w:rsid w:val="00763EFD"/>
    <w:rsid w:val="007651AD"/>
    <w:rsid w:val="007657C1"/>
    <w:rsid w:val="00766721"/>
    <w:rsid w:val="00770939"/>
    <w:rsid w:val="00770BAA"/>
    <w:rsid w:val="00771F13"/>
    <w:rsid w:val="00772941"/>
    <w:rsid w:val="00773B20"/>
    <w:rsid w:val="007742C3"/>
    <w:rsid w:val="007742CA"/>
    <w:rsid w:val="00774F74"/>
    <w:rsid w:val="0077502E"/>
    <w:rsid w:val="007751DA"/>
    <w:rsid w:val="00775995"/>
    <w:rsid w:val="00775DCD"/>
    <w:rsid w:val="007761CE"/>
    <w:rsid w:val="007774DD"/>
    <w:rsid w:val="0077755F"/>
    <w:rsid w:val="00780507"/>
    <w:rsid w:val="00783114"/>
    <w:rsid w:val="00783B93"/>
    <w:rsid w:val="0078441B"/>
    <w:rsid w:val="00785265"/>
    <w:rsid w:val="007856A2"/>
    <w:rsid w:val="007864D5"/>
    <w:rsid w:val="00786D09"/>
    <w:rsid w:val="00791350"/>
    <w:rsid w:val="00792395"/>
    <w:rsid w:val="0079281B"/>
    <w:rsid w:val="00793656"/>
    <w:rsid w:val="00793CB8"/>
    <w:rsid w:val="00794981"/>
    <w:rsid w:val="00795DD7"/>
    <w:rsid w:val="00795E77"/>
    <w:rsid w:val="00796BFA"/>
    <w:rsid w:val="00796DF6"/>
    <w:rsid w:val="00797073"/>
    <w:rsid w:val="00797349"/>
    <w:rsid w:val="00797C3A"/>
    <w:rsid w:val="007A0A64"/>
    <w:rsid w:val="007A1B11"/>
    <w:rsid w:val="007A20AD"/>
    <w:rsid w:val="007A406D"/>
    <w:rsid w:val="007A4FBC"/>
    <w:rsid w:val="007A624F"/>
    <w:rsid w:val="007A62B0"/>
    <w:rsid w:val="007A7449"/>
    <w:rsid w:val="007B30CB"/>
    <w:rsid w:val="007B337C"/>
    <w:rsid w:val="007B4D6B"/>
    <w:rsid w:val="007B5E0F"/>
    <w:rsid w:val="007B79C4"/>
    <w:rsid w:val="007C067A"/>
    <w:rsid w:val="007C1D1E"/>
    <w:rsid w:val="007C525D"/>
    <w:rsid w:val="007C532F"/>
    <w:rsid w:val="007C54F3"/>
    <w:rsid w:val="007C576F"/>
    <w:rsid w:val="007C5A0C"/>
    <w:rsid w:val="007D0B4A"/>
    <w:rsid w:val="007D10DE"/>
    <w:rsid w:val="007D1D7D"/>
    <w:rsid w:val="007D2CDB"/>
    <w:rsid w:val="007D37C7"/>
    <w:rsid w:val="007D4217"/>
    <w:rsid w:val="007D4C17"/>
    <w:rsid w:val="007D63E3"/>
    <w:rsid w:val="007D6C78"/>
    <w:rsid w:val="007D71E1"/>
    <w:rsid w:val="007D7BAE"/>
    <w:rsid w:val="007E0F0A"/>
    <w:rsid w:val="007E0FEE"/>
    <w:rsid w:val="007E1438"/>
    <w:rsid w:val="007E17DF"/>
    <w:rsid w:val="007E241A"/>
    <w:rsid w:val="007E2E5C"/>
    <w:rsid w:val="007E4125"/>
    <w:rsid w:val="007E414D"/>
    <w:rsid w:val="007E4F91"/>
    <w:rsid w:val="007E5438"/>
    <w:rsid w:val="007E5B3F"/>
    <w:rsid w:val="007E6BCE"/>
    <w:rsid w:val="007F1DA0"/>
    <w:rsid w:val="007F1DE6"/>
    <w:rsid w:val="007F2017"/>
    <w:rsid w:val="007F262F"/>
    <w:rsid w:val="007F3620"/>
    <w:rsid w:val="007F36C0"/>
    <w:rsid w:val="007F4CEF"/>
    <w:rsid w:val="007F5408"/>
    <w:rsid w:val="007F56EC"/>
    <w:rsid w:val="007F6287"/>
    <w:rsid w:val="007F65C3"/>
    <w:rsid w:val="00800B3F"/>
    <w:rsid w:val="00801EB9"/>
    <w:rsid w:val="00802C1E"/>
    <w:rsid w:val="0080390E"/>
    <w:rsid w:val="00803AA3"/>
    <w:rsid w:val="00804D1C"/>
    <w:rsid w:val="008119E0"/>
    <w:rsid w:val="008125D9"/>
    <w:rsid w:val="0081483D"/>
    <w:rsid w:val="008159CF"/>
    <w:rsid w:val="00816E05"/>
    <w:rsid w:val="008176B2"/>
    <w:rsid w:val="008177B6"/>
    <w:rsid w:val="0081781F"/>
    <w:rsid w:val="00817D0C"/>
    <w:rsid w:val="00823177"/>
    <w:rsid w:val="00823C00"/>
    <w:rsid w:val="00824D2C"/>
    <w:rsid w:val="0082510E"/>
    <w:rsid w:val="00825385"/>
    <w:rsid w:val="008253BC"/>
    <w:rsid w:val="00825A93"/>
    <w:rsid w:val="00826038"/>
    <w:rsid w:val="00830067"/>
    <w:rsid w:val="00830166"/>
    <w:rsid w:val="00830250"/>
    <w:rsid w:val="008305B8"/>
    <w:rsid w:val="00830B60"/>
    <w:rsid w:val="00830DCD"/>
    <w:rsid w:val="008310B4"/>
    <w:rsid w:val="0083190B"/>
    <w:rsid w:val="00831EB7"/>
    <w:rsid w:val="008328DA"/>
    <w:rsid w:val="008339BB"/>
    <w:rsid w:val="00833A93"/>
    <w:rsid w:val="008346D7"/>
    <w:rsid w:val="00834714"/>
    <w:rsid w:val="008366CA"/>
    <w:rsid w:val="00842518"/>
    <w:rsid w:val="00842757"/>
    <w:rsid w:val="0084324B"/>
    <w:rsid w:val="008449E3"/>
    <w:rsid w:val="00844AD7"/>
    <w:rsid w:val="00845498"/>
    <w:rsid w:val="00845B69"/>
    <w:rsid w:val="00845BCF"/>
    <w:rsid w:val="00846C42"/>
    <w:rsid w:val="00847B59"/>
    <w:rsid w:val="00850B25"/>
    <w:rsid w:val="00850DFA"/>
    <w:rsid w:val="008517AC"/>
    <w:rsid w:val="00851D28"/>
    <w:rsid w:val="008527E3"/>
    <w:rsid w:val="0085280B"/>
    <w:rsid w:val="0085365B"/>
    <w:rsid w:val="00853D73"/>
    <w:rsid w:val="00856F65"/>
    <w:rsid w:val="00857999"/>
    <w:rsid w:val="008612DF"/>
    <w:rsid w:val="00861454"/>
    <w:rsid w:val="00861919"/>
    <w:rsid w:val="0086328A"/>
    <w:rsid w:val="0086419A"/>
    <w:rsid w:val="008648BB"/>
    <w:rsid w:val="00865CDA"/>
    <w:rsid w:val="008661AB"/>
    <w:rsid w:val="00866A60"/>
    <w:rsid w:val="00866DF2"/>
    <w:rsid w:val="0087023B"/>
    <w:rsid w:val="00870904"/>
    <w:rsid w:val="008709D8"/>
    <w:rsid w:val="00872A9B"/>
    <w:rsid w:val="00872CDE"/>
    <w:rsid w:val="00872DA1"/>
    <w:rsid w:val="00874212"/>
    <w:rsid w:val="00874D1F"/>
    <w:rsid w:val="00874F06"/>
    <w:rsid w:val="00875551"/>
    <w:rsid w:val="00875C02"/>
    <w:rsid w:val="00881EB2"/>
    <w:rsid w:val="008829BE"/>
    <w:rsid w:val="008837C6"/>
    <w:rsid w:val="008855BE"/>
    <w:rsid w:val="0088664D"/>
    <w:rsid w:val="008866AC"/>
    <w:rsid w:val="0088778E"/>
    <w:rsid w:val="00887AAC"/>
    <w:rsid w:val="00890BE1"/>
    <w:rsid w:val="00893AAE"/>
    <w:rsid w:val="00894BDB"/>
    <w:rsid w:val="0089517C"/>
    <w:rsid w:val="00897250"/>
    <w:rsid w:val="008A04FE"/>
    <w:rsid w:val="008A05A7"/>
    <w:rsid w:val="008A08BF"/>
    <w:rsid w:val="008A0C1D"/>
    <w:rsid w:val="008A1238"/>
    <w:rsid w:val="008A179F"/>
    <w:rsid w:val="008A228D"/>
    <w:rsid w:val="008A2A62"/>
    <w:rsid w:val="008A398C"/>
    <w:rsid w:val="008A3ABA"/>
    <w:rsid w:val="008A3E94"/>
    <w:rsid w:val="008A4AE5"/>
    <w:rsid w:val="008A519F"/>
    <w:rsid w:val="008A57D8"/>
    <w:rsid w:val="008A5C97"/>
    <w:rsid w:val="008A6181"/>
    <w:rsid w:val="008A756B"/>
    <w:rsid w:val="008B0414"/>
    <w:rsid w:val="008B0864"/>
    <w:rsid w:val="008B175A"/>
    <w:rsid w:val="008B2637"/>
    <w:rsid w:val="008B43B5"/>
    <w:rsid w:val="008B4DFE"/>
    <w:rsid w:val="008B57BC"/>
    <w:rsid w:val="008B5D12"/>
    <w:rsid w:val="008B5FF5"/>
    <w:rsid w:val="008B6567"/>
    <w:rsid w:val="008B689D"/>
    <w:rsid w:val="008C0501"/>
    <w:rsid w:val="008C2362"/>
    <w:rsid w:val="008C2D91"/>
    <w:rsid w:val="008C391A"/>
    <w:rsid w:val="008C3CB7"/>
    <w:rsid w:val="008C47B1"/>
    <w:rsid w:val="008C4F92"/>
    <w:rsid w:val="008C5FA2"/>
    <w:rsid w:val="008C7413"/>
    <w:rsid w:val="008C7C4E"/>
    <w:rsid w:val="008C7F4D"/>
    <w:rsid w:val="008C7F92"/>
    <w:rsid w:val="008D0258"/>
    <w:rsid w:val="008D111F"/>
    <w:rsid w:val="008D16B7"/>
    <w:rsid w:val="008D2A9B"/>
    <w:rsid w:val="008D309E"/>
    <w:rsid w:val="008D3B4A"/>
    <w:rsid w:val="008D55CE"/>
    <w:rsid w:val="008D55F4"/>
    <w:rsid w:val="008D576E"/>
    <w:rsid w:val="008D66CE"/>
    <w:rsid w:val="008D7063"/>
    <w:rsid w:val="008D7816"/>
    <w:rsid w:val="008D7B69"/>
    <w:rsid w:val="008E096D"/>
    <w:rsid w:val="008E0F23"/>
    <w:rsid w:val="008E1535"/>
    <w:rsid w:val="008E1C36"/>
    <w:rsid w:val="008E4620"/>
    <w:rsid w:val="008E4B2B"/>
    <w:rsid w:val="008E5F3A"/>
    <w:rsid w:val="008E63F4"/>
    <w:rsid w:val="008E6AE6"/>
    <w:rsid w:val="008E6D6C"/>
    <w:rsid w:val="008E77B9"/>
    <w:rsid w:val="008F0116"/>
    <w:rsid w:val="008F0263"/>
    <w:rsid w:val="008F0A83"/>
    <w:rsid w:val="008F143D"/>
    <w:rsid w:val="008F3594"/>
    <w:rsid w:val="008F4370"/>
    <w:rsid w:val="008F4836"/>
    <w:rsid w:val="008F4D81"/>
    <w:rsid w:val="008F705A"/>
    <w:rsid w:val="008F72DD"/>
    <w:rsid w:val="0090088C"/>
    <w:rsid w:val="00900C4B"/>
    <w:rsid w:val="00901776"/>
    <w:rsid w:val="00901D84"/>
    <w:rsid w:val="00901EBE"/>
    <w:rsid w:val="009064C1"/>
    <w:rsid w:val="00906A1B"/>
    <w:rsid w:val="00907CC9"/>
    <w:rsid w:val="009111B5"/>
    <w:rsid w:val="00911F4E"/>
    <w:rsid w:val="009125DB"/>
    <w:rsid w:val="009130E6"/>
    <w:rsid w:val="00913B83"/>
    <w:rsid w:val="00913F00"/>
    <w:rsid w:val="0091597E"/>
    <w:rsid w:val="009159CC"/>
    <w:rsid w:val="00915A31"/>
    <w:rsid w:val="009202DB"/>
    <w:rsid w:val="00920853"/>
    <w:rsid w:val="0092118F"/>
    <w:rsid w:val="009214BA"/>
    <w:rsid w:val="00921EB0"/>
    <w:rsid w:val="00921F55"/>
    <w:rsid w:val="00922766"/>
    <w:rsid w:val="009233B0"/>
    <w:rsid w:val="009234CD"/>
    <w:rsid w:val="00923897"/>
    <w:rsid w:val="00924011"/>
    <w:rsid w:val="00924FC0"/>
    <w:rsid w:val="00926121"/>
    <w:rsid w:val="00930791"/>
    <w:rsid w:val="00930EFF"/>
    <w:rsid w:val="0093150B"/>
    <w:rsid w:val="009315A7"/>
    <w:rsid w:val="009322BA"/>
    <w:rsid w:val="00932865"/>
    <w:rsid w:val="00933038"/>
    <w:rsid w:val="00933E9B"/>
    <w:rsid w:val="00934581"/>
    <w:rsid w:val="009351D6"/>
    <w:rsid w:val="00935846"/>
    <w:rsid w:val="009369BC"/>
    <w:rsid w:val="00936FEC"/>
    <w:rsid w:val="00937C15"/>
    <w:rsid w:val="009408DD"/>
    <w:rsid w:val="00940A56"/>
    <w:rsid w:val="00942C80"/>
    <w:rsid w:val="009446A2"/>
    <w:rsid w:val="00945C3B"/>
    <w:rsid w:val="00950115"/>
    <w:rsid w:val="00952B60"/>
    <w:rsid w:val="00952CE1"/>
    <w:rsid w:val="00953650"/>
    <w:rsid w:val="00953D18"/>
    <w:rsid w:val="009545D1"/>
    <w:rsid w:val="009546B5"/>
    <w:rsid w:val="00957511"/>
    <w:rsid w:val="00957901"/>
    <w:rsid w:val="009601AD"/>
    <w:rsid w:val="00961736"/>
    <w:rsid w:val="00961E7A"/>
    <w:rsid w:val="00962131"/>
    <w:rsid w:val="00963270"/>
    <w:rsid w:val="009645BC"/>
    <w:rsid w:val="009655AF"/>
    <w:rsid w:val="00965D6C"/>
    <w:rsid w:val="00965D73"/>
    <w:rsid w:val="00966304"/>
    <w:rsid w:val="009669D6"/>
    <w:rsid w:val="00967408"/>
    <w:rsid w:val="00972AAA"/>
    <w:rsid w:val="009743E7"/>
    <w:rsid w:val="00974AA0"/>
    <w:rsid w:val="009756FE"/>
    <w:rsid w:val="009801F1"/>
    <w:rsid w:val="00980348"/>
    <w:rsid w:val="009805BD"/>
    <w:rsid w:val="009806DE"/>
    <w:rsid w:val="0098138E"/>
    <w:rsid w:val="00981A75"/>
    <w:rsid w:val="00981C39"/>
    <w:rsid w:val="00981D1D"/>
    <w:rsid w:val="0098288E"/>
    <w:rsid w:val="009831D1"/>
    <w:rsid w:val="00983384"/>
    <w:rsid w:val="00984FC5"/>
    <w:rsid w:val="0098545D"/>
    <w:rsid w:val="0098634F"/>
    <w:rsid w:val="0098655A"/>
    <w:rsid w:val="009865B9"/>
    <w:rsid w:val="00987471"/>
    <w:rsid w:val="0098796B"/>
    <w:rsid w:val="00987E3D"/>
    <w:rsid w:val="00991EE5"/>
    <w:rsid w:val="009925CD"/>
    <w:rsid w:val="00992C36"/>
    <w:rsid w:val="00992DB3"/>
    <w:rsid w:val="009938B3"/>
    <w:rsid w:val="00995DE8"/>
    <w:rsid w:val="00996022"/>
    <w:rsid w:val="009961CD"/>
    <w:rsid w:val="009963BC"/>
    <w:rsid w:val="009966DE"/>
    <w:rsid w:val="009968EC"/>
    <w:rsid w:val="00996D75"/>
    <w:rsid w:val="00997AAF"/>
    <w:rsid w:val="009A01E8"/>
    <w:rsid w:val="009A1579"/>
    <w:rsid w:val="009A1CBB"/>
    <w:rsid w:val="009A27DA"/>
    <w:rsid w:val="009A3504"/>
    <w:rsid w:val="009A35D5"/>
    <w:rsid w:val="009A5454"/>
    <w:rsid w:val="009A65A2"/>
    <w:rsid w:val="009A6E36"/>
    <w:rsid w:val="009B0CEE"/>
    <w:rsid w:val="009B0EE0"/>
    <w:rsid w:val="009B166F"/>
    <w:rsid w:val="009B2667"/>
    <w:rsid w:val="009B272B"/>
    <w:rsid w:val="009B5463"/>
    <w:rsid w:val="009B56A4"/>
    <w:rsid w:val="009B65AF"/>
    <w:rsid w:val="009B666F"/>
    <w:rsid w:val="009B758E"/>
    <w:rsid w:val="009C06B0"/>
    <w:rsid w:val="009C0E2E"/>
    <w:rsid w:val="009C0E66"/>
    <w:rsid w:val="009C367F"/>
    <w:rsid w:val="009C476D"/>
    <w:rsid w:val="009C519A"/>
    <w:rsid w:val="009C5265"/>
    <w:rsid w:val="009C6D57"/>
    <w:rsid w:val="009C7830"/>
    <w:rsid w:val="009C7D2B"/>
    <w:rsid w:val="009D0588"/>
    <w:rsid w:val="009D0AE5"/>
    <w:rsid w:val="009D168D"/>
    <w:rsid w:val="009D1979"/>
    <w:rsid w:val="009D1ECC"/>
    <w:rsid w:val="009D2100"/>
    <w:rsid w:val="009D348C"/>
    <w:rsid w:val="009D3841"/>
    <w:rsid w:val="009D53E2"/>
    <w:rsid w:val="009D6277"/>
    <w:rsid w:val="009D7A78"/>
    <w:rsid w:val="009D7A99"/>
    <w:rsid w:val="009E213B"/>
    <w:rsid w:val="009E43EC"/>
    <w:rsid w:val="009E4CD7"/>
    <w:rsid w:val="009E5022"/>
    <w:rsid w:val="009E56B9"/>
    <w:rsid w:val="009E6052"/>
    <w:rsid w:val="009E70D2"/>
    <w:rsid w:val="009E744E"/>
    <w:rsid w:val="009E7C7F"/>
    <w:rsid w:val="009F2ADA"/>
    <w:rsid w:val="009F31DB"/>
    <w:rsid w:val="009F38A7"/>
    <w:rsid w:val="009F50DF"/>
    <w:rsid w:val="009F7BC5"/>
    <w:rsid w:val="009F7DAF"/>
    <w:rsid w:val="00A003E7"/>
    <w:rsid w:val="00A00B45"/>
    <w:rsid w:val="00A030CF"/>
    <w:rsid w:val="00A031E2"/>
    <w:rsid w:val="00A04989"/>
    <w:rsid w:val="00A04CF0"/>
    <w:rsid w:val="00A04E91"/>
    <w:rsid w:val="00A05709"/>
    <w:rsid w:val="00A05A3F"/>
    <w:rsid w:val="00A06943"/>
    <w:rsid w:val="00A06A11"/>
    <w:rsid w:val="00A074F7"/>
    <w:rsid w:val="00A075DA"/>
    <w:rsid w:val="00A07662"/>
    <w:rsid w:val="00A104B3"/>
    <w:rsid w:val="00A10CFF"/>
    <w:rsid w:val="00A11B64"/>
    <w:rsid w:val="00A12A11"/>
    <w:rsid w:val="00A15F25"/>
    <w:rsid w:val="00A165EB"/>
    <w:rsid w:val="00A16B25"/>
    <w:rsid w:val="00A17A64"/>
    <w:rsid w:val="00A17B10"/>
    <w:rsid w:val="00A17CE0"/>
    <w:rsid w:val="00A21A29"/>
    <w:rsid w:val="00A2287D"/>
    <w:rsid w:val="00A2356E"/>
    <w:rsid w:val="00A23D48"/>
    <w:rsid w:val="00A24286"/>
    <w:rsid w:val="00A24695"/>
    <w:rsid w:val="00A259DB"/>
    <w:rsid w:val="00A25D4B"/>
    <w:rsid w:val="00A27678"/>
    <w:rsid w:val="00A30FF1"/>
    <w:rsid w:val="00A31A65"/>
    <w:rsid w:val="00A34B70"/>
    <w:rsid w:val="00A35CD8"/>
    <w:rsid w:val="00A369FF"/>
    <w:rsid w:val="00A37219"/>
    <w:rsid w:val="00A3788D"/>
    <w:rsid w:val="00A37BBA"/>
    <w:rsid w:val="00A42306"/>
    <w:rsid w:val="00A432C1"/>
    <w:rsid w:val="00A44E8D"/>
    <w:rsid w:val="00A4511C"/>
    <w:rsid w:val="00A4552B"/>
    <w:rsid w:val="00A45760"/>
    <w:rsid w:val="00A46EA8"/>
    <w:rsid w:val="00A47F88"/>
    <w:rsid w:val="00A50A9E"/>
    <w:rsid w:val="00A52396"/>
    <w:rsid w:val="00A52B44"/>
    <w:rsid w:val="00A540EB"/>
    <w:rsid w:val="00A54D35"/>
    <w:rsid w:val="00A55ACD"/>
    <w:rsid w:val="00A56F87"/>
    <w:rsid w:val="00A5746C"/>
    <w:rsid w:val="00A6003D"/>
    <w:rsid w:val="00A608A7"/>
    <w:rsid w:val="00A61005"/>
    <w:rsid w:val="00A61AFD"/>
    <w:rsid w:val="00A61FCD"/>
    <w:rsid w:val="00A628F2"/>
    <w:rsid w:val="00A62A33"/>
    <w:rsid w:val="00A62CCD"/>
    <w:rsid w:val="00A6559E"/>
    <w:rsid w:val="00A65D80"/>
    <w:rsid w:val="00A6753A"/>
    <w:rsid w:val="00A70EC3"/>
    <w:rsid w:val="00A7196C"/>
    <w:rsid w:val="00A71EF6"/>
    <w:rsid w:val="00A72236"/>
    <w:rsid w:val="00A7306D"/>
    <w:rsid w:val="00A736B5"/>
    <w:rsid w:val="00A7416A"/>
    <w:rsid w:val="00A743C1"/>
    <w:rsid w:val="00A7471B"/>
    <w:rsid w:val="00A75E2F"/>
    <w:rsid w:val="00A80097"/>
    <w:rsid w:val="00A81D82"/>
    <w:rsid w:val="00A82427"/>
    <w:rsid w:val="00A82E30"/>
    <w:rsid w:val="00A82FD5"/>
    <w:rsid w:val="00A831EB"/>
    <w:rsid w:val="00A83F55"/>
    <w:rsid w:val="00A84F04"/>
    <w:rsid w:val="00A85D27"/>
    <w:rsid w:val="00A876F9"/>
    <w:rsid w:val="00A90D2C"/>
    <w:rsid w:val="00A931B9"/>
    <w:rsid w:val="00A9395B"/>
    <w:rsid w:val="00A93D87"/>
    <w:rsid w:val="00A941BC"/>
    <w:rsid w:val="00A95913"/>
    <w:rsid w:val="00A9606E"/>
    <w:rsid w:val="00AA1006"/>
    <w:rsid w:val="00AA1444"/>
    <w:rsid w:val="00AA18D3"/>
    <w:rsid w:val="00AA3877"/>
    <w:rsid w:val="00AA5CB1"/>
    <w:rsid w:val="00AA6068"/>
    <w:rsid w:val="00AA6465"/>
    <w:rsid w:val="00AA65B5"/>
    <w:rsid w:val="00AA6DC5"/>
    <w:rsid w:val="00AA7404"/>
    <w:rsid w:val="00AA78F1"/>
    <w:rsid w:val="00AA7F27"/>
    <w:rsid w:val="00AB0696"/>
    <w:rsid w:val="00AB0DC9"/>
    <w:rsid w:val="00AB1CDC"/>
    <w:rsid w:val="00AB2E00"/>
    <w:rsid w:val="00AB309A"/>
    <w:rsid w:val="00AB3AF6"/>
    <w:rsid w:val="00AB3E99"/>
    <w:rsid w:val="00AB4285"/>
    <w:rsid w:val="00AB461E"/>
    <w:rsid w:val="00AB4954"/>
    <w:rsid w:val="00AB4B7B"/>
    <w:rsid w:val="00AB5AF6"/>
    <w:rsid w:val="00AB5E55"/>
    <w:rsid w:val="00AB616C"/>
    <w:rsid w:val="00AB7875"/>
    <w:rsid w:val="00AB7CC1"/>
    <w:rsid w:val="00AC0AB0"/>
    <w:rsid w:val="00AC1CAA"/>
    <w:rsid w:val="00AC2474"/>
    <w:rsid w:val="00AC2F18"/>
    <w:rsid w:val="00AC30A0"/>
    <w:rsid w:val="00AC322F"/>
    <w:rsid w:val="00AC3BA2"/>
    <w:rsid w:val="00AC46DA"/>
    <w:rsid w:val="00AC4EF2"/>
    <w:rsid w:val="00AC5AA1"/>
    <w:rsid w:val="00AC5AD7"/>
    <w:rsid w:val="00AC68EE"/>
    <w:rsid w:val="00AC7481"/>
    <w:rsid w:val="00AC7675"/>
    <w:rsid w:val="00AD1EF0"/>
    <w:rsid w:val="00AD24E7"/>
    <w:rsid w:val="00AD2853"/>
    <w:rsid w:val="00AD34B3"/>
    <w:rsid w:val="00AD3BE0"/>
    <w:rsid w:val="00AD452E"/>
    <w:rsid w:val="00AD55A4"/>
    <w:rsid w:val="00AD5C66"/>
    <w:rsid w:val="00AD6A96"/>
    <w:rsid w:val="00AE10C8"/>
    <w:rsid w:val="00AE186A"/>
    <w:rsid w:val="00AE2154"/>
    <w:rsid w:val="00AE2D5B"/>
    <w:rsid w:val="00AE30DA"/>
    <w:rsid w:val="00AE3E12"/>
    <w:rsid w:val="00AE51A2"/>
    <w:rsid w:val="00AE5AFF"/>
    <w:rsid w:val="00AE5EDC"/>
    <w:rsid w:val="00AE7048"/>
    <w:rsid w:val="00AE75B5"/>
    <w:rsid w:val="00AE7F2A"/>
    <w:rsid w:val="00AF0CBC"/>
    <w:rsid w:val="00AF0D9C"/>
    <w:rsid w:val="00AF1062"/>
    <w:rsid w:val="00AF50AF"/>
    <w:rsid w:val="00AF5355"/>
    <w:rsid w:val="00AF69BF"/>
    <w:rsid w:val="00AF76C1"/>
    <w:rsid w:val="00AF7C62"/>
    <w:rsid w:val="00AF7FFB"/>
    <w:rsid w:val="00B00705"/>
    <w:rsid w:val="00B01496"/>
    <w:rsid w:val="00B01F7E"/>
    <w:rsid w:val="00B023E5"/>
    <w:rsid w:val="00B02F5C"/>
    <w:rsid w:val="00B0362A"/>
    <w:rsid w:val="00B07F08"/>
    <w:rsid w:val="00B1035A"/>
    <w:rsid w:val="00B10881"/>
    <w:rsid w:val="00B108D0"/>
    <w:rsid w:val="00B117C1"/>
    <w:rsid w:val="00B12705"/>
    <w:rsid w:val="00B12866"/>
    <w:rsid w:val="00B13005"/>
    <w:rsid w:val="00B134DC"/>
    <w:rsid w:val="00B1390E"/>
    <w:rsid w:val="00B13AED"/>
    <w:rsid w:val="00B149DB"/>
    <w:rsid w:val="00B14E35"/>
    <w:rsid w:val="00B15619"/>
    <w:rsid w:val="00B1581B"/>
    <w:rsid w:val="00B1609E"/>
    <w:rsid w:val="00B16C2A"/>
    <w:rsid w:val="00B17E3D"/>
    <w:rsid w:val="00B2009E"/>
    <w:rsid w:val="00B20989"/>
    <w:rsid w:val="00B222D9"/>
    <w:rsid w:val="00B22B68"/>
    <w:rsid w:val="00B23FEC"/>
    <w:rsid w:val="00B24662"/>
    <w:rsid w:val="00B24CFD"/>
    <w:rsid w:val="00B267D2"/>
    <w:rsid w:val="00B307A0"/>
    <w:rsid w:val="00B3087D"/>
    <w:rsid w:val="00B3311C"/>
    <w:rsid w:val="00B331DE"/>
    <w:rsid w:val="00B34563"/>
    <w:rsid w:val="00B34794"/>
    <w:rsid w:val="00B366BB"/>
    <w:rsid w:val="00B3689B"/>
    <w:rsid w:val="00B42A61"/>
    <w:rsid w:val="00B42C27"/>
    <w:rsid w:val="00B44410"/>
    <w:rsid w:val="00B46AA5"/>
    <w:rsid w:val="00B47D1D"/>
    <w:rsid w:val="00B47E70"/>
    <w:rsid w:val="00B508B2"/>
    <w:rsid w:val="00B51661"/>
    <w:rsid w:val="00B51E0A"/>
    <w:rsid w:val="00B537E6"/>
    <w:rsid w:val="00B543C5"/>
    <w:rsid w:val="00B571C8"/>
    <w:rsid w:val="00B5753E"/>
    <w:rsid w:val="00B602D0"/>
    <w:rsid w:val="00B60421"/>
    <w:rsid w:val="00B6138D"/>
    <w:rsid w:val="00B6175F"/>
    <w:rsid w:val="00B61B42"/>
    <w:rsid w:val="00B62A2F"/>
    <w:rsid w:val="00B63A9C"/>
    <w:rsid w:val="00B65BF7"/>
    <w:rsid w:val="00B66010"/>
    <w:rsid w:val="00B7113D"/>
    <w:rsid w:val="00B71240"/>
    <w:rsid w:val="00B71A83"/>
    <w:rsid w:val="00B728F2"/>
    <w:rsid w:val="00B74DE6"/>
    <w:rsid w:val="00B75262"/>
    <w:rsid w:val="00B754C4"/>
    <w:rsid w:val="00B75DA3"/>
    <w:rsid w:val="00B7621A"/>
    <w:rsid w:val="00B76F7B"/>
    <w:rsid w:val="00B80B0A"/>
    <w:rsid w:val="00B80C14"/>
    <w:rsid w:val="00B81EB6"/>
    <w:rsid w:val="00B90FA6"/>
    <w:rsid w:val="00B9126D"/>
    <w:rsid w:val="00B920DC"/>
    <w:rsid w:val="00B93226"/>
    <w:rsid w:val="00B943A9"/>
    <w:rsid w:val="00B95642"/>
    <w:rsid w:val="00B965A8"/>
    <w:rsid w:val="00BA21BF"/>
    <w:rsid w:val="00BA24A9"/>
    <w:rsid w:val="00BA2C0F"/>
    <w:rsid w:val="00BA2D24"/>
    <w:rsid w:val="00BA3CD4"/>
    <w:rsid w:val="00BA5721"/>
    <w:rsid w:val="00BB0243"/>
    <w:rsid w:val="00BB0787"/>
    <w:rsid w:val="00BB1723"/>
    <w:rsid w:val="00BB1F3F"/>
    <w:rsid w:val="00BB43B5"/>
    <w:rsid w:val="00BB5EF2"/>
    <w:rsid w:val="00BB7232"/>
    <w:rsid w:val="00BC027F"/>
    <w:rsid w:val="00BC0B04"/>
    <w:rsid w:val="00BC0FCC"/>
    <w:rsid w:val="00BC4468"/>
    <w:rsid w:val="00BD1367"/>
    <w:rsid w:val="00BD1A0E"/>
    <w:rsid w:val="00BD2500"/>
    <w:rsid w:val="00BD3FA7"/>
    <w:rsid w:val="00BD5294"/>
    <w:rsid w:val="00BD619C"/>
    <w:rsid w:val="00BD6C7A"/>
    <w:rsid w:val="00BE18C5"/>
    <w:rsid w:val="00BE22E8"/>
    <w:rsid w:val="00BE258F"/>
    <w:rsid w:val="00BE2B2D"/>
    <w:rsid w:val="00BE3032"/>
    <w:rsid w:val="00BE6000"/>
    <w:rsid w:val="00BE6B01"/>
    <w:rsid w:val="00BE7923"/>
    <w:rsid w:val="00BF508B"/>
    <w:rsid w:val="00BF598B"/>
    <w:rsid w:val="00BF6170"/>
    <w:rsid w:val="00BF743C"/>
    <w:rsid w:val="00C000E5"/>
    <w:rsid w:val="00C00956"/>
    <w:rsid w:val="00C00EAD"/>
    <w:rsid w:val="00C01D0E"/>
    <w:rsid w:val="00C04210"/>
    <w:rsid w:val="00C0429D"/>
    <w:rsid w:val="00C0497F"/>
    <w:rsid w:val="00C04E20"/>
    <w:rsid w:val="00C068D2"/>
    <w:rsid w:val="00C10B5F"/>
    <w:rsid w:val="00C11BC1"/>
    <w:rsid w:val="00C12406"/>
    <w:rsid w:val="00C12409"/>
    <w:rsid w:val="00C12D87"/>
    <w:rsid w:val="00C12F64"/>
    <w:rsid w:val="00C13ACD"/>
    <w:rsid w:val="00C13B80"/>
    <w:rsid w:val="00C13DF0"/>
    <w:rsid w:val="00C14DF0"/>
    <w:rsid w:val="00C167DA"/>
    <w:rsid w:val="00C2012B"/>
    <w:rsid w:val="00C2048F"/>
    <w:rsid w:val="00C20AD6"/>
    <w:rsid w:val="00C20C85"/>
    <w:rsid w:val="00C20E1B"/>
    <w:rsid w:val="00C21ADA"/>
    <w:rsid w:val="00C22734"/>
    <w:rsid w:val="00C23AA8"/>
    <w:rsid w:val="00C24345"/>
    <w:rsid w:val="00C245E2"/>
    <w:rsid w:val="00C24985"/>
    <w:rsid w:val="00C25AF5"/>
    <w:rsid w:val="00C2634D"/>
    <w:rsid w:val="00C278A6"/>
    <w:rsid w:val="00C31097"/>
    <w:rsid w:val="00C3261C"/>
    <w:rsid w:val="00C328BB"/>
    <w:rsid w:val="00C3332F"/>
    <w:rsid w:val="00C338A8"/>
    <w:rsid w:val="00C34A5D"/>
    <w:rsid w:val="00C3532E"/>
    <w:rsid w:val="00C354C0"/>
    <w:rsid w:val="00C354DC"/>
    <w:rsid w:val="00C36E9B"/>
    <w:rsid w:val="00C377AB"/>
    <w:rsid w:val="00C37865"/>
    <w:rsid w:val="00C37BB7"/>
    <w:rsid w:val="00C416D4"/>
    <w:rsid w:val="00C41D73"/>
    <w:rsid w:val="00C4214C"/>
    <w:rsid w:val="00C421CD"/>
    <w:rsid w:val="00C42E3E"/>
    <w:rsid w:val="00C45FEF"/>
    <w:rsid w:val="00C4676F"/>
    <w:rsid w:val="00C471AA"/>
    <w:rsid w:val="00C47BCA"/>
    <w:rsid w:val="00C51F7D"/>
    <w:rsid w:val="00C520BB"/>
    <w:rsid w:val="00C527DC"/>
    <w:rsid w:val="00C52C69"/>
    <w:rsid w:val="00C53812"/>
    <w:rsid w:val="00C53EED"/>
    <w:rsid w:val="00C546D1"/>
    <w:rsid w:val="00C55581"/>
    <w:rsid w:val="00C57EBD"/>
    <w:rsid w:val="00C605C9"/>
    <w:rsid w:val="00C612C1"/>
    <w:rsid w:val="00C61BB3"/>
    <w:rsid w:val="00C621F4"/>
    <w:rsid w:val="00C6306F"/>
    <w:rsid w:val="00C662DF"/>
    <w:rsid w:val="00C662F1"/>
    <w:rsid w:val="00C664B9"/>
    <w:rsid w:val="00C666EF"/>
    <w:rsid w:val="00C66ADA"/>
    <w:rsid w:val="00C67810"/>
    <w:rsid w:val="00C67902"/>
    <w:rsid w:val="00C70865"/>
    <w:rsid w:val="00C721DF"/>
    <w:rsid w:val="00C72B01"/>
    <w:rsid w:val="00C72BEA"/>
    <w:rsid w:val="00C757C1"/>
    <w:rsid w:val="00C76AB0"/>
    <w:rsid w:val="00C77265"/>
    <w:rsid w:val="00C773F2"/>
    <w:rsid w:val="00C80814"/>
    <w:rsid w:val="00C80843"/>
    <w:rsid w:val="00C81229"/>
    <w:rsid w:val="00C8165F"/>
    <w:rsid w:val="00C82A9A"/>
    <w:rsid w:val="00C82F34"/>
    <w:rsid w:val="00C8306E"/>
    <w:rsid w:val="00C85853"/>
    <w:rsid w:val="00C8672E"/>
    <w:rsid w:val="00C86D56"/>
    <w:rsid w:val="00C878D5"/>
    <w:rsid w:val="00C90159"/>
    <w:rsid w:val="00C90224"/>
    <w:rsid w:val="00C9033B"/>
    <w:rsid w:val="00C906BC"/>
    <w:rsid w:val="00C90B64"/>
    <w:rsid w:val="00C90EBC"/>
    <w:rsid w:val="00C913A1"/>
    <w:rsid w:val="00C91C39"/>
    <w:rsid w:val="00C92520"/>
    <w:rsid w:val="00C92CA3"/>
    <w:rsid w:val="00C930BA"/>
    <w:rsid w:val="00C94C06"/>
    <w:rsid w:val="00C961F0"/>
    <w:rsid w:val="00CA00D8"/>
    <w:rsid w:val="00CA0FC8"/>
    <w:rsid w:val="00CA12E8"/>
    <w:rsid w:val="00CA14C8"/>
    <w:rsid w:val="00CA14D7"/>
    <w:rsid w:val="00CA178A"/>
    <w:rsid w:val="00CA1C5E"/>
    <w:rsid w:val="00CA269E"/>
    <w:rsid w:val="00CA2934"/>
    <w:rsid w:val="00CA2BBE"/>
    <w:rsid w:val="00CA3B59"/>
    <w:rsid w:val="00CA3B82"/>
    <w:rsid w:val="00CA3C45"/>
    <w:rsid w:val="00CA4BAE"/>
    <w:rsid w:val="00CA588C"/>
    <w:rsid w:val="00CA6091"/>
    <w:rsid w:val="00CA67FE"/>
    <w:rsid w:val="00CA6FB9"/>
    <w:rsid w:val="00CA7913"/>
    <w:rsid w:val="00CB009C"/>
    <w:rsid w:val="00CB0706"/>
    <w:rsid w:val="00CB10E9"/>
    <w:rsid w:val="00CB1F12"/>
    <w:rsid w:val="00CB407E"/>
    <w:rsid w:val="00CB4E1C"/>
    <w:rsid w:val="00CB5414"/>
    <w:rsid w:val="00CB56E2"/>
    <w:rsid w:val="00CB693B"/>
    <w:rsid w:val="00CB71D6"/>
    <w:rsid w:val="00CB7255"/>
    <w:rsid w:val="00CC1656"/>
    <w:rsid w:val="00CC2207"/>
    <w:rsid w:val="00CC22E4"/>
    <w:rsid w:val="00CC2622"/>
    <w:rsid w:val="00CC2737"/>
    <w:rsid w:val="00CC3664"/>
    <w:rsid w:val="00CC3724"/>
    <w:rsid w:val="00CC42AD"/>
    <w:rsid w:val="00CC4FDB"/>
    <w:rsid w:val="00CC57C8"/>
    <w:rsid w:val="00CC64D9"/>
    <w:rsid w:val="00CC6A99"/>
    <w:rsid w:val="00CC78D2"/>
    <w:rsid w:val="00CC7F81"/>
    <w:rsid w:val="00CD2E88"/>
    <w:rsid w:val="00CD33DC"/>
    <w:rsid w:val="00CD3F52"/>
    <w:rsid w:val="00CD4461"/>
    <w:rsid w:val="00CD48E6"/>
    <w:rsid w:val="00CD4D19"/>
    <w:rsid w:val="00CD54BE"/>
    <w:rsid w:val="00CD5893"/>
    <w:rsid w:val="00CD60F3"/>
    <w:rsid w:val="00CD629F"/>
    <w:rsid w:val="00CD7C8F"/>
    <w:rsid w:val="00CD7DF4"/>
    <w:rsid w:val="00CE02CA"/>
    <w:rsid w:val="00CE0752"/>
    <w:rsid w:val="00CE08D8"/>
    <w:rsid w:val="00CE0FD8"/>
    <w:rsid w:val="00CE1166"/>
    <w:rsid w:val="00CE3DA0"/>
    <w:rsid w:val="00CE3FDE"/>
    <w:rsid w:val="00CE5C29"/>
    <w:rsid w:val="00CE5FE8"/>
    <w:rsid w:val="00CE639A"/>
    <w:rsid w:val="00CE71D8"/>
    <w:rsid w:val="00CF02E1"/>
    <w:rsid w:val="00CF1A35"/>
    <w:rsid w:val="00CF278C"/>
    <w:rsid w:val="00CF34EF"/>
    <w:rsid w:val="00CF4E08"/>
    <w:rsid w:val="00CF5E19"/>
    <w:rsid w:val="00CF5F0F"/>
    <w:rsid w:val="00CF6138"/>
    <w:rsid w:val="00CF6D9B"/>
    <w:rsid w:val="00CF727C"/>
    <w:rsid w:val="00CF7404"/>
    <w:rsid w:val="00D00AA3"/>
    <w:rsid w:val="00D00F64"/>
    <w:rsid w:val="00D01233"/>
    <w:rsid w:val="00D01BEA"/>
    <w:rsid w:val="00D02706"/>
    <w:rsid w:val="00D040DC"/>
    <w:rsid w:val="00D0504E"/>
    <w:rsid w:val="00D07F73"/>
    <w:rsid w:val="00D102A7"/>
    <w:rsid w:val="00D104E2"/>
    <w:rsid w:val="00D1110A"/>
    <w:rsid w:val="00D111F2"/>
    <w:rsid w:val="00D143FB"/>
    <w:rsid w:val="00D14844"/>
    <w:rsid w:val="00D157AF"/>
    <w:rsid w:val="00D15AE0"/>
    <w:rsid w:val="00D2041C"/>
    <w:rsid w:val="00D217F0"/>
    <w:rsid w:val="00D22396"/>
    <w:rsid w:val="00D22AF3"/>
    <w:rsid w:val="00D24883"/>
    <w:rsid w:val="00D254D7"/>
    <w:rsid w:val="00D25ADE"/>
    <w:rsid w:val="00D26822"/>
    <w:rsid w:val="00D3182B"/>
    <w:rsid w:val="00D319B6"/>
    <w:rsid w:val="00D3204E"/>
    <w:rsid w:val="00D32405"/>
    <w:rsid w:val="00D338A0"/>
    <w:rsid w:val="00D341C7"/>
    <w:rsid w:val="00D35F27"/>
    <w:rsid w:val="00D405DF"/>
    <w:rsid w:val="00D41B52"/>
    <w:rsid w:val="00D4301F"/>
    <w:rsid w:val="00D43297"/>
    <w:rsid w:val="00D44DB6"/>
    <w:rsid w:val="00D4690E"/>
    <w:rsid w:val="00D474DB"/>
    <w:rsid w:val="00D50119"/>
    <w:rsid w:val="00D519EB"/>
    <w:rsid w:val="00D53012"/>
    <w:rsid w:val="00D53764"/>
    <w:rsid w:val="00D54335"/>
    <w:rsid w:val="00D55D85"/>
    <w:rsid w:val="00D55F62"/>
    <w:rsid w:val="00D56E8C"/>
    <w:rsid w:val="00D622E4"/>
    <w:rsid w:val="00D635C5"/>
    <w:rsid w:val="00D63755"/>
    <w:rsid w:val="00D6448B"/>
    <w:rsid w:val="00D67157"/>
    <w:rsid w:val="00D706C1"/>
    <w:rsid w:val="00D710A0"/>
    <w:rsid w:val="00D71436"/>
    <w:rsid w:val="00D71BF3"/>
    <w:rsid w:val="00D71C7B"/>
    <w:rsid w:val="00D73229"/>
    <w:rsid w:val="00D74795"/>
    <w:rsid w:val="00D74E16"/>
    <w:rsid w:val="00D757BE"/>
    <w:rsid w:val="00D77459"/>
    <w:rsid w:val="00D77AC2"/>
    <w:rsid w:val="00D829A0"/>
    <w:rsid w:val="00D82A43"/>
    <w:rsid w:val="00D842BC"/>
    <w:rsid w:val="00D851F4"/>
    <w:rsid w:val="00D85AB6"/>
    <w:rsid w:val="00D86042"/>
    <w:rsid w:val="00D90851"/>
    <w:rsid w:val="00D91496"/>
    <w:rsid w:val="00D919E7"/>
    <w:rsid w:val="00D93913"/>
    <w:rsid w:val="00D93E5D"/>
    <w:rsid w:val="00D946FE"/>
    <w:rsid w:val="00D95AD9"/>
    <w:rsid w:val="00D96376"/>
    <w:rsid w:val="00DA1BD3"/>
    <w:rsid w:val="00DA2A85"/>
    <w:rsid w:val="00DA3DAD"/>
    <w:rsid w:val="00DA43E5"/>
    <w:rsid w:val="00DA510C"/>
    <w:rsid w:val="00DA67FA"/>
    <w:rsid w:val="00DA7B5D"/>
    <w:rsid w:val="00DA7D56"/>
    <w:rsid w:val="00DB051B"/>
    <w:rsid w:val="00DB27D8"/>
    <w:rsid w:val="00DB70B7"/>
    <w:rsid w:val="00DC011D"/>
    <w:rsid w:val="00DC152C"/>
    <w:rsid w:val="00DC26B6"/>
    <w:rsid w:val="00DC2EF8"/>
    <w:rsid w:val="00DC34CB"/>
    <w:rsid w:val="00DC3FA2"/>
    <w:rsid w:val="00DC4793"/>
    <w:rsid w:val="00DC501C"/>
    <w:rsid w:val="00DC5712"/>
    <w:rsid w:val="00DC6883"/>
    <w:rsid w:val="00DC71F4"/>
    <w:rsid w:val="00DD0151"/>
    <w:rsid w:val="00DD08F9"/>
    <w:rsid w:val="00DD0FCF"/>
    <w:rsid w:val="00DD1688"/>
    <w:rsid w:val="00DD322B"/>
    <w:rsid w:val="00DD577A"/>
    <w:rsid w:val="00DE010A"/>
    <w:rsid w:val="00DE0157"/>
    <w:rsid w:val="00DE1C18"/>
    <w:rsid w:val="00DE2459"/>
    <w:rsid w:val="00DE2AFF"/>
    <w:rsid w:val="00DE3FEE"/>
    <w:rsid w:val="00DE5D7F"/>
    <w:rsid w:val="00DE6383"/>
    <w:rsid w:val="00DE6ACD"/>
    <w:rsid w:val="00DE6D7C"/>
    <w:rsid w:val="00DE704F"/>
    <w:rsid w:val="00DE7DE4"/>
    <w:rsid w:val="00DF0040"/>
    <w:rsid w:val="00DF028E"/>
    <w:rsid w:val="00DF25E5"/>
    <w:rsid w:val="00DF3388"/>
    <w:rsid w:val="00DF3A52"/>
    <w:rsid w:val="00DF3E5C"/>
    <w:rsid w:val="00DF4734"/>
    <w:rsid w:val="00DF4FDD"/>
    <w:rsid w:val="00DF503B"/>
    <w:rsid w:val="00DF58E7"/>
    <w:rsid w:val="00DF5FA4"/>
    <w:rsid w:val="00DF6D00"/>
    <w:rsid w:val="00DF7106"/>
    <w:rsid w:val="00DF75EA"/>
    <w:rsid w:val="00DF78D2"/>
    <w:rsid w:val="00E01B85"/>
    <w:rsid w:val="00E0215D"/>
    <w:rsid w:val="00E02618"/>
    <w:rsid w:val="00E030ED"/>
    <w:rsid w:val="00E0380B"/>
    <w:rsid w:val="00E056E1"/>
    <w:rsid w:val="00E057E7"/>
    <w:rsid w:val="00E0684E"/>
    <w:rsid w:val="00E07CA1"/>
    <w:rsid w:val="00E104EA"/>
    <w:rsid w:val="00E10C57"/>
    <w:rsid w:val="00E11876"/>
    <w:rsid w:val="00E11944"/>
    <w:rsid w:val="00E11D60"/>
    <w:rsid w:val="00E1207D"/>
    <w:rsid w:val="00E122DD"/>
    <w:rsid w:val="00E125B6"/>
    <w:rsid w:val="00E12925"/>
    <w:rsid w:val="00E14136"/>
    <w:rsid w:val="00E161F2"/>
    <w:rsid w:val="00E1647A"/>
    <w:rsid w:val="00E20A4C"/>
    <w:rsid w:val="00E2182F"/>
    <w:rsid w:val="00E2190B"/>
    <w:rsid w:val="00E22F97"/>
    <w:rsid w:val="00E2323A"/>
    <w:rsid w:val="00E23772"/>
    <w:rsid w:val="00E23CBB"/>
    <w:rsid w:val="00E24D8A"/>
    <w:rsid w:val="00E257C9"/>
    <w:rsid w:val="00E25B82"/>
    <w:rsid w:val="00E30041"/>
    <w:rsid w:val="00E3005C"/>
    <w:rsid w:val="00E30470"/>
    <w:rsid w:val="00E3071D"/>
    <w:rsid w:val="00E31DCF"/>
    <w:rsid w:val="00E32B26"/>
    <w:rsid w:val="00E3389B"/>
    <w:rsid w:val="00E34071"/>
    <w:rsid w:val="00E34860"/>
    <w:rsid w:val="00E349B8"/>
    <w:rsid w:val="00E34B2A"/>
    <w:rsid w:val="00E36671"/>
    <w:rsid w:val="00E37B59"/>
    <w:rsid w:val="00E37BB7"/>
    <w:rsid w:val="00E40167"/>
    <w:rsid w:val="00E403C1"/>
    <w:rsid w:val="00E419FF"/>
    <w:rsid w:val="00E41D6C"/>
    <w:rsid w:val="00E431FA"/>
    <w:rsid w:val="00E43D8D"/>
    <w:rsid w:val="00E44824"/>
    <w:rsid w:val="00E44A82"/>
    <w:rsid w:val="00E45E0B"/>
    <w:rsid w:val="00E474B8"/>
    <w:rsid w:val="00E47FF5"/>
    <w:rsid w:val="00E50ACE"/>
    <w:rsid w:val="00E51773"/>
    <w:rsid w:val="00E52518"/>
    <w:rsid w:val="00E530C2"/>
    <w:rsid w:val="00E53438"/>
    <w:rsid w:val="00E54243"/>
    <w:rsid w:val="00E544C3"/>
    <w:rsid w:val="00E55718"/>
    <w:rsid w:val="00E56D43"/>
    <w:rsid w:val="00E56EF2"/>
    <w:rsid w:val="00E6057C"/>
    <w:rsid w:val="00E619B1"/>
    <w:rsid w:val="00E6230E"/>
    <w:rsid w:val="00E62DBB"/>
    <w:rsid w:val="00E62E2B"/>
    <w:rsid w:val="00E63548"/>
    <w:rsid w:val="00E647E6"/>
    <w:rsid w:val="00E65155"/>
    <w:rsid w:val="00E65B36"/>
    <w:rsid w:val="00E65CD1"/>
    <w:rsid w:val="00E67F86"/>
    <w:rsid w:val="00E725FC"/>
    <w:rsid w:val="00E72E0E"/>
    <w:rsid w:val="00E7463B"/>
    <w:rsid w:val="00E748A9"/>
    <w:rsid w:val="00E758D5"/>
    <w:rsid w:val="00E759E5"/>
    <w:rsid w:val="00E76FC7"/>
    <w:rsid w:val="00E7734E"/>
    <w:rsid w:val="00E77BB1"/>
    <w:rsid w:val="00E82638"/>
    <w:rsid w:val="00E833CB"/>
    <w:rsid w:val="00E83C23"/>
    <w:rsid w:val="00E83EAC"/>
    <w:rsid w:val="00E84537"/>
    <w:rsid w:val="00E845EE"/>
    <w:rsid w:val="00E847B1"/>
    <w:rsid w:val="00E84EBE"/>
    <w:rsid w:val="00E86783"/>
    <w:rsid w:val="00E90C16"/>
    <w:rsid w:val="00E9135A"/>
    <w:rsid w:val="00E9142E"/>
    <w:rsid w:val="00E92A2E"/>
    <w:rsid w:val="00E952DB"/>
    <w:rsid w:val="00E95657"/>
    <w:rsid w:val="00E95A9F"/>
    <w:rsid w:val="00E95C93"/>
    <w:rsid w:val="00E9705B"/>
    <w:rsid w:val="00E9748E"/>
    <w:rsid w:val="00E9788B"/>
    <w:rsid w:val="00EA0E63"/>
    <w:rsid w:val="00EA1B86"/>
    <w:rsid w:val="00EA22F8"/>
    <w:rsid w:val="00EA264C"/>
    <w:rsid w:val="00EA36C6"/>
    <w:rsid w:val="00EA39E6"/>
    <w:rsid w:val="00EA3E89"/>
    <w:rsid w:val="00EA48F9"/>
    <w:rsid w:val="00EA4D0B"/>
    <w:rsid w:val="00EA4D0E"/>
    <w:rsid w:val="00EA5BF5"/>
    <w:rsid w:val="00EA5E24"/>
    <w:rsid w:val="00EA676F"/>
    <w:rsid w:val="00EA6E8E"/>
    <w:rsid w:val="00EA76C8"/>
    <w:rsid w:val="00EA7735"/>
    <w:rsid w:val="00EB03FC"/>
    <w:rsid w:val="00EB068C"/>
    <w:rsid w:val="00EB32C8"/>
    <w:rsid w:val="00EB4224"/>
    <w:rsid w:val="00EB4348"/>
    <w:rsid w:val="00EB57C1"/>
    <w:rsid w:val="00EB5C42"/>
    <w:rsid w:val="00EC06BE"/>
    <w:rsid w:val="00EC14EC"/>
    <w:rsid w:val="00EC1A99"/>
    <w:rsid w:val="00EC1CAA"/>
    <w:rsid w:val="00EC30F9"/>
    <w:rsid w:val="00EC3793"/>
    <w:rsid w:val="00EC39D8"/>
    <w:rsid w:val="00EC4F8B"/>
    <w:rsid w:val="00EC56CB"/>
    <w:rsid w:val="00EC587D"/>
    <w:rsid w:val="00EC6A1B"/>
    <w:rsid w:val="00EC6C09"/>
    <w:rsid w:val="00EC773C"/>
    <w:rsid w:val="00ED1708"/>
    <w:rsid w:val="00ED2736"/>
    <w:rsid w:val="00ED4D4B"/>
    <w:rsid w:val="00ED4FE2"/>
    <w:rsid w:val="00ED5725"/>
    <w:rsid w:val="00ED6F82"/>
    <w:rsid w:val="00ED7031"/>
    <w:rsid w:val="00ED7117"/>
    <w:rsid w:val="00ED7159"/>
    <w:rsid w:val="00ED749F"/>
    <w:rsid w:val="00EE12B8"/>
    <w:rsid w:val="00EE14FB"/>
    <w:rsid w:val="00EE174B"/>
    <w:rsid w:val="00EE23E6"/>
    <w:rsid w:val="00EE3060"/>
    <w:rsid w:val="00EE38B3"/>
    <w:rsid w:val="00EE4163"/>
    <w:rsid w:val="00EE4315"/>
    <w:rsid w:val="00EE4C06"/>
    <w:rsid w:val="00EE58EC"/>
    <w:rsid w:val="00EE5A64"/>
    <w:rsid w:val="00EE5AED"/>
    <w:rsid w:val="00EF0A3F"/>
    <w:rsid w:val="00EF16E7"/>
    <w:rsid w:val="00EF22A2"/>
    <w:rsid w:val="00EF2BD1"/>
    <w:rsid w:val="00EF2C22"/>
    <w:rsid w:val="00EF3256"/>
    <w:rsid w:val="00EF3C60"/>
    <w:rsid w:val="00EF45AC"/>
    <w:rsid w:val="00EF5461"/>
    <w:rsid w:val="00EF64B6"/>
    <w:rsid w:val="00EF6925"/>
    <w:rsid w:val="00F006F5"/>
    <w:rsid w:val="00F00904"/>
    <w:rsid w:val="00F013B4"/>
    <w:rsid w:val="00F028E8"/>
    <w:rsid w:val="00F02D81"/>
    <w:rsid w:val="00F035A5"/>
    <w:rsid w:val="00F03FB5"/>
    <w:rsid w:val="00F04946"/>
    <w:rsid w:val="00F056C0"/>
    <w:rsid w:val="00F075D5"/>
    <w:rsid w:val="00F0786E"/>
    <w:rsid w:val="00F11C97"/>
    <w:rsid w:val="00F12118"/>
    <w:rsid w:val="00F124BE"/>
    <w:rsid w:val="00F15E43"/>
    <w:rsid w:val="00F2070B"/>
    <w:rsid w:val="00F21603"/>
    <w:rsid w:val="00F21E26"/>
    <w:rsid w:val="00F2200B"/>
    <w:rsid w:val="00F22251"/>
    <w:rsid w:val="00F235C6"/>
    <w:rsid w:val="00F24532"/>
    <w:rsid w:val="00F24D35"/>
    <w:rsid w:val="00F2683D"/>
    <w:rsid w:val="00F26A7D"/>
    <w:rsid w:val="00F26ED3"/>
    <w:rsid w:val="00F27536"/>
    <w:rsid w:val="00F27EC1"/>
    <w:rsid w:val="00F306E2"/>
    <w:rsid w:val="00F30C07"/>
    <w:rsid w:val="00F30EF2"/>
    <w:rsid w:val="00F30FA5"/>
    <w:rsid w:val="00F315D9"/>
    <w:rsid w:val="00F31DCB"/>
    <w:rsid w:val="00F3233F"/>
    <w:rsid w:val="00F323B1"/>
    <w:rsid w:val="00F3241A"/>
    <w:rsid w:val="00F33B92"/>
    <w:rsid w:val="00F3515D"/>
    <w:rsid w:val="00F35237"/>
    <w:rsid w:val="00F353E4"/>
    <w:rsid w:val="00F35614"/>
    <w:rsid w:val="00F36B15"/>
    <w:rsid w:val="00F373E4"/>
    <w:rsid w:val="00F37B8C"/>
    <w:rsid w:val="00F41C04"/>
    <w:rsid w:val="00F4262E"/>
    <w:rsid w:val="00F42F6A"/>
    <w:rsid w:val="00F432B2"/>
    <w:rsid w:val="00F43462"/>
    <w:rsid w:val="00F43E23"/>
    <w:rsid w:val="00F444A8"/>
    <w:rsid w:val="00F4479D"/>
    <w:rsid w:val="00F44CEA"/>
    <w:rsid w:val="00F44E33"/>
    <w:rsid w:val="00F464CD"/>
    <w:rsid w:val="00F46A2E"/>
    <w:rsid w:val="00F47104"/>
    <w:rsid w:val="00F47C13"/>
    <w:rsid w:val="00F503C1"/>
    <w:rsid w:val="00F50E85"/>
    <w:rsid w:val="00F52435"/>
    <w:rsid w:val="00F53537"/>
    <w:rsid w:val="00F54BFA"/>
    <w:rsid w:val="00F55BD9"/>
    <w:rsid w:val="00F562F8"/>
    <w:rsid w:val="00F57E4B"/>
    <w:rsid w:val="00F6047F"/>
    <w:rsid w:val="00F60526"/>
    <w:rsid w:val="00F60B0E"/>
    <w:rsid w:val="00F627EC"/>
    <w:rsid w:val="00F62B7A"/>
    <w:rsid w:val="00F62DFA"/>
    <w:rsid w:val="00F62EDB"/>
    <w:rsid w:val="00F6397D"/>
    <w:rsid w:val="00F65765"/>
    <w:rsid w:val="00F66EDA"/>
    <w:rsid w:val="00F676C2"/>
    <w:rsid w:val="00F67BAA"/>
    <w:rsid w:val="00F67F3A"/>
    <w:rsid w:val="00F7061C"/>
    <w:rsid w:val="00F71557"/>
    <w:rsid w:val="00F715D4"/>
    <w:rsid w:val="00F724C1"/>
    <w:rsid w:val="00F7293E"/>
    <w:rsid w:val="00F72B1B"/>
    <w:rsid w:val="00F73691"/>
    <w:rsid w:val="00F73823"/>
    <w:rsid w:val="00F738EA"/>
    <w:rsid w:val="00F74590"/>
    <w:rsid w:val="00F7515B"/>
    <w:rsid w:val="00F75750"/>
    <w:rsid w:val="00F7629F"/>
    <w:rsid w:val="00F76650"/>
    <w:rsid w:val="00F77433"/>
    <w:rsid w:val="00F7747A"/>
    <w:rsid w:val="00F8171A"/>
    <w:rsid w:val="00F81F6B"/>
    <w:rsid w:val="00F830BB"/>
    <w:rsid w:val="00F8389F"/>
    <w:rsid w:val="00F84376"/>
    <w:rsid w:val="00F84461"/>
    <w:rsid w:val="00F84DC8"/>
    <w:rsid w:val="00F86060"/>
    <w:rsid w:val="00F86A2E"/>
    <w:rsid w:val="00F86B89"/>
    <w:rsid w:val="00F86E47"/>
    <w:rsid w:val="00F8722C"/>
    <w:rsid w:val="00F87A57"/>
    <w:rsid w:val="00F87D7A"/>
    <w:rsid w:val="00F90491"/>
    <w:rsid w:val="00F909E9"/>
    <w:rsid w:val="00F90B35"/>
    <w:rsid w:val="00F9187B"/>
    <w:rsid w:val="00F92385"/>
    <w:rsid w:val="00F94B31"/>
    <w:rsid w:val="00F952F0"/>
    <w:rsid w:val="00F977AE"/>
    <w:rsid w:val="00FA054B"/>
    <w:rsid w:val="00FA06A2"/>
    <w:rsid w:val="00FA1B4F"/>
    <w:rsid w:val="00FA1D1D"/>
    <w:rsid w:val="00FA21F1"/>
    <w:rsid w:val="00FA26BB"/>
    <w:rsid w:val="00FA34DA"/>
    <w:rsid w:val="00FA56AE"/>
    <w:rsid w:val="00FA6372"/>
    <w:rsid w:val="00FA7370"/>
    <w:rsid w:val="00FA7567"/>
    <w:rsid w:val="00FB14AB"/>
    <w:rsid w:val="00FB175F"/>
    <w:rsid w:val="00FB36C5"/>
    <w:rsid w:val="00FB4299"/>
    <w:rsid w:val="00FB4465"/>
    <w:rsid w:val="00FB5CFB"/>
    <w:rsid w:val="00FB669D"/>
    <w:rsid w:val="00FB6EBB"/>
    <w:rsid w:val="00FB6FB7"/>
    <w:rsid w:val="00FB748F"/>
    <w:rsid w:val="00FC2A07"/>
    <w:rsid w:val="00FC376C"/>
    <w:rsid w:val="00FC43AF"/>
    <w:rsid w:val="00FC47F9"/>
    <w:rsid w:val="00FC520E"/>
    <w:rsid w:val="00FC5ED1"/>
    <w:rsid w:val="00FC6290"/>
    <w:rsid w:val="00FC6935"/>
    <w:rsid w:val="00FC69C4"/>
    <w:rsid w:val="00FC7C6F"/>
    <w:rsid w:val="00FD01C6"/>
    <w:rsid w:val="00FD0352"/>
    <w:rsid w:val="00FD0CAC"/>
    <w:rsid w:val="00FD2A4D"/>
    <w:rsid w:val="00FD3931"/>
    <w:rsid w:val="00FD3E04"/>
    <w:rsid w:val="00FD44A2"/>
    <w:rsid w:val="00FD4C61"/>
    <w:rsid w:val="00FD75D1"/>
    <w:rsid w:val="00FE194D"/>
    <w:rsid w:val="00FE19EC"/>
    <w:rsid w:val="00FE2351"/>
    <w:rsid w:val="00FE2388"/>
    <w:rsid w:val="00FE337D"/>
    <w:rsid w:val="00FE39D3"/>
    <w:rsid w:val="00FE39DD"/>
    <w:rsid w:val="00FE3BE4"/>
    <w:rsid w:val="00FE482A"/>
    <w:rsid w:val="00FE5580"/>
    <w:rsid w:val="00FE5CB0"/>
    <w:rsid w:val="00FE6535"/>
    <w:rsid w:val="00FE6F26"/>
    <w:rsid w:val="00FE713A"/>
    <w:rsid w:val="00FE7F4D"/>
    <w:rsid w:val="00FF0915"/>
    <w:rsid w:val="00FF101E"/>
    <w:rsid w:val="00FF10DC"/>
    <w:rsid w:val="00FF110C"/>
    <w:rsid w:val="00FF17C6"/>
    <w:rsid w:val="00FF1B56"/>
    <w:rsid w:val="00FF1CDD"/>
    <w:rsid w:val="00FF25E5"/>
    <w:rsid w:val="00FF2BBE"/>
    <w:rsid w:val="00FF341D"/>
    <w:rsid w:val="00FF459E"/>
    <w:rsid w:val="00FF4C8E"/>
    <w:rsid w:val="00FF4DAB"/>
    <w:rsid w:val="00FF528A"/>
    <w:rsid w:val="00FF5642"/>
    <w:rsid w:val="00FF6970"/>
    <w:rsid w:val="00FF6ABA"/>
    <w:rsid w:val="00FF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C5BB3"/>
  <w15:chartTrackingRefBased/>
  <w15:docId w15:val="{A2B5A991-04F9-4E44-A60F-EBDB2D0035D2}"/>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8"/>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8"/>
      </w:numPr>
      <w:ind w:right="2160"/>
      <w:outlineLvl w:val="1"/>
    </w:pPr>
  </w:style>
  <w:style w:type="paragraph" w:styleId="Heading3">
    <w:name w:val="heading 3"/>
    <w:basedOn w:val="Dummy"/>
    <w:next w:val="Standard"/>
    <w:link w:val="Heading3Char"/>
    <w:uiPriority w:val="4"/>
    <w:qFormat/>
    <w:rsid w:val="000E270A"/>
    <w:pPr>
      <w:numPr>
        <w:ilvl w:val="2"/>
        <w:numId w:val="8"/>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8"/>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8"/>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8"/>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99"/>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99"/>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8"/>
      </w:numPr>
      <w:spacing w:after="120" w:line="240" w:lineRule="auto"/>
    </w:pPr>
  </w:style>
  <w:style w:type="paragraph" w:styleId="ListBullet">
    <w:name w:val="List Bullet"/>
    <w:basedOn w:val="Standard"/>
    <w:uiPriority w:val="4"/>
    <w:qFormat/>
    <w:rsid w:val="001F2819"/>
    <w:pPr>
      <w:numPr>
        <w:numId w:val="7"/>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8"/>
      </w:numPr>
      <w:spacing w:after="120" w:line="240" w:lineRule="auto"/>
    </w:pPr>
  </w:style>
  <w:style w:type="character" w:styleId="CommentReference">
    <w:name w:val="annotation reference"/>
    <w:basedOn w:val="DefaultParagraphFont"/>
    <w:uiPriority w:val="99"/>
    <w:semiHidden/>
    <w:unhideWhenUsed/>
    <w:rsid w:val="00987E3D"/>
    <w:rPr>
      <w:sz w:val="16"/>
      <w:szCs w:val="16"/>
    </w:rPr>
  </w:style>
  <w:style w:type="paragraph" w:styleId="CommentText">
    <w:name w:val="annotation text"/>
    <w:basedOn w:val="Normal"/>
    <w:link w:val="CommentTextChar"/>
    <w:uiPriority w:val="99"/>
    <w:unhideWhenUsed/>
    <w:rsid w:val="00987E3D"/>
    <w:pPr>
      <w:spacing w:line="240" w:lineRule="auto"/>
    </w:pPr>
    <w:rPr>
      <w:sz w:val="20"/>
      <w:szCs w:val="20"/>
    </w:rPr>
  </w:style>
  <w:style w:type="character" w:customStyle="1" w:styleId="CommentTextChar">
    <w:name w:val="Comment Text Char"/>
    <w:basedOn w:val="DefaultParagraphFont"/>
    <w:link w:val="CommentText"/>
    <w:uiPriority w:val="99"/>
    <w:rsid w:val="00987E3D"/>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987E3D"/>
    <w:rPr>
      <w:b/>
      <w:bCs/>
    </w:rPr>
  </w:style>
  <w:style w:type="character" w:customStyle="1" w:styleId="CommentSubjectChar">
    <w:name w:val="Comment Subject Char"/>
    <w:basedOn w:val="CommentTextChar"/>
    <w:link w:val="CommentSubject"/>
    <w:uiPriority w:val="99"/>
    <w:semiHidden/>
    <w:rsid w:val="00987E3D"/>
    <w:rPr>
      <w:rFonts w:ascii="Book Antiqua" w:hAnsi="Book Antiqua"/>
      <w:b/>
      <w:bCs/>
      <w:sz w:val="20"/>
      <w:szCs w:val="20"/>
    </w:rPr>
  </w:style>
  <w:style w:type="paragraph" w:styleId="ListParagraph">
    <w:name w:val="List Paragraph"/>
    <w:basedOn w:val="Normal"/>
    <w:uiPriority w:val="34"/>
    <w:qFormat/>
    <w:rsid w:val="00B02F5C"/>
    <w:pPr>
      <w:ind w:left="720"/>
      <w:contextualSpacing/>
    </w:pPr>
  </w:style>
  <w:style w:type="paragraph" w:styleId="Revision">
    <w:name w:val="Revision"/>
    <w:hidden/>
    <w:uiPriority w:val="99"/>
    <w:semiHidden/>
    <w:rsid w:val="009925CD"/>
    <w:pPr>
      <w:spacing w:after="0" w:line="240" w:lineRule="auto"/>
    </w:pPr>
    <w:rPr>
      <w:rFonts w:ascii="Book Antiqua" w:hAnsi="Book Antiqua"/>
      <w:sz w:val="26"/>
    </w:rPr>
  </w:style>
  <w:style w:type="paragraph" w:customStyle="1" w:styleId="standard0">
    <w:name w:val="standard"/>
    <w:basedOn w:val="Normal"/>
    <w:link w:val="standardChar"/>
    <w:rsid w:val="00187596"/>
    <w:rPr>
      <w:rFonts w:ascii="Palatino" w:eastAsia="Times New Roman" w:hAnsi="Palatino" w:cs="Times New Roman"/>
      <w:szCs w:val="20"/>
    </w:rPr>
  </w:style>
  <w:style w:type="character" w:customStyle="1" w:styleId="standardChar">
    <w:name w:val="standard Char"/>
    <w:link w:val="standard0"/>
    <w:rsid w:val="00187596"/>
    <w:rPr>
      <w:rFonts w:ascii="Palatino" w:eastAsia="Times New Roman" w:hAnsi="Palatino"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Props1.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2.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4.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46</ap:Pages>
  <ap:Words>9694</ap:Words>
  <ap:Characters>55259</ap:Characters>
  <ap:Application>Microsoft Office Word</ap:Application>
  <ap:DocSecurity>0</ap:DocSecurity>
  <ap:Lines>460</ap:Lines>
  <ap:Paragraphs>129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64824</ap:CharactersWithSpaces>
  <ap:SharedDoc>false</ap:SharedDoc>
  <ap:HLinks>
    <vt:vector baseType="variant" size="174">
      <vt:variant>
        <vt:i4>1310768</vt:i4>
      </vt:variant>
      <vt:variant>
        <vt:i4>170</vt:i4>
      </vt:variant>
      <vt:variant>
        <vt:i4>0</vt:i4>
      </vt:variant>
      <vt:variant>
        <vt:i4>5</vt:i4>
      </vt:variant>
      <vt:variant>
        <vt:lpwstr/>
      </vt:variant>
      <vt:variant>
        <vt:lpwstr>_Toc231474405</vt:lpwstr>
      </vt:variant>
      <vt:variant>
        <vt:i4>1310768</vt:i4>
      </vt:variant>
      <vt:variant>
        <vt:i4>164</vt:i4>
      </vt:variant>
      <vt:variant>
        <vt:i4>0</vt:i4>
      </vt:variant>
      <vt:variant>
        <vt:i4>5</vt:i4>
      </vt:variant>
      <vt:variant>
        <vt:lpwstr/>
      </vt:variant>
      <vt:variant>
        <vt:lpwstr>_Toc231474404</vt:lpwstr>
      </vt:variant>
      <vt:variant>
        <vt:i4>1310768</vt:i4>
      </vt:variant>
      <vt:variant>
        <vt:i4>158</vt:i4>
      </vt:variant>
      <vt:variant>
        <vt:i4>0</vt:i4>
      </vt:variant>
      <vt:variant>
        <vt:i4>5</vt:i4>
      </vt:variant>
      <vt:variant>
        <vt:lpwstr/>
      </vt:variant>
      <vt:variant>
        <vt:lpwstr>_Toc231474403</vt:lpwstr>
      </vt:variant>
      <vt:variant>
        <vt:i4>1310768</vt:i4>
      </vt:variant>
      <vt:variant>
        <vt:i4>152</vt:i4>
      </vt:variant>
      <vt:variant>
        <vt:i4>0</vt:i4>
      </vt:variant>
      <vt:variant>
        <vt:i4>5</vt:i4>
      </vt:variant>
      <vt:variant>
        <vt:lpwstr/>
      </vt:variant>
      <vt:variant>
        <vt:lpwstr>_Toc231474402</vt:lpwstr>
      </vt:variant>
      <vt:variant>
        <vt:i4>1310768</vt:i4>
      </vt:variant>
      <vt:variant>
        <vt:i4>146</vt:i4>
      </vt:variant>
      <vt:variant>
        <vt:i4>0</vt:i4>
      </vt:variant>
      <vt:variant>
        <vt:i4>5</vt:i4>
      </vt:variant>
      <vt:variant>
        <vt:lpwstr/>
      </vt:variant>
      <vt:variant>
        <vt:lpwstr>_Toc231474401</vt:lpwstr>
      </vt:variant>
      <vt:variant>
        <vt:i4>1310768</vt:i4>
      </vt:variant>
      <vt:variant>
        <vt:i4>140</vt:i4>
      </vt:variant>
      <vt:variant>
        <vt:i4>0</vt:i4>
      </vt:variant>
      <vt:variant>
        <vt:i4>5</vt:i4>
      </vt:variant>
      <vt:variant>
        <vt:lpwstr/>
      </vt:variant>
      <vt:variant>
        <vt:lpwstr>_Toc231474400</vt:lpwstr>
      </vt:variant>
      <vt:variant>
        <vt:i4>1900599</vt:i4>
      </vt:variant>
      <vt:variant>
        <vt:i4>134</vt:i4>
      </vt:variant>
      <vt:variant>
        <vt:i4>0</vt:i4>
      </vt:variant>
      <vt:variant>
        <vt:i4>5</vt:i4>
      </vt:variant>
      <vt:variant>
        <vt:lpwstr/>
      </vt:variant>
      <vt:variant>
        <vt:lpwstr>_Toc231474399</vt:lpwstr>
      </vt:variant>
      <vt:variant>
        <vt:i4>1900599</vt:i4>
      </vt:variant>
      <vt:variant>
        <vt:i4>128</vt:i4>
      </vt:variant>
      <vt:variant>
        <vt:i4>0</vt:i4>
      </vt:variant>
      <vt:variant>
        <vt:i4>5</vt:i4>
      </vt:variant>
      <vt:variant>
        <vt:lpwstr/>
      </vt:variant>
      <vt:variant>
        <vt:lpwstr>_Toc231474398</vt:lpwstr>
      </vt:variant>
      <vt:variant>
        <vt:i4>1900599</vt:i4>
      </vt:variant>
      <vt:variant>
        <vt:i4>122</vt:i4>
      </vt:variant>
      <vt:variant>
        <vt:i4>0</vt:i4>
      </vt:variant>
      <vt:variant>
        <vt:i4>5</vt:i4>
      </vt:variant>
      <vt:variant>
        <vt:lpwstr/>
      </vt:variant>
      <vt:variant>
        <vt:lpwstr>_Toc231474397</vt:lpwstr>
      </vt:variant>
      <vt:variant>
        <vt:i4>1900599</vt:i4>
      </vt:variant>
      <vt:variant>
        <vt:i4>116</vt:i4>
      </vt:variant>
      <vt:variant>
        <vt:i4>0</vt:i4>
      </vt:variant>
      <vt:variant>
        <vt:i4>5</vt:i4>
      </vt:variant>
      <vt:variant>
        <vt:lpwstr/>
      </vt:variant>
      <vt:variant>
        <vt:lpwstr>_Toc231474396</vt:lpwstr>
      </vt:variant>
      <vt:variant>
        <vt:i4>1900599</vt:i4>
      </vt:variant>
      <vt:variant>
        <vt:i4>110</vt:i4>
      </vt:variant>
      <vt:variant>
        <vt:i4>0</vt:i4>
      </vt:variant>
      <vt:variant>
        <vt:i4>5</vt:i4>
      </vt:variant>
      <vt:variant>
        <vt:lpwstr/>
      </vt:variant>
      <vt:variant>
        <vt:lpwstr>_Toc231474395</vt:lpwstr>
      </vt:variant>
      <vt:variant>
        <vt:i4>1900599</vt:i4>
      </vt:variant>
      <vt:variant>
        <vt:i4>104</vt:i4>
      </vt:variant>
      <vt:variant>
        <vt:i4>0</vt:i4>
      </vt:variant>
      <vt:variant>
        <vt:i4>5</vt:i4>
      </vt:variant>
      <vt:variant>
        <vt:lpwstr/>
      </vt:variant>
      <vt:variant>
        <vt:lpwstr>_Toc231474394</vt:lpwstr>
      </vt:variant>
      <vt:variant>
        <vt:i4>1900599</vt:i4>
      </vt:variant>
      <vt:variant>
        <vt:i4>98</vt:i4>
      </vt:variant>
      <vt:variant>
        <vt:i4>0</vt:i4>
      </vt:variant>
      <vt:variant>
        <vt:i4>5</vt:i4>
      </vt:variant>
      <vt:variant>
        <vt:lpwstr/>
      </vt:variant>
      <vt:variant>
        <vt:lpwstr>_Toc231474393</vt:lpwstr>
      </vt:variant>
      <vt:variant>
        <vt:i4>1900599</vt:i4>
      </vt:variant>
      <vt:variant>
        <vt:i4>92</vt:i4>
      </vt:variant>
      <vt:variant>
        <vt:i4>0</vt:i4>
      </vt:variant>
      <vt:variant>
        <vt:i4>5</vt:i4>
      </vt:variant>
      <vt:variant>
        <vt:lpwstr/>
      </vt:variant>
      <vt:variant>
        <vt:lpwstr>_Toc231474392</vt:lpwstr>
      </vt:variant>
      <vt:variant>
        <vt:i4>1900599</vt:i4>
      </vt:variant>
      <vt:variant>
        <vt:i4>86</vt:i4>
      </vt:variant>
      <vt:variant>
        <vt:i4>0</vt:i4>
      </vt:variant>
      <vt:variant>
        <vt:i4>5</vt:i4>
      </vt:variant>
      <vt:variant>
        <vt:lpwstr/>
      </vt:variant>
      <vt:variant>
        <vt:lpwstr>_Toc231474391</vt:lpwstr>
      </vt:variant>
      <vt:variant>
        <vt:i4>1900599</vt:i4>
      </vt:variant>
      <vt:variant>
        <vt:i4>80</vt:i4>
      </vt:variant>
      <vt:variant>
        <vt:i4>0</vt:i4>
      </vt:variant>
      <vt:variant>
        <vt:i4>5</vt:i4>
      </vt:variant>
      <vt:variant>
        <vt:lpwstr/>
      </vt:variant>
      <vt:variant>
        <vt:lpwstr>_Toc231474390</vt:lpwstr>
      </vt:variant>
      <vt:variant>
        <vt:i4>1835063</vt:i4>
      </vt:variant>
      <vt:variant>
        <vt:i4>74</vt:i4>
      </vt:variant>
      <vt:variant>
        <vt:i4>0</vt:i4>
      </vt:variant>
      <vt:variant>
        <vt:i4>5</vt:i4>
      </vt:variant>
      <vt:variant>
        <vt:lpwstr/>
      </vt:variant>
      <vt:variant>
        <vt:lpwstr>_Toc231474389</vt:lpwstr>
      </vt:variant>
      <vt:variant>
        <vt:i4>1835063</vt:i4>
      </vt:variant>
      <vt:variant>
        <vt:i4>68</vt:i4>
      </vt:variant>
      <vt:variant>
        <vt:i4>0</vt:i4>
      </vt:variant>
      <vt:variant>
        <vt:i4>5</vt:i4>
      </vt:variant>
      <vt:variant>
        <vt:lpwstr/>
      </vt:variant>
      <vt:variant>
        <vt:lpwstr>_Toc231474388</vt:lpwstr>
      </vt:variant>
      <vt:variant>
        <vt:i4>1835063</vt:i4>
      </vt:variant>
      <vt:variant>
        <vt:i4>62</vt:i4>
      </vt:variant>
      <vt:variant>
        <vt:i4>0</vt:i4>
      </vt:variant>
      <vt:variant>
        <vt:i4>5</vt:i4>
      </vt:variant>
      <vt:variant>
        <vt:lpwstr/>
      </vt:variant>
      <vt:variant>
        <vt:lpwstr>_Toc231474387</vt:lpwstr>
      </vt:variant>
      <vt:variant>
        <vt:i4>1835063</vt:i4>
      </vt:variant>
      <vt:variant>
        <vt:i4>56</vt:i4>
      </vt:variant>
      <vt:variant>
        <vt:i4>0</vt:i4>
      </vt:variant>
      <vt:variant>
        <vt:i4>5</vt:i4>
      </vt:variant>
      <vt:variant>
        <vt:lpwstr/>
      </vt:variant>
      <vt:variant>
        <vt:lpwstr>_Toc231474386</vt:lpwstr>
      </vt:variant>
      <vt:variant>
        <vt:i4>1835063</vt:i4>
      </vt:variant>
      <vt:variant>
        <vt:i4>50</vt:i4>
      </vt:variant>
      <vt:variant>
        <vt:i4>0</vt:i4>
      </vt:variant>
      <vt:variant>
        <vt:i4>5</vt:i4>
      </vt:variant>
      <vt:variant>
        <vt:lpwstr/>
      </vt:variant>
      <vt:variant>
        <vt:lpwstr>_Toc231474385</vt:lpwstr>
      </vt:variant>
      <vt:variant>
        <vt:i4>1835063</vt:i4>
      </vt:variant>
      <vt:variant>
        <vt:i4>44</vt:i4>
      </vt:variant>
      <vt:variant>
        <vt:i4>0</vt:i4>
      </vt:variant>
      <vt:variant>
        <vt:i4>5</vt:i4>
      </vt:variant>
      <vt:variant>
        <vt:lpwstr/>
      </vt:variant>
      <vt:variant>
        <vt:lpwstr>_Toc231474384</vt:lpwstr>
      </vt:variant>
      <vt:variant>
        <vt:i4>1835063</vt:i4>
      </vt:variant>
      <vt:variant>
        <vt:i4>38</vt:i4>
      </vt:variant>
      <vt:variant>
        <vt:i4>0</vt:i4>
      </vt:variant>
      <vt:variant>
        <vt:i4>5</vt:i4>
      </vt:variant>
      <vt:variant>
        <vt:lpwstr/>
      </vt:variant>
      <vt:variant>
        <vt:lpwstr>_Toc231474383</vt:lpwstr>
      </vt:variant>
      <vt:variant>
        <vt:i4>1835063</vt:i4>
      </vt:variant>
      <vt:variant>
        <vt:i4>32</vt:i4>
      </vt:variant>
      <vt:variant>
        <vt:i4>0</vt:i4>
      </vt:variant>
      <vt:variant>
        <vt:i4>5</vt:i4>
      </vt:variant>
      <vt:variant>
        <vt:lpwstr/>
      </vt:variant>
      <vt:variant>
        <vt:lpwstr>_Toc231474382</vt:lpwstr>
      </vt:variant>
      <vt:variant>
        <vt:i4>1835063</vt:i4>
      </vt:variant>
      <vt:variant>
        <vt:i4>26</vt:i4>
      </vt:variant>
      <vt:variant>
        <vt:i4>0</vt:i4>
      </vt:variant>
      <vt:variant>
        <vt:i4>5</vt:i4>
      </vt:variant>
      <vt:variant>
        <vt:lpwstr/>
      </vt:variant>
      <vt:variant>
        <vt:lpwstr>_Toc231474381</vt:lpwstr>
      </vt:variant>
      <vt:variant>
        <vt:i4>1835063</vt:i4>
      </vt:variant>
      <vt:variant>
        <vt:i4>20</vt:i4>
      </vt:variant>
      <vt:variant>
        <vt:i4>0</vt:i4>
      </vt:variant>
      <vt:variant>
        <vt:i4>5</vt:i4>
      </vt:variant>
      <vt:variant>
        <vt:lpwstr/>
      </vt:variant>
      <vt:variant>
        <vt:lpwstr>_Toc231474380</vt:lpwstr>
      </vt:variant>
      <vt:variant>
        <vt:i4>1245239</vt:i4>
      </vt:variant>
      <vt:variant>
        <vt:i4>14</vt:i4>
      </vt:variant>
      <vt:variant>
        <vt:i4>0</vt:i4>
      </vt:variant>
      <vt:variant>
        <vt:i4>5</vt:i4>
      </vt:variant>
      <vt:variant>
        <vt:lpwstr/>
      </vt:variant>
      <vt:variant>
        <vt:lpwstr>_Toc231474379</vt:lpwstr>
      </vt:variant>
      <vt:variant>
        <vt:i4>1245239</vt:i4>
      </vt:variant>
      <vt:variant>
        <vt:i4>8</vt:i4>
      </vt:variant>
      <vt:variant>
        <vt:i4>0</vt:i4>
      </vt:variant>
      <vt:variant>
        <vt:i4>5</vt:i4>
      </vt:variant>
      <vt:variant>
        <vt:lpwstr/>
      </vt:variant>
      <vt:variant>
        <vt:lpwstr>_Toc231474378</vt:lpwstr>
      </vt:variant>
      <vt:variant>
        <vt:i4>1245239</vt:i4>
      </vt:variant>
      <vt:variant>
        <vt:i4>2</vt:i4>
      </vt:variant>
      <vt:variant>
        <vt:i4>0</vt:i4>
      </vt:variant>
      <vt:variant>
        <vt:i4>5</vt:i4>
      </vt:variant>
      <vt:variant>
        <vt:lpwstr/>
      </vt:variant>
      <vt:variant>
        <vt:lpwstr>_Toc231474376</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2026-07-20T12:38:31Z</dcterms:created>
  <dcterms:modified xsi:type="dcterms:W3CDTF">2026-07-20T12:38:31Z</dcterms:modified>
</cp:coreProperties>
</file>