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FE6" w:rsidP="00464D2F" w:rsidRDefault="008D5FA0" w14:paraId="20F29DFA" w14:textId="1BC997F6">
      <w:pPr>
        <w:tabs>
          <w:tab w:val="right" w:pos="9360"/>
        </w:tabs>
        <w:suppressAutoHyphens/>
        <w:rPr>
          <w:b/>
          <w:bCs/>
          <w:color w:val="000000"/>
        </w:rPr>
      </w:pPr>
      <w:r w:rsidRPr="008D5FA0">
        <w:rPr>
          <w:color w:val="000000"/>
        </w:rPr>
        <w:t>ALJ/VUK/</w:t>
      </w:r>
      <w:proofErr w:type="spellStart"/>
      <w:r w:rsidRPr="008D5FA0">
        <w:rPr>
          <w:color w:val="000000"/>
        </w:rPr>
        <w:t>asf</w:t>
      </w:r>
      <w:proofErr w:type="spellEnd"/>
      <w:r>
        <w:rPr>
          <w:color w:val="000000"/>
        </w:rPr>
        <w:t xml:space="preserve">                      </w:t>
      </w:r>
      <w:r>
        <w:rPr>
          <w:b/>
          <w:bCs/>
          <w:color w:val="000000"/>
        </w:rPr>
        <w:tab/>
      </w:r>
      <w:r w:rsidR="00464D2F">
        <w:rPr>
          <w:b/>
          <w:bCs/>
          <w:color w:val="000000"/>
        </w:rPr>
        <w:t>Date of Issuance 7/21/2026</w:t>
      </w:r>
    </w:p>
    <w:p w:rsidR="00777D52" w:rsidP="00777D52" w:rsidRDefault="00777D52" w14:paraId="4996AFF8" w14:textId="77777777">
      <w:pPr>
        <w:suppressAutoHyphens/>
        <w:rPr>
          <w:color w:val="000000"/>
        </w:rPr>
      </w:pPr>
    </w:p>
    <w:p w:rsidR="00777D52" w:rsidP="00777D52" w:rsidRDefault="00777D52" w14:paraId="00615FB9" w14:textId="77777777">
      <w:pPr>
        <w:suppressAutoHyphens/>
        <w:rPr>
          <w:color w:val="000000"/>
        </w:rPr>
      </w:pPr>
    </w:p>
    <w:p w:rsidRPr="00777D52" w:rsidR="00A92D0B" w:rsidP="00777D52" w:rsidRDefault="00A92D0B" w14:paraId="5BDA9FD4" w14:textId="33E730B9">
      <w:pPr>
        <w:suppressAutoHyphens/>
        <w:rPr>
          <w:b/>
          <w:bCs/>
          <w:color w:val="000000"/>
          <w:u w:val="single"/>
        </w:rPr>
      </w:pPr>
      <w:r w:rsidRPr="007F620E">
        <w:rPr>
          <w:color w:val="000000"/>
        </w:rPr>
        <w:t>Decision</w:t>
      </w:r>
      <w:r w:rsidR="00464D2F">
        <w:rPr>
          <w:color w:val="000000"/>
        </w:rPr>
        <w:t xml:space="preserve"> 26-07-</w:t>
      </w:r>
      <w:proofErr w:type="gramStart"/>
      <w:r w:rsidR="00464D2F">
        <w:rPr>
          <w:color w:val="000000"/>
        </w:rPr>
        <w:t>049  July</w:t>
      </w:r>
      <w:proofErr w:type="gramEnd"/>
      <w:r w:rsidR="00464D2F">
        <w:rPr>
          <w:color w:val="000000"/>
        </w:rPr>
        <w:t xml:space="preserve"> 16, 2026</w:t>
      </w:r>
    </w:p>
    <w:p w:rsidRPr="007F620E" w:rsidR="00A92D0B" w:rsidRDefault="00A92D0B" w14:paraId="6D327C87" w14:textId="77777777">
      <w:pPr>
        <w:pStyle w:val="titlebar"/>
        <w:rPr>
          <w:rFonts w:ascii="Times New Roman" w:hAnsi="Times New Roman"/>
          <w:color w:val="000000"/>
          <w:sz w:val="24"/>
          <w:szCs w:val="24"/>
        </w:rPr>
      </w:pPr>
    </w:p>
    <w:p w:rsidRPr="007F620E" w:rsidR="00A92D0B" w:rsidRDefault="00A92D0B" w14:paraId="44E03231" w14:textId="77777777">
      <w:pPr>
        <w:pStyle w:val="titlebar"/>
        <w:rPr>
          <w:rFonts w:ascii="Times New Roman" w:hAnsi="Times New Roman"/>
          <w:color w:val="000000"/>
          <w:sz w:val="24"/>
          <w:szCs w:val="24"/>
        </w:rPr>
      </w:pPr>
    </w:p>
    <w:p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57088A" w:rsidR="00777D52" w:rsidRDefault="00777D52" w14:paraId="32C94C25" w14:textId="77777777">
      <w:pPr>
        <w:pStyle w:val="titlebar"/>
        <w:rPr>
          <w:rFonts w:ascii="Arial" w:hAnsi="Arial"/>
          <w:color w:val="000000"/>
          <w:sz w:val="24"/>
          <w:szCs w:val="24"/>
        </w:rPr>
      </w:pPr>
    </w:p>
    <w:p w:rsidRPr="007F620E" w:rsidR="00A92D0B" w:rsidRDefault="00A92D0B" w14:paraId="564284CD" w14:textId="77777777">
      <w:pPr>
        <w:suppressAutoHyphens/>
        <w:rPr>
          <w:color w:val="000000"/>
        </w:rPr>
      </w:pPr>
    </w:p>
    <w:tbl>
      <w:tblPr>
        <w:tblStyle w:val="TableGrid1"/>
        <w:tblW w:w="89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50"/>
        <w:gridCol w:w="3960"/>
      </w:tblGrid>
      <w:tr w:rsidRPr="00777D52" w:rsidR="00777D52" w:rsidTr="00403FA2" w14:paraId="3C079D60" w14:textId="77777777">
        <w:trPr>
          <w:trHeight w:val="1530"/>
          <w:jc w:val="center"/>
        </w:trPr>
        <w:tc>
          <w:tcPr>
            <w:tcW w:w="4950" w:type="dxa"/>
            <w:tcBorders>
              <w:bottom w:val="single" w:color="auto" w:sz="4" w:space="0"/>
              <w:right w:val="single" w:color="auto" w:sz="4" w:space="0"/>
            </w:tcBorders>
          </w:tcPr>
          <w:p w:rsidRPr="00777D52" w:rsidR="00777D52" w:rsidP="00777D52" w:rsidRDefault="00777D52" w14:paraId="585B2B60" w14:textId="77777777">
            <w:pPr>
              <w:tabs>
                <w:tab w:val="left" w:pos="4575"/>
              </w:tabs>
              <w:rPr>
                <w:rFonts w:ascii="Times New Roman" w:hAnsi="Times New Roman"/>
              </w:rPr>
            </w:pPr>
          </w:p>
          <w:p w:rsidRPr="00777D52" w:rsidR="00777D52" w:rsidP="00777D52" w:rsidRDefault="00777D52" w14:paraId="3C9BDCFD" w14:textId="77777777">
            <w:pPr>
              <w:tabs>
                <w:tab w:val="left" w:pos="4575"/>
              </w:tabs>
              <w:rPr>
                <w:rFonts w:ascii="Times New Roman" w:hAnsi="Times New Roman"/>
              </w:rPr>
            </w:pPr>
            <w:r w:rsidRPr="00777D52">
              <w:rPr>
                <w:rFonts w:ascii="Times New Roman" w:hAnsi="Times New Roman"/>
              </w:rPr>
              <w:t>Application of PACIFIC GAS AND ELECTRIC COMPANY (U39E) for Review of the Disadvantaged Communities – Green Tariff, Community Solar Green Tariff and Green Tariff Shared Renewables Programs.</w:t>
            </w:r>
            <w:r w:rsidRPr="00777D52">
              <w:rPr>
                <w:rFonts w:ascii="Times New Roman" w:hAnsi="Times New Roman"/>
              </w:rPr>
              <w:tab/>
            </w:r>
            <w:r w:rsidRPr="00777D52">
              <w:rPr>
                <w:rFonts w:ascii="Times New Roman" w:hAnsi="Times New Roman"/>
              </w:rPr>
              <w:br/>
            </w:r>
          </w:p>
        </w:tc>
        <w:tc>
          <w:tcPr>
            <w:tcW w:w="3960" w:type="dxa"/>
            <w:tcBorders>
              <w:left w:val="single" w:color="auto" w:sz="4" w:space="0"/>
              <w:bottom w:val="single" w:color="auto" w:sz="4" w:space="0"/>
            </w:tcBorders>
            <w:vAlign w:val="center"/>
          </w:tcPr>
          <w:p w:rsidRPr="00777D52" w:rsidR="00777D52" w:rsidP="00777D52" w:rsidRDefault="00777D52" w14:paraId="4279AAF4" w14:textId="77777777">
            <w:pPr>
              <w:jc w:val="center"/>
              <w:rPr>
                <w:rFonts w:ascii="Times New Roman" w:hAnsi="Times New Roman"/>
              </w:rPr>
            </w:pPr>
          </w:p>
          <w:p w:rsidRPr="00777D52" w:rsidR="00777D52" w:rsidP="00777D52" w:rsidRDefault="00777D52" w14:paraId="50A032B3" w14:textId="77777777">
            <w:pPr>
              <w:jc w:val="center"/>
              <w:rPr>
                <w:rFonts w:ascii="Times New Roman" w:hAnsi="Times New Roman"/>
              </w:rPr>
            </w:pPr>
            <w:r w:rsidRPr="00777D52">
              <w:rPr>
                <w:rFonts w:ascii="Times New Roman" w:hAnsi="Times New Roman"/>
              </w:rPr>
              <w:t>Application 22-05-022</w:t>
            </w:r>
          </w:p>
          <w:p w:rsidRPr="00777D52" w:rsidR="00777D52" w:rsidP="00777D52" w:rsidRDefault="00777D52" w14:paraId="2CC5D19F" w14:textId="77777777">
            <w:pPr>
              <w:jc w:val="center"/>
              <w:rPr>
                <w:rFonts w:ascii="Times New Roman" w:hAnsi="Times New Roman"/>
              </w:rPr>
            </w:pPr>
          </w:p>
        </w:tc>
      </w:tr>
      <w:tr w:rsidRPr="00777D52" w:rsidR="00777D52" w:rsidTr="00403FA2" w14:paraId="1282CF77" w14:textId="77777777">
        <w:trPr>
          <w:trHeight w:val="1530"/>
          <w:jc w:val="center"/>
        </w:trPr>
        <w:tc>
          <w:tcPr>
            <w:tcW w:w="4950" w:type="dxa"/>
            <w:tcBorders>
              <w:bottom w:val="single" w:color="auto" w:sz="4" w:space="0"/>
              <w:right w:val="single" w:color="auto" w:sz="4" w:space="0"/>
            </w:tcBorders>
          </w:tcPr>
          <w:p w:rsidRPr="00777D52" w:rsidR="00777D52" w:rsidP="00777D52" w:rsidRDefault="00777D52" w14:paraId="0B2D32D6" w14:textId="77777777">
            <w:pPr>
              <w:tabs>
                <w:tab w:val="left" w:pos="4575"/>
              </w:tabs>
              <w:rPr>
                <w:rFonts w:ascii="Times New Roman" w:hAnsi="Times New Roman"/>
              </w:rPr>
            </w:pPr>
          </w:p>
          <w:p w:rsidRPr="00777D52" w:rsidR="00777D52" w:rsidP="00777D52" w:rsidRDefault="00777D52" w14:paraId="6003EFBE" w14:textId="77777777">
            <w:pPr>
              <w:tabs>
                <w:tab w:val="left" w:pos="4575"/>
              </w:tabs>
              <w:rPr>
                <w:rFonts w:ascii="Times New Roman" w:hAnsi="Times New Roman"/>
              </w:rPr>
            </w:pPr>
          </w:p>
          <w:p w:rsidRPr="00777D52" w:rsidR="00777D52" w:rsidP="00777D52" w:rsidRDefault="00777D52" w14:paraId="1211281D" w14:textId="77777777">
            <w:pPr>
              <w:tabs>
                <w:tab w:val="left" w:pos="4575"/>
              </w:tabs>
              <w:rPr>
                <w:rFonts w:ascii="Times New Roman" w:hAnsi="Times New Roman"/>
              </w:rPr>
            </w:pPr>
            <w:r w:rsidRPr="00777D52">
              <w:rPr>
                <w:rFonts w:ascii="Times New Roman" w:hAnsi="Times New Roman"/>
              </w:rPr>
              <w:t>And Other Matters</w:t>
            </w:r>
          </w:p>
          <w:p w:rsidRPr="00777D52" w:rsidR="00777D52" w:rsidP="00777D52" w:rsidRDefault="00777D52" w14:paraId="373C9D14" w14:textId="77777777">
            <w:pPr>
              <w:tabs>
                <w:tab w:val="left" w:pos="4575"/>
              </w:tabs>
              <w:rPr>
                <w:rFonts w:ascii="Times New Roman" w:hAnsi="Times New Roman"/>
              </w:rPr>
            </w:pPr>
          </w:p>
        </w:tc>
        <w:tc>
          <w:tcPr>
            <w:tcW w:w="3960" w:type="dxa"/>
            <w:tcBorders>
              <w:left w:val="single" w:color="auto" w:sz="4" w:space="0"/>
              <w:bottom w:val="single" w:color="auto" w:sz="4" w:space="0"/>
            </w:tcBorders>
            <w:vAlign w:val="center"/>
          </w:tcPr>
          <w:p w:rsidRPr="00777D52" w:rsidR="00777D52" w:rsidP="00777D52" w:rsidRDefault="00777D52" w14:paraId="2B62D91D" w14:textId="77777777">
            <w:pPr>
              <w:jc w:val="center"/>
              <w:rPr>
                <w:rFonts w:ascii="Times New Roman" w:hAnsi="Times New Roman"/>
              </w:rPr>
            </w:pPr>
          </w:p>
          <w:p w:rsidRPr="00777D52" w:rsidR="00777D52" w:rsidP="00777D52" w:rsidRDefault="00777D52" w14:paraId="0A300701" w14:textId="77777777">
            <w:pPr>
              <w:jc w:val="center"/>
              <w:rPr>
                <w:rFonts w:ascii="Times New Roman" w:hAnsi="Times New Roman"/>
              </w:rPr>
            </w:pPr>
            <w:r w:rsidRPr="00777D52">
              <w:rPr>
                <w:rFonts w:ascii="Times New Roman" w:hAnsi="Times New Roman"/>
              </w:rPr>
              <w:t>Application 22-05-023</w:t>
            </w:r>
          </w:p>
          <w:p w:rsidRPr="00777D52" w:rsidR="00777D52" w:rsidP="00777D52" w:rsidRDefault="00777D52" w14:paraId="6F896031" w14:textId="77777777">
            <w:pPr>
              <w:jc w:val="center"/>
              <w:rPr>
                <w:rFonts w:ascii="Times New Roman" w:hAnsi="Times New Roman"/>
              </w:rPr>
            </w:pPr>
            <w:r w:rsidRPr="00777D52">
              <w:rPr>
                <w:rFonts w:ascii="Times New Roman" w:hAnsi="Times New Roman"/>
              </w:rPr>
              <w:t>Application 22-05-024</w:t>
            </w:r>
          </w:p>
          <w:p w:rsidRPr="00777D52" w:rsidR="00777D52" w:rsidP="00777D52" w:rsidRDefault="00777D52" w14:paraId="043C25CD" w14:textId="77777777">
            <w:pPr>
              <w:jc w:val="center"/>
              <w:rPr>
                <w:rFonts w:ascii="Times New Roman" w:hAnsi="Times New Roman"/>
              </w:rPr>
            </w:pPr>
          </w:p>
        </w:tc>
      </w:tr>
    </w:tbl>
    <w:p w:rsidRPr="007F620E" w:rsidR="00FC72B7" w:rsidP="00777D52" w:rsidRDefault="00FC72B7" w14:paraId="5459E071" w14:textId="77777777">
      <w:pPr>
        <w:rPr>
          <w:b/>
          <w:color w:val="000000"/>
        </w:rPr>
      </w:pPr>
    </w:p>
    <w:p w:rsidRPr="00777D52" w:rsidR="00A92D0B" w:rsidP="00777D52" w:rsidRDefault="00A92D0B" w14:paraId="17BB0C52" w14:textId="4BB60736">
      <w:pPr>
        <w:jc w:val="center"/>
        <w:rPr>
          <w:b/>
        </w:rPr>
      </w:pPr>
      <w:r w:rsidRPr="00691528">
        <w:rPr>
          <w:b/>
        </w:rPr>
        <w:t xml:space="preserve">DECISION </w:t>
      </w:r>
      <w:r w:rsidR="00862288">
        <w:rPr>
          <w:b/>
        </w:rPr>
        <w:t>GRANTING</w:t>
      </w:r>
      <w:r w:rsidRPr="00691528">
        <w:rPr>
          <w:b/>
        </w:rPr>
        <w:t xml:space="preserve"> COMPENSATION</w:t>
      </w:r>
      <w:r w:rsidR="008024F5">
        <w:rPr>
          <w:b/>
        </w:rPr>
        <w:t xml:space="preserve"> TO</w:t>
      </w:r>
      <w:r w:rsidR="00777D52">
        <w:rPr>
          <w:b/>
        </w:rPr>
        <w:t xml:space="preserve"> </w:t>
      </w:r>
      <w:r w:rsidR="00C1697F">
        <w:rPr>
          <w:b/>
        </w:rPr>
        <w:t>CENTER FOR BIOLOGICAL DIVERSITY</w:t>
      </w:r>
      <w:r w:rsidR="008024F5">
        <w:rPr>
          <w:b/>
        </w:rPr>
        <w:t xml:space="preserve"> FOR SUBSTANTIAL CONTRIBUTION TO DECISION 24-05-065</w:t>
      </w:r>
    </w:p>
    <w:p w:rsidRPr="00691528" w:rsidR="00374FD1" w:rsidRDefault="00374FD1" w14:paraId="7DD45571" w14:textId="77777777">
      <w:pPr>
        <w:jc w:val="center"/>
        <w:rPr>
          <w:b/>
          <w:shd w:val="clear" w:color="auto" w:fill="CCFFCC"/>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51"/>
        <w:gridCol w:w="5409"/>
      </w:tblGrid>
      <w:tr w:rsidRPr="007F620E" w:rsidR="00A92D0B" w:rsidTr="008024F5" w14:paraId="0FE98F62" w14:textId="77777777">
        <w:tc>
          <w:tcPr>
            <w:tcW w:w="3951" w:type="dxa"/>
          </w:tcPr>
          <w:p w:rsidRPr="00691528" w:rsidR="00A92D0B" w:rsidP="00C47A2B" w:rsidRDefault="005A63D4" w14:paraId="11570D4A" w14:textId="17F369F3">
            <w:pPr>
              <w:tabs>
                <w:tab w:val="left" w:pos="1620"/>
                <w:tab w:val="right" w:pos="4500"/>
              </w:tabs>
              <w:rPr>
                <w:color w:val="000000"/>
              </w:rPr>
            </w:pPr>
            <w:r w:rsidRPr="007F620E">
              <w:rPr>
                <w:b/>
                <w:color w:val="000000"/>
              </w:rPr>
              <w:t>Intervenor</w:t>
            </w:r>
            <w:r w:rsidRPr="007F620E" w:rsidR="00F63C29">
              <w:rPr>
                <w:b/>
                <w:color w:val="000000"/>
              </w:rPr>
              <w:t>:</w:t>
            </w:r>
            <w:r w:rsidR="00691528">
              <w:rPr>
                <w:b/>
                <w:color w:val="000000"/>
              </w:rPr>
              <w:t xml:space="preserve"> </w:t>
            </w:r>
            <w:r w:rsidRPr="00E830C1" w:rsidR="00DA1763">
              <w:rPr>
                <w:bCs/>
                <w:color w:val="000000"/>
              </w:rPr>
              <w:t>Center for Biological Diversity</w:t>
            </w:r>
            <w:r w:rsidR="00DA1763">
              <w:rPr>
                <w:b/>
                <w:color w:val="000000"/>
              </w:rPr>
              <w:t xml:space="preserve"> </w:t>
            </w:r>
          </w:p>
        </w:tc>
        <w:tc>
          <w:tcPr>
            <w:tcW w:w="5409" w:type="dxa"/>
          </w:tcPr>
          <w:p w:rsidRPr="007F620E" w:rsidR="00A92D0B" w:rsidP="00C47A2B" w:rsidRDefault="00A92D0B" w14:paraId="53A584EE" w14:textId="5ABBD205">
            <w:pPr>
              <w:tabs>
                <w:tab w:val="left" w:pos="1872"/>
                <w:tab w:val="right" w:pos="3672"/>
              </w:tabs>
              <w:rPr>
                <w:b/>
                <w:color w:val="000000"/>
              </w:rPr>
            </w:pPr>
            <w:r w:rsidRPr="007F620E">
              <w:rPr>
                <w:b/>
                <w:color w:val="000000"/>
              </w:rPr>
              <w:t>For contribution to D</w:t>
            </w:r>
            <w:r w:rsidRPr="007F620E" w:rsidR="00DE3A5D">
              <w:rPr>
                <w:b/>
                <w:color w:val="000000"/>
              </w:rPr>
              <w:t>ecision (D.)</w:t>
            </w:r>
            <w:r w:rsidR="00FB1543">
              <w:rPr>
                <w:b/>
                <w:color w:val="000000"/>
              </w:rPr>
              <w:t xml:space="preserve"> 24-05-065</w:t>
            </w:r>
            <w:r w:rsidRPr="007F620E" w:rsidR="00DE3A5D">
              <w:rPr>
                <w:b/>
                <w:color w:val="000000"/>
              </w:rPr>
              <w:t xml:space="preserve"> </w:t>
            </w:r>
          </w:p>
        </w:tc>
      </w:tr>
      <w:tr w:rsidRPr="007F620E" w:rsidR="00A92D0B" w:rsidTr="008024F5" w14:paraId="47003B8E" w14:textId="77777777">
        <w:tc>
          <w:tcPr>
            <w:tcW w:w="3951" w:type="dxa"/>
          </w:tcPr>
          <w:p w:rsidRPr="007F620E" w:rsidR="00A92D0B" w:rsidP="00C47A2B" w:rsidRDefault="00A92D0B" w14:paraId="0E2E4BD1" w14:textId="2460812C">
            <w:pPr>
              <w:tabs>
                <w:tab w:val="left" w:pos="1620"/>
                <w:tab w:val="right" w:pos="4500"/>
              </w:tabs>
              <w:rPr>
                <w:b/>
                <w:color w:val="000000"/>
                <w:u w:val="single"/>
              </w:rPr>
            </w:pPr>
            <w:r w:rsidRPr="007F620E">
              <w:rPr>
                <w:b/>
                <w:color w:val="000000"/>
              </w:rPr>
              <w:t>Claimed:</w:t>
            </w:r>
            <w:r w:rsidRPr="007F620E" w:rsidR="00F63C29">
              <w:rPr>
                <w:b/>
                <w:color w:val="000000"/>
              </w:rPr>
              <w:t xml:space="preserve"> </w:t>
            </w:r>
            <w:r w:rsidR="002D21CA">
              <w:rPr>
                <w:b/>
                <w:color w:val="000000"/>
              </w:rPr>
              <w:t xml:space="preserve"> </w:t>
            </w:r>
            <w:r w:rsidRPr="00E830C1" w:rsidR="00FC72B7">
              <w:rPr>
                <w:bCs/>
                <w:color w:val="000000"/>
              </w:rPr>
              <w:t>$</w:t>
            </w:r>
            <w:r w:rsidRPr="00E830C1" w:rsidR="005F12AA">
              <w:rPr>
                <w:bCs/>
                <w:color w:val="000000"/>
              </w:rPr>
              <w:t>37,095.18</w:t>
            </w:r>
          </w:p>
        </w:tc>
        <w:tc>
          <w:tcPr>
            <w:tcW w:w="5409" w:type="dxa"/>
            <w:tcBorders>
              <w:bottom w:val="single" w:color="auto" w:sz="4" w:space="0"/>
            </w:tcBorders>
          </w:tcPr>
          <w:p w:rsidRPr="00744358" w:rsidR="00A92D0B" w:rsidP="00C47A2B" w:rsidRDefault="00A92D0B" w14:paraId="211F40A8" w14:textId="0834ABAB">
            <w:pPr>
              <w:tabs>
                <w:tab w:val="left" w:pos="1872"/>
                <w:tab w:val="right" w:pos="3672"/>
              </w:tabs>
              <w:rPr>
                <w:b/>
                <w:color w:val="000000"/>
                <w:u w:val="single"/>
              </w:rPr>
            </w:pPr>
            <w:r w:rsidRPr="00744358">
              <w:rPr>
                <w:b/>
                <w:color w:val="000000"/>
              </w:rPr>
              <w:t>Awarded:</w:t>
            </w:r>
            <w:r w:rsidRPr="00744358" w:rsidR="00FC72B7">
              <w:rPr>
                <w:b/>
                <w:color w:val="000000"/>
              </w:rPr>
              <w:t xml:space="preserve">  </w:t>
            </w:r>
            <w:r w:rsidR="00652134">
              <w:rPr>
                <w:bCs/>
                <w:color w:val="000000"/>
              </w:rPr>
              <w:t>$</w:t>
            </w:r>
            <w:r w:rsidR="006104D1">
              <w:rPr>
                <w:bCs/>
                <w:color w:val="000000"/>
              </w:rPr>
              <w:t>23,403.55</w:t>
            </w:r>
          </w:p>
        </w:tc>
      </w:tr>
      <w:tr w:rsidRPr="007F620E" w:rsidR="00A92D0B" w:rsidTr="008024F5" w14:paraId="5C56877D" w14:textId="77777777">
        <w:tc>
          <w:tcPr>
            <w:tcW w:w="3951" w:type="dxa"/>
          </w:tcPr>
          <w:p w:rsidRPr="00691528" w:rsidR="00A92D0B" w:rsidP="00C47A2B" w:rsidRDefault="00A92D0B" w14:paraId="6EF99E36" w14:textId="5AA43640">
            <w:pPr>
              <w:tabs>
                <w:tab w:val="left" w:pos="3060"/>
                <w:tab w:val="right" w:pos="4500"/>
              </w:tabs>
              <w:rPr>
                <w:color w:val="000000"/>
                <w:u w:val="single"/>
              </w:rPr>
            </w:pPr>
            <w:r w:rsidRPr="007F620E">
              <w:rPr>
                <w:b/>
                <w:color w:val="000000"/>
              </w:rPr>
              <w:t xml:space="preserve">Assigned Commissioner: </w:t>
            </w:r>
            <w:r w:rsidR="00E04E68">
              <w:rPr>
                <w:bCs/>
                <w:color w:val="000000"/>
              </w:rPr>
              <w:t>John</w:t>
            </w:r>
            <w:r w:rsidRPr="00E830C1" w:rsidR="00E04E68">
              <w:rPr>
                <w:bCs/>
                <w:color w:val="000000"/>
              </w:rPr>
              <w:t xml:space="preserve"> </w:t>
            </w:r>
            <w:r w:rsidRPr="00E830C1" w:rsidR="00D317A7">
              <w:rPr>
                <w:bCs/>
                <w:color w:val="000000"/>
              </w:rPr>
              <w:t>Reynolds</w:t>
            </w:r>
            <w:r w:rsidR="00E04E68">
              <w:rPr>
                <w:rStyle w:val="FootnoteReference"/>
                <w:bCs/>
                <w:color w:val="000000"/>
              </w:rPr>
              <w:footnoteReference w:id="1"/>
            </w:r>
            <w:r w:rsidRPr="00E830C1" w:rsidR="00D317A7">
              <w:rPr>
                <w:bCs/>
                <w:color w:val="000000"/>
              </w:rPr>
              <w:t xml:space="preserve"> </w:t>
            </w:r>
          </w:p>
        </w:tc>
        <w:tc>
          <w:tcPr>
            <w:tcW w:w="5409" w:type="dxa"/>
          </w:tcPr>
          <w:p w:rsidRPr="00691528" w:rsidR="00A92D0B" w:rsidP="00C47A2B" w:rsidRDefault="00A92D0B" w14:paraId="79375F78" w14:textId="54FE4961">
            <w:pPr>
              <w:tabs>
                <w:tab w:val="left" w:pos="1872"/>
                <w:tab w:val="right" w:pos="3672"/>
              </w:tabs>
              <w:rPr>
                <w:color w:val="000000"/>
                <w:u w:val="single"/>
              </w:rPr>
            </w:pPr>
            <w:r w:rsidRPr="007F620E">
              <w:rPr>
                <w:b/>
                <w:color w:val="000000"/>
              </w:rPr>
              <w:t>Assigned ALJ:</w:t>
            </w:r>
            <w:r w:rsidRPr="007F620E" w:rsidR="00F63C29">
              <w:rPr>
                <w:b/>
                <w:color w:val="000000"/>
              </w:rPr>
              <w:t xml:space="preserve"> </w:t>
            </w:r>
            <w:r w:rsidRPr="00E830C1" w:rsidR="00D317A7">
              <w:rPr>
                <w:bCs/>
                <w:color w:val="000000"/>
              </w:rPr>
              <w:t>Valerie Kao</w:t>
            </w:r>
          </w:p>
        </w:tc>
      </w:tr>
    </w:tbl>
    <w:p w:rsidR="00691528" w:rsidP="00055843" w:rsidRDefault="00A92D0B" w14:paraId="3CEED871" w14:textId="2600E61C">
      <w:pPr>
        <w:keepNext/>
        <w:spacing w:before="480"/>
        <w:jc w:val="center"/>
        <w:rPr>
          <w:b/>
          <w:color w:val="000000"/>
        </w:rPr>
      </w:pPr>
      <w:r w:rsidRPr="007F620E">
        <w:rPr>
          <w:b/>
          <w:color w:val="000000"/>
        </w:rPr>
        <w:t>PART I:</w:t>
      </w:r>
      <w:r w:rsidR="008E182E">
        <w:rPr>
          <w:b/>
          <w:color w:val="000000"/>
        </w:rPr>
        <w:t xml:space="preserve"> </w:t>
      </w:r>
      <w:r w:rsidRPr="007F620E">
        <w:rPr>
          <w:b/>
          <w:color w:val="000000"/>
        </w:rPr>
        <w:t>PROCEDURAL ISSUES</w:t>
      </w:r>
    </w:p>
    <w:p w:rsidRPr="007F620E" w:rsidR="00A92D0B" w:rsidP="00055843" w:rsidRDefault="00A92D0B" w14:paraId="37AA25BD" w14:textId="77777777">
      <w:pPr>
        <w:keepNext/>
        <w:rPr>
          <w:color w:val="000000"/>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5647"/>
      </w:tblGrid>
      <w:tr w:rsidRPr="007F620E" w:rsidR="00A92D0B" w:rsidTr="00D163FF"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5647" w:type="dxa"/>
          </w:tcPr>
          <w:p w:rsidR="00A92D0B" w:rsidRDefault="00E0679A" w14:paraId="02FDC3BF" w14:textId="0FCBE5F3">
            <w:pPr>
              <w:rPr>
                <w:color w:val="000000"/>
              </w:rPr>
            </w:pPr>
            <w:r>
              <w:rPr>
                <w:color w:val="000000"/>
              </w:rPr>
              <w:t xml:space="preserve">The Center for Biological Diversity (“Center”) submits this request for intervenor compensation for </w:t>
            </w:r>
            <w:r w:rsidR="00C93486">
              <w:rPr>
                <w:color w:val="000000"/>
              </w:rPr>
              <w:t xml:space="preserve">substantial contribution to D.24-05-065, the Commission’s Decision modifying Green Access Program Tariffs and adopting a community renewable energy program, pursuant to Assembly Bill (“AB”) 2316. (“Decision”) </w:t>
            </w:r>
          </w:p>
          <w:p w:rsidR="00C93486" w:rsidRDefault="00C93486" w14:paraId="13907018" w14:textId="77777777">
            <w:pPr>
              <w:rPr>
                <w:color w:val="000000"/>
              </w:rPr>
            </w:pPr>
          </w:p>
          <w:p w:rsidR="00C93486" w:rsidRDefault="006241AA" w14:paraId="6C540555" w14:textId="55D7061D">
            <w:pPr>
              <w:rPr>
                <w:color w:val="000000"/>
              </w:rPr>
            </w:pPr>
            <w:r>
              <w:rPr>
                <w:color w:val="000000"/>
              </w:rPr>
              <w:lastRenderedPageBreak/>
              <w:t>Based on an evaluation of current programs, t</w:t>
            </w:r>
            <w:r w:rsidR="00C93486">
              <w:rPr>
                <w:color w:val="000000"/>
              </w:rPr>
              <w:t xml:space="preserve">he Decision </w:t>
            </w:r>
            <w:r w:rsidR="005473F5">
              <w:rPr>
                <w:color w:val="000000"/>
              </w:rPr>
              <w:t xml:space="preserve">modifies and streamlines the existing Green Access Program tariffs to meet the goals set out in AB 2316.  </w:t>
            </w:r>
          </w:p>
          <w:p w:rsidR="006241AA" w:rsidRDefault="006241AA" w14:paraId="129C3500" w14:textId="77777777">
            <w:pPr>
              <w:rPr>
                <w:color w:val="000000"/>
              </w:rPr>
            </w:pPr>
          </w:p>
          <w:p w:rsidR="00FE3BAE" w:rsidRDefault="006241AA" w14:paraId="490F36DF" w14:textId="7D431196">
            <w:pPr>
              <w:rPr>
                <w:color w:val="000000"/>
              </w:rPr>
            </w:pPr>
            <w:r>
              <w:rPr>
                <w:color w:val="000000"/>
              </w:rPr>
              <w:t>The Decision also authorizes a new community renewable energy program pursuant to AB 231</w:t>
            </w:r>
            <w:r w:rsidR="00BE7DB8">
              <w:rPr>
                <w:color w:val="000000"/>
              </w:rPr>
              <w:t>6</w:t>
            </w:r>
            <w:r>
              <w:rPr>
                <w:color w:val="000000"/>
              </w:rPr>
              <w:t xml:space="preserve"> and Public Utilities Code § 769.3.  </w:t>
            </w:r>
          </w:p>
          <w:p w:rsidRPr="007F620E" w:rsidR="00C02649" w:rsidRDefault="00C02649" w14:paraId="67B8ECAA" w14:textId="77777777">
            <w:pPr>
              <w:rPr>
                <w:color w:val="000000"/>
              </w:rPr>
            </w:pPr>
          </w:p>
        </w:tc>
      </w:tr>
    </w:tbl>
    <w:p w:rsidRPr="007F620E" w:rsidR="00A92D0B" w:rsidP="00880855" w:rsidRDefault="005A63D4" w14:paraId="2FBF046C" w14:textId="77777777">
      <w:pPr>
        <w:keepNext/>
        <w:numPr>
          <w:ilvl w:val="0"/>
          <w:numId w:val="5"/>
        </w:numPr>
        <w:spacing w:before="240" w:after="240"/>
        <w:rPr>
          <w:b/>
          <w:color w:val="000000"/>
        </w:rPr>
      </w:pPr>
      <w:r w:rsidRPr="007F620E">
        <w:rPr>
          <w:b/>
          <w:color w:val="000000"/>
        </w:rPr>
        <w:lastRenderedPageBreak/>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2"/>
      </w:r>
      <w:r w:rsidRPr="007F620E" w:rsidR="00A92D0B">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A92D0B" w:rsidTr="00E01C0B" w14:paraId="640CF70A" w14:textId="77777777">
        <w:trPr>
          <w:tblHeader/>
        </w:trPr>
        <w:tc>
          <w:tcPr>
            <w:tcW w:w="4817"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2276"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E01C0B"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E01C0B" w14:paraId="160E284A" w14:textId="77777777">
        <w:tc>
          <w:tcPr>
            <w:tcW w:w="4817" w:type="dxa"/>
            <w:tcBorders>
              <w:top w:val="single" w:color="auto" w:sz="4" w:space="0"/>
            </w:tcBorders>
          </w:tcPr>
          <w:p w:rsidRPr="007F620E" w:rsidR="00A92D0B" w:rsidP="00F028C8"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67" w:type="dxa"/>
            <w:tcBorders>
              <w:top w:val="single" w:color="auto" w:sz="4" w:space="0"/>
            </w:tcBorders>
          </w:tcPr>
          <w:p w:rsidRPr="007F620E" w:rsidR="00A92D0B" w:rsidP="00F028C8" w:rsidRDefault="004A6E8C" w14:paraId="35450816" w14:textId="7710CF32">
            <w:pPr>
              <w:keepNext/>
              <w:keepLines/>
              <w:tabs>
                <w:tab w:val="left" w:pos="360"/>
              </w:tabs>
              <w:ind w:left="360" w:hanging="360"/>
              <w:rPr>
                <w:color w:val="000000"/>
              </w:rPr>
            </w:pPr>
            <w:r>
              <w:rPr>
                <w:color w:val="000000"/>
              </w:rPr>
              <w:t>October 27, 2022</w:t>
            </w:r>
          </w:p>
        </w:tc>
        <w:tc>
          <w:tcPr>
            <w:tcW w:w="2276" w:type="dxa"/>
            <w:tcBorders>
              <w:top w:val="single" w:color="auto" w:sz="4" w:space="0"/>
            </w:tcBorders>
          </w:tcPr>
          <w:p w:rsidRPr="007F620E" w:rsidR="00A92D0B" w:rsidP="00F028C8" w:rsidRDefault="00323EC0" w14:paraId="34540344" w14:textId="2E164E6F">
            <w:pPr>
              <w:keepNext/>
              <w:tabs>
                <w:tab w:val="left" w:pos="360"/>
              </w:tabs>
              <w:jc w:val="both"/>
              <w:rPr>
                <w:color w:val="000000"/>
              </w:rPr>
            </w:pPr>
            <w:r>
              <w:rPr>
                <w:color w:val="000000"/>
              </w:rPr>
              <w:t>Verified</w:t>
            </w:r>
          </w:p>
        </w:tc>
      </w:tr>
      <w:tr w:rsidRPr="007F620E" w:rsidR="00A92D0B" w:rsidTr="00E01C0B" w14:paraId="24C85564" w14:textId="77777777">
        <w:tc>
          <w:tcPr>
            <w:tcW w:w="4817"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67" w:type="dxa"/>
          </w:tcPr>
          <w:p w:rsidRPr="007F620E" w:rsidR="00A92D0B" w:rsidP="00F028C8" w:rsidRDefault="00A92D0B" w14:paraId="1826BC2C" w14:textId="77777777">
            <w:pPr>
              <w:keepNext/>
              <w:keepLines/>
              <w:tabs>
                <w:tab w:val="left" w:pos="360"/>
              </w:tabs>
              <w:ind w:left="360" w:hanging="360"/>
              <w:rPr>
                <w:color w:val="000000"/>
              </w:rPr>
            </w:pPr>
          </w:p>
        </w:tc>
        <w:tc>
          <w:tcPr>
            <w:tcW w:w="2276" w:type="dxa"/>
          </w:tcPr>
          <w:p w:rsidRPr="007F620E" w:rsidR="00A92D0B" w:rsidP="00F028C8" w:rsidRDefault="00A92D0B" w14:paraId="210DAD91" w14:textId="77777777">
            <w:pPr>
              <w:tabs>
                <w:tab w:val="left" w:pos="360"/>
              </w:tabs>
              <w:jc w:val="both"/>
              <w:rPr>
                <w:color w:val="000000"/>
              </w:rPr>
            </w:pPr>
          </w:p>
        </w:tc>
      </w:tr>
      <w:tr w:rsidRPr="007F620E" w:rsidR="00A92D0B" w:rsidTr="00E01C0B" w14:paraId="4836EEA6" w14:textId="77777777">
        <w:tc>
          <w:tcPr>
            <w:tcW w:w="4817"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67" w:type="dxa"/>
            <w:tcBorders>
              <w:bottom w:val="single" w:color="auto" w:sz="4" w:space="0"/>
            </w:tcBorders>
          </w:tcPr>
          <w:p w:rsidRPr="007F620E" w:rsidR="00A92D0B" w:rsidP="00F028C8" w:rsidRDefault="009717D8" w14:paraId="44F7CCB9" w14:textId="2D8DC524">
            <w:pPr>
              <w:keepNext/>
              <w:keepLines/>
              <w:tabs>
                <w:tab w:val="left" w:pos="360"/>
              </w:tabs>
              <w:ind w:left="360" w:hanging="360"/>
              <w:rPr>
                <w:color w:val="000000"/>
              </w:rPr>
            </w:pPr>
            <w:r>
              <w:rPr>
                <w:color w:val="000000"/>
              </w:rPr>
              <w:t>November 22, 2022</w:t>
            </w:r>
          </w:p>
        </w:tc>
        <w:tc>
          <w:tcPr>
            <w:tcW w:w="2276" w:type="dxa"/>
            <w:tcBorders>
              <w:bottom w:val="single" w:color="auto" w:sz="4" w:space="0"/>
            </w:tcBorders>
          </w:tcPr>
          <w:p w:rsidRPr="007F620E" w:rsidR="00A92D0B" w:rsidP="00F028C8" w:rsidRDefault="00323EC0" w14:paraId="71759DE3" w14:textId="21F665C7">
            <w:pPr>
              <w:tabs>
                <w:tab w:val="left" w:pos="360"/>
              </w:tabs>
              <w:jc w:val="both"/>
              <w:rPr>
                <w:color w:val="000000"/>
              </w:rPr>
            </w:pPr>
            <w:r>
              <w:rPr>
                <w:color w:val="000000"/>
              </w:rPr>
              <w:t>Verified</w:t>
            </w:r>
          </w:p>
        </w:tc>
      </w:tr>
      <w:tr w:rsidRPr="007F620E" w:rsidR="00A92D0B" w:rsidTr="00E01C0B" w14:paraId="22BBCDE3" w14:textId="77777777">
        <w:tc>
          <w:tcPr>
            <w:tcW w:w="7084" w:type="dxa"/>
            <w:gridSpan w:val="2"/>
            <w:tcBorders>
              <w:bottom w:val="single" w:color="auto" w:sz="4" w:space="0"/>
            </w:tcBorders>
          </w:tcPr>
          <w:p w:rsidRPr="007F620E" w:rsidR="00A92D0B" w:rsidP="00F028C8" w:rsidRDefault="00A92D0B" w14:paraId="7E6E2068" w14:textId="46B9FAAF">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r w:rsidR="009717D8">
              <w:rPr>
                <w:color w:val="000000"/>
              </w:rPr>
              <w:t xml:space="preserve"> Ye</w:t>
            </w:r>
            <w:r w:rsidR="00173455">
              <w:rPr>
                <w:color w:val="000000"/>
              </w:rPr>
              <w:t xml:space="preserve">s, pursuant to Commission Rule of Practice and Procedure 17.1(a)(1), the NOI was filed </w:t>
            </w:r>
            <w:r w:rsidR="000B2761">
              <w:rPr>
                <w:color w:val="000000"/>
              </w:rPr>
              <w:t xml:space="preserve">after the start of the proceeding, and </w:t>
            </w:r>
            <w:r w:rsidR="00173455">
              <w:rPr>
                <w:color w:val="000000"/>
              </w:rPr>
              <w:t xml:space="preserve">within </w:t>
            </w:r>
            <w:r w:rsidR="000B2761">
              <w:rPr>
                <w:color w:val="000000"/>
              </w:rPr>
              <w:t xml:space="preserve">30 days after the Prehearing Conference.  </w:t>
            </w:r>
          </w:p>
        </w:tc>
        <w:tc>
          <w:tcPr>
            <w:tcW w:w="2276" w:type="dxa"/>
            <w:tcBorders>
              <w:bottom w:val="single" w:color="auto" w:sz="4" w:space="0"/>
            </w:tcBorders>
          </w:tcPr>
          <w:p w:rsidRPr="007F620E" w:rsidR="00A92D0B" w:rsidP="00F028C8" w:rsidRDefault="008F6029" w14:paraId="61DE2845" w14:textId="10E1A4AA">
            <w:pPr>
              <w:tabs>
                <w:tab w:val="left" w:pos="360"/>
              </w:tabs>
              <w:rPr>
                <w:color w:val="000000"/>
              </w:rPr>
            </w:pPr>
            <w:r>
              <w:rPr>
                <w:color w:val="000000"/>
              </w:rPr>
              <w:t>Verified</w:t>
            </w:r>
          </w:p>
        </w:tc>
      </w:tr>
      <w:tr w:rsidRPr="007F620E" w:rsidR="00A92D0B" w:rsidTr="00E01C0B"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F028C8"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E01C0B" w14:paraId="259EC227" w14:textId="77777777">
        <w:tc>
          <w:tcPr>
            <w:tcW w:w="4817" w:type="dxa"/>
            <w:tcBorders>
              <w:top w:val="single" w:color="auto" w:sz="4" w:space="0"/>
            </w:tcBorders>
          </w:tcPr>
          <w:p w:rsidRPr="007F620E" w:rsidR="00A92D0B" w:rsidP="00F028C8"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267" w:type="dxa"/>
            <w:tcBorders>
              <w:top w:val="single" w:color="auto" w:sz="4" w:space="0"/>
            </w:tcBorders>
          </w:tcPr>
          <w:p w:rsidRPr="007F620E" w:rsidR="00A92D0B" w:rsidP="00F028C8" w:rsidRDefault="00AD27F8" w14:paraId="13E72B6D" w14:textId="5C42EB25">
            <w:pPr>
              <w:keepNext/>
              <w:keepLines/>
              <w:tabs>
                <w:tab w:val="left" w:pos="360"/>
              </w:tabs>
              <w:ind w:left="360" w:hanging="360"/>
              <w:rPr>
                <w:color w:val="000000"/>
              </w:rPr>
            </w:pPr>
            <w:r>
              <w:rPr>
                <w:color w:val="000000"/>
              </w:rPr>
              <w:t>R</w:t>
            </w:r>
            <w:r w:rsidR="003D7AAD">
              <w:rPr>
                <w:color w:val="000000"/>
              </w:rPr>
              <w:t>.23-05-018</w:t>
            </w:r>
          </w:p>
        </w:tc>
        <w:tc>
          <w:tcPr>
            <w:tcW w:w="2276" w:type="dxa"/>
            <w:tcBorders>
              <w:top w:val="single" w:color="auto" w:sz="4" w:space="0"/>
            </w:tcBorders>
          </w:tcPr>
          <w:p w:rsidRPr="007F620E" w:rsidR="00A92D0B" w:rsidP="00F028C8" w:rsidRDefault="008F6029" w14:paraId="2679B197" w14:textId="76CB0F5F">
            <w:pPr>
              <w:keepNext/>
              <w:keepLines/>
              <w:tabs>
                <w:tab w:val="left" w:pos="360"/>
              </w:tabs>
              <w:rPr>
                <w:color w:val="000000"/>
              </w:rPr>
            </w:pPr>
            <w:r>
              <w:rPr>
                <w:color w:val="000000"/>
              </w:rPr>
              <w:t>R</w:t>
            </w:r>
            <w:r w:rsidR="00BB650D">
              <w:rPr>
                <w:color w:val="000000"/>
              </w:rPr>
              <w:t>.21-06-017</w:t>
            </w:r>
            <w:r w:rsidR="00CD7782">
              <w:rPr>
                <w:color w:val="000000"/>
              </w:rPr>
              <w:t xml:space="preserve">. </w:t>
            </w:r>
            <w:r w:rsidRPr="00EC70A5" w:rsidR="00CD7782">
              <w:rPr>
                <w:i/>
                <w:iCs/>
                <w:color w:val="000000"/>
              </w:rPr>
              <w:t>See</w:t>
            </w:r>
            <w:r w:rsidR="00CD7782">
              <w:rPr>
                <w:color w:val="000000"/>
              </w:rPr>
              <w:t xml:space="preserve"> Part I. C [B.9-12].</w:t>
            </w:r>
          </w:p>
        </w:tc>
      </w:tr>
      <w:tr w:rsidRPr="007F620E" w:rsidR="00A92D0B" w:rsidTr="00E01C0B" w14:paraId="4E0FB3B6" w14:textId="77777777">
        <w:tc>
          <w:tcPr>
            <w:tcW w:w="4817"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tcPr>
          <w:p w:rsidRPr="007F620E" w:rsidR="00A92D0B" w:rsidP="00F028C8" w:rsidRDefault="00B26E86" w14:paraId="306125B9" w14:textId="0CD6E841">
            <w:pPr>
              <w:tabs>
                <w:tab w:val="left" w:pos="360"/>
              </w:tabs>
              <w:ind w:left="360" w:hanging="360"/>
              <w:rPr>
                <w:color w:val="000000"/>
              </w:rPr>
            </w:pPr>
            <w:r>
              <w:rPr>
                <w:color w:val="000000"/>
              </w:rPr>
              <w:t>April 24, 20</w:t>
            </w:r>
            <w:r w:rsidR="003D7AAD">
              <w:rPr>
                <w:color w:val="000000"/>
              </w:rPr>
              <w:t>24</w:t>
            </w:r>
          </w:p>
        </w:tc>
        <w:tc>
          <w:tcPr>
            <w:tcW w:w="2276" w:type="dxa"/>
          </w:tcPr>
          <w:p w:rsidRPr="007F620E" w:rsidR="00A92D0B" w:rsidP="00F028C8" w:rsidRDefault="00BB650D" w14:paraId="19F10313" w14:textId="17064170">
            <w:pPr>
              <w:tabs>
                <w:tab w:val="left" w:pos="360"/>
              </w:tabs>
              <w:rPr>
                <w:color w:val="000000"/>
              </w:rPr>
            </w:pPr>
            <w:r>
              <w:rPr>
                <w:color w:val="000000"/>
              </w:rPr>
              <w:t>November 8, 2021</w:t>
            </w:r>
          </w:p>
        </w:tc>
      </w:tr>
      <w:tr w:rsidRPr="007F620E" w:rsidR="00A92D0B" w:rsidTr="00E01C0B" w14:paraId="7F6C1E54" w14:textId="77777777">
        <w:tc>
          <w:tcPr>
            <w:tcW w:w="4817"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67" w:type="dxa"/>
            <w:tcBorders>
              <w:bottom w:val="single" w:color="auto" w:sz="4" w:space="0"/>
            </w:tcBorders>
          </w:tcPr>
          <w:p w:rsidRPr="007F620E" w:rsidR="00A92D0B" w:rsidP="00F028C8" w:rsidRDefault="00A92D0B" w14:paraId="5E0F9D32" w14:textId="77777777">
            <w:pPr>
              <w:tabs>
                <w:tab w:val="left" w:pos="360"/>
              </w:tabs>
              <w:ind w:left="360" w:hanging="360"/>
              <w:rPr>
                <w:color w:val="000000"/>
              </w:rPr>
            </w:pPr>
          </w:p>
        </w:tc>
        <w:tc>
          <w:tcPr>
            <w:tcW w:w="2276" w:type="dxa"/>
            <w:tcBorders>
              <w:bottom w:val="single" w:color="auto" w:sz="4" w:space="0"/>
            </w:tcBorders>
          </w:tcPr>
          <w:p w:rsidRPr="007F620E" w:rsidR="00A92D0B" w:rsidP="00F028C8" w:rsidRDefault="00A92D0B" w14:paraId="180E80B3" w14:textId="77777777">
            <w:pPr>
              <w:tabs>
                <w:tab w:val="left" w:pos="360"/>
              </w:tabs>
              <w:rPr>
                <w:color w:val="000000"/>
              </w:rPr>
            </w:pPr>
          </w:p>
        </w:tc>
      </w:tr>
      <w:tr w:rsidRPr="007F620E" w:rsidR="00A92D0B" w:rsidTr="00E01C0B" w14:paraId="397CC4AD" w14:textId="77777777">
        <w:tc>
          <w:tcPr>
            <w:tcW w:w="7084"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276" w:type="dxa"/>
            <w:tcBorders>
              <w:bottom w:val="single" w:color="auto" w:sz="4" w:space="0"/>
            </w:tcBorders>
          </w:tcPr>
          <w:p w:rsidRPr="007F620E" w:rsidR="00A92D0B" w:rsidP="00F028C8" w:rsidRDefault="00BB650D" w14:paraId="7D296E63" w14:textId="191FE6E9">
            <w:pPr>
              <w:tabs>
                <w:tab w:val="left" w:pos="360"/>
              </w:tabs>
              <w:rPr>
                <w:color w:val="000000"/>
              </w:rPr>
            </w:pPr>
            <w:r>
              <w:rPr>
                <w:color w:val="000000"/>
              </w:rPr>
              <w:t>Yes</w:t>
            </w:r>
          </w:p>
        </w:tc>
      </w:tr>
      <w:tr w:rsidRPr="007F620E" w:rsidR="00A92D0B" w:rsidTr="00E01C0B"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A92D0B" w:rsidTr="00E01C0B" w14:paraId="77F91856" w14:textId="77777777">
        <w:tc>
          <w:tcPr>
            <w:tcW w:w="4817" w:type="dxa"/>
            <w:tcBorders>
              <w:top w:val="single" w:color="auto" w:sz="4" w:space="0"/>
            </w:tcBorders>
          </w:tcPr>
          <w:p w:rsidRPr="007F620E" w:rsidR="00A92D0B" w:rsidP="00F028C8" w:rsidRDefault="00A92D0B" w14:paraId="6506E60E" w14:textId="7F0FF6A0">
            <w:pPr>
              <w:tabs>
                <w:tab w:val="left" w:pos="315"/>
              </w:tabs>
              <w:ind w:left="360" w:hanging="360"/>
              <w:rPr>
                <w:color w:val="000000"/>
              </w:rPr>
            </w:pPr>
            <w:r w:rsidRPr="007F620E">
              <w:rPr>
                <w:color w:val="000000"/>
              </w:rPr>
              <w:t>9.</w:t>
            </w:r>
            <w:r w:rsidR="001E7EE2">
              <w:rPr>
                <w:color w:val="000000"/>
              </w:rPr>
              <w:tab/>
            </w:r>
            <w:r w:rsidRPr="007F620E">
              <w:rPr>
                <w:color w:val="000000"/>
              </w:rPr>
              <w:t>Based on ALJ ruling issued in proceeding number:</w:t>
            </w:r>
          </w:p>
        </w:tc>
        <w:tc>
          <w:tcPr>
            <w:tcW w:w="2267" w:type="dxa"/>
            <w:tcBorders>
              <w:top w:val="single" w:color="auto" w:sz="4" w:space="0"/>
            </w:tcBorders>
          </w:tcPr>
          <w:p w:rsidR="00172604" w:rsidP="00172604" w:rsidRDefault="005572DE" w14:paraId="6E1545E6" w14:textId="724DCEA2">
            <w:pPr>
              <w:tabs>
                <w:tab w:val="left" w:pos="196"/>
              </w:tabs>
              <w:rPr>
                <w:color w:val="000000"/>
              </w:rPr>
            </w:pPr>
            <w:r>
              <w:rPr>
                <w:color w:val="000000"/>
              </w:rPr>
              <w:t xml:space="preserve">In </w:t>
            </w:r>
            <w:r w:rsidR="00184B50">
              <w:rPr>
                <w:color w:val="000000"/>
              </w:rPr>
              <w:t xml:space="preserve">R.23-05-018, </w:t>
            </w:r>
            <w:proofErr w:type="gramStart"/>
            <w:r w:rsidR="00184B50">
              <w:rPr>
                <w:color w:val="000000"/>
              </w:rPr>
              <w:t xml:space="preserve">the </w:t>
            </w:r>
            <w:r w:rsidR="00B26E86">
              <w:rPr>
                <w:color w:val="000000"/>
              </w:rPr>
              <w:t>April</w:t>
            </w:r>
            <w:proofErr w:type="gramEnd"/>
            <w:r w:rsidR="00B26E86">
              <w:rPr>
                <w:color w:val="000000"/>
              </w:rPr>
              <w:t xml:space="preserve"> 24, </w:t>
            </w:r>
            <w:proofErr w:type="gramStart"/>
            <w:r w:rsidR="00B26E86">
              <w:rPr>
                <w:color w:val="000000"/>
              </w:rPr>
              <w:t>20</w:t>
            </w:r>
            <w:r w:rsidR="00184B50">
              <w:rPr>
                <w:color w:val="000000"/>
              </w:rPr>
              <w:t>24</w:t>
            </w:r>
            <w:proofErr w:type="gramEnd"/>
            <w:r w:rsidR="00184B50">
              <w:rPr>
                <w:color w:val="000000"/>
              </w:rPr>
              <w:t xml:space="preserve"> ALJ ruling </w:t>
            </w:r>
            <w:r w:rsidR="00B26E86">
              <w:rPr>
                <w:color w:val="000000"/>
              </w:rPr>
              <w:t xml:space="preserve">also </w:t>
            </w:r>
            <w:r w:rsidR="00D239A3">
              <w:rPr>
                <w:color w:val="000000"/>
              </w:rPr>
              <w:t xml:space="preserve">noted that a finding of significant financial hardship was </w:t>
            </w:r>
            <w:r w:rsidR="00D239A3">
              <w:rPr>
                <w:color w:val="000000"/>
              </w:rPr>
              <w:lastRenderedPageBreak/>
              <w:t>conditioned on the Cen</w:t>
            </w:r>
            <w:r w:rsidR="00196375">
              <w:rPr>
                <w:color w:val="000000"/>
              </w:rPr>
              <w:t>t</w:t>
            </w:r>
            <w:r w:rsidR="00D239A3">
              <w:rPr>
                <w:color w:val="000000"/>
              </w:rPr>
              <w:t xml:space="preserve">er providing </w:t>
            </w:r>
            <w:r w:rsidR="00640B91">
              <w:rPr>
                <w:color w:val="000000"/>
              </w:rPr>
              <w:t xml:space="preserve">certain information to determine the Center’s eligibility as an intervenor for compensation.  On </w:t>
            </w:r>
            <w:r w:rsidR="00D75E8D">
              <w:rPr>
                <w:color w:val="000000"/>
              </w:rPr>
              <w:t>May 31, 2024, t</w:t>
            </w:r>
            <w:r w:rsidR="00640B91">
              <w:rPr>
                <w:color w:val="000000"/>
              </w:rPr>
              <w:t xml:space="preserve">he Center provided this </w:t>
            </w:r>
            <w:proofErr w:type="gramStart"/>
            <w:r w:rsidR="00640B91">
              <w:rPr>
                <w:color w:val="000000"/>
              </w:rPr>
              <w:t>information</w:t>
            </w:r>
            <w:proofErr w:type="gramEnd"/>
            <w:r w:rsidR="00640B91">
              <w:rPr>
                <w:color w:val="000000"/>
              </w:rPr>
              <w:t xml:space="preserve"> </w:t>
            </w:r>
            <w:r w:rsidR="00D75E8D">
              <w:rPr>
                <w:color w:val="000000"/>
              </w:rPr>
              <w:t xml:space="preserve">and a Commission determination </w:t>
            </w:r>
            <w:r w:rsidR="00172604">
              <w:rPr>
                <w:color w:val="000000"/>
              </w:rPr>
              <w:t xml:space="preserve">is pending.  </w:t>
            </w:r>
          </w:p>
          <w:p w:rsidRPr="007F620E" w:rsidR="00A92D0B" w:rsidP="00F028C8" w:rsidRDefault="00D75E8D" w14:paraId="54B4911C" w14:textId="748359B4">
            <w:pPr>
              <w:tabs>
                <w:tab w:val="left" w:pos="360"/>
              </w:tabs>
              <w:ind w:left="360" w:hanging="360"/>
              <w:rPr>
                <w:color w:val="000000"/>
              </w:rPr>
            </w:pPr>
            <w:r>
              <w:rPr>
                <w:color w:val="000000"/>
              </w:rPr>
              <w:t xml:space="preserve"> </w:t>
            </w:r>
            <w:r w:rsidR="00640B91">
              <w:rPr>
                <w:color w:val="000000"/>
              </w:rPr>
              <w:t xml:space="preserve">   </w:t>
            </w:r>
          </w:p>
        </w:tc>
        <w:tc>
          <w:tcPr>
            <w:tcW w:w="2276" w:type="dxa"/>
            <w:tcBorders>
              <w:top w:val="single" w:color="auto" w:sz="4" w:space="0"/>
            </w:tcBorders>
          </w:tcPr>
          <w:p w:rsidRPr="007F620E" w:rsidR="00A92D0B" w:rsidP="00F028C8" w:rsidRDefault="007F6EC6" w14:paraId="2E2FB9D6" w14:textId="11983E07">
            <w:pPr>
              <w:tabs>
                <w:tab w:val="left" w:pos="360"/>
              </w:tabs>
              <w:rPr>
                <w:color w:val="000000"/>
              </w:rPr>
            </w:pPr>
            <w:r>
              <w:rPr>
                <w:color w:val="000000"/>
              </w:rPr>
              <w:lastRenderedPageBreak/>
              <w:t>R.21-06-017</w:t>
            </w:r>
            <w:r w:rsidR="00EC38F2">
              <w:rPr>
                <w:color w:val="000000"/>
              </w:rPr>
              <w:t xml:space="preserve">. </w:t>
            </w:r>
            <w:r w:rsidRPr="00CD7782" w:rsidR="00EC38F2">
              <w:rPr>
                <w:i/>
                <w:iCs/>
                <w:color w:val="000000"/>
              </w:rPr>
              <w:t>See</w:t>
            </w:r>
            <w:r w:rsidR="00EC38F2">
              <w:rPr>
                <w:color w:val="000000"/>
              </w:rPr>
              <w:t xml:space="preserve"> Part I. C [B.9-12].</w:t>
            </w:r>
          </w:p>
        </w:tc>
      </w:tr>
      <w:tr w:rsidRPr="007F620E" w:rsidR="00A92D0B" w:rsidTr="00E01C0B" w14:paraId="4AD750C1" w14:textId="77777777">
        <w:tc>
          <w:tcPr>
            <w:tcW w:w="4817" w:type="dxa"/>
          </w:tcPr>
          <w:p w:rsidRPr="007F620E" w:rsidR="00A92D0B" w:rsidP="00F028C8" w:rsidRDefault="00A92D0B" w14:paraId="2A279407" w14:textId="1E831EEE">
            <w:pPr>
              <w:ind w:left="360" w:hanging="360"/>
              <w:rPr>
                <w:color w:val="000000"/>
              </w:rPr>
            </w:pPr>
            <w:r w:rsidRPr="007F620E">
              <w:rPr>
                <w:color w:val="000000"/>
              </w:rPr>
              <w:t>10.</w:t>
            </w:r>
            <w:r w:rsidR="001E7EE2">
              <w:rPr>
                <w:color w:val="000000"/>
              </w:rPr>
              <w:tab/>
            </w:r>
            <w:r w:rsidRPr="007F620E">
              <w:rPr>
                <w:color w:val="000000"/>
              </w:rPr>
              <w:t>Date of ALJ ruling:</w:t>
            </w:r>
          </w:p>
        </w:tc>
        <w:tc>
          <w:tcPr>
            <w:tcW w:w="2267" w:type="dxa"/>
          </w:tcPr>
          <w:p w:rsidRPr="007F620E" w:rsidR="00A92D0B" w:rsidP="00172604" w:rsidRDefault="00A55D96" w14:paraId="4B66A2E4" w14:textId="51F2019A">
            <w:pPr>
              <w:tabs>
                <w:tab w:val="left" w:pos="196"/>
              </w:tabs>
              <w:rPr>
                <w:color w:val="000000"/>
              </w:rPr>
            </w:pPr>
            <w:r>
              <w:rPr>
                <w:color w:val="000000"/>
              </w:rPr>
              <w:t>April 24, 2024</w:t>
            </w:r>
            <w:r w:rsidR="00184B50">
              <w:rPr>
                <w:color w:val="000000"/>
              </w:rPr>
              <w:t xml:space="preserve"> (determination pending)</w:t>
            </w:r>
          </w:p>
        </w:tc>
        <w:tc>
          <w:tcPr>
            <w:tcW w:w="2276" w:type="dxa"/>
          </w:tcPr>
          <w:p w:rsidRPr="007F620E" w:rsidR="00A92D0B" w:rsidP="00F028C8" w:rsidRDefault="007F6EC6" w14:paraId="3B83D035" w14:textId="37C1429C">
            <w:pPr>
              <w:tabs>
                <w:tab w:val="left" w:pos="360"/>
              </w:tabs>
              <w:rPr>
                <w:color w:val="000000"/>
              </w:rPr>
            </w:pPr>
            <w:r>
              <w:rPr>
                <w:color w:val="000000"/>
              </w:rPr>
              <w:t>November 8, 2021</w:t>
            </w:r>
          </w:p>
        </w:tc>
      </w:tr>
      <w:tr w:rsidRPr="007F620E" w:rsidR="00357F1A" w:rsidTr="00E01C0B" w14:paraId="7C183C5E" w14:textId="77777777">
        <w:tc>
          <w:tcPr>
            <w:tcW w:w="4817" w:type="dxa"/>
          </w:tcPr>
          <w:p w:rsidRPr="007F620E" w:rsidR="00357F1A" w:rsidP="00F028C8" w:rsidRDefault="00357F1A" w14:paraId="4141CB3D" w14:textId="2DCA8797">
            <w:pPr>
              <w:ind w:left="360" w:hanging="360"/>
              <w:rPr>
                <w:color w:val="000000"/>
              </w:rPr>
            </w:pPr>
            <w:r w:rsidRPr="007F620E">
              <w:rPr>
                <w:color w:val="000000"/>
              </w:rPr>
              <w:t>11.</w:t>
            </w:r>
            <w:r w:rsidR="001E7EE2">
              <w:rPr>
                <w:color w:val="000000"/>
              </w:rPr>
              <w:tab/>
            </w:r>
            <w:r w:rsidRPr="007F620E">
              <w:rPr>
                <w:color w:val="000000"/>
              </w:rPr>
              <w:t>Based on another CPUC determination (specify):</w:t>
            </w:r>
          </w:p>
        </w:tc>
        <w:tc>
          <w:tcPr>
            <w:tcW w:w="2267" w:type="dxa"/>
          </w:tcPr>
          <w:p w:rsidRPr="007F620E" w:rsidR="00357F1A" w:rsidP="00F028C8" w:rsidRDefault="00357F1A" w14:paraId="141EB5CF" w14:textId="77777777">
            <w:pPr>
              <w:tabs>
                <w:tab w:val="left" w:pos="360"/>
              </w:tabs>
              <w:ind w:left="360" w:hanging="360"/>
              <w:rPr>
                <w:color w:val="000000"/>
              </w:rPr>
            </w:pPr>
          </w:p>
        </w:tc>
        <w:tc>
          <w:tcPr>
            <w:tcW w:w="2276" w:type="dxa"/>
          </w:tcPr>
          <w:p w:rsidRPr="007F620E" w:rsidR="00357F1A" w:rsidP="00F028C8" w:rsidRDefault="00357F1A" w14:paraId="79318715" w14:textId="77777777">
            <w:pPr>
              <w:tabs>
                <w:tab w:val="left" w:pos="360"/>
              </w:tabs>
              <w:rPr>
                <w:color w:val="000000"/>
              </w:rPr>
            </w:pPr>
          </w:p>
        </w:tc>
      </w:tr>
      <w:tr w:rsidRPr="007F620E" w:rsidR="00A92D0B" w:rsidTr="00E01C0B" w14:paraId="4E8D20BF" w14:textId="77777777">
        <w:tc>
          <w:tcPr>
            <w:tcW w:w="7084" w:type="dxa"/>
            <w:gridSpan w:val="2"/>
            <w:tcBorders>
              <w:bottom w:val="single" w:color="auto" w:sz="4" w:space="0"/>
            </w:tcBorders>
          </w:tcPr>
          <w:p w:rsidRPr="007F620E" w:rsidR="00A92D0B" w:rsidP="00F028C8" w:rsidRDefault="00180E8C" w14:paraId="48D0D936" w14:textId="6A3DF8B8">
            <w:pPr>
              <w:tabs>
                <w:tab w:val="left" w:pos="360"/>
              </w:tabs>
              <w:ind w:left="360" w:hanging="360"/>
              <w:rPr>
                <w:color w:val="000000"/>
              </w:rPr>
            </w:pPr>
            <w:r>
              <w:rPr>
                <w:color w:val="000000"/>
              </w:rPr>
              <w:t>12</w:t>
            </w:r>
            <w:r w:rsidRPr="007F620E" w:rsidR="00A92D0B">
              <w:rPr>
                <w:color w:val="000000"/>
              </w:rPr>
              <w:t>.</w:t>
            </w:r>
            <w:r w:rsidR="001E7EE2">
              <w:rPr>
                <w:color w:val="000000"/>
              </w:rPr>
              <w:tab/>
            </w:r>
            <w:r w:rsidRPr="007F620E" w:rsidR="00A92D0B">
              <w:rPr>
                <w:color w:val="000000"/>
              </w:rPr>
              <w:t>Has the</w:t>
            </w:r>
            <w:r w:rsidRPr="007F620E" w:rsidR="00A319DE">
              <w:rPr>
                <w:color w:val="000000"/>
              </w:rPr>
              <w:t xml:space="preserve"> </w:t>
            </w:r>
            <w:r w:rsidRPr="007F620E" w:rsidR="005A63D4">
              <w:rPr>
                <w:color w:val="000000"/>
              </w:rPr>
              <w:t>Intervenor</w:t>
            </w:r>
            <w:r w:rsidRPr="007F620E" w:rsidR="00A92D0B">
              <w:rPr>
                <w:color w:val="000000"/>
              </w:rPr>
              <w:t xml:space="preserve"> demonstrated significant financial hardship?</w:t>
            </w:r>
          </w:p>
        </w:tc>
        <w:tc>
          <w:tcPr>
            <w:tcW w:w="2276" w:type="dxa"/>
            <w:tcBorders>
              <w:bottom w:val="single" w:color="auto" w:sz="4" w:space="0"/>
            </w:tcBorders>
          </w:tcPr>
          <w:p w:rsidRPr="007F620E" w:rsidR="00A92D0B" w:rsidP="00F028C8" w:rsidRDefault="007F6EC6" w14:paraId="0F29B839" w14:textId="0823265A">
            <w:pPr>
              <w:tabs>
                <w:tab w:val="left" w:pos="360"/>
              </w:tabs>
              <w:rPr>
                <w:color w:val="000000"/>
              </w:rPr>
            </w:pPr>
            <w:r>
              <w:rPr>
                <w:color w:val="000000"/>
              </w:rPr>
              <w:t>Yes</w:t>
            </w:r>
          </w:p>
        </w:tc>
      </w:tr>
      <w:tr w:rsidRPr="007F620E" w:rsidR="00A92D0B" w:rsidTr="00E01C0B"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7056FC" w:rsidRDefault="00A92D0B" w14:paraId="172E2884" w14:textId="77777777">
            <w:pPr>
              <w:keepNext/>
              <w:tabs>
                <w:tab w:val="left" w:pos="360"/>
              </w:tabs>
              <w:jc w:val="center"/>
              <w:rPr>
                <w:color w:val="000000"/>
              </w:rPr>
            </w:pPr>
            <w:r w:rsidRPr="007F620E">
              <w:rPr>
                <w:b/>
                <w:color w:val="000000"/>
              </w:rPr>
              <w:t>Timely request for compensation (§ 1804(c)):</w:t>
            </w:r>
          </w:p>
        </w:tc>
      </w:tr>
      <w:tr w:rsidRPr="007F620E" w:rsidR="00A92D0B" w:rsidTr="00E01C0B" w14:paraId="3E7938B0" w14:textId="77777777">
        <w:tc>
          <w:tcPr>
            <w:tcW w:w="4817" w:type="dxa"/>
            <w:tcBorders>
              <w:top w:val="single" w:color="auto" w:sz="4" w:space="0"/>
            </w:tcBorders>
          </w:tcPr>
          <w:p w:rsidRPr="007F620E" w:rsidR="00A92D0B" w:rsidP="00F028C8" w:rsidRDefault="00A92D0B" w14:paraId="66088F1B" w14:textId="2DB4A731">
            <w:pPr>
              <w:keepNext/>
              <w:tabs>
                <w:tab w:val="left" w:pos="612"/>
              </w:tabs>
              <w:ind w:left="360" w:hanging="360"/>
              <w:rPr>
                <w:color w:val="000000"/>
              </w:rPr>
            </w:pPr>
            <w:r w:rsidRPr="007F620E">
              <w:rPr>
                <w:color w:val="000000"/>
              </w:rPr>
              <w:t>13.</w:t>
            </w:r>
            <w:r w:rsidR="001E7EE2">
              <w:rPr>
                <w:color w:val="000000"/>
              </w:rPr>
              <w:tab/>
            </w:r>
            <w:r w:rsidRPr="007F620E">
              <w:rPr>
                <w:color w:val="000000"/>
              </w:rPr>
              <w:t>Identify Final Decision:</w:t>
            </w:r>
          </w:p>
        </w:tc>
        <w:tc>
          <w:tcPr>
            <w:tcW w:w="2267" w:type="dxa"/>
            <w:tcBorders>
              <w:top w:val="single" w:color="auto" w:sz="4" w:space="0"/>
            </w:tcBorders>
          </w:tcPr>
          <w:p w:rsidRPr="007F620E" w:rsidR="00A92D0B" w:rsidP="00F028C8" w:rsidRDefault="003B3DC6" w14:paraId="7166F318" w14:textId="33A39E4C">
            <w:pPr>
              <w:tabs>
                <w:tab w:val="left" w:pos="360"/>
              </w:tabs>
              <w:rPr>
                <w:color w:val="000000"/>
              </w:rPr>
            </w:pPr>
            <w:r>
              <w:rPr>
                <w:color w:val="000000"/>
              </w:rPr>
              <w:t>D.24-05-065</w:t>
            </w:r>
          </w:p>
        </w:tc>
        <w:tc>
          <w:tcPr>
            <w:tcW w:w="2276" w:type="dxa"/>
            <w:tcBorders>
              <w:top w:val="single" w:color="auto" w:sz="4" w:space="0"/>
            </w:tcBorders>
          </w:tcPr>
          <w:p w:rsidRPr="007F620E" w:rsidR="00A92D0B" w:rsidP="00F028C8" w:rsidRDefault="00742C1F" w14:paraId="1588DC54" w14:textId="116277D7">
            <w:pPr>
              <w:tabs>
                <w:tab w:val="left" w:pos="360"/>
              </w:tabs>
              <w:rPr>
                <w:color w:val="000000"/>
              </w:rPr>
            </w:pPr>
            <w:r>
              <w:rPr>
                <w:color w:val="000000"/>
              </w:rPr>
              <w:t>Verified</w:t>
            </w:r>
          </w:p>
        </w:tc>
      </w:tr>
      <w:tr w:rsidRPr="007F620E" w:rsidR="00A92D0B" w:rsidTr="00E01C0B" w14:paraId="6360DE59" w14:textId="77777777">
        <w:tc>
          <w:tcPr>
            <w:tcW w:w="4817" w:type="dxa"/>
          </w:tcPr>
          <w:p w:rsidRPr="007F620E" w:rsidR="00A92D0B" w:rsidP="00F028C8" w:rsidRDefault="00A92D0B" w14:paraId="4B809E4A" w14:textId="4BEED0BB">
            <w:pPr>
              <w:tabs>
                <w:tab w:val="left" w:pos="612"/>
              </w:tabs>
              <w:ind w:left="360" w:hanging="360"/>
              <w:rPr>
                <w:color w:val="000000"/>
              </w:rPr>
            </w:pPr>
            <w:r w:rsidRPr="007F620E">
              <w:rPr>
                <w:color w:val="000000"/>
              </w:rPr>
              <w:t>14.</w:t>
            </w:r>
            <w:r w:rsidR="001E7EE2">
              <w:rPr>
                <w:color w:val="000000"/>
              </w:rPr>
              <w:tab/>
            </w:r>
            <w:r w:rsidRPr="007F620E">
              <w:rPr>
                <w:color w:val="000000"/>
              </w:rPr>
              <w:t xml:space="preserve">Date of </w:t>
            </w:r>
            <w:r w:rsidRPr="007F620E" w:rsidR="00A319DE">
              <w:rPr>
                <w:color w:val="000000"/>
              </w:rPr>
              <w:t>i</w:t>
            </w:r>
            <w:r w:rsidRPr="007F620E">
              <w:rPr>
                <w:color w:val="000000"/>
              </w:rPr>
              <w:t xml:space="preserve">ssuance of Final Order or Decision:    </w:t>
            </w:r>
          </w:p>
        </w:tc>
        <w:tc>
          <w:tcPr>
            <w:tcW w:w="2267" w:type="dxa"/>
          </w:tcPr>
          <w:p w:rsidRPr="00BD266B" w:rsidR="00A92D0B" w:rsidP="00F028C8" w:rsidRDefault="00B26E86" w14:paraId="20455B5F" w14:textId="30E31B32">
            <w:pPr>
              <w:tabs>
                <w:tab w:val="left" w:pos="360"/>
              </w:tabs>
              <w:rPr>
                <w:color w:val="000000"/>
              </w:rPr>
            </w:pPr>
            <w:r w:rsidRPr="00BD266B">
              <w:rPr>
                <w:color w:val="000000"/>
              </w:rPr>
              <w:t>June 7, 20</w:t>
            </w:r>
            <w:r w:rsidRPr="00BD266B" w:rsidR="003B3DC6">
              <w:rPr>
                <w:color w:val="000000"/>
              </w:rPr>
              <w:t>24</w:t>
            </w:r>
          </w:p>
        </w:tc>
        <w:tc>
          <w:tcPr>
            <w:tcW w:w="2276" w:type="dxa"/>
          </w:tcPr>
          <w:p w:rsidRPr="00BD266B" w:rsidR="00A92D0B" w:rsidP="00F028C8" w:rsidRDefault="00742C1F" w14:paraId="1FCF00DD" w14:textId="48B93E68">
            <w:pPr>
              <w:tabs>
                <w:tab w:val="left" w:pos="360"/>
              </w:tabs>
              <w:rPr>
                <w:color w:val="000000"/>
              </w:rPr>
            </w:pPr>
            <w:r w:rsidRPr="00BD266B">
              <w:rPr>
                <w:color w:val="000000"/>
              </w:rPr>
              <w:t>Verified</w:t>
            </w:r>
          </w:p>
        </w:tc>
      </w:tr>
      <w:tr w:rsidRPr="007F620E" w:rsidR="00A92D0B" w:rsidTr="00E01C0B" w14:paraId="723259E3" w14:textId="77777777">
        <w:tc>
          <w:tcPr>
            <w:tcW w:w="4817" w:type="dxa"/>
          </w:tcPr>
          <w:p w:rsidRPr="007F620E" w:rsidR="00A92D0B" w:rsidP="00F028C8" w:rsidRDefault="00A92D0B" w14:paraId="163EE1CA" w14:textId="2B64EB9E">
            <w:pPr>
              <w:tabs>
                <w:tab w:val="left" w:pos="612"/>
              </w:tabs>
              <w:ind w:left="360" w:hanging="360"/>
              <w:rPr>
                <w:color w:val="000000"/>
              </w:rPr>
            </w:pPr>
            <w:r w:rsidRPr="007F620E">
              <w:rPr>
                <w:color w:val="000000"/>
              </w:rPr>
              <w:t>15.</w:t>
            </w:r>
            <w:r w:rsidR="001E7EE2">
              <w:rPr>
                <w:color w:val="000000"/>
              </w:rPr>
              <w:tab/>
            </w:r>
            <w:r w:rsidRPr="007F620E">
              <w:rPr>
                <w:color w:val="000000"/>
              </w:rPr>
              <w:t>File date of compensation request:</w:t>
            </w:r>
          </w:p>
        </w:tc>
        <w:tc>
          <w:tcPr>
            <w:tcW w:w="2267" w:type="dxa"/>
          </w:tcPr>
          <w:p w:rsidRPr="007F620E" w:rsidR="00A92D0B" w:rsidP="00F028C8" w:rsidRDefault="00B26E86" w14:paraId="0568B39D" w14:textId="4D22651B">
            <w:pPr>
              <w:tabs>
                <w:tab w:val="left" w:pos="360"/>
              </w:tabs>
              <w:rPr>
                <w:color w:val="000000"/>
              </w:rPr>
            </w:pPr>
            <w:r>
              <w:rPr>
                <w:color w:val="000000"/>
              </w:rPr>
              <w:t>August 6, 2024</w:t>
            </w:r>
          </w:p>
        </w:tc>
        <w:tc>
          <w:tcPr>
            <w:tcW w:w="2276" w:type="dxa"/>
          </w:tcPr>
          <w:p w:rsidRPr="007F620E" w:rsidR="00A92D0B" w:rsidP="00F028C8" w:rsidRDefault="00C719B4" w14:paraId="1CBF4E7A" w14:textId="5C1D82C5">
            <w:pPr>
              <w:tabs>
                <w:tab w:val="left" w:pos="360"/>
              </w:tabs>
              <w:rPr>
                <w:color w:val="000000"/>
              </w:rPr>
            </w:pPr>
            <w:r>
              <w:rPr>
                <w:color w:val="000000"/>
              </w:rPr>
              <w:t>Verified</w:t>
            </w:r>
          </w:p>
        </w:tc>
      </w:tr>
      <w:tr w:rsidRPr="007F620E" w:rsidR="00A92D0B" w:rsidTr="00E01C0B" w14:paraId="406BCA3A" w14:textId="77777777">
        <w:tc>
          <w:tcPr>
            <w:tcW w:w="7084" w:type="dxa"/>
            <w:gridSpan w:val="2"/>
          </w:tcPr>
          <w:p w:rsidRPr="007F620E" w:rsidR="00A92D0B" w:rsidP="00F028C8" w:rsidRDefault="00A92D0B" w14:paraId="10AF42D1" w14:textId="67695104">
            <w:pPr>
              <w:tabs>
                <w:tab w:val="left" w:pos="360"/>
              </w:tabs>
              <w:ind w:left="360" w:hanging="360"/>
              <w:rPr>
                <w:color w:val="000000"/>
              </w:rPr>
            </w:pPr>
            <w:proofErr w:type="gramStart"/>
            <w:r w:rsidRPr="007F620E">
              <w:rPr>
                <w:color w:val="000000"/>
              </w:rPr>
              <w:t>16</w:t>
            </w:r>
            <w:r w:rsidR="001E7EE2">
              <w:rPr>
                <w:color w:val="000000"/>
              </w:rPr>
              <w:t>.</w:t>
            </w:r>
            <w:r w:rsidR="001E7EE2">
              <w:rPr>
                <w:color w:val="000000"/>
              </w:rPr>
              <w:tab/>
            </w:r>
            <w:r w:rsidRPr="007F620E">
              <w:rPr>
                <w:color w:val="000000"/>
              </w:rPr>
              <w:t>Was</w:t>
            </w:r>
            <w:proofErr w:type="gramEnd"/>
            <w:r w:rsidRPr="007F620E">
              <w:rPr>
                <w:color w:val="000000"/>
              </w:rPr>
              <w:t xml:space="preserve"> the request for compensation timely?</w:t>
            </w:r>
          </w:p>
        </w:tc>
        <w:tc>
          <w:tcPr>
            <w:tcW w:w="2276" w:type="dxa"/>
          </w:tcPr>
          <w:p w:rsidRPr="007F620E" w:rsidR="00A92D0B" w:rsidP="00F028C8" w:rsidRDefault="00C719B4" w14:paraId="2EA30E63" w14:textId="5FFB16C0">
            <w:pPr>
              <w:tabs>
                <w:tab w:val="left" w:pos="360"/>
              </w:tabs>
              <w:rPr>
                <w:color w:val="000000"/>
              </w:rPr>
            </w:pPr>
            <w:r>
              <w:rPr>
                <w:color w:val="000000"/>
              </w:rPr>
              <w:t>Yes</w:t>
            </w:r>
          </w:p>
        </w:tc>
      </w:tr>
    </w:tbl>
    <w:p w:rsidRPr="007F620E" w:rsidR="00A92D0B" w:rsidP="00880855" w:rsidRDefault="00A92D0B" w14:paraId="0068592B" w14:textId="238B5456">
      <w:pPr>
        <w:keepNext/>
        <w:numPr>
          <w:ilvl w:val="0"/>
          <w:numId w:val="5"/>
        </w:numPr>
        <w:spacing w:before="240" w:after="240"/>
        <w:rPr>
          <w:b/>
          <w:color w:val="000000"/>
        </w:rPr>
      </w:pPr>
      <w:r w:rsidRPr="007F620E">
        <w:rPr>
          <w:b/>
          <w:color w:val="000000"/>
        </w:rPr>
        <w:t>Additional Comments on Part I</w:t>
      </w:r>
      <w:r w:rsidR="00C02649">
        <w:rPr>
          <w:b/>
          <w:color w:val="000000"/>
        </w:rPr>
        <w:t>:</w:t>
      </w:r>
      <w:r w:rsidRPr="007F620E">
        <w:rPr>
          <w:b/>
          <w:color w:val="000000"/>
        </w:rPr>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075"/>
        <w:gridCol w:w="3544"/>
        <w:gridCol w:w="4741"/>
      </w:tblGrid>
      <w:tr w:rsidRPr="007F620E" w:rsidR="003C608A" w:rsidTr="00E440D1" w14:paraId="046F77BA" w14:textId="77777777">
        <w:trPr>
          <w:tblHeader/>
        </w:trPr>
        <w:tc>
          <w:tcPr>
            <w:tcW w:w="1075" w:type="dxa"/>
            <w:tcBorders>
              <w:bottom w:val="single" w:color="auto" w:sz="4" w:space="0"/>
            </w:tcBorders>
            <w:shd w:val="clear" w:color="auto" w:fill="D9D9D9" w:themeFill="background1" w:themeFillShade="D9"/>
          </w:tcPr>
          <w:p w:rsidRPr="007F620E" w:rsidR="003C608A" w:rsidP="007056FC" w:rsidRDefault="003C608A" w14:paraId="0CB867A6" w14:textId="77777777">
            <w:pPr>
              <w:tabs>
                <w:tab w:val="left" w:pos="360"/>
              </w:tabs>
              <w:jc w:val="center"/>
              <w:rPr>
                <w:b/>
                <w:color w:val="000000"/>
              </w:rPr>
            </w:pPr>
            <w:r w:rsidRPr="007F620E">
              <w:rPr>
                <w:b/>
                <w:color w:val="000000"/>
              </w:rPr>
              <w:t>#</w:t>
            </w:r>
          </w:p>
        </w:tc>
        <w:tc>
          <w:tcPr>
            <w:tcW w:w="3544" w:type="dxa"/>
            <w:tcBorders>
              <w:bottom w:val="single" w:color="auto" w:sz="4" w:space="0"/>
            </w:tcBorders>
            <w:shd w:val="clear" w:color="auto" w:fill="D9D9D9" w:themeFill="background1" w:themeFillShade="D9"/>
          </w:tcPr>
          <w:p w:rsidRPr="007F620E" w:rsidR="003C608A" w:rsidP="007056FC" w:rsidRDefault="003C608A" w14:paraId="196D09DF" w14:textId="77777777">
            <w:pPr>
              <w:tabs>
                <w:tab w:val="left" w:pos="360"/>
              </w:tabs>
              <w:jc w:val="center"/>
              <w:rPr>
                <w:b/>
                <w:color w:val="000000"/>
              </w:rPr>
            </w:pPr>
            <w:r w:rsidRPr="007F620E">
              <w:rPr>
                <w:b/>
                <w:color w:val="000000"/>
              </w:rPr>
              <w:t>Intervenor’s Comment(s)</w:t>
            </w:r>
          </w:p>
        </w:tc>
        <w:tc>
          <w:tcPr>
            <w:tcW w:w="4741" w:type="dxa"/>
            <w:shd w:val="clear" w:color="auto" w:fill="D9D9D9" w:themeFill="background1" w:themeFillShade="D9"/>
          </w:tcPr>
          <w:p w:rsidRPr="007F620E" w:rsidR="003C608A" w:rsidP="007056FC" w:rsidRDefault="003C608A" w14:paraId="07207D31" w14:textId="77777777">
            <w:pPr>
              <w:tabs>
                <w:tab w:val="left" w:pos="360"/>
              </w:tabs>
              <w:jc w:val="center"/>
              <w:rPr>
                <w:b/>
                <w:color w:val="000000"/>
              </w:rPr>
            </w:pPr>
            <w:r w:rsidRPr="007F620E">
              <w:rPr>
                <w:b/>
                <w:color w:val="000000"/>
              </w:rPr>
              <w:t>CPUC Discussion</w:t>
            </w:r>
          </w:p>
        </w:tc>
      </w:tr>
      <w:tr w:rsidRPr="007F620E" w:rsidR="003C608A" w:rsidTr="00E440D1" w14:paraId="1C6180A4" w14:textId="77777777">
        <w:trPr>
          <w:trHeight w:val="67"/>
        </w:trPr>
        <w:tc>
          <w:tcPr>
            <w:tcW w:w="1075" w:type="dxa"/>
          </w:tcPr>
          <w:p w:rsidRPr="007F620E" w:rsidR="003C608A" w:rsidP="007056FC" w:rsidRDefault="004C0D98" w14:paraId="4350D384" w14:textId="290EF7CA">
            <w:pPr>
              <w:tabs>
                <w:tab w:val="left" w:pos="360"/>
              </w:tabs>
              <w:rPr>
                <w:color w:val="000000"/>
              </w:rPr>
            </w:pPr>
            <w:r>
              <w:rPr>
                <w:color w:val="000000"/>
              </w:rPr>
              <w:t>B.9-12</w:t>
            </w:r>
          </w:p>
        </w:tc>
        <w:tc>
          <w:tcPr>
            <w:tcW w:w="3544" w:type="dxa"/>
          </w:tcPr>
          <w:p w:rsidR="00302B19" w:rsidP="007056FC" w:rsidRDefault="00773642" w14:paraId="48950991" w14:textId="2EBEAD47">
            <w:pPr>
              <w:tabs>
                <w:tab w:val="left" w:pos="360"/>
              </w:tabs>
              <w:rPr>
                <w:color w:val="000000"/>
              </w:rPr>
            </w:pPr>
            <w:r>
              <w:rPr>
                <w:color w:val="000000"/>
              </w:rPr>
              <w:t xml:space="preserve">The April 24, </w:t>
            </w:r>
            <w:proofErr w:type="gramStart"/>
            <w:r>
              <w:rPr>
                <w:color w:val="000000"/>
              </w:rPr>
              <w:t>2024</w:t>
            </w:r>
            <w:proofErr w:type="gramEnd"/>
            <w:r>
              <w:rPr>
                <w:color w:val="000000"/>
              </w:rPr>
              <w:t xml:space="preserve"> ALJ ruling in R.23-05-018 </w:t>
            </w:r>
            <w:r w:rsidR="000C4A9B">
              <w:rPr>
                <w:color w:val="000000"/>
              </w:rPr>
              <w:t>ordered the Center to demonstrate that none of its donors or grantors participate</w:t>
            </w:r>
            <w:r w:rsidR="0027057E">
              <w:rPr>
                <w:color w:val="000000"/>
              </w:rPr>
              <w:t xml:space="preserve"> </w:t>
            </w:r>
            <w:proofErr w:type="gramStart"/>
            <w:r w:rsidR="0027057E">
              <w:rPr>
                <w:color w:val="000000"/>
              </w:rPr>
              <w:t>in,</w:t>
            </w:r>
            <w:r w:rsidR="000C4A9B">
              <w:rPr>
                <w:color w:val="000000"/>
              </w:rPr>
              <w:t xml:space="preserve"> or</w:t>
            </w:r>
            <w:proofErr w:type="gramEnd"/>
            <w:r w:rsidR="000C4A9B">
              <w:rPr>
                <w:color w:val="000000"/>
              </w:rPr>
              <w:t xml:space="preserve"> are affiliated with markets regulated by the Commission.  </w:t>
            </w:r>
            <w:r w:rsidR="00073DD9">
              <w:rPr>
                <w:color w:val="000000"/>
              </w:rPr>
              <w:t xml:space="preserve">By this filing, </w:t>
            </w:r>
            <w:r w:rsidR="00302B19">
              <w:rPr>
                <w:color w:val="000000"/>
              </w:rPr>
              <w:t xml:space="preserve">together with the extensive and confidential documentation submitted on May 31, </w:t>
            </w:r>
            <w:proofErr w:type="gramStart"/>
            <w:r w:rsidR="00302B19">
              <w:rPr>
                <w:color w:val="000000"/>
              </w:rPr>
              <w:t>2024</w:t>
            </w:r>
            <w:proofErr w:type="gramEnd"/>
            <w:r w:rsidR="00302B19">
              <w:rPr>
                <w:color w:val="000000"/>
              </w:rPr>
              <w:t xml:space="preserve"> under seal in R.23-05-</w:t>
            </w:r>
            <w:r w:rsidR="00302B19">
              <w:rPr>
                <w:color w:val="000000"/>
              </w:rPr>
              <w:lastRenderedPageBreak/>
              <w:t xml:space="preserve">018, </w:t>
            </w:r>
            <w:r w:rsidR="00073DD9">
              <w:rPr>
                <w:color w:val="000000"/>
              </w:rPr>
              <w:t xml:space="preserve">the Center again verifies that </w:t>
            </w:r>
            <w:r w:rsidR="00302B19">
              <w:rPr>
                <w:color w:val="000000"/>
              </w:rPr>
              <w:t xml:space="preserve">it has met this condition warranting a finding of significant financial hardship. </w:t>
            </w:r>
          </w:p>
          <w:p w:rsidR="00073DD9" w:rsidP="007056FC" w:rsidRDefault="00073DD9" w14:paraId="76E4F676" w14:textId="77777777">
            <w:pPr>
              <w:tabs>
                <w:tab w:val="left" w:pos="360"/>
              </w:tabs>
              <w:rPr>
                <w:color w:val="000000"/>
              </w:rPr>
            </w:pPr>
          </w:p>
          <w:p w:rsidR="003966D3" w:rsidP="00C029C3" w:rsidRDefault="000926D1" w14:paraId="2C9ACA6B" w14:textId="49DD2123">
            <w:pPr>
              <w:tabs>
                <w:tab w:val="left" w:pos="360"/>
              </w:tabs>
              <w:rPr>
                <w:color w:val="000000"/>
              </w:rPr>
            </w:pPr>
            <w:r>
              <w:rPr>
                <w:color w:val="000000"/>
              </w:rPr>
              <w:t xml:space="preserve">In addition, </w:t>
            </w:r>
            <w:r w:rsidR="002854FE">
              <w:rPr>
                <w:color w:val="000000"/>
              </w:rPr>
              <w:t xml:space="preserve">the Center continues to meet the criteria for a finding of significant </w:t>
            </w:r>
            <w:r w:rsidR="003966D3">
              <w:rPr>
                <w:color w:val="000000"/>
              </w:rPr>
              <w:t>financial hardship:</w:t>
            </w:r>
            <w:r w:rsidR="00060E49">
              <w:rPr>
                <w:color w:val="000000"/>
              </w:rPr>
              <w:t xml:space="preserve"> </w:t>
            </w:r>
            <w:r w:rsidR="002854FE">
              <w:rPr>
                <w:color w:val="000000"/>
              </w:rPr>
              <w:t>t</w:t>
            </w:r>
            <w:r w:rsidRPr="006D6A75" w:rsidR="006D6A75">
              <w:rPr>
                <w:color w:val="000000"/>
              </w:rPr>
              <w:t>he economic interest of</w:t>
            </w:r>
            <w:r w:rsidR="002854FE">
              <w:rPr>
                <w:color w:val="000000"/>
              </w:rPr>
              <w:t xml:space="preserve"> </w:t>
            </w:r>
            <w:r w:rsidRPr="006D6A75" w:rsidR="006D6A75">
              <w:rPr>
                <w:color w:val="000000"/>
              </w:rPr>
              <w:t xml:space="preserve">the </w:t>
            </w:r>
            <w:r w:rsidR="00060E49">
              <w:rPr>
                <w:color w:val="000000"/>
              </w:rPr>
              <w:t>i</w:t>
            </w:r>
            <w:r w:rsidRPr="006D6A75" w:rsidR="006D6A75">
              <w:rPr>
                <w:color w:val="000000"/>
              </w:rPr>
              <w:t xml:space="preserve">ndividual members of </w:t>
            </w:r>
            <w:r w:rsidR="003966D3">
              <w:rPr>
                <w:color w:val="000000"/>
              </w:rPr>
              <w:t>the Center</w:t>
            </w:r>
            <w:r w:rsidRPr="006D6A75" w:rsidR="006D6A75">
              <w:rPr>
                <w:color w:val="000000"/>
              </w:rPr>
              <w:t xml:space="preserve"> “is</w:t>
            </w:r>
            <w:r w:rsidR="002854FE">
              <w:rPr>
                <w:color w:val="000000"/>
              </w:rPr>
              <w:t xml:space="preserve"> </w:t>
            </w:r>
            <w:r w:rsidRPr="006D6A75" w:rsidR="006D6A75">
              <w:rPr>
                <w:color w:val="000000"/>
              </w:rPr>
              <w:t>small in comparison to the costs of</w:t>
            </w:r>
            <w:r w:rsidR="002854FE">
              <w:rPr>
                <w:color w:val="000000"/>
              </w:rPr>
              <w:t xml:space="preserve"> </w:t>
            </w:r>
            <w:r w:rsidRPr="006D6A75" w:rsidR="006D6A75">
              <w:rPr>
                <w:color w:val="000000"/>
              </w:rPr>
              <w:t>effective participation in the</w:t>
            </w:r>
            <w:r w:rsidR="002854FE">
              <w:rPr>
                <w:color w:val="000000"/>
              </w:rPr>
              <w:t xml:space="preserve"> </w:t>
            </w:r>
            <w:r w:rsidRPr="006D6A75" w:rsidR="006D6A75">
              <w:rPr>
                <w:color w:val="000000"/>
              </w:rPr>
              <w:t xml:space="preserve">proceeding.” </w:t>
            </w:r>
            <w:r w:rsidR="002854FE">
              <w:rPr>
                <w:color w:val="000000"/>
              </w:rPr>
              <w:t xml:space="preserve"> Cal. </w:t>
            </w:r>
            <w:r w:rsidRPr="006D6A75" w:rsidR="006D6A75">
              <w:rPr>
                <w:color w:val="000000"/>
              </w:rPr>
              <w:t>Pub. Util. Code</w:t>
            </w:r>
            <w:r w:rsidR="002854FE">
              <w:rPr>
                <w:color w:val="000000"/>
              </w:rPr>
              <w:t xml:space="preserve"> </w:t>
            </w:r>
            <w:r w:rsidRPr="006D6A75" w:rsidR="006D6A75">
              <w:rPr>
                <w:color w:val="000000"/>
              </w:rPr>
              <w:t>§</w:t>
            </w:r>
            <w:r w:rsidR="002854FE">
              <w:rPr>
                <w:color w:val="000000"/>
              </w:rPr>
              <w:t xml:space="preserve"> </w:t>
            </w:r>
            <w:r w:rsidRPr="006D6A75" w:rsidR="006D6A75">
              <w:rPr>
                <w:color w:val="000000"/>
              </w:rPr>
              <w:t xml:space="preserve">1802 (h). </w:t>
            </w:r>
          </w:p>
          <w:p w:rsidR="00060E49" w:rsidP="00C029C3" w:rsidRDefault="00060E49" w14:paraId="6F4A6BF9" w14:textId="77777777">
            <w:pPr>
              <w:tabs>
                <w:tab w:val="left" w:pos="360"/>
              </w:tabs>
              <w:rPr>
                <w:color w:val="000000"/>
              </w:rPr>
            </w:pPr>
          </w:p>
          <w:p w:rsidR="003C608A" w:rsidP="00C029C3" w:rsidRDefault="002854FE" w14:paraId="1BF5B207" w14:textId="290D9C53">
            <w:pPr>
              <w:tabs>
                <w:tab w:val="left" w:pos="360"/>
              </w:tabs>
              <w:rPr>
                <w:color w:val="000000"/>
              </w:rPr>
            </w:pPr>
            <w:r>
              <w:rPr>
                <w:color w:val="000000"/>
              </w:rPr>
              <w:t xml:space="preserve">The Center </w:t>
            </w:r>
            <w:r w:rsidRPr="00C029C3" w:rsidR="00C029C3">
              <w:rPr>
                <w:color w:val="000000"/>
              </w:rPr>
              <w:t>represents the</w:t>
            </w:r>
            <w:r w:rsidR="003937F5">
              <w:rPr>
                <w:color w:val="000000"/>
              </w:rPr>
              <w:t xml:space="preserve"> environmental</w:t>
            </w:r>
            <w:r w:rsidRPr="00C029C3" w:rsidR="00C029C3">
              <w:rPr>
                <w:color w:val="000000"/>
              </w:rPr>
              <w:t xml:space="preserve"> interests of </w:t>
            </w:r>
            <w:r w:rsidR="00060E49">
              <w:rPr>
                <w:color w:val="000000"/>
              </w:rPr>
              <w:t>its ratepaying California members</w:t>
            </w:r>
            <w:r w:rsidRPr="00C029C3" w:rsidR="00C029C3">
              <w:rPr>
                <w:color w:val="000000"/>
              </w:rPr>
              <w:t>, the</w:t>
            </w:r>
            <w:r w:rsidR="003966D3">
              <w:rPr>
                <w:color w:val="000000"/>
              </w:rPr>
              <w:t xml:space="preserve"> </w:t>
            </w:r>
            <w:r w:rsidRPr="00C029C3" w:rsidR="00C029C3">
              <w:rPr>
                <w:color w:val="000000"/>
              </w:rPr>
              <w:t>majority of whom do not have the</w:t>
            </w:r>
            <w:r w:rsidR="003966D3">
              <w:rPr>
                <w:color w:val="000000"/>
              </w:rPr>
              <w:t xml:space="preserve"> </w:t>
            </w:r>
            <w:r w:rsidRPr="00C029C3" w:rsidR="00C029C3">
              <w:rPr>
                <w:color w:val="000000"/>
              </w:rPr>
              <w:t>financial ability to represent</w:t>
            </w:r>
            <w:r w:rsidR="003966D3">
              <w:rPr>
                <w:color w:val="000000"/>
              </w:rPr>
              <w:t xml:space="preserve"> </w:t>
            </w:r>
            <w:r w:rsidRPr="00C029C3" w:rsidR="00C029C3">
              <w:rPr>
                <w:color w:val="000000"/>
              </w:rPr>
              <w:t>themselves in this proceeding, and</w:t>
            </w:r>
            <w:r w:rsidR="003966D3">
              <w:rPr>
                <w:color w:val="000000"/>
              </w:rPr>
              <w:t xml:space="preserve"> </w:t>
            </w:r>
            <w:r w:rsidRPr="00C029C3" w:rsidR="00C029C3">
              <w:rPr>
                <w:color w:val="000000"/>
              </w:rPr>
              <w:t>whose interests are often not</w:t>
            </w:r>
            <w:r w:rsidR="003966D3">
              <w:rPr>
                <w:color w:val="000000"/>
              </w:rPr>
              <w:t xml:space="preserve"> </w:t>
            </w:r>
            <w:r w:rsidRPr="00C029C3" w:rsidR="00C029C3">
              <w:rPr>
                <w:color w:val="000000"/>
              </w:rPr>
              <w:t>adequately represented in</w:t>
            </w:r>
            <w:r w:rsidR="003966D3">
              <w:rPr>
                <w:color w:val="000000"/>
              </w:rPr>
              <w:t xml:space="preserve"> </w:t>
            </w:r>
            <w:r w:rsidRPr="00C029C3" w:rsidR="00C029C3">
              <w:rPr>
                <w:color w:val="000000"/>
              </w:rPr>
              <w:t xml:space="preserve">Commission proceedings. </w:t>
            </w:r>
            <w:r w:rsidR="00060E49">
              <w:rPr>
                <w:color w:val="000000"/>
              </w:rPr>
              <w:t xml:space="preserve"> </w:t>
            </w:r>
          </w:p>
          <w:p w:rsidR="00C029C3" w:rsidP="00C029C3" w:rsidRDefault="00C029C3" w14:paraId="0D71E0C5" w14:textId="77777777">
            <w:pPr>
              <w:tabs>
                <w:tab w:val="left" w:pos="360"/>
              </w:tabs>
              <w:rPr>
                <w:color w:val="000000"/>
              </w:rPr>
            </w:pPr>
          </w:p>
          <w:p w:rsidRPr="00815550" w:rsidR="00815550" w:rsidP="00815550" w:rsidRDefault="00C029C3" w14:paraId="291812CB" w14:textId="77777777">
            <w:pPr>
              <w:tabs>
                <w:tab w:val="left" w:pos="360"/>
              </w:tabs>
              <w:rPr>
                <w:color w:val="000000"/>
              </w:rPr>
            </w:pPr>
            <w:r>
              <w:rPr>
                <w:color w:val="000000"/>
              </w:rPr>
              <w:t>The Commission has previously determined that the Center’s participation without an award of intervenor compensation imposes a significant financial hardship</w:t>
            </w:r>
            <w:r w:rsidR="004938F2">
              <w:rPr>
                <w:color w:val="000000"/>
              </w:rPr>
              <w:t>.</w:t>
            </w:r>
            <w:r w:rsidR="00815550">
              <w:rPr>
                <w:color w:val="000000"/>
              </w:rPr>
              <w:t xml:space="preserve">  (</w:t>
            </w:r>
            <w:r w:rsidRPr="0027057E" w:rsidR="00815550">
              <w:rPr>
                <w:i/>
                <w:iCs/>
                <w:color w:val="000000"/>
              </w:rPr>
              <w:t>See, e.g</w:t>
            </w:r>
            <w:r w:rsidRPr="00815550" w:rsidR="00815550">
              <w:rPr>
                <w:color w:val="000000"/>
              </w:rPr>
              <w:t>., Order Instituting a</w:t>
            </w:r>
          </w:p>
          <w:p w:rsidRPr="00815550" w:rsidR="00815550" w:rsidP="00815550" w:rsidRDefault="00815550" w14:paraId="455D1EB1" w14:textId="046D45A0">
            <w:pPr>
              <w:tabs>
                <w:tab w:val="left" w:pos="360"/>
              </w:tabs>
              <w:rPr>
                <w:color w:val="000000"/>
              </w:rPr>
            </w:pPr>
            <w:r w:rsidRPr="00815550">
              <w:rPr>
                <w:color w:val="000000"/>
              </w:rPr>
              <w:t>Rulemaking to Modernize the Electric Grid for a High Distributed Energy Resources Future,</w:t>
            </w:r>
            <w:r>
              <w:rPr>
                <w:color w:val="000000"/>
              </w:rPr>
              <w:t xml:space="preserve"> </w:t>
            </w:r>
            <w:r w:rsidRPr="00815550">
              <w:rPr>
                <w:color w:val="000000"/>
              </w:rPr>
              <w:t>Rulemaking 21-06-017 (Ruling on Showing of Significant Financial Hardship, Nov. 8, 2021);</w:t>
            </w:r>
            <w:r>
              <w:rPr>
                <w:color w:val="000000"/>
              </w:rPr>
              <w:t xml:space="preserve"> </w:t>
            </w:r>
            <w:r w:rsidRPr="00815550">
              <w:rPr>
                <w:color w:val="000000"/>
              </w:rPr>
              <w:t>In the Matter of the Application of The Nevada Hydro Company for a Certificate of Public</w:t>
            </w:r>
            <w:r>
              <w:rPr>
                <w:color w:val="000000"/>
              </w:rPr>
              <w:t xml:space="preserve"> </w:t>
            </w:r>
            <w:r w:rsidRPr="00815550">
              <w:rPr>
                <w:color w:val="000000"/>
              </w:rPr>
              <w:t>Convenience and Necessity for the Talega-Escondido/Valley-Serrano 500 kV Interconnect</w:t>
            </w:r>
          </w:p>
          <w:p w:rsidRPr="00815550" w:rsidR="00815550" w:rsidP="00815550" w:rsidRDefault="00815550" w14:paraId="206F3CDA" w14:textId="77777777">
            <w:pPr>
              <w:tabs>
                <w:tab w:val="left" w:pos="360"/>
              </w:tabs>
              <w:rPr>
                <w:color w:val="000000"/>
              </w:rPr>
            </w:pPr>
            <w:r w:rsidRPr="00815550">
              <w:rPr>
                <w:color w:val="000000"/>
              </w:rPr>
              <w:lastRenderedPageBreak/>
              <w:t xml:space="preserve">Project, Application 10-07-001 (Orders of Nov. 23, </w:t>
            </w:r>
            <w:proofErr w:type="gramStart"/>
            <w:r w:rsidRPr="00815550">
              <w:rPr>
                <w:color w:val="000000"/>
              </w:rPr>
              <w:t>2010</w:t>
            </w:r>
            <w:proofErr w:type="gramEnd"/>
            <w:r w:rsidRPr="00815550">
              <w:rPr>
                <w:color w:val="000000"/>
              </w:rPr>
              <w:t xml:space="preserve"> and Apr. 18, 2013); In the Matter of</w:t>
            </w:r>
          </w:p>
          <w:p w:rsidR="004938F2" w:rsidP="00815550" w:rsidRDefault="00815550" w14:paraId="71951981" w14:textId="44C317F2">
            <w:pPr>
              <w:tabs>
                <w:tab w:val="left" w:pos="360"/>
              </w:tabs>
              <w:rPr>
                <w:color w:val="000000"/>
              </w:rPr>
            </w:pPr>
            <w:r w:rsidRPr="00815550">
              <w:rPr>
                <w:color w:val="000000"/>
              </w:rPr>
              <w:t>the Application of Southern California Edison Company (U338E) for a Certificate of Public</w:t>
            </w:r>
            <w:r>
              <w:rPr>
                <w:color w:val="000000"/>
              </w:rPr>
              <w:t xml:space="preserve"> </w:t>
            </w:r>
            <w:r w:rsidRPr="00815550">
              <w:rPr>
                <w:color w:val="000000"/>
              </w:rPr>
              <w:t>Convenience and Necessity for the Eldorado-Ivanpah Transmission Project, Application 09-05-027 (Ruling on Showing of Significant Financial Hardship, Jan. 27, 2010).</w:t>
            </w:r>
            <w:r>
              <w:rPr>
                <w:color w:val="000000"/>
              </w:rPr>
              <w:t>)</w:t>
            </w:r>
            <w:r w:rsidR="00C029C3">
              <w:rPr>
                <w:color w:val="000000"/>
              </w:rPr>
              <w:t xml:space="preserve"> </w:t>
            </w:r>
          </w:p>
          <w:p w:rsidR="004938F2" w:rsidP="00C029C3" w:rsidRDefault="004938F2" w14:paraId="267CB357" w14:textId="77777777">
            <w:pPr>
              <w:tabs>
                <w:tab w:val="left" w:pos="360"/>
              </w:tabs>
              <w:rPr>
                <w:color w:val="000000"/>
              </w:rPr>
            </w:pPr>
          </w:p>
          <w:p w:rsidRPr="007F620E" w:rsidR="00C029C3" w:rsidP="00C029C3" w:rsidRDefault="004938F2" w14:paraId="0ECF4A98" w14:textId="18F8EA60">
            <w:pPr>
              <w:tabs>
                <w:tab w:val="left" w:pos="360"/>
              </w:tabs>
              <w:rPr>
                <w:color w:val="000000"/>
              </w:rPr>
            </w:pPr>
            <w:r>
              <w:rPr>
                <w:color w:val="000000"/>
              </w:rPr>
              <w:t>T</w:t>
            </w:r>
            <w:r w:rsidR="00C029C3">
              <w:rPr>
                <w:color w:val="000000"/>
              </w:rPr>
              <w:t xml:space="preserve">he Center’s circumstances have not changed </w:t>
            </w:r>
            <w:r w:rsidR="002854FE">
              <w:rPr>
                <w:color w:val="000000"/>
              </w:rPr>
              <w:t xml:space="preserve">in any relevant respect since such determinations were made.  </w:t>
            </w:r>
            <w:r w:rsidRPr="002854FE" w:rsidR="002854FE">
              <w:rPr>
                <w:i/>
                <w:iCs/>
                <w:color w:val="000000"/>
              </w:rPr>
              <w:t>See</w:t>
            </w:r>
            <w:r w:rsidR="002854FE">
              <w:rPr>
                <w:color w:val="000000"/>
              </w:rPr>
              <w:t xml:space="preserve"> Cal. Pub. Util. Code § 1803(b).  </w:t>
            </w:r>
          </w:p>
        </w:tc>
        <w:tc>
          <w:tcPr>
            <w:tcW w:w="4741" w:type="dxa"/>
          </w:tcPr>
          <w:p w:rsidR="00CD7782" w:rsidP="00CD7782" w:rsidRDefault="006C79A7" w14:paraId="64659BB4" w14:textId="46FEFF13">
            <w:pPr>
              <w:tabs>
                <w:tab w:val="left" w:pos="360"/>
              </w:tabs>
              <w:rPr>
                <w:color w:val="000000"/>
              </w:rPr>
            </w:pPr>
            <w:r>
              <w:rPr>
                <w:color w:val="000000"/>
              </w:rPr>
              <w:lastRenderedPageBreak/>
              <w:t>Noted</w:t>
            </w:r>
            <w:r w:rsidR="00CD7782">
              <w:rPr>
                <w:color w:val="000000"/>
              </w:rPr>
              <w:t xml:space="preserve">. </w:t>
            </w:r>
            <w:r w:rsidR="007177F6">
              <w:rPr>
                <w:color w:val="000000"/>
              </w:rPr>
              <w:t xml:space="preserve">The </w:t>
            </w:r>
            <w:r w:rsidR="00CD7782">
              <w:rPr>
                <w:color w:val="000000"/>
              </w:rPr>
              <w:t>Center</w:t>
            </w:r>
            <w:r w:rsidR="00E830C1">
              <w:rPr>
                <w:color w:val="000000"/>
              </w:rPr>
              <w:t xml:space="preserve"> for Biological Diversity (CBD)</w:t>
            </w:r>
            <w:r w:rsidR="00CD7782">
              <w:rPr>
                <w:color w:val="000000"/>
              </w:rPr>
              <w:t xml:space="preserve"> has rebuttable presumption </w:t>
            </w:r>
            <w:r w:rsidR="004D2430">
              <w:rPr>
                <w:color w:val="000000"/>
              </w:rPr>
              <w:t xml:space="preserve">from </w:t>
            </w:r>
            <w:r w:rsidR="00CD7782">
              <w:rPr>
                <w:color w:val="000000"/>
              </w:rPr>
              <w:t>R.21-06-017</w:t>
            </w:r>
            <w:r w:rsidR="00CD7782">
              <w:rPr>
                <w:bCs/>
              </w:rPr>
              <w:t>.</w:t>
            </w:r>
          </w:p>
          <w:p w:rsidR="00CD7782" w:rsidP="00CD7782" w:rsidRDefault="00CD7782" w14:paraId="29134632" w14:textId="77777777">
            <w:pPr>
              <w:tabs>
                <w:tab w:val="left" w:pos="360"/>
              </w:tabs>
              <w:rPr>
                <w:color w:val="000000"/>
              </w:rPr>
            </w:pPr>
          </w:p>
          <w:p w:rsidRPr="007F620E" w:rsidR="003C608A" w:rsidP="007056FC" w:rsidRDefault="00CD7782" w14:paraId="416D6250" w14:textId="2604C1AE">
            <w:pPr>
              <w:tabs>
                <w:tab w:val="left" w:pos="360"/>
              </w:tabs>
              <w:rPr>
                <w:color w:val="000000"/>
              </w:rPr>
            </w:pPr>
            <w:r>
              <w:rPr>
                <w:color w:val="000000"/>
              </w:rPr>
              <w:t>In R.23-05-018, the Commission ruled that</w:t>
            </w:r>
            <w:r w:rsidR="007177F6">
              <w:rPr>
                <w:color w:val="000000"/>
              </w:rPr>
              <w:t xml:space="preserve"> </w:t>
            </w:r>
            <w:r w:rsidR="00E830C1">
              <w:rPr>
                <w:color w:val="000000"/>
              </w:rPr>
              <w:t xml:space="preserve">CBD </w:t>
            </w:r>
            <w:r>
              <w:rPr>
                <w:color w:val="000000"/>
              </w:rPr>
              <w:t>has</w:t>
            </w:r>
            <w:r w:rsidR="00301BC2">
              <w:rPr>
                <w:color w:val="000000"/>
              </w:rPr>
              <w:t xml:space="preserve"> </w:t>
            </w:r>
            <w:r w:rsidRPr="00301BC2" w:rsidR="00301BC2">
              <w:rPr>
                <w:color w:val="000000"/>
              </w:rPr>
              <w:t>satisfied the eligibility requirements of</w:t>
            </w:r>
            <w:r w:rsidR="00B60DCF">
              <w:rPr>
                <w:color w:val="000000"/>
              </w:rPr>
              <w:t xml:space="preserve"> </w:t>
            </w:r>
            <w:r w:rsidRPr="00301BC2" w:rsidR="00301BC2">
              <w:rPr>
                <w:color w:val="000000"/>
              </w:rPr>
              <w:t>§1804(a)(1) and (a)(2)(A)</w:t>
            </w:r>
            <w:r>
              <w:rPr>
                <w:color w:val="000000"/>
              </w:rPr>
              <w:t xml:space="preserve"> </w:t>
            </w:r>
            <w:r w:rsidR="006C79A7">
              <w:rPr>
                <w:color w:val="000000"/>
              </w:rPr>
              <w:t>but</w:t>
            </w:r>
            <w:r>
              <w:rPr>
                <w:color w:val="000000"/>
              </w:rPr>
              <w:t xml:space="preserve"> required</w:t>
            </w:r>
            <w:r w:rsidR="007177F6">
              <w:rPr>
                <w:color w:val="000000"/>
              </w:rPr>
              <w:t xml:space="preserve"> </w:t>
            </w:r>
            <w:r w:rsidR="00E830C1">
              <w:rPr>
                <w:color w:val="000000"/>
              </w:rPr>
              <w:t xml:space="preserve">CBD </w:t>
            </w:r>
            <w:r>
              <w:rPr>
                <w:color w:val="000000"/>
              </w:rPr>
              <w:t>to submit additional information to complete its showing of eligibility to claim intervenor compensation.</w:t>
            </w:r>
          </w:p>
        </w:tc>
      </w:tr>
    </w:tbl>
    <w:p w:rsidR="003B6A1B" w:rsidP="005F61FE" w:rsidRDefault="00A92D0B" w14:paraId="501B5F3D" w14:textId="749D0EB3">
      <w:pPr>
        <w:widowControl w:val="0"/>
        <w:spacing w:before="480"/>
        <w:jc w:val="center"/>
        <w:rPr>
          <w:b/>
          <w:color w:val="000000"/>
        </w:rPr>
      </w:pPr>
      <w:r w:rsidRPr="007F620E">
        <w:rPr>
          <w:b/>
          <w:color w:val="000000"/>
        </w:rPr>
        <w:lastRenderedPageBreak/>
        <w:t>PART II:</w:t>
      </w:r>
      <w:r w:rsidR="00D1778A">
        <w:rPr>
          <w:b/>
          <w:color w:val="000000"/>
        </w:rPr>
        <w:t xml:space="preserve"> </w:t>
      </w:r>
      <w:r w:rsidRPr="007F620E">
        <w:rPr>
          <w:b/>
          <w:color w:val="000000"/>
        </w:rPr>
        <w:t>SUBSTANTIAL CONTRIBUTION</w:t>
      </w:r>
    </w:p>
    <w:p w:rsidRPr="006A6D35" w:rsidR="006A6D35" w:rsidP="005F61FE" w:rsidRDefault="00446E89" w14:paraId="2AE7B6C5" w14:textId="0D4CC5D7">
      <w:pPr>
        <w:widowControl w:val="0"/>
        <w:numPr>
          <w:ilvl w:val="0"/>
          <w:numId w:val="8"/>
        </w:numPr>
        <w:rPr>
          <w:b/>
          <w:color w:val="000000"/>
        </w:rPr>
      </w:pPr>
      <w:r w:rsidRPr="007F620E">
        <w:rPr>
          <w:b/>
          <w:color w:val="000000"/>
        </w:rPr>
        <w:t>Did the Intervenor substantially contribute to the final decision (</w:t>
      </w:r>
      <w:r w:rsidRPr="007F620E">
        <w:rPr>
          <w:b/>
          <w:i/>
          <w:color w:val="000000"/>
        </w:rPr>
        <w:t>see</w:t>
      </w:r>
      <w:r w:rsidRPr="007F620E">
        <w:rPr>
          <w:b/>
          <w:color w:val="000000"/>
        </w:rPr>
        <w:t xml:space="preserve"> § 1802(</w:t>
      </w:r>
      <w:r>
        <w:rPr>
          <w:b/>
          <w:color w:val="000000"/>
        </w:rPr>
        <w:t>j</w:t>
      </w:r>
      <w:r w:rsidRPr="007F620E">
        <w:rPr>
          <w:b/>
          <w:color w:val="000000"/>
        </w:rPr>
        <w:t xml:space="preserve">), § 1803(a), </w:t>
      </w:r>
      <w:r>
        <w:rPr>
          <w:b/>
          <w:color w:val="000000"/>
        </w:rPr>
        <w:t xml:space="preserve">1803.1(a) </w:t>
      </w:r>
      <w:r w:rsidRPr="007F620E">
        <w:rPr>
          <w:b/>
          <w:color w:val="000000"/>
        </w:rPr>
        <w:t>and D.98-04-059)</w:t>
      </w:r>
      <w:r>
        <w:rPr>
          <w:b/>
          <w:color w:val="000000"/>
        </w:rPr>
        <w:t>:</w:t>
      </w:r>
    </w:p>
    <w:tbl>
      <w:tblPr>
        <w:tblpPr w:leftFromText="180" w:rightFromText="180" w:vertAnchor="text" w:horzAnchor="margin" w:tblpY="1140"/>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055"/>
        <w:gridCol w:w="4343"/>
        <w:gridCol w:w="1957"/>
      </w:tblGrid>
      <w:tr w:rsidRPr="007F620E" w:rsidR="00480C0F" w:rsidTr="00D163FF" w14:paraId="09E6D1CF" w14:textId="77777777">
        <w:tc>
          <w:tcPr>
            <w:tcW w:w="3055" w:type="dxa"/>
            <w:tcBorders>
              <w:bottom w:val="single" w:color="auto" w:sz="4" w:space="0"/>
            </w:tcBorders>
            <w:shd w:val="pct12" w:color="auto" w:fill="auto"/>
            <w:vAlign w:val="bottom"/>
          </w:tcPr>
          <w:p w:rsidRPr="007F620E" w:rsidR="00480C0F" w:rsidP="00B740F7" w:rsidRDefault="00480C0F" w14:paraId="7E3A6A71" w14:textId="77777777">
            <w:pPr>
              <w:widowControl w:val="0"/>
              <w:jc w:val="center"/>
              <w:rPr>
                <w:b/>
                <w:color w:val="000000"/>
              </w:rPr>
            </w:pPr>
            <w:r w:rsidRPr="007F620E">
              <w:rPr>
                <w:b/>
                <w:color w:val="000000"/>
              </w:rPr>
              <w:t>Intervenor’s Claimed Contribution(s)</w:t>
            </w:r>
          </w:p>
        </w:tc>
        <w:tc>
          <w:tcPr>
            <w:tcW w:w="4343" w:type="dxa"/>
            <w:tcBorders>
              <w:bottom w:val="single" w:color="auto" w:sz="4" w:space="0"/>
            </w:tcBorders>
            <w:shd w:val="pct12" w:color="auto" w:fill="auto"/>
            <w:vAlign w:val="bottom"/>
          </w:tcPr>
          <w:p w:rsidRPr="007F620E" w:rsidR="00480C0F" w:rsidP="00B740F7" w:rsidRDefault="00480C0F" w14:paraId="22127AEC" w14:textId="77777777">
            <w:pPr>
              <w:widowControl w:val="0"/>
              <w:jc w:val="center"/>
              <w:rPr>
                <w:b/>
                <w:color w:val="000000"/>
              </w:rPr>
            </w:pPr>
            <w:r w:rsidRPr="007F620E">
              <w:rPr>
                <w:b/>
                <w:color w:val="000000"/>
              </w:rPr>
              <w:t>Specific References to Intervenor’s Claimed Contribution(s)</w:t>
            </w:r>
          </w:p>
        </w:tc>
        <w:tc>
          <w:tcPr>
            <w:tcW w:w="1957" w:type="dxa"/>
            <w:shd w:val="pct12" w:color="auto" w:fill="auto"/>
            <w:vAlign w:val="bottom"/>
          </w:tcPr>
          <w:p w:rsidRPr="007F620E" w:rsidR="00480C0F" w:rsidP="00B740F7" w:rsidRDefault="00480C0F" w14:paraId="3A026B9A" w14:textId="77777777">
            <w:pPr>
              <w:widowControl w:val="0"/>
              <w:jc w:val="center"/>
              <w:rPr>
                <w:b/>
                <w:color w:val="000000"/>
              </w:rPr>
            </w:pPr>
            <w:r w:rsidRPr="007F620E">
              <w:rPr>
                <w:b/>
                <w:color w:val="000000"/>
              </w:rPr>
              <w:t>CPUC Discussion</w:t>
            </w:r>
          </w:p>
        </w:tc>
      </w:tr>
      <w:tr w:rsidRPr="007F620E" w:rsidR="00480C0F" w:rsidTr="00D163FF" w14:paraId="03139C6E" w14:textId="77777777">
        <w:tc>
          <w:tcPr>
            <w:tcW w:w="3055" w:type="dxa"/>
          </w:tcPr>
          <w:p w:rsidRPr="006F7F69" w:rsidR="008E3602" w:rsidP="00480C0F" w:rsidRDefault="008E3602" w14:paraId="01E09656" w14:textId="42ADB32B">
            <w:pPr>
              <w:widowControl w:val="0"/>
              <w:rPr>
                <w:b/>
                <w:bCs/>
                <w:color w:val="000000"/>
              </w:rPr>
            </w:pPr>
            <w:r w:rsidRPr="006F7F69">
              <w:rPr>
                <w:b/>
                <w:bCs/>
                <w:color w:val="000000"/>
              </w:rPr>
              <w:t>1. Existing Programs Fail to Serv</w:t>
            </w:r>
            <w:r w:rsidRPr="006F7F69" w:rsidR="00942935">
              <w:rPr>
                <w:b/>
                <w:bCs/>
                <w:color w:val="000000"/>
              </w:rPr>
              <w:t>e</w:t>
            </w:r>
            <w:r w:rsidRPr="006F7F69">
              <w:rPr>
                <w:b/>
                <w:bCs/>
                <w:color w:val="000000"/>
              </w:rPr>
              <w:t xml:space="preserve"> Distinct Customer Groups and Do Not Promote Low Income Participation</w:t>
            </w:r>
          </w:p>
          <w:p w:rsidRPr="006F7F69" w:rsidR="008E3602" w:rsidP="00480C0F" w:rsidRDefault="008E3602" w14:paraId="71C02908" w14:textId="77777777">
            <w:pPr>
              <w:widowControl w:val="0"/>
              <w:rPr>
                <w:color w:val="000000"/>
              </w:rPr>
            </w:pPr>
          </w:p>
          <w:p w:rsidRPr="006F7F69" w:rsidR="00480C0F" w:rsidP="00480C0F" w:rsidRDefault="00480C0F" w14:paraId="770BA406" w14:textId="1FF4146C">
            <w:pPr>
              <w:widowControl w:val="0"/>
              <w:rPr>
                <w:color w:val="000000"/>
              </w:rPr>
            </w:pPr>
            <w:r w:rsidRPr="006F7F69">
              <w:rPr>
                <w:color w:val="000000"/>
              </w:rPr>
              <w:t xml:space="preserve">In this proceeding, the Commission sought to determine whether to modify or eliminate existing Green Access Programs, based on three criteria: whether the programs (1) efficiently served distinct customer </w:t>
            </w:r>
            <w:r w:rsidRPr="006F7F69">
              <w:rPr>
                <w:color w:val="000000"/>
              </w:rPr>
              <w:lastRenderedPageBreak/>
              <w:t xml:space="preserve">groups; (2) minimized duplicative offerings; and (3) promoted robust low-income participation.  </w:t>
            </w:r>
          </w:p>
          <w:p w:rsidRPr="006F7F69" w:rsidR="00480C0F" w:rsidP="00480C0F" w:rsidRDefault="00480C0F" w14:paraId="14A0725E" w14:textId="77777777">
            <w:pPr>
              <w:widowControl w:val="0"/>
              <w:rPr>
                <w:color w:val="000000"/>
              </w:rPr>
            </w:pPr>
          </w:p>
          <w:p w:rsidRPr="006F7F69" w:rsidR="00480C0F" w:rsidP="00480C0F" w:rsidRDefault="00480C0F" w14:paraId="6A50411C" w14:textId="77777777">
            <w:pPr>
              <w:widowControl w:val="0"/>
              <w:rPr>
                <w:color w:val="000000"/>
              </w:rPr>
            </w:pPr>
            <w:r w:rsidRPr="006F7F69">
              <w:rPr>
                <w:color w:val="000000"/>
              </w:rPr>
              <w:t xml:space="preserve">Throughout the </w:t>
            </w:r>
            <w:proofErr w:type="gramStart"/>
            <w:r w:rsidRPr="006F7F69">
              <w:rPr>
                <w:color w:val="000000"/>
              </w:rPr>
              <w:t>proceeding</w:t>
            </w:r>
            <w:proofErr w:type="gramEnd"/>
            <w:r w:rsidRPr="006F7F69">
              <w:rPr>
                <w:color w:val="000000"/>
              </w:rPr>
              <w:t xml:space="preserve">, the Center advocated for modifications to these programs as the programs did not effectively achieve all three of these goals.  </w:t>
            </w:r>
          </w:p>
          <w:p w:rsidRPr="006F7F69" w:rsidR="00480C0F" w:rsidP="00480C0F" w:rsidRDefault="00480C0F" w14:paraId="23DEBB85" w14:textId="77777777">
            <w:pPr>
              <w:widowControl w:val="0"/>
              <w:rPr>
                <w:color w:val="000000"/>
              </w:rPr>
            </w:pPr>
          </w:p>
          <w:p w:rsidRPr="006F7F69" w:rsidR="00480C0F" w:rsidP="00480C0F" w:rsidRDefault="00480C0F" w14:paraId="32CCA9D2" w14:textId="77777777">
            <w:pPr>
              <w:widowControl w:val="0"/>
              <w:rPr>
                <w:color w:val="000000"/>
              </w:rPr>
            </w:pPr>
            <w:r w:rsidRPr="006F7F69">
              <w:rPr>
                <w:color w:val="000000"/>
              </w:rPr>
              <w:t xml:space="preserve">Specifically, the Center pointed out that the volatility of pricing or rates associated with the programs precluded the programs from serving distinct customer </w:t>
            </w:r>
            <w:proofErr w:type="gramStart"/>
            <w:r w:rsidRPr="006F7F69">
              <w:rPr>
                <w:color w:val="000000"/>
              </w:rPr>
              <w:t>groups, and</w:t>
            </w:r>
            <w:proofErr w:type="gramEnd"/>
            <w:r w:rsidRPr="006F7F69">
              <w:rPr>
                <w:color w:val="000000"/>
              </w:rPr>
              <w:t xml:space="preserve"> did not promote robust low-income customer participation.  </w:t>
            </w:r>
          </w:p>
          <w:p w:rsidRPr="006F7F69" w:rsidR="00480C0F" w:rsidP="00480C0F" w:rsidRDefault="00480C0F" w14:paraId="709BA238" w14:textId="77777777">
            <w:pPr>
              <w:widowControl w:val="0"/>
              <w:rPr>
                <w:color w:val="000000"/>
              </w:rPr>
            </w:pPr>
          </w:p>
        </w:tc>
        <w:tc>
          <w:tcPr>
            <w:tcW w:w="4343" w:type="dxa"/>
          </w:tcPr>
          <w:p w:rsidRPr="006F7F69" w:rsidR="005D119A" w:rsidP="00480C0F" w:rsidRDefault="005D119A" w14:paraId="7BD220D9" w14:textId="5E45DE7C">
            <w:pPr>
              <w:widowControl w:val="0"/>
            </w:pPr>
            <w:r w:rsidRPr="006F7F69">
              <w:lastRenderedPageBreak/>
              <w:t xml:space="preserve">The Commission agreed with the Center that </w:t>
            </w:r>
            <w:r w:rsidRPr="00E826E5">
              <w:t xml:space="preserve">existing programs </w:t>
            </w:r>
            <w:r w:rsidRPr="00E826E5" w:rsidR="00BE4510">
              <w:t>fail to serve distinct customer groups and do not promote low-income participation.</w:t>
            </w:r>
            <w:r w:rsidRPr="006F7F69" w:rsidR="00BE4510">
              <w:t xml:space="preserve">  </w:t>
            </w:r>
          </w:p>
          <w:p w:rsidRPr="006F7F69" w:rsidR="005D119A" w:rsidP="00480C0F" w:rsidRDefault="005D119A" w14:paraId="75AB9F1E" w14:textId="77777777">
            <w:pPr>
              <w:widowControl w:val="0"/>
            </w:pPr>
          </w:p>
          <w:p w:rsidRPr="006F7F69" w:rsidR="00915FF9" w:rsidP="00915FF9" w:rsidRDefault="00915FF9" w14:paraId="69AB7DCC" w14:textId="77777777">
            <w:pPr>
              <w:pStyle w:val="Default"/>
              <w:widowControl w:val="0"/>
            </w:pPr>
            <w:r w:rsidRPr="006F7F69">
              <w:t xml:space="preserve">Throughout the proceeding, the </w:t>
            </w:r>
            <w:r w:rsidRPr="00E826E5">
              <w:t xml:space="preserve">Center advocated for programs to prioritize low-income community </w:t>
            </w:r>
            <w:proofErr w:type="gramStart"/>
            <w:r w:rsidRPr="00E826E5">
              <w:t>participation, and</w:t>
            </w:r>
            <w:proofErr w:type="gramEnd"/>
            <w:r w:rsidRPr="00E826E5">
              <w:t xml:space="preserve"> suggested that the Commission should prioritize investment in low-income communities and ensure that benefits of community solar flow to those communities</w:t>
            </w:r>
            <w:r w:rsidRPr="006F7F69">
              <w:t xml:space="preserve">. In its comments proposing </w:t>
            </w:r>
            <w:r w:rsidRPr="00E826E5">
              <w:t xml:space="preserve">principles to guide Green Access program </w:t>
            </w:r>
            <w:r w:rsidRPr="00E826E5">
              <w:lastRenderedPageBreak/>
              <w:t>design</w:t>
            </w:r>
            <w:r w:rsidRPr="006F7F69">
              <w:t xml:space="preserve">, the Center outlined </w:t>
            </w:r>
            <w:r w:rsidRPr="00E826E5">
              <w:t>how volatile rates conflicted with the Commission’s Rate Design Principles (at 4) and should be addressed in modifications to the programs.</w:t>
            </w:r>
            <w:r w:rsidRPr="006F7F69">
              <w:t xml:space="preserve">  </w:t>
            </w:r>
          </w:p>
          <w:p w:rsidRPr="006F7F69" w:rsidR="00915FF9" w:rsidP="00915FF9" w:rsidRDefault="00915FF9" w14:paraId="7305EB6D" w14:textId="77777777">
            <w:pPr>
              <w:pStyle w:val="Default"/>
              <w:widowControl w:val="0"/>
            </w:pPr>
          </w:p>
          <w:p w:rsidRPr="006F7F69" w:rsidR="00915FF9" w:rsidP="00915FF9" w:rsidRDefault="00915FF9" w14:paraId="45259927" w14:textId="77777777">
            <w:pPr>
              <w:pStyle w:val="Default"/>
              <w:widowControl w:val="0"/>
            </w:pPr>
            <w:r w:rsidRPr="006F7F69">
              <w:t>The Center also focused on this issue in its reply brief, cited by the Decision: Premiums Based on the PCIA or Other Methodology Foreclose Robust Participation by Low-Income Customers (</w:t>
            </w:r>
            <w:r w:rsidRPr="00E826E5">
              <w:t>Center Reply Brief at 5</w:t>
            </w:r>
            <w:r w:rsidRPr="006F7F69">
              <w:t xml:space="preserve">). </w:t>
            </w:r>
          </w:p>
          <w:p w:rsidRPr="006F7F69" w:rsidR="00915FF9" w:rsidP="00480C0F" w:rsidRDefault="00915FF9" w14:paraId="68B45847" w14:textId="77777777">
            <w:pPr>
              <w:widowControl w:val="0"/>
            </w:pPr>
          </w:p>
          <w:p w:rsidRPr="006F7F69" w:rsidR="00BE4510" w:rsidP="00480C0F" w:rsidRDefault="00BE4510" w14:paraId="6077A30B" w14:textId="48943108">
            <w:pPr>
              <w:widowControl w:val="0"/>
            </w:pPr>
            <w:proofErr w:type="gramStart"/>
            <w:r w:rsidRPr="006F7F69">
              <w:t>In regards to</w:t>
            </w:r>
            <w:proofErr w:type="gramEnd"/>
            <w:r w:rsidRPr="006F7F69">
              <w:t xml:space="preserve"> one Green Access Program, the Enhanced Community Renewables (“ECR”) program:</w:t>
            </w:r>
          </w:p>
          <w:p w:rsidRPr="006F7F69" w:rsidR="00BE4510" w:rsidP="00480C0F" w:rsidRDefault="00BE4510" w14:paraId="45DE726A" w14:textId="77777777">
            <w:pPr>
              <w:widowControl w:val="0"/>
            </w:pPr>
          </w:p>
          <w:p w:rsidRPr="006F7F69" w:rsidR="00480C0F" w:rsidP="00480C0F" w:rsidRDefault="00480C0F" w14:paraId="1DAB42BF" w14:textId="68B6BF86">
            <w:pPr>
              <w:widowControl w:val="0"/>
            </w:pPr>
            <w:r w:rsidRPr="006F7F69">
              <w:t>“Cypress Creek, CBD, Cal Advocates, PG&amp;E, SEIA, and TURN state that</w:t>
            </w:r>
          </w:p>
          <w:p w:rsidRPr="006F7F69" w:rsidR="00480C0F" w:rsidP="00480C0F" w:rsidRDefault="00480C0F" w14:paraId="4E2C4B5D" w14:textId="77777777">
            <w:pPr>
              <w:widowControl w:val="0"/>
            </w:pPr>
            <w:proofErr w:type="gramStart"/>
            <w:r w:rsidRPr="006F7F69">
              <w:t>the</w:t>
            </w:r>
            <w:proofErr w:type="gramEnd"/>
            <w:r w:rsidRPr="006F7F69">
              <w:t xml:space="preserve"> ECR program also experiences rate volatility that makes it unappealing to</w:t>
            </w:r>
          </w:p>
          <w:p w:rsidRPr="006F7F69" w:rsidR="00480C0F" w:rsidP="00480C0F" w:rsidRDefault="00480C0F" w14:paraId="14540E8C" w14:textId="77777777">
            <w:pPr>
              <w:widowControl w:val="0"/>
            </w:pPr>
            <w:r w:rsidRPr="006F7F69">
              <w:t>customers and developers.” (</w:t>
            </w:r>
            <w:r w:rsidRPr="00E826E5">
              <w:t>Decision at 39</w:t>
            </w:r>
            <w:r w:rsidRPr="006F7F69">
              <w:t xml:space="preserve">). </w:t>
            </w:r>
          </w:p>
          <w:p w:rsidRPr="006F7F69" w:rsidR="004679AE" w:rsidP="00480C0F" w:rsidRDefault="004679AE" w14:paraId="051C4A66" w14:textId="77777777">
            <w:pPr>
              <w:widowControl w:val="0"/>
            </w:pPr>
          </w:p>
          <w:p w:rsidRPr="006F7F69" w:rsidR="00480C0F" w:rsidP="00480C0F" w:rsidRDefault="00480C0F" w14:paraId="6D481FDC" w14:textId="256A967F">
            <w:pPr>
              <w:widowControl w:val="0"/>
            </w:pPr>
            <w:r w:rsidRPr="006F7F69">
              <w:t>“The Commission agrees with numerous parties that the current ECR program has failed to efficiently serve distinct customer groups. Utilities’ ECR programs have had limited customer enrollment since the rollout of these</w:t>
            </w:r>
          </w:p>
          <w:p w:rsidRPr="006F7F69" w:rsidR="00480C0F" w:rsidP="00480C0F" w:rsidRDefault="00480C0F" w14:paraId="02FB26BF" w14:textId="77777777">
            <w:pPr>
              <w:widowControl w:val="0"/>
            </w:pPr>
            <w:r w:rsidRPr="006F7F69">
              <w:t xml:space="preserve">programs, and only SCE has facilities under contract, which total 38 MW. We are persuaded by parties that assert that the ECR program’s rate volatility makes it an unfavorable option for customers and developers because it is unclear </w:t>
            </w:r>
            <w:proofErr w:type="gramStart"/>
            <w:r w:rsidRPr="006F7F69">
              <w:t>in a given year</w:t>
            </w:r>
            <w:proofErr w:type="gramEnd"/>
            <w:r w:rsidRPr="006F7F69">
              <w:t xml:space="preserve"> whether the program will result in a premium or savings to a participating customer.” (</w:t>
            </w:r>
            <w:r w:rsidRPr="00E826E5">
              <w:t>Decision at 43).</w:t>
            </w:r>
            <w:r w:rsidRPr="006F7F69">
              <w:t xml:space="preserve"> </w:t>
            </w:r>
          </w:p>
          <w:p w:rsidRPr="006F7F69" w:rsidR="00480C0F" w:rsidP="00480C0F" w:rsidRDefault="00480C0F" w14:paraId="780A2F8C" w14:textId="77777777">
            <w:pPr>
              <w:widowControl w:val="0"/>
            </w:pPr>
          </w:p>
          <w:p w:rsidRPr="006F7F69" w:rsidR="00630788" w:rsidP="00630788" w:rsidRDefault="00630788" w14:paraId="1EF39A1A" w14:textId="77777777">
            <w:pPr>
              <w:widowControl w:val="0"/>
            </w:pPr>
            <w:r w:rsidRPr="006F7F69">
              <w:t>“The Commission also agrees with parties that the ECR tariff fails to</w:t>
            </w:r>
          </w:p>
          <w:p w:rsidRPr="006F7F69" w:rsidR="00630788" w:rsidP="00630788" w:rsidRDefault="00630788" w14:paraId="026BA6F3" w14:textId="77777777">
            <w:pPr>
              <w:widowControl w:val="0"/>
            </w:pPr>
            <w:r w:rsidRPr="006F7F69">
              <w:t>promote robust participation among low-income customers.” (</w:t>
            </w:r>
            <w:r w:rsidRPr="00E826E5">
              <w:t>Decision at 44).</w:t>
            </w:r>
            <w:r w:rsidRPr="006F7F69">
              <w:t xml:space="preserve"> </w:t>
            </w:r>
          </w:p>
          <w:p w:rsidRPr="006F7F69" w:rsidR="00630788" w:rsidP="00480C0F" w:rsidRDefault="00630788" w14:paraId="4303597E" w14:textId="77777777">
            <w:pPr>
              <w:widowControl w:val="0"/>
            </w:pPr>
          </w:p>
          <w:p w:rsidRPr="006F7F69" w:rsidR="00D70F29" w:rsidP="00D70F29" w:rsidRDefault="00D70F29" w14:paraId="34A184C3" w14:textId="3512DDB9">
            <w:pPr>
              <w:widowControl w:val="0"/>
            </w:pPr>
            <w:proofErr w:type="gramStart"/>
            <w:r w:rsidRPr="006F7F69">
              <w:t>In regards to</w:t>
            </w:r>
            <w:proofErr w:type="gramEnd"/>
            <w:r w:rsidRPr="006F7F69">
              <w:t xml:space="preserve"> another Green Access </w:t>
            </w:r>
            <w:r w:rsidRPr="006F7F69">
              <w:lastRenderedPageBreak/>
              <w:t xml:space="preserve">Program, the Green Tariff: </w:t>
            </w:r>
          </w:p>
          <w:p w:rsidRPr="006F7F69" w:rsidR="00D70F29" w:rsidP="00D70F29" w:rsidRDefault="00D70F29" w14:paraId="457FB176" w14:textId="77777777">
            <w:pPr>
              <w:widowControl w:val="0"/>
            </w:pPr>
          </w:p>
          <w:p w:rsidRPr="006F7F69" w:rsidR="00D70F29" w:rsidP="00D70F29" w:rsidRDefault="00D70F29" w14:paraId="5EA689D2" w14:textId="336F0781">
            <w:pPr>
              <w:widowControl w:val="0"/>
            </w:pPr>
            <w:r w:rsidRPr="006F7F69">
              <w:t>“CCSA, CBD, CEJA, et al., CUE, Cypress Creek, SDG&amp;E, SEIA, and TURN state that the Green Tariff program fails to promote low-income participation because it is designed as a premium product such that enrollees must pay more for their bill than they would under standard service.” (</w:t>
            </w:r>
            <w:r w:rsidRPr="00E826E5">
              <w:t>Decision at 42).</w:t>
            </w:r>
            <w:r w:rsidRPr="006F7F69">
              <w:t xml:space="preserve"> </w:t>
            </w:r>
          </w:p>
          <w:p w:rsidRPr="006F7F69" w:rsidR="00D70F29" w:rsidP="00480C0F" w:rsidRDefault="00D70F29" w14:paraId="6AA95195" w14:textId="77777777">
            <w:pPr>
              <w:widowControl w:val="0"/>
            </w:pPr>
          </w:p>
          <w:p w:rsidRPr="006F7F69" w:rsidR="00630788" w:rsidP="00480C0F" w:rsidRDefault="00630788" w14:paraId="27F28C0D" w14:textId="76833ED2">
            <w:pPr>
              <w:widowControl w:val="0"/>
            </w:pPr>
            <w:proofErr w:type="gramStart"/>
            <w:r w:rsidRPr="006F7F69">
              <w:t>In regards to</w:t>
            </w:r>
            <w:proofErr w:type="gramEnd"/>
            <w:r w:rsidRPr="006F7F69">
              <w:t xml:space="preserve"> another Green Access Program, Community Solar Green Tariff (“CSGT”): </w:t>
            </w:r>
          </w:p>
          <w:p w:rsidRPr="006F7F69" w:rsidR="00630788" w:rsidP="00480C0F" w:rsidRDefault="00630788" w14:paraId="7EC78F47" w14:textId="77777777">
            <w:pPr>
              <w:widowControl w:val="0"/>
            </w:pPr>
          </w:p>
          <w:p w:rsidRPr="006F7F69" w:rsidR="00480C0F" w:rsidP="00480C0F" w:rsidRDefault="00480C0F" w14:paraId="39CEF69D" w14:textId="77777777">
            <w:pPr>
              <w:widowControl w:val="0"/>
            </w:pPr>
            <w:r w:rsidRPr="006F7F69">
              <w:t>“The Commission agrees with numerous parties that the current CSGT</w:t>
            </w:r>
          </w:p>
          <w:p w:rsidRPr="006F7F69" w:rsidR="00480C0F" w:rsidP="00480C0F" w:rsidRDefault="00480C0F" w14:paraId="53D7AD0A" w14:textId="77777777">
            <w:pPr>
              <w:widowControl w:val="0"/>
            </w:pPr>
            <w:r w:rsidRPr="006F7F69">
              <w:t>program has failed to efficiently serve distinct customer groups. There have been no customers enrolled in CSGT since the rollout of the program, and no projects have come online.” (</w:t>
            </w:r>
            <w:r w:rsidRPr="00E826E5">
              <w:t>Decision at 57).</w:t>
            </w:r>
          </w:p>
          <w:p w:rsidRPr="006F7F69" w:rsidR="00480C0F" w:rsidP="00480C0F" w:rsidRDefault="00480C0F" w14:paraId="141647D4" w14:textId="77777777">
            <w:pPr>
              <w:widowControl w:val="0"/>
            </w:pPr>
          </w:p>
          <w:p w:rsidRPr="006F7F69" w:rsidR="00480C0F" w:rsidP="00480C0F" w:rsidRDefault="00480C0F" w14:paraId="35CE58C6" w14:textId="77777777">
            <w:pPr>
              <w:widowControl w:val="0"/>
            </w:pPr>
            <w:r w:rsidRPr="006F7F69">
              <w:t>“The Commission also agrees with parties that the CSGT tariff fails to</w:t>
            </w:r>
          </w:p>
          <w:p w:rsidRPr="006F7F69" w:rsidR="00480C0F" w:rsidP="00480C0F" w:rsidRDefault="00480C0F" w14:paraId="6410075C" w14:textId="507131B8">
            <w:pPr>
              <w:widowControl w:val="0"/>
            </w:pPr>
            <w:r w:rsidRPr="006F7F69">
              <w:t>promote robust participation among low-income customers based on the lack of enrollment by low-income customers.” (</w:t>
            </w:r>
            <w:r w:rsidRPr="00E826E5">
              <w:rPr>
                <w:i/>
                <w:iCs/>
              </w:rPr>
              <w:t>Id.</w:t>
            </w:r>
            <w:r w:rsidRPr="006F7F69">
              <w:t xml:space="preserve">) </w:t>
            </w:r>
          </w:p>
          <w:p w:rsidRPr="006F7F69" w:rsidR="00480C0F" w:rsidP="00480C0F" w:rsidRDefault="00480C0F" w14:paraId="587E44AA" w14:textId="77777777">
            <w:pPr>
              <w:pStyle w:val="Default"/>
              <w:widowControl w:val="0"/>
            </w:pPr>
          </w:p>
          <w:p w:rsidRPr="006F7F69" w:rsidR="00480C0F" w:rsidP="00480C0F" w:rsidRDefault="00480C0F" w14:paraId="7F1D18FA" w14:textId="77777777">
            <w:pPr>
              <w:pStyle w:val="Default"/>
              <w:widowControl w:val="0"/>
            </w:pPr>
            <w:r w:rsidRPr="006F7F69">
              <w:t>Ultimately, the Commission determined that “Challenges to attracting customers and developers in the Green Access</w:t>
            </w:r>
          </w:p>
          <w:p w:rsidRPr="006F7F69" w:rsidR="00480C0F" w:rsidP="00480C0F" w:rsidRDefault="00480C0F" w14:paraId="2A326FCA" w14:textId="01CCCD2A">
            <w:pPr>
              <w:pStyle w:val="Default"/>
              <w:widowControl w:val="0"/>
            </w:pPr>
            <w:r w:rsidRPr="006F7F69">
              <w:t>Program tariffs emanate from enrollment rate, eligibility requirements, rate</w:t>
            </w:r>
            <w:r w:rsidRPr="006F7F69" w:rsidR="00915FF9">
              <w:t xml:space="preserve"> </w:t>
            </w:r>
            <w:r w:rsidRPr="006F7F69">
              <w:t>volatility, and duplication.” (</w:t>
            </w:r>
            <w:r w:rsidRPr="00E826E5">
              <w:t>Decision at 160, Finding of Fact 65</w:t>
            </w:r>
            <w:r w:rsidRPr="006F7F69">
              <w:t xml:space="preserve">).  </w:t>
            </w:r>
          </w:p>
          <w:p w:rsidRPr="006F7F69" w:rsidR="00480C0F" w:rsidP="00480C0F" w:rsidRDefault="00480C0F" w14:paraId="6BF7585F" w14:textId="77777777">
            <w:pPr>
              <w:widowControl w:val="0"/>
              <w:rPr>
                <w:color w:val="000000"/>
              </w:rPr>
            </w:pPr>
          </w:p>
        </w:tc>
        <w:tc>
          <w:tcPr>
            <w:tcW w:w="1957" w:type="dxa"/>
          </w:tcPr>
          <w:p w:rsidRPr="007F620E" w:rsidR="00480C0F" w:rsidP="00480C0F" w:rsidRDefault="00E43238" w14:paraId="0B061300" w14:textId="554E8C77">
            <w:pPr>
              <w:widowControl w:val="0"/>
              <w:rPr>
                <w:color w:val="000000"/>
              </w:rPr>
            </w:pPr>
            <w:r>
              <w:rPr>
                <w:color w:val="000000"/>
              </w:rPr>
              <w:lastRenderedPageBreak/>
              <w:t>Verified</w:t>
            </w:r>
            <w:r w:rsidR="00F122F6">
              <w:rPr>
                <w:color w:val="000000"/>
              </w:rPr>
              <w:t xml:space="preserve">. </w:t>
            </w:r>
            <w:r w:rsidR="009800DF">
              <w:rPr>
                <w:color w:val="000000"/>
              </w:rPr>
              <w:t>However, w</w:t>
            </w:r>
            <w:r w:rsidR="00F122F6">
              <w:rPr>
                <w:color w:val="000000"/>
              </w:rPr>
              <w:t xml:space="preserve">e note that </w:t>
            </w:r>
            <w:r w:rsidR="00515E21">
              <w:rPr>
                <w:color w:val="000000"/>
              </w:rPr>
              <w:t xml:space="preserve">CBD </w:t>
            </w:r>
            <w:r w:rsidR="00D735CB">
              <w:rPr>
                <w:color w:val="000000"/>
              </w:rPr>
              <w:t xml:space="preserve">repeated positions of other parties without offering </w:t>
            </w:r>
            <w:r w:rsidR="00F24506">
              <w:rPr>
                <w:color w:val="000000"/>
              </w:rPr>
              <w:t xml:space="preserve">additional analysis or </w:t>
            </w:r>
            <w:r w:rsidR="008B7CBF">
              <w:rPr>
                <w:color w:val="000000"/>
              </w:rPr>
              <w:t xml:space="preserve">a unique </w:t>
            </w:r>
            <w:r w:rsidR="009F3E63">
              <w:rPr>
                <w:color w:val="000000"/>
              </w:rPr>
              <w:t>perspective.</w:t>
            </w:r>
            <w:r w:rsidRPr="007B155B" w:rsidR="00AF3BF2">
              <w:rPr>
                <w:rFonts w:asciiTheme="majorBidi" w:hAnsiTheme="majorBidi" w:cstheme="majorBidi"/>
                <w:bCs/>
                <w:i/>
                <w:iCs/>
                <w:color w:val="000000" w:themeColor="text1"/>
              </w:rPr>
              <w:t xml:space="preserve"> See</w:t>
            </w:r>
            <w:r w:rsidRPr="007B155B" w:rsidR="00AF3BF2">
              <w:rPr>
                <w:rFonts w:asciiTheme="majorBidi" w:hAnsiTheme="majorBidi" w:cstheme="majorBidi"/>
                <w:bCs/>
                <w:color w:val="000000" w:themeColor="text1"/>
              </w:rPr>
              <w:t xml:space="preserve"> Part III.D</w:t>
            </w:r>
            <w:r w:rsidRPr="007B155B" w:rsidR="00AF3BF2">
              <w:rPr>
                <w:rFonts w:asciiTheme="majorBidi" w:hAnsiTheme="majorBidi" w:cstheme="majorBidi"/>
                <w:color w:val="000000" w:themeColor="text1"/>
              </w:rPr>
              <w:t xml:space="preserve"> CPUC Comments, Disallowances, and Adjustments</w:t>
            </w:r>
            <w:r w:rsidR="00AF3BF2">
              <w:rPr>
                <w:rFonts w:asciiTheme="majorBidi" w:hAnsiTheme="majorBidi" w:cstheme="majorBidi"/>
                <w:color w:val="000000" w:themeColor="text1"/>
              </w:rPr>
              <w:t xml:space="preserve"> </w:t>
            </w:r>
            <w:r w:rsidR="00AF3BF2">
              <w:rPr>
                <w:rFonts w:asciiTheme="majorBidi" w:hAnsiTheme="majorBidi" w:cstheme="majorBidi"/>
                <w:color w:val="000000" w:themeColor="text1"/>
              </w:rPr>
              <w:lastRenderedPageBreak/>
              <w:t>[</w:t>
            </w:r>
            <w:r w:rsidR="00B740F7">
              <w:rPr>
                <w:rFonts w:asciiTheme="majorBidi" w:hAnsiTheme="majorBidi" w:cstheme="majorBidi"/>
                <w:color w:val="000000" w:themeColor="text1"/>
              </w:rPr>
              <w:t>3</w:t>
            </w:r>
            <w:r w:rsidR="00AF3BF2">
              <w:rPr>
                <w:rFonts w:asciiTheme="majorBidi" w:hAnsiTheme="majorBidi" w:cstheme="majorBidi"/>
                <w:color w:val="000000" w:themeColor="text1"/>
              </w:rPr>
              <w:t>].</w:t>
            </w:r>
          </w:p>
        </w:tc>
      </w:tr>
      <w:tr w:rsidRPr="007F620E" w:rsidR="00480C0F" w:rsidTr="00D163FF" w14:paraId="454AA2AE" w14:textId="77777777">
        <w:tc>
          <w:tcPr>
            <w:tcW w:w="3055" w:type="dxa"/>
          </w:tcPr>
          <w:p w:rsidRPr="006F7F69" w:rsidR="00480C0F" w:rsidP="00480C0F" w:rsidRDefault="00480C0F" w14:paraId="2264C8A2" w14:textId="7F2E9A29">
            <w:pPr>
              <w:widowControl w:val="0"/>
              <w:rPr>
                <w:b/>
                <w:bCs/>
                <w:color w:val="000000"/>
              </w:rPr>
            </w:pPr>
            <w:r w:rsidRPr="006F7F69">
              <w:rPr>
                <w:b/>
                <w:bCs/>
                <w:color w:val="000000"/>
              </w:rPr>
              <w:lastRenderedPageBreak/>
              <w:t>2. Modified or New Community Solar</w:t>
            </w:r>
            <w:r w:rsidRPr="006F7F69" w:rsidR="008E3602">
              <w:rPr>
                <w:b/>
                <w:bCs/>
                <w:color w:val="000000"/>
              </w:rPr>
              <w:t>/Renewables</w:t>
            </w:r>
            <w:r w:rsidRPr="006F7F69">
              <w:rPr>
                <w:b/>
                <w:bCs/>
                <w:color w:val="000000"/>
              </w:rPr>
              <w:t xml:space="preserve"> Programs Address Price Volatility. </w:t>
            </w:r>
          </w:p>
          <w:p w:rsidRPr="006F7F69" w:rsidR="00480C0F" w:rsidP="00480C0F" w:rsidRDefault="00480C0F" w14:paraId="0F71A9D3" w14:textId="77777777">
            <w:pPr>
              <w:widowControl w:val="0"/>
              <w:rPr>
                <w:color w:val="000000"/>
              </w:rPr>
            </w:pPr>
          </w:p>
          <w:p w:rsidRPr="006F7F69" w:rsidR="00480C0F" w:rsidP="00480C0F" w:rsidRDefault="00480C0F" w14:paraId="168CCC43" w14:textId="77777777">
            <w:pPr>
              <w:widowControl w:val="0"/>
              <w:rPr>
                <w:color w:val="000000"/>
              </w:rPr>
            </w:pPr>
            <w:r w:rsidRPr="006F7F69">
              <w:rPr>
                <w:color w:val="000000"/>
              </w:rPr>
              <w:t xml:space="preserve">In this proceeding, the </w:t>
            </w:r>
            <w:r w:rsidRPr="006F7F69">
              <w:rPr>
                <w:color w:val="000000"/>
              </w:rPr>
              <w:lastRenderedPageBreak/>
              <w:t xml:space="preserve">Commission did not intend to repeat the mistakes of past programs and sought to improve their Green Access program offerings, </w:t>
            </w:r>
            <w:proofErr w:type="gramStart"/>
            <w:r w:rsidRPr="006F7F69">
              <w:rPr>
                <w:color w:val="000000"/>
              </w:rPr>
              <w:t>in particular to</w:t>
            </w:r>
            <w:proofErr w:type="gramEnd"/>
            <w:r w:rsidRPr="006F7F69">
              <w:rPr>
                <w:color w:val="000000"/>
              </w:rPr>
              <w:t xml:space="preserve"> ensure compliance with </w:t>
            </w:r>
            <w:proofErr w:type="gramStart"/>
            <w:r w:rsidRPr="006F7F69">
              <w:rPr>
                <w:color w:val="000000"/>
              </w:rPr>
              <w:t>the AB</w:t>
            </w:r>
            <w:proofErr w:type="gramEnd"/>
            <w:r w:rsidRPr="006F7F69">
              <w:rPr>
                <w:color w:val="000000"/>
              </w:rPr>
              <w:t xml:space="preserve"> 2316’s requirement to ensure at least 51% low-income customer participation.    </w:t>
            </w:r>
          </w:p>
          <w:p w:rsidRPr="006F7F69" w:rsidR="00480C0F" w:rsidP="00480C0F" w:rsidRDefault="00480C0F" w14:paraId="3284DA31" w14:textId="77777777">
            <w:pPr>
              <w:widowControl w:val="0"/>
              <w:rPr>
                <w:color w:val="000000"/>
              </w:rPr>
            </w:pPr>
          </w:p>
          <w:p w:rsidRPr="006F7F69" w:rsidR="00480C0F" w:rsidP="00480C0F" w:rsidRDefault="00480C0F" w14:paraId="2DB357F4" w14:textId="77777777">
            <w:pPr>
              <w:widowControl w:val="0"/>
              <w:rPr>
                <w:color w:val="000000"/>
              </w:rPr>
            </w:pPr>
            <w:r w:rsidRPr="006F7F69">
              <w:rPr>
                <w:color w:val="000000"/>
              </w:rPr>
              <w:t xml:space="preserve">In addition to pointing out that price or rate volatility, in large part due to the Power Charge Indifference Adjustment applied to prior Green Access Programs, had foreclosed adequate participation, the Center also focused on </w:t>
            </w:r>
            <w:r w:rsidRPr="00E826E5">
              <w:rPr>
                <w:color w:val="000000"/>
              </w:rPr>
              <w:t>ensuring that this same problem would not affect any new or modified programs authorized by the Commission</w:t>
            </w:r>
            <w:r w:rsidRPr="006F7F69">
              <w:rPr>
                <w:color w:val="000000"/>
              </w:rPr>
              <w:t xml:space="preserve">.  </w:t>
            </w:r>
          </w:p>
          <w:p w:rsidRPr="006F7F69" w:rsidR="00480C0F" w:rsidP="00480C0F" w:rsidRDefault="00480C0F" w14:paraId="5441F06D" w14:textId="77777777">
            <w:pPr>
              <w:widowControl w:val="0"/>
              <w:rPr>
                <w:color w:val="000000"/>
              </w:rPr>
            </w:pPr>
          </w:p>
          <w:p w:rsidRPr="006F7F69" w:rsidR="00480C0F" w:rsidP="00480C0F" w:rsidRDefault="00480C0F" w14:paraId="00B155B3" w14:textId="77777777">
            <w:pPr>
              <w:widowControl w:val="0"/>
            </w:pPr>
            <w:r w:rsidRPr="006F7F69">
              <w:rPr>
                <w:color w:val="000000"/>
              </w:rPr>
              <w:t>The Commission agreed, and determined that “</w:t>
            </w:r>
            <w:r w:rsidRPr="006F7F69">
              <w:t>The Power Charge Indifference Adjustment is dependent on market values leading to price</w:t>
            </w:r>
          </w:p>
          <w:p w:rsidRPr="006F7F69" w:rsidR="00480C0F" w:rsidP="00480C0F" w:rsidRDefault="00480C0F" w14:paraId="2E316E2C" w14:textId="77777777">
            <w:pPr>
              <w:widowControl w:val="0"/>
            </w:pPr>
            <w:r w:rsidRPr="006F7F69">
              <w:t xml:space="preserve">volatility in GTSR-GR. By avoiding program dedicated procurement, this volatility is eliminated.” (Decision at 65). </w:t>
            </w:r>
          </w:p>
          <w:p w:rsidRPr="006F7F69" w:rsidR="00480C0F" w:rsidP="00480C0F" w:rsidRDefault="00480C0F" w14:paraId="395C6607" w14:textId="77777777">
            <w:pPr>
              <w:widowControl w:val="0"/>
              <w:rPr>
                <w:color w:val="000000"/>
              </w:rPr>
            </w:pPr>
          </w:p>
          <w:p w:rsidRPr="006F7F69" w:rsidR="00480C0F" w:rsidP="00480C0F" w:rsidRDefault="00480C0F" w14:paraId="28C2E9EE" w14:textId="77777777">
            <w:pPr>
              <w:widowControl w:val="0"/>
              <w:rPr>
                <w:color w:val="000000"/>
              </w:rPr>
            </w:pPr>
          </w:p>
        </w:tc>
        <w:tc>
          <w:tcPr>
            <w:tcW w:w="4343" w:type="dxa"/>
          </w:tcPr>
          <w:p w:rsidRPr="006F7F69" w:rsidR="003E5D85" w:rsidP="00480C0F" w:rsidRDefault="005A2D9F" w14:paraId="046E5E22" w14:textId="5063A776">
            <w:pPr>
              <w:widowControl w:val="0"/>
            </w:pPr>
            <w:r w:rsidRPr="006F7F69">
              <w:lastRenderedPageBreak/>
              <w:t>The Center advocated f</w:t>
            </w:r>
            <w:r w:rsidRPr="006F7F69" w:rsidR="00F431B5">
              <w:t>or, and the Commission agreed with</w:t>
            </w:r>
            <w:r w:rsidRPr="00E826E5" w:rsidR="00F431B5">
              <w:t>, the need to address price volatility in future community solar programs</w:t>
            </w:r>
            <w:r w:rsidRPr="00E826E5" w:rsidR="00101BF5">
              <w:t>.</w:t>
            </w:r>
            <w:r w:rsidRPr="006F7F69" w:rsidR="00101BF5">
              <w:t xml:space="preserve">  The Center based its analysis of volatility on the i</w:t>
            </w:r>
            <w:r w:rsidRPr="00E826E5" w:rsidR="00101BF5">
              <w:t>mpacts</w:t>
            </w:r>
            <w:r w:rsidRPr="006F7F69" w:rsidR="00101BF5">
              <w:t xml:space="preserve"> of the Power Charge Indifference Adjustment (“PCIA”).  </w:t>
            </w:r>
          </w:p>
          <w:p w:rsidRPr="006F7F69" w:rsidR="003E5D85" w:rsidP="00480C0F" w:rsidRDefault="003E5D85" w14:paraId="10171DAF" w14:textId="77777777">
            <w:pPr>
              <w:widowControl w:val="0"/>
            </w:pPr>
          </w:p>
          <w:p w:rsidRPr="006F7F69" w:rsidR="00480C0F" w:rsidP="00480C0F" w:rsidRDefault="00480C0F" w14:paraId="58952747" w14:textId="4556CE13">
            <w:pPr>
              <w:widowControl w:val="0"/>
            </w:pPr>
            <w:r w:rsidRPr="006F7F69">
              <w:t xml:space="preserve">The PCIA </w:t>
            </w:r>
            <w:proofErr w:type="gramStart"/>
            <w:r w:rsidRPr="006F7F69">
              <w:t>in particular is</w:t>
            </w:r>
            <w:proofErr w:type="gramEnd"/>
            <w:r w:rsidRPr="006F7F69">
              <w:t xml:space="preserve"> also volatile, which creates a significant additional hurdle. The Rate Design Principles adopted by the Commission in D.15-07-001 dictate that “[r]</w:t>
            </w:r>
            <w:proofErr w:type="spellStart"/>
            <w:r w:rsidRPr="006F7F69">
              <w:t>ates</w:t>
            </w:r>
            <w:proofErr w:type="spellEnd"/>
            <w:r w:rsidRPr="006F7F69">
              <w:t xml:space="preserve"> should be stable and understandable and provide customer choice.” Developer, financier, and customer uncertainty about fees disincentivizes participation in the GAPs. (</w:t>
            </w:r>
            <w:r w:rsidRPr="00E826E5">
              <w:t xml:space="preserve">Center </w:t>
            </w:r>
            <w:r w:rsidRPr="00E826E5" w:rsidR="0034039D">
              <w:t xml:space="preserve">Proposal for </w:t>
            </w:r>
            <w:r w:rsidRPr="00E826E5">
              <w:t>Principles</w:t>
            </w:r>
            <w:r w:rsidRPr="00E826E5" w:rsidR="0034039D">
              <w:t xml:space="preserve"> to Guide Green Access Program Design</w:t>
            </w:r>
            <w:r w:rsidRPr="00E826E5">
              <w:t xml:space="preserve"> at 4).</w:t>
            </w:r>
            <w:r w:rsidRPr="006F7F69">
              <w:t xml:space="preserve">  </w:t>
            </w:r>
          </w:p>
          <w:p w:rsidRPr="006F7F69" w:rsidR="00480C0F" w:rsidP="00480C0F" w:rsidRDefault="00480C0F" w14:paraId="6D10A422" w14:textId="77777777">
            <w:pPr>
              <w:widowControl w:val="0"/>
              <w:rPr>
                <w:b/>
                <w:bCs/>
              </w:rPr>
            </w:pPr>
          </w:p>
          <w:p w:rsidRPr="006F7F69" w:rsidR="00480C0F" w:rsidP="00480C0F" w:rsidRDefault="00480C0F" w14:paraId="3275A849" w14:textId="303E4D47">
            <w:pPr>
              <w:widowControl w:val="0"/>
            </w:pPr>
            <w:r w:rsidRPr="006F7F69">
              <w:t>“</w:t>
            </w:r>
            <w:r w:rsidRPr="006F7F69" w:rsidR="00C67BCB">
              <w:t>[T]</w:t>
            </w:r>
            <w:r w:rsidRPr="006F7F69">
              <w:t>he application of an exit fee for leaving a utility’s customer base may make participation in ECR cost-prohibitive for low-income customers. This is particularly true because the PCIA is highly volatile, increasing by hundreds of millions of dollars in recent years (</w:t>
            </w:r>
            <w:r w:rsidRPr="00E826E5" w:rsidR="00CC30B6">
              <w:t xml:space="preserve">Center </w:t>
            </w:r>
            <w:r w:rsidRPr="00E826E5" w:rsidR="00F67C41">
              <w:t xml:space="preserve">Opening </w:t>
            </w:r>
            <w:r w:rsidRPr="00E826E5" w:rsidR="00CC30B6">
              <w:t xml:space="preserve">Comments on Cost-Effectiveness Considerations </w:t>
            </w:r>
            <w:r w:rsidRPr="00E826E5">
              <w:t>at 6</w:t>
            </w:r>
            <w:r w:rsidRPr="006F7F69">
              <w:t>)</w:t>
            </w:r>
            <w:r w:rsidRPr="006F7F69" w:rsidR="00933121">
              <w:t>.</w:t>
            </w:r>
          </w:p>
          <w:p w:rsidRPr="006F7F69" w:rsidR="00480C0F" w:rsidP="00480C0F" w:rsidRDefault="00480C0F" w14:paraId="66C5BCC7" w14:textId="77777777">
            <w:pPr>
              <w:widowControl w:val="0"/>
            </w:pPr>
          </w:p>
          <w:p w:rsidRPr="006F7F69" w:rsidR="00480C0F" w:rsidP="00480C0F" w:rsidRDefault="00933121" w14:paraId="4AE80A57" w14:textId="40202DCF">
            <w:pPr>
              <w:widowControl w:val="0"/>
            </w:pPr>
            <w:r w:rsidRPr="006F7F69">
              <w:t>“</w:t>
            </w:r>
            <w:r w:rsidRPr="006F7F69" w:rsidR="00480C0F">
              <w:t>In 2021, the mayor of San Jose pointed out that the PCIA had gone up 900% in PG&amp;E’s service territory since 2013.  For low-income customers and communities who cannot afford an unexpectedly high electricity bill, this shows that any additional premium can make participating in community solar simply too risky and thus out of reach.</w:t>
            </w:r>
            <w:r w:rsidRPr="006F7F69">
              <w:t>”</w:t>
            </w:r>
            <w:r w:rsidRPr="006F7F69" w:rsidR="00480C0F">
              <w:t xml:space="preserve"> (</w:t>
            </w:r>
            <w:r w:rsidRPr="00E826E5">
              <w:t xml:space="preserve">Center </w:t>
            </w:r>
            <w:r w:rsidRPr="00E826E5" w:rsidR="00480C0F">
              <w:t>Reply Brief at 6)</w:t>
            </w:r>
            <w:r w:rsidRPr="00E826E5">
              <w:t>.</w:t>
            </w:r>
          </w:p>
          <w:p w:rsidRPr="006F7F69" w:rsidR="00480C0F" w:rsidP="00480C0F" w:rsidRDefault="00480C0F" w14:paraId="42E18299" w14:textId="77777777">
            <w:pPr>
              <w:widowControl w:val="0"/>
            </w:pPr>
          </w:p>
          <w:p w:rsidRPr="00E826E5" w:rsidR="00480C0F" w:rsidP="00480C0F" w:rsidRDefault="00480C0F" w14:paraId="605BFD00" w14:textId="77777777">
            <w:pPr>
              <w:widowControl w:val="0"/>
            </w:pPr>
            <w:r w:rsidRPr="006F7F69">
              <w:t xml:space="preserve">As a result of these concerns, the Commission determined that </w:t>
            </w:r>
            <w:r w:rsidRPr="00E826E5">
              <w:t>“the</w:t>
            </w:r>
          </w:p>
          <w:p w:rsidRPr="006F7F69" w:rsidR="00480C0F" w:rsidP="00480C0F" w:rsidRDefault="00480C0F" w14:paraId="4405C589" w14:textId="77777777">
            <w:pPr>
              <w:widowControl w:val="0"/>
            </w:pPr>
            <w:r w:rsidRPr="00E826E5">
              <w:t>modifications adopted in this section of the decision are focused on addressing [rate volatility]” (Decision at 128),</w:t>
            </w:r>
            <w:r w:rsidRPr="006F7F69">
              <w:t xml:space="preserve"> including “using current market prices and developer costs will reduce customer risks of rate volatility,” (</w:t>
            </w:r>
            <w:r w:rsidRPr="00E826E5">
              <w:t>Decision at 134</w:t>
            </w:r>
            <w:r w:rsidRPr="006F7F69">
              <w:t>) and “use of the top-off approach in the modified Green Tariff will assist in limiting future price volatility.” (</w:t>
            </w:r>
            <w:r w:rsidRPr="00E826E5">
              <w:t>Decision at 144-145</w:t>
            </w:r>
            <w:r w:rsidRPr="006F7F69">
              <w:t>).</w:t>
            </w:r>
          </w:p>
          <w:p w:rsidRPr="006F7F69" w:rsidR="00480C0F" w:rsidP="00480C0F" w:rsidRDefault="00480C0F" w14:paraId="2C77FF20" w14:textId="77777777">
            <w:pPr>
              <w:widowControl w:val="0"/>
            </w:pPr>
          </w:p>
          <w:p w:rsidRPr="006F7F69" w:rsidR="00480C0F" w:rsidP="00480C0F" w:rsidRDefault="00480C0F" w14:paraId="4C724919" w14:textId="2B5A159E">
            <w:pPr>
              <w:widowControl w:val="0"/>
            </w:pPr>
            <w:r w:rsidRPr="006F7F69">
              <w:t>Ultimately, the Commission modified the Green Tariff program and integrated Green Tariff resource availability with other Integrated Resource plans to address rate volatility (</w:t>
            </w:r>
            <w:r w:rsidRPr="00E826E5">
              <w:t>Decision at 163, Findings of Fact 91 and 92</w:t>
            </w:r>
            <w:r w:rsidRPr="006F7F69">
              <w:t xml:space="preserve">).  </w:t>
            </w:r>
          </w:p>
        </w:tc>
        <w:tc>
          <w:tcPr>
            <w:tcW w:w="1957" w:type="dxa"/>
          </w:tcPr>
          <w:p w:rsidRPr="007F620E" w:rsidR="00480C0F" w:rsidP="00480C0F" w:rsidRDefault="00E26CBE" w14:paraId="576B2A82" w14:textId="70E90FAE">
            <w:pPr>
              <w:widowControl w:val="0"/>
              <w:rPr>
                <w:color w:val="000000"/>
              </w:rPr>
            </w:pPr>
            <w:r>
              <w:rPr>
                <w:color w:val="000000"/>
              </w:rPr>
              <w:lastRenderedPageBreak/>
              <w:t>Verified</w:t>
            </w:r>
            <w:r w:rsidR="00AF3BF2">
              <w:rPr>
                <w:color w:val="000000"/>
              </w:rPr>
              <w:t xml:space="preserve">. </w:t>
            </w:r>
            <w:r w:rsidR="009800DF">
              <w:rPr>
                <w:color w:val="000000"/>
              </w:rPr>
              <w:t>However, w</w:t>
            </w:r>
            <w:r w:rsidR="00AF3BF2">
              <w:rPr>
                <w:color w:val="000000"/>
              </w:rPr>
              <w:t xml:space="preserve">e note that CBD repeated positions of other parties without offering </w:t>
            </w:r>
            <w:r w:rsidR="00F24506">
              <w:rPr>
                <w:color w:val="000000"/>
              </w:rPr>
              <w:t xml:space="preserve">additional </w:t>
            </w:r>
            <w:r w:rsidR="00F24506">
              <w:rPr>
                <w:color w:val="000000"/>
              </w:rPr>
              <w:lastRenderedPageBreak/>
              <w:t xml:space="preserve">analysis or </w:t>
            </w:r>
            <w:r w:rsidR="00AF3BF2">
              <w:rPr>
                <w:color w:val="000000"/>
              </w:rPr>
              <w:t>a unique perspective.</w:t>
            </w:r>
            <w:r w:rsidRPr="007B155B" w:rsidR="00AF3BF2">
              <w:rPr>
                <w:rFonts w:asciiTheme="majorBidi" w:hAnsiTheme="majorBidi" w:cstheme="majorBidi"/>
                <w:bCs/>
                <w:i/>
                <w:iCs/>
                <w:color w:val="000000" w:themeColor="text1"/>
              </w:rPr>
              <w:t xml:space="preserve"> See</w:t>
            </w:r>
            <w:r w:rsidRPr="007B155B" w:rsidR="00AF3BF2">
              <w:rPr>
                <w:rFonts w:asciiTheme="majorBidi" w:hAnsiTheme="majorBidi" w:cstheme="majorBidi"/>
                <w:bCs/>
                <w:color w:val="000000" w:themeColor="text1"/>
              </w:rPr>
              <w:t xml:space="preserve"> Part III.D</w:t>
            </w:r>
            <w:r w:rsidRPr="007B155B" w:rsidR="00AF3BF2">
              <w:rPr>
                <w:rFonts w:asciiTheme="majorBidi" w:hAnsiTheme="majorBidi" w:cstheme="majorBidi"/>
                <w:color w:val="000000" w:themeColor="text1"/>
              </w:rPr>
              <w:t xml:space="preserve"> CPUC Comments, Disallowances, and Adjustments</w:t>
            </w:r>
            <w:r w:rsidR="00AF3BF2">
              <w:rPr>
                <w:rFonts w:asciiTheme="majorBidi" w:hAnsiTheme="majorBidi" w:cstheme="majorBidi"/>
                <w:color w:val="000000" w:themeColor="text1"/>
              </w:rPr>
              <w:t xml:space="preserve"> [</w:t>
            </w:r>
            <w:r w:rsidR="00B740F7">
              <w:rPr>
                <w:rFonts w:asciiTheme="majorBidi" w:hAnsiTheme="majorBidi" w:cstheme="majorBidi"/>
                <w:color w:val="000000" w:themeColor="text1"/>
              </w:rPr>
              <w:t>3</w:t>
            </w:r>
            <w:r w:rsidR="00AF3BF2">
              <w:rPr>
                <w:rFonts w:asciiTheme="majorBidi" w:hAnsiTheme="majorBidi" w:cstheme="majorBidi"/>
                <w:color w:val="000000" w:themeColor="text1"/>
              </w:rPr>
              <w:t>].</w:t>
            </w:r>
          </w:p>
        </w:tc>
      </w:tr>
      <w:tr w:rsidRPr="007F620E" w:rsidR="00480C0F" w:rsidTr="00D163FF" w14:paraId="398AA8FB" w14:textId="77777777">
        <w:tc>
          <w:tcPr>
            <w:tcW w:w="3055" w:type="dxa"/>
          </w:tcPr>
          <w:p w:rsidRPr="006F7F69" w:rsidR="008E3602" w:rsidP="00480C0F" w:rsidRDefault="00480C0F" w14:paraId="2653C9E7" w14:textId="6820A7E8">
            <w:pPr>
              <w:widowControl w:val="0"/>
              <w:rPr>
                <w:b/>
                <w:bCs/>
                <w:color w:val="000000"/>
              </w:rPr>
            </w:pPr>
            <w:r w:rsidRPr="006F7F69">
              <w:rPr>
                <w:b/>
                <w:bCs/>
                <w:color w:val="000000"/>
              </w:rPr>
              <w:lastRenderedPageBreak/>
              <w:t xml:space="preserve">3. </w:t>
            </w:r>
            <w:r w:rsidRPr="006F7F69" w:rsidR="008E3602">
              <w:rPr>
                <w:b/>
                <w:bCs/>
                <w:color w:val="000000"/>
              </w:rPr>
              <w:t xml:space="preserve">Location of Community Solar </w:t>
            </w:r>
          </w:p>
          <w:p w:rsidRPr="006F7F69" w:rsidR="008E3602" w:rsidP="00480C0F" w:rsidRDefault="008E3602" w14:paraId="6C0FEBE5" w14:textId="77777777">
            <w:pPr>
              <w:widowControl w:val="0"/>
              <w:rPr>
                <w:color w:val="000000"/>
              </w:rPr>
            </w:pPr>
          </w:p>
          <w:p w:rsidRPr="006F7F69" w:rsidR="00480C0F" w:rsidP="00480C0F" w:rsidRDefault="00480C0F" w14:paraId="5B4FC4CD" w14:textId="77755A23">
            <w:pPr>
              <w:widowControl w:val="0"/>
              <w:rPr>
                <w:color w:val="000000"/>
              </w:rPr>
            </w:pPr>
            <w:r w:rsidRPr="006F7F69">
              <w:rPr>
                <w:color w:val="000000"/>
              </w:rPr>
              <w:t xml:space="preserve">Throughout this proceeding, the Center advocated for the need for community solar projects to be as close to community load as possible, if not in the community itself to serve as a true “community” solar program.  </w:t>
            </w:r>
          </w:p>
          <w:p w:rsidRPr="006F7F69" w:rsidR="00480C0F" w:rsidP="00480C0F" w:rsidRDefault="00480C0F" w14:paraId="1E3DD347" w14:textId="77777777">
            <w:pPr>
              <w:widowControl w:val="0"/>
              <w:rPr>
                <w:color w:val="000000"/>
              </w:rPr>
            </w:pPr>
          </w:p>
          <w:p w:rsidRPr="006F7F69" w:rsidR="006B6B94" w:rsidP="00480C0F" w:rsidRDefault="00480C0F" w14:paraId="06AE7771" w14:textId="202E0C0A">
            <w:pPr>
              <w:widowControl w:val="0"/>
            </w:pPr>
            <w:r w:rsidRPr="006F7F69">
              <w:t>Although the Commission ultimately adopted a community renewable energy program that did not address this locational requirement,</w:t>
            </w:r>
            <w:r w:rsidRPr="006F7F69" w:rsidR="006B6B94">
              <w:t xml:space="preserve"> the </w:t>
            </w:r>
            <w:r w:rsidRPr="006F7F69" w:rsidR="00E4634D">
              <w:t xml:space="preserve">Decision ordered the IOUs to track various factors and metrics associated with </w:t>
            </w:r>
            <w:r w:rsidRPr="006F7F69" w:rsidR="00664281">
              <w:t>future community solar projects, including the location of the project.  (</w:t>
            </w:r>
            <w:r w:rsidRPr="00E826E5" w:rsidR="00664281">
              <w:t>Decision Order 6</w:t>
            </w:r>
            <w:r w:rsidRPr="006F7F69" w:rsidR="00664281">
              <w:t>).</w:t>
            </w:r>
            <w:r w:rsidRPr="006F7F69">
              <w:t xml:space="preserve"> </w:t>
            </w:r>
          </w:p>
          <w:p w:rsidRPr="006F7F69" w:rsidR="006B6B94" w:rsidP="00480C0F" w:rsidRDefault="006B6B94" w14:paraId="315FAEDD" w14:textId="77777777">
            <w:pPr>
              <w:widowControl w:val="0"/>
            </w:pPr>
          </w:p>
          <w:p w:rsidRPr="006F7F69" w:rsidR="00480C0F" w:rsidP="00480C0F" w:rsidRDefault="00664281" w14:paraId="44DF065C" w14:textId="7CE05AEA">
            <w:pPr>
              <w:widowControl w:val="0"/>
            </w:pPr>
            <w:r w:rsidRPr="006F7F69">
              <w:t xml:space="preserve">Furthermore, </w:t>
            </w:r>
            <w:r w:rsidRPr="006F7F69" w:rsidR="00480C0F">
              <w:t>the Concurrence and Dissent recommended that a future phase of this</w:t>
            </w:r>
            <w:r w:rsidRPr="006F7F69">
              <w:t xml:space="preserve"> </w:t>
            </w:r>
            <w:r w:rsidRPr="006F7F69" w:rsidR="00480C0F">
              <w:t xml:space="preserve">proceeding should address this important issue. </w:t>
            </w:r>
          </w:p>
          <w:p w:rsidRPr="006F7F69" w:rsidR="00480C0F" w:rsidP="00480C0F" w:rsidRDefault="00480C0F" w14:paraId="3B03E0C6" w14:textId="77777777">
            <w:pPr>
              <w:widowControl w:val="0"/>
            </w:pPr>
          </w:p>
          <w:p w:rsidRPr="006F7F69" w:rsidR="00480C0F" w:rsidP="00480C0F" w:rsidRDefault="00480C0F" w14:paraId="1ED2CE3E" w14:textId="77777777">
            <w:pPr>
              <w:widowControl w:val="0"/>
            </w:pPr>
            <w:r w:rsidRPr="006F7F69">
              <w:t>“Further, the CRE program declines to adopt a locational requirement that might</w:t>
            </w:r>
          </w:p>
          <w:p w:rsidRPr="006F7F69" w:rsidR="00480C0F" w:rsidP="00480C0F" w:rsidRDefault="00480C0F" w14:paraId="183EF0D9" w14:textId="77777777">
            <w:pPr>
              <w:widowControl w:val="0"/>
            </w:pPr>
            <w:proofErr w:type="gramStart"/>
            <w:r w:rsidRPr="006F7F69">
              <w:t>otherwise</w:t>
            </w:r>
            <w:proofErr w:type="gramEnd"/>
            <w:r w:rsidRPr="006F7F69">
              <w:t xml:space="preserve"> provide grid benefits and transmission and distribution avoided </w:t>
            </w:r>
            <w:r w:rsidRPr="006F7F69">
              <w:lastRenderedPageBreak/>
              <w:t>costs.</w:t>
            </w:r>
          </w:p>
          <w:p w:rsidRPr="006F7F69" w:rsidR="00480C0F" w:rsidP="00480C0F" w:rsidRDefault="00480C0F" w14:paraId="41AA83E2" w14:textId="77777777">
            <w:pPr>
              <w:widowControl w:val="0"/>
            </w:pPr>
            <w:r w:rsidRPr="006F7F69">
              <w:t>Vote Solar, Natural Resources Defense Council, and California Environmental</w:t>
            </w:r>
          </w:p>
          <w:p w:rsidRPr="006F7F69" w:rsidR="00480C0F" w:rsidP="00480C0F" w:rsidRDefault="00480C0F" w14:paraId="459240C7" w14:textId="77777777">
            <w:pPr>
              <w:widowControl w:val="0"/>
            </w:pPr>
            <w:r w:rsidRPr="006F7F69">
              <w:t>Justice Alliance (collectively, CEJA, et al.) recommend a locational requirement</w:t>
            </w:r>
          </w:p>
          <w:p w:rsidRPr="006F7F69" w:rsidR="00480C0F" w:rsidP="00480C0F" w:rsidRDefault="00480C0F" w14:paraId="16CBFDAB" w14:textId="77777777">
            <w:pPr>
              <w:widowControl w:val="0"/>
            </w:pPr>
            <w:r w:rsidRPr="006F7F69">
              <w:t>“</w:t>
            </w:r>
            <w:proofErr w:type="gramStart"/>
            <w:r w:rsidRPr="006F7F69">
              <w:t>to</w:t>
            </w:r>
            <w:proofErr w:type="gramEnd"/>
            <w:r w:rsidRPr="006F7F69">
              <w:t xml:space="preserve"> provide certainty of delivering full avoided cost benefits.” The next phase</w:t>
            </w:r>
          </w:p>
          <w:p w:rsidRPr="006F7F69" w:rsidR="00480C0F" w:rsidP="00480C0F" w:rsidRDefault="00480C0F" w14:paraId="546AB7B6" w14:textId="677EC7D8">
            <w:pPr>
              <w:widowControl w:val="0"/>
            </w:pPr>
            <w:r w:rsidRPr="006F7F69">
              <w:t>of the proceeding, as CEJA, et al. requested, should require the IOUs be required</w:t>
            </w:r>
            <w:r w:rsidRPr="006F7F69" w:rsidR="001321BE">
              <w:t xml:space="preserve"> </w:t>
            </w:r>
            <w:r w:rsidRPr="006F7F69">
              <w:t>to provide information regarding which circuits would be locations that could</w:t>
            </w:r>
            <w:r w:rsidRPr="006F7F69" w:rsidR="001321BE">
              <w:t xml:space="preserve"> </w:t>
            </w:r>
            <w:r w:rsidRPr="006F7F69">
              <w:t>benefit from community solar projects and create ratepayer cost savings.” (</w:t>
            </w:r>
            <w:r w:rsidRPr="00E826E5">
              <w:t>Concurrence and Dissent at 5</w:t>
            </w:r>
            <w:r w:rsidRPr="006F7F69">
              <w:t>)</w:t>
            </w:r>
          </w:p>
          <w:p w:rsidRPr="006F7F69" w:rsidR="00480C0F" w:rsidP="00480C0F" w:rsidRDefault="00480C0F" w14:paraId="1D16A0F4" w14:textId="77777777">
            <w:pPr>
              <w:widowControl w:val="0"/>
              <w:rPr>
                <w:color w:val="000000"/>
              </w:rPr>
            </w:pPr>
          </w:p>
          <w:p w:rsidRPr="006F7F69" w:rsidR="00480C0F" w:rsidP="00480C0F" w:rsidRDefault="00480C0F" w14:paraId="08297055" w14:textId="77777777">
            <w:pPr>
              <w:widowControl w:val="0"/>
              <w:rPr>
                <w:color w:val="000000"/>
              </w:rPr>
            </w:pPr>
          </w:p>
        </w:tc>
        <w:tc>
          <w:tcPr>
            <w:tcW w:w="4343" w:type="dxa"/>
          </w:tcPr>
          <w:p w:rsidRPr="006F7F69" w:rsidR="00B42DB4" w:rsidP="00B42DB4" w:rsidRDefault="00B42DB4" w14:paraId="0E7947CC" w14:textId="77777777">
            <w:pPr>
              <w:pStyle w:val="Default"/>
              <w:widowControl w:val="0"/>
            </w:pPr>
            <w:r w:rsidRPr="006F7F69">
              <w:lastRenderedPageBreak/>
              <w:t>The Commission’s past decisions</w:t>
            </w:r>
          </w:p>
          <w:p w:rsidRPr="006F7F69" w:rsidR="00B42DB4" w:rsidP="00B42DB4" w:rsidRDefault="00B42DB4" w14:paraId="466281BF" w14:textId="2F5133DE">
            <w:pPr>
              <w:pStyle w:val="Default"/>
              <w:widowControl w:val="0"/>
            </w:pPr>
            <w:r w:rsidRPr="006F7F69">
              <w:t xml:space="preserve">recognize that the Commission does not need to adopt an intervenor’s position on a particular issue for that intervenor to make a substantial contribution. </w:t>
            </w:r>
            <w:r w:rsidRPr="00E826E5">
              <w:t>D.08-04-004</w:t>
            </w:r>
            <w:r w:rsidRPr="00E826E5" w:rsidR="00E45301">
              <w:t xml:space="preserve"> at</w:t>
            </w:r>
            <w:r w:rsidRPr="00E826E5">
              <w:t xml:space="preserve"> 4-5; D.19-10-019</w:t>
            </w:r>
            <w:r w:rsidRPr="00E826E5" w:rsidR="00E45301">
              <w:t xml:space="preserve"> at </w:t>
            </w:r>
            <w:r w:rsidRPr="00E826E5">
              <w:t>3; D.03-03-031</w:t>
            </w:r>
            <w:r w:rsidRPr="00E826E5" w:rsidR="00E45301">
              <w:t xml:space="preserve"> at </w:t>
            </w:r>
            <w:r w:rsidRPr="00E826E5">
              <w:t>6</w:t>
            </w:r>
            <w:r w:rsidRPr="006F7F69">
              <w:t xml:space="preserve"> (“substantial contribution includes evidence or argument that supports part of the decision even if the Commission does not adopt a party’s position in total”).</w:t>
            </w:r>
          </w:p>
          <w:p w:rsidRPr="006F7F69" w:rsidR="00B42DB4" w:rsidP="00B42DB4" w:rsidRDefault="00B42DB4" w14:paraId="12E69772" w14:textId="77777777">
            <w:pPr>
              <w:pStyle w:val="Default"/>
              <w:widowControl w:val="0"/>
            </w:pPr>
          </w:p>
          <w:p w:rsidRPr="006F7F69" w:rsidR="00B42DB4" w:rsidP="00B42DB4" w:rsidRDefault="00B42DB4" w14:paraId="5180ECC0" w14:textId="2B1B009E">
            <w:pPr>
              <w:pStyle w:val="Default"/>
              <w:widowControl w:val="0"/>
            </w:pPr>
            <w:r w:rsidRPr="006F7F69">
              <w:t>Rather, intervenors substantially contribute when they have “provided a unique perspective that enriched the Commission’s deliberations and the record.”  D.05-06-027</w:t>
            </w:r>
            <w:r w:rsidRPr="006F7F69" w:rsidR="00E45301">
              <w:t xml:space="preserve"> at </w:t>
            </w:r>
            <w:r w:rsidRPr="006F7F69">
              <w:t xml:space="preserve">5. </w:t>
            </w:r>
            <w:r w:rsidRPr="006F7F69" w:rsidR="00E45301">
              <w:t xml:space="preserve"> </w:t>
            </w:r>
            <w:r w:rsidRPr="006F7F69">
              <w:t>Intervenors</w:t>
            </w:r>
          </w:p>
          <w:p w:rsidRPr="006F7F69" w:rsidR="009E2B7F" w:rsidP="009E2B7F" w:rsidRDefault="00B42DB4" w14:paraId="563256A6" w14:textId="61256EA0">
            <w:pPr>
              <w:pStyle w:val="Default"/>
              <w:widowControl w:val="0"/>
            </w:pPr>
            <w:r w:rsidRPr="006F7F69">
              <w:t xml:space="preserve">also substantially contribute when they provide a full discussion of the matters at issue </w:t>
            </w:r>
            <w:proofErr w:type="gramStart"/>
            <w:r w:rsidRPr="006F7F69">
              <w:t>so as to</w:t>
            </w:r>
            <w:proofErr w:type="gramEnd"/>
            <w:r w:rsidRPr="006F7F69">
              <w:t xml:space="preserve"> allow</w:t>
            </w:r>
            <w:r w:rsidRPr="006F7F69" w:rsidR="009E2B7F">
              <w:t xml:space="preserve"> the Commission “to fully consider the consequences of</w:t>
            </w:r>
          </w:p>
          <w:p w:rsidRPr="006F7F69" w:rsidR="009E2B7F" w:rsidP="009E2B7F" w:rsidRDefault="009E2B7F" w14:paraId="6432FA04" w14:textId="77777777">
            <w:pPr>
              <w:pStyle w:val="Default"/>
              <w:widowControl w:val="0"/>
            </w:pPr>
            <w:r w:rsidRPr="006F7F69">
              <w:t>adopting or rejecting” the parties’</w:t>
            </w:r>
          </w:p>
          <w:p w:rsidRPr="006F7F69" w:rsidR="009E2B7F" w:rsidP="00480C0F" w:rsidRDefault="009E2B7F" w14:paraId="08C2FF54" w14:textId="4ADA97CC">
            <w:pPr>
              <w:pStyle w:val="Default"/>
              <w:widowControl w:val="0"/>
            </w:pPr>
            <w:r w:rsidRPr="006F7F69">
              <w:t xml:space="preserve">proposals, and when they “assist[s] the Commission in the decision-making process.” </w:t>
            </w:r>
            <w:r w:rsidRPr="00E826E5">
              <w:t>D.08- 04-004</w:t>
            </w:r>
            <w:r w:rsidRPr="00E826E5" w:rsidR="00E45301">
              <w:t xml:space="preserve"> at </w:t>
            </w:r>
            <w:r w:rsidRPr="00E826E5">
              <w:t>5-6; D.19-10-019</w:t>
            </w:r>
            <w:r w:rsidRPr="00E826E5" w:rsidR="00E45301">
              <w:t xml:space="preserve"> at </w:t>
            </w:r>
            <w:r w:rsidRPr="00E826E5">
              <w:t>4.</w:t>
            </w:r>
          </w:p>
          <w:p w:rsidRPr="006F7F69" w:rsidR="00933121" w:rsidP="00480C0F" w:rsidRDefault="00933121" w14:paraId="4BF95D22" w14:textId="77777777">
            <w:pPr>
              <w:pStyle w:val="Default"/>
              <w:widowControl w:val="0"/>
            </w:pPr>
          </w:p>
          <w:p w:rsidRPr="006F7F69" w:rsidR="00480C0F" w:rsidP="00480C0F" w:rsidRDefault="00E45301" w14:paraId="38C72F7E" w14:textId="1842A924">
            <w:pPr>
              <w:pStyle w:val="Default"/>
              <w:widowControl w:val="0"/>
            </w:pPr>
            <w:r w:rsidRPr="006F7F69">
              <w:t>“</w:t>
            </w:r>
            <w:r w:rsidRPr="006F7F69" w:rsidR="00480C0F">
              <w:t xml:space="preserve">The Commission should prioritize and incentivize community solar projects </w:t>
            </w:r>
            <w:r w:rsidRPr="006F7F69" w:rsidR="000033AC">
              <w:t>s</w:t>
            </w:r>
            <w:r w:rsidRPr="006F7F69" w:rsidR="00480C0F">
              <w:t>ited in or near the communities they will serve.</w:t>
            </w:r>
            <w:r w:rsidRPr="006F7F69">
              <w:t>”</w:t>
            </w:r>
            <w:r w:rsidRPr="006F7F69" w:rsidR="00480C0F">
              <w:t xml:space="preserve"> </w:t>
            </w:r>
            <w:r w:rsidRPr="00E826E5" w:rsidR="00480C0F">
              <w:t>(</w:t>
            </w:r>
            <w:r w:rsidRPr="00E826E5">
              <w:t xml:space="preserve">Center Proposal for Principles to Guide Green Access Program Design </w:t>
            </w:r>
            <w:r w:rsidRPr="00E826E5" w:rsidR="00480C0F">
              <w:t>at 1-2</w:t>
            </w:r>
            <w:r w:rsidRPr="006F7F69" w:rsidR="00480C0F">
              <w:t>)</w:t>
            </w:r>
            <w:r w:rsidRPr="006F7F69" w:rsidR="00F67C41">
              <w:t>.</w:t>
            </w:r>
            <w:r w:rsidRPr="006F7F69" w:rsidR="00480C0F">
              <w:t xml:space="preserve"> </w:t>
            </w:r>
          </w:p>
          <w:p w:rsidRPr="006F7F69" w:rsidR="00480C0F" w:rsidP="00480C0F" w:rsidRDefault="00480C0F" w14:paraId="4C75BA9B" w14:textId="77777777">
            <w:pPr>
              <w:pStyle w:val="Default"/>
              <w:widowControl w:val="0"/>
            </w:pPr>
          </w:p>
          <w:p w:rsidRPr="006F7F69" w:rsidR="00480C0F" w:rsidP="00480C0F" w:rsidRDefault="00F67C41" w14:paraId="5B84B13C" w14:textId="4099425C">
            <w:pPr>
              <w:pStyle w:val="Default"/>
              <w:widowControl w:val="0"/>
            </w:pPr>
            <w:r w:rsidRPr="006F7F69">
              <w:t xml:space="preserve">“. . . </w:t>
            </w:r>
            <w:r w:rsidRPr="006F7F69" w:rsidR="00480C0F">
              <w:t>community solar projects that are sited in or near the communities they serve certainly can reduce transmission and distribution costs.</w:t>
            </w:r>
            <w:r w:rsidRPr="006F7F69">
              <w:t xml:space="preserve"> </w:t>
            </w:r>
            <w:r w:rsidRPr="006F7F69" w:rsidR="00480C0F">
              <w:t xml:space="preserve"> As the Center argued in our opening comments, there simply can </w:t>
            </w:r>
            <w:r w:rsidRPr="006F7F69" w:rsidR="00480C0F">
              <w:lastRenderedPageBreak/>
              <w:t>be no question that locally sited community solar projects can reduce the need for additional transmission capacity</w:t>
            </w:r>
            <w:r w:rsidRPr="00E826E5">
              <w:t>.”</w:t>
            </w:r>
            <w:r w:rsidRPr="00E826E5" w:rsidR="00480C0F">
              <w:t xml:space="preserve"> </w:t>
            </w:r>
            <w:r w:rsidRPr="00E826E5">
              <w:t xml:space="preserve"> </w:t>
            </w:r>
            <w:r w:rsidRPr="00E826E5" w:rsidR="00480C0F">
              <w:t>(</w:t>
            </w:r>
            <w:r w:rsidRPr="00E826E5">
              <w:t xml:space="preserve">Center Reply Comments on Cost-Effectiveness Considerations </w:t>
            </w:r>
            <w:r w:rsidRPr="00E826E5" w:rsidR="00480C0F">
              <w:t>at 3)</w:t>
            </w:r>
            <w:r w:rsidRPr="00E826E5">
              <w:t>.</w:t>
            </w:r>
            <w:r w:rsidRPr="006F7F69" w:rsidR="00480C0F">
              <w:t xml:space="preserve"> </w:t>
            </w:r>
          </w:p>
          <w:p w:rsidRPr="006F7F69" w:rsidR="00480C0F" w:rsidP="00480C0F" w:rsidRDefault="00480C0F" w14:paraId="0C903E57" w14:textId="77777777">
            <w:pPr>
              <w:widowControl w:val="0"/>
              <w:rPr>
                <w:b/>
                <w:bCs/>
              </w:rPr>
            </w:pPr>
          </w:p>
          <w:p w:rsidRPr="006F7F69" w:rsidR="00480C0F" w:rsidP="00480C0F" w:rsidRDefault="00F67C41" w14:paraId="14B44688" w14:textId="6F05BE10">
            <w:pPr>
              <w:widowControl w:val="0"/>
            </w:pPr>
            <w:r w:rsidRPr="006F7F69">
              <w:t xml:space="preserve">“. . . </w:t>
            </w:r>
            <w:r w:rsidRPr="006F7F69" w:rsidR="00480C0F">
              <w:t>prioritizing locally sited community solar projects is the best way to ensure that participating</w:t>
            </w:r>
            <w:r w:rsidRPr="006F7F69">
              <w:t xml:space="preserve"> </w:t>
            </w:r>
            <w:r w:rsidRPr="006F7F69" w:rsidR="00480C0F">
              <w:t xml:space="preserve">communities—particularly disadvantaged communities—receive all the potential benefits, including non-energy benefits, that community solar has to offer. </w:t>
            </w:r>
            <w:r w:rsidRPr="00E826E5" w:rsidR="00480C0F">
              <w:t>(</w:t>
            </w:r>
            <w:r w:rsidRPr="00E826E5">
              <w:rPr>
                <w:i/>
                <w:iCs/>
              </w:rPr>
              <w:t>Id.</w:t>
            </w:r>
            <w:r w:rsidRPr="00E826E5" w:rsidR="00480C0F">
              <w:t xml:space="preserve"> at 4)</w:t>
            </w:r>
          </w:p>
          <w:p w:rsidRPr="006F7F69" w:rsidR="00480C0F" w:rsidP="00480C0F" w:rsidRDefault="00480C0F" w14:paraId="6302885A" w14:textId="77777777">
            <w:pPr>
              <w:widowControl w:val="0"/>
              <w:rPr>
                <w:b/>
                <w:bCs/>
              </w:rPr>
            </w:pPr>
          </w:p>
          <w:p w:rsidRPr="006F7F69" w:rsidR="00480C0F" w:rsidP="00480C0F" w:rsidRDefault="00842F3C" w14:paraId="7335C054" w14:textId="486946F9">
            <w:pPr>
              <w:widowControl w:val="0"/>
            </w:pPr>
            <w:r w:rsidRPr="006F7F69">
              <w:t>“</w:t>
            </w:r>
            <w:r w:rsidRPr="006F7F69" w:rsidR="00480C0F">
              <w:t>The benefits of local community solar projects include, among others, increased community buy-in, local jobs, investment and economic benefits, reduced costs resulting from less need for expensive transmission infrastructure, and environmental benefits such as reduced harm to species, habitats, and high-value agricultural land as a result of less need to build large-scale generation and transmission infrastructure.30 Local projects also minimize “line loss,” or the amount of electricity that is lost during transmission and distribution across the grid.</w:t>
            </w:r>
            <w:r w:rsidRPr="006F7F69">
              <w:t>”</w:t>
            </w:r>
            <w:r w:rsidRPr="006F7F69" w:rsidR="00480C0F">
              <w:t xml:space="preserve"> (</w:t>
            </w:r>
            <w:r w:rsidRPr="00E826E5" w:rsidR="00F67C41">
              <w:t xml:space="preserve">Center </w:t>
            </w:r>
            <w:r w:rsidRPr="00E826E5" w:rsidR="00480C0F">
              <w:t xml:space="preserve">Comments on </w:t>
            </w:r>
            <w:r w:rsidRPr="00E826E5" w:rsidR="009A026E">
              <w:t xml:space="preserve">Aspects of </w:t>
            </w:r>
            <w:r w:rsidRPr="00E826E5" w:rsidR="00480C0F">
              <w:t>N</w:t>
            </w:r>
            <w:r w:rsidRPr="00E826E5" w:rsidR="009A026E">
              <w:t xml:space="preserve">et Value </w:t>
            </w:r>
            <w:r w:rsidRPr="00E826E5" w:rsidR="00480C0F">
              <w:t>B</w:t>
            </w:r>
            <w:r w:rsidRPr="00E826E5" w:rsidR="009A026E">
              <w:t xml:space="preserve">illing </w:t>
            </w:r>
            <w:r w:rsidRPr="00E826E5" w:rsidR="00480C0F">
              <w:t>T</w:t>
            </w:r>
            <w:r w:rsidRPr="00E826E5" w:rsidR="009A026E">
              <w:t>ariff Proposal</w:t>
            </w:r>
            <w:r w:rsidRPr="00E826E5" w:rsidR="00480C0F">
              <w:t xml:space="preserve"> at 11</w:t>
            </w:r>
            <w:r w:rsidRPr="006F7F69" w:rsidR="00480C0F">
              <w:t>)</w:t>
            </w:r>
            <w:r w:rsidRPr="006F7F69" w:rsidR="009A026E">
              <w:t xml:space="preserve">.  </w:t>
            </w:r>
          </w:p>
          <w:p w:rsidRPr="006F7F69" w:rsidR="00480C0F" w:rsidP="00480C0F" w:rsidRDefault="00480C0F" w14:paraId="70205C56" w14:textId="77777777">
            <w:pPr>
              <w:widowControl w:val="0"/>
              <w:rPr>
                <w:b/>
                <w:bCs/>
              </w:rPr>
            </w:pPr>
          </w:p>
          <w:p w:rsidRPr="006F7F69" w:rsidR="00480C0F" w:rsidP="00480C0F" w:rsidRDefault="00031E3D" w14:paraId="248338F8" w14:textId="6C008E73">
            <w:pPr>
              <w:widowControl w:val="0"/>
            </w:pPr>
            <w:r w:rsidRPr="006F7F69">
              <w:t xml:space="preserve">“. . . </w:t>
            </w:r>
            <w:r w:rsidRPr="006F7F69" w:rsidR="00480C0F">
              <w:t>limiting projects to locations where circuits can already accommodate interconnection without significant upgrades will directly frustrate the program’s purpose to improve access to community solar in low-income and disadvantaged communities. If the Commission does include such limitations, there should be clear exceptions for DACs to ensure that the program does not simply perpetuate historical inequities</w:t>
            </w:r>
            <w:r w:rsidRPr="006F7F69">
              <w:t>.”</w:t>
            </w:r>
            <w:r w:rsidRPr="006F7F69" w:rsidR="00480C0F">
              <w:t xml:space="preserve"> (</w:t>
            </w:r>
            <w:r w:rsidRPr="00E826E5">
              <w:rPr>
                <w:i/>
                <w:iCs/>
              </w:rPr>
              <w:t>Id.</w:t>
            </w:r>
            <w:r w:rsidRPr="00E826E5">
              <w:t xml:space="preserve"> at</w:t>
            </w:r>
            <w:r w:rsidRPr="00E826E5" w:rsidR="00480C0F">
              <w:t xml:space="preserve"> 13)</w:t>
            </w:r>
          </w:p>
          <w:p w:rsidRPr="006F7F69" w:rsidR="00480C0F" w:rsidP="00480C0F" w:rsidRDefault="00480C0F" w14:paraId="592D40F5" w14:textId="77777777">
            <w:pPr>
              <w:widowControl w:val="0"/>
              <w:rPr>
                <w:b/>
                <w:bCs/>
              </w:rPr>
            </w:pPr>
          </w:p>
          <w:p w:rsidRPr="006F7F69" w:rsidR="00480C0F" w:rsidP="00480C0F" w:rsidRDefault="008F2641" w14:paraId="3821E00E" w14:textId="699FAE42">
            <w:pPr>
              <w:pStyle w:val="Default"/>
              <w:widowControl w:val="0"/>
            </w:pPr>
            <w:r w:rsidRPr="006F7F69">
              <w:t>“</w:t>
            </w:r>
            <w:r w:rsidRPr="006F7F69" w:rsidR="00480C0F">
              <w:t>Prioritizing Localized Community Solar Projects Helps Community Solar Programs Succeed</w:t>
            </w:r>
            <w:r w:rsidRPr="006F7F69">
              <w:t>”</w:t>
            </w:r>
            <w:r w:rsidRPr="006F7F69" w:rsidR="00480C0F">
              <w:t xml:space="preserve"> </w:t>
            </w:r>
            <w:r w:rsidRPr="00E826E5" w:rsidR="00480C0F">
              <w:t>(</w:t>
            </w:r>
            <w:r w:rsidRPr="00E826E5">
              <w:t>Center S</w:t>
            </w:r>
            <w:r w:rsidRPr="00E826E5" w:rsidR="00480C0F">
              <w:t xml:space="preserve">urrebuttal </w:t>
            </w:r>
            <w:r w:rsidRPr="00E826E5">
              <w:lastRenderedPageBreak/>
              <w:t>T</w:t>
            </w:r>
            <w:r w:rsidRPr="00E826E5" w:rsidR="00480C0F">
              <w:t>estimony at 4</w:t>
            </w:r>
            <w:r w:rsidRPr="00E826E5" w:rsidR="00B1269F">
              <w:t>-6</w:t>
            </w:r>
            <w:r w:rsidRPr="00E826E5" w:rsidR="00480C0F">
              <w:t>)</w:t>
            </w:r>
            <w:r w:rsidRPr="00E826E5">
              <w:t>.</w:t>
            </w:r>
            <w:r w:rsidRPr="006F7F69">
              <w:t xml:space="preserve">  </w:t>
            </w:r>
            <w:r w:rsidRPr="006F7F69" w:rsidR="00480C0F">
              <w:t xml:space="preserve"> </w:t>
            </w:r>
          </w:p>
          <w:p w:rsidRPr="006F7F69" w:rsidR="00480C0F" w:rsidP="00480C0F" w:rsidRDefault="00480C0F" w14:paraId="069D45E4" w14:textId="77777777">
            <w:pPr>
              <w:widowControl w:val="0"/>
              <w:rPr>
                <w:color w:val="000000"/>
              </w:rPr>
            </w:pPr>
          </w:p>
        </w:tc>
        <w:tc>
          <w:tcPr>
            <w:tcW w:w="1957" w:type="dxa"/>
          </w:tcPr>
          <w:p w:rsidRPr="007F620E" w:rsidR="00480C0F" w:rsidP="00480C0F" w:rsidRDefault="00D64D7A" w14:paraId="5A8EF645" w14:textId="2BDA5192">
            <w:pPr>
              <w:widowControl w:val="0"/>
              <w:rPr>
                <w:color w:val="000000"/>
              </w:rPr>
            </w:pPr>
            <w:r>
              <w:rPr>
                <w:color w:val="000000"/>
              </w:rPr>
              <w:lastRenderedPageBreak/>
              <w:t>Verified</w:t>
            </w:r>
            <w:r w:rsidR="00AF3BF2">
              <w:rPr>
                <w:color w:val="000000"/>
              </w:rPr>
              <w:t xml:space="preserve">. </w:t>
            </w:r>
            <w:r w:rsidR="009800DF">
              <w:rPr>
                <w:color w:val="000000"/>
              </w:rPr>
              <w:t>However, w</w:t>
            </w:r>
            <w:r w:rsidR="00AF3BF2">
              <w:rPr>
                <w:color w:val="000000"/>
              </w:rPr>
              <w:t xml:space="preserve">e note that CBD repeated positions of other parties without </w:t>
            </w:r>
            <w:r w:rsidR="00F24506">
              <w:rPr>
                <w:color w:val="000000"/>
              </w:rPr>
              <w:t xml:space="preserve">additional analysis or </w:t>
            </w:r>
            <w:r w:rsidR="00AF3BF2">
              <w:rPr>
                <w:color w:val="000000"/>
              </w:rPr>
              <w:t>offering a unique perspective.</w:t>
            </w:r>
            <w:r w:rsidRPr="007B155B" w:rsidR="00AF3BF2">
              <w:rPr>
                <w:rFonts w:asciiTheme="majorBidi" w:hAnsiTheme="majorBidi" w:cstheme="majorBidi"/>
                <w:bCs/>
                <w:i/>
                <w:iCs/>
                <w:color w:val="000000" w:themeColor="text1"/>
              </w:rPr>
              <w:t xml:space="preserve"> See</w:t>
            </w:r>
            <w:r w:rsidRPr="007B155B" w:rsidR="00AF3BF2">
              <w:rPr>
                <w:rFonts w:asciiTheme="majorBidi" w:hAnsiTheme="majorBidi" w:cstheme="majorBidi"/>
                <w:bCs/>
                <w:color w:val="000000" w:themeColor="text1"/>
              </w:rPr>
              <w:t xml:space="preserve"> Part III.D</w:t>
            </w:r>
            <w:r w:rsidRPr="007B155B" w:rsidR="00AF3BF2">
              <w:rPr>
                <w:rFonts w:asciiTheme="majorBidi" w:hAnsiTheme="majorBidi" w:cstheme="majorBidi"/>
                <w:color w:val="000000" w:themeColor="text1"/>
              </w:rPr>
              <w:t xml:space="preserve"> CPUC Comments, Disallowances, and Adjustments</w:t>
            </w:r>
            <w:r w:rsidR="00AF3BF2">
              <w:rPr>
                <w:rFonts w:asciiTheme="majorBidi" w:hAnsiTheme="majorBidi" w:cstheme="majorBidi"/>
                <w:color w:val="000000" w:themeColor="text1"/>
              </w:rPr>
              <w:t xml:space="preserve"> [</w:t>
            </w:r>
            <w:r w:rsidR="00B740F7">
              <w:rPr>
                <w:rFonts w:asciiTheme="majorBidi" w:hAnsiTheme="majorBidi" w:cstheme="majorBidi"/>
                <w:color w:val="000000" w:themeColor="text1"/>
              </w:rPr>
              <w:t>3</w:t>
            </w:r>
            <w:r w:rsidR="00AF3BF2">
              <w:rPr>
                <w:rFonts w:asciiTheme="majorBidi" w:hAnsiTheme="majorBidi" w:cstheme="majorBidi"/>
                <w:color w:val="000000" w:themeColor="text1"/>
              </w:rPr>
              <w:t>].</w:t>
            </w:r>
          </w:p>
        </w:tc>
      </w:tr>
    </w:tbl>
    <w:p w:rsidRPr="007F620E" w:rsidR="00A92D0B" w:rsidP="005B5B44" w:rsidRDefault="00A92D0B" w14:paraId="0D4BCD3A" w14:textId="77777777">
      <w:pPr>
        <w:keepNext/>
        <w:numPr>
          <w:ilvl w:val="0"/>
          <w:numId w:val="8"/>
        </w:numPr>
        <w:spacing w:before="240" w:after="240"/>
        <w:rPr>
          <w:b/>
          <w:color w:val="000000"/>
        </w:rPr>
      </w:pPr>
      <w:r w:rsidRPr="007F620E">
        <w:rPr>
          <w:b/>
          <w:color w:val="000000"/>
        </w:rPr>
        <w:lastRenderedPageBreak/>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7F620E" w:rsidR="00A92D0B" w:rsidTr="00446E89" w14:paraId="76F3266C" w14:textId="77777777">
        <w:tc>
          <w:tcPr>
            <w:tcW w:w="6048" w:type="dxa"/>
            <w:shd w:val="clear" w:color="auto" w:fill="D9D9D9" w:themeFill="background1" w:themeFillShade="D9"/>
          </w:tcPr>
          <w:p w:rsidRPr="007F620E"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7F620E" w:rsidR="00A92D0B" w:rsidP="00073262" w:rsidRDefault="005A63D4" w14:paraId="7B091096" w14:textId="77777777">
            <w:pPr>
              <w:keepNext/>
              <w:keepLines/>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980" w:type="dxa"/>
            <w:shd w:val="clear" w:color="auto" w:fill="D9D9D9" w:themeFill="background1" w:themeFillShade="D9"/>
          </w:tcPr>
          <w:p w:rsidRPr="007F620E" w:rsidR="00A92D0B" w:rsidP="00073262" w:rsidRDefault="00A92D0B" w14:paraId="25CE5081" w14:textId="77777777">
            <w:pPr>
              <w:keepNext/>
              <w:keepLines/>
              <w:jc w:val="center"/>
              <w:rPr>
                <w:b/>
                <w:color w:val="000000"/>
              </w:rPr>
            </w:pPr>
            <w:r w:rsidRPr="007F620E">
              <w:rPr>
                <w:b/>
                <w:color w:val="000000"/>
              </w:rPr>
              <w:t xml:space="preserve">CPUC </w:t>
            </w:r>
            <w:r w:rsidRPr="007F620E" w:rsidR="00D075B1">
              <w:rPr>
                <w:b/>
                <w:color w:val="000000"/>
              </w:rPr>
              <w:t>Discussion</w:t>
            </w:r>
          </w:p>
        </w:tc>
      </w:tr>
      <w:tr w:rsidRPr="007F620E" w:rsidR="00A92D0B" w:rsidTr="00446E89" w14:paraId="24A12BE1" w14:textId="77777777">
        <w:trPr>
          <w:tblHeader/>
        </w:trPr>
        <w:tc>
          <w:tcPr>
            <w:tcW w:w="6048" w:type="dxa"/>
          </w:tcPr>
          <w:p w:rsidRPr="007F620E" w:rsidR="00A92D0B" w:rsidP="00073262" w:rsidRDefault="00A92D0B" w14:paraId="6915FAF6" w14:textId="28BE8665">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sidR="009E48E4">
              <w:rPr>
                <w:b/>
                <w:color w:val="000000"/>
                <w:sz w:val="22"/>
                <w:szCs w:val="22"/>
              </w:rPr>
              <w:t>Public Advocate</w:t>
            </w:r>
            <w:r w:rsidR="00621A7C">
              <w:rPr>
                <w:b/>
                <w:color w:val="000000"/>
                <w:sz w:val="22"/>
                <w:szCs w:val="22"/>
              </w:rPr>
              <w:t>’</w:t>
            </w:r>
            <w:r w:rsidRPr="009E48E4" w:rsidR="009E48E4">
              <w:rPr>
                <w:b/>
                <w:color w:val="000000"/>
                <w:sz w:val="22"/>
                <w:szCs w:val="22"/>
              </w:rPr>
              <w:t>s Office of the Public Utilities Commission</w:t>
            </w:r>
            <w:r w:rsidRPr="009E48E4" w:rsidR="009E48E4">
              <w:rPr>
                <w:b/>
              </w:rPr>
              <w:t xml:space="preserve"> </w:t>
            </w:r>
            <w:r w:rsidRPr="00B55D78">
              <w:rPr>
                <w:b/>
                <w:color w:val="000000"/>
                <w:sz w:val="22"/>
                <w:szCs w:val="22"/>
              </w:rPr>
              <w:t>(</w:t>
            </w:r>
            <w:r w:rsidRPr="00B55D78" w:rsidR="00B55D78">
              <w:rPr>
                <w:b/>
                <w:color w:val="000000"/>
                <w:sz w:val="22"/>
                <w:szCs w:val="22"/>
              </w:rPr>
              <w:t>Cal Advocates</w:t>
            </w:r>
            <w:r w:rsidRPr="007F620E">
              <w:rPr>
                <w:b/>
              </w:rPr>
              <w:t>) a party to the proceeding</w:t>
            </w:r>
            <w:r w:rsidRPr="007F620E">
              <w:rPr>
                <w:b/>
                <w:color w:val="000000"/>
              </w:rPr>
              <w:t>?</w:t>
            </w:r>
          </w:p>
        </w:tc>
        <w:tc>
          <w:tcPr>
            <w:tcW w:w="1710" w:type="dxa"/>
          </w:tcPr>
          <w:p w:rsidRPr="00E25078" w:rsidR="00A92D0B" w:rsidP="00073262" w:rsidRDefault="001E664A" w14:paraId="0B49A7C8" w14:textId="0DC9F88D">
            <w:pPr>
              <w:keepNext/>
              <w:keepLines/>
              <w:rPr>
                <w:color w:val="000000"/>
              </w:rPr>
            </w:pPr>
            <w:r>
              <w:rPr>
                <w:color w:val="000000"/>
              </w:rPr>
              <w:t>Yes.</w:t>
            </w:r>
          </w:p>
        </w:tc>
        <w:tc>
          <w:tcPr>
            <w:tcW w:w="1980" w:type="dxa"/>
          </w:tcPr>
          <w:p w:rsidRPr="00E25078" w:rsidR="00A92D0B" w:rsidP="00073262" w:rsidRDefault="00C72DB2" w14:paraId="23B6532A" w14:textId="237CD34C">
            <w:pPr>
              <w:keepNext/>
              <w:keepLines/>
              <w:rPr>
                <w:color w:val="000000"/>
              </w:rPr>
            </w:pPr>
            <w:r>
              <w:rPr>
                <w:color w:val="000000"/>
              </w:rPr>
              <w:t>Verified</w:t>
            </w:r>
          </w:p>
        </w:tc>
      </w:tr>
      <w:tr w:rsidRPr="007F620E" w:rsidR="00A92D0B" w:rsidTr="00446E89" w14:paraId="3317BD71" w14:textId="77777777">
        <w:tc>
          <w:tcPr>
            <w:tcW w:w="6048" w:type="dxa"/>
          </w:tcPr>
          <w:p w:rsidRPr="007F620E" w:rsidR="00A92D0B" w:rsidP="00073262" w:rsidRDefault="00A92D0B" w14:paraId="561D245D"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w:t>
            </w:r>
            <w:proofErr w:type="gramStart"/>
            <w:r w:rsidRPr="007F620E">
              <w:rPr>
                <w:b/>
                <w:color w:val="000000"/>
              </w:rPr>
              <w:t>the proceeding</w:t>
            </w:r>
            <w:proofErr w:type="gramEnd"/>
            <w:r w:rsidRPr="007F620E">
              <w:rPr>
                <w:b/>
                <w:color w:val="000000"/>
              </w:rPr>
              <w:t xml:space="preserve"> with positions </w:t>
            </w:r>
            <w:proofErr w:type="gramStart"/>
            <w:r w:rsidRPr="007F620E">
              <w:rPr>
                <w:b/>
                <w:color w:val="000000"/>
              </w:rPr>
              <w:t>similar to</w:t>
            </w:r>
            <w:proofErr w:type="gramEnd"/>
            <w:r w:rsidRPr="007F620E">
              <w:rPr>
                <w:b/>
                <w:color w:val="000000"/>
              </w:rPr>
              <w:t xml:space="preserve"> yours? </w:t>
            </w:r>
          </w:p>
        </w:tc>
        <w:tc>
          <w:tcPr>
            <w:tcW w:w="1710" w:type="dxa"/>
          </w:tcPr>
          <w:p w:rsidRPr="00E25078" w:rsidR="00A92D0B" w:rsidP="00073262" w:rsidRDefault="001E664A" w14:paraId="3708E485" w14:textId="21D77A6D">
            <w:pPr>
              <w:rPr>
                <w:color w:val="000000"/>
              </w:rPr>
            </w:pPr>
            <w:r>
              <w:rPr>
                <w:color w:val="000000"/>
              </w:rPr>
              <w:t>Yes.</w:t>
            </w:r>
          </w:p>
        </w:tc>
        <w:tc>
          <w:tcPr>
            <w:tcW w:w="1980" w:type="dxa"/>
          </w:tcPr>
          <w:p w:rsidRPr="00E25078" w:rsidR="00A92D0B" w:rsidP="00073262" w:rsidRDefault="00C72DB2" w14:paraId="6B3388E6" w14:textId="06BB9582">
            <w:pPr>
              <w:rPr>
                <w:color w:val="000000"/>
              </w:rPr>
            </w:pPr>
            <w:r>
              <w:rPr>
                <w:color w:val="000000"/>
              </w:rPr>
              <w:t>Verified</w:t>
            </w:r>
          </w:p>
        </w:tc>
      </w:tr>
      <w:tr w:rsidRPr="007F620E" w:rsidR="00A92D0B" w:rsidTr="00446E89" w14:paraId="0A51B7D4" w14:textId="77777777">
        <w:tc>
          <w:tcPr>
            <w:tcW w:w="7758" w:type="dxa"/>
            <w:gridSpan w:val="2"/>
          </w:tcPr>
          <w:p w:rsidR="00A92D0B" w:rsidP="005259F6" w:rsidRDefault="005259F6" w14:paraId="55C94FCC" w14:textId="1EB05ED4">
            <w:pPr>
              <w:ind w:left="360" w:hanging="360"/>
              <w:rPr>
                <w:color w:val="000000"/>
              </w:rPr>
            </w:pPr>
            <w:r w:rsidRPr="00E25078">
              <w:rPr>
                <w:b/>
                <w:color w:val="000000"/>
              </w:rPr>
              <w:t>c.</w:t>
            </w:r>
            <w:r w:rsidRPr="00E25078">
              <w:rPr>
                <w:b/>
                <w:color w:val="000000"/>
              </w:rPr>
              <w:tab/>
              <w:t>If so, provide name of other parties:</w:t>
            </w:r>
            <w:r w:rsidRPr="00E25078">
              <w:rPr>
                <w:color w:val="000000"/>
              </w:rPr>
              <w:t xml:space="preserve"> </w:t>
            </w:r>
            <w:r>
              <w:rPr>
                <w:color w:val="000000"/>
              </w:rPr>
              <w:t xml:space="preserve">California Environmental Justice Alliance (“CEJA”), Vote Solar, Natural Resources Defense Council, The Utility Reform Network (“TURN”), and the Coalition for Community Solar Access (“CCSA”) took similar positions to increase the deployment of community solar, </w:t>
            </w:r>
            <w:proofErr w:type="gramStart"/>
            <w:r>
              <w:rPr>
                <w:color w:val="000000"/>
              </w:rPr>
              <w:t>in particular in</w:t>
            </w:r>
            <w:proofErr w:type="gramEnd"/>
            <w:r>
              <w:rPr>
                <w:color w:val="000000"/>
              </w:rPr>
              <w:t xml:space="preserve"> disadvantaged and low-income communities.  Marin Clean Energy (“MCE”) took similar positions </w:t>
            </w:r>
            <w:proofErr w:type="gramStart"/>
            <w:r>
              <w:rPr>
                <w:color w:val="000000"/>
              </w:rPr>
              <w:t>in regards to</w:t>
            </w:r>
            <w:proofErr w:type="gramEnd"/>
            <w:r>
              <w:rPr>
                <w:color w:val="000000"/>
              </w:rPr>
              <w:t xml:space="preserve"> maintaining certain existing Green Access Programs (</w:t>
            </w:r>
            <w:r w:rsidRPr="00D648FE">
              <w:rPr>
                <w:i/>
                <w:iCs/>
                <w:color w:val="000000"/>
              </w:rPr>
              <w:t>See also</w:t>
            </w:r>
            <w:r>
              <w:rPr>
                <w:color w:val="000000"/>
              </w:rPr>
              <w:t xml:space="preserve"> section </w:t>
            </w:r>
            <w:proofErr w:type="spellStart"/>
            <w:r>
              <w:rPr>
                <w:color w:val="000000"/>
              </w:rPr>
              <w:t>B.d.</w:t>
            </w:r>
            <w:proofErr w:type="spellEnd"/>
            <w:r>
              <w:rPr>
                <w:color w:val="000000"/>
              </w:rPr>
              <w:t>).</w:t>
            </w:r>
          </w:p>
          <w:p w:rsidRPr="00E25078" w:rsidR="00834558" w:rsidP="00315626" w:rsidRDefault="00834558" w14:paraId="0919176B" w14:textId="5B9F8AD6">
            <w:pPr>
              <w:rPr>
                <w:color w:val="000000"/>
              </w:rPr>
            </w:pPr>
          </w:p>
        </w:tc>
        <w:tc>
          <w:tcPr>
            <w:tcW w:w="1980" w:type="dxa"/>
          </w:tcPr>
          <w:p w:rsidRPr="00E25078" w:rsidR="00A92D0B" w:rsidP="00073262" w:rsidRDefault="00C72DB2" w14:paraId="22A40B49" w14:textId="6E84D461">
            <w:pPr>
              <w:rPr>
                <w:color w:val="000000"/>
              </w:rPr>
            </w:pPr>
            <w:r>
              <w:rPr>
                <w:color w:val="000000"/>
              </w:rPr>
              <w:t>Noted</w:t>
            </w:r>
          </w:p>
        </w:tc>
      </w:tr>
      <w:tr w:rsidRPr="007F620E" w:rsidR="00A92D0B" w:rsidTr="00446E89" w14:paraId="744830F5" w14:textId="77777777">
        <w:tc>
          <w:tcPr>
            <w:tcW w:w="7758" w:type="dxa"/>
            <w:gridSpan w:val="2"/>
          </w:tcPr>
          <w:p w:rsidR="00A92D0B" w:rsidP="00373ADA" w:rsidRDefault="00EC2479" w14:paraId="28B5D924" w14:textId="0941B99C">
            <w:pPr>
              <w:tabs>
                <w:tab w:val="left" w:pos="360"/>
              </w:tabs>
              <w:ind w:left="330" w:hanging="330"/>
              <w:rPr>
                <w:color w:val="000000"/>
              </w:rPr>
            </w:pPr>
            <w:r w:rsidRPr="00E25078">
              <w:rPr>
                <w:b/>
                <w:color w:val="000000"/>
              </w:rPr>
              <w:t>d.</w:t>
            </w:r>
            <w:r w:rsidRPr="00E25078">
              <w:rPr>
                <w:b/>
                <w:color w:val="000000"/>
              </w:rPr>
              <w:tab/>
              <w:t>Intervenor’s claim of non-duplication:</w:t>
            </w:r>
            <w:r>
              <w:rPr>
                <w:color w:val="000000"/>
              </w:rPr>
              <w:t xml:space="preserve"> </w:t>
            </w:r>
            <w:r w:rsidR="000A01D1">
              <w:rPr>
                <w:color w:val="000000"/>
              </w:rPr>
              <w:t>The Center communicated with CEJA to coordinate strategy and ensure non-duplication of efforts with CEJA, Vote Solar, and NRDC at the outset of and throughout the proceeding.  The Center also communicated extensively to coordinate with CCSA throughout the proceeding.  Notably, the Center also took complementary, but different positions than CEJA</w:t>
            </w:r>
            <w:r w:rsidR="00F2656B">
              <w:rPr>
                <w:color w:val="000000"/>
              </w:rPr>
              <w:t xml:space="preserve"> et al.</w:t>
            </w:r>
            <w:r w:rsidR="000A01D1">
              <w:rPr>
                <w:color w:val="000000"/>
              </w:rPr>
              <w:t xml:space="preserve"> and CCSA, </w:t>
            </w:r>
            <w:proofErr w:type="gramStart"/>
            <w:r w:rsidR="000A01D1">
              <w:rPr>
                <w:color w:val="000000"/>
              </w:rPr>
              <w:t>in particular to</w:t>
            </w:r>
            <w:proofErr w:type="gramEnd"/>
            <w:r w:rsidR="000A01D1">
              <w:rPr>
                <w:color w:val="000000"/>
              </w:rPr>
              <w:t xml:space="preserve"> the location of community solar installations, advocating for more community solar program offerings as close as possible to </w:t>
            </w:r>
            <w:proofErr w:type="gramStart"/>
            <w:r w:rsidR="000A01D1">
              <w:rPr>
                <w:color w:val="000000"/>
              </w:rPr>
              <w:t>the  community</w:t>
            </w:r>
            <w:proofErr w:type="gramEnd"/>
            <w:r w:rsidR="000A01D1">
              <w:rPr>
                <w:color w:val="000000"/>
              </w:rPr>
              <w:t xml:space="preserve"> served, and the amount of compensation subscribers should receive through community solar programs.  The Center outlined various community benefits of community solar located </w:t>
            </w:r>
            <w:proofErr w:type="gramStart"/>
            <w:r w:rsidR="000A01D1">
              <w:rPr>
                <w:color w:val="000000"/>
              </w:rPr>
              <w:t>in close proximity to</w:t>
            </w:r>
            <w:proofErr w:type="gramEnd"/>
            <w:r w:rsidR="000A01D1">
              <w:rPr>
                <w:color w:val="000000"/>
              </w:rPr>
              <w:t xml:space="preserve"> the community served, but also uniquely added the biodiversity and land use implications of bulk system and transmission buildout to bolster those arguments.</w:t>
            </w:r>
            <w:r w:rsidR="00781A56">
              <w:rPr>
                <w:color w:val="000000"/>
              </w:rPr>
              <w:t xml:space="preserve">  </w:t>
            </w:r>
            <w:r w:rsidRPr="00373ADA" w:rsidR="007927E3">
              <w:rPr>
                <w:i/>
                <w:iCs/>
                <w:color w:val="000000"/>
              </w:rPr>
              <w:t>See</w:t>
            </w:r>
            <w:r w:rsidR="007927E3">
              <w:rPr>
                <w:color w:val="000000"/>
              </w:rPr>
              <w:t xml:space="preserve"> Cal. Pub. Util. Code § </w:t>
            </w:r>
            <w:r w:rsidR="00373ADA">
              <w:rPr>
                <w:color w:val="000000"/>
              </w:rPr>
              <w:t xml:space="preserve">1802.5 </w:t>
            </w:r>
            <w:r w:rsidR="007927E3">
              <w:rPr>
                <w:color w:val="000000"/>
              </w:rPr>
              <w:t>(</w:t>
            </w:r>
            <w:r w:rsidR="00373ADA">
              <w:rPr>
                <w:color w:val="000000"/>
              </w:rPr>
              <w:t>f</w:t>
            </w:r>
            <w:r w:rsidR="007927E3">
              <w:rPr>
                <w:color w:val="000000"/>
              </w:rPr>
              <w:t>ull compensation is warranted</w:t>
            </w:r>
            <w:r w:rsidR="00373ADA">
              <w:rPr>
                <w:color w:val="000000"/>
              </w:rPr>
              <w:t xml:space="preserve"> where participation “</w:t>
            </w:r>
            <w:r w:rsidRPr="00373ADA" w:rsidR="00373ADA">
              <w:rPr>
                <w:color w:val="000000"/>
              </w:rPr>
              <w:t>materially supplements,</w:t>
            </w:r>
            <w:r w:rsidR="00373ADA">
              <w:rPr>
                <w:color w:val="000000"/>
              </w:rPr>
              <w:t xml:space="preserve"> </w:t>
            </w:r>
            <w:r w:rsidRPr="00373ADA" w:rsidR="00373ADA">
              <w:rPr>
                <w:color w:val="000000"/>
              </w:rPr>
              <w:t>complements, or contributes to</w:t>
            </w:r>
            <w:r w:rsidR="00373ADA">
              <w:t xml:space="preserve"> t</w:t>
            </w:r>
            <w:r w:rsidRPr="00373ADA" w:rsidR="00373ADA">
              <w:rPr>
                <w:color w:val="000000"/>
              </w:rPr>
              <w:t>he presentation of another party.”</w:t>
            </w:r>
            <w:r w:rsidR="00373ADA">
              <w:rPr>
                <w:color w:val="000000"/>
              </w:rPr>
              <w:t xml:space="preserve">) </w:t>
            </w:r>
            <w:r w:rsidR="00373ADA">
              <w:rPr>
                <w:i/>
                <w:iCs/>
                <w:color w:val="000000"/>
              </w:rPr>
              <w:t>S</w:t>
            </w:r>
            <w:r w:rsidRPr="00373ADA" w:rsidR="00373ADA">
              <w:rPr>
                <w:i/>
                <w:iCs/>
                <w:color w:val="000000"/>
              </w:rPr>
              <w:t>ee also</w:t>
            </w:r>
            <w:r w:rsidRPr="00373ADA" w:rsidR="00373ADA">
              <w:rPr>
                <w:color w:val="000000"/>
              </w:rPr>
              <w:t xml:space="preserve"> D.03-03-031</w:t>
            </w:r>
            <w:r w:rsidR="00373ADA">
              <w:rPr>
                <w:color w:val="000000"/>
              </w:rPr>
              <w:t xml:space="preserve"> at</w:t>
            </w:r>
            <w:r w:rsidRPr="00373ADA" w:rsidR="00373ADA">
              <w:rPr>
                <w:color w:val="000000"/>
              </w:rPr>
              <w:t xml:space="preserve"> 14.</w:t>
            </w:r>
          </w:p>
          <w:p w:rsidR="00D767E1" w:rsidP="00EC2479" w:rsidRDefault="00D767E1" w14:paraId="0F1443A1" w14:textId="77777777">
            <w:pPr>
              <w:tabs>
                <w:tab w:val="left" w:pos="360"/>
              </w:tabs>
              <w:ind w:left="330" w:hanging="330"/>
              <w:rPr>
                <w:color w:val="000000"/>
              </w:rPr>
            </w:pPr>
          </w:p>
          <w:p w:rsidR="008F68A4" w:rsidP="008F68A4" w:rsidRDefault="00D767E1" w14:paraId="4DBA05F8" w14:textId="77777777">
            <w:pPr>
              <w:tabs>
                <w:tab w:val="left" w:pos="360"/>
              </w:tabs>
              <w:ind w:left="330"/>
              <w:rPr>
                <w:color w:val="000000"/>
              </w:rPr>
            </w:pPr>
            <w:r>
              <w:rPr>
                <w:color w:val="000000"/>
              </w:rPr>
              <w:t xml:space="preserve">The Center also sought to maintain certain Green Access Programs that provided greater bill savings to subscribers than other proposals before the Commission.  </w:t>
            </w:r>
            <w:r w:rsidR="008F68A4">
              <w:rPr>
                <w:color w:val="000000"/>
              </w:rPr>
              <w:t xml:space="preserve">In this regard, the Center similarly coordinated advocacy with MCE.       </w:t>
            </w:r>
          </w:p>
          <w:p w:rsidR="008F68A4" w:rsidP="008F68A4" w:rsidRDefault="008F68A4" w14:paraId="7483DE12" w14:textId="77777777">
            <w:pPr>
              <w:tabs>
                <w:tab w:val="left" w:pos="360"/>
              </w:tabs>
              <w:ind w:left="330" w:hanging="330"/>
              <w:rPr>
                <w:color w:val="000000"/>
              </w:rPr>
            </w:pPr>
          </w:p>
          <w:p w:rsidR="008F68A4" w:rsidP="0096701E" w:rsidRDefault="00D767E1" w14:paraId="7626A1B2" w14:textId="77777777">
            <w:pPr>
              <w:tabs>
                <w:tab w:val="left" w:pos="360"/>
              </w:tabs>
              <w:ind w:left="330"/>
              <w:rPr>
                <w:color w:val="000000"/>
              </w:rPr>
            </w:pPr>
            <w:r>
              <w:rPr>
                <w:color w:val="000000"/>
              </w:rPr>
              <w:lastRenderedPageBreak/>
              <w:t>Overall, the Center</w:t>
            </w:r>
            <w:r w:rsidR="00CE16F4">
              <w:rPr>
                <w:color w:val="000000"/>
              </w:rPr>
              <w:t xml:space="preserve">’s advocacy differed from parties that took similar positions </w:t>
            </w:r>
            <w:r w:rsidR="00C17FDF">
              <w:rPr>
                <w:color w:val="000000"/>
              </w:rPr>
              <w:t xml:space="preserve">as the Center </w:t>
            </w:r>
            <w:r>
              <w:rPr>
                <w:color w:val="000000"/>
              </w:rPr>
              <w:t xml:space="preserve">sought to improve aspects of CCSA’s community solar </w:t>
            </w:r>
            <w:proofErr w:type="gramStart"/>
            <w:r>
              <w:rPr>
                <w:color w:val="000000"/>
              </w:rPr>
              <w:t>proposal, but</w:t>
            </w:r>
            <w:proofErr w:type="gramEnd"/>
            <w:r>
              <w:rPr>
                <w:color w:val="000000"/>
              </w:rPr>
              <w:t xml:space="preserve"> also maintain and improve access to </w:t>
            </w:r>
            <w:r w:rsidR="00114B09">
              <w:rPr>
                <w:color w:val="000000"/>
              </w:rPr>
              <w:t>existing</w:t>
            </w:r>
            <w:r>
              <w:rPr>
                <w:color w:val="000000"/>
              </w:rPr>
              <w:t xml:space="preserve"> Green Access Programs, including the </w:t>
            </w:r>
            <w:r w:rsidR="00425CA1">
              <w:rPr>
                <w:color w:val="000000"/>
              </w:rPr>
              <w:t>Community Solar Green Tariff program</w:t>
            </w:r>
            <w:r w:rsidR="00114B09">
              <w:rPr>
                <w:color w:val="000000"/>
              </w:rPr>
              <w:t xml:space="preserve">, </w:t>
            </w:r>
            <w:proofErr w:type="gramStart"/>
            <w:r w:rsidR="00114B09">
              <w:rPr>
                <w:color w:val="000000"/>
              </w:rPr>
              <w:t>in particular for</w:t>
            </w:r>
            <w:proofErr w:type="gramEnd"/>
            <w:r w:rsidR="00114B09">
              <w:rPr>
                <w:color w:val="000000"/>
              </w:rPr>
              <w:t xml:space="preserve"> </w:t>
            </w:r>
            <w:r w:rsidR="00425CA1">
              <w:rPr>
                <w:color w:val="000000"/>
              </w:rPr>
              <w:t>low-income and environmental justice communities</w:t>
            </w:r>
            <w:r>
              <w:rPr>
                <w:color w:val="000000"/>
              </w:rPr>
              <w:t>.</w:t>
            </w:r>
            <w:r w:rsidR="00114B09">
              <w:rPr>
                <w:color w:val="000000"/>
              </w:rPr>
              <w:t xml:space="preserve">  The Center’s participation also leveraged its national experience that similarly </w:t>
            </w:r>
            <w:r w:rsidRPr="0096701E" w:rsidR="0096701E">
              <w:rPr>
                <w:color w:val="000000"/>
              </w:rPr>
              <w:t>enriched the Commission’s deliberations</w:t>
            </w:r>
            <w:r w:rsidR="0096701E">
              <w:rPr>
                <w:color w:val="000000"/>
              </w:rPr>
              <w:t xml:space="preserve"> </w:t>
            </w:r>
            <w:r w:rsidRPr="0096701E" w:rsidR="0096701E">
              <w:rPr>
                <w:color w:val="000000"/>
              </w:rPr>
              <w:t xml:space="preserve">and substantially contributed to the Decision’s findings and analyses. </w:t>
            </w:r>
          </w:p>
          <w:p w:rsidRPr="00E25078" w:rsidR="00B86B5D" w:rsidP="0096701E" w:rsidRDefault="00B86B5D" w14:paraId="3228BB07" w14:textId="16BD66FF">
            <w:pPr>
              <w:tabs>
                <w:tab w:val="left" w:pos="360"/>
              </w:tabs>
              <w:ind w:left="330"/>
              <w:rPr>
                <w:color w:val="000000"/>
              </w:rPr>
            </w:pPr>
          </w:p>
        </w:tc>
        <w:tc>
          <w:tcPr>
            <w:tcW w:w="1980" w:type="dxa"/>
          </w:tcPr>
          <w:p w:rsidRPr="006458E0" w:rsidR="00A92D0B" w:rsidP="006458E0" w:rsidRDefault="00AF3BF2" w14:paraId="5F9BBA55" w14:textId="71781F1C">
            <w:r w:rsidRPr="006458E0">
              <w:lastRenderedPageBreak/>
              <w:t xml:space="preserve">We note that CBD repeated positions of other parties without offering </w:t>
            </w:r>
            <w:r w:rsidR="00F24506">
              <w:rPr>
                <w:color w:val="000000"/>
              </w:rPr>
              <w:t xml:space="preserve">additional analysis or </w:t>
            </w:r>
            <w:r w:rsidRPr="006458E0">
              <w:t xml:space="preserve">a unique perspective. </w:t>
            </w:r>
            <w:r w:rsidRPr="006458E0">
              <w:rPr>
                <w:i/>
                <w:iCs/>
              </w:rPr>
              <w:t>See</w:t>
            </w:r>
            <w:r w:rsidRPr="006458E0">
              <w:t xml:space="preserve"> Part III.D CPUC Comments, Disallowances, and Adjustments [</w:t>
            </w:r>
            <w:r w:rsidR="00B740F7">
              <w:t>3</w:t>
            </w:r>
            <w:r w:rsidRPr="006458E0">
              <w:t>].</w:t>
            </w:r>
          </w:p>
        </w:tc>
      </w:tr>
    </w:tbl>
    <w:p w:rsidRPr="007F620E" w:rsidR="00B312DA" w:rsidP="005B5B44" w:rsidRDefault="00A92D0B" w14:paraId="175C3F89" w14:textId="2899D6B5">
      <w:pPr>
        <w:keepNext/>
        <w:tabs>
          <w:tab w:val="left" w:pos="1260"/>
        </w:tabs>
        <w:spacing w:before="480"/>
        <w:ind w:left="1267" w:hanging="1267"/>
        <w:jc w:val="center"/>
        <w:rPr>
          <w:b/>
          <w:color w:val="000000"/>
        </w:rPr>
      </w:pPr>
      <w:r w:rsidRPr="007F620E">
        <w:rPr>
          <w:b/>
          <w:color w:val="000000"/>
        </w:rPr>
        <w:t>PART III:</w:t>
      </w:r>
      <w:r w:rsidR="00D1778A">
        <w:rPr>
          <w:b/>
          <w:color w:val="000000"/>
        </w:rPr>
        <w:t xml:space="preserve"> </w:t>
      </w:r>
      <w:r w:rsidRPr="007F620E">
        <w:rPr>
          <w:b/>
          <w:color w:val="000000"/>
        </w:rPr>
        <w:t>REASONABLENESS OF REQUESTED COMPENSATION</w:t>
      </w:r>
    </w:p>
    <w:p w:rsidRPr="007F620E" w:rsidR="00A92D0B" w:rsidP="005B5B44" w:rsidRDefault="00A92D0B" w14:paraId="6F74DAE2" w14:textId="77777777">
      <w:pPr>
        <w:keepNext/>
        <w:numPr>
          <w:ilvl w:val="0"/>
          <w:numId w:val="9"/>
        </w:numPr>
        <w:spacing w:before="240" w:after="24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7F620E"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250" w:type="dxa"/>
            <w:shd w:val="clear" w:color="auto" w:fill="D9D9D9" w:themeFill="background1" w:themeFillShade="D9"/>
          </w:tcPr>
          <w:p w:rsidRPr="00FE3BAE" w:rsidR="00FE3BAE" w:rsidP="00EC6387" w:rsidRDefault="00FE3BAE" w14:paraId="59CD9FCF" w14:textId="77777777">
            <w:pPr>
              <w:rPr>
                <w:color w:val="000000"/>
              </w:rPr>
            </w:pPr>
            <w:r w:rsidRPr="007F620E">
              <w:rPr>
                <w:b/>
                <w:color w:val="000000"/>
              </w:rPr>
              <w:t>CPUC Discussion</w:t>
            </w:r>
          </w:p>
        </w:tc>
      </w:tr>
      <w:tr w:rsidRPr="007F620E" w:rsidR="00FE3BAE" w:rsidTr="005C67CF" w14:paraId="5708510E" w14:textId="77777777">
        <w:tc>
          <w:tcPr>
            <w:tcW w:w="7488" w:type="dxa"/>
            <w:tcBorders>
              <w:bottom w:val="single" w:color="auto" w:sz="4" w:space="0"/>
            </w:tcBorders>
          </w:tcPr>
          <w:p w:rsidRPr="00E25078" w:rsidR="00FE3BAE" w:rsidP="00EC6387" w:rsidRDefault="00FE3BAE" w14:paraId="707F9932" w14:textId="24B1B5E0">
            <w:pPr>
              <w:rPr>
                <w:color w:val="000000"/>
              </w:rPr>
            </w:pPr>
            <w:r w:rsidRPr="007F620E">
              <w:rPr>
                <w:b/>
                <w:color w:val="000000"/>
              </w:rPr>
              <w:t>a. Intervenor’s claim of cost reasonableness:</w:t>
            </w:r>
            <w:r w:rsidRPr="00E25078" w:rsidR="00E25078">
              <w:rPr>
                <w:color w:val="000000"/>
              </w:rPr>
              <w:t xml:space="preserve"> </w:t>
            </w:r>
          </w:p>
          <w:p w:rsidR="00691528" w:rsidP="00EC6387" w:rsidRDefault="00691528" w14:paraId="6A25116A" w14:textId="77777777">
            <w:pPr>
              <w:rPr>
                <w:color w:val="000000"/>
              </w:rPr>
            </w:pPr>
          </w:p>
          <w:p w:rsidR="004C29B9" w:rsidP="00EC6387" w:rsidRDefault="004C29B9" w14:paraId="3B57F96E" w14:textId="3F3FEFE2">
            <w:pPr>
              <w:rPr>
                <w:color w:val="000000"/>
              </w:rPr>
            </w:pPr>
            <w:r>
              <w:rPr>
                <w:color w:val="000000"/>
              </w:rPr>
              <w:t>The Center participated in all major aspects of the proceeding leading to D.24-05-065</w:t>
            </w:r>
            <w:r w:rsidR="00C62A1F">
              <w:rPr>
                <w:color w:val="000000"/>
              </w:rPr>
              <w:t xml:space="preserve">, including </w:t>
            </w:r>
            <w:r w:rsidR="003C6D52">
              <w:rPr>
                <w:color w:val="000000"/>
              </w:rPr>
              <w:t>providing testimony</w:t>
            </w:r>
            <w:r w:rsidR="00C62A1F">
              <w:rPr>
                <w:color w:val="000000"/>
              </w:rPr>
              <w:t xml:space="preserve"> and filing multiple extensive comments.  </w:t>
            </w:r>
            <w:r w:rsidR="00205353">
              <w:rPr>
                <w:color w:val="000000"/>
              </w:rPr>
              <w:t xml:space="preserve">The Center’s filings reflect detailed legal and policy research related to the issues in the proceeding and integral to the resolution of complicated issues in the </w:t>
            </w:r>
            <w:proofErr w:type="gramStart"/>
            <w:r w:rsidR="00205353">
              <w:rPr>
                <w:color w:val="000000"/>
              </w:rPr>
              <w:t>proceeding</w:t>
            </w:r>
            <w:proofErr w:type="gramEnd"/>
            <w:r w:rsidR="00205353">
              <w:rPr>
                <w:color w:val="000000"/>
              </w:rPr>
              <w:t xml:space="preserve">.  The Center’s participation and filings ensured the Commission had sufficient information to </w:t>
            </w:r>
            <w:proofErr w:type="gramStart"/>
            <w:r w:rsidR="00205353">
              <w:rPr>
                <w:color w:val="000000"/>
              </w:rPr>
              <w:t>make a determination</w:t>
            </w:r>
            <w:proofErr w:type="gramEnd"/>
            <w:r w:rsidR="00205353">
              <w:rPr>
                <w:color w:val="000000"/>
              </w:rPr>
              <w:t xml:space="preserve"> from the record.  Importantly, the Center leveraged its experience </w:t>
            </w:r>
            <w:r w:rsidRPr="006F7F69" w:rsidR="00205353">
              <w:rPr>
                <w:color w:val="000000"/>
              </w:rPr>
              <w:t xml:space="preserve">with community solar at a national level and in other states to augment the </w:t>
            </w:r>
            <w:proofErr w:type="gramStart"/>
            <w:r w:rsidRPr="006F7F69" w:rsidR="00205353">
              <w:rPr>
                <w:color w:val="000000"/>
              </w:rPr>
              <w:t>record</w:t>
            </w:r>
            <w:r w:rsidRPr="006F7F69" w:rsidR="003C6D52">
              <w:rPr>
                <w:color w:val="000000"/>
              </w:rPr>
              <w:t>, and</w:t>
            </w:r>
            <w:proofErr w:type="gramEnd"/>
            <w:r w:rsidR="003C6D52">
              <w:rPr>
                <w:color w:val="000000"/>
              </w:rPr>
              <w:t xml:space="preserve"> preserve the opportunity for states to design their own community solar programs</w:t>
            </w:r>
            <w:r w:rsidR="00205353">
              <w:rPr>
                <w:color w:val="000000"/>
              </w:rPr>
              <w:t xml:space="preserve">. </w:t>
            </w:r>
          </w:p>
          <w:p w:rsidR="00DC6A43" w:rsidP="00FB671E" w:rsidRDefault="00DC6A43" w14:paraId="657D0CD4" w14:textId="77777777">
            <w:pPr>
              <w:rPr>
                <w:color w:val="000000"/>
              </w:rPr>
            </w:pPr>
          </w:p>
          <w:p w:rsidR="00DC6A43" w:rsidP="00FB671E" w:rsidRDefault="00DC6A43" w14:paraId="5DBFCCA0" w14:textId="77777777">
            <w:pPr>
              <w:rPr>
                <w:color w:val="000000"/>
              </w:rPr>
            </w:pPr>
            <w:r>
              <w:rPr>
                <w:color w:val="000000"/>
              </w:rPr>
              <w:t>T</w:t>
            </w:r>
            <w:r w:rsidR="00C17A54">
              <w:rPr>
                <w:color w:val="000000"/>
              </w:rPr>
              <w:t xml:space="preserve">he Center’s core positions regarding participation by low-income communities in community solar programs, and the need to </w:t>
            </w:r>
            <w:r w:rsidR="00387D6A">
              <w:rPr>
                <w:color w:val="000000"/>
              </w:rPr>
              <w:t xml:space="preserve">locate community solar installations as close as possible to the community served, were adopted in the Decision, or </w:t>
            </w:r>
            <w:r w:rsidR="00DB5D54">
              <w:rPr>
                <w:color w:val="000000"/>
              </w:rPr>
              <w:t xml:space="preserve">detailed to be critical issues to cover in a future phase of the proceeding. </w:t>
            </w:r>
          </w:p>
          <w:p w:rsidR="00CD2DBF" w:rsidP="00FB671E" w:rsidRDefault="00CD2DBF" w14:paraId="48C85145" w14:textId="77777777">
            <w:pPr>
              <w:rPr>
                <w:color w:val="000000"/>
              </w:rPr>
            </w:pPr>
          </w:p>
          <w:p w:rsidR="00CD2DBF" w:rsidP="00FB671E" w:rsidRDefault="00CD2DBF" w14:paraId="59721A3D" w14:textId="7B799A91">
            <w:pPr>
              <w:rPr>
                <w:color w:val="000000"/>
              </w:rPr>
            </w:pPr>
            <w:r>
              <w:rPr>
                <w:color w:val="000000"/>
              </w:rPr>
              <w:t xml:space="preserve">Overall, the Center’s advocacy for viable community solar programs </w:t>
            </w:r>
            <w:r w:rsidR="004D101E">
              <w:rPr>
                <w:color w:val="000000"/>
              </w:rPr>
              <w:t>was essential to leverage federal Solar for All funding</w:t>
            </w:r>
            <w:r w:rsidR="005716FC">
              <w:rPr>
                <w:color w:val="000000"/>
              </w:rPr>
              <w:t xml:space="preserve"> and achieve </w:t>
            </w:r>
            <w:r w:rsidR="00026C0B">
              <w:rPr>
                <w:color w:val="000000"/>
              </w:rPr>
              <w:t xml:space="preserve">resulting </w:t>
            </w:r>
            <w:r w:rsidR="005716FC">
              <w:rPr>
                <w:color w:val="000000"/>
              </w:rPr>
              <w:t xml:space="preserve">climate benefits that accrue to ratepayers </w:t>
            </w:r>
            <w:r w:rsidR="00844BB2">
              <w:rPr>
                <w:color w:val="000000"/>
              </w:rPr>
              <w:t xml:space="preserve">throughout the State.  </w:t>
            </w:r>
          </w:p>
          <w:p w:rsidR="00844BB2" w:rsidP="00FB671E" w:rsidRDefault="00844BB2" w14:paraId="4944AF57" w14:textId="77777777">
            <w:pPr>
              <w:rPr>
                <w:color w:val="000000"/>
              </w:rPr>
            </w:pPr>
          </w:p>
          <w:p w:rsidR="00844BB2" w:rsidP="00FB671E" w:rsidRDefault="00844BB2" w14:paraId="1B5462B0" w14:textId="19C825DB">
            <w:pPr>
              <w:rPr>
                <w:color w:val="000000"/>
              </w:rPr>
            </w:pPr>
            <w:r>
              <w:rPr>
                <w:color w:val="000000"/>
              </w:rPr>
              <w:t xml:space="preserve">The Center’s </w:t>
            </w:r>
            <w:r w:rsidRPr="00E3209D" w:rsidR="00664DA7">
              <w:rPr>
                <w:color w:val="000000"/>
              </w:rPr>
              <w:t>request for fees and costs is likely to be a</w:t>
            </w:r>
            <w:r w:rsidR="00664DA7">
              <w:rPr>
                <w:color w:val="000000"/>
              </w:rPr>
              <w:t xml:space="preserve"> </w:t>
            </w:r>
            <w:r w:rsidRPr="00E3209D" w:rsidR="00664DA7">
              <w:rPr>
                <w:color w:val="000000"/>
              </w:rPr>
              <w:t>very small portion of the benefits that utility customers are likely to ultimately</w:t>
            </w:r>
            <w:r w:rsidR="00664DA7">
              <w:rPr>
                <w:color w:val="000000"/>
              </w:rPr>
              <w:t xml:space="preserve"> </w:t>
            </w:r>
            <w:r w:rsidRPr="00E3209D" w:rsidR="00664DA7">
              <w:rPr>
                <w:color w:val="000000"/>
              </w:rPr>
              <w:t>realize due to</w:t>
            </w:r>
            <w:r w:rsidR="00664DA7">
              <w:rPr>
                <w:color w:val="000000"/>
              </w:rPr>
              <w:t xml:space="preserve"> </w:t>
            </w:r>
            <w:r w:rsidRPr="00E3209D" w:rsidR="00664DA7">
              <w:rPr>
                <w:color w:val="000000"/>
              </w:rPr>
              <w:t xml:space="preserve">increased </w:t>
            </w:r>
            <w:r w:rsidR="00664DA7">
              <w:rPr>
                <w:color w:val="000000"/>
              </w:rPr>
              <w:t xml:space="preserve">community solar program </w:t>
            </w:r>
            <w:r w:rsidRPr="00E3209D" w:rsidR="00664DA7">
              <w:rPr>
                <w:color w:val="000000"/>
              </w:rPr>
              <w:t>participation, and</w:t>
            </w:r>
            <w:r w:rsidR="00664DA7">
              <w:rPr>
                <w:color w:val="000000"/>
              </w:rPr>
              <w:t xml:space="preserve"> in particular, the benefit to participating environmental justice community and low-income community subscribers who face some of the highest energy burdens in the State.</w:t>
            </w:r>
          </w:p>
          <w:p w:rsidRPr="003D4455" w:rsidR="00FE3BAE" w:rsidP="00FB671E" w:rsidRDefault="00DB5D54" w14:paraId="2B1A1242" w14:textId="424EA294">
            <w:pPr>
              <w:rPr>
                <w:color w:val="000000"/>
              </w:rPr>
            </w:pPr>
            <w:r>
              <w:rPr>
                <w:color w:val="000000"/>
              </w:rPr>
              <w:lastRenderedPageBreak/>
              <w:t xml:space="preserve"> </w:t>
            </w:r>
            <w:r w:rsidR="00387D6A">
              <w:rPr>
                <w:color w:val="000000"/>
              </w:rPr>
              <w:t xml:space="preserve"> </w:t>
            </w:r>
          </w:p>
        </w:tc>
        <w:tc>
          <w:tcPr>
            <w:tcW w:w="2250" w:type="dxa"/>
          </w:tcPr>
          <w:p w:rsidRPr="00FE3BAE" w:rsidR="00FE3BAE" w:rsidP="00EC6387" w:rsidRDefault="00FA163A" w14:paraId="223B4665" w14:textId="29F334CA">
            <w:pPr>
              <w:rPr>
                <w:color w:val="000000"/>
              </w:rPr>
            </w:pPr>
            <w:r w:rsidRPr="00D531D3">
              <w:rPr>
                <w:color w:val="000000"/>
              </w:rPr>
              <w:lastRenderedPageBreak/>
              <w:t>After the adjustments made to this claim, the remainder of the claim</w:t>
            </w:r>
            <w:r>
              <w:rPr>
                <w:color w:val="000000"/>
              </w:rPr>
              <w:t xml:space="preserve">ed costs are </w:t>
            </w:r>
            <w:r w:rsidRPr="00D531D3">
              <w:rPr>
                <w:color w:val="000000"/>
              </w:rPr>
              <w:t>reasonable.</w:t>
            </w:r>
            <w:r>
              <w:rPr>
                <w:color w:val="000000"/>
              </w:rPr>
              <w:t xml:space="preserve"> </w:t>
            </w:r>
            <w:r w:rsidRPr="00D531D3">
              <w:rPr>
                <w:i/>
                <w:iCs/>
                <w:color w:val="000000"/>
              </w:rPr>
              <w:t>See</w:t>
            </w:r>
            <w:r w:rsidRPr="00D531D3">
              <w:rPr>
                <w:color w:val="000000"/>
              </w:rPr>
              <w:t xml:space="preserve"> CPUC Disallowances and Adjustments in </w:t>
            </w:r>
            <w:r>
              <w:rPr>
                <w:color w:val="000000"/>
              </w:rPr>
              <w:t>Part</w:t>
            </w:r>
            <w:r w:rsidRPr="00D531D3">
              <w:rPr>
                <w:color w:val="000000"/>
              </w:rPr>
              <w:t xml:space="preserve"> III.D.</w:t>
            </w:r>
          </w:p>
        </w:tc>
      </w:tr>
      <w:tr w:rsidRPr="007F620E" w:rsidR="00FE3BAE" w:rsidTr="005C67CF" w14:paraId="5548029C" w14:textId="77777777">
        <w:tc>
          <w:tcPr>
            <w:tcW w:w="7488" w:type="dxa"/>
          </w:tcPr>
          <w:p w:rsidRPr="00E25078" w:rsidR="00FE3BAE" w:rsidP="00EC6387" w:rsidRDefault="00FE3BAE" w14:paraId="751A610C" w14:textId="509B1715">
            <w:pPr>
              <w:rPr>
                <w:color w:val="000000"/>
              </w:rPr>
            </w:pPr>
            <w:r w:rsidRPr="007F620E">
              <w:rPr>
                <w:b/>
                <w:color w:val="000000"/>
              </w:rPr>
              <w:t>b. Reasonableness of hours claimed:</w:t>
            </w:r>
            <w:r w:rsidRPr="00E25078" w:rsidR="00E25078">
              <w:rPr>
                <w:color w:val="000000"/>
              </w:rPr>
              <w:t xml:space="preserve"> </w:t>
            </w:r>
          </w:p>
          <w:p w:rsidR="00FE3BAE" w:rsidP="00EC6387" w:rsidRDefault="00FE3BAE" w14:paraId="1009F6D5" w14:textId="77777777">
            <w:pPr>
              <w:rPr>
                <w:color w:val="000000"/>
              </w:rPr>
            </w:pPr>
          </w:p>
          <w:p w:rsidR="00161274" w:rsidP="00EC6387" w:rsidRDefault="001427C9" w14:paraId="11D21795" w14:textId="77777777">
            <w:pPr>
              <w:rPr>
                <w:color w:val="000000"/>
              </w:rPr>
            </w:pPr>
            <w:r w:rsidRPr="005768D7">
              <w:rPr>
                <w:color w:val="000000"/>
              </w:rPr>
              <w:t xml:space="preserve">The amount of time </w:t>
            </w:r>
            <w:r>
              <w:rPr>
                <w:color w:val="000000"/>
              </w:rPr>
              <w:t>the Center</w:t>
            </w:r>
            <w:r w:rsidRPr="005768D7">
              <w:rPr>
                <w:color w:val="000000"/>
              </w:rPr>
              <w:t xml:space="preserve"> spent on the proceeding is reasonable considering</w:t>
            </w:r>
            <w:r>
              <w:rPr>
                <w:color w:val="000000"/>
              </w:rPr>
              <w:t xml:space="preserve"> the Center’s</w:t>
            </w:r>
            <w:r w:rsidRPr="005768D7">
              <w:rPr>
                <w:color w:val="000000"/>
              </w:rPr>
              <w:t xml:space="preserve"> participation in and contribution to outcomes in</w:t>
            </w:r>
            <w:r>
              <w:rPr>
                <w:color w:val="000000"/>
              </w:rPr>
              <w:t xml:space="preserve"> the proceeding</w:t>
            </w:r>
            <w:r w:rsidRPr="005768D7">
              <w:rPr>
                <w:color w:val="000000"/>
              </w:rPr>
              <w:t>.</w:t>
            </w:r>
            <w:r w:rsidR="00161274">
              <w:rPr>
                <w:color w:val="000000"/>
              </w:rPr>
              <w:t xml:space="preserve">  Despite the Center’s involvement in this proceeding, the Center’s hours are likely very low considering the number of filings, and issues in this proceeding.</w:t>
            </w:r>
          </w:p>
          <w:p w:rsidR="00272BCA" w:rsidP="00EC6387" w:rsidRDefault="00272BCA" w14:paraId="44377D7C" w14:textId="77777777">
            <w:pPr>
              <w:rPr>
                <w:color w:val="000000"/>
              </w:rPr>
            </w:pPr>
          </w:p>
          <w:p w:rsidR="00272BCA" w:rsidP="00272BCA" w:rsidRDefault="00272BCA" w14:paraId="1CAD7C1F" w14:textId="12DA71E1">
            <w:pPr>
              <w:rPr>
                <w:color w:val="000000"/>
              </w:rPr>
            </w:pPr>
            <w:r>
              <w:rPr>
                <w:color w:val="000000"/>
              </w:rPr>
              <w:t>The Center submitted legal and policy</w:t>
            </w:r>
            <w:r w:rsidRPr="005768D7">
              <w:rPr>
                <w:color w:val="000000"/>
              </w:rPr>
              <w:t xml:space="preserve"> research on </w:t>
            </w:r>
            <w:r>
              <w:rPr>
                <w:color w:val="000000"/>
              </w:rPr>
              <w:t xml:space="preserve">all </w:t>
            </w:r>
            <w:r w:rsidRPr="005768D7">
              <w:rPr>
                <w:color w:val="000000"/>
              </w:rPr>
              <w:t xml:space="preserve">topics raised by the Commission’s </w:t>
            </w:r>
            <w:r>
              <w:rPr>
                <w:color w:val="000000"/>
              </w:rPr>
              <w:t>ultimate decision that related to modification of the Green Access Programs and adoption of a new community renewables program</w:t>
            </w:r>
            <w:r w:rsidRPr="005768D7">
              <w:rPr>
                <w:color w:val="000000"/>
              </w:rPr>
              <w:t>.</w:t>
            </w:r>
            <w:r>
              <w:rPr>
                <w:color w:val="000000"/>
              </w:rPr>
              <w:t xml:space="preserve"> </w:t>
            </w:r>
            <w:r w:rsidRPr="005768D7">
              <w:rPr>
                <w:color w:val="000000"/>
              </w:rPr>
              <w:t xml:space="preserve"> </w:t>
            </w:r>
            <w:r>
              <w:rPr>
                <w:color w:val="000000"/>
              </w:rPr>
              <w:t>The Center</w:t>
            </w:r>
            <w:r w:rsidRPr="005768D7">
              <w:rPr>
                <w:color w:val="000000"/>
              </w:rPr>
              <w:t xml:space="preserve"> </w:t>
            </w:r>
            <w:r>
              <w:rPr>
                <w:color w:val="000000"/>
              </w:rPr>
              <w:t>was</w:t>
            </w:r>
            <w:r w:rsidRPr="005768D7">
              <w:rPr>
                <w:color w:val="000000"/>
              </w:rPr>
              <w:t xml:space="preserve"> conscious of</w:t>
            </w:r>
            <w:r>
              <w:rPr>
                <w:color w:val="000000"/>
              </w:rPr>
              <w:t xml:space="preserve"> limiting </w:t>
            </w:r>
            <w:proofErr w:type="gramStart"/>
            <w:r>
              <w:rPr>
                <w:color w:val="000000"/>
              </w:rPr>
              <w:t>hours</w:t>
            </w:r>
            <w:proofErr w:type="gramEnd"/>
            <w:r>
              <w:rPr>
                <w:color w:val="000000"/>
              </w:rPr>
              <w:t xml:space="preserve"> and time spent on the proceeding</w:t>
            </w:r>
            <w:r w:rsidRPr="005768D7">
              <w:rPr>
                <w:color w:val="000000"/>
              </w:rPr>
              <w:t xml:space="preserve">. </w:t>
            </w:r>
            <w:r>
              <w:rPr>
                <w:color w:val="000000"/>
              </w:rPr>
              <w:t xml:space="preserve"> Roger Lin</w:t>
            </w:r>
            <w:r w:rsidRPr="005768D7">
              <w:rPr>
                <w:color w:val="000000"/>
              </w:rPr>
              <w:t>, an experienced attorney and CPUC practitioner,</w:t>
            </w:r>
            <w:r>
              <w:rPr>
                <w:color w:val="000000"/>
              </w:rPr>
              <w:t xml:space="preserve"> </w:t>
            </w:r>
            <w:r w:rsidRPr="005768D7">
              <w:rPr>
                <w:color w:val="000000"/>
              </w:rPr>
              <w:t xml:space="preserve">coordinated with </w:t>
            </w:r>
            <w:r>
              <w:rPr>
                <w:color w:val="000000"/>
              </w:rPr>
              <w:t xml:space="preserve">other parties to ensure </w:t>
            </w:r>
            <w:r w:rsidRPr="005768D7">
              <w:rPr>
                <w:color w:val="000000"/>
              </w:rPr>
              <w:t>duplication was avoided.</w:t>
            </w:r>
            <w:r>
              <w:rPr>
                <w:color w:val="000000"/>
              </w:rPr>
              <w:t xml:space="preserve">  Mr. Lin’s</w:t>
            </w:r>
            <w:r w:rsidRPr="005768D7">
              <w:rPr>
                <w:color w:val="000000"/>
              </w:rPr>
              <w:t xml:space="preserve"> extensive CPUC experience </w:t>
            </w:r>
            <w:r>
              <w:rPr>
                <w:color w:val="000000"/>
              </w:rPr>
              <w:t xml:space="preserve">and relationships with parties taking similar positions </w:t>
            </w:r>
            <w:r w:rsidRPr="005768D7">
              <w:rPr>
                <w:color w:val="000000"/>
              </w:rPr>
              <w:t xml:space="preserve">reduced the number of hours required to develop </w:t>
            </w:r>
            <w:r>
              <w:rPr>
                <w:color w:val="000000"/>
              </w:rPr>
              <w:t>briefs</w:t>
            </w:r>
            <w:r w:rsidRPr="005768D7">
              <w:rPr>
                <w:color w:val="000000"/>
              </w:rPr>
              <w:t xml:space="preserve"> and comments</w:t>
            </w:r>
            <w:r>
              <w:rPr>
                <w:color w:val="000000"/>
              </w:rPr>
              <w:t xml:space="preserve"> </w:t>
            </w:r>
            <w:r w:rsidRPr="005768D7">
              <w:rPr>
                <w:color w:val="000000"/>
              </w:rPr>
              <w:t xml:space="preserve">for </w:t>
            </w:r>
            <w:r>
              <w:rPr>
                <w:color w:val="000000"/>
              </w:rPr>
              <w:t xml:space="preserve">the Center’s </w:t>
            </w:r>
            <w:r w:rsidRPr="005768D7">
              <w:rPr>
                <w:color w:val="000000"/>
              </w:rPr>
              <w:t>work</w:t>
            </w:r>
            <w:r>
              <w:rPr>
                <w:color w:val="000000"/>
              </w:rPr>
              <w:t>.</w:t>
            </w:r>
          </w:p>
          <w:p w:rsidR="001D55B2" w:rsidP="00272BCA" w:rsidRDefault="001D55B2" w14:paraId="5CCC61FC" w14:textId="77777777">
            <w:pPr>
              <w:rPr>
                <w:color w:val="000000"/>
              </w:rPr>
            </w:pPr>
          </w:p>
          <w:p w:rsidR="001D55B2" w:rsidP="00272BCA" w:rsidRDefault="001D55B2" w14:paraId="20A24577" w14:textId="47B4D022">
            <w:pPr>
              <w:rPr>
                <w:color w:val="000000"/>
              </w:rPr>
            </w:pPr>
            <w:r>
              <w:rPr>
                <w:color w:val="000000"/>
              </w:rPr>
              <w:t>In addition, the Center’s hours claimed do not include time spent on issues not ultimately addressed i</w:t>
            </w:r>
            <w:r w:rsidR="00770637">
              <w:rPr>
                <w:color w:val="000000"/>
              </w:rPr>
              <w:t xml:space="preserve">n the Decision.  The Center expended considerable time and resources advocating for greater bill savings </w:t>
            </w:r>
            <w:r w:rsidR="001B51E6">
              <w:rPr>
                <w:color w:val="000000"/>
              </w:rPr>
              <w:t>and (societal) costs unaccounted for, but</w:t>
            </w:r>
            <w:r w:rsidR="00D155B4">
              <w:rPr>
                <w:color w:val="000000"/>
              </w:rPr>
              <w:t xml:space="preserve"> </w:t>
            </w:r>
            <w:r w:rsidR="001B51E6">
              <w:rPr>
                <w:color w:val="000000"/>
              </w:rPr>
              <w:t xml:space="preserve">still </w:t>
            </w:r>
            <w:r w:rsidR="00D155B4">
              <w:rPr>
                <w:color w:val="000000"/>
              </w:rPr>
              <w:t xml:space="preserve">avoided by community solar programs, yet is not claiming time for those efforts.  </w:t>
            </w:r>
          </w:p>
          <w:p w:rsidR="00D155B4" w:rsidP="00272BCA" w:rsidRDefault="00D155B4" w14:paraId="6D8BC955" w14:textId="77777777">
            <w:pPr>
              <w:rPr>
                <w:color w:val="000000"/>
              </w:rPr>
            </w:pPr>
          </w:p>
          <w:p w:rsidR="001427C9" w:rsidP="00EC6387" w:rsidRDefault="004F5B9C" w14:paraId="19BB4924" w14:textId="68ADA4F3">
            <w:pPr>
              <w:rPr>
                <w:color w:val="000000"/>
              </w:rPr>
            </w:pPr>
            <w:r>
              <w:rPr>
                <w:color w:val="000000"/>
              </w:rPr>
              <w:t xml:space="preserve">Finally, the Center is only requesting </w:t>
            </w:r>
            <w:r w:rsidRPr="00E834E4" w:rsidR="00E834E4">
              <w:rPr>
                <w:color w:val="000000"/>
              </w:rPr>
              <w:t xml:space="preserve">hours </w:t>
            </w:r>
            <w:r w:rsidR="00E834E4">
              <w:rPr>
                <w:color w:val="000000"/>
              </w:rPr>
              <w:t xml:space="preserve">for </w:t>
            </w:r>
            <w:r w:rsidRPr="00E834E4" w:rsidR="00E834E4">
              <w:rPr>
                <w:color w:val="000000"/>
              </w:rPr>
              <w:t xml:space="preserve">working on substantive issues in the proceeding.  For example, </w:t>
            </w:r>
            <w:r w:rsidR="00E834E4">
              <w:rPr>
                <w:color w:val="000000"/>
              </w:rPr>
              <w:t xml:space="preserve">the Center </w:t>
            </w:r>
            <w:r w:rsidRPr="00E834E4" w:rsidR="00E834E4">
              <w:rPr>
                <w:color w:val="000000"/>
              </w:rPr>
              <w:t>has not claimed hours related to cite-checking comments or other tasks that are more clerical in nature</w:t>
            </w:r>
            <w:r w:rsidR="00E834E4">
              <w:rPr>
                <w:color w:val="000000"/>
              </w:rPr>
              <w:t xml:space="preserve"> or performed by law clerks</w:t>
            </w:r>
            <w:r w:rsidRPr="00E834E4" w:rsidR="00E834E4">
              <w:rPr>
                <w:color w:val="000000"/>
              </w:rPr>
              <w:t xml:space="preserve">.  </w:t>
            </w:r>
            <w:r w:rsidR="00E834E4">
              <w:rPr>
                <w:color w:val="000000"/>
              </w:rPr>
              <w:t xml:space="preserve">The Center </w:t>
            </w:r>
            <w:r w:rsidRPr="00E834E4" w:rsidR="00E834E4">
              <w:rPr>
                <w:color w:val="000000"/>
              </w:rPr>
              <w:t xml:space="preserve">is also not requesting hours </w:t>
            </w:r>
            <w:r w:rsidR="00E834E4">
              <w:rPr>
                <w:color w:val="000000"/>
              </w:rPr>
              <w:t>determined to be</w:t>
            </w:r>
            <w:r w:rsidRPr="00E834E4" w:rsidR="00E834E4">
              <w:rPr>
                <w:color w:val="000000"/>
              </w:rPr>
              <w:t xml:space="preserve"> duplicative or </w:t>
            </w:r>
            <w:proofErr w:type="gramStart"/>
            <w:r w:rsidRPr="00E834E4" w:rsidR="00E834E4">
              <w:rPr>
                <w:color w:val="000000"/>
              </w:rPr>
              <w:t>excessive, and</w:t>
            </w:r>
            <w:proofErr w:type="gramEnd"/>
            <w:r w:rsidRPr="00E834E4" w:rsidR="00E834E4">
              <w:rPr>
                <w:color w:val="000000"/>
              </w:rPr>
              <w:t xml:space="preserve"> </w:t>
            </w:r>
            <w:r w:rsidR="00E834E4">
              <w:rPr>
                <w:color w:val="000000"/>
              </w:rPr>
              <w:t>has</w:t>
            </w:r>
            <w:r w:rsidRPr="00E834E4" w:rsidR="00E834E4">
              <w:rPr>
                <w:color w:val="000000"/>
              </w:rPr>
              <w:t xml:space="preserve"> performed a detailed review of hours to ensure there is no unnecessary duplication or excessiveness.  For example, in an abundance of caution, </w:t>
            </w:r>
            <w:r w:rsidR="00E834E4">
              <w:rPr>
                <w:color w:val="000000"/>
              </w:rPr>
              <w:t>the Center</w:t>
            </w:r>
            <w:r w:rsidRPr="00E834E4" w:rsidR="00E834E4">
              <w:rPr>
                <w:color w:val="000000"/>
              </w:rPr>
              <w:t xml:space="preserve"> did not include hours related to </w:t>
            </w:r>
            <w:r w:rsidR="00E834E4">
              <w:rPr>
                <w:color w:val="000000"/>
              </w:rPr>
              <w:t xml:space="preserve">internal </w:t>
            </w:r>
            <w:r w:rsidR="00020771">
              <w:rPr>
                <w:color w:val="000000"/>
              </w:rPr>
              <w:t xml:space="preserve">and strategic </w:t>
            </w:r>
            <w:r w:rsidRPr="00E834E4" w:rsidR="00E834E4">
              <w:rPr>
                <w:color w:val="000000"/>
              </w:rPr>
              <w:t xml:space="preserve">discussions.  </w:t>
            </w:r>
            <w:r w:rsidR="00020771">
              <w:rPr>
                <w:color w:val="000000"/>
              </w:rPr>
              <w:t>The Center</w:t>
            </w:r>
            <w:r w:rsidRPr="00E834E4" w:rsidR="00E834E4">
              <w:rPr>
                <w:color w:val="000000"/>
              </w:rPr>
              <w:t xml:space="preserve"> also kept costs at a minimum and as such is not requesting any costs within this request. </w:t>
            </w:r>
          </w:p>
          <w:p w:rsidRPr="007F620E" w:rsidR="00691528" w:rsidP="00EC6387" w:rsidRDefault="00691528" w14:paraId="694F0B63" w14:textId="77777777">
            <w:pPr>
              <w:rPr>
                <w:color w:val="000000"/>
              </w:rPr>
            </w:pPr>
          </w:p>
        </w:tc>
        <w:tc>
          <w:tcPr>
            <w:tcW w:w="2250" w:type="dxa"/>
          </w:tcPr>
          <w:p w:rsidRPr="007F620E" w:rsidR="00FE3BAE" w:rsidP="00EC6387" w:rsidRDefault="00583FB4" w14:paraId="1874D625" w14:textId="624D9466">
            <w:pPr>
              <w:rPr>
                <w:color w:val="000000"/>
              </w:rPr>
            </w:pPr>
            <w:r>
              <w:rPr>
                <w:color w:val="000000"/>
              </w:rPr>
              <w:t>We note that in the</w:t>
            </w:r>
            <w:r w:rsidR="006222ED">
              <w:rPr>
                <w:color w:val="000000"/>
              </w:rPr>
              <w:t xml:space="preserve">ir </w:t>
            </w:r>
            <w:r>
              <w:rPr>
                <w:color w:val="000000"/>
              </w:rPr>
              <w:t>timesheets, CBD lists all t</w:t>
            </w:r>
            <w:r w:rsidR="00C60737">
              <w:rPr>
                <w:color w:val="000000"/>
              </w:rPr>
              <w:t>asks</w:t>
            </w:r>
            <w:r w:rsidR="006222ED">
              <w:rPr>
                <w:color w:val="000000"/>
              </w:rPr>
              <w:t xml:space="preserve"> and hours</w:t>
            </w:r>
            <w:r w:rsidR="00C60737">
              <w:rPr>
                <w:color w:val="000000"/>
              </w:rPr>
              <w:t xml:space="preserve">, but only </w:t>
            </w:r>
            <w:r w:rsidR="00E168C1">
              <w:rPr>
                <w:color w:val="000000"/>
              </w:rPr>
              <w:t xml:space="preserve">requests </w:t>
            </w:r>
            <w:r w:rsidR="00C60737">
              <w:rPr>
                <w:color w:val="000000"/>
              </w:rPr>
              <w:t>hours for</w:t>
            </w:r>
            <w:r w:rsidR="006222ED">
              <w:rPr>
                <w:color w:val="000000"/>
              </w:rPr>
              <w:t xml:space="preserve"> </w:t>
            </w:r>
            <w:r w:rsidR="00693F24">
              <w:rPr>
                <w:color w:val="000000"/>
              </w:rPr>
              <w:t>items allocated by issue.</w:t>
            </w:r>
          </w:p>
        </w:tc>
      </w:tr>
      <w:tr w:rsidRPr="007F620E" w:rsidR="00FE3BAE" w:rsidTr="005C67CF" w14:paraId="3FD38B74" w14:textId="77777777">
        <w:tc>
          <w:tcPr>
            <w:tcW w:w="7488" w:type="dxa"/>
          </w:tcPr>
          <w:p w:rsidRPr="00E25078" w:rsidR="00FE3BAE" w:rsidP="00EC6387" w:rsidRDefault="00FE3BAE" w14:paraId="46990B37" w14:textId="569E5E0F">
            <w:pPr>
              <w:rPr>
                <w:color w:val="000000"/>
              </w:rPr>
            </w:pPr>
            <w:r w:rsidRPr="007F620E">
              <w:rPr>
                <w:b/>
                <w:color w:val="000000"/>
              </w:rPr>
              <w:t>c. Allocation of hours by issue:</w:t>
            </w:r>
            <w:r w:rsidRPr="00E25078" w:rsidR="00E25078">
              <w:rPr>
                <w:color w:val="000000"/>
              </w:rPr>
              <w:t xml:space="preserve"> </w:t>
            </w:r>
          </w:p>
          <w:p w:rsidR="00FE3BAE" w:rsidP="00EC6387" w:rsidRDefault="00FE3BAE" w14:paraId="78501013" w14:textId="77777777">
            <w:pPr>
              <w:rPr>
                <w:color w:val="000000"/>
              </w:rPr>
            </w:pPr>
          </w:p>
          <w:p w:rsidR="0086406A" w:rsidP="0086406A" w:rsidRDefault="0086406A" w14:paraId="13D070B9" w14:textId="26D8FF6A">
            <w:pPr>
              <w:rPr>
                <w:color w:val="000000"/>
              </w:rPr>
            </w:pPr>
            <w:r>
              <w:rPr>
                <w:color w:val="000000"/>
              </w:rPr>
              <w:t xml:space="preserve">The Center has allocated </w:t>
            </w:r>
            <w:proofErr w:type="gramStart"/>
            <w:r>
              <w:rPr>
                <w:color w:val="000000"/>
              </w:rPr>
              <w:t>all of</w:t>
            </w:r>
            <w:proofErr w:type="gramEnd"/>
            <w:r>
              <w:rPr>
                <w:color w:val="000000"/>
              </w:rPr>
              <w:t xml:space="preserve"> our attorney time by issue area or activity, as evident by our attached timesheets.  The following issues allocate hours by specific substantive issues and activity areas addressed by the Center.  The Center also provides an approximate breakdown of the number of </w:t>
            </w:r>
            <w:r>
              <w:rPr>
                <w:color w:val="000000"/>
              </w:rPr>
              <w:lastRenderedPageBreak/>
              <w:t>hours spent on each task and the percentage of total hours devoted to each category.</w:t>
            </w:r>
          </w:p>
          <w:p w:rsidR="0086406A" w:rsidP="00EC6387" w:rsidRDefault="0086406A" w14:paraId="73DD81FB" w14:textId="77777777">
            <w:pPr>
              <w:rPr>
                <w:color w:val="000000"/>
              </w:rPr>
            </w:pPr>
          </w:p>
          <w:p w:rsidR="0086406A" w:rsidP="00EC6387" w:rsidRDefault="0086406A" w14:paraId="2A94D35B" w14:textId="06431FC4">
            <w:pPr>
              <w:rPr>
                <w:color w:val="000000"/>
              </w:rPr>
            </w:pPr>
            <w:r>
              <w:rPr>
                <w:color w:val="000000"/>
              </w:rPr>
              <w:t xml:space="preserve">Issue A: </w:t>
            </w:r>
            <w:r w:rsidRPr="003E505D" w:rsidR="003E505D">
              <w:rPr>
                <w:color w:val="000000"/>
              </w:rPr>
              <w:t xml:space="preserve">Existing Programs Fail to Service Distinct Customer Groups and Do Not Promote Low Income </w:t>
            </w:r>
            <w:proofErr w:type="gramStart"/>
            <w:r w:rsidRPr="003E505D" w:rsidR="003E505D">
              <w:rPr>
                <w:color w:val="000000"/>
              </w:rPr>
              <w:t>Participation</w:t>
            </w:r>
            <w:r w:rsidR="00BC1C00">
              <w:rPr>
                <w:color w:val="000000"/>
              </w:rPr>
              <w:t xml:space="preserve">: </w:t>
            </w:r>
            <w:r w:rsidR="00BC1C00">
              <w:rPr>
                <w:color w:val="000000"/>
              </w:rPr>
              <w:softHyphen/>
            </w:r>
            <w:r w:rsidR="00BC1C00">
              <w:rPr>
                <w:color w:val="000000"/>
              </w:rPr>
              <w:softHyphen/>
            </w:r>
            <w:proofErr w:type="gramEnd"/>
            <w:r w:rsidR="002C3A90">
              <w:rPr>
                <w:color w:val="000000"/>
              </w:rPr>
              <w:t>4.77</w:t>
            </w:r>
            <w:r w:rsidR="00BC1C00">
              <w:rPr>
                <w:color w:val="000000"/>
              </w:rPr>
              <w:t>% of hours</w:t>
            </w:r>
          </w:p>
          <w:p w:rsidR="003E505D" w:rsidP="00EC6387" w:rsidRDefault="003E505D" w14:paraId="0805BC8F" w14:textId="77777777">
            <w:pPr>
              <w:rPr>
                <w:color w:val="000000"/>
              </w:rPr>
            </w:pPr>
          </w:p>
          <w:p w:rsidR="003E505D" w:rsidP="00EC6387" w:rsidRDefault="00C775A7" w14:paraId="70505CA0" w14:textId="068F705F">
            <w:pPr>
              <w:rPr>
                <w:color w:val="000000"/>
              </w:rPr>
            </w:pPr>
            <w:r>
              <w:rPr>
                <w:color w:val="000000"/>
              </w:rPr>
              <w:t>Pursuant to AB 2316, this proceeding first evaluated the current Green Access Programs: Green Tariff</w:t>
            </w:r>
            <w:r w:rsidR="00425CA1">
              <w:rPr>
                <w:color w:val="000000"/>
              </w:rPr>
              <w:t xml:space="preserve"> (GT)</w:t>
            </w:r>
            <w:r>
              <w:rPr>
                <w:color w:val="000000"/>
              </w:rPr>
              <w:t xml:space="preserve">, Enhanced Community Renewables, </w:t>
            </w:r>
            <w:r w:rsidR="00425CA1">
              <w:rPr>
                <w:color w:val="000000"/>
              </w:rPr>
              <w:t xml:space="preserve">DAC-GT and Community Solar GT programs.  </w:t>
            </w:r>
            <w:r w:rsidR="009362C4">
              <w:rPr>
                <w:color w:val="000000"/>
              </w:rPr>
              <w:t xml:space="preserve">The Decision utilized </w:t>
            </w:r>
            <w:r w:rsidR="000C398E">
              <w:rPr>
                <w:color w:val="000000"/>
              </w:rPr>
              <w:t xml:space="preserve">three factors to evaluate these programs, and the Center focused on </w:t>
            </w:r>
            <w:r w:rsidR="00E801E7">
              <w:rPr>
                <w:color w:val="000000"/>
              </w:rPr>
              <w:t xml:space="preserve">two of them that the Decision ultimately </w:t>
            </w:r>
            <w:r w:rsidR="007953B5">
              <w:rPr>
                <w:color w:val="000000"/>
              </w:rPr>
              <w:t xml:space="preserve">relied upon: </w:t>
            </w:r>
            <w:r w:rsidR="000C398E">
              <w:rPr>
                <w:color w:val="000000"/>
              </w:rPr>
              <w:t xml:space="preserve">the existing programs’ </w:t>
            </w:r>
            <w:r w:rsidR="007953B5">
              <w:rPr>
                <w:color w:val="000000"/>
              </w:rPr>
              <w:t>failure to</w:t>
            </w:r>
            <w:r w:rsidR="000C398E">
              <w:rPr>
                <w:color w:val="000000"/>
              </w:rPr>
              <w:t xml:space="preserve"> serv</w:t>
            </w:r>
            <w:r w:rsidR="007953B5">
              <w:rPr>
                <w:color w:val="000000"/>
              </w:rPr>
              <w:t>e</w:t>
            </w:r>
            <w:r w:rsidR="000C398E">
              <w:rPr>
                <w:color w:val="000000"/>
              </w:rPr>
              <w:t xml:space="preserve"> distinct customer groups and promot</w:t>
            </w:r>
            <w:r w:rsidR="007953B5">
              <w:rPr>
                <w:color w:val="000000"/>
              </w:rPr>
              <w:t>e</w:t>
            </w:r>
            <w:r w:rsidR="000C398E">
              <w:rPr>
                <w:color w:val="000000"/>
              </w:rPr>
              <w:t xml:space="preserve"> low-income customer participation.</w:t>
            </w:r>
            <w:r w:rsidR="007953B5">
              <w:rPr>
                <w:color w:val="000000"/>
              </w:rPr>
              <w:t xml:space="preserve">  </w:t>
            </w:r>
            <w:r w:rsidR="0049432A">
              <w:rPr>
                <w:color w:val="000000"/>
              </w:rPr>
              <w:t xml:space="preserve">Work in this category includes research and analysis and drafting several comments to support these positions.  </w:t>
            </w:r>
            <w:r w:rsidR="000C398E">
              <w:rPr>
                <w:color w:val="000000"/>
              </w:rPr>
              <w:t xml:space="preserve">  </w:t>
            </w:r>
            <w:r w:rsidR="00425CA1">
              <w:rPr>
                <w:color w:val="000000"/>
              </w:rPr>
              <w:t xml:space="preserve"> </w:t>
            </w:r>
          </w:p>
          <w:p w:rsidR="003E505D" w:rsidP="00EC6387" w:rsidRDefault="003E505D" w14:paraId="1A0A88E3" w14:textId="77777777">
            <w:pPr>
              <w:rPr>
                <w:color w:val="000000"/>
              </w:rPr>
            </w:pPr>
          </w:p>
          <w:p w:rsidR="003E505D" w:rsidP="00EC6387" w:rsidRDefault="003E505D" w14:paraId="1EAC27EF" w14:textId="33364C12">
            <w:pPr>
              <w:rPr>
                <w:color w:val="000000"/>
              </w:rPr>
            </w:pPr>
            <w:r>
              <w:rPr>
                <w:color w:val="000000"/>
              </w:rPr>
              <w:t xml:space="preserve">Issue B: </w:t>
            </w:r>
            <w:r w:rsidRPr="00E07FF3" w:rsidR="00E07FF3">
              <w:rPr>
                <w:color w:val="000000"/>
              </w:rPr>
              <w:t>New Community Solar Program Addresses Price Volatility/</w:t>
            </w:r>
            <w:proofErr w:type="gramStart"/>
            <w:r w:rsidRPr="00E07FF3" w:rsidR="00E07FF3">
              <w:rPr>
                <w:color w:val="000000"/>
              </w:rPr>
              <w:t>PCIA</w:t>
            </w:r>
            <w:r w:rsidR="00BC1C00">
              <w:rPr>
                <w:color w:val="000000"/>
              </w:rPr>
              <w:t xml:space="preserve">: </w:t>
            </w:r>
            <w:r w:rsidR="00BC1C00">
              <w:rPr>
                <w:color w:val="000000"/>
              </w:rPr>
              <w:softHyphen/>
            </w:r>
            <w:r w:rsidR="00BC1C00">
              <w:rPr>
                <w:color w:val="000000"/>
              </w:rPr>
              <w:softHyphen/>
            </w:r>
            <w:proofErr w:type="gramEnd"/>
            <w:r w:rsidR="002C3A90">
              <w:rPr>
                <w:color w:val="000000"/>
              </w:rPr>
              <w:t>17.49</w:t>
            </w:r>
            <w:r w:rsidR="00BC1C00">
              <w:rPr>
                <w:color w:val="000000"/>
              </w:rPr>
              <w:t>% of hours</w:t>
            </w:r>
          </w:p>
          <w:p w:rsidR="00E07FF3" w:rsidP="00EC6387" w:rsidRDefault="00E07FF3" w14:paraId="1AA7432C" w14:textId="77777777">
            <w:pPr>
              <w:rPr>
                <w:color w:val="000000"/>
              </w:rPr>
            </w:pPr>
          </w:p>
          <w:p w:rsidR="00E07FF3" w:rsidP="00EC6387" w:rsidRDefault="0049432A" w14:paraId="3968A85C" w14:textId="789FEB0C">
            <w:pPr>
              <w:rPr>
                <w:color w:val="000000"/>
              </w:rPr>
            </w:pPr>
            <w:r>
              <w:rPr>
                <w:color w:val="000000"/>
              </w:rPr>
              <w:t xml:space="preserve">As part of the work for Issue A, the Center identified the Power Charge Indifference Adjustment </w:t>
            </w:r>
            <w:r w:rsidR="00651348">
              <w:rPr>
                <w:color w:val="000000"/>
              </w:rPr>
              <w:t xml:space="preserve">(“PCIA”) </w:t>
            </w:r>
            <w:r>
              <w:rPr>
                <w:color w:val="000000"/>
              </w:rPr>
              <w:t>as a barrier to low-income participation</w:t>
            </w:r>
            <w:r w:rsidR="00F31813">
              <w:rPr>
                <w:color w:val="000000"/>
              </w:rPr>
              <w:t xml:space="preserve"> for two reasons: first, as a financial barrier or “premium” that prohibits low-income customer participation; and second, </w:t>
            </w:r>
            <w:r w:rsidR="00AD0EFE">
              <w:rPr>
                <w:color w:val="000000"/>
              </w:rPr>
              <w:t xml:space="preserve">as a reason for price volatility that discourages low-income and distinct customer group participation.  The Center is claiming time spent on this latter </w:t>
            </w:r>
            <w:r w:rsidR="00BA75E6">
              <w:rPr>
                <w:color w:val="000000"/>
              </w:rPr>
              <w:t>aspect in this Issue category</w:t>
            </w:r>
            <w:r w:rsidR="00AD0EFE">
              <w:rPr>
                <w:color w:val="000000"/>
              </w:rPr>
              <w:t xml:space="preserve">, which the Decision </w:t>
            </w:r>
            <w:r w:rsidR="000044F1">
              <w:rPr>
                <w:color w:val="000000"/>
              </w:rPr>
              <w:t xml:space="preserve">agrees was a barrier and </w:t>
            </w:r>
            <w:r w:rsidR="00894244">
              <w:rPr>
                <w:color w:val="000000"/>
              </w:rPr>
              <w:t>developed mechanisms to address volatility</w:t>
            </w:r>
            <w:r w:rsidR="00AD0EFE">
              <w:rPr>
                <w:color w:val="000000"/>
              </w:rPr>
              <w:t>, as detailed in section II</w:t>
            </w:r>
            <w:r w:rsidR="00BA75E6">
              <w:rPr>
                <w:color w:val="000000"/>
              </w:rPr>
              <w:t>, above</w:t>
            </w:r>
            <w:r w:rsidR="00AD0EFE">
              <w:rPr>
                <w:color w:val="000000"/>
              </w:rPr>
              <w:t xml:space="preserve">.  </w:t>
            </w:r>
            <w:r w:rsidR="00A63699">
              <w:rPr>
                <w:color w:val="000000"/>
              </w:rPr>
              <w:t xml:space="preserve">Work in </w:t>
            </w:r>
            <w:proofErr w:type="gramStart"/>
            <w:r w:rsidR="00A63699">
              <w:rPr>
                <w:color w:val="000000"/>
              </w:rPr>
              <w:t>this issue</w:t>
            </w:r>
            <w:proofErr w:type="gramEnd"/>
            <w:r w:rsidR="00A63699">
              <w:rPr>
                <w:color w:val="000000"/>
              </w:rPr>
              <w:t xml:space="preserve"> area included examining </w:t>
            </w:r>
            <w:r w:rsidR="00651348">
              <w:rPr>
                <w:color w:val="000000"/>
              </w:rPr>
              <w:t xml:space="preserve">how the PCIA affected existing </w:t>
            </w:r>
            <w:proofErr w:type="gramStart"/>
            <w:r w:rsidR="00651348">
              <w:rPr>
                <w:color w:val="000000"/>
              </w:rPr>
              <w:t>programs, and</w:t>
            </w:r>
            <w:proofErr w:type="gramEnd"/>
            <w:r w:rsidR="00651348">
              <w:rPr>
                <w:color w:val="000000"/>
              </w:rPr>
              <w:t xml:space="preserve"> identifying proposed refinements</w:t>
            </w:r>
            <w:r w:rsidR="00894244">
              <w:rPr>
                <w:color w:val="000000"/>
              </w:rPr>
              <w:t xml:space="preserve"> for future Green Access and community renewables programs</w:t>
            </w:r>
            <w:r w:rsidR="00651348">
              <w:rPr>
                <w:color w:val="000000"/>
              </w:rPr>
              <w:t xml:space="preserve">. </w:t>
            </w:r>
            <w:r w:rsidR="00AD0EFE">
              <w:rPr>
                <w:color w:val="000000"/>
              </w:rPr>
              <w:t xml:space="preserve">  </w:t>
            </w:r>
          </w:p>
          <w:p w:rsidR="0049432A" w:rsidP="00EC6387" w:rsidRDefault="0049432A" w14:paraId="0F65A2DA" w14:textId="77777777">
            <w:pPr>
              <w:rPr>
                <w:color w:val="000000"/>
              </w:rPr>
            </w:pPr>
          </w:p>
          <w:p w:rsidR="00E07FF3" w:rsidP="00EC6387" w:rsidRDefault="00E07FF3" w14:paraId="18F02695" w14:textId="3EA92B71">
            <w:pPr>
              <w:rPr>
                <w:color w:val="000000"/>
              </w:rPr>
            </w:pPr>
            <w:r>
              <w:rPr>
                <w:color w:val="000000"/>
              </w:rPr>
              <w:t xml:space="preserve">Issue C: </w:t>
            </w:r>
            <w:r w:rsidRPr="00E07FF3">
              <w:rPr>
                <w:color w:val="000000"/>
              </w:rPr>
              <w:t xml:space="preserve">Location </w:t>
            </w:r>
            <w:proofErr w:type="gramStart"/>
            <w:r w:rsidRPr="00E07FF3">
              <w:rPr>
                <w:color w:val="000000"/>
              </w:rPr>
              <w:t>Requirement</w:t>
            </w:r>
            <w:r w:rsidR="00BC1C00">
              <w:rPr>
                <w:color w:val="000000"/>
              </w:rPr>
              <w:t xml:space="preserve">: </w:t>
            </w:r>
            <w:r w:rsidR="00BC1C00">
              <w:rPr>
                <w:color w:val="000000"/>
              </w:rPr>
              <w:softHyphen/>
            </w:r>
            <w:r w:rsidR="00BC1C00">
              <w:rPr>
                <w:color w:val="000000"/>
              </w:rPr>
              <w:softHyphen/>
            </w:r>
            <w:proofErr w:type="gramEnd"/>
            <w:r w:rsidR="002C3A90">
              <w:rPr>
                <w:color w:val="000000"/>
              </w:rPr>
              <w:t>31.12</w:t>
            </w:r>
            <w:r w:rsidR="00BC1C00">
              <w:rPr>
                <w:color w:val="000000"/>
              </w:rPr>
              <w:t>% of hours</w:t>
            </w:r>
          </w:p>
          <w:p w:rsidR="00E07FF3" w:rsidP="00EC6387" w:rsidRDefault="00E07FF3" w14:paraId="5E1E152F" w14:textId="77777777">
            <w:pPr>
              <w:rPr>
                <w:color w:val="000000"/>
              </w:rPr>
            </w:pPr>
          </w:p>
          <w:p w:rsidR="00E07FF3" w:rsidP="00EC6387" w:rsidRDefault="00894244" w14:paraId="2D555D2E" w14:textId="7ABF41FE">
            <w:pPr>
              <w:rPr>
                <w:color w:val="000000"/>
              </w:rPr>
            </w:pPr>
            <w:r>
              <w:rPr>
                <w:color w:val="000000"/>
              </w:rPr>
              <w:t xml:space="preserve">One of the Center’s </w:t>
            </w:r>
            <w:proofErr w:type="gramStart"/>
            <w:r>
              <w:rPr>
                <w:color w:val="000000"/>
              </w:rPr>
              <w:t>principle</w:t>
            </w:r>
            <w:proofErr w:type="gramEnd"/>
            <w:r>
              <w:rPr>
                <w:color w:val="000000"/>
              </w:rPr>
              <w:t xml:space="preserve"> goals in this proceeding </w:t>
            </w:r>
            <w:proofErr w:type="gramStart"/>
            <w:r>
              <w:rPr>
                <w:color w:val="000000"/>
              </w:rPr>
              <w:t>was</w:t>
            </w:r>
            <w:proofErr w:type="gramEnd"/>
            <w:r>
              <w:rPr>
                <w:color w:val="000000"/>
              </w:rPr>
              <w:t xml:space="preserve"> to ensure that community solar is built as close as possible to, if not in, the community that it serves.</w:t>
            </w:r>
            <w:r w:rsidR="002A13FC">
              <w:rPr>
                <w:color w:val="000000"/>
              </w:rPr>
              <w:t xml:space="preserve">  The Center advocated for locational restrictions on all proposals developed throughout this proceeding.  This work included examining each proposal, and research regarding the community benefits and </w:t>
            </w:r>
            <w:r w:rsidR="004C0E9B">
              <w:rPr>
                <w:color w:val="000000"/>
              </w:rPr>
              <w:t xml:space="preserve">avoided land use and biodiversity impacts of locating community solar as close as possible to load.  </w:t>
            </w:r>
          </w:p>
          <w:p w:rsidR="00D97EEE" w:rsidP="00EC6387" w:rsidRDefault="00D97EEE" w14:paraId="10C4D17D" w14:textId="77777777">
            <w:pPr>
              <w:rPr>
                <w:color w:val="000000"/>
              </w:rPr>
            </w:pPr>
          </w:p>
          <w:p w:rsidR="00E07FF3" w:rsidP="00BC1C00" w:rsidRDefault="00D97EEE" w14:paraId="2FB47FCE" w14:textId="25DBA68B">
            <w:pPr>
              <w:tabs>
                <w:tab w:val="center" w:pos="3636"/>
              </w:tabs>
              <w:rPr>
                <w:color w:val="000000"/>
              </w:rPr>
            </w:pPr>
            <w:r>
              <w:rPr>
                <w:color w:val="000000"/>
              </w:rPr>
              <w:t xml:space="preserve">Issue </w:t>
            </w:r>
            <w:r w:rsidR="00BB71F8">
              <w:rPr>
                <w:color w:val="000000"/>
              </w:rPr>
              <w:t>D</w:t>
            </w:r>
            <w:r>
              <w:rPr>
                <w:color w:val="000000"/>
              </w:rPr>
              <w:t xml:space="preserve">: General </w:t>
            </w:r>
            <w:proofErr w:type="gramStart"/>
            <w:r>
              <w:rPr>
                <w:color w:val="000000"/>
              </w:rPr>
              <w:t>Participation</w:t>
            </w:r>
            <w:r w:rsidR="00BC1C00">
              <w:rPr>
                <w:color w:val="000000"/>
              </w:rPr>
              <w:t xml:space="preserve">: </w:t>
            </w:r>
            <w:r w:rsidR="00BC1C00">
              <w:rPr>
                <w:color w:val="000000"/>
              </w:rPr>
              <w:softHyphen/>
            </w:r>
            <w:r w:rsidR="00BC1C00">
              <w:rPr>
                <w:color w:val="000000"/>
              </w:rPr>
              <w:softHyphen/>
            </w:r>
            <w:proofErr w:type="gramEnd"/>
            <w:r w:rsidR="002C3A90">
              <w:rPr>
                <w:color w:val="000000"/>
              </w:rPr>
              <w:t>41.53</w:t>
            </w:r>
            <w:r w:rsidR="00BC1C00">
              <w:rPr>
                <w:color w:val="000000"/>
              </w:rPr>
              <w:t>% of hours</w:t>
            </w:r>
          </w:p>
          <w:p w:rsidR="00BC1C00" w:rsidP="00BC1C00" w:rsidRDefault="00BC1C00" w14:paraId="26689FEF" w14:textId="77777777">
            <w:pPr>
              <w:tabs>
                <w:tab w:val="center" w:pos="3636"/>
              </w:tabs>
              <w:rPr>
                <w:color w:val="000000"/>
              </w:rPr>
            </w:pPr>
          </w:p>
          <w:p w:rsidR="00BC1C00" w:rsidP="00BC1C00" w:rsidRDefault="00BC1C00" w14:paraId="280F2410" w14:textId="6B478EAA">
            <w:pPr>
              <w:rPr>
                <w:color w:val="000000"/>
              </w:rPr>
            </w:pPr>
            <w:r>
              <w:rPr>
                <w:color w:val="000000"/>
              </w:rPr>
              <w:t xml:space="preserve">General participation work is work that is essential to participation in the proceeding that typically spans multiple issues and/or is necessary for </w:t>
            </w:r>
            <w:r>
              <w:rPr>
                <w:color w:val="000000"/>
              </w:rPr>
              <w:lastRenderedPageBreak/>
              <w:t xml:space="preserve">participating in the proceeding.  This includes reviewing the initial Commission rulings, review of </w:t>
            </w:r>
            <w:r w:rsidR="005007BE">
              <w:rPr>
                <w:color w:val="000000"/>
              </w:rPr>
              <w:t xml:space="preserve">other party </w:t>
            </w:r>
            <w:r>
              <w:rPr>
                <w:color w:val="000000"/>
              </w:rPr>
              <w:t xml:space="preserve">filings, the prehearing conference, and work coordinating with other parties.  </w:t>
            </w:r>
          </w:p>
          <w:p w:rsidR="00BC1C00" w:rsidP="00BC1C00" w:rsidRDefault="00BC1C00" w14:paraId="67E73082" w14:textId="77777777">
            <w:pPr>
              <w:rPr>
                <w:color w:val="000000"/>
              </w:rPr>
            </w:pPr>
          </w:p>
          <w:p w:rsidR="00BC1C00" w:rsidP="00BC1C00" w:rsidRDefault="00BC1C00" w14:paraId="2B3CDBFF" w14:textId="0438FA2A">
            <w:pPr>
              <w:rPr>
                <w:color w:val="000000"/>
              </w:rPr>
            </w:pPr>
            <w:r>
              <w:rPr>
                <w:color w:val="000000"/>
              </w:rPr>
              <w:t xml:space="preserve">Intervenor Compensation: </w:t>
            </w:r>
            <w:r>
              <w:rPr>
                <w:color w:val="000000"/>
              </w:rPr>
              <w:softHyphen/>
            </w:r>
            <w:r>
              <w:rPr>
                <w:color w:val="000000"/>
              </w:rPr>
              <w:softHyphen/>
            </w:r>
            <w:r w:rsidR="002C3A90">
              <w:rPr>
                <w:color w:val="000000"/>
              </w:rPr>
              <w:t>5.09</w:t>
            </w:r>
            <w:r>
              <w:rPr>
                <w:color w:val="000000"/>
              </w:rPr>
              <w:t>% of hours</w:t>
            </w:r>
          </w:p>
          <w:p w:rsidR="00BC1C00" w:rsidP="00BC1C00" w:rsidRDefault="00BC1C00" w14:paraId="58D08746" w14:textId="77777777">
            <w:pPr>
              <w:rPr>
                <w:color w:val="000000"/>
              </w:rPr>
            </w:pPr>
          </w:p>
          <w:p w:rsidR="00BC1C00" w:rsidP="00BC1C00" w:rsidRDefault="00BC1C00" w14:paraId="52E266C3" w14:textId="77777777">
            <w:pPr>
              <w:rPr>
                <w:color w:val="000000"/>
              </w:rPr>
            </w:pPr>
            <w:r>
              <w:rPr>
                <w:color w:val="000000"/>
              </w:rPr>
              <w:t xml:space="preserve">Work preparing the NOI and this request for compensation.  </w:t>
            </w:r>
          </w:p>
          <w:p w:rsidR="00BC1C00" w:rsidP="00BC1C00" w:rsidRDefault="00BC1C00" w14:paraId="528D3AFA" w14:textId="77777777">
            <w:pPr>
              <w:rPr>
                <w:color w:val="000000"/>
              </w:rPr>
            </w:pPr>
          </w:p>
          <w:p w:rsidRPr="00691528" w:rsidR="00D97EEE" w:rsidP="00EC6387" w:rsidRDefault="00BC1C00" w14:paraId="2E33F35A" w14:textId="4ACB8223">
            <w:pPr>
              <w:rPr>
                <w:color w:val="000000"/>
              </w:rPr>
            </w:pPr>
            <w:r>
              <w:rPr>
                <w:color w:val="000000"/>
              </w:rPr>
              <w:t>The Ce</w:t>
            </w:r>
            <w:r w:rsidR="00C67BCB">
              <w:rPr>
                <w:color w:val="000000"/>
              </w:rPr>
              <w:t>nter</w:t>
            </w:r>
            <w:r>
              <w:rPr>
                <w:color w:val="000000"/>
              </w:rPr>
              <w:t xml:space="preserve"> submits that given the nature of this proceeding and its participation, this information should suffice to address the allocation requirement under the Commission’s rules.  If the Commission wishes to see additional or different information at this point, the Center requests that the Commission inform it and provide a reasonable opportunity to supplement this showing accordingly. </w:t>
            </w:r>
          </w:p>
          <w:p w:rsidRPr="003D4455" w:rsidR="00691528" w:rsidP="00EC6387" w:rsidRDefault="00691528" w14:paraId="3285939A" w14:textId="77777777">
            <w:pPr>
              <w:rPr>
                <w:color w:val="000000"/>
              </w:rPr>
            </w:pPr>
          </w:p>
        </w:tc>
        <w:tc>
          <w:tcPr>
            <w:tcW w:w="2250" w:type="dxa"/>
          </w:tcPr>
          <w:p w:rsidR="00BE37CA" w:rsidP="00BE37CA" w:rsidRDefault="00BE37CA" w14:paraId="7974A345" w14:textId="01E03DE6">
            <w:pPr>
              <w:rPr>
                <w:color w:val="000000"/>
              </w:rPr>
            </w:pPr>
            <w:r>
              <w:rPr>
                <w:color w:val="000000"/>
              </w:rPr>
              <w:lastRenderedPageBreak/>
              <w:t xml:space="preserve">We note that CBD listed percentages of amount requested per issue not of percentage of hours. The corrected percentage of hours </w:t>
            </w:r>
            <w:r>
              <w:rPr>
                <w:color w:val="000000"/>
              </w:rPr>
              <w:lastRenderedPageBreak/>
              <w:t xml:space="preserve">per substantive issue (not including </w:t>
            </w:r>
            <w:proofErr w:type="spellStart"/>
            <w:r>
              <w:rPr>
                <w:color w:val="000000"/>
              </w:rPr>
              <w:t>IComp</w:t>
            </w:r>
            <w:proofErr w:type="spellEnd"/>
            <w:r>
              <w:rPr>
                <w:color w:val="000000"/>
              </w:rPr>
              <w:t xml:space="preserve"> preparation) are the following:</w:t>
            </w:r>
          </w:p>
          <w:p w:rsidR="00BE37CA" w:rsidP="00BE37CA" w:rsidRDefault="00BE37CA" w14:paraId="3C236A7F" w14:textId="77777777">
            <w:pPr>
              <w:rPr>
                <w:color w:val="000000"/>
              </w:rPr>
            </w:pPr>
          </w:p>
          <w:p w:rsidR="00BE37CA" w:rsidP="00BE37CA" w:rsidRDefault="00BE37CA" w14:paraId="0AA8941E" w14:textId="77777777">
            <w:pPr>
              <w:rPr>
                <w:color w:val="000000"/>
              </w:rPr>
            </w:pPr>
            <w:r>
              <w:rPr>
                <w:color w:val="000000"/>
              </w:rPr>
              <w:t>Issue A: 5.23%</w:t>
            </w:r>
          </w:p>
          <w:p w:rsidR="00BE37CA" w:rsidP="00BE37CA" w:rsidRDefault="00BE37CA" w14:paraId="72DB0229" w14:textId="77777777">
            <w:pPr>
              <w:rPr>
                <w:color w:val="000000"/>
              </w:rPr>
            </w:pPr>
            <w:r>
              <w:rPr>
                <w:color w:val="000000"/>
              </w:rPr>
              <w:t>Issue B: 18.70%</w:t>
            </w:r>
          </w:p>
          <w:p w:rsidR="00BE37CA" w:rsidP="00BE37CA" w:rsidRDefault="00BE37CA" w14:paraId="1A671767" w14:textId="77777777">
            <w:pPr>
              <w:rPr>
                <w:color w:val="000000"/>
              </w:rPr>
            </w:pPr>
            <w:r>
              <w:rPr>
                <w:color w:val="000000"/>
              </w:rPr>
              <w:t>Issue C: 32.49%</w:t>
            </w:r>
          </w:p>
          <w:p w:rsidRPr="007F620E" w:rsidR="00BE37CA" w:rsidP="00BE37CA" w:rsidRDefault="00BE37CA" w14:paraId="497C4799" w14:textId="53A9DC3D">
            <w:pPr>
              <w:rPr>
                <w:color w:val="000000"/>
              </w:rPr>
            </w:pPr>
            <w:r>
              <w:rPr>
                <w:color w:val="000000"/>
              </w:rPr>
              <w:t xml:space="preserve">Issue </w:t>
            </w:r>
            <w:r w:rsidR="00054CAC">
              <w:rPr>
                <w:color w:val="000000"/>
              </w:rPr>
              <w:t>D</w:t>
            </w:r>
            <w:r>
              <w:rPr>
                <w:color w:val="000000"/>
              </w:rPr>
              <w:t>: 43.58%</w:t>
            </w: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lastRenderedPageBreak/>
        <w:t xml:space="preserve">Specific </w:t>
      </w:r>
      <w:proofErr w:type="gramStart"/>
      <w:r w:rsidRPr="007F620E">
        <w:rPr>
          <w:b/>
          <w:color w:val="000000"/>
        </w:rPr>
        <w:t>Claim</w:t>
      </w:r>
      <w:r w:rsidR="00C02649">
        <w:rPr>
          <w:b/>
          <w:color w:val="000000"/>
        </w:rPr>
        <w:t>:</w:t>
      </w:r>
      <w:r w:rsidRPr="007F620E" w:rsidR="00D075B1">
        <w:rPr>
          <w:b/>
          <w:color w:val="000000"/>
        </w:rPr>
        <w:t>*</w:t>
      </w:r>
      <w:proofErr w:type="gramEnd"/>
    </w:p>
    <w:tbl>
      <w:tblPr>
        <w:tblpPr w:leftFromText="180" w:rightFromText="180" w:vertAnchor="text" w:tblpXSpec="center" w:tblpY="1"/>
        <w:tblOverlap w:val="never"/>
        <w:tblW w:w="11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1031"/>
        <w:gridCol w:w="376"/>
        <w:gridCol w:w="1244"/>
        <w:gridCol w:w="1333"/>
        <w:gridCol w:w="917"/>
        <w:gridCol w:w="38"/>
        <w:gridCol w:w="1146"/>
        <w:gridCol w:w="1881"/>
      </w:tblGrid>
      <w:tr w:rsidRPr="007F620E" w:rsidR="00A92D0B" w:rsidTr="007E3A88" w14:paraId="780664A2" w14:textId="77777777">
        <w:tc>
          <w:tcPr>
            <w:tcW w:w="7178" w:type="dxa"/>
            <w:gridSpan w:val="8"/>
            <w:tcBorders>
              <w:bottom w:val="single" w:color="auto" w:sz="4" w:space="0"/>
              <w:right w:val="single" w:color="auto" w:sz="24" w:space="0"/>
            </w:tcBorders>
          </w:tcPr>
          <w:p w:rsidRPr="007F620E" w:rsidR="00A92D0B" w:rsidP="007E3A88" w:rsidRDefault="00A92D0B" w14:paraId="6BFE54DA" w14:textId="77777777">
            <w:pPr>
              <w:keepNext/>
              <w:keepLines/>
              <w:spacing w:before="60" w:after="60"/>
              <w:jc w:val="center"/>
              <w:rPr>
                <w:b/>
                <w:smallCaps/>
                <w:color w:val="000000"/>
              </w:rPr>
            </w:pPr>
            <w:r w:rsidRPr="007F620E">
              <w:rPr>
                <w:b/>
                <w:smallCaps/>
                <w:color w:val="000000"/>
              </w:rPr>
              <w:t>Claimed</w:t>
            </w:r>
          </w:p>
        </w:tc>
        <w:tc>
          <w:tcPr>
            <w:tcW w:w="3982" w:type="dxa"/>
            <w:gridSpan w:val="4"/>
            <w:tcBorders>
              <w:left w:val="single" w:color="auto" w:sz="24" w:space="0"/>
              <w:bottom w:val="single" w:color="auto" w:sz="4" w:space="0"/>
            </w:tcBorders>
          </w:tcPr>
          <w:p w:rsidRPr="007F620E" w:rsidR="00A92D0B" w:rsidP="007E3A88"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7E3A88" w14:paraId="0F5B6CAA" w14:textId="77777777">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7E3A88" w:rsidRDefault="00A92D0B" w14:paraId="284F9031" w14:textId="77777777">
            <w:pPr>
              <w:keepNext/>
              <w:keepLines/>
              <w:spacing w:before="60" w:after="60"/>
              <w:jc w:val="center"/>
              <w:rPr>
                <w:b/>
              </w:rPr>
            </w:pPr>
            <w:r w:rsidRPr="007F620E">
              <w:rPr>
                <w:b/>
              </w:rPr>
              <w:t>ATTORNEY, EXPERT, AND ADVOCATE FEES</w:t>
            </w:r>
          </w:p>
        </w:tc>
      </w:tr>
      <w:tr w:rsidRPr="00260518" w:rsidR="00A92D0B" w:rsidTr="007E3A88" w14:paraId="5A70C962" w14:textId="77777777">
        <w:tc>
          <w:tcPr>
            <w:tcW w:w="1489" w:type="dxa"/>
            <w:tcBorders>
              <w:top w:val="single" w:color="auto" w:sz="4" w:space="0"/>
              <w:bottom w:val="single" w:color="auto" w:sz="4" w:space="0"/>
            </w:tcBorders>
            <w:vAlign w:val="bottom"/>
          </w:tcPr>
          <w:p w:rsidRPr="00260518" w:rsidR="00A92D0B" w:rsidP="007E3A88"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7E3A88"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7E3A88"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1031" w:type="dxa"/>
            <w:tcBorders>
              <w:top w:val="single" w:color="auto" w:sz="4" w:space="0"/>
              <w:bottom w:val="single" w:color="auto" w:sz="4" w:space="0"/>
            </w:tcBorders>
            <w:vAlign w:val="bottom"/>
          </w:tcPr>
          <w:p w:rsidRPr="00260518" w:rsidR="00A92D0B" w:rsidP="007E3A88"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620" w:type="dxa"/>
            <w:gridSpan w:val="2"/>
            <w:tcBorders>
              <w:top w:val="single" w:color="auto" w:sz="4" w:space="0"/>
              <w:bottom w:val="single" w:color="auto" w:sz="4" w:space="0"/>
              <w:right w:val="single" w:color="auto" w:sz="4" w:space="0"/>
            </w:tcBorders>
            <w:vAlign w:val="bottom"/>
          </w:tcPr>
          <w:p w:rsidRPr="00260518" w:rsidR="00A92D0B" w:rsidP="007E3A88"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33" w:type="dxa"/>
            <w:tcBorders>
              <w:top w:val="single" w:color="auto" w:sz="4" w:space="0"/>
              <w:left w:val="single" w:color="auto" w:sz="4" w:space="0"/>
              <w:bottom w:val="single" w:color="auto" w:sz="4" w:space="0"/>
              <w:right w:val="single" w:color="auto" w:sz="24" w:space="0"/>
            </w:tcBorders>
            <w:vAlign w:val="bottom"/>
          </w:tcPr>
          <w:p w:rsidRPr="00260518" w:rsidR="00A92D0B" w:rsidP="007E3A88"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955" w:type="dxa"/>
            <w:gridSpan w:val="2"/>
            <w:tcBorders>
              <w:top w:val="single" w:color="auto" w:sz="4" w:space="0"/>
              <w:left w:val="single" w:color="auto" w:sz="4" w:space="0"/>
            </w:tcBorders>
            <w:vAlign w:val="bottom"/>
          </w:tcPr>
          <w:p w:rsidRPr="00260518" w:rsidR="00A92D0B" w:rsidP="007E3A88"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7E3A88"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881" w:type="dxa"/>
            <w:tcBorders>
              <w:top w:val="single" w:color="auto" w:sz="4" w:space="0"/>
            </w:tcBorders>
            <w:vAlign w:val="bottom"/>
          </w:tcPr>
          <w:p w:rsidRPr="00260518" w:rsidR="00A92D0B" w:rsidP="007E3A88"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FD6A44" w:rsidTr="00C111FF" w14:paraId="01F18102" w14:textId="77777777">
        <w:tc>
          <w:tcPr>
            <w:tcW w:w="1489" w:type="dxa"/>
          </w:tcPr>
          <w:p w:rsidR="00FD6A44" w:rsidP="00FD6A44" w:rsidRDefault="00FD6A44" w14:paraId="1E8EA533" w14:textId="6B13C25E">
            <w:pPr>
              <w:spacing w:before="60" w:after="60"/>
              <w:rPr>
                <w:color w:val="000000"/>
              </w:rPr>
            </w:pPr>
            <w:r>
              <w:rPr>
                <w:color w:val="000000"/>
              </w:rPr>
              <w:t>Augusta Wilson</w:t>
            </w:r>
            <w:bookmarkStart w:name="_Ref206658337" w:id="0"/>
            <w:r>
              <w:rPr>
                <w:rStyle w:val="FootnoteReference"/>
                <w:color w:val="000000"/>
              </w:rPr>
              <w:footnoteReference w:id="3"/>
            </w:r>
            <w:bookmarkEnd w:id="0"/>
          </w:p>
        </w:tc>
        <w:tc>
          <w:tcPr>
            <w:tcW w:w="821" w:type="dxa"/>
          </w:tcPr>
          <w:p w:rsidR="00FD6A44" w:rsidP="00FD6A44" w:rsidRDefault="00FD6A44" w14:paraId="6164664C" w14:textId="43832768">
            <w:pPr>
              <w:spacing w:before="60" w:after="60"/>
              <w:jc w:val="center"/>
              <w:rPr>
                <w:color w:val="000000"/>
              </w:rPr>
            </w:pPr>
            <w:r>
              <w:rPr>
                <w:color w:val="000000"/>
              </w:rPr>
              <w:t>2022</w:t>
            </w:r>
          </w:p>
        </w:tc>
        <w:tc>
          <w:tcPr>
            <w:tcW w:w="884" w:type="dxa"/>
            <w:gridSpan w:val="2"/>
          </w:tcPr>
          <w:p w:rsidR="00FD6A44" w:rsidP="00FD6A44" w:rsidRDefault="00FD6A44" w14:paraId="63B56A78" w14:textId="77777777">
            <w:pPr>
              <w:spacing w:before="60" w:after="60"/>
              <w:jc w:val="center"/>
              <w:rPr>
                <w:color w:val="000000"/>
              </w:rPr>
            </w:pPr>
          </w:p>
        </w:tc>
        <w:tc>
          <w:tcPr>
            <w:tcW w:w="1031" w:type="dxa"/>
          </w:tcPr>
          <w:p w:rsidRPr="00F77EE4" w:rsidR="00FD6A44" w:rsidP="00FD6A44" w:rsidRDefault="00FD6A44" w14:paraId="41C256E9" w14:textId="77777777">
            <w:pPr>
              <w:spacing w:before="60" w:after="60"/>
              <w:jc w:val="right"/>
            </w:pPr>
          </w:p>
        </w:tc>
        <w:tc>
          <w:tcPr>
            <w:tcW w:w="1620" w:type="dxa"/>
            <w:gridSpan w:val="2"/>
            <w:tcBorders>
              <w:right w:val="single" w:color="auto" w:sz="4" w:space="0"/>
            </w:tcBorders>
          </w:tcPr>
          <w:p w:rsidR="00FD6A44" w:rsidP="00FD6A44" w:rsidRDefault="00FD6A44" w14:paraId="578CEFE6" w14:textId="77777777">
            <w:pPr>
              <w:spacing w:before="60" w:after="60"/>
              <w:rPr>
                <w:color w:val="000000"/>
              </w:rPr>
            </w:pPr>
          </w:p>
        </w:tc>
        <w:tc>
          <w:tcPr>
            <w:tcW w:w="1333" w:type="dxa"/>
            <w:tcBorders>
              <w:top w:val="single" w:color="auto" w:sz="4" w:space="0"/>
              <w:left w:val="single" w:color="auto" w:sz="4" w:space="0"/>
              <w:bottom w:val="single" w:color="auto" w:sz="4" w:space="0"/>
              <w:right w:val="single" w:color="auto" w:sz="24" w:space="0"/>
            </w:tcBorders>
          </w:tcPr>
          <w:p w:rsidR="00FD6A44" w:rsidP="00FD6A44" w:rsidRDefault="00FD6A44" w14:paraId="54DC40CA" w14:textId="77777777">
            <w:pPr>
              <w:spacing w:before="60" w:after="60"/>
              <w:jc w:val="right"/>
              <w:rPr>
                <w:color w:val="000000"/>
              </w:rPr>
            </w:pPr>
          </w:p>
        </w:tc>
        <w:tc>
          <w:tcPr>
            <w:tcW w:w="955" w:type="dxa"/>
            <w:gridSpan w:val="2"/>
            <w:tcBorders>
              <w:left w:val="single" w:color="auto" w:sz="4" w:space="0"/>
            </w:tcBorders>
          </w:tcPr>
          <w:p w:rsidRPr="007F620E" w:rsidR="00FD6A44" w:rsidP="00FD6A44" w:rsidRDefault="00FD6A44" w14:paraId="20AE775A" w14:textId="3651BD0C">
            <w:pPr>
              <w:spacing w:before="60" w:after="60"/>
              <w:jc w:val="center"/>
              <w:rPr>
                <w:color w:val="000000"/>
              </w:rPr>
            </w:pPr>
            <w:r>
              <w:rPr>
                <w:color w:val="000000"/>
              </w:rPr>
              <w:t>0.70 [1]</w:t>
            </w:r>
          </w:p>
        </w:tc>
        <w:tc>
          <w:tcPr>
            <w:tcW w:w="1146" w:type="dxa"/>
          </w:tcPr>
          <w:p w:rsidR="00FD6A44" w:rsidP="00FD6A44" w:rsidRDefault="00FD6A44" w14:paraId="602575BC" w14:textId="38797CF4">
            <w:pPr>
              <w:spacing w:before="60" w:after="60"/>
              <w:jc w:val="center"/>
              <w:rPr>
                <w:color w:val="000000"/>
              </w:rPr>
            </w:pPr>
            <w:r>
              <w:rPr>
                <w:color w:val="000000"/>
              </w:rPr>
              <w:t>$510.00 [</w:t>
            </w:r>
            <w:r w:rsidR="000236E4">
              <w:rPr>
                <w:color w:val="000000"/>
              </w:rPr>
              <w:t>4</w:t>
            </w:r>
            <w:r>
              <w:rPr>
                <w:color w:val="000000"/>
              </w:rPr>
              <w:t>]</w:t>
            </w:r>
          </w:p>
        </w:tc>
        <w:tc>
          <w:tcPr>
            <w:tcW w:w="1881" w:type="dxa"/>
          </w:tcPr>
          <w:p w:rsidRPr="007F620E" w:rsidR="00FD6A44" w:rsidP="00FD6A44" w:rsidRDefault="00FD6A44" w14:paraId="1822966D" w14:textId="531720C9">
            <w:pPr>
              <w:spacing w:before="60" w:after="60"/>
              <w:jc w:val="right"/>
              <w:rPr>
                <w:color w:val="000000"/>
              </w:rPr>
            </w:pPr>
            <w:r>
              <w:rPr>
                <w:color w:val="000000"/>
              </w:rPr>
              <w:t xml:space="preserve">$357.00 </w:t>
            </w:r>
          </w:p>
        </w:tc>
      </w:tr>
      <w:tr w:rsidRPr="007F620E" w:rsidR="00FD6A44" w:rsidTr="00C111FF" w14:paraId="62E8A168" w14:textId="77777777">
        <w:tc>
          <w:tcPr>
            <w:tcW w:w="1489" w:type="dxa"/>
          </w:tcPr>
          <w:p w:rsidRPr="007F620E" w:rsidR="00FD6A44" w:rsidP="00FD6A44" w:rsidRDefault="00FD6A44" w14:paraId="33EA8B38" w14:textId="1AADF817">
            <w:pPr>
              <w:spacing w:before="60" w:after="60"/>
              <w:rPr>
                <w:color w:val="000000"/>
              </w:rPr>
            </w:pPr>
            <w:r>
              <w:rPr>
                <w:color w:val="000000"/>
              </w:rPr>
              <w:t>Augusta Wilson</w:t>
            </w:r>
          </w:p>
        </w:tc>
        <w:tc>
          <w:tcPr>
            <w:tcW w:w="821" w:type="dxa"/>
          </w:tcPr>
          <w:p w:rsidRPr="007F620E" w:rsidR="00FD6A44" w:rsidP="00FD6A44" w:rsidRDefault="00FD6A44" w14:paraId="47EBBC49" w14:textId="77E985CD">
            <w:pPr>
              <w:spacing w:before="60" w:after="60"/>
              <w:jc w:val="center"/>
              <w:rPr>
                <w:color w:val="000000"/>
              </w:rPr>
            </w:pPr>
            <w:r>
              <w:rPr>
                <w:color w:val="000000"/>
              </w:rPr>
              <w:t>2023</w:t>
            </w:r>
          </w:p>
        </w:tc>
        <w:tc>
          <w:tcPr>
            <w:tcW w:w="884" w:type="dxa"/>
            <w:gridSpan w:val="2"/>
          </w:tcPr>
          <w:p w:rsidRPr="007F620E" w:rsidR="00FD6A44" w:rsidP="00FD6A44" w:rsidRDefault="00FD6A44" w14:paraId="39A3074C" w14:textId="5D2111BF">
            <w:pPr>
              <w:spacing w:before="60" w:after="60"/>
              <w:jc w:val="center"/>
              <w:rPr>
                <w:color w:val="000000"/>
              </w:rPr>
            </w:pPr>
            <w:r>
              <w:rPr>
                <w:color w:val="000000"/>
              </w:rPr>
              <w:t>41.8</w:t>
            </w:r>
          </w:p>
        </w:tc>
        <w:tc>
          <w:tcPr>
            <w:tcW w:w="1031" w:type="dxa"/>
          </w:tcPr>
          <w:p w:rsidRPr="007F620E" w:rsidR="00FD6A44" w:rsidP="00FD6A44" w:rsidRDefault="00FD6A44" w14:paraId="3E5BD317" w14:textId="7002DDA6">
            <w:pPr>
              <w:spacing w:before="60" w:after="60"/>
              <w:jc w:val="right"/>
              <w:rPr>
                <w:color w:val="000000"/>
              </w:rPr>
            </w:pPr>
            <w:r w:rsidRPr="00F77EE4">
              <w:t>$536.52</w:t>
            </w:r>
          </w:p>
        </w:tc>
        <w:tc>
          <w:tcPr>
            <w:tcW w:w="1620" w:type="dxa"/>
            <w:gridSpan w:val="2"/>
            <w:tcBorders>
              <w:right w:val="single" w:color="auto" w:sz="4" w:space="0"/>
            </w:tcBorders>
          </w:tcPr>
          <w:p w:rsidRPr="007F620E" w:rsidR="00FD6A44" w:rsidP="00FD6A44" w:rsidRDefault="00FD6A44" w14:paraId="63BDE315" w14:textId="521E3769">
            <w:pPr>
              <w:spacing w:before="60" w:after="60"/>
              <w:rPr>
                <w:color w:val="000000"/>
              </w:rPr>
            </w:pPr>
            <w:r>
              <w:rPr>
                <w:color w:val="000000"/>
              </w:rPr>
              <w:t>See Comment #1</w:t>
            </w:r>
          </w:p>
        </w:tc>
        <w:tc>
          <w:tcPr>
            <w:tcW w:w="1333" w:type="dxa"/>
            <w:tcBorders>
              <w:top w:val="single" w:color="auto" w:sz="4" w:space="0"/>
              <w:left w:val="single" w:color="auto" w:sz="4" w:space="0"/>
              <w:bottom w:val="single" w:color="auto" w:sz="4" w:space="0"/>
              <w:right w:val="single" w:color="auto" w:sz="24" w:space="0"/>
            </w:tcBorders>
          </w:tcPr>
          <w:p w:rsidRPr="007F620E" w:rsidR="00FD6A44" w:rsidP="00FD6A44" w:rsidRDefault="00FD6A44" w14:paraId="06BD92A5" w14:textId="7ACE693E">
            <w:pPr>
              <w:spacing w:before="60" w:after="60"/>
              <w:jc w:val="right"/>
              <w:rPr>
                <w:color w:val="000000"/>
              </w:rPr>
            </w:pPr>
            <w:r>
              <w:rPr>
                <w:color w:val="000000"/>
              </w:rPr>
              <w:t>$22,426.54</w:t>
            </w:r>
          </w:p>
        </w:tc>
        <w:tc>
          <w:tcPr>
            <w:tcW w:w="955" w:type="dxa"/>
            <w:gridSpan w:val="2"/>
            <w:tcBorders>
              <w:left w:val="single" w:color="auto" w:sz="4" w:space="0"/>
            </w:tcBorders>
          </w:tcPr>
          <w:p w:rsidRPr="007F620E" w:rsidR="00FD6A44" w:rsidP="00E463F1" w:rsidRDefault="00E463F1" w14:paraId="31AF7AA4" w14:textId="021BE67A">
            <w:pPr>
              <w:spacing w:before="60" w:after="60"/>
              <w:jc w:val="center"/>
              <w:rPr>
                <w:color w:val="000000"/>
              </w:rPr>
            </w:pPr>
            <w:r>
              <w:rPr>
                <w:color w:val="000000"/>
              </w:rPr>
              <w:t>25.</w:t>
            </w:r>
            <w:r w:rsidR="00600CCF">
              <w:rPr>
                <w:color w:val="000000"/>
              </w:rPr>
              <w:t xml:space="preserve">85 </w:t>
            </w:r>
            <w:r w:rsidR="00FD6A44">
              <w:rPr>
                <w:color w:val="000000"/>
              </w:rPr>
              <w:t>[1,</w:t>
            </w:r>
            <w:r w:rsidR="004455EA">
              <w:rPr>
                <w:color w:val="000000"/>
              </w:rPr>
              <w:t>2</w:t>
            </w:r>
            <w:r w:rsidR="009C66F2">
              <w:rPr>
                <w:color w:val="000000"/>
              </w:rPr>
              <w:t>,</w:t>
            </w:r>
            <w:r w:rsidR="004455EA">
              <w:rPr>
                <w:color w:val="000000"/>
              </w:rPr>
              <w:t>3</w:t>
            </w:r>
            <w:r w:rsidR="00FD6A44">
              <w:rPr>
                <w:color w:val="000000"/>
              </w:rPr>
              <w:t>]</w:t>
            </w:r>
          </w:p>
        </w:tc>
        <w:tc>
          <w:tcPr>
            <w:tcW w:w="1146" w:type="dxa"/>
          </w:tcPr>
          <w:p w:rsidRPr="00696FBF" w:rsidR="00FD6A44" w:rsidP="00FD6A44" w:rsidRDefault="00FD6A44" w14:paraId="3400AFFC" w14:textId="7CB19C9D">
            <w:pPr>
              <w:spacing w:before="60" w:after="60"/>
              <w:jc w:val="center"/>
              <w:rPr>
                <w:color w:val="000000"/>
                <w:highlight w:val="yellow"/>
              </w:rPr>
            </w:pPr>
            <w:r>
              <w:rPr>
                <w:color w:val="000000"/>
              </w:rPr>
              <w:t>$535.00 [</w:t>
            </w:r>
            <w:r w:rsidR="000236E4">
              <w:rPr>
                <w:color w:val="000000"/>
              </w:rPr>
              <w:t>4</w:t>
            </w:r>
            <w:r>
              <w:rPr>
                <w:color w:val="000000"/>
              </w:rPr>
              <w:t>]</w:t>
            </w:r>
          </w:p>
        </w:tc>
        <w:tc>
          <w:tcPr>
            <w:tcW w:w="1881" w:type="dxa"/>
          </w:tcPr>
          <w:p w:rsidRPr="007F620E" w:rsidR="00FD6A44" w:rsidP="00FD6A44" w:rsidRDefault="00FD6A44" w14:paraId="196C1830" w14:textId="780370AE">
            <w:pPr>
              <w:spacing w:before="60" w:after="60"/>
              <w:jc w:val="right"/>
              <w:rPr>
                <w:color w:val="000000"/>
              </w:rPr>
            </w:pPr>
            <w:r>
              <w:rPr>
                <w:color w:val="000000"/>
              </w:rPr>
              <w:t>$</w:t>
            </w:r>
            <w:r w:rsidR="00C233A3">
              <w:rPr>
                <w:color w:val="000000"/>
              </w:rPr>
              <w:t>13,</w:t>
            </w:r>
            <w:r w:rsidR="004832EC">
              <w:rPr>
                <w:color w:val="000000"/>
              </w:rPr>
              <w:t>829.75</w:t>
            </w:r>
            <w:r>
              <w:rPr>
                <w:color w:val="000000"/>
              </w:rPr>
              <w:t xml:space="preserve"> </w:t>
            </w:r>
          </w:p>
        </w:tc>
      </w:tr>
      <w:tr w:rsidRPr="007F620E" w:rsidR="00FD6A44" w:rsidTr="00C111FF" w14:paraId="5BF6A154" w14:textId="77777777">
        <w:tc>
          <w:tcPr>
            <w:tcW w:w="1489" w:type="dxa"/>
          </w:tcPr>
          <w:p w:rsidRPr="007F620E" w:rsidR="00FD6A44" w:rsidP="00FD6A44" w:rsidRDefault="00FD6A44" w14:paraId="118506EC" w14:textId="54B4C407">
            <w:pPr>
              <w:spacing w:before="60" w:after="60"/>
              <w:rPr>
                <w:color w:val="000000"/>
              </w:rPr>
            </w:pPr>
            <w:r>
              <w:rPr>
                <w:color w:val="000000"/>
              </w:rPr>
              <w:t>Augusta Wilson</w:t>
            </w:r>
          </w:p>
        </w:tc>
        <w:tc>
          <w:tcPr>
            <w:tcW w:w="821" w:type="dxa"/>
          </w:tcPr>
          <w:p w:rsidRPr="007F620E" w:rsidR="00FD6A44" w:rsidP="00FD6A44" w:rsidRDefault="00FD6A44" w14:paraId="3767540B" w14:textId="4B7F6123">
            <w:pPr>
              <w:spacing w:before="60" w:after="60"/>
              <w:jc w:val="center"/>
              <w:rPr>
                <w:color w:val="000000"/>
              </w:rPr>
            </w:pPr>
            <w:r>
              <w:rPr>
                <w:color w:val="000000"/>
              </w:rPr>
              <w:t>2024</w:t>
            </w:r>
          </w:p>
        </w:tc>
        <w:tc>
          <w:tcPr>
            <w:tcW w:w="884" w:type="dxa"/>
            <w:gridSpan w:val="2"/>
          </w:tcPr>
          <w:p w:rsidRPr="007F620E" w:rsidR="00FD6A44" w:rsidP="00FD6A44" w:rsidRDefault="00FD6A44" w14:paraId="120FE857" w14:textId="3AD2EFF2">
            <w:pPr>
              <w:spacing w:before="60" w:after="60"/>
              <w:jc w:val="center"/>
              <w:rPr>
                <w:color w:val="000000"/>
              </w:rPr>
            </w:pPr>
            <w:r>
              <w:rPr>
                <w:color w:val="000000"/>
              </w:rPr>
              <w:t>2.9</w:t>
            </w:r>
          </w:p>
        </w:tc>
        <w:tc>
          <w:tcPr>
            <w:tcW w:w="1031" w:type="dxa"/>
          </w:tcPr>
          <w:p w:rsidRPr="007F620E" w:rsidR="00FD6A44" w:rsidP="00FD6A44" w:rsidRDefault="00FD6A44" w14:paraId="075109E1" w14:textId="0567C343">
            <w:pPr>
              <w:spacing w:before="60" w:after="60"/>
              <w:jc w:val="right"/>
              <w:rPr>
                <w:color w:val="000000"/>
              </w:rPr>
            </w:pPr>
            <w:r w:rsidRPr="00F77EE4">
              <w:t>$558.35</w:t>
            </w:r>
          </w:p>
        </w:tc>
        <w:tc>
          <w:tcPr>
            <w:tcW w:w="1620" w:type="dxa"/>
            <w:gridSpan w:val="2"/>
            <w:tcBorders>
              <w:right w:val="single" w:color="auto" w:sz="4" w:space="0"/>
            </w:tcBorders>
          </w:tcPr>
          <w:p w:rsidRPr="007F620E" w:rsidR="00FD6A44" w:rsidP="00FD6A44" w:rsidRDefault="00FD6A44" w14:paraId="4AF4C006" w14:textId="3B7BAB18">
            <w:pPr>
              <w:spacing w:before="60" w:after="60"/>
              <w:rPr>
                <w:color w:val="000000"/>
              </w:rPr>
            </w:pPr>
            <w:r>
              <w:rPr>
                <w:color w:val="000000"/>
              </w:rPr>
              <w:t>See Comment #1</w:t>
            </w:r>
          </w:p>
        </w:tc>
        <w:tc>
          <w:tcPr>
            <w:tcW w:w="1333" w:type="dxa"/>
            <w:tcBorders>
              <w:top w:val="single" w:color="auto" w:sz="4" w:space="0"/>
              <w:left w:val="single" w:color="auto" w:sz="4" w:space="0"/>
              <w:bottom w:val="single" w:color="auto" w:sz="4" w:space="0"/>
              <w:right w:val="single" w:color="auto" w:sz="24" w:space="0"/>
            </w:tcBorders>
          </w:tcPr>
          <w:p w:rsidRPr="007F620E" w:rsidR="00FD6A44" w:rsidP="00FD6A44" w:rsidRDefault="00FD6A44" w14:paraId="2A77845E" w14:textId="498CB88B">
            <w:pPr>
              <w:spacing w:before="60" w:after="60"/>
              <w:jc w:val="right"/>
              <w:rPr>
                <w:color w:val="000000"/>
              </w:rPr>
            </w:pPr>
            <w:r>
              <w:rPr>
                <w:color w:val="000000"/>
              </w:rPr>
              <w:t>$1,619.22</w:t>
            </w:r>
          </w:p>
        </w:tc>
        <w:tc>
          <w:tcPr>
            <w:tcW w:w="955" w:type="dxa"/>
            <w:gridSpan w:val="2"/>
            <w:tcBorders>
              <w:left w:val="single" w:color="auto" w:sz="4" w:space="0"/>
            </w:tcBorders>
          </w:tcPr>
          <w:p w:rsidRPr="007F620E" w:rsidR="00FD6A44" w:rsidP="00FD6A44" w:rsidRDefault="00A65461" w14:paraId="461DC9FD" w14:textId="0F8ECFDC">
            <w:pPr>
              <w:spacing w:before="60" w:after="60"/>
              <w:jc w:val="center"/>
              <w:rPr>
                <w:color w:val="000000"/>
              </w:rPr>
            </w:pPr>
            <w:r>
              <w:rPr>
                <w:color w:val="000000"/>
              </w:rPr>
              <w:t>1.</w:t>
            </w:r>
            <w:r w:rsidR="00600CCF">
              <w:rPr>
                <w:color w:val="000000"/>
              </w:rPr>
              <w:t xml:space="preserve">16 </w:t>
            </w:r>
            <w:r w:rsidR="00FD6A44">
              <w:rPr>
                <w:color w:val="000000"/>
              </w:rPr>
              <w:t>[2]</w:t>
            </w:r>
          </w:p>
        </w:tc>
        <w:tc>
          <w:tcPr>
            <w:tcW w:w="1146" w:type="dxa"/>
          </w:tcPr>
          <w:p w:rsidRPr="00696FBF" w:rsidR="00FD6A44" w:rsidP="00FD6A44" w:rsidRDefault="00FD6A44" w14:paraId="7FDABF74" w14:textId="7086CC95">
            <w:pPr>
              <w:spacing w:before="60" w:after="60"/>
              <w:jc w:val="center"/>
              <w:rPr>
                <w:color w:val="000000"/>
                <w:highlight w:val="yellow"/>
              </w:rPr>
            </w:pPr>
            <w:r>
              <w:rPr>
                <w:color w:val="000000"/>
              </w:rPr>
              <w:t>$555.00 [</w:t>
            </w:r>
            <w:r w:rsidR="000236E4">
              <w:rPr>
                <w:color w:val="000000"/>
              </w:rPr>
              <w:t>4</w:t>
            </w:r>
            <w:r>
              <w:rPr>
                <w:color w:val="000000"/>
              </w:rPr>
              <w:t>]</w:t>
            </w:r>
          </w:p>
        </w:tc>
        <w:tc>
          <w:tcPr>
            <w:tcW w:w="1881" w:type="dxa"/>
          </w:tcPr>
          <w:p w:rsidRPr="007F620E" w:rsidR="00FD6A44" w:rsidP="00FD6A44" w:rsidRDefault="00FD6A44" w14:paraId="05EFCF76" w14:textId="79B9A04A">
            <w:pPr>
              <w:spacing w:before="60" w:after="60"/>
              <w:jc w:val="right"/>
              <w:rPr>
                <w:color w:val="000000"/>
              </w:rPr>
            </w:pPr>
            <w:r>
              <w:rPr>
                <w:color w:val="000000"/>
              </w:rPr>
              <w:t>$</w:t>
            </w:r>
            <w:r w:rsidR="004832EC">
              <w:rPr>
                <w:color w:val="000000"/>
              </w:rPr>
              <w:t>643.80</w:t>
            </w:r>
            <w:r w:rsidR="00A65461">
              <w:rPr>
                <w:color w:val="000000"/>
              </w:rPr>
              <w:t xml:space="preserve"> </w:t>
            </w:r>
          </w:p>
        </w:tc>
      </w:tr>
      <w:tr w:rsidRPr="007F620E" w:rsidR="00FD6A44" w:rsidTr="00C111FF" w14:paraId="38E0B4EA" w14:textId="77777777">
        <w:tc>
          <w:tcPr>
            <w:tcW w:w="1489" w:type="dxa"/>
          </w:tcPr>
          <w:p w:rsidRPr="007F620E" w:rsidR="00FD6A44" w:rsidP="00FD6A44" w:rsidRDefault="00FD6A44" w14:paraId="1F980DF3" w14:textId="056F3E53">
            <w:pPr>
              <w:spacing w:before="60" w:after="60"/>
              <w:rPr>
                <w:color w:val="000000"/>
              </w:rPr>
            </w:pPr>
            <w:r>
              <w:rPr>
                <w:color w:val="000000"/>
              </w:rPr>
              <w:t>Howard Crystal</w:t>
            </w:r>
          </w:p>
        </w:tc>
        <w:tc>
          <w:tcPr>
            <w:tcW w:w="821" w:type="dxa"/>
          </w:tcPr>
          <w:p w:rsidRPr="007F620E" w:rsidR="00FD6A44" w:rsidP="00FD6A44" w:rsidRDefault="00FD6A44" w14:paraId="275BF57A" w14:textId="3C185D71">
            <w:pPr>
              <w:spacing w:before="60" w:after="60"/>
              <w:jc w:val="center"/>
              <w:rPr>
                <w:color w:val="000000"/>
              </w:rPr>
            </w:pPr>
            <w:r>
              <w:rPr>
                <w:color w:val="000000"/>
              </w:rPr>
              <w:t>2023</w:t>
            </w:r>
          </w:p>
        </w:tc>
        <w:tc>
          <w:tcPr>
            <w:tcW w:w="884" w:type="dxa"/>
            <w:gridSpan w:val="2"/>
          </w:tcPr>
          <w:p w:rsidR="00FD6A44" w:rsidP="00FD6A44" w:rsidRDefault="00FD6A44" w14:paraId="65C48795" w14:textId="77777777">
            <w:pPr>
              <w:spacing w:before="60" w:after="60"/>
              <w:jc w:val="center"/>
              <w:rPr>
                <w:color w:val="000000"/>
              </w:rPr>
            </w:pPr>
            <w:r>
              <w:rPr>
                <w:color w:val="000000"/>
              </w:rPr>
              <w:t>4.9</w:t>
            </w:r>
          </w:p>
          <w:p w:rsidRPr="007F620E" w:rsidR="00FD6A44" w:rsidP="00FD6A44" w:rsidRDefault="00FD6A44" w14:paraId="0DE506C4" w14:textId="016D876A">
            <w:pPr>
              <w:spacing w:before="60" w:after="60"/>
              <w:rPr>
                <w:color w:val="000000"/>
              </w:rPr>
            </w:pPr>
          </w:p>
        </w:tc>
        <w:tc>
          <w:tcPr>
            <w:tcW w:w="1031" w:type="dxa"/>
          </w:tcPr>
          <w:p w:rsidRPr="007F620E" w:rsidR="00FD6A44" w:rsidP="00FD6A44" w:rsidRDefault="00FD6A44" w14:paraId="26413E95" w14:textId="2686C4BF">
            <w:pPr>
              <w:spacing w:before="60" w:after="60"/>
              <w:jc w:val="right"/>
              <w:rPr>
                <w:color w:val="000000"/>
              </w:rPr>
            </w:pPr>
            <w:r w:rsidRPr="00F77EE4">
              <w:t>$</w:t>
            </w:r>
            <w:r>
              <w:t>763.19</w:t>
            </w:r>
          </w:p>
        </w:tc>
        <w:tc>
          <w:tcPr>
            <w:tcW w:w="1620" w:type="dxa"/>
            <w:gridSpan w:val="2"/>
            <w:tcBorders>
              <w:right w:val="single" w:color="auto" w:sz="4" w:space="0"/>
            </w:tcBorders>
          </w:tcPr>
          <w:p w:rsidRPr="007F620E" w:rsidR="00FD6A44" w:rsidP="00FD6A44" w:rsidRDefault="00FD6A44" w14:paraId="300AA881" w14:textId="78B03D7D">
            <w:pPr>
              <w:spacing w:before="60" w:after="60"/>
              <w:rPr>
                <w:color w:val="000000"/>
              </w:rPr>
            </w:pPr>
            <w:r>
              <w:rPr>
                <w:color w:val="000000"/>
              </w:rPr>
              <w:t xml:space="preserve">See Comment #2 </w:t>
            </w:r>
          </w:p>
        </w:tc>
        <w:tc>
          <w:tcPr>
            <w:tcW w:w="1333" w:type="dxa"/>
            <w:tcBorders>
              <w:top w:val="single" w:color="auto" w:sz="4" w:space="0"/>
              <w:left w:val="single" w:color="auto" w:sz="4" w:space="0"/>
              <w:bottom w:val="single" w:color="auto" w:sz="4" w:space="0"/>
              <w:right w:val="single" w:color="auto" w:sz="24" w:space="0"/>
            </w:tcBorders>
          </w:tcPr>
          <w:p w:rsidRPr="007F620E" w:rsidR="00FD6A44" w:rsidP="00FD6A44" w:rsidRDefault="00FD6A44" w14:paraId="23EF368E" w14:textId="414887EA">
            <w:pPr>
              <w:spacing w:before="60" w:after="60"/>
              <w:jc w:val="right"/>
              <w:rPr>
                <w:color w:val="000000"/>
              </w:rPr>
            </w:pPr>
            <w:r>
              <w:rPr>
                <w:color w:val="000000"/>
              </w:rPr>
              <w:t>$3,739.63</w:t>
            </w:r>
          </w:p>
        </w:tc>
        <w:tc>
          <w:tcPr>
            <w:tcW w:w="955" w:type="dxa"/>
            <w:gridSpan w:val="2"/>
            <w:tcBorders>
              <w:left w:val="single" w:color="auto" w:sz="4" w:space="0"/>
            </w:tcBorders>
          </w:tcPr>
          <w:p w:rsidRPr="007F620E" w:rsidR="00FD6A44" w:rsidP="00FD6A44" w:rsidRDefault="00A65461" w14:paraId="2B0CA953" w14:textId="4862A928">
            <w:pPr>
              <w:spacing w:before="60" w:after="60"/>
              <w:jc w:val="center"/>
              <w:rPr>
                <w:color w:val="000000"/>
              </w:rPr>
            </w:pPr>
            <w:r>
              <w:rPr>
                <w:color w:val="000000"/>
              </w:rPr>
              <w:t>3.</w:t>
            </w:r>
            <w:r w:rsidR="00AB3281">
              <w:rPr>
                <w:color w:val="000000"/>
              </w:rPr>
              <w:t xml:space="preserve">04 </w:t>
            </w:r>
            <w:r w:rsidR="00FD6A44">
              <w:rPr>
                <w:color w:val="000000"/>
              </w:rPr>
              <w:t>[</w:t>
            </w:r>
            <w:r w:rsidR="003C6346">
              <w:rPr>
                <w:color w:val="000000"/>
              </w:rPr>
              <w:t>2</w:t>
            </w:r>
            <w:r w:rsidR="009C66F2">
              <w:rPr>
                <w:color w:val="000000"/>
              </w:rPr>
              <w:t>,</w:t>
            </w:r>
            <w:r w:rsidR="003C6346">
              <w:rPr>
                <w:color w:val="000000"/>
              </w:rPr>
              <w:t>3</w:t>
            </w:r>
            <w:r w:rsidR="00FD6A44">
              <w:rPr>
                <w:color w:val="000000"/>
              </w:rPr>
              <w:t>]</w:t>
            </w:r>
          </w:p>
        </w:tc>
        <w:tc>
          <w:tcPr>
            <w:tcW w:w="1146" w:type="dxa"/>
          </w:tcPr>
          <w:p w:rsidRPr="007F620E" w:rsidR="00FD6A44" w:rsidP="00FD6A44" w:rsidRDefault="00FD6A44" w14:paraId="1FC8906C" w14:textId="480EDF74">
            <w:pPr>
              <w:spacing w:before="60" w:after="60"/>
              <w:jc w:val="center"/>
              <w:rPr>
                <w:color w:val="000000"/>
              </w:rPr>
            </w:pPr>
            <w:r>
              <w:rPr>
                <w:color w:val="000000"/>
              </w:rPr>
              <w:t>$765.00 [</w:t>
            </w:r>
            <w:r w:rsidR="000236E4">
              <w:rPr>
                <w:color w:val="000000"/>
              </w:rPr>
              <w:t>5</w:t>
            </w:r>
            <w:r>
              <w:rPr>
                <w:color w:val="000000"/>
              </w:rPr>
              <w:t>]</w:t>
            </w:r>
          </w:p>
        </w:tc>
        <w:tc>
          <w:tcPr>
            <w:tcW w:w="1881" w:type="dxa"/>
          </w:tcPr>
          <w:p w:rsidRPr="007F620E" w:rsidR="00FD6A44" w:rsidP="00FD6A44" w:rsidRDefault="00FD6A44" w14:paraId="6C594CB5" w14:textId="3BDC180E">
            <w:pPr>
              <w:spacing w:before="60" w:after="60"/>
              <w:jc w:val="right"/>
              <w:rPr>
                <w:color w:val="000000"/>
              </w:rPr>
            </w:pPr>
            <w:r>
              <w:rPr>
                <w:color w:val="000000"/>
              </w:rPr>
              <w:t>$</w:t>
            </w:r>
            <w:r w:rsidR="00AB3281">
              <w:rPr>
                <w:color w:val="000000"/>
              </w:rPr>
              <w:t>2,325.60</w:t>
            </w:r>
            <w:r>
              <w:rPr>
                <w:color w:val="000000"/>
              </w:rPr>
              <w:t xml:space="preserve"> </w:t>
            </w:r>
          </w:p>
        </w:tc>
      </w:tr>
      <w:tr w:rsidRPr="007F620E" w:rsidR="00FD6A44" w:rsidTr="00C111FF" w14:paraId="68DB0531" w14:textId="77777777">
        <w:tc>
          <w:tcPr>
            <w:tcW w:w="1489" w:type="dxa"/>
          </w:tcPr>
          <w:p w:rsidR="00FD6A44" w:rsidP="00FD6A44" w:rsidRDefault="00FD6A44" w14:paraId="0C195DF8" w14:textId="32F39251">
            <w:pPr>
              <w:spacing w:before="60" w:after="60"/>
              <w:rPr>
                <w:color w:val="000000"/>
              </w:rPr>
            </w:pPr>
            <w:r>
              <w:rPr>
                <w:color w:val="000000"/>
              </w:rPr>
              <w:t>Howard Crystal</w:t>
            </w:r>
          </w:p>
        </w:tc>
        <w:tc>
          <w:tcPr>
            <w:tcW w:w="821" w:type="dxa"/>
          </w:tcPr>
          <w:p w:rsidR="00FD6A44" w:rsidP="00FD6A44" w:rsidRDefault="00FD6A44" w14:paraId="4436A512" w14:textId="3CA455BD">
            <w:pPr>
              <w:spacing w:before="60" w:after="60"/>
              <w:jc w:val="center"/>
              <w:rPr>
                <w:color w:val="000000"/>
              </w:rPr>
            </w:pPr>
            <w:r>
              <w:rPr>
                <w:color w:val="000000"/>
              </w:rPr>
              <w:t>2024</w:t>
            </w:r>
          </w:p>
        </w:tc>
        <w:tc>
          <w:tcPr>
            <w:tcW w:w="884" w:type="dxa"/>
            <w:gridSpan w:val="2"/>
          </w:tcPr>
          <w:p w:rsidRPr="007F620E" w:rsidR="00FD6A44" w:rsidP="00FD6A44" w:rsidRDefault="00FD6A44" w14:paraId="7F67834B" w14:textId="5EEAF34E">
            <w:pPr>
              <w:spacing w:before="60" w:after="60"/>
              <w:jc w:val="center"/>
              <w:rPr>
                <w:color w:val="000000"/>
              </w:rPr>
            </w:pPr>
            <w:r>
              <w:rPr>
                <w:color w:val="000000"/>
              </w:rPr>
              <w:t>0.6</w:t>
            </w:r>
          </w:p>
        </w:tc>
        <w:tc>
          <w:tcPr>
            <w:tcW w:w="1031" w:type="dxa"/>
          </w:tcPr>
          <w:p w:rsidRPr="007F620E" w:rsidR="00FD6A44" w:rsidP="00FD6A44" w:rsidRDefault="00FD6A44" w14:paraId="4124D9B2" w14:textId="1B719125">
            <w:pPr>
              <w:spacing w:before="60" w:after="60"/>
              <w:jc w:val="right"/>
              <w:rPr>
                <w:color w:val="000000"/>
              </w:rPr>
            </w:pPr>
            <w:r w:rsidRPr="00F77EE4">
              <w:t>$</w:t>
            </w:r>
            <w:r>
              <w:t>794.25</w:t>
            </w:r>
          </w:p>
        </w:tc>
        <w:tc>
          <w:tcPr>
            <w:tcW w:w="1620" w:type="dxa"/>
            <w:gridSpan w:val="2"/>
            <w:tcBorders>
              <w:right w:val="single" w:color="auto" w:sz="4" w:space="0"/>
            </w:tcBorders>
          </w:tcPr>
          <w:p w:rsidR="00FD6A44" w:rsidP="00FD6A44" w:rsidRDefault="00FD6A44" w14:paraId="3DC04879" w14:textId="485EE2D8">
            <w:pPr>
              <w:spacing w:before="60" w:after="60"/>
              <w:rPr>
                <w:color w:val="000000"/>
              </w:rPr>
            </w:pPr>
            <w:r>
              <w:rPr>
                <w:color w:val="000000"/>
              </w:rPr>
              <w:t>See Comment #2</w:t>
            </w:r>
          </w:p>
        </w:tc>
        <w:tc>
          <w:tcPr>
            <w:tcW w:w="1333" w:type="dxa"/>
            <w:tcBorders>
              <w:top w:val="single" w:color="auto" w:sz="4" w:space="0"/>
              <w:left w:val="single" w:color="auto" w:sz="4" w:space="0"/>
              <w:bottom w:val="single" w:color="auto" w:sz="4" w:space="0"/>
              <w:right w:val="single" w:color="auto" w:sz="24" w:space="0"/>
            </w:tcBorders>
          </w:tcPr>
          <w:p w:rsidRPr="007F620E" w:rsidR="00FD6A44" w:rsidP="00FD6A44" w:rsidRDefault="00FD6A44" w14:paraId="14A91663" w14:textId="50A49D6F">
            <w:pPr>
              <w:spacing w:before="60" w:after="60"/>
              <w:jc w:val="right"/>
              <w:rPr>
                <w:color w:val="000000"/>
              </w:rPr>
            </w:pPr>
            <w:r>
              <w:rPr>
                <w:color w:val="000000"/>
              </w:rPr>
              <w:t>$476.55</w:t>
            </w:r>
          </w:p>
        </w:tc>
        <w:tc>
          <w:tcPr>
            <w:tcW w:w="955" w:type="dxa"/>
            <w:gridSpan w:val="2"/>
            <w:tcBorders>
              <w:left w:val="single" w:color="auto" w:sz="4" w:space="0"/>
            </w:tcBorders>
          </w:tcPr>
          <w:p w:rsidR="00FD6A44" w:rsidP="00FD6A44" w:rsidRDefault="00FD6A44" w14:paraId="5BD8F78B" w14:textId="35392AC1">
            <w:pPr>
              <w:spacing w:before="60" w:after="60"/>
              <w:jc w:val="center"/>
              <w:rPr>
                <w:color w:val="000000"/>
              </w:rPr>
            </w:pPr>
            <w:r>
              <w:rPr>
                <w:color w:val="000000"/>
              </w:rPr>
              <w:t>0.</w:t>
            </w:r>
            <w:r w:rsidR="0069448A">
              <w:rPr>
                <w:color w:val="000000"/>
              </w:rPr>
              <w:t>24</w:t>
            </w:r>
          </w:p>
          <w:p w:rsidRPr="007F620E" w:rsidR="00FD6A44" w:rsidP="00FD6A44" w:rsidRDefault="00FD6A44" w14:paraId="35CC91EE" w14:textId="2032D9D0">
            <w:pPr>
              <w:spacing w:before="60" w:after="60"/>
              <w:jc w:val="center"/>
              <w:rPr>
                <w:color w:val="000000"/>
              </w:rPr>
            </w:pPr>
            <w:r>
              <w:rPr>
                <w:color w:val="000000"/>
              </w:rPr>
              <w:t>[</w:t>
            </w:r>
            <w:r w:rsidR="00F944F7">
              <w:rPr>
                <w:color w:val="000000"/>
              </w:rPr>
              <w:t>2</w:t>
            </w:r>
            <w:r>
              <w:rPr>
                <w:color w:val="000000"/>
              </w:rPr>
              <w:t>]</w:t>
            </w:r>
          </w:p>
        </w:tc>
        <w:tc>
          <w:tcPr>
            <w:tcW w:w="1146" w:type="dxa"/>
          </w:tcPr>
          <w:p w:rsidRPr="007F620E" w:rsidR="00FD6A44" w:rsidP="00FD6A44" w:rsidRDefault="00FD6A44" w14:paraId="0407399F" w14:textId="48D32426">
            <w:pPr>
              <w:spacing w:before="60" w:after="60"/>
              <w:jc w:val="center"/>
              <w:rPr>
                <w:color w:val="000000"/>
              </w:rPr>
            </w:pPr>
            <w:r>
              <w:rPr>
                <w:color w:val="000000"/>
              </w:rPr>
              <w:t>$795.00 [</w:t>
            </w:r>
            <w:r w:rsidR="000236E4">
              <w:rPr>
                <w:color w:val="000000"/>
              </w:rPr>
              <w:t>5</w:t>
            </w:r>
            <w:r>
              <w:rPr>
                <w:color w:val="000000"/>
              </w:rPr>
              <w:t>]</w:t>
            </w:r>
          </w:p>
        </w:tc>
        <w:tc>
          <w:tcPr>
            <w:tcW w:w="1881" w:type="dxa"/>
          </w:tcPr>
          <w:p w:rsidRPr="007F620E" w:rsidR="00FD6A44" w:rsidP="00FD6A44" w:rsidRDefault="00FD6A44" w14:paraId="243A3A4B" w14:textId="7F735563">
            <w:pPr>
              <w:spacing w:before="60" w:after="60"/>
              <w:jc w:val="right"/>
              <w:rPr>
                <w:color w:val="000000"/>
              </w:rPr>
            </w:pPr>
            <w:r>
              <w:rPr>
                <w:color w:val="000000"/>
              </w:rPr>
              <w:t>$</w:t>
            </w:r>
            <w:r w:rsidR="0069448A">
              <w:rPr>
                <w:color w:val="000000"/>
              </w:rPr>
              <w:t>190.80</w:t>
            </w:r>
            <w:r>
              <w:rPr>
                <w:color w:val="000000"/>
              </w:rPr>
              <w:t xml:space="preserve"> </w:t>
            </w:r>
          </w:p>
        </w:tc>
      </w:tr>
      <w:tr w:rsidRPr="007F620E" w:rsidR="00FD6A44" w:rsidTr="00C111FF" w14:paraId="31A47EA8" w14:textId="77777777">
        <w:tc>
          <w:tcPr>
            <w:tcW w:w="1489" w:type="dxa"/>
          </w:tcPr>
          <w:p w:rsidR="00FD6A44" w:rsidP="00FD6A44" w:rsidRDefault="00FD6A44" w14:paraId="56765CF1" w14:textId="4245DDCF">
            <w:pPr>
              <w:spacing w:before="60" w:after="60"/>
              <w:rPr>
                <w:color w:val="000000"/>
              </w:rPr>
            </w:pPr>
            <w:r>
              <w:rPr>
                <w:color w:val="000000"/>
              </w:rPr>
              <w:t>Roger Lin</w:t>
            </w:r>
            <w:r w:rsidRPr="00E35678">
              <w:rPr>
                <w:color w:val="000000"/>
                <w:vertAlign w:val="superscript"/>
              </w:rPr>
              <w:fldChar w:fldCharType="begin"/>
            </w:r>
            <w:r w:rsidRPr="00E35678">
              <w:rPr>
                <w:color w:val="000000"/>
                <w:vertAlign w:val="superscript"/>
              </w:rPr>
              <w:instrText xml:space="preserve"> NOTEREF _Ref206658337 \h </w:instrText>
            </w:r>
            <w:r>
              <w:rPr>
                <w:color w:val="000000"/>
                <w:vertAlign w:val="superscript"/>
              </w:rPr>
              <w:instrText xml:space="preserve"> \* MERGEFORMAT </w:instrText>
            </w:r>
            <w:r w:rsidRPr="00E35678">
              <w:rPr>
                <w:color w:val="000000"/>
                <w:vertAlign w:val="superscript"/>
              </w:rPr>
            </w:r>
            <w:r w:rsidRPr="00E35678">
              <w:rPr>
                <w:color w:val="000000"/>
                <w:vertAlign w:val="superscript"/>
              </w:rPr>
              <w:fldChar w:fldCharType="separate"/>
            </w:r>
            <w:r w:rsidR="001F7CA4">
              <w:rPr>
                <w:color w:val="000000"/>
                <w:vertAlign w:val="superscript"/>
              </w:rPr>
              <w:t>3</w:t>
            </w:r>
            <w:r w:rsidRPr="00E35678">
              <w:rPr>
                <w:color w:val="000000"/>
                <w:vertAlign w:val="superscript"/>
              </w:rPr>
              <w:fldChar w:fldCharType="end"/>
            </w:r>
          </w:p>
        </w:tc>
        <w:tc>
          <w:tcPr>
            <w:tcW w:w="821" w:type="dxa"/>
          </w:tcPr>
          <w:p w:rsidR="00FD6A44" w:rsidP="00FD6A44" w:rsidRDefault="00FD6A44" w14:paraId="15D87FF1" w14:textId="179F54F0">
            <w:pPr>
              <w:spacing w:before="60" w:after="60"/>
              <w:jc w:val="center"/>
              <w:rPr>
                <w:color w:val="000000"/>
              </w:rPr>
            </w:pPr>
            <w:r>
              <w:rPr>
                <w:color w:val="000000"/>
              </w:rPr>
              <w:t>2022</w:t>
            </w:r>
          </w:p>
        </w:tc>
        <w:tc>
          <w:tcPr>
            <w:tcW w:w="884" w:type="dxa"/>
            <w:gridSpan w:val="2"/>
          </w:tcPr>
          <w:p w:rsidR="00FD6A44" w:rsidP="00FD6A44" w:rsidRDefault="00FD6A44" w14:paraId="2DB0F3BA" w14:textId="77777777">
            <w:pPr>
              <w:spacing w:before="60" w:after="60"/>
              <w:jc w:val="center"/>
              <w:rPr>
                <w:color w:val="000000"/>
              </w:rPr>
            </w:pPr>
          </w:p>
        </w:tc>
        <w:tc>
          <w:tcPr>
            <w:tcW w:w="1031" w:type="dxa"/>
          </w:tcPr>
          <w:p w:rsidRPr="00F77EE4" w:rsidR="00FD6A44" w:rsidP="00FD6A44" w:rsidRDefault="00FD6A44" w14:paraId="788302BB" w14:textId="77777777">
            <w:pPr>
              <w:spacing w:before="60" w:after="60"/>
              <w:jc w:val="right"/>
            </w:pPr>
          </w:p>
        </w:tc>
        <w:tc>
          <w:tcPr>
            <w:tcW w:w="1620" w:type="dxa"/>
            <w:gridSpan w:val="2"/>
            <w:tcBorders>
              <w:right w:val="single" w:color="auto" w:sz="4" w:space="0"/>
            </w:tcBorders>
          </w:tcPr>
          <w:p w:rsidR="00FD6A44" w:rsidP="00FD6A44" w:rsidRDefault="00FD6A44" w14:paraId="550CA9CE" w14:textId="77777777">
            <w:pPr>
              <w:spacing w:before="60" w:after="60"/>
              <w:rPr>
                <w:color w:val="000000"/>
              </w:rPr>
            </w:pPr>
          </w:p>
        </w:tc>
        <w:tc>
          <w:tcPr>
            <w:tcW w:w="1333" w:type="dxa"/>
            <w:tcBorders>
              <w:top w:val="single" w:color="auto" w:sz="4" w:space="0"/>
              <w:left w:val="single" w:color="auto" w:sz="4" w:space="0"/>
              <w:bottom w:val="single" w:color="auto" w:sz="4" w:space="0"/>
              <w:right w:val="single" w:color="auto" w:sz="24" w:space="0"/>
            </w:tcBorders>
          </w:tcPr>
          <w:p w:rsidR="00FD6A44" w:rsidP="00FD6A44" w:rsidRDefault="00FD6A44" w14:paraId="61DB3700" w14:textId="77777777">
            <w:pPr>
              <w:spacing w:before="60" w:after="60"/>
              <w:jc w:val="right"/>
              <w:rPr>
                <w:color w:val="000000"/>
              </w:rPr>
            </w:pPr>
          </w:p>
        </w:tc>
        <w:tc>
          <w:tcPr>
            <w:tcW w:w="955" w:type="dxa"/>
            <w:gridSpan w:val="2"/>
            <w:tcBorders>
              <w:left w:val="single" w:color="auto" w:sz="4" w:space="0"/>
            </w:tcBorders>
          </w:tcPr>
          <w:p w:rsidRPr="007F620E" w:rsidR="00FD6A44" w:rsidP="00FD6A44" w:rsidRDefault="00FD6A44" w14:paraId="31D9DBCF" w14:textId="7F9049B1">
            <w:pPr>
              <w:spacing w:before="60" w:after="60"/>
              <w:jc w:val="center"/>
              <w:rPr>
                <w:color w:val="000000"/>
              </w:rPr>
            </w:pPr>
            <w:r>
              <w:rPr>
                <w:color w:val="000000"/>
              </w:rPr>
              <w:t>0.</w:t>
            </w:r>
            <w:r w:rsidR="001F7104">
              <w:rPr>
                <w:color w:val="000000"/>
              </w:rPr>
              <w:t xml:space="preserve">20 </w:t>
            </w:r>
            <w:r>
              <w:rPr>
                <w:color w:val="000000"/>
              </w:rPr>
              <w:t>[1</w:t>
            </w:r>
            <w:r w:rsidR="00DB0A77">
              <w:rPr>
                <w:color w:val="000000"/>
              </w:rPr>
              <w:t>,2</w:t>
            </w:r>
            <w:r>
              <w:rPr>
                <w:color w:val="000000"/>
              </w:rPr>
              <w:t>]</w:t>
            </w:r>
          </w:p>
        </w:tc>
        <w:tc>
          <w:tcPr>
            <w:tcW w:w="1146" w:type="dxa"/>
          </w:tcPr>
          <w:p w:rsidR="00FD6A44" w:rsidP="00FD6A44" w:rsidRDefault="001F7104" w14:paraId="0DD261C1" w14:textId="6908BBE7">
            <w:pPr>
              <w:spacing w:before="60" w:after="60"/>
              <w:jc w:val="center"/>
              <w:rPr>
                <w:color w:val="000000"/>
              </w:rPr>
            </w:pPr>
            <w:r>
              <w:rPr>
                <w:color w:val="000000"/>
              </w:rPr>
              <w:t>$555.00</w:t>
            </w:r>
            <w:r w:rsidR="00FD6A44">
              <w:rPr>
                <w:color w:val="000000"/>
              </w:rPr>
              <w:t xml:space="preserve"> [</w:t>
            </w:r>
            <w:r w:rsidR="000236E4">
              <w:rPr>
                <w:color w:val="000000"/>
              </w:rPr>
              <w:t>6</w:t>
            </w:r>
            <w:r w:rsidR="00FD6A44">
              <w:rPr>
                <w:color w:val="000000"/>
              </w:rPr>
              <w:t>]</w:t>
            </w:r>
          </w:p>
        </w:tc>
        <w:tc>
          <w:tcPr>
            <w:tcW w:w="1881" w:type="dxa"/>
          </w:tcPr>
          <w:p w:rsidRPr="007F620E" w:rsidR="00FD6A44" w:rsidP="00FD6A44" w:rsidRDefault="00FD6A44" w14:paraId="5AFCDC83" w14:textId="74B8DE52">
            <w:pPr>
              <w:spacing w:before="60" w:after="60"/>
              <w:jc w:val="right"/>
              <w:rPr>
                <w:color w:val="000000"/>
              </w:rPr>
            </w:pPr>
            <w:r>
              <w:rPr>
                <w:color w:val="000000"/>
              </w:rPr>
              <w:t>$</w:t>
            </w:r>
            <w:r w:rsidR="00AB3281">
              <w:rPr>
                <w:color w:val="000000"/>
              </w:rPr>
              <w:t>111</w:t>
            </w:r>
            <w:r>
              <w:rPr>
                <w:color w:val="000000"/>
              </w:rPr>
              <w:t xml:space="preserve">.00 </w:t>
            </w:r>
          </w:p>
        </w:tc>
      </w:tr>
      <w:tr w:rsidRPr="007F620E" w:rsidR="00FD6A44" w:rsidTr="00C111FF" w14:paraId="340C8D88" w14:textId="77777777">
        <w:tc>
          <w:tcPr>
            <w:tcW w:w="1489" w:type="dxa"/>
          </w:tcPr>
          <w:p w:rsidR="00FD6A44" w:rsidP="00FD6A44" w:rsidRDefault="00FD6A44" w14:paraId="331C1D53" w14:textId="3F8B4740">
            <w:pPr>
              <w:spacing w:before="60" w:after="60"/>
              <w:rPr>
                <w:color w:val="000000"/>
              </w:rPr>
            </w:pPr>
            <w:r>
              <w:rPr>
                <w:color w:val="000000"/>
              </w:rPr>
              <w:t xml:space="preserve">Roger Lin </w:t>
            </w:r>
          </w:p>
        </w:tc>
        <w:tc>
          <w:tcPr>
            <w:tcW w:w="821" w:type="dxa"/>
          </w:tcPr>
          <w:p w:rsidR="00FD6A44" w:rsidP="00FD6A44" w:rsidRDefault="00FD6A44" w14:paraId="589DCD4C" w14:textId="6D093FD6">
            <w:pPr>
              <w:spacing w:before="60" w:after="60"/>
              <w:jc w:val="center"/>
              <w:rPr>
                <w:color w:val="000000"/>
              </w:rPr>
            </w:pPr>
            <w:r>
              <w:rPr>
                <w:color w:val="000000"/>
              </w:rPr>
              <w:t>2023</w:t>
            </w:r>
          </w:p>
        </w:tc>
        <w:tc>
          <w:tcPr>
            <w:tcW w:w="884" w:type="dxa"/>
            <w:gridSpan w:val="2"/>
          </w:tcPr>
          <w:p w:rsidRPr="007F620E" w:rsidR="00FD6A44" w:rsidP="00FD6A44" w:rsidRDefault="00FD6A44" w14:paraId="38D9B5C6" w14:textId="5D235DC6">
            <w:pPr>
              <w:spacing w:before="60" w:after="60"/>
              <w:jc w:val="center"/>
              <w:rPr>
                <w:color w:val="000000"/>
              </w:rPr>
            </w:pPr>
            <w:r>
              <w:rPr>
                <w:color w:val="000000"/>
              </w:rPr>
              <w:t>11.8</w:t>
            </w:r>
          </w:p>
        </w:tc>
        <w:tc>
          <w:tcPr>
            <w:tcW w:w="1031" w:type="dxa"/>
          </w:tcPr>
          <w:p w:rsidRPr="007F620E" w:rsidR="00FD6A44" w:rsidP="00FD6A44" w:rsidRDefault="00FD6A44" w14:paraId="131F4C9E" w14:textId="7B0D794D">
            <w:pPr>
              <w:spacing w:before="60" w:after="60"/>
              <w:jc w:val="right"/>
              <w:rPr>
                <w:color w:val="000000"/>
              </w:rPr>
            </w:pPr>
            <w:r w:rsidRPr="00F77EE4">
              <w:t>$536.52</w:t>
            </w:r>
          </w:p>
        </w:tc>
        <w:tc>
          <w:tcPr>
            <w:tcW w:w="1620" w:type="dxa"/>
            <w:gridSpan w:val="2"/>
            <w:tcBorders>
              <w:right w:val="single" w:color="auto" w:sz="4" w:space="0"/>
            </w:tcBorders>
          </w:tcPr>
          <w:p w:rsidR="00FD6A44" w:rsidP="00FD6A44" w:rsidRDefault="00FD6A44" w14:paraId="32CAFB27" w14:textId="32B8D23C">
            <w:pPr>
              <w:spacing w:before="60" w:after="60"/>
              <w:rPr>
                <w:color w:val="000000"/>
              </w:rPr>
            </w:pPr>
            <w:r>
              <w:rPr>
                <w:color w:val="000000"/>
              </w:rPr>
              <w:t>See Comment #3</w:t>
            </w:r>
          </w:p>
        </w:tc>
        <w:tc>
          <w:tcPr>
            <w:tcW w:w="1333" w:type="dxa"/>
            <w:tcBorders>
              <w:top w:val="single" w:color="auto" w:sz="4" w:space="0"/>
              <w:left w:val="single" w:color="auto" w:sz="4" w:space="0"/>
              <w:bottom w:val="single" w:color="auto" w:sz="4" w:space="0"/>
              <w:right w:val="single" w:color="auto" w:sz="24" w:space="0"/>
            </w:tcBorders>
          </w:tcPr>
          <w:p w:rsidRPr="007F620E" w:rsidR="00FD6A44" w:rsidP="00FD6A44" w:rsidRDefault="00FD6A44" w14:paraId="3011D206" w14:textId="6A20085D">
            <w:pPr>
              <w:spacing w:before="60" w:after="60"/>
              <w:jc w:val="right"/>
              <w:rPr>
                <w:color w:val="000000"/>
              </w:rPr>
            </w:pPr>
            <w:r>
              <w:rPr>
                <w:color w:val="000000"/>
              </w:rPr>
              <w:t>$6,330.94</w:t>
            </w:r>
          </w:p>
        </w:tc>
        <w:tc>
          <w:tcPr>
            <w:tcW w:w="955" w:type="dxa"/>
            <w:gridSpan w:val="2"/>
            <w:tcBorders>
              <w:left w:val="single" w:color="auto" w:sz="4" w:space="0"/>
            </w:tcBorders>
          </w:tcPr>
          <w:p w:rsidRPr="007F620E" w:rsidR="00FD6A44" w:rsidP="00FD6A44" w:rsidRDefault="00226801" w14:paraId="36B2F544" w14:textId="66FB5889">
            <w:pPr>
              <w:spacing w:before="60" w:after="60"/>
              <w:jc w:val="center"/>
              <w:rPr>
                <w:color w:val="000000"/>
              </w:rPr>
            </w:pPr>
            <w:r>
              <w:rPr>
                <w:color w:val="000000"/>
              </w:rPr>
              <w:t>6.</w:t>
            </w:r>
            <w:r w:rsidR="00AB3281">
              <w:rPr>
                <w:color w:val="000000"/>
              </w:rPr>
              <w:t xml:space="preserve">48 </w:t>
            </w:r>
            <w:r w:rsidR="00FD6A44">
              <w:rPr>
                <w:color w:val="000000"/>
              </w:rPr>
              <w:t>[1,2,3]</w:t>
            </w:r>
          </w:p>
        </w:tc>
        <w:tc>
          <w:tcPr>
            <w:tcW w:w="1146" w:type="dxa"/>
          </w:tcPr>
          <w:p w:rsidRPr="007F620E" w:rsidR="00FD6A44" w:rsidP="00FD6A44" w:rsidRDefault="00FD6A44" w14:paraId="0A77F751" w14:textId="0561E8B1">
            <w:pPr>
              <w:spacing w:before="60" w:after="60"/>
              <w:jc w:val="center"/>
              <w:rPr>
                <w:color w:val="000000"/>
              </w:rPr>
            </w:pPr>
            <w:r>
              <w:rPr>
                <w:color w:val="000000"/>
              </w:rPr>
              <w:t>$580.00 [</w:t>
            </w:r>
            <w:r w:rsidR="000236E4">
              <w:rPr>
                <w:color w:val="000000"/>
              </w:rPr>
              <w:t>6</w:t>
            </w:r>
            <w:r>
              <w:rPr>
                <w:color w:val="000000"/>
              </w:rPr>
              <w:t>]</w:t>
            </w:r>
          </w:p>
        </w:tc>
        <w:tc>
          <w:tcPr>
            <w:tcW w:w="1881" w:type="dxa"/>
          </w:tcPr>
          <w:p w:rsidRPr="007F620E" w:rsidR="00FD6A44" w:rsidP="00FD6A44" w:rsidRDefault="00FD6A44" w14:paraId="37578816" w14:textId="6EA77E69">
            <w:pPr>
              <w:spacing w:before="60" w:after="60"/>
              <w:jc w:val="right"/>
              <w:rPr>
                <w:color w:val="000000"/>
              </w:rPr>
            </w:pPr>
            <w:r>
              <w:rPr>
                <w:color w:val="000000"/>
              </w:rPr>
              <w:t>$</w:t>
            </w:r>
            <w:r w:rsidR="00226801">
              <w:rPr>
                <w:color w:val="000000"/>
              </w:rPr>
              <w:t>3,</w:t>
            </w:r>
            <w:r w:rsidR="00AB3281">
              <w:rPr>
                <w:color w:val="000000"/>
              </w:rPr>
              <w:t>758.40</w:t>
            </w:r>
            <w:r>
              <w:rPr>
                <w:color w:val="000000"/>
              </w:rPr>
              <w:t xml:space="preserve"> </w:t>
            </w:r>
          </w:p>
        </w:tc>
      </w:tr>
      <w:tr w:rsidRPr="007F620E" w:rsidR="00FD6A44" w:rsidTr="00C111FF" w14:paraId="096C86EC" w14:textId="77777777">
        <w:tc>
          <w:tcPr>
            <w:tcW w:w="1489" w:type="dxa"/>
          </w:tcPr>
          <w:p w:rsidR="00FD6A44" w:rsidP="00FD6A44" w:rsidRDefault="00FD6A44" w14:paraId="33C1EEF9" w14:textId="5FCB0399">
            <w:pPr>
              <w:spacing w:before="60" w:after="60"/>
              <w:rPr>
                <w:color w:val="000000"/>
              </w:rPr>
            </w:pPr>
            <w:r>
              <w:rPr>
                <w:color w:val="000000"/>
              </w:rPr>
              <w:lastRenderedPageBreak/>
              <w:t>Roger Lin</w:t>
            </w:r>
          </w:p>
        </w:tc>
        <w:tc>
          <w:tcPr>
            <w:tcW w:w="821" w:type="dxa"/>
          </w:tcPr>
          <w:p w:rsidR="00FD6A44" w:rsidP="00FD6A44" w:rsidRDefault="00FD6A44" w14:paraId="31F99D3A" w14:textId="1F4F3619">
            <w:pPr>
              <w:spacing w:before="60" w:after="60"/>
              <w:jc w:val="center"/>
              <w:rPr>
                <w:color w:val="000000"/>
              </w:rPr>
            </w:pPr>
            <w:r>
              <w:rPr>
                <w:color w:val="000000"/>
              </w:rPr>
              <w:t>2024</w:t>
            </w:r>
          </w:p>
        </w:tc>
        <w:tc>
          <w:tcPr>
            <w:tcW w:w="884" w:type="dxa"/>
            <w:gridSpan w:val="2"/>
          </w:tcPr>
          <w:p w:rsidRPr="007F620E" w:rsidR="00FD6A44" w:rsidP="00FD6A44" w:rsidRDefault="00FD6A44" w14:paraId="50117A95" w14:textId="6518A40C">
            <w:pPr>
              <w:spacing w:before="60" w:after="60"/>
              <w:jc w:val="center"/>
              <w:rPr>
                <w:color w:val="000000"/>
              </w:rPr>
            </w:pPr>
            <w:r>
              <w:rPr>
                <w:color w:val="000000"/>
              </w:rPr>
              <w:t>1.1</w:t>
            </w:r>
          </w:p>
        </w:tc>
        <w:tc>
          <w:tcPr>
            <w:tcW w:w="1031" w:type="dxa"/>
          </w:tcPr>
          <w:p w:rsidRPr="007F620E" w:rsidR="00FD6A44" w:rsidP="00FD6A44" w:rsidRDefault="00FD6A44" w14:paraId="49988F07" w14:textId="020FA92E">
            <w:pPr>
              <w:spacing w:before="60" w:after="60"/>
              <w:jc w:val="right"/>
              <w:rPr>
                <w:color w:val="000000"/>
              </w:rPr>
            </w:pPr>
            <w:r w:rsidRPr="00F77EE4">
              <w:t>$558.35</w:t>
            </w:r>
          </w:p>
        </w:tc>
        <w:tc>
          <w:tcPr>
            <w:tcW w:w="1620" w:type="dxa"/>
            <w:gridSpan w:val="2"/>
            <w:tcBorders>
              <w:right w:val="single" w:color="auto" w:sz="4" w:space="0"/>
            </w:tcBorders>
          </w:tcPr>
          <w:p w:rsidR="00FD6A44" w:rsidP="00FD6A44" w:rsidRDefault="00FD6A44" w14:paraId="7CB3E4C5" w14:textId="2EAE35E1">
            <w:pPr>
              <w:spacing w:before="60" w:after="60"/>
              <w:rPr>
                <w:color w:val="000000"/>
              </w:rPr>
            </w:pPr>
            <w:r>
              <w:rPr>
                <w:color w:val="000000"/>
              </w:rPr>
              <w:t>See Comment #3</w:t>
            </w:r>
          </w:p>
        </w:tc>
        <w:tc>
          <w:tcPr>
            <w:tcW w:w="1333" w:type="dxa"/>
            <w:tcBorders>
              <w:top w:val="single" w:color="auto" w:sz="4" w:space="0"/>
              <w:left w:val="single" w:color="auto" w:sz="4" w:space="0"/>
              <w:bottom w:val="single" w:color="auto" w:sz="4" w:space="0"/>
              <w:right w:val="single" w:color="auto" w:sz="24" w:space="0"/>
            </w:tcBorders>
          </w:tcPr>
          <w:p w:rsidRPr="007F620E" w:rsidR="00FD6A44" w:rsidP="00FD6A44" w:rsidRDefault="00FD6A44" w14:paraId="1C5C429E" w14:textId="1198C839">
            <w:pPr>
              <w:spacing w:before="60" w:after="60"/>
              <w:jc w:val="right"/>
              <w:rPr>
                <w:color w:val="000000"/>
              </w:rPr>
            </w:pPr>
            <w:r>
              <w:rPr>
                <w:color w:val="000000"/>
              </w:rPr>
              <w:t>$614.19</w:t>
            </w:r>
          </w:p>
        </w:tc>
        <w:tc>
          <w:tcPr>
            <w:tcW w:w="955" w:type="dxa"/>
            <w:gridSpan w:val="2"/>
            <w:tcBorders>
              <w:left w:val="single" w:color="auto" w:sz="4" w:space="0"/>
            </w:tcBorders>
          </w:tcPr>
          <w:p w:rsidRPr="007F620E" w:rsidR="00FD6A44" w:rsidP="00FD6A44" w:rsidRDefault="00226801" w14:paraId="1A74745A" w14:textId="64E72E2C">
            <w:pPr>
              <w:spacing w:before="60" w:after="60"/>
              <w:jc w:val="center"/>
              <w:rPr>
                <w:color w:val="000000"/>
              </w:rPr>
            </w:pPr>
            <w:r>
              <w:rPr>
                <w:color w:val="000000"/>
              </w:rPr>
              <w:t>0.</w:t>
            </w:r>
            <w:r w:rsidR="00AB3281">
              <w:rPr>
                <w:color w:val="000000"/>
              </w:rPr>
              <w:t xml:space="preserve">44 </w:t>
            </w:r>
            <w:r w:rsidR="00FD6A44">
              <w:rPr>
                <w:color w:val="000000"/>
              </w:rPr>
              <w:t>[2]</w:t>
            </w:r>
          </w:p>
        </w:tc>
        <w:tc>
          <w:tcPr>
            <w:tcW w:w="1146" w:type="dxa"/>
          </w:tcPr>
          <w:p w:rsidRPr="007F620E" w:rsidR="00FD6A44" w:rsidP="00FD6A44" w:rsidRDefault="00FD6A44" w14:paraId="00A06915" w14:textId="193CAC3F">
            <w:pPr>
              <w:spacing w:before="60" w:after="60"/>
              <w:jc w:val="center"/>
              <w:rPr>
                <w:color w:val="000000"/>
              </w:rPr>
            </w:pPr>
            <w:r>
              <w:rPr>
                <w:color w:val="000000"/>
              </w:rPr>
              <w:t>$605.00 [</w:t>
            </w:r>
            <w:r w:rsidR="000236E4">
              <w:rPr>
                <w:color w:val="000000"/>
              </w:rPr>
              <w:t>6</w:t>
            </w:r>
            <w:r>
              <w:rPr>
                <w:color w:val="000000"/>
              </w:rPr>
              <w:t>]</w:t>
            </w:r>
          </w:p>
        </w:tc>
        <w:tc>
          <w:tcPr>
            <w:tcW w:w="1881" w:type="dxa"/>
          </w:tcPr>
          <w:p w:rsidRPr="007F620E" w:rsidR="00FD6A44" w:rsidP="00FD6A44" w:rsidRDefault="00FD6A44" w14:paraId="24EBE994" w14:textId="52C2CC87">
            <w:pPr>
              <w:spacing w:before="60" w:after="60"/>
              <w:jc w:val="right"/>
              <w:rPr>
                <w:color w:val="000000"/>
              </w:rPr>
            </w:pPr>
            <w:r>
              <w:rPr>
                <w:color w:val="000000"/>
              </w:rPr>
              <w:t>$</w:t>
            </w:r>
            <w:r w:rsidR="00226801">
              <w:rPr>
                <w:color w:val="000000"/>
              </w:rPr>
              <w:t>2</w:t>
            </w:r>
            <w:r w:rsidR="00AB3281">
              <w:rPr>
                <w:color w:val="000000"/>
              </w:rPr>
              <w:t>66.20</w:t>
            </w:r>
            <w:r>
              <w:rPr>
                <w:color w:val="000000"/>
              </w:rPr>
              <w:t xml:space="preserve"> </w:t>
            </w:r>
          </w:p>
        </w:tc>
      </w:tr>
      <w:tr w:rsidRPr="007F620E" w:rsidR="00E3786F" w:rsidTr="007E3A88" w14:paraId="1B237C11" w14:textId="77777777">
        <w:tc>
          <w:tcPr>
            <w:tcW w:w="7178" w:type="dxa"/>
            <w:gridSpan w:val="8"/>
            <w:tcBorders>
              <w:bottom w:val="single" w:color="auto" w:sz="4" w:space="0"/>
              <w:right w:val="single" w:color="auto" w:sz="24" w:space="0"/>
            </w:tcBorders>
            <w:vAlign w:val="bottom"/>
          </w:tcPr>
          <w:p w:rsidRPr="00374FD1" w:rsidR="00E3786F" w:rsidP="007E3A88" w:rsidRDefault="00E3786F" w14:paraId="2ECB6744" w14:textId="627F9DB8">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1A0D45">
              <w:rPr>
                <w:b/>
                <w:i/>
                <w:color w:val="000000"/>
              </w:rPr>
              <w:t>35,20</w:t>
            </w:r>
            <w:r w:rsidR="00101E30">
              <w:rPr>
                <w:b/>
                <w:i/>
                <w:color w:val="000000"/>
              </w:rPr>
              <w:t>7.07</w:t>
            </w:r>
          </w:p>
        </w:tc>
        <w:tc>
          <w:tcPr>
            <w:tcW w:w="3982" w:type="dxa"/>
            <w:gridSpan w:val="4"/>
            <w:tcBorders>
              <w:left w:val="single" w:color="auto" w:sz="24" w:space="0"/>
              <w:bottom w:val="single" w:color="auto" w:sz="4" w:space="0"/>
            </w:tcBorders>
            <w:vAlign w:val="bottom"/>
          </w:tcPr>
          <w:p w:rsidRPr="007F620E" w:rsidR="00E3786F" w:rsidP="007E3A88" w:rsidRDefault="00E3786F" w14:paraId="4C4556E5" w14:textId="5ED9E822">
            <w:pPr>
              <w:tabs>
                <w:tab w:val="left" w:pos="957"/>
              </w:tabs>
              <w:spacing w:before="60" w:after="60"/>
              <w:ind w:right="162"/>
              <w:jc w:val="right"/>
              <w:rPr>
                <w:color w:val="000000"/>
              </w:rPr>
            </w:pPr>
            <w:r w:rsidRPr="007F620E">
              <w:rPr>
                <w:b/>
                <w:i/>
                <w:color w:val="000000"/>
              </w:rPr>
              <w:t>Subtota</w:t>
            </w:r>
            <w:r w:rsidRPr="00AB21C0">
              <w:rPr>
                <w:b/>
                <w:i/>
                <w:color w:val="000000"/>
              </w:rPr>
              <w:t xml:space="preserve">l: </w:t>
            </w:r>
            <w:r w:rsidRPr="00E826E5">
              <w:rPr>
                <w:b/>
                <w:i/>
                <w:color w:val="000000"/>
              </w:rPr>
              <w:t>$</w:t>
            </w:r>
            <w:r w:rsidR="00226801">
              <w:rPr>
                <w:b/>
                <w:i/>
                <w:color w:val="000000"/>
              </w:rPr>
              <w:t>21,</w:t>
            </w:r>
            <w:r w:rsidR="006104D1">
              <w:rPr>
                <w:b/>
                <w:i/>
                <w:color w:val="000000"/>
              </w:rPr>
              <w:t>482.55</w:t>
            </w:r>
          </w:p>
        </w:tc>
      </w:tr>
      <w:tr w:rsidRPr="007F620E" w:rsidR="00A92D0B" w:rsidTr="007E3A88" w14:paraId="4F8FAF05" w14:textId="77777777">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7E3A88" w:rsidRDefault="00A92D0B" w14:paraId="41FE304C" w14:textId="77777777">
            <w:pPr>
              <w:keepNext/>
              <w:spacing w:before="60" w:after="60"/>
              <w:jc w:val="center"/>
              <w:rPr>
                <w:color w:val="000000"/>
              </w:rPr>
            </w:pPr>
            <w:r w:rsidRPr="007F620E">
              <w:rPr>
                <w:b/>
                <w:color w:val="000000"/>
              </w:rPr>
              <w:t xml:space="preserve">INTERVENOR COMPENSATION CLAIM </w:t>
            </w:r>
            <w:proofErr w:type="gramStart"/>
            <w:r w:rsidRPr="007F620E">
              <w:rPr>
                <w:b/>
                <w:color w:val="000000"/>
              </w:rPr>
              <w:t xml:space="preserve">PREPARATION </w:t>
            </w:r>
            <w:r w:rsidRPr="007F620E">
              <w:rPr>
                <w:b/>
                <w:smallCaps/>
                <w:color w:val="000000"/>
              </w:rPr>
              <w:t xml:space="preserve"> *</w:t>
            </w:r>
            <w:proofErr w:type="gramEnd"/>
            <w:r w:rsidRPr="007F620E">
              <w:rPr>
                <w:b/>
                <w:smallCaps/>
                <w:color w:val="000000"/>
              </w:rPr>
              <w:t>*</w:t>
            </w:r>
          </w:p>
        </w:tc>
      </w:tr>
      <w:tr w:rsidRPr="00260518" w:rsidR="00A92D0B" w:rsidTr="007E3A88" w14:paraId="48B3E535" w14:textId="77777777">
        <w:tc>
          <w:tcPr>
            <w:tcW w:w="1489" w:type="dxa"/>
            <w:tcBorders>
              <w:top w:val="single" w:color="auto" w:sz="4" w:space="0"/>
              <w:bottom w:val="single" w:color="auto" w:sz="4" w:space="0"/>
            </w:tcBorders>
            <w:vAlign w:val="bottom"/>
          </w:tcPr>
          <w:p w:rsidRPr="00260518" w:rsidR="00A92D0B" w:rsidP="007E3A88" w:rsidRDefault="00A92D0B" w14:paraId="563A43BB" w14:textId="77777777">
            <w:pPr>
              <w:keepNext/>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7E3A88" w:rsidRDefault="00A92D0B" w14:paraId="144552E0" w14:textId="77777777">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7E3A88" w:rsidRDefault="00A92D0B" w14:paraId="42890B1B" w14:textId="77777777">
            <w:pPr>
              <w:keepNext/>
              <w:spacing w:before="60" w:after="60"/>
              <w:jc w:val="center"/>
              <w:rPr>
                <w:b/>
                <w:color w:val="000000"/>
                <w:sz w:val="22"/>
                <w:szCs w:val="22"/>
              </w:rPr>
            </w:pPr>
            <w:r w:rsidRPr="00260518">
              <w:rPr>
                <w:b/>
                <w:color w:val="000000"/>
                <w:sz w:val="22"/>
                <w:szCs w:val="22"/>
              </w:rPr>
              <w:t>Hours</w:t>
            </w:r>
          </w:p>
        </w:tc>
        <w:tc>
          <w:tcPr>
            <w:tcW w:w="1031" w:type="dxa"/>
            <w:tcBorders>
              <w:top w:val="single" w:color="auto" w:sz="4" w:space="0"/>
              <w:bottom w:val="single" w:color="auto" w:sz="4" w:space="0"/>
            </w:tcBorders>
            <w:vAlign w:val="bottom"/>
          </w:tcPr>
          <w:p w:rsidRPr="00260518" w:rsidR="00A92D0B" w:rsidP="007E3A88" w:rsidRDefault="00A92D0B" w14:paraId="1E7BD956" w14:textId="243077B9">
            <w:pPr>
              <w:keepNext/>
              <w:spacing w:before="60" w:after="60"/>
              <w:jc w:val="center"/>
              <w:rPr>
                <w:b/>
                <w:color w:val="000000"/>
                <w:sz w:val="22"/>
                <w:szCs w:val="22"/>
              </w:rPr>
            </w:pPr>
            <w:r w:rsidRPr="00260518">
              <w:rPr>
                <w:b/>
                <w:color w:val="000000"/>
                <w:sz w:val="22"/>
                <w:szCs w:val="22"/>
              </w:rPr>
              <w:t>Rate</w:t>
            </w:r>
            <w:r w:rsidRPr="00260518" w:rsidR="00380703">
              <w:rPr>
                <w:b/>
                <w:color w:val="000000"/>
                <w:sz w:val="22"/>
                <w:szCs w:val="22"/>
              </w:rPr>
              <w:t xml:space="preserve"> $</w:t>
            </w:r>
          </w:p>
        </w:tc>
        <w:tc>
          <w:tcPr>
            <w:tcW w:w="1620" w:type="dxa"/>
            <w:gridSpan w:val="2"/>
            <w:tcBorders>
              <w:top w:val="single" w:color="auto" w:sz="4" w:space="0"/>
              <w:bottom w:val="single" w:color="auto" w:sz="4" w:space="0"/>
              <w:right w:val="single" w:color="auto" w:sz="4" w:space="0"/>
            </w:tcBorders>
            <w:vAlign w:val="bottom"/>
          </w:tcPr>
          <w:p w:rsidRPr="00260518" w:rsidR="00A92D0B" w:rsidP="007E3A88" w:rsidRDefault="00A92D0B" w14:paraId="104D7982" w14:textId="77777777">
            <w:pPr>
              <w:keepNext/>
              <w:spacing w:before="60" w:after="60"/>
              <w:jc w:val="center"/>
              <w:rPr>
                <w:b/>
                <w:color w:val="000000"/>
                <w:sz w:val="22"/>
                <w:szCs w:val="22"/>
              </w:rPr>
            </w:pPr>
            <w:r w:rsidRPr="00260518">
              <w:rPr>
                <w:b/>
                <w:color w:val="000000"/>
                <w:sz w:val="22"/>
                <w:szCs w:val="22"/>
              </w:rPr>
              <w:t>Basis for Rate*</w:t>
            </w:r>
          </w:p>
        </w:tc>
        <w:tc>
          <w:tcPr>
            <w:tcW w:w="1333" w:type="dxa"/>
            <w:tcBorders>
              <w:top w:val="single" w:color="auto" w:sz="4" w:space="0"/>
              <w:left w:val="single" w:color="auto" w:sz="4" w:space="0"/>
              <w:bottom w:val="single" w:color="auto" w:sz="4" w:space="0"/>
              <w:right w:val="single" w:color="auto" w:sz="24" w:space="0"/>
            </w:tcBorders>
            <w:vAlign w:val="bottom"/>
          </w:tcPr>
          <w:p w:rsidRPr="00260518" w:rsidR="00A92D0B" w:rsidP="007E3A88" w:rsidRDefault="00A92D0B" w14:paraId="073B2BB9" w14:textId="77777777">
            <w:pPr>
              <w:keepNext/>
              <w:spacing w:before="60" w:after="60"/>
              <w:jc w:val="center"/>
              <w:rPr>
                <w:b/>
                <w:color w:val="000000"/>
                <w:sz w:val="22"/>
                <w:szCs w:val="22"/>
              </w:rPr>
            </w:pPr>
            <w:r w:rsidRPr="00260518">
              <w:rPr>
                <w:b/>
                <w:color w:val="000000"/>
                <w:sz w:val="22"/>
                <w:szCs w:val="22"/>
              </w:rPr>
              <w:t>Total $</w:t>
            </w:r>
          </w:p>
        </w:tc>
        <w:tc>
          <w:tcPr>
            <w:tcW w:w="955" w:type="dxa"/>
            <w:gridSpan w:val="2"/>
            <w:tcBorders>
              <w:top w:val="single" w:color="auto" w:sz="4" w:space="0"/>
              <w:left w:val="single" w:color="auto" w:sz="4" w:space="0"/>
            </w:tcBorders>
            <w:vAlign w:val="bottom"/>
          </w:tcPr>
          <w:p w:rsidRPr="00260518" w:rsidR="00A92D0B" w:rsidP="007E3A88" w:rsidRDefault="00A92D0B" w14:paraId="0409143B"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7E3A88" w:rsidRDefault="00A92D0B" w14:paraId="6B59BB80" w14:textId="2C791D8E">
            <w:pPr>
              <w:keepNext/>
              <w:spacing w:before="60" w:after="60"/>
              <w:jc w:val="center"/>
              <w:rPr>
                <w:b/>
                <w:color w:val="000000"/>
                <w:sz w:val="22"/>
                <w:szCs w:val="22"/>
              </w:rPr>
            </w:pPr>
            <w:r w:rsidRPr="00260518">
              <w:rPr>
                <w:b/>
                <w:color w:val="000000"/>
                <w:sz w:val="22"/>
                <w:szCs w:val="22"/>
              </w:rPr>
              <w:t xml:space="preserve">Rate </w:t>
            </w:r>
            <w:r w:rsidR="00B17005">
              <w:rPr>
                <w:b/>
                <w:color w:val="000000"/>
                <w:sz w:val="22"/>
                <w:szCs w:val="22"/>
              </w:rPr>
              <w:t>$</w:t>
            </w:r>
          </w:p>
        </w:tc>
        <w:tc>
          <w:tcPr>
            <w:tcW w:w="1881" w:type="dxa"/>
            <w:tcBorders>
              <w:top w:val="single" w:color="auto" w:sz="4" w:space="0"/>
            </w:tcBorders>
            <w:vAlign w:val="bottom"/>
          </w:tcPr>
          <w:p w:rsidRPr="00260518" w:rsidR="00A92D0B" w:rsidP="007E3A88" w:rsidRDefault="00A92D0B"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8A00D2" w:rsidTr="00C111FF" w14:paraId="47840C39" w14:textId="77777777">
        <w:tc>
          <w:tcPr>
            <w:tcW w:w="1489" w:type="dxa"/>
          </w:tcPr>
          <w:p w:rsidR="008A00D2" w:rsidP="008A00D2" w:rsidRDefault="008A00D2" w14:paraId="21E2FB12" w14:textId="35975C5B">
            <w:pPr>
              <w:spacing w:before="60" w:after="60"/>
              <w:rPr>
                <w:color w:val="000000"/>
              </w:rPr>
            </w:pPr>
            <w:r>
              <w:rPr>
                <w:color w:val="000000"/>
              </w:rPr>
              <w:t>Augusta Wilson</w:t>
            </w:r>
            <w:r w:rsidR="0095151F">
              <w:rPr>
                <w:color w:val="000000"/>
              </w:rPr>
              <w:fldChar w:fldCharType="begin"/>
            </w:r>
            <w:r w:rsidR="0095151F">
              <w:rPr>
                <w:color w:val="000000"/>
              </w:rPr>
              <w:instrText xml:space="preserve"> NOTEREF _Ref206658337 \f \h </w:instrText>
            </w:r>
            <w:r w:rsidR="0095151F">
              <w:rPr>
                <w:color w:val="000000"/>
              </w:rPr>
            </w:r>
            <w:r w:rsidR="0095151F">
              <w:rPr>
                <w:color w:val="000000"/>
              </w:rPr>
              <w:fldChar w:fldCharType="separate"/>
            </w:r>
            <w:r w:rsidRPr="001F7CA4" w:rsidR="001F7CA4">
              <w:rPr>
                <w:rStyle w:val="FootnoteReference"/>
              </w:rPr>
              <w:t>3</w:t>
            </w:r>
            <w:r w:rsidR="0095151F">
              <w:rPr>
                <w:color w:val="000000"/>
              </w:rPr>
              <w:fldChar w:fldCharType="end"/>
            </w:r>
          </w:p>
        </w:tc>
        <w:tc>
          <w:tcPr>
            <w:tcW w:w="821" w:type="dxa"/>
          </w:tcPr>
          <w:p w:rsidR="008A00D2" w:rsidP="008A00D2" w:rsidRDefault="008A00D2" w14:paraId="1BC6A4C1" w14:textId="4D901E8D">
            <w:pPr>
              <w:spacing w:before="60" w:after="60"/>
              <w:jc w:val="center"/>
              <w:rPr>
                <w:color w:val="000000"/>
              </w:rPr>
            </w:pPr>
            <w:r>
              <w:rPr>
                <w:color w:val="000000"/>
              </w:rPr>
              <w:t>2022</w:t>
            </w:r>
          </w:p>
        </w:tc>
        <w:tc>
          <w:tcPr>
            <w:tcW w:w="884" w:type="dxa"/>
            <w:gridSpan w:val="2"/>
          </w:tcPr>
          <w:p w:rsidR="008A00D2" w:rsidP="008A00D2" w:rsidRDefault="008A00D2" w14:paraId="2EAB30F8" w14:textId="77777777">
            <w:pPr>
              <w:spacing w:before="60" w:after="60"/>
              <w:jc w:val="center"/>
              <w:rPr>
                <w:color w:val="000000"/>
              </w:rPr>
            </w:pPr>
          </w:p>
        </w:tc>
        <w:tc>
          <w:tcPr>
            <w:tcW w:w="1031" w:type="dxa"/>
          </w:tcPr>
          <w:p w:rsidR="008A00D2" w:rsidP="008A00D2" w:rsidRDefault="008A00D2" w14:paraId="78825E0D" w14:textId="77777777">
            <w:pPr>
              <w:spacing w:before="60" w:after="60"/>
              <w:rPr>
                <w:color w:val="000000"/>
              </w:rPr>
            </w:pPr>
          </w:p>
        </w:tc>
        <w:tc>
          <w:tcPr>
            <w:tcW w:w="1620" w:type="dxa"/>
            <w:gridSpan w:val="2"/>
            <w:tcBorders>
              <w:right w:val="single" w:color="auto" w:sz="4" w:space="0"/>
            </w:tcBorders>
          </w:tcPr>
          <w:p w:rsidR="008A00D2" w:rsidP="008A00D2" w:rsidRDefault="008A00D2" w14:paraId="3C5F0F43" w14:textId="77777777">
            <w:pPr>
              <w:spacing w:before="60" w:after="60"/>
              <w:rPr>
                <w:color w:val="000000"/>
              </w:rPr>
            </w:pPr>
          </w:p>
        </w:tc>
        <w:tc>
          <w:tcPr>
            <w:tcW w:w="1333" w:type="dxa"/>
            <w:tcBorders>
              <w:top w:val="single" w:color="auto" w:sz="4" w:space="0"/>
              <w:left w:val="single" w:color="auto" w:sz="4" w:space="0"/>
              <w:bottom w:val="single" w:color="auto" w:sz="4" w:space="0"/>
              <w:right w:val="single" w:color="auto" w:sz="24" w:space="0"/>
            </w:tcBorders>
          </w:tcPr>
          <w:p w:rsidR="008A00D2" w:rsidP="008A00D2" w:rsidRDefault="008A00D2" w14:paraId="25D93E9B" w14:textId="77777777">
            <w:pPr>
              <w:spacing w:before="60" w:after="60"/>
              <w:jc w:val="right"/>
              <w:rPr>
                <w:color w:val="000000"/>
              </w:rPr>
            </w:pPr>
          </w:p>
        </w:tc>
        <w:tc>
          <w:tcPr>
            <w:tcW w:w="955" w:type="dxa"/>
            <w:gridSpan w:val="2"/>
            <w:tcBorders>
              <w:left w:val="single" w:color="auto" w:sz="4" w:space="0"/>
              <w:right w:val="single" w:color="auto" w:sz="4" w:space="0"/>
            </w:tcBorders>
          </w:tcPr>
          <w:p w:rsidR="008A00D2" w:rsidP="008A00D2" w:rsidRDefault="0095151F" w14:paraId="1A437BCE" w14:textId="423C3E1E">
            <w:pPr>
              <w:spacing w:before="60" w:after="60"/>
              <w:jc w:val="center"/>
              <w:rPr>
                <w:color w:val="000000"/>
              </w:rPr>
            </w:pPr>
            <w:r>
              <w:rPr>
                <w:color w:val="000000"/>
              </w:rPr>
              <w:t>3.50</w:t>
            </w:r>
            <w:r w:rsidR="009D7E91">
              <w:rPr>
                <w:color w:val="000000"/>
              </w:rPr>
              <w:t xml:space="preserve"> [1]</w:t>
            </w:r>
          </w:p>
        </w:tc>
        <w:tc>
          <w:tcPr>
            <w:tcW w:w="1146" w:type="dxa"/>
            <w:tcBorders>
              <w:left w:val="single" w:color="auto" w:sz="4" w:space="0"/>
            </w:tcBorders>
          </w:tcPr>
          <w:p w:rsidR="008A00D2" w:rsidP="008A00D2" w:rsidRDefault="0095151F" w14:paraId="29F149DB" w14:textId="0B4B609C">
            <w:pPr>
              <w:spacing w:before="60" w:after="60"/>
              <w:jc w:val="center"/>
              <w:rPr>
                <w:color w:val="000000"/>
              </w:rPr>
            </w:pPr>
            <w:r>
              <w:rPr>
                <w:color w:val="000000"/>
              </w:rPr>
              <w:t>$255.00</w:t>
            </w:r>
            <w:r w:rsidR="009D7E91">
              <w:rPr>
                <w:color w:val="000000"/>
              </w:rPr>
              <w:t xml:space="preserve"> [</w:t>
            </w:r>
            <w:r w:rsidR="000236E4">
              <w:rPr>
                <w:color w:val="000000"/>
              </w:rPr>
              <w:t>4</w:t>
            </w:r>
            <w:r w:rsidR="009D7E91">
              <w:rPr>
                <w:color w:val="000000"/>
              </w:rPr>
              <w:t>]</w:t>
            </w:r>
          </w:p>
        </w:tc>
        <w:tc>
          <w:tcPr>
            <w:tcW w:w="1881" w:type="dxa"/>
          </w:tcPr>
          <w:p w:rsidR="008A00D2" w:rsidP="008A00D2" w:rsidRDefault="0095151F" w14:paraId="28AB1CFE" w14:textId="433853F6">
            <w:pPr>
              <w:spacing w:before="60" w:after="60"/>
              <w:jc w:val="right"/>
              <w:rPr>
                <w:color w:val="000000"/>
              </w:rPr>
            </w:pPr>
            <w:r>
              <w:rPr>
                <w:color w:val="000000"/>
              </w:rPr>
              <w:t>$892.50</w:t>
            </w:r>
          </w:p>
        </w:tc>
      </w:tr>
      <w:tr w:rsidRPr="007F620E" w:rsidR="00AB21C0" w:rsidTr="00C111FF" w14:paraId="25086E67" w14:textId="77777777">
        <w:tc>
          <w:tcPr>
            <w:tcW w:w="1489" w:type="dxa"/>
          </w:tcPr>
          <w:p w:rsidRPr="007F620E" w:rsidR="00AB21C0" w:rsidP="00AB21C0" w:rsidRDefault="00AB21C0" w14:paraId="386D0995" w14:textId="7AC6208D">
            <w:pPr>
              <w:spacing w:before="60" w:after="60"/>
              <w:rPr>
                <w:color w:val="000000"/>
              </w:rPr>
            </w:pPr>
            <w:r>
              <w:rPr>
                <w:color w:val="000000"/>
              </w:rPr>
              <w:t xml:space="preserve">Augusta Wilson </w:t>
            </w:r>
          </w:p>
        </w:tc>
        <w:tc>
          <w:tcPr>
            <w:tcW w:w="821" w:type="dxa"/>
          </w:tcPr>
          <w:p w:rsidRPr="007F620E" w:rsidR="00AB21C0" w:rsidP="00AB21C0" w:rsidRDefault="00AB21C0" w14:paraId="4A155F1D" w14:textId="4B1FC790">
            <w:pPr>
              <w:spacing w:before="60" w:after="60"/>
              <w:jc w:val="center"/>
              <w:rPr>
                <w:color w:val="000000"/>
              </w:rPr>
            </w:pPr>
            <w:r>
              <w:rPr>
                <w:color w:val="000000"/>
              </w:rPr>
              <w:t>2023</w:t>
            </w:r>
          </w:p>
        </w:tc>
        <w:tc>
          <w:tcPr>
            <w:tcW w:w="884" w:type="dxa"/>
            <w:gridSpan w:val="2"/>
          </w:tcPr>
          <w:p w:rsidRPr="007F620E" w:rsidR="00AB21C0" w:rsidP="00AB21C0" w:rsidRDefault="00AB21C0" w14:paraId="30EEA80A" w14:textId="117A7483">
            <w:pPr>
              <w:spacing w:before="60" w:after="60"/>
              <w:jc w:val="center"/>
              <w:rPr>
                <w:color w:val="000000"/>
              </w:rPr>
            </w:pPr>
            <w:r>
              <w:rPr>
                <w:color w:val="000000"/>
              </w:rPr>
              <w:t>3.5</w:t>
            </w:r>
          </w:p>
        </w:tc>
        <w:tc>
          <w:tcPr>
            <w:tcW w:w="1031" w:type="dxa"/>
          </w:tcPr>
          <w:p w:rsidRPr="007F620E" w:rsidR="00AB21C0" w:rsidP="00AB21C0" w:rsidRDefault="00AB21C0" w14:paraId="4EB14C91" w14:textId="28C7075A">
            <w:pPr>
              <w:spacing w:before="60" w:after="60"/>
              <w:rPr>
                <w:color w:val="000000"/>
              </w:rPr>
            </w:pPr>
            <w:r>
              <w:rPr>
                <w:color w:val="000000"/>
              </w:rPr>
              <w:t>$268.26</w:t>
            </w:r>
          </w:p>
        </w:tc>
        <w:tc>
          <w:tcPr>
            <w:tcW w:w="1620" w:type="dxa"/>
            <w:gridSpan w:val="2"/>
            <w:tcBorders>
              <w:right w:val="single" w:color="auto" w:sz="4" w:space="0"/>
            </w:tcBorders>
          </w:tcPr>
          <w:p w:rsidRPr="007F620E" w:rsidR="00AB21C0" w:rsidP="00AB21C0" w:rsidRDefault="00AB21C0" w14:paraId="02D334B7" w14:textId="2A603F25">
            <w:pPr>
              <w:spacing w:before="60" w:after="60"/>
              <w:rPr>
                <w:color w:val="000000"/>
              </w:rPr>
            </w:pPr>
            <w:r>
              <w:rPr>
                <w:color w:val="000000"/>
              </w:rPr>
              <w:t>½ of hourly rate.</w:t>
            </w:r>
          </w:p>
        </w:tc>
        <w:tc>
          <w:tcPr>
            <w:tcW w:w="1333" w:type="dxa"/>
            <w:tcBorders>
              <w:top w:val="single" w:color="auto" w:sz="4" w:space="0"/>
              <w:left w:val="single" w:color="auto" w:sz="4" w:space="0"/>
              <w:bottom w:val="single" w:color="auto" w:sz="4" w:space="0"/>
              <w:right w:val="single" w:color="auto" w:sz="24" w:space="0"/>
            </w:tcBorders>
          </w:tcPr>
          <w:p w:rsidRPr="007F620E" w:rsidR="00AB21C0" w:rsidP="00AB21C0" w:rsidRDefault="00AB21C0" w14:paraId="7B9A0261" w14:textId="22CF2C3C">
            <w:pPr>
              <w:spacing w:before="60" w:after="60"/>
              <w:jc w:val="right"/>
              <w:rPr>
                <w:color w:val="000000"/>
              </w:rPr>
            </w:pPr>
            <w:r>
              <w:rPr>
                <w:color w:val="000000"/>
              </w:rPr>
              <w:t>$938.91</w:t>
            </w:r>
          </w:p>
        </w:tc>
        <w:tc>
          <w:tcPr>
            <w:tcW w:w="955" w:type="dxa"/>
            <w:gridSpan w:val="2"/>
            <w:tcBorders>
              <w:left w:val="single" w:color="auto" w:sz="4" w:space="0"/>
              <w:right w:val="single" w:color="auto" w:sz="4" w:space="0"/>
            </w:tcBorders>
          </w:tcPr>
          <w:p w:rsidRPr="007F620E" w:rsidR="00AB21C0" w:rsidP="00416DCD" w:rsidRDefault="0095151F" w14:paraId="5E5A4264" w14:textId="31B4317E">
            <w:pPr>
              <w:spacing w:before="60" w:after="60"/>
              <w:jc w:val="center"/>
              <w:rPr>
                <w:color w:val="000000"/>
              </w:rPr>
            </w:pPr>
            <w:r>
              <w:rPr>
                <w:color w:val="000000"/>
              </w:rPr>
              <w:t>0.00 [</w:t>
            </w:r>
            <w:r w:rsidR="009D7E91">
              <w:rPr>
                <w:color w:val="000000"/>
              </w:rPr>
              <w:t>1</w:t>
            </w:r>
            <w:r>
              <w:rPr>
                <w:color w:val="000000"/>
              </w:rPr>
              <w:t xml:space="preserve">] </w:t>
            </w:r>
          </w:p>
        </w:tc>
        <w:tc>
          <w:tcPr>
            <w:tcW w:w="1146" w:type="dxa"/>
            <w:tcBorders>
              <w:left w:val="single" w:color="auto" w:sz="4" w:space="0"/>
            </w:tcBorders>
          </w:tcPr>
          <w:p w:rsidRPr="007F620E" w:rsidR="00AB21C0" w:rsidP="007A2524" w:rsidRDefault="0095151F" w14:paraId="47B1F089" w14:textId="596E6D20">
            <w:pPr>
              <w:spacing w:before="60" w:after="60"/>
              <w:jc w:val="center"/>
              <w:rPr>
                <w:color w:val="000000"/>
              </w:rPr>
            </w:pPr>
            <w:r>
              <w:rPr>
                <w:color w:val="000000"/>
              </w:rPr>
              <w:t>N/A</w:t>
            </w:r>
            <w:r w:rsidR="00947C2A">
              <w:rPr>
                <w:color w:val="000000"/>
              </w:rPr>
              <w:t xml:space="preserve"> </w:t>
            </w:r>
          </w:p>
        </w:tc>
        <w:tc>
          <w:tcPr>
            <w:tcW w:w="1881" w:type="dxa"/>
          </w:tcPr>
          <w:p w:rsidRPr="007F620E" w:rsidR="00AB21C0" w:rsidP="00AB21C0" w:rsidRDefault="009553A0" w14:paraId="10659B6D" w14:textId="62305C72">
            <w:pPr>
              <w:spacing w:before="60" w:after="60"/>
              <w:jc w:val="right"/>
              <w:rPr>
                <w:color w:val="000000"/>
              </w:rPr>
            </w:pPr>
            <w:r>
              <w:rPr>
                <w:color w:val="000000"/>
              </w:rPr>
              <w:t>$</w:t>
            </w:r>
            <w:r w:rsidR="0095151F">
              <w:rPr>
                <w:color w:val="000000"/>
              </w:rPr>
              <w:t>0.00</w:t>
            </w:r>
            <w:r w:rsidR="00947C2A">
              <w:rPr>
                <w:color w:val="000000"/>
              </w:rPr>
              <w:t xml:space="preserve"> </w:t>
            </w:r>
          </w:p>
        </w:tc>
      </w:tr>
      <w:tr w:rsidRPr="007F620E" w:rsidR="00AB21C0" w:rsidTr="00C111FF" w14:paraId="7AB9EF54" w14:textId="77777777">
        <w:tc>
          <w:tcPr>
            <w:tcW w:w="1489" w:type="dxa"/>
          </w:tcPr>
          <w:p w:rsidRPr="007F620E" w:rsidR="00AB21C0" w:rsidP="00AB21C0" w:rsidRDefault="00AB21C0" w14:paraId="4F803C09" w14:textId="66C6BBDD">
            <w:pPr>
              <w:spacing w:before="60" w:after="60"/>
              <w:rPr>
                <w:color w:val="000000"/>
              </w:rPr>
            </w:pPr>
            <w:r>
              <w:rPr>
                <w:color w:val="000000"/>
              </w:rPr>
              <w:t>Roger Lin</w:t>
            </w:r>
          </w:p>
        </w:tc>
        <w:tc>
          <w:tcPr>
            <w:tcW w:w="821" w:type="dxa"/>
          </w:tcPr>
          <w:p w:rsidRPr="007F620E" w:rsidR="00AB21C0" w:rsidP="00AB21C0" w:rsidRDefault="00AB21C0" w14:paraId="058BFE37" w14:textId="7D92EA85">
            <w:pPr>
              <w:spacing w:before="60" w:after="60"/>
              <w:jc w:val="center"/>
              <w:rPr>
                <w:color w:val="000000"/>
              </w:rPr>
            </w:pPr>
            <w:r>
              <w:rPr>
                <w:color w:val="000000"/>
              </w:rPr>
              <w:t>2024</w:t>
            </w:r>
          </w:p>
        </w:tc>
        <w:tc>
          <w:tcPr>
            <w:tcW w:w="884" w:type="dxa"/>
            <w:gridSpan w:val="2"/>
          </w:tcPr>
          <w:p w:rsidRPr="007F620E" w:rsidR="00AB21C0" w:rsidP="00AB21C0" w:rsidRDefault="00AB21C0" w14:paraId="66A42865" w14:textId="72E7D658">
            <w:pPr>
              <w:spacing w:before="60" w:after="60"/>
              <w:jc w:val="center"/>
              <w:rPr>
                <w:color w:val="000000"/>
              </w:rPr>
            </w:pPr>
            <w:r>
              <w:rPr>
                <w:color w:val="000000"/>
              </w:rPr>
              <w:t>3.4</w:t>
            </w:r>
          </w:p>
        </w:tc>
        <w:tc>
          <w:tcPr>
            <w:tcW w:w="1031" w:type="dxa"/>
          </w:tcPr>
          <w:p w:rsidRPr="007F620E" w:rsidR="00AB21C0" w:rsidP="00AB21C0" w:rsidRDefault="00AB21C0" w14:paraId="42AE8F2C" w14:textId="2429C607">
            <w:pPr>
              <w:spacing w:before="60" w:after="60"/>
              <w:rPr>
                <w:color w:val="000000"/>
              </w:rPr>
            </w:pPr>
            <w:r>
              <w:rPr>
                <w:color w:val="000000"/>
              </w:rPr>
              <w:t>$279.18</w:t>
            </w:r>
          </w:p>
        </w:tc>
        <w:tc>
          <w:tcPr>
            <w:tcW w:w="1620" w:type="dxa"/>
            <w:gridSpan w:val="2"/>
            <w:tcBorders>
              <w:right w:val="single" w:color="auto" w:sz="4" w:space="0"/>
            </w:tcBorders>
          </w:tcPr>
          <w:p w:rsidRPr="007F620E" w:rsidR="00AB21C0" w:rsidP="00AB21C0" w:rsidRDefault="00AB21C0" w14:paraId="3DB754B7" w14:textId="4E1038E7">
            <w:pPr>
              <w:spacing w:before="60" w:after="60"/>
              <w:rPr>
                <w:color w:val="000000"/>
              </w:rPr>
            </w:pPr>
            <w:r>
              <w:rPr>
                <w:color w:val="000000"/>
              </w:rPr>
              <w:t>½ of hourly rate.</w:t>
            </w:r>
          </w:p>
        </w:tc>
        <w:tc>
          <w:tcPr>
            <w:tcW w:w="1333" w:type="dxa"/>
            <w:tcBorders>
              <w:top w:val="single" w:color="auto" w:sz="4" w:space="0"/>
              <w:left w:val="single" w:color="auto" w:sz="4" w:space="0"/>
              <w:bottom w:val="single" w:color="auto" w:sz="4" w:space="0"/>
              <w:right w:val="single" w:color="auto" w:sz="24" w:space="0"/>
            </w:tcBorders>
          </w:tcPr>
          <w:p w:rsidRPr="007F620E" w:rsidR="00AB21C0" w:rsidP="00AB21C0" w:rsidRDefault="00AB21C0" w14:paraId="3D39C021" w14:textId="1035F1B0">
            <w:pPr>
              <w:spacing w:before="60" w:after="60"/>
              <w:jc w:val="right"/>
              <w:rPr>
                <w:color w:val="000000"/>
              </w:rPr>
            </w:pPr>
            <w:r>
              <w:rPr>
                <w:color w:val="000000"/>
              </w:rPr>
              <w:t>$949.20</w:t>
            </w:r>
          </w:p>
        </w:tc>
        <w:tc>
          <w:tcPr>
            <w:tcW w:w="955" w:type="dxa"/>
            <w:gridSpan w:val="2"/>
            <w:tcBorders>
              <w:left w:val="single" w:color="auto" w:sz="4" w:space="0"/>
              <w:right w:val="single" w:color="auto" w:sz="4" w:space="0"/>
            </w:tcBorders>
          </w:tcPr>
          <w:p w:rsidRPr="007F620E" w:rsidR="00AB21C0" w:rsidP="007A2524" w:rsidRDefault="00AB21C0" w14:paraId="6B8C8F0C" w14:textId="2B3EC79C">
            <w:pPr>
              <w:spacing w:before="60" w:after="60"/>
              <w:jc w:val="center"/>
              <w:rPr>
                <w:color w:val="000000"/>
              </w:rPr>
            </w:pPr>
            <w:r>
              <w:rPr>
                <w:color w:val="000000"/>
              </w:rPr>
              <w:t>3.40</w:t>
            </w:r>
          </w:p>
        </w:tc>
        <w:tc>
          <w:tcPr>
            <w:tcW w:w="1146" w:type="dxa"/>
            <w:tcBorders>
              <w:left w:val="single" w:color="auto" w:sz="4" w:space="0"/>
            </w:tcBorders>
          </w:tcPr>
          <w:p w:rsidRPr="007F620E" w:rsidR="00AB21C0" w:rsidP="007A2524" w:rsidRDefault="00AB21C0" w14:paraId="0A58B021" w14:textId="4C5235FC">
            <w:pPr>
              <w:spacing w:before="60" w:after="60"/>
              <w:jc w:val="center"/>
              <w:rPr>
                <w:color w:val="000000"/>
              </w:rPr>
            </w:pPr>
            <w:r>
              <w:rPr>
                <w:color w:val="000000"/>
              </w:rPr>
              <w:t>$302.50</w:t>
            </w:r>
            <w:r w:rsidR="007A2524">
              <w:rPr>
                <w:color w:val="000000"/>
              </w:rPr>
              <w:t xml:space="preserve"> [</w:t>
            </w:r>
            <w:r w:rsidR="000236E4">
              <w:rPr>
                <w:color w:val="000000"/>
              </w:rPr>
              <w:t>6</w:t>
            </w:r>
            <w:r w:rsidR="007A2524">
              <w:rPr>
                <w:color w:val="000000"/>
              </w:rPr>
              <w:t>]</w:t>
            </w:r>
          </w:p>
        </w:tc>
        <w:tc>
          <w:tcPr>
            <w:tcW w:w="1881" w:type="dxa"/>
          </w:tcPr>
          <w:p w:rsidRPr="007F620E" w:rsidR="00AB21C0" w:rsidP="00AB21C0" w:rsidRDefault="00AB21C0" w14:paraId="0769A3B4" w14:textId="57489A1D">
            <w:pPr>
              <w:spacing w:before="60" w:after="60"/>
              <w:jc w:val="right"/>
              <w:rPr>
                <w:color w:val="000000"/>
              </w:rPr>
            </w:pPr>
            <w:r>
              <w:rPr>
                <w:color w:val="000000"/>
              </w:rPr>
              <w:t xml:space="preserve">$1,028.50 </w:t>
            </w:r>
          </w:p>
        </w:tc>
      </w:tr>
      <w:tr w:rsidRPr="007F620E" w:rsidR="00E15DC3" w:rsidTr="007E3A88" w14:paraId="266CEDD5" w14:textId="77777777">
        <w:tc>
          <w:tcPr>
            <w:tcW w:w="7178" w:type="dxa"/>
            <w:gridSpan w:val="8"/>
            <w:tcBorders>
              <w:bottom w:val="single" w:color="auto" w:sz="4" w:space="0"/>
              <w:right w:val="single" w:color="auto" w:sz="24" w:space="0"/>
            </w:tcBorders>
            <w:vAlign w:val="bottom"/>
          </w:tcPr>
          <w:p w:rsidRPr="00374FD1" w:rsidR="00E15DC3" w:rsidP="007E3A88" w:rsidRDefault="00E15DC3" w14:paraId="4A1F5988" w14:textId="01C442A6">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ED64F3">
              <w:rPr>
                <w:b/>
                <w:i/>
                <w:color w:val="000000"/>
              </w:rPr>
              <w:t>1,888.1</w:t>
            </w:r>
            <w:r w:rsidR="00BF09FC">
              <w:rPr>
                <w:b/>
                <w:i/>
                <w:color w:val="000000"/>
              </w:rPr>
              <w:t>1</w:t>
            </w:r>
          </w:p>
        </w:tc>
        <w:tc>
          <w:tcPr>
            <w:tcW w:w="3982" w:type="dxa"/>
            <w:gridSpan w:val="4"/>
            <w:tcBorders>
              <w:left w:val="single" w:color="auto" w:sz="24" w:space="0"/>
              <w:bottom w:val="single" w:color="auto" w:sz="4" w:space="0"/>
            </w:tcBorders>
            <w:vAlign w:val="bottom"/>
          </w:tcPr>
          <w:p w:rsidRPr="00374FD1" w:rsidR="00E15DC3" w:rsidP="007E3A88" w:rsidRDefault="00E15DC3" w14:paraId="2FBAA587" w14:textId="4E53DCED">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7B620E">
              <w:rPr>
                <w:b/>
                <w:i/>
                <w:color w:val="000000"/>
              </w:rPr>
              <w:t>1,9</w:t>
            </w:r>
            <w:r w:rsidR="00AB321F">
              <w:rPr>
                <w:b/>
                <w:i/>
                <w:color w:val="000000"/>
              </w:rPr>
              <w:t>21</w:t>
            </w:r>
            <w:r w:rsidR="00947C2A">
              <w:rPr>
                <w:b/>
                <w:i/>
                <w:color w:val="000000"/>
              </w:rPr>
              <w:t>.</w:t>
            </w:r>
            <w:r w:rsidR="00AB321F">
              <w:rPr>
                <w:b/>
                <w:i/>
                <w:color w:val="000000"/>
              </w:rPr>
              <w:t>00</w:t>
            </w:r>
          </w:p>
        </w:tc>
      </w:tr>
      <w:tr w:rsidRPr="007F620E" w:rsidR="003B6A1B" w:rsidTr="007E3A88" w14:paraId="06E7371A" w14:textId="77777777">
        <w:tc>
          <w:tcPr>
            <w:tcW w:w="7178" w:type="dxa"/>
            <w:gridSpan w:val="8"/>
            <w:tcBorders>
              <w:top w:val="single" w:color="auto" w:sz="4" w:space="0"/>
              <w:bottom w:val="single" w:color="auto" w:sz="4" w:space="0"/>
              <w:right w:val="single" w:color="auto" w:sz="24" w:space="0"/>
            </w:tcBorders>
            <w:shd w:val="clear" w:color="auto" w:fill="E6E6E6"/>
            <w:vAlign w:val="bottom"/>
          </w:tcPr>
          <w:p w:rsidRPr="00FE3BAE" w:rsidR="003B6A1B" w:rsidP="007E3A88" w:rsidRDefault="003B6A1B" w14:paraId="11B3B704" w14:textId="7429AF20">
            <w:pPr>
              <w:tabs>
                <w:tab w:val="left" w:pos="957"/>
              </w:tabs>
              <w:spacing w:before="60" w:after="60"/>
              <w:ind w:right="72"/>
              <w:jc w:val="right"/>
              <w:rPr>
                <w:b/>
                <w:color w:val="000000"/>
              </w:rPr>
            </w:pPr>
            <w:r w:rsidRPr="00374FD1">
              <w:rPr>
                <w:b/>
                <w:i/>
                <w:color w:val="000000"/>
              </w:rPr>
              <w:t>TOTAL REQUEST: $</w:t>
            </w:r>
            <w:r w:rsidR="00351587">
              <w:rPr>
                <w:b/>
                <w:i/>
                <w:color w:val="000000"/>
              </w:rPr>
              <w:t>37,095.18</w:t>
            </w:r>
          </w:p>
        </w:tc>
        <w:tc>
          <w:tcPr>
            <w:tcW w:w="3982" w:type="dxa"/>
            <w:gridSpan w:val="4"/>
            <w:tcBorders>
              <w:left w:val="single" w:color="auto" w:sz="24" w:space="0"/>
            </w:tcBorders>
            <w:shd w:val="clear" w:color="auto" w:fill="E6E6E6"/>
            <w:vAlign w:val="bottom"/>
          </w:tcPr>
          <w:p w:rsidRPr="00FE3BAE" w:rsidR="003B6A1B" w:rsidP="007E3A88" w:rsidRDefault="003B6A1B" w14:paraId="3680D139" w14:textId="4C6B21A4">
            <w:pPr>
              <w:tabs>
                <w:tab w:val="left" w:pos="957"/>
              </w:tabs>
              <w:spacing w:before="60" w:after="60"/>
              <w:ind w:right="72"/>
              <w:jc w:val="right"/>
              <w:rPr>
                <w:b/>
                <w:color w:val="000000"/>
              </w:rPr>
            </w:pPr>
            <w:r w:rsidRPr="00374FD1">
              <w:rPr>
                <w:b/>
                <w:i/>
                <w:color w:val="000000"/>
              </w:rPr>
              <w:t>TOTAL AWARD: $</w:t>
            </w:r>
            <w:r w:rsidR="006104D1">
              <w:rPr>
                <w:b/>
                <w:i/>
                <w:color w:val="000000"/>
              </w:rPr>
              <w:t>23</w:t>
            </w:r>
            <w:r w:rsidR="0043716A">
              <w:rPr>
                <w:b/>
                <w:i/>
                <w:color w:val="000000"/>
              </w:rPr>
              <w:t>,</w:t>
            </w:r>
            <w:r w:rsidR="006104D1">
              <w:rPr>
                <w:b/>
                <w:i/>
                <w:color w:val="000000"/>
              </w:rPr>
              <w:t>403.55</w:t>
            </w:r>
          </w:p>
        </w:tc>
      </w:tr>
      <w:tr w:rsidRPr="007F620E" w:rsidR="003B6A1B" w:rsidTr="007E3A88" w14:paraId="6A909BC1" w14:textId="77777777">
        <w:tc>
          <w:tcPr>
            <w:tcW w:w="11160" w:type="dxa"/>
            <w:gridSpan w:val="12"/>
            <w:tcBorders>
              <w:top w:val="single" w:color="auto" w:sz="4" w:space="0"/>
              <w:bottom w:val="single" w:color="auto" w:sz="4" w:space="0"/>
            </w:tcBorders>
          </w:tcPr>
          <w:p w:rsidRPr="007F620E" w:rsidR="003B6A1B" w:rsidP="007E3A88" w:rsidRDefault="003B6A1B" w14:paraId="6F39872E"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3B6A1B" w:rsidP="007E3A88" w:rsidRDefault="003B6A1B"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3B6A1B" w:rsidTr="007E3A88" w14:paraId="458B01A4" w14:textId="77777777">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3B6A1B" w:rsidP="007E3A88" w:rsidRDefault="003B6A1B" w14:paraId="48B43CBD" w14:textId="77777777">
            <w:pPr>
              <w:keepNext/>
              <w:spacing w:before="60" w:after="60"/>
              <w:jc w:val="center"/>
              <w:rPr>
                <w:b/>
                <w:smallCaps/>
                <w:color w:val="000000"/>
              </w:rPr>
            </w:pPr>
            <w:r w:rsidRPr="007F620E">
              <w:rPr>
                <w:b/>
                <w:smallCaps/>
                <w:color w:val="000000"/>
              </w:rPr>
              <w:t>ATTORNEY INFORMATION</w:t>
            </w:r>
          </w:p>
        </w:tc>
      </w:tr>
      <w:tr w:rsidRPr="00C16981" w:rsidR="003B6A1B" w:rsidTr="007E3A88" w14:paraId="790C92C0" w14:textId="77777777">
        <w:trPr>
          <w:trHeight w:val="173"/>
        </w:trPr>
        <w:tc>
          <w:tcPr>
            <w:tcW w:w="2692" w:type="dxa"/>
            <w:gridSpan w:val="3"/>
            <w:tcBorders>
              <w:top w:val="single" w:color="auto" w:sz="4" w:space="0"/>
              <w:bottom w:val="single" w:color="auto" w:sz="4" w:space="0"/>
            </w:tcBorders>
            <w:shd w:val="clear" w:color="auto" w:fill="FFFFFF"/>
            <w:vAlign w:val="bottom"/>
          </w:tcPr>
          <w:p w:rsidRPr="00C16981" w:rsidR="003B6A1B" w:rsidP="007E3A88" w:rsidRDefault="003B6A1B"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3B6A1B" w:rsidP="007E3A88" w:rsidRDefault="003B6A1B"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4"/>
            </w:r>
          </w:p>
        </w:tc>
        <w:tc>
          <w:tcPr>
            <w:tcW w:w="3494" w:type="dxa"/>
            <w:gridSpan w:val="3"/>
            <w:tcBorders>
              <w:top w:val="single" w:color="auto" w:sz="4" w:space="0"/>
              <w:bottom w:val="single" w:color="auto" w:sz="4" w:space="0"/>
            </w:tcBorders>
            <w:shd w:val="clear" w:color="auto" w:fill="FFFFFF"/>
            <w:vAlign w:val="bottom"/>
          </w:tcPr>
          <w:p w:rsidRPr="00C16981" w:rsidR="003B6A1B" w:rsidP="007E3A88" w:rsidRDefault="003B6A1B" w14:paraId="27E64ED7" w14:textId="77777777">
            <w:pPr>
              <w:keepNext/>
              <w:keepLines/>
              <w:spacing w:before="60" w:after="60"/>
              <w:jc w:val="center"/>
              <w:rPr>
                <w:b/>
                <w:color w:val="000000"/>
                <w:sz w:val="22"/>
                <w:szCs w:val="22"/>
              </w:rPr>
            </w:pPr>
            <w:r w:rsidRPr="00C16981">
              <w:rPr>
                <w:b/>
                <w:sz w:val="22"/>
                <w:szCs w:val="22"/>
              </w:rPr>
              <w:t>Member Number</w:t>
            </w:r>
          </w:p>
        </w:tc>
        <w:tc>
          <w:tcPr>
            <w:tcW w:w="3065" w:type="dxa"/>
            <w:gridSpan w:val="3"/>
            <w:tcBorders>
              <w:top w:val="single" w:color="auto" w:sz="4" w:space="0"/>
              <w:bottom w:val="single" w:color="auto" w:sz="4" w:space="0"/>
            </w:tcBorders>
            <w:shd w:val="clear" w:color="auto" w:fill="FFFFFF"/>
            <w:vAlign w:val="bottom"/>
          </w:tcPr>
          <w:p w:rsidRPr="00C16981" w:rsidR="003B6A1B" w:rsidP="007E3A88" w:rsidRDefault="003B6A1B" w14:paraId="496B5DC1" w14:textId="77777777">
            <w:pPr>
              <w:keepNext/>
              <w:keepLines/>
              <w:spacing w:before="60" w:after="60"/>
              <w:jc w:val="center"/>
              <w:rPr>
                <w:b/>
                <w:sz w:val="22"/>
                <w:szCs w:val="22"/>
              </w:rPr>
            </w:pPr>
            <w:r w:rsidRPr="00C16981">
              <w:rPr>
                <w:b/>
                <w:sz w:val="22"/>
                <w:szCs w:val="22"/>
              </w:rPr>
              <w:t>Actions Affecting Eligibility (Yes/No?)</w:t>
            </w:r>
          </w:p>
          <w:p w:rsidRPr="00C16981" w:rsidR="003B6A1B" w:rsidP="007E3A88" w:rsidRDefault="003B6A1B"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3B6A1B" w:rsidTr="007E3A88" w14:paraId="4DC5EE9B" w14:textId="77777777">
        <w:trPr>
          <w:trHeight w:val="172"/>
        </w:trPr>
        <w:tc>
          <w:tcPr>
            <w:tcW w:w="2692" w:type="dxa"/>
            <w:gridSpan w:val="3"/>
            <w:tcBorders>
              <w:top w:val="single" w:color="auto" w:sz="4" w:space="0"/>
              <w:bottom w:val="single" w:color="auto" w:sz="4" w:space="0"/>
            </w:tcBorders>
          </w:tcPr>
          <w:p w:rsidRPr="007F620E" w:rsidR="003B6A1B" w:rsidP="007E3A88" w:rsidRDefault="007E2428" w14:paraId="7266B7BF" w14:textId="5B6118D7">
            <w:pPr>
              <w:keepLines/>
              <w:spacing w:before="60" w:after="60"/>
              <w:jc w:val="center"/>
              <w:rPr>
                <w:color w:val="000000"/>
              </w:rPr>
            </w:pPr>
            <w:r>
              <w:rPr>
                <w:color w:val="000000"/>
              </w:rPr>
              <w:t xml:space="preserve">Augusta Wilson </w:t>
            </w:r>
          </w:p>
        </w:tc>
        <w:tc>
          <w:tcPr>
            <w:tcW w:w="1909" w:type="dxa"/>
            <w:gridSpan w:val="3"/>
            <w:tcBorders>
              <w:top w:val="single" w:color="auto" w:sz="4" w:space="0"/>
              <w:bottom w:val="single" w:color="auto" w:sz="4" w:space="0"/>
            </w:tcBorders>
          </w:tcPr>
          <w:p w:rsidRPr="007F620E" w:rsidR="003B6A1B" w:rsidP="007E3A88" w:rsidRDefault="00690B63" w14:paraId="69A41F15" w14:textId="1F94BCCA">
            <w:pPr>
              <w:keepLines/>
              <w:spacing w:before="60" w:after="60"/>
              <w:jc w:val="center"/>
              <w:rPr>
                <w:color w:val="000000"/>
              </w:rPr>
            </w:pPr>
            <w:r>
              <w:rPr>
                <w:color w:val="000000"/>
              </w:rPr>
              <w:t xml:space="preserve">Admitted </w:t>
            </w:r>
            <w:r w:rsidR="00125418">
              <w:rPr>
                <w:color w:val="000000"/>
              </w:rPr>
              <w:t>(</w:t>
            </w:r>
            <w:r w:rsidR="006B70F6">
              <w:rPr>
                <w:color w:val="000000"/>
              </w:rPr>
              <w:t xml:space="preserve">New York 2009; </w:t>
            </w:r>
            <w:r w:rsidR="00125418">
              <w:rPr>
                <w:color w:val="000000"/>
              </w:rPr>
              <w:t>Pennsylvania 20</w:t>
            </w:r>
            <w:r w:rsidR="0018235B">
              <w:rPr>
                <w:color w:val="000000"/>
              </w:rPr>
              <w:t>13</w:t>
            </w:r>
            <w:r w:rsidR="00125418">
              <w:rPr>
                <w:color w:val="000000"/>
              </w:rPr>
              <w:t>; Washington D.C. (2023)</w:t>
            </w:r>
            <w:r w:rsidR="00B50ABA">
              <w:rPr>
                <w:rStyle w:val="FootnoteReference"/>
                <w:color w:val="000000"/>
              </w:rPr>
              <w:footnoteReference w:id="5"/>
            </w:r>
          </w:p>
        </w:tc>
        <w:tc>
          <w:tcPr>
            <w:tcW w:w="3494" w:type="dxa"/>
            <w:gridSpan w:val="3"/>
            <w:tcBorders>
              <w:top w:val="single" w:color="auto" w:sz="4" w:space="0"/>
              <w:bottom w:val="single" w:color="auto" w:sz="4" w:space="0"/>
            </w:tcBorders>
          </w:tcPr>
          <w:p w:rsidRPr="007F620E" w:rsidR="003B6A1B" w:rsidP="007E3A88" w:rsidRDefault="0018235B" w14:paraId="58495CD7" w14:textId="400FA108">
            <w:pPr>
              <w:keepLines/>
              <w:spacing w:before="60" w:after="60"/>
              <w:contextualSpacing/>
              <w:rPr>
                <w:color w:val="000000"/>
              </w:rPr>
            </w:pPr>
            <w:r>
              <w:rPr>
                <w:color w:val="000000"/>
              </w:rPr>
              <w:t xml:space="preserve">Pennsylvania Bar. No. 316969; </w:t>
            </w:r>
            <w:r w:rsidR="006B70F6">
              <w:rPr>
                <w:color w:val="000000"/>
              </w:rPr>
              <w:t xml:space="preserve">New York Bar. No. 4775649; </w:t>
            </w:r>
            <w:r w:rsidR="00125418">
              <w:rPr>
                <w:color w:val="000000"/>
              </w:rPr>
              <w:t>D.C. Bar No. 90013118</w:t>
            </w:r>
            <w:r w:rsidR="006B70F6">
              <w:rPr>
                <w:color w:val="000000"/>
              </w:rPr>
              <w:t xml:space="preserve">. Ms. Wilson is </w:t>
            </w:r>
            <w:proofErr w:type="gramStart"/>
            <w:r w:rsidR="006B70F6">
              <w:rPr>
                <w:color w:val="000000"/>
              </w:rPr>
              <w:t>barred</w:t>
            </w:r>
            <w:proofErr w:type="gramEnd"/>
            <w:r w:rsidR="006B70F6">
              <w:rPr>
                <w:color w:val="000000"/>
              </w:rPr>
              <w:t xml:space="preserve"> in New York, Pennsylvania, and Washington, D.C., not CA, but the Commission has previously </w:t>
            </w:r>
            <w:r w:rsidRPr="006B70F6" w:rsidR="006B70F6">
              <w:rPr>
                <w:color w:val="000000"/>
              </w:rPr>
              <w:t>decided that attorneys admitted in</w:t>
            </w:r>
            <w:r w:rsidR="006B70F6">
              <w:rPr>
                <w:color w:val="000000"/>
              </w:rPr>
              <w:t xml:space="preserve"> </w:t>
            </w:r>
            <w:r w:rsidRPr="006B70F6" w:rsidR="006B70F6">
              <w:rPr>
                <w:color w:val="000000"/>
              </w:rPr>
              <w:t>other states</w:t>
            </w:r>
            <w:r w:rsidR="006B70F6">
              <w:rPr>
                <w:color w:val="000000"/>
              </w:rPr>
              <w:t xml:space="preserve"> may be</w:t>
            </w:r>
            <w:r w:rsidRPr="006B70F6" w:rsidR="006B70F6">
              <w:rPr>
                <w:color w:val="000000"/>
              </w:rPr>
              <w:t xml:space="preserve"> eligible for </w:t>
            </w:r>
            <w:r w:rsidRPr="006B70F6" w:rsidR="006B70F6">
              <w:rPr>
                <w:color w:val="000000"/>
              </w:rPr>
              <w:lastRenderedPageBreak/>
              <w:t xml:space="preserve">compensation as an attorney. </w:t>
            </w:r>
            <w:r w:rsidRPr="006F7F69" w:rsidR="006B70F6">
              <w:rPr>
                <w:color w:val="000000"/>
              </w:rPr>
              <w:t>See D.17-03-006, p. 16; D.14-10-02</w:t>
            </w:r>
            <w:r w:rsidRPr="006B70F6" w:rsidR="006B70F6">
              <w:rPr>
                <w:color w:val="000000"/>
              </w:rPr>
              <w:t>3, p. 23, D.15-06-012, 17-18 &amp; Appendix.</w:t>
            </w:r>
          </w:p>
        </w:tc>
        <w:tc>
          <w:tcPr>
            <w:tcW w:w="3065" w:type="dxa"/>
            <w:gridSpan w:val="3"/>
            <w:tcBorders>
              <w:top w:val="single" w:color="auto" w:sz="4" w:space="0"/>
              <w:bottom w:val="single" w:color="auto" w:sz="4" w:space="0"/>
            </w:tcBorders>
          </w:tcPr>
          <w:p w:rsidRPr="007F620E" w:rsidR="003B6A1B" w:rsidP="007E3A88" w:rsidRDefault="00CD6093" w14:paraId="117B99BF" w14:textId="6497C07A">
            <w:pPr>
              <w:keepLines/>
              <w:spacing w:before="60" w:after="60"/>
              <w:jc w:val="center"/>
              <w:rPr>
                <w:color w:val="000000"/>
              </w:rPr>
            </w:pPr>
            <w:r>
              <w:rPr>
                <w:color w:val="000000"/>
              </w:rPr>
              <w:lastRenderedPageBreak/>
              <w:t>No</w:t>
            </w:r>
          </w:p>
        </w:tc>
      </w:tr>
      <w:tr w:rsidRPr="007F620E" w:rsidR="003B6A1B" w:rsidTr="007E3A88" w14:paraId="5D036E2E" w14:textId="77777777">
        <w:trPr>
          <w:trHeight w:val="172"/>
        </w:trPr>
        <w:tc>
          <w:tcPr>
            <w:tcW w:w="2692" w:type="dxa"/>
            <w:gridSpan w:val="3"/>
            <w:tcBorders>
              <w:top w:val="single" w:color="auto" w:sz="4" w:space="0"/>
              <w:bottom w:val="single" w:color="auto" w:sz="4" w:space="0"/>
            </w:tcBorders>
          </w:tcPr>
          <w:p w:rsidRPr="007F620E" w:rsidR="003B6A1B" w:rsidP="007E3A88" w:rsidRDefault="007E2428" w14:paraId="3D5F8F51" w14:textId="36F3DEDD">
            <w:pPr>
              <w:spacing w:before="60" w:after="60"/>
              <w:jc w:val="center"/>
              <w:rPr>
                <w:color w:val="000000"/>
              </w:rPr>
            </w:pPr>
            <w:r>
              <w:rPr>
                <w:color w:val="000000"/>
              </w:rPr>
              <w:t>Howard Crystal</w:t>
            </w:r>
          </w:p>
        </w:tc>
        <w:tc>
          <w:tcPr>
            <w:tcW w:w="1909" w:type="dxa"/>
            <w:gridSpan w:val="3"/>
            <w:tcBorders>
              <w:top w:val="single" w:color="auto" w:sz="4" w:space="0"/>
              <w:bottom w:val="single" w:color="auto" w:sz="4" w:space="0"/>
            </w:tcBorders>
          </w:tcPr>
          <w:p w:rsidR="00C67BCB" w:rsidP="001B17A1" w:rsidRDefault="00C67BCB" w14:paraId="434AEB71" w14:textId="77777777">
            <w:pPr>
              <w:spacing w:before="60" w:after="60"/>
              <w:rPr>
                <w:rFonts w:ascii="TimesNewRoman" w:hAnsi="TimesNewRoman" w:cs="TimesNewRoman"/>
              </w:rPr>
            </w:pPr>
            <w:r w:rsidRPr="00AB321F">
              <w:rPr>
                <w:color w:val="000000"/>
              </w:rPr>
              <w:t>Admitted</w:t>
            </w:r>
          </w:p>
          <w:p w:rsidRPr="00AB321F" w:rsidR="00C67BCB" w:rsidP="001B17A1" w:rsidRDefault="00C67BCB" w14:paraId="2C373381" w14:textId="77777777">
            <w:pPr>
              <w:spacing w:before="60" w:after="60"/>
              <w:rPr>
                <w:color w:val="000000"/>
              </w:rPr>
            </w:pPr>
            <w:r w:rsidRPr="00AB321F">
              <w:rPr>
                <w:color w:val="000000"/>
              </w:rPr>
              <w:t>(Massachusetts,</w:t>
            </w:r>
          </w:p>
          <w:p w:rsidRPr="00C67BCB" w:rsidR="003B6A1B" w:rsidP="001B17A1" w:rsidRDefault="00C67BCB" w14:paraId="1609FC8E" w14:textId="2C9981B1">
            <w:pPr>
              <w:spacing w:before="60" w:after="60"/>
              <w:rPr>
                <w:rFonts w:ascii="TimesNewRoman" w:hAnsi="TimesNewRoman" w:cs="TimesNewRoman"/>
              </w:rPr>
            </w:pPr>
            <w:r w:rsidRPr="00AB321F">
              <w:rPr>
                <w:color w:val="000000"/>
              </w:rPr>
              <w:t>1994; Washington D.C., 1995)</w:t>
            </w:r>
          </w:p>
        </w:tc>
        <w:tc>
          <w:tcPr>
            <w:tcW w:w="3494" w:type="dxa"/>
            <w:gridSpan w:val="3"/>
            <w:tcBorders>
              <w:top w:val="single" w:color="auto" w:sz="4" w:space="0"/>
              <w:bottom w:val="single" w:color="auto" w:sz="4" w:space="0"/>
            </w:tcBorders>
          </w:tcPr>
          <w:p w:rsidR="00C67BCB" w:rsidP="007E3A88" w:rsidRDefault="00C67BCB" w14:paraId="0E71971F" w14:textId="5E6BFB59">
            <w:pPr>
              <w:spacing w:before="60" w:after="60"/>
              <w:rPr>
                <w:color w:val="000000"/>
              </w:rPr>
            </w:pPr>
            <w:r w:rsidRPr="00C67BCB">
              <w:rPr>
                <w:color w:val="000000"/>
              </w:rPr>
              <w:t>Mass. Bar No. 565463; D.C. Bar No.</w:t>
            </w:r>
            <w:r>
              <w:rPr>
                <w:color w:val="000000"/>
              </w:rPr>
              <w:t xml:space="preserve"> </w:t>
            </w:r>
            <w:r w:rsidRPr="00C67BCB">
              <w:rPr>
                <w:color w:val="000000"/>
              </w:rPr>
              <w:t>446189.</w:t>
            </w:r>
            <w:r w:rsidR="006B70F6">
              <w:rPr>
                <w:color w:val="000000"/>
              </w:rPr>
              <w:t xml:space="preserve"> </w:t>
            </w:r>
            <w:r w:rsidRPr="00C67BCB">
              <w:rPr>
                <w:color w:val="000000"/>
              </w:rPr>
              <w:t>Mr. Crystal is licensed</w:t>
            </w:r>
            <w:r>
              <w:rPr>
                <w:color w:val="000000"/>
              </w:rPr>
              <w:t xml:space="preserve"> </w:t>
            </w:r>
            <w:r w:rsidRPr="00C67BCB">
              <w:rPr>
                <w:color w:val="000000"/>
              </w:rPr>
              <w:t xml:space="preserve">in Massachusetts and D.C., not CA, </w:t>
            </w:r>
            <w:r w:rsidR="006B70F6">
              <w:rPr>
                <w:color w:val="000000"/>
              </w:rPr>
              <w:t xml:space="preserve">but </w:t>
            </w:r>
            <w:r w:rsidRPr="00C67BCB">
              <w:rPr>
                <w:color w:val="000000"/>
              </w:rPr>
              <w:t>he</w:t>
            </w:r>
            <w:r>
              <w:rPr>
                <w:color w:val="000000"/>
              </w:rPr>
              <w:t xml:space="preserve"> </w:t>
            </w:r>
            <w:r w:rsidRPr="00C67BCB">
              <w:rPr>
                <w:color w:val="000000"/>
              </w:rPr>
              <w:t>practices in California courts and</w:t>
            </w:r>
            <w:r>
              <w:rPr>
                <w:color w:val="000000"/>
              </w:rPr>
              <w:t xml:space="preserve"> </w:t>
            </w:r>
            <w:r w:rsidRPr="00C67BCB">
              <w:rPr>
                <w:color w:val="000000"/>
              </w:rPr>
              <w:t xml:space="preserve">administrative </w:t>
            </w:r>
            <w:proofErr w:type="gramStart"/>
            <w:r w:rsidRPr="00C67BCB">
              <w:rPr>
                <w:color w:val="000000"/>
              </w:rPr>
              <w:t xml:space="preserve">tribunals, </w:t>
            </w:r>
            <w:r>
              <w:rPr>
                <w:color w:val="000000"/>
              </w:rPr>
              <w:t>and</w:t>
            </w:r>
            <w:proofErr w:type="gramEnd"/>
            <w:r>
              <w:rPr>
                <w:color w:val="000000"/>
              </w:rPr>
              <w:t xml:space="preserve"> has previously </w:t>
            </w:r>
            <w:r w:rsidR="00690B63">
              <w:rPr>
                <w:color w:val="000000"/>
              </w:rPr>
              <w:t xml:space="preserve">represented a </w:t>
            </w:r>
            <w:proofErr w:type="gramStart"/>
            <w:r w:rsidR="00690B63">
              <w:rPr>
                <w:color w:val="000000"/>
              </w:rPr>
              <w:t xml:space="preserve">party </w:t>
            </w:r>
            <w:r>
              <w:rPr>
                <w:color w:val="000000"/>
              </w:rPr>
              <w:t xml:space="preserve"> awarded</w:t>
            </w:r>
            <w:proofErr w:type="gramEnd"/>
            <w:r>
              <w:rPr>
                <w:color w:val="000000"/>
              </w:rPr>
              <w:t xml:space="preserve"> Intervenor</w:t>
            </w:r>
            <w:r w:rsidR="00690B63">
              <w:rPr>
                <w:color w:val="000000"/>
              </w:rPr>
              <w:t xml:space="preserve"> </w:t>
            </w:r>
            <w:r>
              <w:rPr>
                <w:color w:val="000000"/>
              </w:rPr>
              <w:t xml:space="preserve">Compensation </w:t>
            </w:r>
            <w:r w:rsidR="00690B63">
              <w:rPr>
                <w:color w:val="000000"/>
              </w:rPr>
              <w:t xml:space="preserve">for his time spent working on a proceeding </w:t>
            </w:r>
            <w:r>
              <w:rPr>
                <w:color w:val="000000"/>
              </w:rPr>
              <w:t>before th</w:t>
            </w:r>
            <w:r w:rsidR="00690B63">
              <w:rPr>
                <w:color w:val="000000"/>
              </w:rPr>
              <w:t>e</w:t>
            </w:r>
            <w:r>
              <w:rPr>
                <w:color w:val="000000"/>
              </w:rPr>
              <w:t xml:space="preserve"> Commission (</w:t>
            </w:r>
            <w:r w:rsidR="00690B63">
              <w:rPr>
                <w:color w:val="000000"/>
              </w:rPr>
              <w:t>18-07-006).</w:t>
            </w:r>
          </w:p>
          <w:p w:rsidRPr="00C67BCB" w:rsidR="00C67BCB" w:rsidP="007E3A88" w:rsidRDefault="00690B63" w14:paraId="2032A420" w14:textId="2084EDB1">
            <w:pPr>
              <w:spacing w:before="60" w:after="60"/>
              <w:rPr>
                <w:color w:val="000000"/>
              </w:rPr>
            </w:pPr>
            <w:r>
              <w:rPr>
                <w:color w:val="000000"/>
              </w:rPr>
              <w:t xml:space="preserve">The </w:t>
            </w:r>
            <w:r w:rsidRPr="00C67BCB" w:rsidR="00C67BCB">
              <w:rPr>
                <w:color w:val="000000"/>
              </w:rPr>
              <w:t xml:space="preserve">Commission has </w:t>
            </w:r>
            <w:r w:rsidR="006B70F6">
              <w:rPr>
                <w:color w:val="000000"/>
              </w:rPr>
              <w:t xml:space="preserve">previously </w:t>
            </w:r>
            <w:r w:rsidRPr="00C67BCB" w:rsidR="00C67BCB">
              <w:rPr>
                <w:color w:val="000000"/>
              </w:rPr>
              <w:t>decided</w:t>
            </w:r>
            <w:r w:rsidR="00C67BCB">
              <w:rPr>
                <w:color w:val="000000"/>
              </w:rPr>
              <w:t xml:space="preserve"> </w:t>
            </w:r>
            <w:r w:rsidRPr="00C67BCB" w:rsidR="00C67BCB">
              <w:rPr>
                <w:color w:val="000000"/>
              </w:rPr>
              <w:t>that attorneys admitted in other states,</w:t>
            </w:r>
            <w:r w:rsidR="00C67BCB">
              <w:rPr>
                <w:color w:val="000000"/>
              </w:rPr>
              <w:t xml:space="preserve"> </w:t>
            </w:r>
            <w:r w:rsidRPr="00C67BCB" w:rsidR="00C67BCB">
              <w:rPr>
                <w:color w:val="000000"/>
              </w:rPr>
              <w:t>including Massachusetts, are eligible for compensation</w:t>
            </w:r>
            <w:r w:rsidR="00C67BCB">
              <w:rPr>
                <w:color w:val="000000"/>
              </w:rPr>
              <w:t xml:space="preserve"> </w:t>
            </w:r>
            <w:r w:rsidRPr="00C67BCB" w:rsidR="00C67BCB">
              <w:rPr>
                <w:color w:val="000000"/>
              </w:rPr>
              <w:t>as an attorney. See D.17-03-006, p. 16</w:t>
            </w:r>
            <w:r w:rsidR="00C67BCB">
              <w:rPr>
                <w:color w:val="000000"/>
              </w:rPr>
              <w:t xml:space="preserve"> </w:t>
            </w:r>
            <w:r w:rsidRPr="00C67BCB" w:rsidR="00C67BCB">
              <w:rPr>
                <w:color w:val="000000"/>
              </w:rPr>
              <w:t>(awarding compensation to attorney</w:t>
            </w:r>
            <w:r w:rsidR="00C67BCB">
              <w:rPr>
                <w:color w:val="000000"/>
              </w:rPr>
              <w:t xml:space="preserve"> </w:t>
            </w:r>
            <w:r w:rsidRPr="00C67BCB" w:rsidR="00C67BCB">
              <w:rPr>
                <w:color w:val="000000"/>
              </w:rPr>
              <w:t>Charles Harak admitted in MA); see</w:t>
            </w:r>
          </w:p>
          <w:p w:rsidR="00690B63" w:rsidP="007E3A88" w:rsidRDefault="00C67BCB" w14:paraId="7FE49E2B" w14:textId="77777777">
            <w:pPr>
              <w:spacing w:before="60" w:after="60"/>
              <w:rPr>
                <w:color w:val="000000"/>
              </w:rPr>
            </w:pPr>
            <w:r w:rsidRPr="00C67BCB">
              <w:rPr>
                <w:color w:val="000000"/>
              </w:rPr>
              <w:t>also D.14-10-023, p. 23, D.15-06-012,</w:t>
            </w:r>
            <w:r>
              <w:rPr>
                <w:color w:val="000000"/>
              </w:rPr>
              <w:t xml:space="preserve"> </w:t>
            </w:r>
            <w:r w:rsidRPr="00C67BCB">
              <w:rPr>
                <w:color w:val="000000"/>
              </w:rPr>
              <w:t xml:space="preserve">17-18 &amp; Appendix. </w:t>
            </w:r>
          </w:p>
          <w:p w:rsidR="00690B63" w:rsidP="007E3A88" w:rsidRDefault="00690B63" w14:paraId="69CF43E5" w14:textId="77777777">
            <w:pPr>
              <w:spacing w:before="60" w:after="60"/>
              <w:rPr>
                <w:color w:val="000000"/>
              </w:rPr>
            </w:pPr>
          </w:p>
          <w:p w:rsidRPr="00C67BCB" w:rsidR="00C67BCB" w:rsidP="007E3A88" w:rsidRDefault="00C67BCB" w14:paraId="137F7DDB" w14:textId="242BF6FA">
            <w:pPr>
              <w:spacing w:before="60" w:after="60"/>
              <w:rPr>
                <w:color w:val="000000"/>
              </w:rPr>
            </w:pPr>
            <w:r w:rsidRPr="00C67BCB">
              <w:rPr>
                <w:color w:val="000000"/>
              </w:rPr>
              <w:t>Mr. Crystal</w:t>
            </w:r>
            <w:r w:rsidR="006B70F6">
              <w:rPr>
                <w:color w:val="000000"/>
              </w:rPr>
              <w:t xml:space="preserve"> </w:t>
            </w:r>
            <w:r w:rsidRPr="00C67BCB">
              <w:rPr>
                <w:color w:val="000000"/>
              </w:rPr>
              <w:t xml:space="preserve">has </w:t>
            </w:r>
            <w:r w:rsidR="006B70F6">
              <w:rPr>
                <w:color w:val="000000"/>
              </w:rPr>
              <w:t xml:space="preserve">also </w:t>
            </w:r>
            <w:r w:rsidRPr="00C67BCB">
              <w:rPr>
                <w:color w:val="000000"/>
              </w:rPr>
              <w:t>previously appeared and</w:t>
            </w:r>
            <w:r w:rsidR="006B70F6">
              <w:rPr>
                <w:color w:val="000000"/>
              </w:rPr>
              <w:t xml:space="preserve"> </w:t>
            </w:r>
            <w:r w:rsidRPr="00C67BCB">
              <w:rPr>
                <w:color w:val="000000"/>
              </w:rPr>
              <w:t>participated in the following Cases in</w:t>
            </w:r>
            <w:r>
              <w:rPr>
                <w:color w:val="000000"/>
              </w:rPr>
              <w:t xml:space="preserve"> </w:t>
            </w:r>
            <w:r w:rsidRPr="00C67BCB">
              <w:rPr>
                <w:color w:val="000000"/>
              </w:rPr>
              <w:t>the Northern District of California:</w:t>
            </w:r>
            <w:r>
              <w:rPr>
                <w:color w:val="000000"/>
              </w:rPr>
              <w:t xml:space="preserve"> </w:t>
            </w:r>
            <w:r w:rsidRPr="00C67BCB">
              <w:rPr>
                <w:color w:val="000000"/>
              </w:rPr>
              <w:t>04-cv-04448-SC; 08-cv-04248-SC;</w:t>
            </w:r>
            <w:r>
              <w:rPr>
                <w:color w:val="000000"/>
              </w:rPr>
              <w:t xml:space="preserve"> </w:t>
            </w:r>
            <w:r w:rsidRPr="00C67BCB">
              <w:rPr>
                <w:color w:val="000000"/>
              </w:rPr>
              <w:t>08-cv-04595-WHA; 11-cv-00958-SI;</w:t>
            </w:r>
          </w:p>
          <w:p w:rsidRPr="007F620E" w:rsidR="003B6A1B" w:rsidP="007E3A88" w:rsidRDefault="00C67BCB" w14:paraId="182A9D2B" w14:textId="0F4B82C8">
            <w:pPr>
              <w:spacing w:before="60" w:after="60"/>
              <w:rPr>
                <w:color w:val="000000"/>
              </w:rPr>
            </w:pPr>
            <w:r w:rsidRPr="00C67BCB">
              <w:rPr>
                <w:color w:val="000000"/>
              </w:rPr>
              <w:t>11-cv-02760-LB; 13-cv-01385-VC;</w:t>
            </w:r>
            <w:r>
              <w:rPr>
                <w:color w:val="000000"/>
              </w:rPr>
              <w:t xml:space="preserve"> </w:t>
            </w:r>
            <w:r w:rsidRPr="00C67BCB">
              <w:rPr>
                <w:color w:val="000000"/>
              </w:rPr>
              <w:t>03-cv-03400-PJH. He has also</w:t>
            </w:r>
            <w:r>
              <w:rPr>
                <w:color w:val="000000"/>
              </w:rPr>
              <w:t xml:space="preserve"> </w:t>
            </w:r>
            <w:r w:rsidRPr="00C67BCB">
              <w:rPr>
                <w:color w:val="000000"/>
              </w:rPr>
              <w:t>litigated in the Central District of</w:t>
            </w:r>
            <w:r>
              <w:rPr>
                <w:color w:val="000000"/>
              </w:rPr>
              <w:t xml:space="preserve"> </w:t>
            </w:r>
            <w:r w:rsidRPr="00C67BCB">
              <w:rPr>
                <w:color w:val="000000"/>
              </w:rPr>
              <w:t>California, and the Ninth Circuit</w:t>
            </w:r>
            <w:r>
              <w:rPr>
                <w:color w:val="000000"/>
              </w:rPr>
              <w:t xml:space="preserve"> </w:t>
            </w:r>
            <w:r w:rsidRPr="00C67BCB">
              <w:rPr>
                <w:color w:val="000000"/>
              </w:rPr>
              <w:t>Court of Appeals.</w:t>
            </w:r>
          </w:p>
        </w:tc>
        <w:tc>
          <w:tcPr>
            <w:tcW w:w="3065" w:type="dxa"/>
            <w:gridSpan w:val="3"/>
            <w:tcBorders>
              <w:top w:val="single" w:color="auto" w:sz="4" w:space="0"/>
              <w:bottom w:val="single" w:color="auto" w:sz="4" w:space="0"/>
            </w:tcBorders>
          </w:tcPr>
          <w:p w:rsidRPr="007F620E" w:rsidR="003B6A1B" w:rsidP="007E3A88" w:rsidRDefault="00CD6093" w14:paraId="35DC3C56" w14:textId="5DF42FC6">
            <w:pPr>
              <w:spacing w:before="60" w:after="60"/>
              <w:jc w:val="center"/>
              <w:rPr>
                <w:color w:val="000000"/>
              </w:rPr>
            </w:pPr>
            <w:r>
              <w:rPr>
                <w:color w:val="000000"/>
              </w:rPr>
              <w:t>No</w:t>
            </w:r>
          </w:p>
        </w:tc>
      </w:tr>
      <w:tr w:rsidRPr="007F620E" w:rsidR="007E2428" w:rsidTr="007E3A88" w14:paraId="5042E554" w14:textId="77777777">
        <w:trPr>
          <w:trHeight w:val="172"/>
        </w:trPr>
        <w:tc>
          <w:tcPr>
            <w:tcW w:w="2692" w:type="dxa"/>
            <w:gridSpan w:val="3"/>
            <w:tcBorders>
              <w:top w:val="single" w:color="auto" w:sz="4" w:space="0"/>
              <w:bottom w:val="single" w:color="auto" w:sz="4" w:space="0"/>
            </w:tcBorders>
          </w:tcPr>
          <w:p w:rsidRPr="007F620E" w:rsidR="007E2428" w:rsidP="007E3A88" w:rsidRDefault="007E2428" w14:paraId="09815EB2" w14:textId="3E86AB14">
            <w:pPr>
              <w:spacing w:before="60" w:after="60"/>
              <w:jc w:val="center"/>
              <w:rPr>
                <w:color w:val="000000"/>
              </w:rPr>
            </w:pPr>
            <w:r>
              <w:rPr>
                <w:color w:val="000000"/>
              </w:rPr>
              <w:t>Roger Lin</w:t>
            </w:r>
          </w:p>
        </w:tc>
        <w:tc>
          <w:tcPr>
            <w:tcW w:w="1909" w:type="dxa"/>
            <w:gridSpan w:val="3"/>
            <w:tcBorders>
              <w:top w:val="single" w:color="auto" w:sz="4" w:space="0"/>
              <w:bottom w:val="single" w:color="auto" w:sz="4" w:space="0"/>
            </w:tcBorders>
          </w:tcPr>
          <w:p w:rsidRPr="007F620E" w:rsidR="007E2428" w:rsidP="007E3A88" w:rsidRDefault="00AA68F8" w14:paraId="431A8A30" w14:textId="71D03874">
            <w:pPr>
              <w:spacing w:before="60" w:after="60"/>
              <w:jc w:val="center"/>
              <w:rPr>
                <w:color w:val="000000"/>
              </w:rPr>
            </w:pPr>
            <w:r>
              <w:rPr>
                <w:color w:val="000000"/>
              </w:rPr>
              <w:t>1/13/07</w:t>
            </w:r>
          </w:p>
        </w:tc>
        <w:tc>
          <w:tcPr>
            <w:tcW w:w="3494" w:type="dxa"/>
            <w:gridSpan w:val="3"/>
            <w:tcBorders>
              <w:top w:val="single" w:color="auto" w:sz="4" w:space="0"/>
              <w:bottom w:val="single" w:color="auto" w:sz="4" w:space="0"/>
            </w:tcBorders>
          </w:tcPr>
          <w:p w:rsidRPr="007F620E" w:rsidR="007E2428" w:rsidP="007E3A88" w:rsidRDefault="00CD6093" w14:paraId="6C341DC4" w14:textId="632E4786">
            <w:pPr>
              <w:spacing w:before="60" w:after="60"/>
              <w:jc w:val="center"/>
              <w:rPr>
                <w:color w:val="000000"/>
              </w:rPr>
            </w:pPr>
            <w:r>
              <w:rPr>
                <w:color w:val="000000"/>
              </w:rPr>
              <w:t>248144</w:t>
            </w:r>
          </w:p>
        </w:tc>
        <w:tc>
          <w:tcPr>
            <w:tcW w:w="3065" w:type="dxa"/>
            <w:gridSpan w:val="3"/>
            <w:tcBorders>
              <w:top w:val="single" w:color="auto" w:sz="4" w:space="0"/>
              <w:bottom w:val="single" w:color="auto" w:sz="4" w:space="0"/>
            </w:tcBorders>
          </w:tcPr>
          <w:p w:rsidRPr="007F620E" w:rsidR="007E2428" w:rsidP="007E3A88" w:rsidRDefault="00CD6093" w14:paraId="2666C93D" w14:textId="66C0A3FC">
            <w:pPr>
              <w:spacing w:before="60" w:after="60"/>
              <w:jc w:val="center"/>
              <w:rPr>
                <w:color w:val="000000"/>
              </w:rPr>
            </w:pPr>
            <w:r>
              <w:rPr>
                <w:color w:val="000000"/>
              </w:rPr>
              <w:t>No</w:t>
            </w:r>
          </w:p>
        </w:tc>
      </w:tr>
    </w:tbl>
    <w:p w:rsidR="00B740F7" w:rsidP="005F61FE" w:rsidRDefault="00B740F7" w14:paraId="6C40B962" w14:textId="77777777">
      <w:pPr>
        <w:keepNext/>
        <w:ind w:left="360"/>
        <w:rPr>
          <w:b/>
          <w:color w:val="000000"/>
        </w:rPr>
      </w:pPr>
    </w:p>
    <w:p w:rsidRPr="005F61FE" w:rsidR="00A92D0B" w:rsidP="005F61FE" w:rsidRDefault="00A92D0B" w14:paraId="04BC309E" w14:textId="10D591A2">
      <w:pPr>
        <w:keepNext/>
        <w:numPr>
          <w:ilvl w:val="0"/>
          <w:numId w:val="9"/>
        </w:numPr>
        <w:rPr>
          <w:b/>
          <w:color w:val="000000"/>
        </w:rPr>
      </w:pPr>
      <w:r w:rsidRPr="005B5B44">
        <w:rPr>
          <w:b/>
          <w:color w:val="000000"/>
        </w:rPr>
        <w:t>Attachments</w:t>
      </w:r>
      <w:r w:rsidRPr="007F620E">
        <w:rPr>
          <w:b/>
        </w:rPr>
        <w:t xml:space="preserve"> Documenting Specific Claim and Comments on Part III</w:t>
      </w:r>
      <w:r w:rsidR="00C02649">
        <w:rPr>
          <w:b/>
        </w:rPr>
        <w:t>:</w:t>
      </w:r>
      <w:r w:rsidR="009E3B81">
        <w:rPr>
          <w:rStyle w:val="FootnoteReference"/>
          <w:b/>
        </w:rPr>
        <w:footnoteReference w:id="6"/>
      </w:r>
    </w:p>
    <w:p w:rsidRPr="00F16812" w:rsidR="00B740F7" w:rsidP="005F61FE" w:rsidRDefault="00B740F7" w14:paraId="18BE077A" w14:textId="77777777">
      <w:pPr>
        <w:keepNext/>
        <w:ind w:left="360"/>
        <w:rPr>
          <w:b/>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1A3CF3"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77777777">
            <w:pPr>
              <w:tabs>
                <w:tab w:val="left" w:pos="1260"/>
              </w:tabs>
              <w:jc w:val="center"/>
              <w:rPr>
                <w:b/>
                <w:color w:val="000000"/>
              </w:rPr>
            </w:pPr>
            <w:r w:rsidRPr="007F620E">
              <w:rPr>
                <w:b/>
                <w:color w:val="000000"/>
              </w:rPr>
              <w:t xml:space="preserve">Attachment or </w:t>
            </w:r>
            <w:proofErr w:type="gramStart"/>
            <w:r w:rsidRPr="007F620E">
              <w:rPr>
                <w:b/>
                <w:color w:val="000000"/>
              </w:rPr>
              <w:t>Comment  #</w:t>
            </w:r>
            <w:proofErr w:type="gramEnd"/>
          </w:p>
        </w:tc>
        <w:tc>
          <w:tcPr>
            <w:tcW w:w="7565"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F16812" w14:paraId="71F47148" w14:textId="77777777">
        <w:tc>
          <w:tcPr>
            <w:tcW w:w="1795" w:type="dxa"/>
            <w:tcBorders>
              <w:bottom w:val="single" w:color="auto" w:sz="4" w:space="0"/>
            </w:tcBorders>
          </w:tcPr>
          <w:p w:rsidRPr="007F620E" w:rsidR="00A92D0B" w:rsidP="001A3CF3" w:rsidRDefault="00A92D0B" w14:paraId="7A5C03D8" w14:textId="77777777">
            <w:pPr>
              <w:tabs>
                <w:tab w:val="left" w:pos="1260"/>
              </w:tabs>
              <w:rPr>
                <w:color w:val="000000"/>
              </w:rPr>
            </w:pPr>
            <w:r w:rsidRPr="007F620E">
              <w:rPr>
                <w:color w:val="000000"/>
              </w:rPr>
              <w:t>1</w:t>
            </w:r>
          </w:p>
        </w:tc>
        <w:tc>
          <w:tcPr>
            <w:tcW w:w="7565" w:type="dxa"/>
            <w:tcBorders>
              <w:bottom w:val="single" w:color="auto" w:sz="4" w:space="0"/>
            </w:tcBorders>
          </w:tcPr>
          <w:p w:rsidRPr="001C0DD1" w:rsidR="00A92D0B" w:rsidP="001A3CF3" w:rsidRDefault="00A92D0B" w14:paraId="370C67BC" w14:textId="77777777">
            <w:pPr>
              <w:tabs>
                <w:tab w:val="left" w:pos="1260"/>
              </w:tabs>
              <w:rPr>
                <w:color w:val="000000"/>
              </w:rPr>
            </w:pPr>
            <w:r w:rsidRPr="001C0DD1">
              <w:rPr>
                <w:color w:val="000000"/>
              </w:rPr>
              <w:t>Certificate of Service</w:t>
            </w:r>
          </w:p>
        </w:tc>
      </w:tr>
      <w:tr w:rsidRPr="007F620E" w:rsidR="00A92D0B" w:rsidTr="00F16812" w14:paraId="72C869B0" w14:textId="77777777">
        <w:tc>
          <w:tcPr>
            <w:tcW w:w="1795" w:type="dxa"/>
          </w:tcPr>
          <w:p w:rsidRPr="007F620E" w:rsidR="00A92D0B" w:rsidP="001A3CF3" w:rsidRDefault="00C20584" w14:paraId="49AADD21" w14:textId="3F3E57F7">
            <w:pPr>
              <w:tabs>
                <w:tab w:val="left" w:pos="1260"/>
              </w:tabs>
              <w:rPr>
                <w:color w:val="000000"/>
              </w:rPr>
            </w:pPr>
            <w:r>
              <w:rPr>
                <w:color w:val="000000"/>
              </w:rPr>
              <w:t>Comment 1</w:t>
            </w:r>
          </w:p>
        </w:tc>
        <w:tc>
          <w:tcPr>
            <w:tcW w:w="7565" w:type="dxa"/>
          </w:tcPr>
          <w:p w:rsidRPr="00F77EE4" w:rsidR="00F77EE4" w:rsidP="0056253F" w:rsidRDefault="0056253F" w14:paraId="5E1817E8" w14:textId="77777777">
            <w:pPr>
              <w:pStyle w:val="Default"/>
            </w:pPr>
            <w:r w:rsidRPr="00F77EE4">
              <w:t xml:space="preserve">Augusta Wilson graduated from Cornell Law School in </w:t>
            </w:r>
            <w:proofErr w:type="gramStart"/>
            <w:r w:rsidRPr="00F77EE4">
              <w:t>2008, and</w:t>
            </w:r>
            <w:proofErr w:type="gramEnd"/>
            <w:r w:rsidRPr="00F77EE4">
              <w:t xml:space="preserve"> has more than 1</w:t>
            </w:r>
            <w:r w:rsidRPr="00F77EE4" w:rsidR="002A1DBC">
              <w:t>5</w:t>
            </w:r>
            <w:r w:rsidRPr="00F77EE4">
              <w:t xml:space="preserve"> years of practice experience. </w:t>
            </w:r>
            <w:r w:rsidRPr="00F77EE4" w:rsidR="002A1DBC">
              <w:t xml:space="preserve"> </w:t>
            </w:r>
            <w:r w:rsidRPr="00F77EE4">
              <w:t xml:space="preserve">Her expertise as an environmental and energy attorney includes litigation in both federal and state courts regarding energy infrastructure and related issues; participation before the Federal Energy Regulatory Commission and before the Pennsylvania Public Utility Commission; and academic research as a fellow at New York University Law School regarding </w:t>
            </w:r>
            <w:r w:rsidRPr="00F77EE4" w:rsidR="002A1DBC">
              <w:t xml:space="preserve">the deployment of clean energy technologies, including rooftop solar. Ms. Wilson’s requested compensation takes into consideration the market rates paid to </w:t>
            </w:r>
            <w:proofErr w:type="gramStart"/>
            <w:r w:rsidRPr="00F77EE4" w:rsidR="002A1DBC">
              <w:t>persons</w:t>
            </w:r>
            <w:proofErr w:type="gramEnd"/>
            <w:r w:rsidRPr="00F77EE4" w:rsidR="002A1DBC">
              <w:t xml:space="preserve"> </w:t>
            </w:r>
            <w:proofErr w:type="gramStart"/>
            <w:r w:rsidRPr="00F77EE4" w:rsidR="002A1DBC">
              <w:t>of</w:t>
            </w:r>
            <w:proofErr w:type="gramEnd"/>
            <w:r w:rsidRPr="00F77EE4" w:rsidR="002A1DBC">
              <w:t xml:space="preserve"> comparable training and experience who offer similar </w:t>
            </w:r>
            <w:proofErr w:type="gramStart"/>
            <w:r w:rsidRPr="00F77EE4" w:rsidR="002A1DBC">
              <w:t>services, and</w:t>
            </w:r>
            <w:proofErr w:type="gramEnd"/>
            <w:r w:rsidRPr="00F77EE4" w:rsidR="002A1DBC">
              <w:t xml:space="preserve"> is within the established range of rates for his level of experience.  </w:t>
            </w:r>
          </w:p>
          <w:p w:rsidRPr="00F77EE4" w:rsidR="00F77EE4" w:rsidP="0056253F" w:rsidRDefault="00F77EE4" w14:paraId="60D65F00" w14:textId="77777777">
            <w:pPr>
              <w:pStyle w:val="Default"/>
            </w:pPr>
          </w:p>
          <w:p w:rsidRPr="00F77EE4" w:rsidR="0056253F" w:rsidP="0056253F" w:rsidRDefault="00CD5AD5" w14:paraId="5C0AD197" w14:textId="5D5A009D">
            <w:pPr>
              <w:pStyle w:val="Default"/>
            </w:pPr>
            <w:r w:rsidRPr="00F77EE4">
              <w:t xml:space="preserve">Based on </w:t>
            </w:r>
            <w:r w:rsidRPr="00F77EE4" w:rsidR="00C40988">
              <w:t xml:space="preserve">this experience and </w:t>
            </w:r>
            <w:r w:rsidRPr="00F77EE4">
              <w:t>the Commission’s hourly rate chart</w:t>
            </w:r>
            <w:r w:rsidRPr="00F77EE4" w:rsidR="00E43201">
              <w:t xml:space="preserve"> (2024), Ms. Wilson seeks the median rate for an Attorney, Level </w:t>
            </w:r>
            <w:r w:rsidRPr="00F77EE4" w:rsidR="00C40988">
              <w:t>IV of $536.52 for work completed in 2023, and $5</w:t>
            </w:r>
            <w:r w:rsidRPr="00F77EE4" w:rsidR="001D3CD8">
              <w:t xml:space="preserve">58.35 for work completed in 2024.  </w:t>
            </w:r>
            <w:r w:rsidRPr="00F77EE4" w:rsidR="00E43201">
              <w:t xml:space="preserve"> </w:t>
            </w:r>
          </w:p>
          <w:p w:rsidRPr="00F77EE4" w:rsidR="00A92D0B" w:rsidP="001A3CF3" w:rsidRDefault="00A92D0B" w14:paraId="3AF20C23" w14:textId="77777777">
            <w:pPr>
              <w:tabs>
                <w:tab w:val="left" w:pos="1260"/>
              </w:tabs>
              <w:rPr>
                <w:b/>
                <w:color w:val="000000"/>
              </w:rPr>
            </w:pPr>
          </w:p>
        </w:tc>
      </w:tr>
      <w:tr w:rsidRPr="007F620E" w:rsidR="00C20584" w:rsidTr="00F16812" w14:paraId="6F393ADD" w14:textId="77777777">
        <w:tc>
          <w:tcPr>
            <w:tcW w:w="1795" w:type="dxa"/>
          </w:tcPr>
          <w:p w:rsidR="00C20584" w:rsidP="001A3CF3" w:rsidRDefault="00C20584" w14:paraId="3C2CA471" w14:textId="01F745FF">
            <w:pPr>
              <w:tabs>
                <w:tab w:val="left" w:pos="1260"/>
              </w:tabs>
              <w:rPr>
                <w:color w:val="000000"/>
              </w:rPr>
            </w:pPr>
            <w:r>
              <w:rPr>
                <w:color w:val="000000"/>
              </w:rPr>
              <w:t xml:space="preserve">Comment 2 </w:t>
            </w:r>
          </w:p>
        </w:tc>
        <w:tc>
          <w:tcPr>
            <w:tcW w:w="7565" w:type="dxa"/>
          </w:tcPr>
          <w:p w:rsidRPr="00F77EE4" w:rsidR="00F77EE4" w:rsidP="00F77EE4" w:rsidRDefault="004E199D" w14:paraId="52F52602" w14:textId="04FF7DFB">
            <w:pPr>
              <w:rPr>
                <w:rFonts w:eastAsia="Arial"/>
                <w:bCs/>
              </w:rPr>
            </w:pPr>
            <w:r w:rsidRPr="00F77EE4">
              <w:rPr>
                <w:bCs/>
                <w:color w:val="000000"/>
              </w:rPr>
              <w:t xml:space="preserve">Howard Crystal </w:t>
            </w:r>
            <w:r w:rsidRPr="00F77EE4">
              <w:rPr>
                <w:rFonts w:eastAsia="Arial"/>
                <w:bCs/>
              </w:rPr>
              <w:t xml:space="preserve">graduated from Georgetown University Law Center in </w:t>
            </w:r>
            <w:proofErr w:type="gramStart"/>
            <w:r w:rsidRPr="00F77EE4">
              <w:rPr>
                <w:rFonts w:eastAsia="Arial"/>
                <w:bCs/>
              </w:rPr>
              <w:t>1993, and</w:t>
            </w:r>
            <w:proofErr w:type="gramEnd"/>
            <w:r w:rsidRPr="00F77EE4">
              <w:rPr>
                <w:rFonts w:eastAsia="Arial"/>
                <w:bCs/>
              </w:rPr>
              <w:t xml:space="preserve"> has more than 25 years of </w:t>
            </w:r>
            <w:proofErr w:type="gramStart"/>
            <w:r w:rsidRPr="00F77EE4">
              <w:rPr>
                <w:rFonts w:eastAsia="Arial"/>
                <w:bCs/>
              </w:rPr>
              <w:t>practical relevant</w:t>
            </w:r>
            <w:proofErr w:type="gramEnd"/>
            <w:r w:rsidRPr="00F77EE4">
              <w:rPr>
                <w:rFonts w:eastAsia="Arial"/>
                <w:bCs/>
              </w:rPr>
              <w:t xml:space="preserve"> experience, currently as the Legal Director of the Center’s Energy Justice Program.  His expertise as an environmental and energy attorney is broad and includes: (a) participation before this Commission in No. 16-09-003 (SCE 2016 Rate Design Window Proposal); (b) participation in both rate case and IRP proceedings before the North Carolina Utilities Commission; (c) litigation over Tennessee Valley Authority (TVA) rate changes targeting distributed energy development (Center v. TVA, 491 F. Supp. 3d 1180 (N.D. Ala. 2020); an article concerning net metering and utility rate-setting for solar customers (Fairly Compensating Sun Power: Challenges to Rooftop Solar Development, </w:t>
            </w:r>
            <w:r w:rsidRPr="00F77EE4">
              <w:rPr>
                <w:rFonts w:eastAsia="Arial"/>
                <w:bCs/>
                <w:i/>
                <w:iCs/>
              </w:rPr>
              <w:t>available at</w:t>
            </w:r>
            <w:r w:rsidRPr="00F77EE4">
              <w:rPr>
                <w:rFonts w:eastAsia="Arial"/>
                <w:bCs/>
              </w:rPr>
              <w:t xml:space="preserve"> https://gelr.org/2016/09/20/fairly-compensating-sun-power/; and (d) extensive federal court litigation over Department of Energy programs and projects, including, e.g., (</w:t>
            </w:r>
            <w:proofErr w:type="spellStart"/>
            <w:r w:rsidRPr="00F77EE4">
              <w:rPr>
                <w:rFonts w:eastAsia="Arial"/>
                <w:bCs/>
              </w:rPr>
              <w:t>i</w:t>
            </w:r>
            <w:proofErr w:type="spellEnd"/>
            <w:r w:rsidRPr="00F77EE4">
              <w:rPr>
                <w:rFonts w:eastAsia="Arial"/>
                <w:bCs/>
              </w:rPr>
              <w:t xml:space="preserve">) the National Ignition Facility at Lawrence Livermore National Laboratory (see, e.g., NRDC v. Abraham, 223 F. Supp. 2d 162 (D.D.C. 2002)); (ii) the Bush Administration’s “Energy Task Force” (NRDC v. </w:t>
            </w:r>
            <w:proofErr w:type="spellStart"/>
            <w:r w:rsidRPr="00F77EE4">
              <w:rPr>
                <w:rFonts w:eastAsia="Arial"/>
                <w:bCs/>
              </w:rPr>
              <w:t>Dep’t</w:t>
            </w:r>
            <w:proofErr w:type="spellEnd"/>
            <w:r w:rsidRPr="00F77EE4">
              <w:rPr>
                <w:rFonts w:eastAsia="Arial"/>
                <w:bCs/>
              </w:rPr>
              <w:t xml:space="preserve"> of Energy, 310 F. Supp. 2d 271 (D.D.C. 2003)); and (iii) the remediation of nuclear energy testing facilities such as the Santa Susana Laboratory in Simi Valley, California (NRDC v. DOE , 2007 WL 1302498(N.D. Cal. 2007)).  Mr. </w:t>
            </w:r>
            <w:r w:rsidRPr="00F77EE4">
              <w:rPr>
                <w:rFonts w:eastAsia="Arial"/>
                <w:bCs/>
              </w:rPr>
              <w:lastRenderedPageBreak/>
              <w:t xml:space="preserve">Crystal frequently practices in federal courts and before administrative agencies.  For example, he represented the Center in a FERC proceeding concerning the conditions under which TVA power companies have access to TVA transmission assets; and </w:t>
            </w:r>
            <w:r w:rsidR="006B70F6">
              <w:rPr>
                <w:rFonts w:eastAsia="Arial"/>
                <w:bCs/>
              </w:rPr>
              <w:t xml:space="preserve">has litigated numerous energy-related cases </w:t>
            </w:r>
            <w:r w:rsidRPr="00F77EE4">
              <w:rPr>
                <w:rFonts w:eastAsia="Arial"/>
                <w:bCs/>
              </w:rPr>
              <w:t xml:space="preserve">against the Department of Energy under the Freedom of Information Act.  Prior to working at the Center, Mr. Crystal was in private practice at Meter </w:t>
            </w:r>
            <w:proofErr w:type="spellStart"/>
            <w:r w:rsidRPr="00F77EE4">
              <w:rPr>
                <w:rFonts w:eastAsia="Arial"/>
                <w:bCs/>
              </w:rPr>
              <w:t>Glitzenstein</w:t>
            </w:r>
            <w:proofErr w:type="spellEnd"/>
            <w:r w:rsidRPr="00F77EE4">
              <w:rPr>
                <w:rFonts w:eastAsia="Arial"/>
                <w:bCs/>
              </w:rPr>
              <w:t xml:space="preserve"> &amp; Crystal, and then the Law Office of Howard Crystal.  He litigated numerous other cases before courts and agencies in those offices, many concerning energy-related matters, and began his career as an attorney with Crowell &amp; Moring LLP.  He has also taught as an Adjunct Professor at Georgetown University Law Center, and at the George Washington University Law School.  Mr. Crystal’s requested compensation takes into consideration the market rates paid to </w:t>
            </w:r>
            <w:proofErr w:type="gramStart"/>
            <w:r w:rsidRPr="00F77EE4">
              <w:rPr>
                <w:rFonts w:eastAsia="Arial"/>
                <w:bCs/>
              </w:rPr>
              <w:t>persons</w:t>
            </w:r>
            <w:proofErr w:type="gramEnd"/>
            <w:r w:rsidRPr="00F77EE4">
              <w:rPr>
                <w:rFonts w:eastAsia="Arial"/>
                <w:bCs/>
              </w:rPr>
              <w:t xml:space="preserve"> </w:t>
            </w:r>
            <w:proofErr w:type="gramStart"/>
            <w:r w:rsidRPr="00F77EE4">
              <w:rPr>
                <w:rFonts w:eastAsia="Arial"/>
                <w:bCs/>
              </w:rPr>
              <w:t>of</w:t>
            </w:r>
            <w:proofErr w:type="gramEnd"/>
            <w:r w:rsidRPr="00F77EE4">
              <w:rPr>
                <w:rFonts w:eastAsia="Arial"/>
                <w:bCs/>
              </w:rPr>
              <w:t xml:space="preserve"> comparable training and experience who offer similar </w:t>
            </w:r>
            <w:proofErr w:type="gramStart"/>
            <w:r w:rsidRPr="00F77EE4">
              <w:rPr>
                <w:rFonts w:eastAsia="Arial"/>
                <w:bCs/>
              </w:rPr>
              <w:t>services, and</w:t>
            </w:r>
            <w:proofErr w:type="gramEnd"/>
            <w:r w:rsidRPr="00F77EE4">
              <w:rPr>
                <w:rFonts w:eastAsia="Arial"/>
                <w:bCs/>
              </w:rPr>
              <w:t xml:space="preserve"> is within the established range of rates for his level of experience.</w:t>
            </w:r>
            <w:r w:rsidRPr="00F77EE4" w:rsidR="00F77EE4">
              <w:rPr>
                <w:rFonts w:eastAsia="Arial"/>
                <w:bCs/>
              </w:rPr>
              <w:t xml:space="preserve">  In D.18-07-006, the Commission approved a rate for Mr. Crystal of $480 for work in 2018.</w:t>
            </w:r>
          </w:p>
          <w:p w:rsidRPr="00F77EE4" w:rsidR="00F77EE4" w:rsidP="00F77EE4" w:rsidRDefault="00F77EE4" w14:paraId="20D2A0D7" w14:textId="77777777">
            <w:pPr>
              <w:rPr>
                <w:rFonts w:eastAsia="Arial"/>
                <w:bCs/>
              </w:rPr>
            </w:pPr>
          </w:p>
          <w:p w:rsidRPr="00F77EE4" w:rsidR="00F77EE4" w:rsidP="00F77EE4" w:rsidRDefault="00F77EE4" w14:paraId="4E11FF8E" w14:textId="5D532333">
            <w:pPr>
              <w:rPr>
                <w:rFonts w:eastAsia="Arial"/>
                <w:bCs/>
              </w:rPr>
            </w:pPr>
            <w:r w:rsidRPr="00F77EE4">
              <w:t>Based on this experience and the Commission’s hourly rate chart (2024), M</w:t>
            </w:r>
            <w:r>
              <w:t>r</w:t>
            </w:r>
            <w:r w:rsidRPr="00F77EE4">
              <w:t xml:space="preserve">. </w:t>
            </w:r>
            <w:r>
              <w:t>Crystal</w:t>
            </w:r>
            <w:r w:rsidRPr="00F77EE4">
              <w:t xml:space="preserve"> seeks the median rate for </w:t>
            </w:r>
            <w:r w:rsidR="00C23497">
              <w:t>a Legal Director</w:t>
            </w:r>
            <w:r w:rsidRPr="00F77EE4">
              <w:t>, Level V of $</w:t>
            </w:r>
            <w:r w:rsidR="00C23497">
              <w:t>763.19</w:t>
            </w:r>
            <w:r w:rsidRPr="00F77EE4">
              <w:t xml:space="preserve"> for work completed in 2023, and $</w:t>
            </w:r>
            <w:r w:rsidR="009C68D4">
              <w:t>794.25</w:t>
            </w:r>
            <w:r w:rsidRPr="00F77EE4">
              <w:t xml:space="preserve"> for work completed in 2024.</w:t>
            </w:r>
          </w:p>
          <w:p w:rsidRPr="00F77EE4" w:rsidR="00C20584" w:rsidP="00F77EE4" w:rsidRDefault="004E199D" w14:paraId="17AD5241" w14:textId="4B712129">
            <w:pPr>
              <w:rPr>
                <w:bCs/>
                <w:color w:val="000000"/>
              </w:rPr>
            </w:pPr>
            <w:r w:rsidRPr="00F77EE4">
              <w:rPr>
                <w:rFonts w:eastAsia="Arial"/>
                <w:bCs/>
              </w:rPr>
              <w:t xml:space="preserve">  </w:t>
            </w:r>
          </w:p>
        </w:tc>
      </w:tr>
      <w:tr w:rsidRPr="007F620E" w:rsidR="00C20584" w:rsidTr="00F16812" w14:paraId="0931510C" w14:textId="77777777">
        <w:tc>
          <w:tcPr>
            <w:tcW w:w="1795" w:type="dxa"/>
          </w:tcPr>
          <w:p w:rsidR="00C20584" w:rsidP="001A3CF3" w:rsidRDefault="00C20584" w14:paraId="76884A4F" w14:textId="7950736B">
            <w:pPr>
              <w:tabs>
                <w:tab w:val="left" w:pos="1260"/>
              </w:tabs>
              <w:rPr>
                <w:color w:val="000000"/>
              </w:rPr>
            </w:pPr>
            <w:r>
              <w:rPr>
                <w:color w:val="000000"/>
              </w:rPr>
              <w:lastRenderedPageBreak/>
              <w:t>Comment 3</w:t>
            </w:r>
          </w:p>
        </w:tc>
        <w:tc>
          <w:tcPr>
            <w:tcW w:w="7565" w:type="dxa"/>
          </w:tcPr>
          <w:p w:rsidR="00E912BE" w:rsidP="00E912BE" w:rsidRDefault="00E912BE" w14:paraId="28801829" w14:textId="093633D4">
            <w:pPr>
              <w:rPr>
                <w:rFonts w:eastAsia="Arial"/>
                <w:bCs/>
              </w:rPr>
            </w:pPr>
            <w:r>
              <w:rPr>
                <w:rFonts w:eastAsia="Arial"/>
                <w:bCs/>
              </w:rPr>
              <w:t xml:space="preserve">Roger Lin </w:t>
            </w:r>
            <w:r w:rsidRPr="004C6940">
              <w:rPr>
                <w:rFonts w:eastAsia="Arial"/>
                <w:bCs/>
              </w:rPr>
              <w:t>graduated from Golden Gate University School of Law in 2006.  He has</w:t>
            </w:r>
            <w:r>
              <w:rPr>
                <w:rFonts w:eastAsia="Arial"/>
                <w:bCs/>
              </w:rPr>
              <w:t xml:space="preserve"> </w:t>
            </w:r>
            <w:r w:rsidRPr="004C6940">
              <w:rPr>
                <w:rFonts w:eastAsia="Arial"/>
                <w:bCs/>
              </w:rPr>
              <w:t>practiced public interest law since 2007, and he has represented several parties in Commission proceedings since 2012.</w:t>
            </w:r>
            <w:r>
              <w:rPr>
                <w:rFonts w:eastAsia="Arial"/>
                <w:bCs/>
              </w:rPr>
              <w:t xml:space="preserve"> </w:t>
            </w:r>
            <w:r w:rsidRPr="004C6940">
              <w:rPr>
                <w:rFonts w:eastAsia="Arial"/>
                <w:bCs/>
              </w:rPr>
              <w:t xml:space="preserve"> In D.16-09-029, the Commission approved a rate for Mr. Lin of $305 for his work in 2016.  In D.22-04-019, the Commission approved a rate for Mr. Lin of $311 for his work in 2018.  And </w:t>
            </w:r>
            <w:proofErr w:type="gramStart"/>
            <w:r w:rsidRPr="004C6940">
              <w:rPr>
                <w:rFonts w:eastAsia="Arial"/>
                <w:bCs/>
              </w:rPr>
              <w:t>in</w:t>
            </w:r>
            <w:proofErr w:type="gramEnd"/>
            <w:r w:rsidRPr="004C6940">
              <w:rPr>
                <w:rFonts w:eastAsia="Arial"/>
                <w:bCs/>
              </w:rPr>
              <w:t xml:space="preserve"> D.22-02-031, the Commission approved a rate of $360 for Mr. Lin’s work in 2018.</w:t>
            </w:r>
            <w:r>
              <w:rPr>
                <w:rFonts w:eastAsia="Arial"/>
                <w:bCs/>
              </w:rPr>
              <w:t xml:space="preserve"> </w:t>
            </w:r>
            <w:r w:rsidRPr="004C6940">
              <w:rPr>
                <w:rFonts w:eastAsia="Arial"/>
                <w:bCs/>
              </w:rPr>
              <w:t xml:space="preserve"> That rate reflected the minimum rate for an attorney with his 11 years of experience, plus a 5% step increase as authorized by Resolution ALJ-357.</w:t>
            </w:r>
            <w:r>
              <w:rPr>
                <w:rFonts w:eastAsia="Arial"/>
                <w:bCs/>
              </w:rPr>
              <w:t xml:space="preserve"> </w:t>
            </w:r>
            <w:r w:rsidRPr="004C6940">
              <w:rPr>
                <w:rFonts w:eastAsia="Arial"/>
                <w:bCs/>
              </w:rPr>
              <w:t xml:space="preserve"> This was the first step increase request for Mr. Lin in his level of experience.  </w:t>
            </w:r>
          </w:p>
          <w:p w:rsidR="00E912BE" w:rsidP="00E912BE" w:rsidRDefault="00E912BE" w14:paraId="61438B52" w14:textId="77777777">
            <w:pPr>
              <w:rPr>
                <w:rFonts w:eastAsia="Arial"/>
                <w:bCs/>
              </w:rPr>
            </w:pPr>
          </w:p>
          <w:p w:rsidRPr="00F77EE4" w:rsidR="00E912BE" w:rsidP="00E912BE" w:rsidRDefault="00E912BE" w14:paraId="52C33E59" w14:textId="1D942227">
            <w:pPr>
              <w:rPr>
                <w:rFonts w:eastAsia="Arial"/>
                <w:bCs/>
              </w:rPr>
            </w:pPr>
            <w:r w:rsidRPr="00F77EE4">
              <w:t>Based on this experience and the Commission’s hourly rate chart (2024), M</w:t>
            </w:r>
            <w:r>
              <w:t>r</w:t>
            </w:r>
            <w:r w:rsidRPr="00F77EE4">
              <w:t xml:space="preserve">. </w:t>
            </w:r>
            <w:r>
              <w:t>Lin</w:t>
            </w:r>
            <w:r w:rsidRPr="00F77EE4">
              <w:t xml:space="preserve"> seeks the median rate for an Attorney, Level IV of $536.52 for work completed in 2023, and $558.35 for work completed in 2024.   </w:t>
            </w:r>
          </w:p>
          <w:p w:rsidRPr="007F620E" w:rsidR="00C20584" w:rsidP="001A3CF3" w:rsidRDefault="00C20584" w14:paraId="6597BCC2" w14:textId="77777777">
            <w:pPr>
              <w:tabs>
                <w:tab w:val="left" w:pos="1260"/>
              </w:tabs>
              <w:rPr>
                <w:b/>
                <w:color w:val="000000"/>
              </w:rPr>
            </w:pPr>
          </w:p>
        </w:tc>
      </w:tr>
      <w:tr w:rsidRPr="007F620E" w:rsidR="001835D7" w:rsidTr="00F16812" w14:paraId="2248E37B" w14:textId="77777777">
        <w:tc>
          <w:tcPr>
            <w:tcW w:w="1795" w:type="dxa"/>
          </w:tcPr>
          <w:p w:rsidR="001835D7" w:rsidP="001A3CF3" w:rsidRDefault="001835D7" w14:paraId="56CA8197" w14:textId="4A55A0F6">
            <w:pPr>
              <w:tabs>
                <w:tab w:val="left" w:pos="1260"/>
              </w:tabs>
              <w:rPr>
                <w:color w:val="000000"/>
              </w:rPr>
            </w:pPr>
            <w:r>
              <w:rPr>
                <w:color w:val="000000"/>
              </w:rPr>
              <w:t xml:space="preserve">Attachment 2 </w:t>
            </w:r>
          </w:p>
        </w:tc>
        <w:tc>
          <w:tcPr>
            <w:tcW w:w="7565" w:type="dxa"/>
          </w:tcPr>
          <w:p w:rsidR="001835D7" w:rsidP="00E912BE" w:rsidRDefault="001835D7" w14:paraId="31DA645C" w14:textId="719D2C92">
            <w:pPr>
              <w:rPr>
                <w:rFonts w:eastAsia="Arial"/>
                <w:bCs/>
              </w:rPr>
            </w:pPr>
            <w:r>
              <w:rPr>
                <w:rFonts w:eastAsia="Arial"/>
                <w:bCs/>
              </w:rPr>
              <w:t xml:space="preserve">Center Timesheets for A.22-05-022 et al.  </w:t>
            </w:r>
          </w:p>
        </w:tc>
      </w:tr>
    </w:tbl>
    <w:p w:rsidRPr="007F620E" w:rsidR="00A92D0B" w:rsidP="005B5B44" w:rsidRDefault="00A92D0B" w14:paraId="0D8B7003" w14:textId="500952CC">
      <w:pPr>
        <w:keepNext/>
        <w:numPr>
          <w:ilvl w:val="0"/>
          <w:numId w:val="9"/>
        </w:numPr>
        <w:spacing w:before="240" w:after="240"/>
        <w:rPr>
          <w:b/>
          <w:color w:val="000000"/>
        </w:rPr>
      </w:pPr>
      <w:r w:rsidRPr="007F620E">
        <w:rPr>
          <w:b/>
          <w:color w:val="000000"/>
        </w:rPr>
        <w:lastRenderedPageBreak/>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523"/>
        <w:gridCol w:w="6837"/>
      </w:tblGrid>
      <w:tr w:rsidRPr="007F620E" w:rsidR="00FA2095" w:rsidTr="006009CB" w14:paraId="52CD0603" w14:textId="77777777">
        <w:trPr>
          <w:tblHeader/>
        </w:trPr>
        <w:tc>
          <w:tcPr>
            <w:tcW w:w="2523"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6837"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F635C1" w:rsidTr="006009CB" w14:paraId="30204969" w14:textId="77777777">
        <w:tc>
          <w:tcPr>
            <w:tcW w:w="2523" w:type="dxa"/>
          </w:tcPr>
          <w:p w:rsidR="00F635C1" w:rsidP="008C277D" w:rsidRDefault="002E485F" w14:paraId="0A219AE8" w14:textId="411B5D00">
            <w:pPr>
              <w:tabs>
                <w:tab w:val="left" w:pos="1440"/>
              </w:tabs>
              <w:rPr>
                <w:color w:val="000000"/>
              </w:rPr>
            </w:pPr>
            <w:r>
              <w:rPr>
                <w:color w:val="000000"/>
              </w:rPr>
              <w:t xml:space="preserve">[1] </w:t>
            </w:r>
            <w:r w:rsidR="00F635C1">
              <w:rPr>
                <w:color w:val="000000"/>
              </w:rPr>
              <w:t>Allocation of Hours by Year</w:t>
            </w:r>
          </w:p>
        </w:tc>
        <w:tc>
          <w:tcPr>
            <w:tcW w:w="6837" w:type="dxa"/>
          </w:tcPr>
          <w:p w:rsidRPr="002E485F" w:rsidR="00F635C1" w:rsidP="009244EA" w:rsidRDefault="00F635C1" w14:paraId="464793A1" w14:textId="724907E4">
            <w:pPr>
              <w:tabs>
                <w:tab w:val="left" w:pos="1440"/>
              </w:tabs>
              <w:rPr>
                <w:color w:val="000000"/>
              </w:rPr>
            </w:pPr>
            <w:r w:rsidRPr="002E485F">
              <w:rPr>
                <w:color w:val="000000"/>
              </w:rPr>
              <w:t>Review of Center for Biological Diversity’s timesheets finds that they miscalculated 2022 hours as 2023 hours for the following individuals:</w:t>
            </w:r>
          </w:p>
          <w:p w:rsidRPr="002E485F" w:rsidR="00F635C1" w:rsidP="00F635C1" w:rsidRDefault="00F635C1" w14:paraId="42A45EF1" w14:textId="5C3FF281">
            <w:pPr>
              <w:pStyle w:val="ListParagraph"/>
              <w:numPr>
                <w:ilvl w:val="0"/>
                <w:numId w:val="13"/>
              </w:numPr>
              <w:tabs>
                <w:tab w:val="left" w:pos="1440"/>
              </w:tabs>
              <w:rPr>
                <w:rFonts w:ascii="Times New Roman" w:hAnsi="Times New Roman"/>
                <w:color w:val="000000"/>
                <w:sz w:val="24"/>
                <w:szCs w:val="24"/>
              </w:rPr>
            </w:pPr>
            <w:r w:rsidRPr="002E485F">
              <w:rPr>
                <w:rFonts w:ascii="Times New Roman" w:hAnsi="Times New Roman"/>
                <w:color w:val="000000"/>
                <w:sz w:val="24"/>
                <w:szCs w:val="24"/>
              </w:rPr>
              <w:t>Wilson: 0.7</w:t>
            </w:r>
            <w:r w:rsidRPr="002E485F" w:rsidR="00952A29">
              <w:rPr>
                <w:rFonts w:ascii="Times New Roman" w:hAnsi="Times New Roman"/>
                <w:color w:val="000000"/>
                <w:sz w:val="24"/>
                <w:szCs w:val="24"/>
              </w:rPr>
              <w:t>0</w:t>
            </w:r>
          </w:p>
          <w:p w:rsidR="00F635C1" w:rsidP="00F635C1" w:rsidRDefault="00F635C1" w14:paraId="6E95C202" w14:textId="7067E16C">
            <w:pPr>
              <w:pStyle w:val="ListParagraph"/>
              <w:numPr>
                <w:ilvl w:val="0"/>
                <w:numId w:val="13"/>
              </w:numPr>
              <w:tabs>
                <w:tab w:val="left" w:pos="1440"/>
              </w:tabs>
              <w:rPr>
                <w:rFonts w:ascii="Times New Roman" w:hAnsi="Times New Roman"/>
                <w:color w:val="000000"/>
                <w:sz w:val="24"/>
                <w:szCs w:val="24"/>
              </w:rPr>
            </w:pPr>
            <w:r w:rsidRPr="002E485F">
              <w:rPr>
                <w:rFonts w:ascii="Times New Roman" w:hAnsi="Times New Roman"/>
                <w:color w:val="000000"/>
                <w:sz w:val="24"/>
                <w:szCs w:val="24"/>
              </w:rPr>
              <w:t xml:space="preserve">Lin: </w:t>
            </w:r>
            <w:r w:rsidRPr="002E485F" w:rsidR="00952A29">
              <w:rPr>
                <w:rFonts w:ascii="Times New Roman" w:hAnsi="Times New Roman"/>
                <w:color w:val="000000"/>
                <w:sz w:val="24"/>
                <w:szCs w:val="24"/>
              </w:rPr>
              <w:t>0.50</w:t>
            </w:r>
          </w:p>
          <w:p w:rsidR="009D7E91" w:rsidP="00F635C1" w:rsidRDefault="009D7E91" w14:paraId="6342F6E9" w14:textId="6D221572">
            <w:pPr>
              <w:pStyle w:val="ListParagraph"/>
              <w:numPr>
                <w:ilvl w:val="0"/>
                <w:numId w:val="13"/>
              </w:numPr>
              <w:tabs>
                <w:tab w:val="left" w:pos="1440"/>
              </w:tabs>
              <w:rPr>
                <w:rFonts w:ascii="Times New Roman" w:hAnsi="Times New Roman"/>
                <w:color w:val="000000"/>
                <w:sz w:val="24"/>
                <w:szCs w:val="24"/>
              </w:rPr>
            </w:pPr>
            <w:r>
              <w:rPr>
                <w:rFonts w:ascii="Times New Roman" w:hAnsi="Times New Roman"/>
                <w:color w:val="000000"/>
                <w:sz w:val="24"/>
                <w:szCs w:val="24"/>
              </w:rPr>
              <w:t>Wilson (</w:t>
            </w:r>
            <w:proofErr w:type="spellStart"/>
            <w:r>
              <w:rPr>
                <w:rFonts w:ascii="Times New Roman" w:hAnsi="Times New Roman"/>
                <w:color w:val="000000"/>
                <w:sz w:val="24"/>
                <w:szCs w:val="24"/>
              </w:rPr>
              <w:t>IComp</w:t>
            </w:r>
            <w:proofErr w:type="spellEnd"/>
            <w:r>
              <w:rPr>
                <w:rFonts w:ascii="Times New Roman" w:hAnsi="Times New Roman"/>
                <w:color w:val="000000"/>
                <w:sz w:val="24"/>
                <w:szCs w:val="24"/>
              </w:rPr>
              <w:t xml:space="preserve"> prep): 3.50</w:t>
            </w:r>
          </w:p>
          <w:p w:rsidRPr="002E485F" w:rsidR="000A385D" w:rsidP="00AB321F" w:rsidRDefault="000A385D" w14:paraId="3B2DBF35" w14:textId="77777777">
            <w:pPr>
              <w:pStyle w:val="ListParagraph"/>
              <w:tabs>
                <w:tab w:val="left" w:pos="1440"/>
              </w:tabs>
              <w:rPr>
                <w:rFonts w:ascii="Times New Roman" w:hAnsi="Times New Roman"/>
                <w:color w:val="000000"/>
                <w:sz w:val="24"/>
                <w:szCs w:val="24"/>
              </w:rPr>
            </w:pPr>
          </w:p>
          <w:p w:rsidRPr="002E485F" w:rsidR="00952A29" w:rsidP="00952A29" w:rsidRDefault="00952A29" w14:paraId="02E907BB" w14:textId="67262911">
            <w:pPr>
              <w:tabs>
                <w:tab w:val="left" w:pos="1440"/>
              </w:tabs>
              <w:rPr>
                <w:color w:val="000000"/>
              </w:rPr>
            </w:pPr>
            <w:r w:rsidRPr="002E485F">
              <w:rPr>
                <w:color w:val="000000"/>
              </w:rPr>
              <w:t xml:space="preserve">We correct the 2022 and 2023 hours </w:t>
            </w:r>
            <w:r w:rsidR="007C2EF0">
              <w:rPr>
                <w:color w:val="000000"/>
              </w:rPr>
              <w:t>as follows</w:t>
            </w:r>
            <w:r w:rsidRPr="002E485F">
              <w:rPr>
                <w:color w:val="000000"/>
              </w:rPr>
              <w:t>:</w:t>
            </w:r>
          </w:p>
          <w:p w:rsidRPr="002E485F" w:rsidR="00952A29" w:rsidP="00952A29" w:rsidRDefault="00952A29" w14:paraId="7714B73D" w14:textId="18171F0B">
            <w:pPr>
              <w:pStyle w:val="ListParagraph"/>
              <w:numPr>
                <w:ilvl w:val="0"/>
                <w:numId w:val="13"/>
              </w:numPr>
              <w:tabs>
                <w:tab w:val="left" w:pos="1440"/>
              </w:tabs>
              <w:rPr>
                <w:rFonts w:ascii="Times New Roman" w:hAnsi="Times New Roman"/>
                <w:color w:val="000000"/>
                <w:sz w:val="24"/>
                <w:szCs w:val="24"/>
              </w:rPr>
            </w:pPr>
            <w:r w:rsidRPr="002E485F">
              <w:rPr>
                <w:rFonts w:ascii="Times New Roman" w:hAnsi="Times New Roman"/>
                <w:color w:val="000000"/>
                <w:sz w:val="24"/>
                <w:szCs w:val="24"/>
              </w:rPr>
              <w:t>Wilson 2022:</w:t>
            </w:r>
            <w:r w:rsidRPr="002E485F" w:rsidR="00BF7FFD">
              <w:rPr>
                <w:rFonts w:ascii="Times New Roman" w:hAnsi="Times New Roman"/>
                <w:color w:val="000000"/>
                <w:sz w:val="24"/>
                <w:szCs w:val="24"/>
              </w:rPr>
              <w:t xml:space="preserve"> 0.70</w:t>
            </w:r>
          </w:p>
          <w:p w:rsidRPr="002E485F" w:rsidR="00952A29" w:rsidP="00952A29" w:rsidRDefault="00952A29" w14:paraId="1E857546" w14:textId="39204F8C">
            <w:pPr>
              <w:pStyle w:val="ListParagraph"/>
              <w:numPr>
                <w:ilvl w:val="0"/>
                <w:numId w:val="13"/>
              </w:numPr>
              <w:tabs>
                <w:tab w:val="left" w:pos="1440"/>
              </w:tabs>
              <w:rPr>
                <w:rFonts w:ascii="Times New Roman" w:hAnsi="Times New Roman"/>
                <w:color w:val="000000"/>
                <w:sz w:val="24"/>
                <w:szCs w:val="24"/>
              </w:rPr>
            </w:pPr>
            <w:r w:rsidRPr="002E485F">
              <w:rPr>
                <w:rFonts w:ascii="Times New Roman" w:hAnsi="Times New Roman"/>
                <w:color w:val="000000"/>
                <w:sz w:val="24"/>
                <w:szCs w:val="24"/>
              </w:rPr>
              <w:t>Wilson 2023:</w:t>
            </w:r>
            <w:r w:rsidRPr="002E485F" w:rsidR="00A23294">
              <w:rPr>
                <w:rFonts w:ascii="Times New Roman" w:hAnsi="Times New Roman"/>
                <w:color w:val="000000"/>
                <w:sz w:val="24"/>
                <w:szCs w:val="24"/>
              </w:rPr>
              <w:t xml:space="preserve"> 41.10</w:t>
            </w:r>
          </w:p>
          <w:p w:rsidRPr="007F070C" w:rsidR="00952A29" w:rsidP="00952A29" w:rsidRDefault="00952A29" w14:paraId="4EA23499" w14:textId="2BA191EC">
            <w:pPr>
              <w:pStyle w:val="ListParagraph"/>
              <w:numPr>
                <w:ilvl w:val="0"/>
                <w:numId w:val="13"/>
              </w:numPr>
              <w:tabs>
                <w:tab w:val="left" w:pos="1440"/>
              </w:tabs>
              <w:rPr>
                <w:rFonts w:ascii="Times New Roman" w:hAnsi="Times New Roman"/>
                <w:color w:val="000000"/>
                <w:sz w:val="24"/>
                <w:szCs w:val="24"/>
              </w:rPr>
            </w:pPr>
            <w:r w:rsidRPr="002E485F">
              <w:rPr>
                <w:rFonts w:ascii="Times New Roman" w:hAnsi="Times New Roman"/>
                <w:color w:val="000000"/>
                <w:sz w:val="24"/>
                <w:szCs w:val="24"/>
              </w:rPr>
              <w:t>Lin 2022:</w:t>
            </w:r>
            <w:r w:rsidRPr="002E485F" w:rsidR="00BF7FFD">
              <w:rPr>
                <w:rFonts w:ascii="Times New Roman" w:hAnsi="Times New Roman"/>
                <w:color w:val="000000"/>
                <w:sz w:val="24"/>
                <w:szCs w:val="24"/>
              </w:rPr>
              <w:t xml:space="preserve"> </w:t>
            </w:r>
            <w:r w:rsidRPr="007F070C" w:rsidR="00BF7FFD">
              <w:rPr>
                <w:rFonts w:ascii="Times New Roman" w:hAnsi="Times New Roman"/>
                <w:color w:val="000000"/>
                <w:sz w:val="24"/>
                <w:szCs w:val="24"/>
              </w:rPr>
              <w:t>0.50</w:t>
            </w:r>
          </w:p>
          <w:p w:rsidR="00952A29" w:rsidP="00952A29" w:rsidRDefault="00952A29" w14:paraId="63A8A505" w14:textId="77777777">
            <w:pPr>
              <w:pStyle w:val="ListParagraph"/>
              <w:numPr>
                <w:ilvl w:val="0"/>
                <w:numId w:val="13"/>
              </w:numPr>
              <w:tabs>
                <w:tab w:val="left" w:pos="1440"/>
              </w:tabs>
              <w:rPr>
                <w:rFonts w:ascii="Times New Roman" w:hAnsi="Times New Roman"/>
                <w:color w:val="000000"/>
                <w:sz w:val="24"/>
                <w:szCs w:val="24"/>
              </w:rPr>
            </w:pPr>
            <w:r w:rsidRPr="002E485F">
              <w:rPr>
                <w:rFonts w:ascii="Times New Roman" w:hAnsi="Times New Roman"/>
                <w:color w:val="000000"/>
                <w:sz w:val="24"/>
                <w:szCs w:val="24"/>
              </w:rPr>
              <w:t>Lin 202</w:t>
            </w:r>
            <w:r w:rsidRPr="002E485F" w:rsidR="00A23294">
              <w:rPr>
                <w:rFonts w:ascii="Times New Roman" w:hAnsi="Times New Roman"/>
                <w:color w:val="000000"/>
                <w:sz w:val="24"/>
                <w:szCs w:val="24"/>
              </w:rPr>
              <w:t>3</w:t>
            </w:r>
            <w:r w:rsidRPr="002E485F">
              <w:rPr>
                <w:rFonts w:ascii="Times New Roman" w:hAnsi="Times New Roman"/>
                <w:color w:val="000000"/>
                <w:sz w:val="24"/>
                <w:szCs w:val="24"/>
              </w:rPr>
              <w:t>:</w:t>
            </w:r>
            <w:r w:rsidRPr="002E485F" w:rsidR="00A23294">
              <w:rPr>
                <w:rFonts w:ascii="Times New Roman" w:hAnsi="Times New Roman"/>
                <w:color w:val="000000"/>
                <w:sz w:val="24"/>
                <w:szCs w:val="24"/>
              </w:rPr>
              <w:t xml:space="preserve"> 11.30</w:t>
            </w:r>
          </w:p>
          <w:p w:rsidRPr="002E485F" w:rsidR="009D7E91" w:rsidP="00952A29" w:rsidRDefault="009D7E91" w14:paraId="4640699B" w14:textId="6A9448A9">
            <w:pPr>
              <w:pStyle w:val="ListParagraph"/>
              <w:numPr>
                <w:ilvl w:val="0"/>
                <w:numId w:val="13"/>
              </w:numPr>
              <w:tabs>
                <w:tab w:val="left" w:pos="1440"/>
              </w:tabs>
              <w:rPr>
                <w:rFonts w:ascii="Times New Roman" w:hAnsi="Times New Roman"/>
                <w:color w:val="000000"/>
                <w:sz w:val="24"/>
                <w:szCs w:val="24"/>
              </w:rPr>
            </w:pPr>
            <w:r>
              <w:rPr>
                <w:rFonts w:ascii="Times New Roman" w:hAnsi="Times New Roman"/>
                <w:color w:val="000000"/>
                <w:sz w:val="24"/>
                <w:szCs w:val="24"/>
              </w:rPr>
              <w:t>Wilson 2022 (</w:t>
            </w:r>
            <w:proofErr w:type="spellStart"/>
            <w:r>
              <w:rPr>
                <w:rFonts w:ascii="Times New Roman" w:hAnsi="Times New Roman"/>
                <w:color w:val="000000"/>
                <w:sz w:val="24"/>
                <w:szCs w:val="24"/>
              </w:rPr>
              <w:t>IComp</w:t>
            </w:r>
            <w:proofErr w:type="spellEnd"/>
            <w:r>
              <w:rPr>
                <w:rFonts w:ascii="Times New Roman" w:hAnsi="Times New Roman"/>
                <w:color w:val="000000"/>
                <w:sz w:val="24"/>
                <w:szCs w:val="24"/>
              </w:rPr>
              <w:t xml:space="preserve"> prep): 3.50</w:t>
            </w:r>
          </w:p>
        </w:tc>
      </w:tr>
      <w:tr w:rsidRPr="007F620E" w:rsidR="00F635C1" w:rsidTr="006009CB" w14:paraId="67F429F3" w14:textId="77777777">
        <w:tc>
          <w:tcPr>
            <w:tcW w:w="2523" w:type="dxa"/>
          </w:tcPr>
          <w:p w:rsidR="00F635C1" w:rsidP="00F635C1" w:rsidRDefault="00F635C1" w14:paraId="08E4F523" w14:textId="3FA8E80D">
            <w:pPr>
              <w:tabs>
                <w:tab w:val="left" w:pos="1440"/>
              </w:tabs>
              <w:rPr>
                <w:color w:val="000000"/>
              </w:rPr>
            </w:pPr>
            <w:r>
              <w:rPr>
                <w:color w:val="000000"/>
              </w:rPr>
              <w:t>[</w:t>
            </w:r>
            <w:r w:rsidR="007B4213">
              <w:rPr>
                <w:color w:val="000000"/>
              </w:rPr>
              <w:t>2</w:t>
            </w:r>
            <w:r>
              <w:rPr>
                <w:color w:val="000000"/>
              </w:rPr>
              <w:t>] Excessive</w:t>
            </w:r>
            <w:r w:rsidRPr="00104753">
              <w:rPr>
                <w:color w:val="000000"/>
              </w:rPr>
              <w:t xml:space="preserve"> General Participation</w:t>
            </w:r>
          </w:p>
        </w:tc>
        <w:tc>
          <w:tcPr>
            <w:tcW w:w="6837" w:type="dxa"/>
          </w:tcPr>
          <w:p w:rsidR="00F24506" w:rsidP="009D7E91" w:rsidRDefault="00F635C1" w14:paraId="277CD784" w14:textId="3F2E0ACD">
            <w:pPr>
              <w:tabs>
                <w:tab w:val="left" w:pos="1440"/>
              </w:tabs>
              <w:rPr>
                <w:color w:val="000000"/>
              </w:rPr>
            </w:pPr>
            <w:r>
              <w:rPr>
                <w:color w:val="000000"/>
              </w:rPr>
              <w:t>Center for Biological Diversity</w:t>
            </w:r>
            <w:r w:rsidRPr="004E027B">
              <w:rPr>
                <w:color w:val="000000"/>
              </w:rPr>
              <w:t xml:space="preserve"> </w:t>
            </w:r>
            <w:r w:rsidR="005C52FE">
              <w:rPr>
                <w:color w:val="000000"/>
              </w:rPr>
              <w:t>allocated</w:t>
            </w:r>
            <w:r w:rsidRPr="004E027B" w:rsidR="005C52FE">
              <w:rPr>
                <w:color w:val="000000"/>
              </w:rPr>
              <w:t xml:space="preserve"> </w:t>
            </w:r>
            <w:r w:rsidR="004A60F9">
              <w:rPr>
                <w:color w:val="000000"/>
              </w:rPr>
              <w:t xml:space="preserve">an excessive </w:t>
            </w:r>
            <w:r>
              <w:rPr>
                <w:color w:val="000000"/>
              </w:rPr>
              <w:t>4</w:t>
            </w:r>
            <w:r w:rsidR="00FB74AE">
              <w:rPr>
                <w:color w:val="000000"/>
              </w:rPr>
              <w:t>3.58</w:t>
            </w:r>
            <w:r>
              <w:rPr>
                <w:color w:val="000000"/>
              </w:rPr>
              <w:t>%</w:t>
            </w:r>
            <w:r w:rsidR="00F24506">
              <w:rPr>
                <w:color w:val="000000"/>
              </w:rPr>
              <w:t xml:space="preserve">, </w:t>
            </w:r>
            <w:r w:rsidR="00F11089">
              <w:rPr>
                <w:color w:val="000000"/>
              </w:rPr>
              <w:t>(</w:t>
            </w:r>
            <w:r w:rsidR="00FB74AE">
              <w:rPr>
                <w:color w:val="000000"/>
              </w:rPr>
              <w:t>2</w:t>
            </w:r>
            <w:r w:rsidR="00445E99">
              <w:rPr>
                <w:color w:val="000000"/>
              </w:rPr>
              <w:t>7.50</w:t>
            </w:r>
            <w:r w:rsidR="00F11089">
              <w:rPr>
                <w:color w:val="000000"/>
              </w:rPr>
              <w:t xml:space="preserve"> hours) </w:t>
            </w:r>
            <w:r w:rsidRPr="004E027B">
              <w:rPr>
                <w:color w:val="000000"/>
              </w:rPr>
              <w:t xml:space="preserve">of its </w:t>
            </w:r>
            <w:r w:rsidR="004A60F9">
              <w:rPr>
                <w:color w:val="000000"/>
              </w:rPr>
              <w:t xml:space="preserve">claimed time to </w:t>
            </w:r>
            <w:r w:rsidRPr="004E027B">
              <w:rPr>
                <w:color w:val="000000"/>
              </w:rPr>
              <w:t xml:space="preserve">“General Participation.” Per </w:t>
            </w:r>
            <w:r w:rsidR="005D4F04">
              <w:rPr>
                <w:color w:val="000000"/>
              </w:rPr>
              <w:t xml:space="preserve">the </w:t>
            </w:r>
            <w:r w:rsidRPr="004E027B">
              <w:rPr>
                <w:color w:val="000000"/>
              </w:rPr>
              <w:t>Intervenor Compensation Program Guide at 26, “time records must not excessively label work as of a “General” issue type (</w:t>
            </w:r>
            <w:r w:rsidRPr="00573A19">
              <w:rPr>
                <w:color w:val="000000"/>
              </w:rPr>
              <w:t xml:space="preserve">general work on the proceeding). Most of the professional work on the proceeding can and must be associated with the proceeding’s substantive issues. </w:t>
            </w:r>
            <w:r w:rsidRPr="001F40B1">
              <w:rPr>
                <w:i/>
                <w:iCs/>
                <w:color w:val="000000"/>
              </w:rPr>
              <w:t>See</w:t>
            </w:r>
            <w:r w:rsidRPr="00573A19">
              <w:rPr>
                <w:color w:val="000000"/>
              </w:rPr>
              <w:t xml:space="preserve"> D.10-04-023 at 13-14.” </w:t>
            </w:r>
          </w:p>
          <w:p w:rsidR="00F24506" w:rsidP="009D7E91" w:rsidRDefault="00F24506" w14:paraId="1506FA03" w14:textId="77777777">
            <w:pPr>
              <w:tabs>
                <w:tab w:val="left" w:pos="1440"/>
              </w:tabs>
              <w:rPr>
                <w:color w:val="000000"/>
              </w:rPr>
            </w:pPr>
          </w:p>
          <w:p w:rsidRPr="00D85DFA" w:rsidR="00F24506" w:rsidP="009D7E91" w:rsidRDefault="004A60F9" w14:paraId="2905E56F" w14:textId="55430324">
            <w:pPr>
              <w:tabs>
                <w:tab w:val="left" w:pos="1440"/>
              </w:tabs>
              <w:rPr>
                <w:color w:val="000000"/>
              </w:rPr>
            </w:pPr>
            <w:r>
              <w:rPr>
                <w:color w:val="000000"/>
              </w:rPr>
              <w:t xml:space="preserve">To align this with a more reasonable standard based on the record of this proceeding, we </w:t>
            </w:r>
            <w:r w:rsidRPr="00D85DFA" w:rsidR="00F635C1">
              <w:rPr>
                <w:color w:val="000000"/>
              </w:rPr>
              <w:t xml:space="preserve">apply a </w:t>
            </w:r>
            <w:r w:rsidR="002A62B2">
              <w:rPr>
                <w:color w:val="000000"/>
              </w:rPr>
              <w:t>6</w:t>
            </w:r>
            <w:r w:rsidRPr="00D85DFA" w:rsidR="002A62B2">
              <w:rPr>
                <w:color w:val="000000"/>
              </w:rPr>
              <w:t>0</w:t>
            </w:r>
            <w:r w:rsidRPr="00D85DFA" w:rsidR="00F635C1">
              <w:rPr>
                <w:color w:val="000000"/>
              </w:rPr>
              <w:t xml:space="preserve">% </w:t>
            </w:r>
            <w:r w:rsidR="00ED773C">
              <w:rPr>
                <w:color w:val="000000"/>
              </w:rPr>
              <w:t>r</w:t>
            </w:r>
            <w:r w:rsidRPr="00D85DFA" w:rsidR="00F635C1">
              <w:rPr>
                <w:color w:val="000000"/>
              </w:rPr>
              <w:t xml:space="preserve">eduction to the </w:t>
            </w:r>
            <w:r w:rsidR="005C52FE">
              <w:rPr>
                <w:color w:val="000000"/>
              </w:rPr>
              <w:t>26.8</w:t>
            </w:r>
            <w:r w:rsidR="0037409D">
              <w:rPr>
                <w:color w:val="000000"/>
              </w:rPr>
              <w:t>0</w:t>
            </w:r>
            <w:r w:rsidR="005C52FE">
              <w:rPr>
                <w:color w:val="000000"/>
              </w:rPr>
              <w:t xml:space="preserve"> </w:t>
            </w:r>
            <w:r w:rsidRPr="00D85DFA" w:rsidR="00F635C1">
              <w:rPr>
                <w:color w:val="000000"/>
              </w:rPr>
              <w:t xml:space="preserve">hours </w:t>
            </w:r>
            <w:r>
              <w:rPr>
                <w:color w:val="000000"/>
              </w:rPr>
              <w:t>of</w:t>
            </w:r>
            <w:r w:rsidRPr="00D85DFA" w:rsidR="00F635C1">
              <w:rPr>
                <w:color w:val="000000"/>
              </w:rPr>
              <w:t xml:space="preserve"> “General Participation”</w:t>
            </w:r>
            <w:r w:rsidR="00DA0864">
              <w:rPr>
                <w:color w:val="000000"/>
              </w:rPr>
              <w:t xml:space="preserve"> </w:t>
            </w:r>
            <w:r>
              <w:rPr>
                <w:color w:val="000000"/>
              </w:rPr>
              <w:t xml:space="preserve">time (excluding the 0.70 hours </w:t>
            </w:r>
            <w:r w:rsidR="005F61FE">
              <w:rPr>
                <w:color w:val="000000"/>
              </w:rPr>
              <w:t xml:space="preserve">Wilson </w:t>
            </w:r>
            <w:r>
              <w:rPr>
                <w:color w:val="000000"/>
              </w:rPr>
              <w:t xml:space="preserve">spent attending the PHC is 2022). The </w:t>
            </w:r>
            <w:r w:rsidR="00F24506">
              <w:rPr>
                <w:color w:val="000000"/>
              </w:rPr>
              <w:t xml:space="preserve">hours </w:t>
            </w:r>
            <w:r>
              <w:rPr>
                <w:color w:val="000000"/>
              </w:rPr>
              <w:t xml:space="preserve">reduced are </w:t>
            </w:r>
            <w:r w:rsidR="00DA0864">
              <w:rPr>
                <w:color w:val="000000"/>
              </w:rPr>
              <w:t>as follows</w:t>
            </w:r>
            <w:r w:rsidRPr="00D85DFA" w:rsidR="00416DCD">
              <w:rPr>
                <w:color w:val="000000"/>
              </w:rPr>
              <w:t>:</w:t>
            </w:r>
          </w:p>
          <w:p w:rsidRPr="00D85DFA" w:rsidR="00F635C1" w:rsidP="00D85DFA" w:rsidRDefault="00F635C1" w14:paraId="3CFC7385" w14:textId="42C1D7BA">
            <w:pPr>
              <w:pStyle w:val="ListParagraph"/>
              <w:numPr>
                <w:ilvl w:val="0"/>
                <w:numId w:val="13"/>
              </w:numPr>
              <w:rPr>
                <w:rFonts w:ascii="Times New Roman" w:hAnsi="Times New Roman"/>
                <w:sz w:val="24"/>
                <w:szCs w:val="24"/>
              </w:rPr>
            </w:pPr>
            <w:r w:rsidRPr="00D85DFA">
              <w:rPr>
                <w:rFonts w:ascii="Times New Roman" w:hAnsi="Times New Roman"/>
                <w:sz w:val="24"/>
                <w:szCs w:val="24"/>
              </w:rPr>
              <w:t xml:space="preserve">Wilson 2023: </w:t>
            </w:r>
            <w:r w:rsidR="00D437AC">
              <w:rPr>
                <w:rFonts w:ascii="Times New Roman" w:hAnsi="Times New Roman"/>
                <w:sz w:val="24"/>
                <w:szCs w:val="24"/>
              </w:rPr>
              <w:t>8.</w:t>
            </w:r>
            <w:r w:rsidR="00A23F23">
              <w:rPr>
                <w:rFonts w:ascii="Times New Roman" w:hAnsi="Times New Roman"/>
                <w:sz w:val="24"/>
                <w:szCs w:val="24"/>
              </w:rPr>
              <w:t>52</w:t>
            </w:r>
            <w:r w:rsidR="00D437AC">
              <w:rPr>
                <w:rFonts w:ascii="Times New Roman" w:hAnsi="Times New Roman"/>
                <w:sz w:val="24"/>
                <w:szCs w:val="24"/>
              </w:rPr>
              <w:t xml:space="preserve"> hours reduced </w:t>
            </w:r>
          </w:p>
          <w:p w:rsidRPr="00D541A4" w:rsidR="00F635C1" w:rsidP="00F635C1" w:rsidRDefault="00F635C1" w14:paraId="3BE89394" w14:textId="282A8BDA">
            <w:pPr>
              <w:pStyle w:val="ListParagraph"/>
              <w:numPr>
                <w:ilvl w:val="0"/>
                <w:numId w:val="12"/>
              </w:numPr>
              <w:tabs>
                <w:tab w:val="left" w:pos="1440"/>
              </w:tabs>
              <w:rPr>
                <w:rFonts w:ascii="Times New Roman" w:hAnsi="Times New Roman"/>
                <w:color w:val="000000"/>
                <w:sz w:val="24"/>
                <w:szCs w:val="24"/>
              </w:rPr>
            </w:pPr>
            <w:r w:rsidRPr="00D541A4">
              <w:rPr>
                <w:rFonts w:ascii="Times New Roman" w:hAnsi="Times New Roman"/>
                <w:color w:val="000000"/>
                <w:sz w:val="24"/>
                <w:szCs w:val="24"/>
              </w:rPr>
              <w:t xml:space="preserve">Wilson 2024: </w:t>
            </w:r>
            <w:r w:rsidR="008A29D7">
              <w:rPr>
                <w:rFonts w:ascii="Times New Roman" w:hAnsi="Times New Roman"/>
                <w:sz w:val="24"/>
                <w:szCs w:val="24"/>
              </w:rPr>
              <w:t>1.</w:t>
            </w:r>
            <w:r w:rsidR="00EC64C0">
              <w:rPr>
                <w:rFonts w:ascii="Times New Roman" w:hAnsi="Times New Roman"/>
                <w:sz w:val="24"/>
                <w:szCs w:val="24"/>
              </w:rPr>
              <w:t>74</w:t>
            </w:r>
            <w:r w:rsidR="00D437AC">
              <w:rPr>
                <w:rFonts w:ascii="Times New Roman" w:hAnsi="Times New Roman"/>
                <w:sz w:val="24"/>
                <w:szCs w:val="24"/>
              </w:rPr>
              <w:t xml:space="preserve"> hours reduced</w:t>
            </w:r>
          </w:p>
          <w:p w:rsidRPr="00D541A4" w:rsidR="00F635C1" w:rsidP="00F635C1" w:rsidRDefault="00F635C1" w14:paraId="64725B92" w14:textId="16CAB33B">
            <w:pPr>
              <w:pStyle w:val="ListParagraph"/>
              <w:numPr>
                <w:ilvl w:val="0"/>
                <w:numId w:val="12"/>
              </w:numPr>
              <w:tabs>
                <w:tab w:val="left" w:pos="1440"/>
              </w:tabs>
              <w:rPr>
                <w:rFonts w:ascii="Times New Roman" w:hAnsi="Times New Roman"/>
                <w:color w:val="000000"/>
                <w:sz w:val="24"/>
                <w:szCs w:val="24"/>
              </w:rPr>
            </w:pPr>
            <w:r w:rsidRPr="00D541A4">
              <w:rPr>
                <w:rFonts w:ascii="Times New Roman" w:hAnsi="Times New Roman"/>
                <w:color w:val="000000"/>
                <w:sz w:val="24"/>
                <w:szCs w:val="24"/>
              </w:rPr>
              <w:t xml:space="preserve">Crystal 2023: </w:t>
            </w:r>
            <w:r w:rsidR="008A29D7">
              <w:rPr>
                <w:rFonts w:ascii="Times New Roman" w:hAnsi="Times New Roman"/>
                <w:sz w:val="24"/>
                <w:szCs w:val="24"/>
              </w:rPr>
              <w:t xml:space="preserve">1.08 </w:t>
            </w:r>
            <w:r w:rsidR="00D437AC">
              <w:rPr>
                <w:rFonts w:ascii="Times New Roman" w:hAnsi="Times New Roman"/>
                <w:sz w:val="24"/>
                <w:szCs w:val="24"/>
              </w:rPr>
              <w:t>hours reduced</w:t>
            </w:r>
          </w:p>
          <w:p w:rsidRPr="00D541A4" w:rsidR="00F635C1" w:rsidP="00F635C1" w:rsidRDefault="00F635C1" w14:paraId="122FE2D5" w14:textId="6C9756E8">
            <w:pPr>
              <w:pStyle w:val="ListParagraph"/>
              <w:numPr>
                <w:ilvl w:val="0"/>
                <w:numId w:val="12"/>
              </w:numPr>
              <w:tabs>
                <w:tab w:val="left" w:pos="1440"/>
              </w:tabs>
              <w:rPr>
                <w:rFonts w:ascii="Times New Roman" w:hAnsi="Times New Roman"/>
                <w:color w:val="000000"/>
                <w:sz w:val="24"/>
                <w:szCs w:val="24"/>
              </w:rPr>
            </w:pPr>
            <w:r w:rsidRPr="00D541A4">
              <w:rPr>
                <w:rFonts w:ascii="Times New Roman" w:hAnsi="Times New Roman"/>
                <w:color w:val="000000"/>
                <w:sz w:val="24"/>
                <w:szCs w:val="24"/>
              </w:rPr>
              <w:t xml:space="preserve">Crystal 2024: </w:t>
            </w:r>
            <w:r w:rsidR="00333A30">
              <w:rPr>
                <w:rFonts w:ascii="Times New Roman" w:hAnsi="Times New Roman"/>
                <w:sz w:val="24"/>
                <w:szCs w:val="24"/>
              </w:rPr>
              <w:t xml:space="preserve">0.36 </w:t>
            </w:r>
            <w:r w:rsidR="00D437AC">
              <w:rPr>
                <w:rFonts w:ascii="Times New Roman" w:hAnsi="Times New Roman"/>
                <w:sz w:val="24"/>
                <w:szCs w:val="24"/>
              </w:rPr>
              <w:t>hours reduced</w:t>
            </w:r>
          </w:p>
          <w:p w:rsidR="00E74815" w:rsidP="00F635C1" w:rsidRDefault="00E74815" w14:paraId="15870DED" w14:textId="52BD8DC7">
            <w:pPr>
              <w:pStyle w:val="ListParagraph"/>
              <w:numPr>
                <w:ilvl w:val="0"/>
                <w:numId w:val="12"/>
              </w:numPr>
              <w:tabs>
                <w:tab w:val="left" w:pos="1440"/>
              </w:tabs>
              <w:rPr>
                <w:rFonts w:ascii="Times New Roman" w:hAnsi="Times New Roman"/>
                <w:color w:val="000000"/>
                <w:sz w:val="24"/>
                <w:szCs w:val="24"/>
              </w:rPr>
            </w:pPr>
            <w:r>
              <w:rPr>
                <w:rFonts w:ascii="Times New Roman" w:hAnsi="Times New Roman"/>
                <w:color w:val="000000"/>
                <w:sz w:val="24"/>
                <w:szCs w:val="24"/>
              </w:rPr>
              <w:t>Lin 2022:</w:t>
            </w:r>
            <w:r w:rsidR="00CA0423">
              <w:rPr>
                <w:rFonts w:ascii="Times New Roman" w:hAnsi="Times New Roman"/>
                <w:color w:val="000000"/>
                <w:sz w:val="24"/>
                <w:szCs w:val="24"/>
              </w:rPr>
              <w:t xml:space="preserve"> </w:t>
            </w:r>
            <w:r w:rsidR="00EC64C0">
              <w:rPr>
                <w:rFonts w:ascii="Times New Roman" w:hAnsi="Times New Roman"/>
                <w:color w:val="000000"/>
                <w:sz w:val="24"/>
                <w:szCs w:val="24"/>
              </w:rPr>
              <w:t>0.30 hours reduced</w:t>
            </w:r>
          </w:p>
          <w:p w:rsidRPr="00D541A4" w:rsidR="00F635C1" w:rsidP="00F635C1" w:rsidRDefault="00F635C1" w14:paraId="5ADBE920" w14:textId="4B873659">
            <w:pPr>
              <w:pStyle w:val="ListParagraph"/>
              <w:numPr>
                <w:ilvl w:val="0"/>
                <w:numId w:val="12"/>
              </w:numPr>
              <w:tabs>
                <w:tab w:val="left" w:pos="1440"/>
              </w:tabs>
              <w:rPr>
                <w:rFonts w:ascii="Times New Roman" w:hAnsi="Times New Roman"/>
                <w:color w:val="000000"/>
                <w:sz w:val="24"/>
                <w:szCs w:val="24"/>
              </w:rPr>
            </w:pPr>
            <w:r w:rsidRPr="00D541A4">
              <w:rPr>
                <w:rFonts w:ascii="Times New Roman" w:hAnsi="Times New Roman"/>
                <w:color w:val="000000"/>
                <w:sz w:val="24"/>
                <w:szCs w:val="24"/>
              </w:rPr>
              <w:t xml:space="preserve">Lin 2023: </w:t>
            </w:r>
            <w:r w:rsidR="00DA1632">
              <w:rPr>
                <w:rFonts w:ascii="Times New Roman" w:hAnsi="Times New Roman"/>
                <w:sz w:val="24"/>
                <w:szCs w:val="24"/>
              </w:rPr>
              <w:t>3.42</w:t>
            </w:r>
            <w:r w:rsidR="00333A30">
              <w:rPr>
                <w:rFonts w:ascii="Times New Roman" w:hAnsi="Times New Roman"/>
                <w:sz w:val="24"/>
                <w:szCs w:val="24"/>
              </w:rPr>
              <w:t xml:space="preserve"> </w:t>
            </w:r>
            <w:r w:rsidR="00D437AC">
              <w:rPr>
                <w:rFonts w:ascii="Times New Roman" w:hAnsi="Times New Roman"/>
                <w:sz w:val="24"/>
                <w:szCs w:val="24"/>
              </w:rPr>
              <w:t>hours reduced</w:t>
            </w:r>
          </w:p>
          <w:p w:rsidRPr="001F40B1" w:rsidR="00F635C1" w:rsidP="00E826E5" w:rsidRDefault="00F635C1" w14:paraId="52BBC4FA" w14:textId="4508D904">
            <w:pPr>
              <w:pStyle w:val="ListParagraph"/>
              <w:numPr>
                <w:ilvl w:val="0"/>
                <w:numId w:val="12"/>
              </w:numPr>
              <w:tabs>
                <w:tab w:val="left" w:pos="1440"/>
              </w:tabs>
              <w:rPr>
                <w:rFonts w:ascii="Times New Roman" w:hAnsi="Times New Roman"/>
                <w:color w:val="000000"/>
                <w:sz w:val="24"/>
                <w:szCs w:val="24"/>
              </w:rPr>
            </w:pPr>
            <w:r w:rsidRPr="00D541A4">
              <w:rPr>
                <w:rFonts w:ascii="Times New Roman" w:hAnsi="Times New Roman"/>
                <w:color w:val="000000"/>
                <w:sz w:val="24"/>
                <w:szCs w:val="24"/>
              </w:rPr>
              <w:t>Lin 2024</w:t>
            </w:r>
            <w:r w:rsidRPr="00677B5C">
              <w:rPr>
                <w:rFonts w:ascii="Times New Roman" w:hAnsi="Times New Roman"/>
                <w:color w:val="000000"/>
                <w:sz w:val="24"/>
                <w:szCs w:val="24"/>
              </w:rPr>
              <w:t>:</w:t>
            </w:r>
            <w:r w:rsidR="001F40B1">
              <w:rPr>
                <w:rFonts w:ascii="Times New Roman" w:hAnsi="Times New Roman"/>
                <w:color w:val="000000"/>
                <w:sz w:val="24"/>
                <w:szCs w:val="24"/>
              </w:rPr>
              <w:t xml:space="preserve"> </w:t>
            </w:r>
            <w:r w:rsidR="00101ECE">
              <w:rPr>
                <w:rFonts w:ascii="Times New Roman" w:hAnsi="Times New Roman"/>
                <w:sz w:val="24"/>
                <w:szCs w:val="24"/>
              </w:rPr>
              <w:t>0.</w:t>
            </w:r>
            <w:r w:rsidR="00DA1632">
              <w:rPr>
                <w:rFonts w:ascii="Times New Roman" w:hAnsi="Times New Roman"/>
                <w:sz w:val="24"/>
                <w:szCs w:val="24"/>
              </w:rPr>
              <w:t>66</w:t>
            </w:r>
            <w:r w:rsidR="00D437AC">
              <w:rPr>
                <w:rFonts w:ascii="Times New Roman" w:hAnsi="Times New Roman"/>
                <w:sz w:val="24"/>
                <w:szCs w:val="24"/>
              </w:rPr>
              <w:t xml:space="preserve"> hours reduced</w:t>
            </w:r>
          </w:p>
          <w:p w:rsidRPr="004A0F92" w:rsidR="00D06EA3" w:rsidP="007759F0" w:rsidRDefault="00D437AC" w14:paraId="529CE46E" w14:textId="7D2D68A2">
            <w:r>
              <w:t xml:space="preserve">Total: </w:t>
            </w:r>
            <w:r w:rsidR="00B7298C">
              <w:t>1</w:t>
            </w:r>
            <w:r w:rsidR="000F1F2B">
              <w:t>6.08</w:t>
            </w:r>
            <w:r w:rsidR="00B7298C">
              <w:t xml:space="preserve"> hours</w:t>
            </w:r>
            <w:r w:rsidR="000832FC">
              <w:t xml:space="preserve"> reduced</w:t>
            </w:r>
          </w:p>
        </w:tc>
      </w:tr>
      <w:tr w:rsidRPr="007F620E" w:rsidR="00343A21" w:rsidTr="006009CB" w14:paraId="7BEA04F7" w14:textId="77777777">
        <w:tc>
          <w:tcPr>
            <w:tcW w:w="2523" w:type="dxa"/>
          </w:tcPr>
          <w:p w:rsidR="00343A21" w:rsidP="00F635C1" w:rsidRDefault="00343A21" w14:paraId="252148A5" w14:textId="6E98C1B9">
            <w:pPr>
              <w:tabs>
                <w:tab w:val="left" w:pos="1440"/>
              </w:tabs>
              <w:rPr>
                <w:color w:val="000000"/>
              </w:rPr>
            </w:pPr>
            <w:r>
              <w:rPr>
                <w:color w:val="000000"/>
              </w:rPr>
              <w:t>[</w:t>
            </w:r>
            <w:r w:rsidR="00A15CCE">
              <w:rPr>
                <w:color w:val="000000"/>
              </w:rPr>
              <w:t>3</w:t>
            </w:r>
            <w:r>
              <w:rPr>
                <w:color w:val="000000"/>
              </w:rPr>
              <w:t xml:space="preserve">] </w:t>
            </w:r>
            <w:r w:rsidR="009D0B55">
              <w:rPr>
                <w:color w:val="000000"/>
              </w:rPr>
              <w:t>Reductions – Limited Contribution</w:t>
            </w:r>
          </w:p>
        </w:tc>
        <w:tc>
          <w:tcPr>
            <w:tcW w:w="6837" w:type="dxa"/>
          </w:tcPr>
          <w:p w:rsidRPr="00F95AD0" w:rsidR="00115E01" w:rsidP="00115E01" w:rsidRDefault="00FD5547" w14:paraId="2D322A20" w14:textId="77777777">
            <w:pPr>
              <w:tabs>
                <w:tab w:val="left" w:pos="1440"/>
              </w:tabs>
              <w:spacing w:after="240"/>
              <w:rPr>
                <w:rFonts w:asciiTheme="majorBidi" w:hAnsiTheme="majorBidi" w:cstheme="majorBidi"/>
                <w:color w:val="000000"/>
              </w:rPr>
            </w:pPr>
            <w:r w:rsidRPr="00FD5547">
              <w:rPr>
                <w:color w:val="000000"/>
              </w:rPr>
              <w:t xml:space="preserve">Public Utilities Code § 1802(j) states that a substantial contribution “has substantially assisted the commission in the making of its order or decision because the order or decision has adopted in whole or in part one or more factual contentions, legal contentions, or specific policy or procedural recommendations presented by the customer.” </w:t>
            </w:r>
            <w:r w:rsidRPr="00F95AD0" w:rsidR="00115E01">
              <w:rPr>
                <w:rFonts w:asciiTheme="majorBidi" w:hAnsiTheme="majorBidi" w:cstheme="majorBidi"/>
                <w:color w:val="000000"/>
              </w:rPr>
              <w:t xml:space="preserve">The courts have addressed the requirement of substantial </w:t>
            </w:r>
            <w:r w:rsidRPr="00F95AD0" w:rsidR="00115E01">
              <w:rPr>
                <w:rFonts w:asciiTheme="majorBidi" w:hAnsiTheme="majorBidi" w:cstheme="majorBidi"/>
                <w:color w:val="000000"/>
              </w:rPr>
              <w:lastRenderedPageBreak/>
              <w:t xml:space="preserve">contribution in, for example, TURN v. CPUC 166 </w:t>
            </w:r>
            <w:proofErr w:type="spellStart"/>
            <w:r w:rsidRPr="00F95AD0" w:rsidR="00115E01">
              <w:rPr>
                <w:rFonts w:asciiTheme="majorBidi" w:hAnsiTheme="majorBidi" w:cstheme="majorBidi"/>
                <w:color w:val="000000"/>
              </w:rPr>
              <w:t>Cal.App</w:t>
            </w:r>
            <w:proofErr w:type="spellEnd"/>
            <w:r w:rsidRPr="00F95AD0" w:rsidR="00115E01">
              <w:rPr>
                <w:rFonts w:asciiTheme="majorBidi" w:hAnsiTheme="majorBidi" w:cstheme="majorBidi"/>
                <w:color w:val="000000"/>
              </w:rPr>
              <w:t>. 4</w:t>
            </w:r>
            <w:r w:rsidRPr="00F95AD0" w:rsidR="00115E01">
              <w:rPr>
                <w:rFonts w:asciiTheme="majorBidi" w:hAnsiTheme="majorBidi" w:cstheme="majorBidi"/>
                <w:color w:val="000000"/>
                <w:vertAlign w:val="superscript"/>
              </w:rPr>
              <w:t>th</w:t>
            </w:r>
            <w:r w:rsidRPr="00F95AD0" w:rsidR="00115E01">
              <w:rPr>
                <w:rFonts w:asciiTheme="majorBidi" w:hAnsiTheme="majorBidi" w:cstheme="majorBidi"/>
                <w:color w:val="000000"/>
              </w:rPr>
              <w:t xml:space="preserve"> 522 (2008), </w:t>
            </w:r>
            <w:proofErr w:type="gramStart"/>
            <w:r w:rsidRPr="00F95AD0" w:rsidR="00115E01">
              <w:rPr>
                <w:rFonts w:asciiTheme="majorBidi" w:hAnsiTheme="majorBidi" w:cstheme="majorBidi"/>
                <w:color w:val="000000"/>
              </w:rPr>
              <w:t>stating</w:t>
            </w:r>
            <w:proofErr w:type="gramEnd"/>
            <w:r w:rsidRPr="00F95AD0" w:rsidR="00115E01">
              <w:rPr>
                <w:rFonts w:asciiTheme="majorBidi" w:hAnsiTheme="majorBidi" w:cstheme="majorBidi"/>
                <w:color w:val="000000"/>
              </w:rPr>
              <w:t xml:space="preserve"> at 11: </w:t>
            </w:r>
          </w:p>
          <w:p w:rsidRPr="00115E01" w:rsidR="00141356" w:rsidP="00115E01" w:rsidRDefault="00115E01" w14:paraId="324A0E46" w14:textId="28DC5B33">
            <w:pPr>
              <w:tabs>
                <w:tab w:val="left" w:pos="1440"/>
              </w:tabs>
              <w:spacing w:after="240"/>
              <w:rPr>
                <w:rFonts w:asciiTheme="majorBidi" w:hAnsiTheme="majorBidi" w:cstheme="majorBidi"/>
                <w:color w:val="000000"/>
              </w:rPr>
            </w:pPr>
            <w:r>
              <w:rPr>
                <w:rFonts w:asciiTheme="majorBidi" w:hAnsiTheme="majorBidi" w:cstheme="majorBidi"/>
                <w:color w:val="000000"/>
              </w:rPr>
              <w:t>“</w:t>
            </w:r>
            <w:r w:rsidRPr="00F95AD0">
              <w:rPr>
                <w:rFonts w:asciiTheme="majorBidi" w:hAnsiTheme="majorBidi" w:cstheme="majorBidi"/>
                <w:color w:val="000000"/>
              </w:rPr>
              <w:t xml:space="preserve">[T]o be eligible for compensation, the statute requires that the customer have made a </w:t>
            </w:r>
            <w:r>
              <w:rPr>
                <w:rFonts w:asciiTheme="majorBidi" w:hAnsiTheme="majorBidi" w:cstheme="majorBidi"/>
                <w:color w:val="000000"/>
              </w:rPr>
              <w:t>‘</w:t>
            </w:r>
            <w:r w:rsidRPr="00F95AD0">
              <w:rPr>
                <w:rFonts w:asciiTheme="majorBidi" w:hAnsiTheme="majorBidi" w:cstheme="majorBidi"/>
                <w:color w:val="000000"/>
              </w:rPr>
              <w:t>substantial contribution</w:t>
            </w:r>
            <w:r>
              <w:rPr>
                <w:rFonts w:asciiTheme="majorBidi" w:hAnsiTheme="majorBidi" w:cstheme="majorBidi"/>
                <w:color w:val="000000"/>
              </w:rPr>
              <w:t>’</w:t>
            </w:r>
            <w:r w:rsidRPr="00F95AD0">
              <w:rPr>
                <w:rFonts w:asciiTheme="majorBidi" w:hAnsiTheme="majorBidi" w:cstheme="majorBidi"/>
                <w:color w:val="000000"/>
              </w:rPr>
              <w:t xml:space="preserve"> to the PUC</w:t>
            </w:r>
            <w:r>
              <w:rPr>
                <w:rFonts w:asciiTheme="majorBidi" w:hAnsiTheme="majorBidi" w:cstheme="majorBidi"/>
                <w:color w:val="000000"/>
              </w:rPr>
              <w:t>’</w:t>
            </w:r>
            <w:r w:rsidRPr="00F95AD0">
              <w:rPr>
                <w:rFonts w:asciiTheme="majorBidi" w:hAnsiTheme="majorBidi" w:cstheme="majorBidi"/>
                <w:color w:val="000000"/>
              </w:rPr>
              <w:t xml:space="preserve">s proceedings, as the PUC determines. </w:t>
            </w:r>
            <w:r>
              <w:rPr>
                <w:rFonts w:asciiTheme="majorBidi" w:hAnsiTheme="majorBidi" w:cstheme="majorBidi"/>
                <w:color w:val="000000"/>
              </w:rPr>
              <w:t>“‘</w:t>
            </w:r>
            <w:r w:rsidRPr="00F95AD0">
              <w:rPr>
                <w:rFonts w:asciiTheme="majorBidi" w:hAnsiTheme="majorBidi" w:cstheme="majorBidi"/>
                <w:color w:val="000000"/>
              </w:rPr>
              <w:t>Substantial contribution</w:t>
            </w:r>
            <w:r>
              <w:rPr>
                <w:rFonts w:asciiTheme="majorBidi" w:hAnsiTheme="majorBidi" w:cstheme="majorBidi"/>
                <w:color w:val="000000"/>
              </w:rPr>
              <w:t>’</w:t>
            </w:r>
            <w:r w:rsidRPr="00F95AD0">
              <w:rPr>
                <w:rFonts w:asciiTheme="majorBidi" w:hAnsiTheme="majorBidi" w:cstheme="majorBidi"/>
                <w:color w:val="000000"/>
              </w:rPr>
              <w:t xml:space="preserve"> means that, in the judgment of the commission, the</w:t>
            </w:r>
            <w:r>
              <w:rPr>
                <w:rFonts w:asciiTheme="majorBidi" w:hAnsiTheme="majorBidi" w:cstheme="majorBidi"/>
                <w:color w:val="000000"/>
              </w:rPr>
              <w:t xml:space="preserve"> </w:t>
            </w:r>
            <w:r w:rsidRPr="00F95AD0">
              <w:rPr>
                <w:rFonts w:asciiTheme="majorBidi" w:hAnsiTheme="majorBidi" w:cstheme="majorBidi"/>
                <w:color w:val="000000"/>
              </w:rPr>
              <w:t>customer</w:t>
            </w:r>
            <w:r>
              <w:rPr>
                <w:rFonts w:asciiTheme="majorBidi" w:hAnsiTheme="majorBidi" w:cstheme="majorBidi"/>
                <w:color w:val="000000"/>
              </w:rPr>
              <w:t>’</w:t>
            </w:r>
            <w:r w:rsidRPr="00F95AD0">
              <w:rPr>
                <w:rFonts w:asciiTheme="majorBidi" w:hAnsiTheme="majorBidi" w:cstheme="majorBidi"/>
                <w:color w:val="000000"/>
              </w:rPr>
              <w:t>s presentation has substantially assisted the commission in the making of its order or decision….</w:t>
            </w:r>
            <w:r>
              <w:rPr>
                <w:rFonts w:asciiTheme="majorBidi" w:hAnsiTheme="majorBidi" w:cstheme="majorBidi"/>
                <w:color w:val="000000"/>
              </w:rPr>
              <w:t>”</w:t>
            </w:r>
            <w:r w:rsidRPr="00F95AD0">
              <w:rPr>
                <w:rFonts w:asciiTheme="majorBidi" w:hAnsiTheme="majorBidi" w:cstheme="majorBidi"/>
                <w:color w:val="000000"/>
              </w:rPr>
              <w:t xml:space="preserve"> </w:t>
            </w:r>
          </w:p>
          <w:p w:rsidR="00F75F5C" w:rsidP="009D7E91" w:rsidRDefault="00FD5547" w14:paraId="431E5B6C" w14:textId="06DC601C">
            <w:pPr>
              <w:tabs>
                <w:tab w:val="left" w:pos="1440"/>
              </w:tabs>
              <w:rPr>
                <w:color w:val="000000"/>
              </w:rPr>
            </w:pPr>
            <w:r w:rsidRPr="00FD5547">
              <w:rPr>
                <w:color w:val="000000"/>
              </w:rPr>
              <w:t xml:space="preserve">In our determination that </w:t>
            </w:r>
            <w:r w:rsidR="009D0B55">
              <w:rPr>
                <w:color w:val="000000"/>
              </w:rPr>
              <w:t xml:space="preserve">CBD </w:t>
            </w:r>
            <w:proofErr w:type="gramStart"/>
            <w:r w:rsidRPr="00FD5547">
              <w:rPr>
                <w:color w:val="000000"/>
              </w:rPr>
              <w:t>made a contribution</w:t>
            </w:r>
            <w:proofErr w:type="gramEnd"/>
            <w:r w:rsidRPr="00FD5547">
              <w:rPr>
                <w:color w:val="000000"/>
              </w:rPr>
              <w:t xml:space="preserve">, </w:t>
            </w:r>
            <w:r w:rsidRPr="00F95AD0" w:rsidR="00F74763">
              <w:rPr>
                <w:rFonts w:asciiTheme="majorBidi" w:hAnsiTheme="majorBidi" w:cstheme="majorBidi"/>
                <w:color w:val="000000"/>
              </w:rPr>
              <w:t>the Commission</w:t>
            </w:r>
            <w:r w:rsidRPr="00FD5547">
              <w:rPr>
                <w:color w:val="000000"/>
              </w:rPr>
              <w:t xml:space="preserve"> evaluate</w:t>
            </w:r>
            <w:r w:rsidR="00F74763">
              <w:rPr>
                <w:color w:val="000000"/>
              </w:rPr>
              <w:t>s</w:t>
            </w:r>
            <w:r w:rsidRPr="00FD5547">
              <w:rPr>
                <w:color w:val="000000"/>
              </w:rPr>
              <w:t xml:space="preserve"> whether the hours claimed were commensurate with the contributions </w:t>
            </w:r>
            <w:r w:rsidR="00551210">
              <w:rPr>
                <w:rFonts w:asciiTheme="majorBidi" w:hAnsiTheme="majorBidi" w:cstheme="majorBidi"/>
                <w:color w:val="000000"/>
              </w:rPr>
              <w:t>claimed by the intervenor</w:t>
            </w:r>
            <w:r w:rsidRPr="00FD5547">
              <w:rPr>
                <w:color w:val="000000"/>
              </w:rPr>
              <w:t>. Making a substantial contribution in and of itself does not entitle an intervenor to all its claimed fees and costs. Compensation is granted for efficient, meaningful contributions.</w:t>
            </w:r>
          </w:p>
          <w:p w:rsidR="00A70B0C" w:rsidP="009D7E91" w:rsidRDefault="00A70B0C" w14:paraId="6A3A8368" w14:textId="62919820">
            <w:pPr>
              <w:tabs>
                <w:tab w:val="left" w:pos="1440"/>
              </w:tabs>
              <w:rPr>
                <w:color w:val="000000"/>
              </w:rPr>
            </w:pPr>
          </w:p>
          <w:p w:rsidRPr="00AD7F47" w:rsidR="00A70B0C" w:rsidP="009D7E91" w:rsidRDefault="00A70B0C" w14:paraId="14EC5A07" w14:textId="1B2BE444">
            <w:pPr>
              <w:tabs>
                <w:tab w:val="left" w:pos="1440"/>
              </w:tabs>
              <w:rPr>
                <w:color w:val="000000"/>
                <w:u w:val="single"/>
              </w:rPr>
            </w:pPr>
            <w:r w:rsidRPr="00AD7F47">
              <w:rPr>
                <w:color w:val="000000"/>
                <w:u w:val="single"/>
              </w:rPr>
              <w:t>Limited Contribution – Supporting or Repeating Other Parties’ Positions</w:t>
            </w:r>
          </w:p>
          <w:p w:rsidRPr="00A45C83" w:rsidR="00891E68" w:rsidP="00891E68" w:rsidRDefault="00A70B0C" w14:paraId="6391B0DE" w14:textId="4F5FD874">
            <w:pPr>
              <w:tabs>
                <w:tab w:val="left" w:pos="1440"/>
              </w:tabs>
              <w:rPr>
                <w:color w:val="000000"/>
              </w:rPr>
            </w:pPr>
            <w:r w:rsidRPr="00A70B0C">
              <w:rPr>
                <w:color w:val="000000"/>
              </w:rPr>
              <w:t xml:space="preserve">Merely supporting the positions of other parties—without offering additional analysis, a distinct perspective, or unique factual or legal contributions—does not constitute a significant contribution. While an intervenor’s alignment with a particular position can be helpful in informing the Commission’s decision-making process, the hours claimed for </w:t>
            </w:r>
            <w:r w:rsidRPr="00A45C83">
              <w:rPr>
                <w:color w:val="000000"/>
              </w:rPr>
              <w:t xml:space="preserve">such support must be reasonable. Ratepayers should not bear the cost of excessive time spent by an intervenor reiterating arguments that have already been presented by others in the </w:t>
            </w:r>
            <w:proofErr w:type="gramStart"/>
            <w:r w:rsidRPr="00A45C83">
              <w:rPr>
                <w:color w:val="000000"/>
              </w:rPr>
              <w:t>proceeding</w:t>
            </w:r>
            <w:proofErr w:type="gramEnd"/>
            <w:r w:rsidRPr="00A45C83" w:rsidR="00B740F7">
              <w:rPr>
                <w:color w:val="000000"/>
              </w:rPr>
              <w:t>.</w:t>
            </w:r>
            <w:r w:rsidR="00B740F7">
              <w:rPr>
                <w:color w:val="000000"/>
              </w:rPr>
              <w:t xml:space="preserve"> </w:t>
            </w:r>
            <w:r w:rsidR="00A16E8C">
              <w:rPr>
                <w:color w:val="000000"/>
              </w:rPr>
              <w:t xml:space="preserve">After </w:t>
            </w:r>
            <w:r w:rsidR="004B5DB5">
              <w:rPr>
                <w:color w:val="000000"/>
              </w:rPr>
              <w:t xml:space="preserve">accounting for the deductions already applied in [2], </w:t>
            </w:r>
            <w:r w:rsidRPr="00A45C83" w:rsidR="00891E68">
              <w:rPr>
                <w:color w:val="000000"/>
              </w:rPr>
              <w:t xml:space="preserve">we apply a 25% </w:t>
            </w:r>
            <w:r w:rsidR="003A520D">
              <w:rPr>
                <w:color w:val="000000"/>
              </w:rPr>
              <w:t>r</w:t>
            </w:r>
            <w:r w:rsidRPr="00A45C83" w:rsidR="00891E68">
              <w:rPr>
                <w:color w:val="000000"/>
              </w:rPr>
              <w:t xml:space="preserve">eduction to the </w:t>
            </w:r>
            <w:r w:rsidRPr="00A45C83" w:rsidR="004603E4">
              <w:rPr>
                <w:color w:val="000000"/>
              </w:rPr>
              <w:t>following hours</w:t>
            </w:r>
            <w:r w:rsidR="009A6D14">
              <w:rPr>
                <w:color w:val="000000"/>
              </w:rPr>
              <w:t xml:space="preserve"> worked in 2023</w:t>
            </w:r>
            <w:r w:rsidRPr="00A45C83" w:rsidR="00A16E8C">
              <w:rPr>
                <w:color w:val="000000"/>
              </w:rPr>
              <w:t xml:space="preserve"> </w:t>
            </w:r>
            <w:r w:rsidR="00A16E8C">
              <w:rPr>
                <w:color w:val="000000"/>
              </w:rPr>
              <w:t>as these hours are excessive given that</w:t>
            </w:r>
            <w:r w:rsidR="00841A23">
              <w:rPr>
                <w:color w:val="000000"/>
              </w:rPr>
              <w:t xml:space="preserve"> CBD</w:t>
            </w:r>
            <w:r w:rsidR="00112042">
              <w:rPr>
                <w:color w:val="000000"/>
              </w:rPr>
              <w:t xml:space="preserve"> merely aligned its positions with other parties and did not provide</w:t>
            </w:r>
            <w:r w:rsidRPr="00A70B0C" w:rsidR="00112042">
              <w:rPr>
                <w:color w:val="000000"/>
              </w:rPr>
              <w:t xml:space="preserve"> </w:t>
            </w:r>
            <w:r w:rsidR="00112042">
              <w:rPr>
                <w:color w:val="000000"/>
              </w:rPr>
              <w:t xml:space="preserve">any </w:t>
            </w:r>
            <w:r w:rsidRPr="00A70B0C" w:rsidR="00112042">
              <w:rPr>
                <w:color w:val="000000"/>
              </w:rPr>
              <w:t xml:space="preserve">additional analysis, a distinct perspective, or </w:t>
            </w:r>
            <w:r w:rsidR="00226191">
              <w:rPr>
                <w:color w:val="000000"/>
              </w:rPr>
              <w:t xml:space="preserve">make any </w:t>
            </w:r>
            <w:r w:rsidRPr="00A70B0C" w:rsidR="00112042">
              <w:rPr>
                <w:color w:val="000000"/>
              </w:rPr>
              <w:t>unique factual or legal contributions</w:t>
            </w:r>
            <w:r w:rsidRPr="00A45C83" w:rsidR="00891E68">
              <w:rPr>
                <w:color w:val="000000"/>
              </w:rPr>
              <w:t>:</w:t>
            </w:r>
          </w:p>
          <w:p w:rsidRPr="00CF6575" w:rsidR="00F3381A" w:rsidP="00F3381A" w:rsidRDefault="00F3381A" w14:paraId="70D8030B" w14:textId="7F43B46B">
            <w:pPr>
              <w:pStyle w:val="ListParagraph"/>
              <w:numPr>
                <w:ilvl w:val="0"/>
                <w:numId w:val="12"/>
              </w:numPr>
              <w:tabs>
                <w:tab w:val="left" w:pos="1440"/>
              </w:tabs>
              <w:rPr>
                <w:rFonts w:ascii="Times New Roman" w:hAnsi="Times New Roman"/>
                <w:color w:val="000000"/>
                <w:sz w:val="24"/>
                <w:szCs w:val="24"/>
              </w:rPr>
            </w:pPr>
            <w:r w:rsidRPr="00CF6575">
              <w:rPr>
                <w:rFonts w:ascii="Times New Roman" w:hAnsi="Times New Roman"/>
                <w:color w:val="000000"/>
                <w:sz w:val="24"/>
                <w:szCs w:val="24"/>
              </w:rPr>
              <w:t xml:space="preserve">Wilson 2023: </w:t>
            </w:r>
            <w:r w:rsidR="00DA6967">
              <w:rPr>
                <w:rFonts w:ascii="Times New Roman" w:hAnsi="Times New Roman"/>
                <w:color w:val="000000"/>
                <w:sz w:val="24"/>
                <w:szCs w:val="24"/>
              </w:rPr>
              <w:t>6.73 hours reduced</w:t>
            </w:r>
          </w:p>
          <w:p w:rsidRPr="00CF6575" w:rsidR="00F3381A" w:rsidP="00F3381A" w:rsidRDefault="00F3381A" w14:paraId="6A8BF9EA" w14:textId="7A1462D4">
            <w:pPr>
              <w:pStyle w:val="ListParagraph"/>
              <w:numPr>
                <w:ilvl w:val="0"/>
                <w:numId w:val="12"/>
              </w:numPr>
              <w:tabs>
                <w:tab w:val="left" w:pos="1440"/>
              </w:tabs>
              <w:rPr>
                <w:rFonts w:ascii="Times New Roman" w:hAnsi="Times New Roman"/>
                <w:color w:val="000000"/>
                <w:sz w:val="24"/>
                <w:szCs w:val="24"/>
              </w:rPr>
            </w:pPr>
            <w:r w:rsidRPr="00CF6575">
              <w:rPr>
                <w:rFonts w:ascii="Times New Roman" w:hAnsi="Times New Roman"/>
                <w:color w:val="000000"/>
                <w:sz w:val="24"/>
                <w:szCs w:val="24"/>
              </w:rPr>
              <w:t xml:space="preserve">Crystal 2023: </w:t>
            </w:r>
            <w:r w:rsidR="00DA6967">
              <w:rPr>
                <w:rFonts w:ascii="Times New Roman" w:hAnsi="Times New Roman"/>
                <w:color w:val="000000"/>
                <w:sz w:val="24"/>
                <w:szCs w:val="24"/>
              </w:rPr>
              <w:t>0.78 hours reduced</w:t>
            </w:r>
          </w:p>
          <w:p w:rsidR="00EA5207" w:rsidRDefault="00F3381A" w14:paraId="68420811" w14:textId="2CD20313">
            <w:pPr>
              <w:pStyle w:val="ListParagraph"/>
              <w:numPr>
                <w:ilvl w:val="0"/>
                <w:numId w:val="12"/>
              </w:numPr>
              <w:tabs>
                <w:tab w:val="left" w:pos="1440"/>
              </w:tabs>
              <w:rPr>
                <w:rFonts w:ascii="Times New Roman" w:hAnsi="Times New Roman"/>
                <w:color w:val="000000"/>
                <w:sz w:val="24"/>
                <w:szCs w:val="24"/>
              </w:rPr>
            </w:pPr>
            <w:r w:rsidRPr="00CF6575">
              <w:rPr>
                <w:rFonts w:ascii="Times New Roman" w:hAnsi="Times New Roman"/>
                <w:color w:val="000000"/>
                <w:sz w:val="24"/>
                <w:szCs w:val="24"/>
              </w:rPr>
              <w:t xml:space="preserve">Lin 2023: </w:t>
            </w:r>
            <w:r w:rsidR="00A63110">
              <w:rPr>
                <w:rFonts w:ascii="Times New Roman" w:hAnsi="Times New Roman"/>
                <w:color w:val="000000"/>
                <w:sz w:val="24"/>
                <w:szCs w:val="24"/>
              </w:rPr>
              <w:t>1.4</w:t>
            </w:r>
            <w:r w:rsidR="00B93879">
              <w:rPr>
                <w:rFonts w:ascii="Times New Roman" w:hAnsi="Times New Roman"/>
                <w:color w:val="000000"/>
                <w:sz w:val="24"/>
                <w:szCs w:val="24"/>
              </w:rPr>
              <w:t>0</w:t>
            </w:r>
            <w:r w:rsidR="00A63110">
              <w:rPr>
                <w:rFonts w:ascii="Times New Roman" w:hAnsi="Times New Roman"/>
                <w:color w:val="000000"/>
                <w:sz w:val="24"/>
                <w:szCs w:val="24"/>
              </w:rPr>
              <w:t xml:space="preserve"> hours reduced</w:t>
            </w:r>
          </w:p>
          <w:p w:rsidRPr="00891E68" w:rsidR="00F3381A" w:rsidP="00226191" w:rsidRDefault="00EA5207" w14:paraId="08ECB50A" w14:textId="1F247A95">
            <w:pPr>
              <w:pStyle w:val="ListParagraph"/>
              <w:tabs>
                <w:tab w:val="left" w:pos="1440"/>
              </w:tabs>
            </w:pPr>
            <w:r>
              <w:rPr>
                <w:rFonts w:ascii="Times New Roman" w:hAnsi="Times New Roman"/>
                <w:color w:val="000000"/>
                <w:sz w:val="24"/>
                <w:szCs w:val="24"/>
              </w:rPr>
              <w:t xml:space="preserve">Total: </w:t>
            </w:r>
            <w:r w:rsidR="00B17752">
              <w:rPr>
                <w:rFonts w:ascii="Times New Roman" w:hAnsi="Times New Roman"/>
                <w:color w:val="000000"/>
                <w:sz w:val="24"/>
                <w:szCs w:val="24"/>
              </w:rPr>
              <w:t>8.91 hours reduced</w:t>
            </w:r>
            <w:r>
              <w:rPr>
                <w:rFonts w:ascii="Times New Roman" w:hAnsi="Times New Roman"/>
                <w:color w:val="000000"/>
                <w:sz w:val="24"/>
                <w:szCs w:val="24"/>
              </w:rPr>
              <w:t xml:space="preserve"> </w:t>
            </w:r>
          </w:p>
        </w:tc>
      </w:tr>
      <w:tr w:rsidRPr="007F620E" w:rsidR="00F635C1" w:rsidTr="006009CB" w14:paraId="19AABDFF" w14:textId="77777777">
        <w:tc>
          <w:tcPr>
            <w:tcW w:w="2523" w:type="dxa"/>
          </w:tcPr>
          <w:p w:rsidR="00F635C1" w:rsidP="00F635C1" w:rsidRDefault="00EF20F6" w14:paraId="56901F91" w14:textId="39632371">
            <w:pPr>
              <w:tabs>
                <w:tab w:val="left" w:pos="1440"/>
              </w:tabs>
              <w:rPr>
                <w:color w:val="000000"/>
              </w:rPr>
            </w:pPr>
            <w:r>
              <w:rPr>
                <w:color w:val="000000"/>
              </w:rPr>
              <w:lastRenderedPageBreak/>
              <w:t>[</w:t>
            </w:r>
            <w:r w:rsidR="000236E4">
              <w:rPr>
                <w:color w:val="000000"/>
              </w:rPr>
              <w:t>4</w:t>
            </w:r>
            <w:r>
              <w:rPr>
                <w:color w:val="000000"/>
              </w:rPr>
              <w:t xml:space="preserve">] </w:t>
            </w:r>
            <w:r w:rsidR="00F635C1">
              <w:rPr>
                <w:color w:val="000000"/>
              </w:rPr>
              <w:t xml:space="preserve">Augusta Wilson’s </w:t>
            </w:r>
            <w:r w:rsidR="004F04C8">
              <w:rPr>
                <w:color w:val="000000"/>
              </w:rPr>
              <w:t xml:space="preserve">2022, </w:t>
            </w:r>
            <w:r w:rsidR="00F635C1">
              <w:rPr>
                <w:color w:val="000000"/>
              </w:rPr>
              <w:t>2023</w:t>
            </w:r>
            <w:r w:rsidR="004F04C8">
              <w:rPr>
                <w:color w:val="000000"/>
              </w:rPr>
              <w:t>,</w:t>
            </w:r>
            <w:r w:rsidR="00F635C1">
              <w:rPr>
                <w:color w:val="000000"/>
              </w:rPr>
              <w:t xml:space="preserve"> and 2024 Hourly Rate</w:t>
            </w:r>
            <w:r w:rsidR="003D222B">
              <w:rPr>
                <w:color w:val="000000"/>
              </w:rPr>
              <w:t>s</w:t>
            </w:r>
            <w:r w:rsidR="00F635C1">
              <w:rPr>
                <w:color w:val="000000"/>
              </w:rPr>
              <w:t xml:space="preserve"> and Intervenor Compensation Rate</w:t>
            </w:r>
          </w:p>
        </w:tc>
        <w:tc>
          <w:tcPr>
            <w:tcW w:w="6837" w:type="dxa"/>
          </w:tcPr>
          <w:p w:rsidRPr="00744358" w:rsidR="00F635C1" w:rsidP="00F635C1" w:rsidRDefault="00F635C1" w14:paraId="3009B16F" w14:textId="3CC06C94">
            <w:pPr>
              <w:tabs>
                <w:tab w:val="left" w:pos="1440"/>
              </w:tabs>
              <w:rPr>
                <w:color w:val="000000"/>
              </w:rPr>
            </w:pPr>
            <w:r w:rsidRPr="00744358">
              <w:rPr>
                <w:color w:val="000000"/>
              </w:rPr>
              <w:t xml:space="preserve">Center for Biological Diversity requested an hourly rate of </w:t>
            </w:r>
            <w:r w:rsidRPr="00744358">
              <w:rPr>
                <w:bCs/>
                <w:color w:val="000000"/>
              </w:rPr>
              <w:t>$</w:t>
            </w:r>
            <w:r w:rsidRPr="00744358">
              <w:rPr>
                <w:color w:val="000000"/>
              </w:rPr>
              <w:t xml:space="preserve">536.52 </w:t>
            </w:r>
            <w:r w:rsidRPr="00744358">
              <w:rPr>
                <w:bCs/>
                <w:color w:val="000000"/>
              </w:rPr>
              <w:t xml:space="preserve">in 2023 and </w:t>
            </w:r>
            <w:r w:rsidRPr="00744358">
              <w:rPr>
                <w:color w:val="000000"/>
              </w:rPr>
              <w:t xml:space="preserve">$558.35 </w:t>
            </w:r>
            <w:r w:rsidRPr="00744358">
              <w:rPr>
                <w:bCs/>
                <w:color w:val="000000"/>
              </w:rPr>
              <w:t>in 2024 for Augusta Wilson.</w:t>
            </w:r>
            <w:r w:rsidRPr="00744358" w:rsidR="00DD3C0C">
              <w:rPr>
                <w:bCs/>
                <w:color w:val="000000"/>
              </w:rPr>
              <w:t xml:space="preserve"> </w:t>
            </w:r>
            <w:r w:rsidR="003D222B">
              <w:rPr>
                <w:bCs/>
                <w:color w:val="000000"/>
              </w:rPr>
              <w:t>The Commission</w:t>
            </w:r>
            <w:r w:rsidRPr="00744358" w:rsidR="003D222B">
              <w:rPr>
                <w:bCs/>
                <w:color w:val="000000"/>
              </w:rPr>
              <w:t xml:space="preserve"> </w:t>
            </w:r>
            <w:r w:rsidRPr="00744358" w:rsidR="00DD3C0C">
              <w:rPr>
                <w:bCs/>
                <w:color w:val="000000"/>
              </w:rPr>
              <w:t>also determine</w:t>
            </w:r>
            <w:r w:rsidR="003D222B">
              <w:rPr>
                <w:bCs/>
                <w:color w:val="000000"/>
              </w:rPr>
              <w:t>s</w:t>
            </w:r>
            <w:r w:rsidRPr="00744358" w:rsidR="00DD3C0C">
              <w:rPr>
                <w:bCs/>
                <w:color w:val="000000"/>
              </w:rPr>
              <w:t xml:space="preserve"> a 2022 rate </w:t>
            </w:r>
            <w:r w:rsidR="00BC362D">
              <w:rPr>
                <w:bCs/>
                <w:color w:val="000000"/>
              </w:rPr>
              <w:t xml:space="preserve">to compensate </w:t>
            </w:r>
            <w:r w:rsidRPr="00744358" w:rsidR="00DD3C0C">
              <w:rPr>
                <w:bCs/>
                <w:color w:val="000000"/>
              </w:rPr>
              <w:t xml:space="preserve">the 2022 hours identified in </w:t>
            </w:r>
            <w:r w:rsidR="003D222B">
              <w:rPr>
                <w:bCs/>
                <w:color w:val="000000"/>
              </w:rPr>
              <w:t>Part III.D.</w:t>
            </w:r>
            <w:r w:rsidRPr="00744358" w:rsidR="00DD3C0C">
              <w:rPr>
                <w:bCs/>
                <w:color w:val="000000"/>
              </w:rPr>
              <w:t xml:space="preserve">[1]. </w:t>
            </w:r>
          </w:p>
          <w:p w:rsidRPr="00744358" w:rsidR="00F635C1" w:rsidP="00F635C1" w:rsidRDefault="00F635C1" w14:paraId="20D808D1" w14:textId="77777777">
            <w:pPr>
              <w:tabs>
                <w:tab w:val="left" w:pos="1440"/>
              </w:tabs>
              <w:rPr>
                <w:color w:val="000000"/>
              </w:rPr>
            </w:pPr>
          </w:p>
          <w:p w:rsidRPr="00744358" w:rsidR="00F635C1" w:rsidP="00F635C1" w:rsidRDefault="00F635C1" w14:paraId="1AD6F413" w14:textId="3C4B464F">
            <w:pPr>
              <w:autoSpaceDE w:val="0"/>
              <w:autoSpaceDN w:val="0"/>
              <w:adjustRightInd w:val="0"/>
              <w:rPr>
                <w:bCs/>
                <w:color w:val="000000"/>
              </w:rPr>
            </w:pPr>
            <w:r w:rsidRPr="00744358">
              <w:rPr>
                <w:bCs/>
                <w:color w:val="000000"/>
              </w:rPr>
              <w:t xml:space="preserve">Review of Wilson’s resume finds that </w:t>
            </w:r>
            <w:r w:rsidR="00F807E4">
              <w:rPr>
                <w:bCs/>
                <w:color w:val="000000"/>
              </w:rPr>
              <w:t>Wilson</w:t>
            </w:r>
            <w:r w:rsidRPr="00744358" w:rsidR="00F807E4">
              <w:rPr>
                <w:bCs/>
                <w:color w:val="000000"/>
              </w:rPr>
              <w:t xml:space="preserve"> </w:t>
            </w:r>
            <w:r w:rsidRPr="00744358">
              <w:rPr>
                <w:bCs/>
                <w:color w:val="000000"/>
              </w:rPr>
              <w:t xml:space="preserve">has </w:t>
            </w:r>
            <w:r w:rsidR="003D222B">
              <w:rPr>
                <w:bCs/>
                <w:color w:val="000000"/>
              </w:rPr>
              <w:t>approximately</w:t>
            </w:r>
            <w:r w:rsidRPr="00744358" w:rsidR="003D222B">
              <w:rPr>
                <w:bCs/>
                <w:color w:val="000000"/>
              </w:rPr>
              <w:t xml:space="preserve"> </w:t>
            </w:r>
            <w:r w:rsidRPr="00744358">
              <w:rPr>
                <w:bCs/>
                <w:color w:val="000000"/>
              </w:rPr>
              <w:t>1</w:t>
            </w:r>
            <w:r w:rsidRPr="00744358" w:rsidR="00D65AC6">
              <w:rPr>
                <w:bCs/>
                <w:color w:val="000000"/>
              </w:rPr>
              <w:t>3</w:t>
            </w:r>
            <w:r w:rsidRPr="00744358">
              <w:rPr>
                <w:bCs/>
                <w:color w:val="000000"/>
              </w:rPr>
              <w:t xml:space="preserve"> years of experience as a practicing attorney as of 202</w:t>
            </w:r>
            <w:r w:rsidRPr="00744358" w:rsidR="00D65AC6">
              <w:rPr>
                <w:bCs/>
                <w:color w:val="000000"/>
              </w:rPr>
              <w:t>2</w:t>
            </w:r>
            <w:r w:rsidRPr="00744358">
              <w:rPr>
                <w:bCs/>
                <w:color w:val="000000"/>
              </w:rPr>
              <w:t xml:space="preserve">, </w:t>
            </w:r>
            <w:r w:rsidR="003D222B">
              <w:rPr>
                <w:bCs/>
                <w:color w:val="000000"/>
              </w:rPr>
              <w:t>as such</w:t>
            </w:r>
            <w:r w:rsidRPr="00744358">
              <w:rPr>
                <w:bCs/>
                <w:color w:val="000000"/>
              </w:rPr>
              <w:t xml:space="preserve"> we </w:t>
            </w:r>
            <w:r w:rsidRPr="00744358">
              <w:rPr>
                <w:bCs/>
                <w:color w:val="000000"/>
              </w:rPr>
              <w:lastRenderedPageBreak/>
              <w:t xml:space="preserve">classify </w:t>
            </w:r>
            <w:r w:rsidR="003D222B">
              <w:rPr>
                <w:bCs/>
                <w:color w:val="000000"/>
              </w:rPr>
              <w:t>Wilson</w:t>
            </w:r>
            <w:r w:rsidRPr="00744358" w:rsidR="003D222B">
              <w:rPr>
                <w:bCs/>
                <w:color w:val="000000"/>
              </w:rPr>
              <w:t xml:space="preserve"> </w:t>
            </w:r>
            <w:r w:rsidRPr="00744358">
              <w:rPr>
                <w:bCs/>
                <w:color w:val="000000"/>
              </w:rPr>
              <w:t xml:space="preserve">as a Legal – Attorney – IV for </w:t>
            </w:r>
            <w:r w:rsidRPr="00744358" w:rsidR="00DD3C0C">
              <w:rPr>
                <w:bCs/>
                <w:color w:val="000000"/>
              </w:rPr>
              <w:t xml:space="preserve">2022, </w:t>
            </w:r>
            <w:r w:rsidRPr="00744358">
              <w:rPr>
                <w:bCs/>
                <w:color w:val="000000"/>
              </w:rPr>
              <w:t>2023</w:t>
            </w:r>
            <w:r w:rsidRPr="00744358" w:rsidR="00DD3C0C">
              <w:rPr>
                <w:bCs/>
                <w:color w:val="000000"/>
              </w:rPr>
              <w:t>,</w:t>
            </w:r>
            <w:r w:rsidRPr="00744358">
              <w:rPr>
                <w:bCs/>
                <w:color w:val="000000"/>
              </w:rPr>
              <w:t xml:space="preserve"> and 2024.  </w:t>
            </w:r>
          </w:p>
          <w:p w:rsidRPr="00744358" w:rsidR="00F635C1" w:rsidP="00F635C1" w:rsidRDefault="00F635C1" w14:paraId="435E2E94" w14:textId="77777777">
            <w:pPr>
              <w:tabs>
                <w:tab w:val="left" w:pos="1440"/>
              </w:tabs>
              <w:rPr>
                <w:color w:val="000000"/>
              </w:rPr>
            </w:pPr>
          </w:p>
          <w:p w:rsidRPr="00744358" w:rsidR="005B6C0D" w:rsidP="00F635C1" w:rsidRDefault="00F635C1" w14:paraId="5B2C0F7C" w14:textId="53F9B695">
            <w:pPr>
              <w:autoSpaceDE w:val="0"/>
              <w:autoSpaceDN w:val="0"/>
              <w:adjustRightInd w:val="0"/>
              <w:rPr>
                <w:bCs/>
                <w:color w:val="000000"/>
              </w:rPr>
            </w:pPr>
            <w:r w:rsidRPr="00744358">
              <w:rPr>
                <w:bCs/>
                <w:color w:val="000000"/>
              </w:rPr>
              <w:t xml:space="preserve">Per Resolution ALJ-393, the </w:t>
            </w:r>
            <w:r w:rsidRPr="00744358" w:rsidR="004326A0">
              <w:rPr>
                <w:bCs/>
                <w:color w:val="000000"/>
              </w:rPr>
              <w:t xml:space="preserve">2022 </w:t>
            </w:r>
            <w:r w:rsidRPr="00744358">
              <w:rPr>
                <w:bCs/>
                <w:color w:val="000000"/>
              </w:rPr>
              <w:t>hourly range for a Legal – Attorney – IV (10-15 years of experience) is $</w:t>
            </w:r>
            <w:r w:rsidRPr="00744358" w:rsidR="004326A0">
              <w:rPr>
                <w:bCs/>
                <w:color w:val="000000"/>
              </w:rPr>
              <w:t>398.27</w:t>
            </w:r>
            <w:r w:rsidRPr="00744358">
              <w:rPr>
                <w:bCs/>
                <w:color w:val="000000"/>
              </w:rPr>
              <w:t xml:space="preserve"> to $</w:t>
            </w:r>
            <w:r w:rsidRPr="00744358" w:rsidR="004326A0">
              <w:rPr>
                <w:bCs/>
                <w:color w:val="000000"/>
              </w:rPr>
              <w:t>635.75</w:t>
            </w:r>
            <w:r w:rsidRPr="00744358">
              <w:rPr>
                <w:bCs/>
                <w:color w:val="000000"/>
              </w:rPr>
              <w:t xml:space="preserve"> with a median of $5</w:t>
            </w:r>
            <w:r w:rsidRPr="00744358" w:rsidR="004326A0">
              <w:rPr>
                <w:bCs/>
                <w:color w:val="000000"/>
              </w:rPr>
              <w:t>13.61</w:t>
            </w:r>
            <w:r w:rsidRPr="00744358">
              <w:rPr>
                <w:bCs/>
                <w:color w:val="000000"/>
              </w:rPr>
              <w:t xml:space="preserve">. We approve a </w:t>
            </w:r>
            <w:r w:rsidRPr="00744358" w:rsidR="004326A0">
              <w:rPr>
                <w:bCs/>
                <w:color w:val="000000"/>
              </w:rPr>
              <w:t xml:space="preserve">2022 </w:t>
            </w:r>
            <w:r w:rsidRPr="00744358">
              <w:rPr>
                <w:bCs/>
                <w:color w:val="000000"/>
              </w:rPr>
              <w:t>hourly rate of $</w:t>
            </w:r>
            <w:r w:rsidRPr="00744358" w:rsidR="00474AA4">
              <w:rPr>
                <w:bCs/>
                <w:color w:val="000000"/>
              </w:rPr>
              <w:t>51</w:t>
            </w:r>
            <w:r w:rsidR="00474AA4">
              <w:rPr>
                <w:bCs/>
                <w:color w:val="000000"/>
              </w:rPr>
              <w:t>0</w:t>
            </w:r>
            <w:r w:rsidRPr="00744358" w:rsidR="009D77B9">
              <w:rPr>
                <w:bCs/>
                <w:color w:val="000000"/>
              </w:rPr>
              <w:t>.00.</w:t>
            </w:r>
            <w:r w:rsidR="009D7E91">
              <w:rPr>
                <w:bCs/>
                <w:color w:val="000000"/>
              </w:rPr>
              <w:t xml:space="preserve"> </w:t>
            </w:r>
            <w:r w:rsidRPr="00744358" w:rsidR="009D7E91">
              <w:rPr>
                <w:color w:val="000000"/>
              </w:rPr>
              <w:t>We take ½ of Wilson’s 202</w:t>
            </w:r>
            <w:r w:rsidR="009D7E91">
              <w:rPr>
                <w:color w:val="000000"/>
              </w:rPr>
              <w:t>2</w:t>
            </w:r>
            <w:r w:rsidRPr="00744358" w:rsidR="009D7E91">
              <w:rPr>
                <w:color w:val="000000"/>
              </w:rPr>
              <w:t xml:space="preserve"> rate for a 202</w:t>
            </w:r>
            <w:r w:rsidR="009D7E91">
              <w:rPr>
                <w:color w:val="000000"/>
              </w:rPr>
              <w:t>2</w:t>
            </w:r>
            <w:r w:rsidRPr="00744358" w:rsidR="009D7E91">
              <w:rPr>
                <w:color w:val="000000"/>
              </w:rPr>
              <w:t xml:space="preserve"> intervenor compensation rate of $2</w:t>
            </w:r>
            <w:r w:rsidR="009D7E91">
              <w:rPr>
                <w:color w:val="000000"/>
              </w:rPr>
              <w:t>55.00</w:t>
            </w:r>
            <w:r w:rsidRPr="00744358" w:rsidR="009D7E91">
              <w:rPr>
                <w:color w:val="000000"/>
              </w:rPr>
              <w:t>.</w:t>
            </w:r>
          </w:p>
          <w:p w:rsidRPr="00744358" w:rsidR="005B6C0D" w:rsidP="00F635C1" w:rsidRDefault="005B6C0D" w14:paraId="051A4202" w14:textId="77777777">
            <w:pPr>
              <w:autoSpaceDE w:val="0"/>
              <w:autoSpaceDN w:val="0"/>
              <w:adjustRightInd w:val="0"/>
              <w:rPr>
                <w:bCs/>
                <w:color w:val="000000"/>
              </w:rPr>
            </w:pPr>
          </w:p>
          <w:p w:rsidRPr="00744358" w:rsidR="00F635C1" w:rsidP="00817F18" w:rsidRDefault="005B6C0D" w14:paraId="6B4538A8" w14:textId="3E993A2B">
            <w:pPr>
              <w:autoSpaceDE w:val="0"/>
              <w:autoSpaceDN w:val="0"/>
              <w:adjustRightInd w:val="0"/>
              <w:rPr>
                <w:color w:val="000000"/>
              </w:rPr>
            </w:pPr>
            <w:r w:rsidRPr="00744358">
              <w:rPr>
                <w:bCs/>
                <w:color w:val="000000"/>
              </w:rPr>
              <w:t>To the 2022 hourly rate of $</w:t>
            </w:r>
            <w:r w:rsidRPr="00744358" w:rsidR="00474AA4">
              <w:rPr>
                <w:bCs/>
                <w:color w:val="000000"/>
              </w:rPr>
              <w:t>5</w:t>
            </w:r>
            <w:r w:rsidR="00474AA4">
              <w:rPr>
                <w:bCs/>
                <w:color w:val="000000"/>
              </w:rPr>
              <w:t>10</w:t>
            </w:r>
            <w:r w:rsidRPr="00744358" w:rsidR="00F635C1">
              <w:rPr>
                <w:bCs/>
                <w:color w:val="000000"/>
              </w:rPr>
              <w:t>.00</w:t>
            </w:r>
            <w:r w:rsidRPr="00744358">
              <w:rPr>
                <w:bCs/>
                <w:color w:val="000000"/>
              </w:rPr>
              <w:t>, we apply the 2023 escalation fa</w:t>
            </w:r>
            <w:r w:rsidR="00920E4D">
              <w:rPr>
                <w:bCs/>
                <w:color w:val="000000"/>
              </w:rPr>
              <w:t>c</w:t>
            </w:r>
            <w:r w:rsidRPr="00744358">
              <w:rPr>
                <w:bCs/>
                <w:color w:val="000000"/>
              </w:rPr>
              <w:t xml:space="preserve">tor of </w:t>
            </w:r>
            <w:r w:rsidRPr="00744358" w:rsidR="007965AA">
              <w:rPr>
                <w:bCs/>
                <w:color w:val="000000"/>
              </w:rPr>
              <w:t>4.46% for a 2023 hourly rate of $</w:t>
            </w:r>
            <w:r w:rsidRPr="00744358" w:rsidR="00947C2A">
              <w:rPr>
                <w:bCs/>
                <w:color w:val="000000"/>
              </w:rPr>
              <w:t>5</w:t>
            </w:r>
            <w:r w:rsidR="00947C2A">
              <w:rPr>
                <w:bCs/>
                <w:color w:val="000000"/>
              </w:rPr>
              <w:t>35</w:t>
            </w:r>
            <w:r w:rsidRPr="00744358" w:rsidR="007965AA">
              <w:rPr>
                <w:bCs/>
                <w:color w:val="000000"/>
              </w:rPr>
              <w:t>.00</w:t>
            </w:r>
            <w:r w:rsidRPr="00744358" w:rsidR="00F635C1">
              <w:rPr>
                <w:bCs/>
                <w:color w:val="000000"/>
              </w:rPr>
              <w:t>.</w:t>
            </w:r>
            <w:r w:rsidR="005E218D">
              <w:rPr>
                <w:color w:val="000000"/>
              </w:rPr>
              <w:t xml:space="preserve"> </w:t>
            </w:r>
          </w:p>
          <w:p w:rsidRPr="00744358" w:rsidR="00F635C1" w:rsidP="00F635C1" w:rsidRDefault="00F635C1" w14:paraId="099051FE" w14:textId="77777777">
            <w:pPr>
              <w:tabs>
                <w:tab w:val="left" w:pos="1440"/>
              </w:tabs>
              <w:rPr>
                <w:color w:val="000000"/>
              </w:rPr>
            </w:pPr>
          </w:p>
          <w:p w:rsidRPr="00744358" w:rsidR="00F635C1" w:rsidP="00F635C1" w:rsidRDefault="00F635C1" w14:paraId="7217E4A0" w14:textId="472B0D4F">
            <w:pPr>
              <w:autoSpaceDE w:val="0"/>
              <w:autoSpaceDN w:val="0"/>
              <w:adjustRightInd w:val="0"/>
              <w:rPr>
                <w:color w:val="000000"/>
              </w:rPr>
            </w:pPr>
            <w:r w:rsidRPr="00744358">
              <w:rPr>
                <w:bCs/>
                <w:color w:val="000000"/>
              </w:rPr>
              <w:t>To the 2023 hourly rate of $</w:t>
            </w:r>
            <w:r w:rsidRPr="00744358" w:rsidR="00947C2A">
              <w:rPr>
                <w:bCs/>
                <w:color w:val="000000"/>
              </w:rPr>
              <w:t>5</w:t>
            </w:r>
            <w:r w:rsidR="00947C2A">
              <w:rPr>
                <w:bCs/>
                <w:color w:val="000000"/>
              </w:rPr>
              <w:t>35</w:t>
            </w:r>
            <w:r w:rsidRPr="00744358">
              <w:rPr>
                <w:bCs/>
                <w:color w:val="000000"/>
              </w:rPr>
              <w:t>.00, we apply 2024 escalation factor of 4.07% for a 2024 hourly rate of $</w:t>
            </w:r>
            <w:r w:rsidRPr="00744358" w:rsidR="00947C2A">
              <w:rPr>
                <w:bCs/>
                <w:color w:val="000000"/>
              </w:rPr>
              <w:t>5</w:t>
            </w:r>
            <w:r w:rsidR="00947C2A">
              <w:rPr>
                <w:bCs/>
                <w:color w:val="000000"/>
              </w:rPr>
              <w:t>55</w:t>
            </w:r>
            <w:r w:rsidRPr="00744358">
              <w:rPr>
                <w:bCs/>
                <w:color w:val="000000"/>
              </w:rPr>
              <w:t xml:space="preserve">.00. </w:t>
            </w:r>
          </w:p>
        </w:tc>
      </w:tr>
      <w:tr w:rsidRPr="007F620E" w:rsidR="00F635C1" w:rsidTr="006009CB" w14:paraId="0B522EE7" w14:textId="77777777">
        <w:tc>
          <w:tcPr>
            <w:tcW w:w="2523" w:type="dxa"/>
          </w:tcPr>
          <w:p w:rsidR="00F635C1" w:rsidP="00F635C1" w:rsidRDefault="00EF20F6" w14:paraId="07696737" w14:textId="2F5F9DFD">
            <w:pPr>
              <w:tabs>
                <w:tab w:val="left" w:pos="1440"/>
              </w:tabs>
              <w:rPr>
                <w:color w:val="000000"/>
              </w:rPr>
            </w:pPr>
            <w:r>
              <w:rPr>
                <w:color w:val="000000"/>
              </w:rPr>
              <w:lastRenderedPageBreak/>
              <w:t>[</w:t>
            </w:r>
            <w:r w:rsidR="000236E4">
              <w:rPr>
                <w:color w:val="000000"/>
              </w:rPr>
              <w:t>5</w:t>
            </w:r>
            <w:r>
              <w:rPr>
                <w:color w:val="000000"/>
              </w:rPr>
              <w:t>]</w:t>
            </w:r>
            <w:r w:rsidR="007A2524">
              <w:rPr>
                <w:color w:val="000000"/>
              </w:rPr>
              <w:t xml:space="preserve"> </w:t>
            </w:r>
            <w:r w:rsidR="00F635C1">
              <w:rPr>
                <w:color w:val="000000"/>
              </w:rPr>
              <w:t>Howard Crystal’s 2023 and 2024 Hourly Rate</w:t>
            </w:r>
          </w:p>
        </w:tc>
        <w:tc>
          <w:tcPr>
            <w:tcW w:w="6837" w:type="dxa"/>
          </w:tcPr>
          <w:p w:rsidRPr="00DE68FF" w:rsidR="00527C11" w:rsidP="00527C11" w:rsidRDefault="00527C11" w14:paraId="27361BC9" w14:textId="77777777">
            <w:pPr>
              <w:tabs>
                <w:tab w:val="left" w:pos="1440"/>
              </w:tabs>
              <w:rPr>
                <w:bCs/>
                <w:color w:val="000000"/>
              </w:rPr>
            </w:pPr>
            <w:r w:rsidRPr="00DE68FF">
              <w:rPr>
                <w:color w:val="000000"/>
              </w:rPr>
              <w:t xml:space="preserve">Center for Biological Diversity requested an hourly rate of </w:t>
            </w:r>
            <w:r w:rsidRPr="00DE68FF">
              <w:rPr>
                <w:bCs/>
                <w:color w:val="000000"/>
              </w:rPr>
              <w:t>$</w:t>
            </w:r>
            <w:r w:rsidRPr="00DE68FF">
              <w:rPr>
                <w:color w:val="000000"/>
              </w:rPr>
              <w:t xml:space="preserve">763.19 </w:t>
            </w:r>
            <w:r w:rsidRPr="00DE68FF">
              <w:rPr>
                <w:bCs/>
                <w:color w:val="000000"/>
              </w:rPr>
              <w:t xml:space="preserve">in 2023 and </w:t>
            </w:r>
            <w:r w:rsidRPr="00DE68FF">
              <w:rPr>
                <w:color w:val="000000"/>
              </w:rPr>
              <w:t xml:space="preserve">$794.25 </w:t>
            </w:r>
            <w:r w:rsidRPr="00DE68FF">
              <w:rPr>
                <w:bCs/>
                <w:color w:val="000000"/>
              </w:rPr>
              <w:t>in 2024 for Howard Crystal.</w:t>
            </w:r>
          </w:p>
          <w:p w:rsidRPr="00DE68FF" w:rsidR="00527C11" w:rsidP="00527C11" w:rsidRDefault="00527C11" w14:paraId="61D4A9D0" w14:textId="77777777">
            <w:pPr>
              <w:tabs>
                <w:tab w:val="left" w:pos="1440"/>
              </w:tabs>
              <w:rPr>
                <w:bCs/>
                <w:color w:val="000000"/>
              </w:rPr>
            </w:pPr>
          </w:p>
          <w:p w:rsidRPr="00DE68FF" w:rsidR="00527C11" w:rsidP="00527C11" w:rsidRDefault="00527C11" w14:paraId="36836874" w14:textId="47C1910E">
            <w:pPr>
              <w:tabs>
                <w:tab w:val="left" w:pos="1440"/>
              </w:tabs>
              <w:rPr>
                <w:bCs/>
                <w:color w:val="000000"/>
              </w:rPr>
            </w:pPr>
            <w:r w:rsidRPr="00DE68FF">
              <w:rPr>
                <w:bCs/>
                <w:color w:val="000000"/>
              </w:rPr>
              <w:t xml:space="preserve">Upon review of Crystal’s resume, we find that </w:t>
            </w:r>
            <w:r w:rsidR="00676632">
              <w:rPr>
                <w:bCs/>
                <w:color w:val="000000"/>
              </w:rPr>
              <w:t>Crystal</w:t>
            </w:r>
            <w:r w:rsidRPr="00DE68FF" w:rsidR="00676632">
              <w:rPr>
                <w:bCs/>
                <w:color w:val="000000"/>
              </w:rPr>
              <w:t xml:space="preserve"> </w:t>
            </w:r>
            <w:r w:rsidRPr="00DE68FF">
              <w:rPr>
                <w:bCs/>
                <w:color w:val="000000"/>
              </w:rPr>
              <w:t>has 12 years of practical relevant experience toward Legal Director and 29+ years as an attorney as of 2023. We</w:t>
            </w:r>
            <w:r w:rsidR="00676632">
              <w:rPr>
                <w:bCs/>
                <w:color w:val="000000"/>
              </w:rPr>
              <w:t xml:space="preserve"> therefore</w:t>
            </w:r>
            <w:r w:rsidRPr="00DE68FF">
              <w:rPr>
                <w:bCs/>
                <w:color w:val="000000"/>
              </w:rPr>
              <w:t xml:space="preserve"> classify </w:t>
            </w:r>
            <w:r w:rsidR="00676632">
              <w:rPr>
                <w:bCs/>
                <w:color w:val="000000"/>
              </w:rPr>
              <w:t>Crystal</w:t>
            </w:r>
            <w:r w:rsidRPr="00DE68FF">
              <w:rPr>
                <w:bCs/>
                <w:color w:val="000000"/>
              </w:rPr>
              <w:t xml:space="preserve"> as a Legal – Legal Director – IV for 2023 and 2024. </w:t>
            </w:r>
          </w:p>
          <w:p w:rsidRPr="00DE68FF" w:rsidR="00527C11" w:rsidP="00527C11" w:rsidRDefault="00527C11" w14:paraId="6A4B0673" w14:textId="77777777">
            <w:pPr>
              <w:tabs>
                <w:tab w:val="left" w:pos="1440"/>
              </w:tabs>
              <w:rPr>
                <w:color w:val="000000"/>
              </w:rPr>
            </w:pPr>
          </w:p>
          <w:p w:rsidR="00527C11" w:rsidP="00527C11" w:rsidRDefault="00527C11" w14:paraId="5B436196" w14:textId="164DF3EA">
            <w:pPr>
              <w:autoSpaceDE w:val="0"/>
              <w:autoSpaceDN w:val="0"/>
              <w:adjustRightInd w:val="0"/>
              <w:rPr>
                <w:bCs/>
                <w:color w:val="000000"/>
              </w:rPr>
            </w:pPr>
            <w:r w:rsidRPr="00DE68FF">
              <w:rPr>
                <w:bCs/>
                <w:color w:val="000000"/>
              </w:rPr>
              <w:t>Per Resolution ALJ-393, the 2023 hourly range for a Legal – Legal Director –IV (10-15 years of experience) is $518.55 to $832.67 with a median of $672.21. We approve a 2023 hourly rate of $</w:t>
            </w:r>
            <w:r w:rsidRPr="00DE68FF" w:rsidR="00474AA4">
              <w:rPr>
                <w:bCs/>
                <w:color w:val="000000"/>
              </w:rPr>
              <w:t>7</w:t>
            </w:r>
            <w:r w:rsidR="00474AA4">
              <w:rPr>
                <w:bCs/>
                <w:color w:val="000000"/>
              </w:rPr>
              <w:t>65</w:t>
            </w:r>
            <w:r w:rsidRPr="00DE68FF">
              <w:rPr>
                <w:bCs/>
                <w:color w:val="000000"/>
              </w:rPr>
              <w:t>.00.</w:t>
            </w:r>
          </w:p>
          <w:p w:rsidR="00527C11" w:rsidP="00527C11" w:rsidRDefault="00527C11" w14:paraId="4303A257" w14:textId="77777777">
            <w:pPr>
              <w:autoSpaceDE w:val="0"/>
              <w:autoSpaceDN w:val="0"/>
              <w:adjustRightInd w:val="0"/>
              <w:rPr>
                <w:bCs/>
                <w:color w:val="000000"/>
              </w:rPr>
            </w:pPr>
          </w:p>
          <w:p w:rsidRPr="00744358" w:rsidR="00F635C1" w:rsidP="00527C11" w:rsidRDefault="00527C11" w14:paraId="71A969F1" w14:textId="06CA7184">
            <w:pPr>
              <w:autoSpaceDE w:val="0"/>
              <w:autoSpaceDN w:val="0"/>
              <w:adjustRightInd w:val="0"/>
              <w:rPr>
                <w:color w:val="000000"/>
              </w:rPr>
            </w:pPr>
            <w:r>
              <w:rPr>
                <w:bCs/>
                <w:color w:val="000000"/>
              </w:rPr>
              <w:t>To the 2023 hourly rate of $</w:t>
            </w:r>
            <w:r w:rsidR="00474AA4">
              <w:rPr>
                <w:bCs/>
                <w:color w:val="000000"/>
              </w:rPr>
              <w:t>765</w:t>
            </w:r>
            <w:r>
              <w:rPr>
                <w:bCs/>
                <w:color w:val="000000"/>
              </w:rPr>
              <w:t>.00, we apply 2024 escalation factor of 4.07% for a 2024 hourly rate of $</w:t>
            </w:r>
            <w:r w:rsidR="00450484">
              <w:rPr>
                <w:bCs/>
                <w:color w:val="000000"/>
              </w:rPr>
              <w:t>795</w:t>
            </w:r>
            <w:r>
              <w:rPr>
                <w:bCs/>
                <w:color w:val="000000"/>
              </w:rPr>
              <w:t xml:space="preserve">.00. </w:t>
            </w:r>
          </w:p>
        </w:tc>
      </w:tr>
      <w:tr w:rsidRPr="007F620E" w:rsidR="00F635C1" w:rsidTr="006009CB" w14:paraId="69DEE01C" w14:textId="77777777">
        <w:tc>
          <w:tcPr>
            <w:tcW w:w="2523" w:type="dxa"/>
          </w:tcPr>
          <w:p w:rsidRPr="007F620E" w:rsidR="00F635C1" w:rsidP="00F635C1" w:rsidRDefault="00EF20F6" w14:paraId="1E6C8F3D" w14:textId="08F577A3">
            <w:pPr>
              <w:tabs>
                <w:tab w:val="left" w:pos="1440"/>
              </w:tabs>
              <w:rPr>
                <w:color w:val="000000"/>
              </w:rPr>
            </w:pPr>
            <w:r>
              <w:rPr>
                <w:color w:val="000000"/>
              </w:rPr>
              <w:t>[</w:t>
            </w:r>
            <w:r w:rsidR="000236E4">
              <w:rPr>
                <w:color w:val="000000"/>
              </w:rPr>
              <w:t>6</w:t>
            </w:r>
            <w:r>
              <w:rPr>
                <w:color w:val="000000"/>
              </w:rPr>
              <w:t xml:space="preserve">] </w:t>
            </w:r>
            <w:r w:rsidR="00F635C1">
              <w:rPr>
                <w:color w:val="000000"/>
              </w:rPr>
              <w:t xml:space="preserve">Roger Lin’s 2023 and 2024 Hourly Rate and Intervenor Compensation Rate </w:t>
            </w:r>
          </w:p>
        </w:tc>
        <w:tc>
          <w:tcPr>
            <w:tcW w:w="6837" w:type="dxa"/>
          </w:tcPr>
          <w:p w:rsidR="000544CD" w:rsidP="00F635C1" w:rsidRDefault="00F635C1" w14:paraId="09FD7779" w14:textId="66A3ECB5">
            <w:pPr>
              <w:autoSpaceDE w:val="0"/>
              <w:autoSpaceDN w:val="0"/>
              <w:adjustRightInd w:val="0"/>
              <w:rPr>
                <w:bCs/>
                <w:color w:val="000000"/>
              </w:rPr>
            </w:pPr>
            <w:r w:rsidRPr="00744358">
              <w:rPr>
                <w:color w:val="000000"/>
              </w:rPr>
              <w:t xml:space="preserve">Center for Biological Diversity requested an hourly rate of </w:t>
            </w:r>
            <w:r w:rsidRPr="00744358">
              <w:rPr>
                <w:bCs/>
                <w:color w:val="000000"/>
              </w:rPr>
              <w:t>$</w:t>
            </w:r>
            <w:r w:rsidRPr="00744358">
              <w:rPr>
                <w:color w:val="000000"/>
              </w:rPr>
              <w:t xml:space="preserve">536.52 </w:t>
            </w:r>
            <w:r w:rsidRPr="00744358">
              <w:rPr>
                <w:bCs/>
                <w:color w:val="000000"/>
              </w:rPr>
              <w:t xml:space="preserve">in 2023 and </w:t>
            </w:r>
            <w:r w:rsidRPr="00744358">
              <w:rPr>
                <w:color w:val="000000"/>
              </w:rPr>
              <w:t xml:space="preserve">$558.35 </w:t>
            </w:r>
            <w:r w:rsidRPr="00744358">
              <w:rPr>
                <w:bCs/>
                <w:color w:val="000000"/>
              </w:rPr>
              <w:t>in 2024 for Roger Lin.</w:t>
            </w:r>
            <w:r w:rsidRPr="00744358" w:rsidR="00DC590E">
              <w:rPr>
                <w:bCs/>
                <w:color w:val="000000"/>
              </w:rPr>
              <w:t xml:space="preserve"> </w:t>
            </w:r>
            <w:r w:rsidR="00306A8E">
              <w:rPr>
                <w:bCs/>
                <w:color w:val="000000"/>
              </w:rPr>
              <w:t>The Commission</w:t>
            </w:r>
            <w:r w:rsidRPr="00744358" w:rsidR="00306A8E">
              <w:rPr>
                <w:bCs/>
                <w:color w:val="000000"/>
              </w:rPr>
              <w:t xml:space="preserve"> also determine</w:t>
            </w:r>
            <w:r w:rsidR="00306A8E">
              <w:rPr>
                <w:bCs/>
                <w:color w:val="000000"/>
              </w:rPr>
              <w:t>s</w:t>
            </w:r>
            <w:r w:rsidRPr="00744358" w:rsidR="00306A8E">
              <w:rPr>
                <w:bCs/>
                <w:color w:val="000000"/>
              </w:rPr>
              <w:t xml:space="preserve"> a 2022 rate </w:t>
            </w:r>
            <w:r w:rsidR="00306A8E">
              <w:rPr>
                <w:bCs/>
                <w:color w:val="000000"/>
              </w:rPr>
              <w:t>to compensate</w:t>
            </w:r>
            <w:r w:rsidRPr="00744358" w:rsidR="00306A8E">
              <w:rPr>
                <w:bCs/>
                <w:color w:val="000000"/>
              </w:rPr>
              <w:t xml:space="preserve"> the 2022 hours identified in </w:t>
            </w:r>
            <w:r w:rsidR="00306A8E">
              <w:rPr>
                <w:bCs/>
                <w:color w:val="000000"/>
              </w:rPr>
              <w:t>Part III.D.</w:t>
            </w:r>
            <w:r w:rsidRPr="00744358" w:rsidR="00306A8E">
              <w:rPr>
                <w:bCs/>
                <w:color w:val="000000"/>
              </w:rPr>
              <w:t>[1].</w:t>
            </w:r>
          </w:p>
          <w:p w:rsidR="000544CD" w:rsidP="00F635C1" w:rsidRDefault="000544CD" w14:paraId="3E57D6CA" w14:textId="77777777">
            <w:pPr>
              <w:autoSpaceDE w:val="0"/>
              <w:autoSpaceDN w:val="0"/>
              <w:adjustRightInd w:val="0"/>
              <w:rPr>
                <w:bCs/>
                <w:color w:val="000000"/>
              </w:rPr>
            </w:pPr>
          </w:p>
          <w:p w:rsidRPr="00744358" w:rsidR="0026152C" w:rsidP="0026152C" w:rsidRDefault="00E7676B" w14:paraId="39AF325A" w14:textId="2905B2F4">
            <w:pPr>
              <w:autoSpaceDE w:val="0"/>
              <w:autoSpaceDN w:val="0"/>
              <w:adjustRightInd w:val="0"/>
              <w:rPr>
                <w:bCs/>
                <w:color w:val="000000"/>
              </w:rPr>
            </w:pPr>
            <w:r>
              <w:rPr>
                <w:bCs/>
                <w:color w:val="000000"/>
              </w:rPr>
              <w:t xml:space="preserve">We note that in this claim </w:t>
            </w:r>
            <w:r>
              <w:t>Lin</w:t>
            </w:r>
            <w:r w:rsidRPr="00F77EE4">
              <w:t xml:space="preserve"> seeks the median rate for an Attorney</w:t>
            </w:r>
            <w:r>
              <w:t xml:space="preserve"> -</w:t>
            </w:r>
            <w:r w:rsidRPr="00F77EE4">
              <w:t xml:space="preserve"> Level IV</w:t>
            </w:r>
            <w:r>
              <w:t xml:space="preserve"> for 2023 and 2024. However, in CBD’s intervenor compensation claim in R.22-11-013 Lin seeks a rate as an Attorney - Level V for </w:t>
            </w:r>
            <w:r w:rsidRPr="003B44CB">
              <w:t>2022</w:t>
            </w:r>
            <w:r>
              <w:t xml:space="preserve">, 2023, and 2024. </w:t>
            </w:r>
            <w:r w:rsidRPr="00744358" w:rsidR="00F635C1">
              <w:rPr>
                <w:bCs/>
                <w:color w:val="000000"/>
              </w:rPr>
              <w:t>Based on Lin’s 1</w:t>
            </w:r>
            <w:r w:rsidRPr="00744358" w:rsidR="00DC590E">
              <w:rPr>
                <w:bCs/>
                <w:color w:val="000000"/>
              </w:rPr>
              <w:t>5</w:t>
            </w:r>
            <w:r w:rsidRPr="00744358" w:rsidR="00F635C1">
              <w:rPr>
                <w:bCs/>
                <w:color w:val="000000"/>
              </w:rPr>
              <w:t xml:space="preserve"> years of experience as a practicing attorney as of 202</w:t>
            </w:r>
            <w:r w:rsidRPr="00744358" w:rsidR="00DC590E">
              <w:rPr>
                <w:bCs/>
                <w:color w:val="000000"/>
              </w:rPr>
              <w:t>2</w:t>
            </w:r>
            <w:r w:rsidRPr="00744358" w:rsidR="00F635C1">
              <w:rPr>
                <w:bCs/>
                <w:color w:val="000000"/>
              </w:rPr>
              <w:t xml:space="preserve">, we classify </w:t>
            </w:r>
            <w:r w:rsidR="00CA5FCA">
              <w:rPr>
                <w:bCs/>
                <w:color w:val="000000"/>
              </w:rPr>
              <w:t>Lin</w:t>
            </w:r>
            <w:r w:rsidRPr="00744358" w:rsidR="00CA5FCA">
              <w:rPr>
                <w:bCs/>
                <w:color w:val="000000"/>
              </w:rPr>
              <w:t xml:space="preserve"> </w:t>
            </w:r>
            <w:r w:rsidRPr="00744358" w:rsidR="00F635C1">
              <w:rPr>
                <w:bCs/>
                <w:color w:val="000000"/>
              </w:rPr>
              <w:t xml:space="preserve">as a Legal – Attorney –V for </w:t>
            </w:r>
            <w:r w:rsidR="001B2609">
              <w:rPr>
                <w:bCs/>
                <w:color w:val="000000"/>
              </w:rPr>
              <w:t xml:space="preserve">2022, </w:t>
            </w:r>
            <w:r w:rsidRPr="00744358" w:rsidR="00F635C1">
              <w:rPr>
                <w:bCs/>
                <w:color w:val="000000"/>
              </w:rPr>
              <w:t>2023</w:t>
            </w:r>
            <w:r w:rsidR="001B2609">
              <w:rPr>
                <w:bCs/>
                <w:color w:val="000000"/>
              </w:rPr>
              <w:t>,</w:t>
            </w:r>
            <w:r w:rsidRPr="00744358" w:rsidR="00F635C1">
              <w:rPr>
                <w:bCs/>
                <w:color w:val="000000"/>
              </w:rPr>
              <w:t xml:space="preserve"> and 2024</w:t>
            </w:r>
            <w:r>
              <w:rPr>
                <w:bCs/>
                <w:color w:val="000000"/>
              </w:rPr>
              <w:t xml:space="preserve"> in this claim</w:t>
            </w:r>
            <w:r w:rsidRPr="00744358" w:rsidR="00F635C1">
              <w:rPr>
                <w:bCs/>
                <w:color w:val="000000"/>
              </w:rPr>
              <w:t xml:space="preserve">.  </w:t>
            </w:r>
            <w:r w:rsidRPr="00744358" w:rsidR="0026152C">
              <w:rPr>
                <w:bCs/>
                <w:color w:val="000000"/>
              </w:rPr>
              <w:t>Per Resolution ALJ-393, the 2022 hourly range for a Legal – Attorney – V (15+ years of experience) is $506.38 to $719.10 with a median of $626.38. We approve a 2022 hourly rate of $555.00</w:t>
            </w:r>
            <w:r w:rsidR="0026152C">
              <w:rPr>
                <w:bCs/>
                <w:color w:val="000000"/>
              </w:rPr>
              <w:t>.</w:t>
            </w:r>
          </w:p>
          <w:p w:rsidRPr="00744358" w:rsidR="0026152C" w:rsidP="0026152C" w:rsidRDefault="0026152C" w14:paraId="112B70F4" w14:textId="77777777">
            <w:pPr>
              <w:tabs>
                <w:tab w:val="left" w:pos="1440"/>
              </w:tabs>
              <w:rPr>
                <w:color w:val="000000"/>
              </w:rPr>
            </w:pPr>
          </w:p>
          <w:p w:rsidRPr="00744358" w:rsidR="0026152C" w:rsidP="0026152C" w:rsidRDefault="0026152C" w14:paraId="4A98F457" w14:textId="667E81C1">
            <w:pPr>
              <w:tabs>
                <w:tab w:val="left" w:pos="1440"/>
              </w:tabs>
              <w:rPr>
                <w:color w:val="000000"/>
              </w:rPr>
            </w:pPr>
            <w:r w:rsidRPr="00744358">
              <w:rPr>
                <w:color w:val="000000"/>
              </w:rPr>
              <w:lastRenderedPageBreak/>
              <w:t>To the 2022 hourly rate of $555.00, we apply 2023 escalation factor of 4.46% for a 2023 hourly rate of $580</w:t>
            </w:r>
            <w:r>
              <w:rPr>
                <w:color w:val="000000"/>
              </w:rPr>
              <w:t>.00</w:t>
            </w:r>
            <w:r w:rsidRPr="00744358">
              <w:rPr>
                <w:color w:val="000000"/>
              </w:rPr>
              <w:t>.</w:t>
            </w:r>
          </w:p>
          <w:p w:rsidRPr="00744358" w:rsidR="00667667" w:rsidP="00F635C1" w:rsidRDefault="00667667" w14:paraId="29929972" w14:textId="77777777">
            <w:pPr>
              <w:tabs>
                <w:tab w:val="left" w:pos="1440"/>
              </w:tabs>
              <w:rPr>
                <w:color w:val="000000"/>
              </w:rPr>
            </w:pPr>
          </w:p>
          <w:p w:rsidRPr="00744358" w:rsidR="00F635C1" w:rsidP="00F635C1" w:rsidRDefault="00F635C1" w14:paraId="45BFCB16" w14:textId="7405B03F">
            <w:pPr>
              <w:autoSpaceDE w:val="0"/>
              <w:autoSpaceDN w:val="0"/>
              <w:adjustRightInd w:val="0"/>
              <w:rPr>
                <w:color w:val="000000"/>
              </w:rPr>
            </w:pPr>
            <w:r w:rsidRPr="00744358">
              <w:rPr>
                <w:bCs/>
                <w:color w:val="000000"/>
              </w:rPr>
              <w:t>To the 2023 hourly rate of $580.00, we apply 2024 escalation factor of 4.07% for a 2024 hourly rate of $605.00.</w:t>
            </w:r>
            <w:r w:rsidR="005E218D">
              <w:rPr>
                <w:color w:val="000000"/>
              </w:rPr>
              <w:t xml:space="preserve"> </w:t>
            </w:r>
            <w:r w:rsidRPr="00744358">
              <w:rPr>
                <w:color w:val="000000"/>
              </w:rPr>
              <w:t>We take ½ of Lin’s 2024 rate for a 2024 intervenor compensation rate of $302.50.</w:t>
            </w:r>
          </w:p>
        </w:tc>
      </w:tr>
    </w:tbl>
    <w:p w:rsidRPr="007F620E" w:rsidR="00A92D0B" w:rsidP="00575494" w:rsidRDefault="00A92D0B" w14:paraId="18E9D359" w14:textId="10BA2C83">
      <w:pPr>
        <w:keepNext/>
        <w:tabs>
          <w:tab w:val="left" w:pos="1260"/>
        </w:tabs>
        <w:spacing w:before="480"/>
        <w:jc w:val="center"/>
        <w:rPr>
          <w:b/>
          <w:color w:val="000000"/>
        </w:rPr>
      </w:pPr>
      <w:r w:rsidRPr="007F620E">
        <w:rPr>
          <w:b/>
          <w:color w:val="000000"/>
        </w:rPr>
        <w:lastRenderedPageBreak/>
        <w:t>PART IV:</w:t>
      </w:r>
      <w:r w:rsidR="00D1778A">
        <w:rPr>
          <w:b/>
          <w:color w:val="000000"/>
        </w:rPr>
        <w:t xml:space="preserve"> </w:t>
      </w:r>
      <w:r w:rsidRPr="007F620E">
        <w:rPr>
          <w:b/>
          <w:color w:val="000000"/>
        </w:rPr>
        <w:t>OPPOSITIONS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p w:rsidR="00877672" w:rsidP="00575494" w:rsidRDefault="00877672" w14:paraId="612B73C7" w14:textId="77777777">
      <w:pPr>
        <w:keepNext/>
        <w:tabs>
          <w:tab w:val="left" w:pos="1260"/>
        </w:tabs>
        <w:spacing w:after="240"/>
        <w:ind w:left="1267" w:hanging="1267"/>
        <w:jc w:val="center"/>
        <w:rPr>
          <w:b/>
          <w:color w:val="000000"/>
        </w:rPr>
      </w:pPr>
    </w:p>
    <w:p w:rsidRPr="007F620E" w:rsidR="00877672" w:rsidP="00575494" w:rsidRDefault="00877672" w14:paraId="719FEB2E" w14:textId="77777777">
      <w:pPr>
        <w:keepNext/>
        <w:tabs>
          <w:tab w:val="left" w:pos="1260"/>
        </w:tabs>
        <w:spacing w:after="240"/>
        <w:ind w:left="1267" w:hanging="1267"/>
        <w:jc w:val="center"/>
        <w:rPr>
          <w:b/>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05A3018" w14:paraId="46A51699" w14:textId="77777777">
        <w:tc>
          <w:tcPr>
            <w:tcW w:w="7336"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rsidRPr="007F620E" w:rsidR="00A92D0B" w:rsidP="005A3018" w:rsidRDefault="004E7FB2" w14:paraId="6E7CD931" w14:textId="33A628E0">
            <w:pPr>
              <w:rPr>
                <w:color w:val="000000"/>
              </w:rPr>
            </w:pPr>
            <w:r>
              <w:rPr>
                <w:color w:val="000000"/>
              </w:rPr>
              <w:t>No</w:t>
            </w:r>
          </w:p>
        </w:tc>
      </w:tr>
    </w:tbl>
    <w:p w:rsidRPr="007F620E"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24"/>
        <w:gridCol w:w="2036"/>
      </w:tblGrid>
      <w:tr w:rsidRPr="007F620E" w:rsidR="00A92D0B" w:rsidTr="00F82E7B" w14:paraId="7A0D8740" w14:textId="77777777">
        <w:tc>
          <w:tcPr>
            <w:tcW w:w="7324" w:type="dxa"/>
          </w:tcPr>
          <w:p w:rsidRPr="007F620E" w:rsidR="00A92D0B" w:rsidP="005A3018" w:rsidRDefault="00A92D0B" w14:paraId="37D28D8D" w14:textId="2AFFC284">
            <w:pPr>
              <w:ind w:left="360" w:hanging="360"/>
              <w:rPr>
                <w:color w:val="000000"/>
              </w:rPr>
            </w:pPr>
            <w:r w:rsidRPr="007F620E">
              <w:rPr>
                <w:b/>
                <w:color w:val="000000"/>
              </w:rPr>
              <w:t>B.</w:t>
            </w:r>
            <w:r w:rsidR="005A3018">
              <w:rPr>
                <w:b/>
                <w:color w:val="000000"/>
              </w:rPr>
              <w:tab/>
            </w:r>
            <w:r w:rsidRPr="007F620E">
              <w:rPr>
                <w:b/>
                <w:color w:val="000000"/>
              </w:rPr>
              <w:t>Comment Period: Was the 30-day comment period waived (</w:t>
            </w:r>
            <w:r w:rsidRPr="007F620E">
              <w:rPr>
                <w:b/>
                <w:i/>
                <w:color w:val="000000"/>
              </w:rPr>
              <w:t>see</w:t>
            </w:r>
            <w:r w:rsidR="005F61FE">
              <w:rPr>
                <w:b/>
                <w:color w:val="000000"/>
              </w:rPr>
              <w:t xml:space="preserve"> </w:t>
            </w:r>
            <w:r w:rsidRPr="007F620E">
              <w:rPr>
                <w:b/>
                <w:color w:val="000000"/>
              </w:rPr>
              <w:t>Rule 14.6(</w:t>
            </w:r>
            <w:r w:rsidRPr="007F620E" w:rsidR="00963EEF">
              <w:rPr>
                <w:b/>
                <w:color w:val="000000"/>
              </w:rPr>
              <w:t>c</w:t>
            </w:r>
            <w:r w:rsidRPr="007F620E">
              <w:rPr>
                <w:b/>
                <w:color w:val="000000"/>
              </w:rPr>
              <w:t>)(6))?</w:t>
            </w:r>
          </w:p>
        </w:tc>
        <w:tc>
          <w:tcPr>
            <w:tcW w:w="2036" w:type="dxa"/>
          </w:tcPr>
          <w:p w:rsidRPr="007F620E" w:rsidR="00A92D0B" w:rsidP="00DE3A5D" w:rsidRDefault="00984CEC" w14:paraId="238D2D3F" w14:textId="48FF06A9">
            <w:pPr>
              <w:keepNext/>
              <w:keepLines/>
              <w:spacing w:after="240"/>
              <w:rPr>
                <w:color w:val="000000"/>
              </w:rPr>
            </w:pPr>
            <w:r>
              <w:rPr>
                <w:color w:val="000000"/>
              </w:rPr>
              <w:t>No</w:t>
            </w:r>
          </w:p>
        </w:tc>
      </w:tr>
    </w:tbl>
    <w:p w:rsidRPr="007F620E" w:rsidR="00F82E7B" w:rsidP="00F82E7B" w:rsidRDefault="00F82E7B" w14:paraId="41B0885C" w14:textId="77777777">
      <w:pPr>
        <w:keepNext/>
        <w:keepLines/>
        <w:spacing w:after="240"/>
        <w:ind w:firstLine="907"/>
        <w:rPr>
          <w:color w:val="000000"/>
        </w:rPr>
      </w:pPr>
      <w:r w:rsidRPr="007F620E">
        <w:rPr>
          <w:color w:val="000000"/>
        </w:rPr>
        <w:t>If not: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22"/>
        <w:gridCol w:w="6093"/>
        <w:gridCol w:w="2045"/>
      </w:tblGrid>
      <w:tr w:rsidRPr="007F620E" w:rsidR="00F82E7B" w:rsidTr="00EC2A10" w14:paraId="381B66A8" w14:textId="77777777">
        <w:tc>
          <w:tcPr>
            <w:tcW w:w="1236" w:type="dxa"/>
            <w:shd w:val="pct12" w:color="auto" w:fill="auto"/>
          </w:tcPr>
          <w:p w:rsidRPr="007F620E" w:rsidR="00F82E7B" w:rsidP="00EC2A10" w:rsidRDefault="00F82E7B" w14:paraId="2C6C0F3C" w14:textId="77777777">
            <w:pPr>
              <w:keepNext/>
              <w:keepLines/>
              <w:spacing w:before="120"/>
              <w:jc w:val="center"/>
              <w:rPr>
                <w:b/>
                <w:color w:val="000000"/>
              </w:rPr>
            </w:pPr>
            <w:r w:rsidRPr="007F620E">
              <w:rPr>
                <w:b/>
                <w:color w:val="000000"/>
              </w:rPr>
              <w:t>Party</w:t>
            </w:r>
          </w:p>
        </w:tc>
        <w:tc>
          <w:tcPr>
            <w:tcW w:w="6252" w:type="dxa"/>
            <w:shd w:val="pct12" w:color="auto" w:fill="auto"/>
          </w:tcPr>
          <w:p w:rsidRPr="007F620E" w:rsidR="00F82E7B" w:rsidP="00EC2A10" w:rsidRDefault="00F82E7B" w14:paraId="48913428" w14:textId="77777777">
            <w:pPr>
              <w:keepNext/>
              <w:keepLines/>
              <w:spacing w:before="120"/>
              <w:jc w:val="center"/>
              <w:rPr>
                <w:color w:val="000000"/>
              </w:rPr>
            </w:pPr>
            <w:r w:rsidRPr="007F620E">
              <w:rPr>
                <w:b/>
                <w:color w:val="000000"/>
              </w:rPr>
              <w:t>Comment</w:t>
            </w:r>
          </w:p>
        </w:tc>
        <w:tc>
          <w:tcPr>
            <w:tcW w:w="2070" w:type="dxa"/>
            <w:shd w:val="pct12" w:color="auto" w:fill="auto"/>
          </w:tcPr>
          <w:p w:rsidRPr="007F620E" w:rsidR="00F82E7B" w:rsidP="00EC2A10" w:rsidRDefault="00F82E7B" w14:paraId="058AC7B0" w14:textId="77777777">
            <w:pPr>
              <w:keepNext/>
              <w:keepLines/>
              <w:spacing w:before="120"/>
              <w:jc w:val="center"/>
              <w:rPr>
                <w:color w:val="000000"/>
              </w:rPr>
            </w:pPr>
            <w:r w:rsidRPr="007F620E">
              <w:rPr>
                <w:b/>
                <w:color w:val="000000"/>
              </w:rPr>
              <w:t>CPUC Discussion</w:t>
            </w:r>
          </w:p>
        </w:tc>
      </w:tr>
      <w:tr w:rsidRPr="007F620E" w:rsidR="00F82E7B" w:rsidTr="00EC2A10" w14:paraId="3D0593FA" w14:textId="77777777">
        <w:tc>
          <w:tcPr>
            <w:tcW w:w="1236" w:type="dxa"/>
          </w:tcPr>
          <w:p w:rsidRPr="007F620E" w:rsidR="00F82E7B" w:rsidP="00EC2A10" w:rsidRDefault="00F82E7B" w14:paraId="0E3E0BF5" w14:textId="77777777">
            <w:pPr>
              <w:keepNext/>
              <w:keepLines/>
              <w:spacing w:before="120"/>
              <w:rPr>
                <w:color w:val="000000"/>
              </w:rPr>
            </w:pPr>
          </w:p>
        </w:tc>
        <w:tc>
          <w:tcPr>
            <w:tcW w:w="6252" w:type="dxa"/>
          </w:tcPr>
          <w:p w:rsidRPr="007F620E" w:rsidR="00F82E7B" w:rsidP="00EC2A10" w:rsidRDefault="00A12A45" w14:paraId="7D5D7012" w14:textId="365ACB9C">
            <w:pPr>
              <w:keepNext/>
              <w:keepLines/>
              <w:spacing w:before="120"/>
              <w:rPr>
                <w:color w:val="000000"/>
              </w:rPr>
            </w:pPr>
            <w:r>
              <w:rPr>
                <w:color w:val="000000"/>
              </w:rPr>
              <w:t>No comments filed.</w:t>
            </w:r>
          </w:p>
        </w:tc>
        <w:tc>
          <w:tcPr>
            <w:tcW w:w="2070" w:type="dxa"/>
          </w:tcPr>
          <w:p w:rsidRPr="007F620E" w:rsidR="00F82E7B" w:rsidP="00EC2A10" w:rsidRDefault="00F82E7B" w14:paraId="04A159FB" w14:textId="77777777">
            <w:pPr>
              <w:keepNext/>
              <w:keepLines/>
              <w:spacing w:before="120"/>
              <w:rPr>
                <w:color w:val="000000"/>
              </w:rPr>
            </w:pPr>
          </w:p>
        </w:tc>
      </w:tr>
      <w:tr w:rsidRPr="007F620E" w:rsidR="00F82E7B" w:rsidTr="00EC2A10" w14:paraId="7CF10196" w14:textId="77777777">
        <w:tc>
          <w:tcPr>
            <w:tcW w:w="1236" w:type="dxa"/>
          </w:tcPr>
          <w:p w:rsidRPr="007F620E" w:rsidR="00F82E7B" w:rsidP="00EC2A10" w:rsidRDefault="00F82E7B" w14:paraId="1A0AB497" w14:textId="77777777">
            <w:pPr>
              <w:spacing w:before="120"/>
              <w:rPr>
                <w:color w:val="000000"/>
              </w:rPr>
            </w:pPr>
          </w:p>
        </w:tc>
        <w:tc>
          <w:tcPr>
            <w:tcW w:w="6252" w:type="dxa"/>
          </w:tcPr>
          <w:p w:rsidRPr="007F620E" w:rsidR="00F82E7B" w:rsidP="00EC2A10" w:rsidRDefault="00F82E7B" w14:paraId="27BEC55F" w14:textId="77777777">
            <w:pPr>
              <w:spacing w:before="120"/>
              <w:rPr>
                <w:color w:val="000000"/>
              </w:rPr>
            </w:pPr>
          </w:p>
        </w:tc>
        <w:tc>
          <w:tcPr>
            <w:tcW w:w="2070" w:type="dxa"/>
          </w:tcPr>
          <w:p w:rsidRPr="007F620E" w:rsidR="00F82E7B" w:rsidP="00EC2A10" w:rsidRDefault="00F82E7B" w14:paraId="5CA6900C" w14:textId="77777777">
            <w:pPr>
              <w:spacing w:before="120"/>
              <w:rPr>
                <w:color w:val="000000"/>
              </w:rPr>
            </w:pPr>
          </w:p>
        </w:tc>
      </w:tr>
    </w:tbl>
    <w:p w:rsidRPr="007F620E" w:rsidR="00A92D0B" w:rsidP="00CE057B" w:rsidRDefault="00A92D0B" w14:paraId="186E115A" w14:textId="77777777">
      <w:pPr>
        <w:keepNext/>
        <w:spacing w:before="480" w:after="240"/>
        <w:jc w:val="center"/>
        <w:rPr>
          <w:b/>
          <w:color w:val="000000"/>
          <w:u w:val="single"/>
        </w:rPr>
      </w:pPr>
      <w:r w:rsidRPr="007F620E">
        <w:rPr>
          <w:b/>
          <w:color w:val="000000"/>
          <w:u w:val="single"/>
        </w:rPr>
        <w:t>FINDINGS OF FACT</w:t>
      </w:r>
    </w:p>
    <w:p w:rsidR="00A92D0B" w:rsidRDefault="00B60C4D" w14:paraId="7772A9DC" w14:textId="4389BD2B">
      <w:pPr>
        <w:numPr>
          <w:ilvl w:val="0"/>
          <w:numId w:val="3"/>
        </w:numPr>
        <w:tabs>
          <w:tab w:val="num" w:pos="540"/>
        </w:tabs>
        <w:ind w:left="540" w:hanging="540"/>
      </w:pPr>
      <w:r w:rsidRPr="00ED3F6C">
        <w:t>C</w:t>
      </w:r>
      <w:r w:rsidR="00ED3F6C">
        <w:t xml:space="preserve">enter for Biological Diversity </w:t>
      </w:r>
      <w:r w:rsidRPr="007F620E" w:rsidR="00A92D0B">
        <w:t>has made a substantia</w:t>
      </w:r>
      <w:r w:rsidRPr="007F620E" w:rsidR="00DE3A5D">
        <w:t xml:space="preserve">l contribution </w:t>
      </w:r>
      <w:r w:rsidR="00EF53AA">
        <w:t xml:space="preserve">in some </w:t>
      </w:r>
      <w:proofErr w:type="gramStart"/>
      <w:r w:rsidR="00EF53AA">
        <w:t>aspects</w:t>
      </w:r>
      <w:proofErr w:type="gramEnd"/>
      <w:r w:rsidR="00EF53AA">
        <w:t xml:space="preserve"> </w:t>
      </w:r>
      <w:r w:rsidRPr="007F620E" w:rsidR="00DE3A5D">
        <w:t>to D.</w:t>
      </w:r>
      <w:r w:rsidRPr="001641C6" w:rsidR="001641C6">
        <w:rPr>
          <w:bCs/>
          <w:color w:val="000000"/>
        </w:rPr>
        <w:t>24-05-065</w:t>
      </w:r>
      <w:r w:rsidRPr="007F620E" w:rsidR="00A92D0B">
        <w:t>.</w:t>
      </w:r>
    </w:p>
    <w:p w:rsidRPr="007F620E" w:rsidR="006907CC" w:rsidP="0078556A" w:rsidRDefault="006907CC" w14:paraId="0C7ABED2" w14:textId="5D897066">
      <w:pPr>
        <w:numPr>
          <w:ilvl w:val="0"/>
          <w:numId w:val="3"/>
        </w:numPr>
        <w:tabs>
          <w:tab w:val="num" w:pos="540"/>
        </w:tabs>
        <w:spacing w:before="240"/>
      </w:pPr>
      <w:r w:rsidRPr="00ED3F6C">
        <w:t>C</w:t>
      </w:r>
      <w:r>
        <w:t>enter for Biological Diversity</w:t>
      </w:r>
      <w:r w:rsidRPr="00596D8C">
        <w:t>’s claimed hours</w:t>
      </w:r>
      <w:r>
        <w:t xml:space="preserve"> are reduced for purposes of compensation</w:t>
      </w:r>
      <w:r w:rsidRPr="00596D8C">
        <w:t xml:space="preserve"> to</w:t>
      </w:r>
      <w:r>
        <w:t xml:space="preserve"> </w:t>
      </w:r>
      <w:r w:rsidRPr="00596D8C">
        <w:t>reasonably reflect the value of the substantive contribution provided</w:t>
      </w:r>
      <w:r>
        <w:t>.</w:t>
      </w:r>
    </w:p>
    <w:p w:rsidRPr="007F620E" w:rsidR="00A92D0B" w:rsidRDefault="00A92D0B" w14:paraId="04EB50FD" w14:textId="6F414E2C">
      <w:pPr>
        <w:numPr>
          <w:ilvl w:val="0"/>
          <w:numId w:val="3"/>
        </w:numPr>
        <w:tabs>
          <w:tab w:val="num" w:pos="540"/>
        </w:tabs>
        <w:spacing w:before="240"/>
      </w:pPr>
      <w:r w:rsidRPr="007F620E">
        <w:t>The requested hourly rates for</w:t>
      </w:r>
      <w:r w:rsidR="003B6A1B">
        <w:t xml:space="preserve"> </w:t>
      </w:r>
      <w:r w:rsidRPr="00ED3F6C" w:rsidR="00ED3F6C">
        <w:t>C</w:t>
      </w:r>
      <w:r w:rsidR="00ED3F6C">
        <w:t>enter for Biological Diversity’s</w:t>
      </w:r>
      <w:r w:rsidRPr="007F620E" w:rsidR="005A63D4">
        <w:t xml:space="preserve"> </w:t>
      </w:r>
      <w:r w:rsidRPr="007F620E">
        <w:t>representatives,</w:t>
      </w:r>
      <w:r w:rsidR="003B5EAC">
        <w:t xml:space="preserve"> </w:t>
      </w:r>
      <w:r w:rsidRPr="007F620E">
        <w:t>as adjusted herein, are comparable to market rates paid to experts and advocates having comparable training and experience and offering similar services.</w:t>
      </w:r>
    </w:p>
    <w:p w:rsidRPr="007F620E" w:rsidR="00A92D0B" w:rsidRDefault="00A92D0B" w14:paraId="528EBB52" w14:textId="0A0D8AE8">
      <w:pPr>
        <w:numPr>
          <w:ilvl w:val="0"/>
          <w:numId w:val="3"/>
        </w:numPr>
        <w:tabs>
          <w:tab w:val="num" w:pos="540"/>
        </w:tabs>
        <w:spacing w:before="240"/>
      </w:pPr>
      <w:r w:rsidRPr="007F620E">
        <w:t>The claimed costs and expenses,</w:t>
      </w:r>
      <w:r w:rsidR="003B5EAC">
        <w:t xml:space="preserve"> </w:t>
      </w:r>
      <w:r w:rsidRPr="007F620E">
        <w:t xml:space="preserve">as adjusted herein, are reasonable and commensurate with the work performed. </w:t>
      </w:r>
    </w:p>
    <w:p w:rsidRPr="007F620E" w:rsidR="00A92D0B" w:rsidRDefault="00A92D0B" w14:paraId="48B52895" w14:textId="102C96EA">
      <w:pPr>
        <w:numPr>
          <w:ilvl w:val="0"/>
          <w:numId w:val="3"/>
        </w:numPr>
        <w:tabs>
          <w:tab w:val="num" w:pos="540"/>
        </w:tabs>
        <w:spacing w:before="240"/>
      </w:pPr>
      <w:r w:rsidRPr="007F620E">
        <w:t xml:space="preserve">The total of reasonable </w:t>
      </w:r>
      <w:r w:rsidRPr="007F620E" w:rsidR="003C608A">
        <w:t xml:space="preserve">compensation </w:t>
      </w:r>
      <w:r w:rsidRPr="007F620E">
        <w:t xml:space="preserve">is </w:t>
      </w:r>
      <w:r w:rsidR="00652134">
        <w:rPr>
          <w:bCs/>
          <w:iCs/>
          <w:color w:val="000000"/>
        </w:rPr>
        <w:t>$</w:t>
      </w:r>
      <w:r w:rsidR="006104D1">
        <w:rPr>
          <w:bCs/>
          <w:iCs/>
          <w:color w:val="000000"/>
        </w:rPr>
        <w:t>23,403.55</w:t>
      </w:r>
      <w:r w:rsidR="00744358">
        <w:rPr>
          <w:bCs/>
          <w:iCs/>
          <w:color w:val="000000"/>
        </w:rPr>
        <w:t>.</w:t>
      </w:r>
    </w:p>
    <w:p w:rsidRPr="007F620E" w:rsidR="00A92D0B" w:rsidP="00CE057B" w:rsidRDefault="00A92D0B" w14:paraId="5C773C3F" w14:textId="77777777">
      <w:pPr>
        <w:keepNext/>
        <w:spacing w:before="480" w:after="240"/>
        <w:jc w:val="center"/>
        <w:rPr>
          <w:b/>
          <w:color w:val="000000"/>
          <w:u w:val="single"/>
        </w:rPr>
      </w:pPr>
      <w:r w:rsidRPr="007F620E">
        <w:rPr>
          <w:b/>
          <w:color w:val="000000"/>
          <w:u w:val="single"/>
        </w:rPr>
        <w:lastRenderedPageBreak/>
        <w:t>CONCLUSION OF LAW</w:t>
      </w:r>
    </w:p>
    <w:p w:rsidRPr="007F620E" w:rsidR="00A92D0B" w:rsidP="00575494" w:rsidRDefault="00A92D0B" w14:paraId="654F2C27" w14:textId="237F9BE9">
      <w:pPr>
        <w:numPr>
          <w:ilvl w:val="0"/>
          <w:numId w:val="10"/>
        </w:numPr>
        <w:spacing w:before="240"/>
        <w:rPr>
          <w:color w:val="000000"/>
        </w:rPr>
      </w:pPr>
      <w:r w:rsidRPr="00575494">
        <w:t>The</w:t>
      </w:r>
      <w:r w:rsidRPr="007F620E">
        <w:rPr>
          <w:color w:val="000000"/>
        </w:rPr>
        <w:t xml:space="preserve"> Claim, with any adjustment set forth above</w:t>
      </w:r>
      <w:r w:rsidR="007E3A88">
        <w:rPr>
          <w:color w:val="000000"/>
        </w:rPr>
        <w:t>,</w:t>
      </w:r>
      <w:r w:rsidR="004E7FB2">
        <w:rPr>
          <w:color w:val="000000"/>
        </w:rPr>
        <w:t xml:space="preserve"> </w:t>
      </w:r>
      <w:r w:rsidRPr="007F620E">
        <w:rPr>
          <w:color w:val="000000"/>
        </w:rPr>
        <w:t>satisfies</w:t>
      </w:r>
      <w:r w:rsidRPr="007F620E" w:rsidR="00DE3A5D">
        <w:rPr>
          <w:color w:val="000000"/>
        </w:rPr>
        <w:t xml:space="preserve"> all requirements of Pub. Util.</w:t>
      </w:r>
      <w:r w:rsidRPr="007F620E">
        <w:rPr>
          <w:color w:val="000000"/>
        </w:rPr>
        <w:t xml:space="preserve"> Code §§ 1801-1812.</w:t>
      </w:r>
    </w:p>
    <w:p w:rsidRPr="007F620E" w:rsidR="00A92D0B" w:rsidP="00CE057B" w:rsidRDefault="00A92D0B" w14:paraId="0E2503A5" w14:textId="77777777">
      <w:pPr>
        <w:keepNext/>
        <w:spacing w:before="480" w:after="240"/>
        <w:jc w:val="center"/>
        <w:rPr>
          <w:b/>
          <w:color w:val="000000"/>
          <w:u w:val="single"/>
        </w:rPr>
      </w:pPr>
      <w:r w:rsidRPr="007F620E">
        <w:rPr>
          <w:b/>
          <w:color w:val="000000"/>
          <w:u w:val="single"/>
        </w:rPr>
        <w:t>ORDER</w:t>
      </w:r>
    </w:p>
    <w:p w:rsidRPr="007F620E" w:rsidR="00A92D0B" w:rsidP="00CE057B" w:rsidRDefault="00ED3F6C" w14:paraId="33FB4E15" w14:textId="20408885">
      <w:pPr>
        <w:keepNext/>
        <w:numPr>
          <w:ilvl w:val="0"/>
          <w:numId w:val="4"/>
        </w:numPr>
        <w:tabs>
          <w:tab w:val="clear" w:pos="900"/>
          <w:tab w:val="num" w:pos="540"/>
        </w:tabs>
        <w:ind w:left="547" w:hanging="547"/>
        <w:rPr>
          <w:color w:val="000000"/>
        </w:rPr>
      </w:pPr>
      <w:r w:rsidRPr="00ED3F6C">
        <w:t>C</w:t>
      </w:r>
      <w:r>
        <w:t xml:space="preserve">enter for Biological Diversity </w:t>
      </w:r>
      <w:r w:rsidR="00831652">
        <w:t>is</w:t>
      </w:r>
      <w:r w:rsidRPr="00FE3BAE" w:rsidR="00FE3BAE">
        <w:t xml:space="preserve"> </w:t>
      </w:r>
      <w:r w:rsidRPr="00FE3BAE" w:rsidR="00A92D0B">
        <w:rPr>
          <w:color w:val="000000"/>
        </w:rPr>
        <w:t xml:space="preserve">awarded </w:t>
      </w:r>
      <w:r w:rsidR="00652134">
        <w:rPr>
          <w:bCs/>
          <w:iCs/>
          <w:color w:val="000000"/>
        </w:rPr>
        <w:t>$</w:t>
      </w:r>
      <w:r w:rsidR="006104D1">
        <w:rPr>
          <w:bCs/>
          <w:iCs/>
          <w:color w:val="000000"/>
        </w:rPr>
        <w:t>23,403.55</w:t>
      </w:r>
      <w:r w:rsidR="00744358">
        <w:rPr>
          <w:bCs/>
          <w:iCs/>
          <w:color w:val="000000"/>
        </w:rPr>
        <w:t>.</w:t>
      </w:r>
    </w:p>
    <w:p w:rsidR="00A92D0B" w:rsidRDefault="00A92D0B" w14:paraId="4AEF5671" w14:textId="5B19FE03">
      <w:pPr>
        <w:numPr>
          <w:ilvl w:val="0"/>
          <w:numId w:val="4"/>
        </w:numPr>
        <w:tabs>
          <w:tab w:val="clear" w:pos="900"/>
          <w:tab w:val="num" w:pos="540"/>
        </w:tabs>
        <w:spacing w:before="240"/>
        <w:ind w:left="547" w:hanging="547"/>
      </w:pPr>
      <w:r w:rsidRPr="007F620E">
        <w:t xml:space="preserve">Within 30 days of the effective date of this decision, </w:t>
      </w:r>
      <w:r w:rsidRPr="00F10AA7" w:rsidR="00F10AA7">
        <w:t xml:space="preserve">Pacific Gas and Electric Company, San Diego Gas &amp; Electric Company, </w:t>
      </w:r>
      <w:r w:rsidR="00934B54">
        <w:t xml:space="preserve">and </w:t>
      </w:r>
      <w:r w:rsidRPr="00F10AA7" w:rsidR="00F10AA7">
        <w:t>Southern California Edison Company</w:t>
      </w:r>
      <w:r w:rsidR="00A978C6">
        <w:t xml:space="preserve"> </w:t>
      </w:r>
      <w:r w:rsidRPr="007F620E">
        <w:t xml:space="preserve">shall pay </w:t>
      </w:r>
      <w:r w:rsidRPr="00ED3F6C" w:rsidR="00ED3F6C">
        <w:t>C</w:t>
      </w:r>
      <w:r w:rsidR="00ED3F6C">
        <w:t>enter for Biological Diversity</w:t>
      </w:r>
      <w:r w:rsidR="00F10AA7">
        <w:t xml:space="preserve"> their respective shares of the award</w:t>
      </w:r>
      <w:r w:rsidRPr="00934B54" w:rsidR="00934B54">
        <w:t>, based on their California</w:t>
      </w:r>
      <w:r w:rsidR="00934B54">
        <w:t xml:space="preserve"> </w:t>
      </w:r>
      <w:r w:rsidRPr="00934B54" w:rsidR="00934B54">
        <w:t>jurisdictional electric revenues for the 202</w:t>
      </w:r>
      <w:r w:rsidR="00934B54">
        <w:t>3</w:t>
      </w:r>
      <w:r w:rsidRPr="00934B54" w:rsidR="00934B54">
        <w:t xml:space="preserve"> calendar year, to reflect the year in which the proceeding was primarily litigated. If such data is unavailable, the most recent electric revenue data shall be used.</w:t>
      </w:r>
      <w:r w:rsidR="00934B54">
        <w:t xml:space="preserve"> </w:t>
      </w:r>
      <w:r w:rsidRPr="007F620E">
        <w:t xml:space="preserve">Payment of the award </w:t>
      </w:r>
      <w:r w:rsidRPr="00831652">
        <w:t>shall</w:t>
      </w:r>
      <w:r w:rsidRPr="007F620E">
        <w:t xml:space="preserve"> include</w:t>
      </w:r>
      <w:r w:rsidRPr="007F620E" w:rsidR="004E3939">
        <w:t xml:space="preserve"> compound </w:t>
      </w:r>
      <w:r w:rsidRPr="007F620E">
        <w:t xml:space="preserve">interest at the rate earned on prime, three-month </w:t>
      </w:r>
      <w:r w:rsidRPr="007F620E" w:rsidR="00214B22">
        <w:t xml:space="preserve">non-financial </w:t>
      </w:r>
      <w:r w:rsidRPr="007F620E">
        <w:t>commercial paper as reported in Federal Reserve Statistical Release H.15, beginning</w:t>
      </w:r>
      <w:r w:rsidRPr="007F620E" w:rsidR="00357F1A">
        <w:t xml:space="preserve"> </w:t>
      </w:r>
      <w:r w:rsidR="00C62AC6">
        <w:t>October 20, 2024</w:t>
      </w:r>
      <w:r w:rsidRPr="007F620E" w:rsidR="00357F1A">
        <w:t xml:space="preserve">, </w:t>
      </w:r>
      <w:r w:rsidRPr="007F620E">
        <w:t>the 75</w:t>
      </w:r>
      <w:r w:rsidRPr="007F620E">
        <w:rPr>
          <w:vertAlign w:val="superscript"/>
        </w:rPr>
        <w:t>th</w:t>
      </w:r>
      <w:r w:rsidRPr="007F620E">
        <w:t xml:space="preserve"> day after the filing of </w:t>
      </w:r>
      <w:r w:rsidRPr="00ED3F6C" w:rsidR="00ED3F6C">
        <w:t>C</w:t>
      </w:r>
      <w:r w:rsidR="00ED3F6C">
        <w:t>enter for Biological Diversity</w:t>
      </w:r>
      <w:r w:rsidRPr="003B6A1B" w:rsidR="00FE3BAE">
        <w:t>’s</w:t>
      </w:r>
      <w:r w:rsidRPr="003B6A1B" w:rsidR="00FE3BAE">
        <w:rPr>
          <w:b/>
        </w:rPr>
        <w:t xml:space="preserve"> </w:t>
      </w:r>
      <w:r w:rsidRPr="007F620E">
        <w:t>request, and continuing until full payment is made.</w:t>
      </w:r>
    </w:p>
    <w:p w:rsidR="004471FF" w:rsidP="003C19A7" w:rsidRDefault="00A92D0B" w14:paraId="778AB6AE" w14:textId="5141E368">
      <w:pPr>
        <w:keepNext/>
        <w:keepLines/>
        <w:numPr>
          <w:ilvl w:val="0"/>
          <w:numId w:val="4"/>
        </w:numPr>
        <w:tabs>
          <w:tab w:val="clear" w:pos="900"/>
          <w:tab w:val="num" w:pos="540"/>
        </w:tabs>
        <w:spacing w:before="240"/>
        <w:ind w:left="547" w:hanging="547"/>
      </w:pPr>
      <w:r w:rsidRPr="007F620E">
        <w:t xml:space="preserve">The comment period for today’s decision is </w:t>
      </w:r>
      <w:r w:rsidR="00E218DA">
        <w:t xml:space="preserve">not </w:t>
      </w:r>
      <w:r w:rsidRPr="007F620E">
        <w:t>waived.</w:t>
      </w:r>
    </w:p>
    <w:p w:rsidRPr="007F620E" w:rsidR="00B853AD" w:rsidP="003C19A7" w:rsidRDefault="00B853AD" w14:paraId="4F275ACD" w14:textId="69B14D8F">
      <w:pPr>
        <w:keepNext/>
        <w:keepLines/>
        <w:numPr>
          <w:ilvl w:val="0"/>
          <w:numId w:val="4"/>
        </w:numPr>
        <w:tabs>
          <w:tab w:val="clear" w:pos="900"/>
          <w:tab w:val="num" w:pos="540"/>
        </w:tabs>
        <w:spacing w:before="240"/>
        <w:ind w:left="547" w:hanging="547"/>
      </w:pPr>
      <w:r>
        <w:t>Application</w:t>
      </w:r>
      <w:r w:rsidR="00CD621C">
        <w:t>s (A.)</w:t>
      </w:r>
      <w:r>
        <w:t xml:space="preserve"> </w:t>
      </w:r>
      <w:r w:rsidR="009E2A67">
        <w:t>22-05-022, A.22-05-023, and A</w:t>
      </w:r>
      <w:r w:rsidR="00891A50">
        <w:t>.</w:t>
      </w:r>
      <w:r w:rsidR="009E2A67">
        <w:t>22-05-024 are closed.</w:t>
      </w:r>
    </w:p>
    <w:p w:rsidRPr="007F620E" w:rsidR="00A92D0B" w:rsidP="00467E65" w:rsidRDefault="00A92D0B" w14:paraId="13F3A0AD" w14:textId="77777777">
      <w:pPr>
        <w:keepNext/>
        <w:keepLines/>
        <w:spacing w:before="240"/>
        <w:ind w:left="547"/>
        <w:rPr>
          <w:color w:val="000000"/>
        </w:rPr>
      </w:pPr>
      <w:r w:rsidRPr="007F620E">
        <w:rPr>
          <w:color w:val="000000"/>
        </w:rPr>
        <w:t>This decision is effective today.</w:t>
      </w:r>
    </w:p>
    <w:p w:rsidR="00A92D0B" w:rsidP="00357623" w:rsidRDefault="00A92D0B" w14:paraId="0467B995" w14:textId="25A10A51">
      <w:pPr>
        <w:keepNext/>
        <w:keepLines/>
        <w:spacing w:before="240"/>
        <w:ind w:left="547"/>
        <w:rPr>
          <w:color w:val="000000"/>
        </w:rPr>
      </w:pPr>
      <w:r w:rsidRPr="007F620E">
        <w:rPr>
          <w:color w:val="000000"/>
        </w:rPr>
        <w:t>Dated</w:t>
      </w:r>
      <w:r w:rsidR="00464D2F">
        <w:rPr>
          <w:color w:val="000000"/>
        </w:rPr>
        <w:t xml:space="preserve"> July 16, 2026</w:t>
      </w:r>
      <w:r w:rsidRPr="007F620E">
        <w:rPr>
          <w:color w:val="000000"/>
        </w:rPr>
        <w:t>, at San Francisco, California.</w:t>
      </w:r>
    </w:p>
    <w:p w:rsidR="00277AA8" w:rsidP="00357623" w:rsidRDefault="00277AA8" w14:paraId="59D37788" w14:textId="77777777">
      <w:pPr>
        <w:keepNext/>
        <w:keepLines/>
        <w:spacing w:before="240"/>
        <w:ind w:left="547"/>
        <w:rPr>
          <w:color w:val="000000"/>
        </w:rPr>
      </w:pPr>
    </w:p>
    <w:p w:rsidRPr="00277AA8" w:rsidR="00277AA8" w:rsidP="00277AA8" w:rsidRDefault="00277AA8" w14:paraId="00086259" w14:textId="77777777">
      <w:pPr>
        <w:widowControl w:val="0"/>
        <w:autoSpaceDE w:val="0"/>
        <w:autoSpaceDN w:val="0"/>
        <w:ind w:left="4450"/>
      </w:pPr>
      <w:r w:rsidRPr="00277AA8">
        <w:rPr>
          <w:color w:val="050505"/>
        </w:rPr>
        <w:t>JOHN</w:t>
      </w:r>
      <w:r w:rsidRPr="00277AA8">
        <w:rPr>
          <w:color w:val="050505"/>
          <w:spacing w:val="79"/>
        </w:rPr>
        <w:t xml:space="preserve"> </w:t>
      </w:r>
      <w:r w:rsidRPr="00277AA8">
        <w:rPr>
          <w:color w:val="050505"/>
          <w:spacing w:val="-2"/>
        </w:rPr>
        <w:t>REYNOLDS</w:t>
      </w:r>
    </w:p>
    <w:p w:rsidR="00277AA8" w:rsidP="00277AA8" w:rsidRDefault="00277AA8" w14:paraId="16B99B3D" w14:textId="77777777">
      <w:pPr>
        <w:widowControl w:val="0"/>
        <w:autoSpaceDE w:val="0"/>
        <w:autoSpaceDN w:val="0"/>
        <w:spacing w:before="28" w:line="261" w:lineRule="auto"/>
        <w:ind w:left="4460" w:right="1459" w:firstLine="1505"/>
        <w:rPr>
          <w:color w:val="050505"/>
          <w:spacing w:val="-2"/>
        </w:rPr>
      </w:pPr>
      <w:r w:rsidRPr="00277AA8">
        <w:rPr>
          <w:color w:val="050505"/>
          <w:spacing w:val="-2"/>
        </w:rPr>
        <w:t xml:space="preserve">President </w:t>
      </w:r>
    </w:p>
    <w:p w:rsidR="00277AA8" w:rsidP="00277AA8" w:rsidRDefault="00277AA8" w14:paraId="3EFC0031" w14:textId="77777777">
      <w:pPr>
        <w:widowControl w:val="0"/>
        <w:autoSpaceDE w:val="0"/>
        <w:autoSpaceDN w:val="0"/>
        <w:spacing w:before="28" w:line="261" w:lineRule="auto"/>
        <w:ind w:left="4460" w:right="1459"/>
        <w:rPr>
          <w:color w:val="050505"/>
        </w:rPr>
      </w:pPr>
      <w:r w:rsidRPr="00277AA8">
        <w:rPr>
          <w:color w:val="050505"/>
        </w:rPr>
        <w:t>DARCIE</w:t>
      </w:r>
      <w:r w:rsidRPr="00277AA8">
        <w:rPr>
          <w:color w:val="050505"/>
          <w:spacing w:val="40"/>
        </w:rPr>
        <w:t xml:space="preserve"> </w:t>
      </w:r>
      <w:r w:rsidRPr="00277AA8">
        <w:rPr>
          <w:color w:val="050505"/>
        </w:rPr>
        <w:t xml:space="preserve">L. HOUCK </w:t>
      </w:r>
    </w:p>
    <w:p w:rsidR="00277AA8" w:rsidP="00277AA8" w:rsidRDefault="00277AA8" w14:paraId="2202A82B" w14:textId="77777777">
      <w:pPr>
        <w:widowControl w:val="0"/>
        <w:autoSpaceDE w:val="0"/>
        <w:autoSpaceDN w:val="0"/>
        <w:spacing w:before="28" w:line="261" w:lineRule="auto"/>
        <w:ind w:left="4460" w:right="1459"/>
        <w:rPr>
          <w:color w:val="050505"/>
        </w:rPr>
      </w:pPr>
      <w:r w:rsidRPr="00277AA8">
        <w:rPr>
          <w:color w:val="050505"/>
        </w:rPr>
        <w:t>KAREN</w:t>
      </w:r>
      <w:r w:rsidRPr="00277AA8">
        <w:rPr>
          <w:color w:val="050505"/>
          <w:spacing w:val="40"/>
        </w:rPr>
        <w:t xml:space="preserve"> </w:t>
      </w:r>
      <w:r w:rsidRPr="00277AA8">
        <w:rPr>
          <w:color w:val="050505"/>
        </w:rPr>
        <w:t xml:space="preserve">DOUGLAS </w:t>
      </w:r>
    </w:p>
    <w:p w:rsidRPr="00277AA8" w:rsidR="00277AA8" w:rsidP="00277AA8" w:rsidRDefault="00277AA8" w14:paraId="5CB1A8C0" w14:textId="55E3DF84">
      <w:pPr>
        <w:widowControl w:val="0"/>
        <w:autoSpaceDE w:val="0"/>
        <w:autoSpaceDN w:val="0"/>
        <w:spacing w:before="28" w:line="261" w:lineRule="auto"/>
        <w:ind w:left="4460" w:right="1459"/>
      </w:pPr>
      <w:r w:rsidRPr="00277AA8">
        <w:rPr>
          <w:color w:val="050505"/>
        </w:rPr>
        <w:t>CHRISTINE</w:t>
      </w:r>
      <w:r w:rsidRPr="00277AA8">
        <w:rPr>
          <w:color w:val="050505"/>
          <w:spacing w:val="40"/>
        </w:rPr>
        <w:t xml:space="preserve"> </w:t>
      </w:r>
      <w:r w:rsidRPr="00277AA8">
        <w:rPr>
          <w:color w:val="050505"/>
        </w:rPr>
        <w:t>HARADA</w:t>
      </w:r>
    </w:p>
    <w:p w:rsidRPr="00277AA8" w:rsidR="00277AA8" w:rsidP="00277AA8" w:rsidRDefault="00277AA8" w14:paraId="26A3C557" w14:textId="77777777">
      <w:pPr>
        <w:widowControl w:val="0"/>
        <w:autoSpaceDE w:val="0"/>
        <w:autoSpaceDN w:val="0"/>
        <w:spacing w:line="293" w:lineRule="exact"/>
        <w:ind w:left="5965"/>
      </w:pPr>
      <w:r w:rsidRPr="00277AA8">
        <w:rPr>
          <w:color w:val="050505"/>
          <w:spacing w:val="-2"/>
          <w:w w:val="105"/>
        </w:rPr>
        <w:t>Commissioners</w:t>
      </w:r>
    </w:p>
    <w:p w:rsidRPr="00277AA8" w:rsidR="00277AA8" w:rsidP="00277AA8" w:rsidRDefault="00277AA8" w14:paraId="73D657D2" w14:textId="77777777">
      <w:pPr>
        <w:widowControl w:val="0"/>
        <w:autoSpaceDE w:val="0"/>
        <w:autoSpaceDN w:val="0"/>
        <w:spacing w:before="214"/>
      </w:pPr>
    </w:p>
    <w:p w:rsidRPr="00277AA8" w:rsidR="00277AA8" w:rsidP="00277AA8" w:rsidRDefault="00277AA8" w14:paraId="00F3FC7E" w14:textId="77777777">
      <w:pPr>
        <w:widowControl w:val="0"/>
        <w:autoSpaceDE w:val="0"/>
        <w:autoSpaceDN w:val="0"/>
        <w:spacing w:line="261" w:lineRule="auto"/>
        <w:ind w:left="4521" w:hanging="3"/>
      </w:pPr>
      <w:r w:rsidRPr="00277AA8">
        <w:rPr>
          <w:color w:val="050505"/>
          <w:w w:val="105"/>
        </w:rPr>
        <w:t>Commissioner</w:t>
      </w:r>
      <w:r w:rsidRPr="00277AA8">
        <w:rPr>
          <w:color w:val="050505"/>
          <w:spacing w:val="40"/>
          <w:w w:val="105"/>
        </w:rPr>
        <w:t xml:space="preserve"> </w:t>
      </w:r>
      <w:r w:rsidRPr="00277AA8">
        <w:rPr>
          <w:color w:val="050505"/>
          <w:w w:val="105"/>
        </w:rPr>
        <w:t>Matthew Baker recused himself</w:t>
      </w:r>
      <w:r w:rsidRPr="00277AA8">
        <w:rPr>
          <w:color w:val="050505"/>
          <w:spacing w:val="40"/>
          <w:w w:val="105"/>
        </w:rPr>
        <w:t xml:space="preserve"> </w:t>
      </w:r>
      <w:r w:rsidRPr="00277AA8">
        <w:rPr>
          <w:color w:val="050505"/>
          <w:w w:val="105"/>
        </w:rPr>
        <w:t>and</w:t>
      </w:r>
      <w:r w:rsidRPr="00277AA8">
        <w:rPr>
          <w:color w:val="050505"/>
          <w:spacing w:val="40"/>
          <w:w w:val="105"/>
        </w:rPr>
        <w:t xml:space="preserve"> </w:t>
      </w:r>
      <w:r w:rsidRPr="00277AA8">
        <w:rPr>
          <w:color w:val="050505"/>
          <w:w w:val="105"/>
        </w:rPr>
        <w:t>did</w:t>
      </w:r>
      <w:r w:rsidRPr="00277AA8">
        <w:rPr>
          <w:color w:val="050505"/>
          <w:spacing w:val="40"/>
          <w:w w:val="105"/>
        </w:rPr>
        <w:t xml:space="preserve"> </w:t>
      </w:r>
      <w:r w:rsidRPr="00277AA8">
        <w:rPr>
          <w:color w:val="050505"/>
          <w:w w:val="105"/>
        </w:rPr>
        <w:t xml:space="preserve">not participate in the vote </w:t>
      </w:r>
      <w:proofErr w:type="gramStart"/>
      <w:r w:rsidRPr="00277AA8">
        <w:rPr>
          <w:color w:val="050505"/>
          <w:w w:val="105"/>
        </w:rPr>
        <w:t>of</w:t>
      </w:r>
      <w:proofErr w:type="gramEnd"/>
      <w:r w:rsidRPr="00277AA8">
        <w:rPr>
          <w:color w:val="050505"/>
          <w:w w:val="105"/>
        </w:rPr>
        <w:t xml:space="preserve"> this item.</w:t>
      </w:r>
    </w:p>
    <w:p w:rsidRPr="007F620E" w:rsidR="00277AA8" w:rsidP="00357623" w:rsidRDefault="00277AA8" w14:paraId="7C73C2E2" w14:textId="77777777">
      <w:pPr>
        <w:keepNext/>
        <w:keepLines/>
        <w:spacing w:before="240"/>
        <w:ind w:left="547"/>
        <w:rPr>
          <w:color w:val="000000"/>
        </w:rPr>
      </w:pPr>
    </w:p>
    <w:p w:rsidRPr="007F620E" w:rsidR="00A92D0B" w:rsidRDefault="00A92D0B" w14:paraId="1A474D77" w14:textId="77777777"/>
    <w:p w:rsidR="00FE3BAE" w:rsidRDefault="00FE3BAE" w14:paraId="3C739AE2" w14:textId="71F3AFC8"/>
    <w:p w:rsidR="006B7228" w:rsidRDefault="006B7228" w14:paraId="37D74F32" w14:textId="77777777">
      <w:pPr>
        <w:sectPr w:rsidR="006B7228" w:rsidSect="00D163FF">
          <w:headerReference w:type="default" r:id="rId8"/>
          <w:footerReference w:type="default" r:id="rId9"/>
          <w:footerReference w:type="first" r:id="rId10"/>
          <w:pgSz w:w="12240" w:h="15840"/>
          <w:pgMar w:top="1440"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0EE3B36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r w:rsidR="000E3499">
        <w:rPr>
          <w:rStyle w:val="FootnoteReference"/>
          <w:rFonts w:ascii="Times New Roman" w:hAnsi="Times New Roman"/>
          <w:b/>
          <w:bCs/>
        </w:rPr>
        <w:footnoteReference w:id="7"/>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A23C17" w:rsidRDefault="00464D2F" w14:paraId="16C5D6B1" w14:textId="4962B4DE">
            <w:r>
              <w:t>D2607049</w:t>
            </w:r>
          </w:p>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A23C17" w:rsidRDefault="0008491F" w14:paraId="6846FB87" w14:textId="5F34BDB0">
            <w:pPr>
              <w:jc w:val="center"/>
            </w:pPr>
            <w:r>
              <w:t>No</w:t>
            </w:r>
          </w:p>
        </w:tc>
      </w:tr>
      <w:tr w:rsidRPr="00B803D5" w:rsidR="00FE3BAE" w:rsidTr="00576C89"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062911" w:rsidR="00FE3BAE" w:rsidP="00A23C17" w:rsidRDefault="00576C89" w14:paraId="426F2C45" w14:textId="54165DFA">
            <w:pPr>
              <w:rPr>
                <w:bCs/>
              </w:rPr>
            </w:pPr>
            <w:r w:rsidRPr="00062911">
              <w:rPr>
                <w:bCs/>
                <w:color w:val="000000"/>
              </w:rPr>
              <w:t>D2405065</w:t>
            </w:r>
          </w:p>
        </w:tc>
      </w:tr>
      <w:tr w:rsidRPr="00B803D5" w:rsidR="00FE3BAE" w:rsidTr="00576C89"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062911" w:rsidR="00FE3BAE" w:rsidP="00062911" w:rsidRDefault="00062911" w14:paraId="5B85688D" w14:textId="23EC34DA">
            <w:pPr>
              <w:tabs>
                <w:tab w:val="left" w:pos="1440"/>
                <w:tab w:val="left" w:pos="3600"/>
              </w:tabs>
              <w:rPr>
                <w:color w:val="000000"/>
              </w:rPr>
            </w:pPr>
            <w:r>
              <w:rPr>
                <w:color w:val="000000"/>
              </w:rPr>
              <w:t>A2205022, A2205023, and A2205024</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2C0434" w14:paraId="5E75C0F0" w14:textId="3D2FA6E1">
            <w:r>
              <w:t>ALJ Valerie Kao</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A978C6" w14:paraId="7CA711B6" w14:textId="41C1577A">
            <w:r w:rsidRPr="00A978C6">
              <w:t>Pacific Gas and Electric Company</w:t>
            </w:r>
            <w:r w:rsidR="00EB7924">
              <w:t>, San Diego Gas &amp; Electric Company, Southern California Edison Company</w:t>
            </w:r>
          </w:p>
        </w:tc>
      </w:tr>
    </w:tbl>
    <w:p w:rsidRPr="00B803D5" w:rsidR="00FE3BAE" w:rsidP="00CE057B" w:rsidRDefault="00FE3BAE" w14:paraId="7F0236A2" w14:textId="77777777">
      <w:pPr>
        <w:spacing w:before="48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Pr="00B803D5"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576C89"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576C89" w:rsidR="00FE3BAE" w:rsidP="00A23C17" w:rsidRDefault="00576C89" w14:paraId="3008FB17" w14:textId="4B1AA0A2">
            <w:pPr>
              <w:jc w:val="center"/>
            </w:pPr>
            <w:r w:rsidRPr="00576C89">
              <w:t>Center for Biological Diversity</w:t>
            </w:r>
          </w:p>
        </w:tc>
        <w:tc>
          <w:tcPr>
            <w:tcW w:w="1444" w:type="dxa"/>
            <w:tcBorders>
              <w:top w:val="single" w:color="auto" w:sz="4" w:space="0"/>
              <w:left w:val="single" w:color="auto" w:sz="4" w:space="0"/>
              <w:bottom w:val="single" w:color="auto" w:sz="4" w:space="0"/>
              <w:right w:val="single" w:color="auto" w:sz="4" w:space="0"/>
            </w:tcBorders>
            <w:hideMark/>
          </w:tcPr>
          <w:p w:rsidRPr="00576C89" w:rsidR="00FE3BAE" w:rsidP="00A23C17" w:rsidRDefault="007F73D5" w14:paraId="63956769" w14:textId="0012087D">
            <w:pPr>
              <w:jc w:val="center"/>
            </w:pPr>
            <w:r>
              <w:t>8/6/2024</w:t>
            </w:r>
          </w:p>
        </w:tc>
        <w:tc>
          <w:tcPr>
            <w:tcW w:w="1405" w:type="dxa"/>
            <w:tcBorders>
              <w:top w:val="single" w:color="auto" w:sz="4" w:space="0"/>
              <w:left w:val="single" w:color="auto" w:sz="4" w:space="0"/>
              <w:bottom w:val="single" w:color="auto" w:sz="4" w:space="0"/>
              <w:right w:val="single" w:color="auto" w:sz="4" w:space="0"/>
            </w:tcBorders>
            <w:hideMark/>
          </w:tcPr>
          <w:p w:rsidRPr="00576C89" w:rsidR="00FE3BAE" w:rsidP="00A23C17" w:rsidRDefault="007F73D5" w14:paraId="75AD20FA" w14:textId="1E38A3F9">
            <w:pPr>
              <w:jc w:val="center"/>
            </w:pPr>
            <w:r>
              <w:t>$37,095.18</w:t>
            </w:r>
          </w:p>
        </w:tc>
        <w:tc>
          <w:tcPr>
            <w:tcW w:w="1571" w:type="dxa"/>
            <w:tcBorders>
              <w:top w:val="single" w:color="auto" w:sz="4" w:space="0"/>
              <w:left w:val="single" w:color="auto" w:sz="4" w:space="0"/>
              <w:bottom w:val="single" w:color="auto" w:sz="4" w:space="0"/>
              <w:right w:val="single" w:color="auto" w:sz="4" w:space="0"/>
            </w:tcBorders>
            <w:hideMark/>
          </w:tcPr>
          <w:p w:rsidRPr="00744358" w:rsidR="00FE3BAE" w:rsidP="00A23C17" w:rsidRDefault="00652134" w14:paraId="0DD6FE00" w14:textId="010C7FAF">
            <w:pPr>
              <w:jc w:val="center"/>
              <w:rPr>
                <w:bCs/>
                <w:iCs/>
              </w:rPr>
            </w:pPr>
            <w:r>
              <w:rPr>
                <w:bCs/>
                <w:iCs/>
                <w:color w:val="000000"/>
              </w:rPr>
              <w:t>$</w:t>
            </w:r>
            <w:r w:rsidR="006104D1">
              <w:rPr>
                <w:bCs/>
                <w:iCs/>
                <w:color w:val="000000"/>
              </w:rPr>
              <w:t>23,403.55</w:t>
            </w:r>
          </w:p>
        </w:tc>
        <w:tc>
          <w:tcPr>
            <w:tcW w:w="1390" w:type="dxa"/>
            <w:tcBorders>
              <w:top w:val="single" w:color="auto" w:sz="4" w:space="0"/>
              <w:left w:val="single" w:color="auto" w:sz="4" w:space="0"/>
              <w:bottom w:val="single" w:color="auto" w:sz="4" w:space="0"/>
              <w:right w:val="single" w:color="auto" w:sz="4" w:space="0"/>
            </w:tcBorders>
            <w:hideMark/>
          </w:tcPr>
          <w:p w:rsidRPr="00B803D5" w:rsidR="00FE3BAE" w:rsidP="00A23C17" w:rsidRDefault="00FE3BAE" w14:paraId="0BDAFE20"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B803D5" w:rsidR="00FE3BAE" w:rsidP="00A23C17" w:rsidRDefault="00C87C11" w14:paraId="6B53C6F9" w14:textId="67008B8D">
            <w:pPr>
              <w:jc w:val="center"/>
            </w:pPr>
            <w:r w:rsidRPr="00F808AF">
              <w:rPr>
                <w:i/>
                <w:iCs/>
              </w:rPr>
              <w:t>See</w:t>
            </w:r>
            <w:r>
              <w:t xml:space="preserve"> Part III.D</w:t>
            </w:r>
            <w:r w:rsidR="00F808AF">
              <w:t xml:space="preserve"> C</w:t>
            </w:r>
            <w:r w:rsidRPr="00F808AF" w:rsidR="00F808AF">
              <w:t>PUC Comments, Disallowances, and Adjustments</w:t>
            </w:r>
          </w:p>
        </w:tc>
      </w:tr>
    </w:tbl>
    <w:p w:rsidRPr="00B803D5" w:rsidR="00FE3BAE" w:rsidP="00CE057B" w:rsidRDefault="0022302F" w14:paraId="2841210B" w14:textId="77777777">
      <w:pPr>
        <w:spacing w:before="48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7E3A88"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900DA3" w:rsidTr="007E3A88" w14:paraId="16EEE7CB"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00900DA3" w:rsidP="00900DA3" w:rsidRDefault="00900DA3" w14:paraId="579C7843" w14:textId="6A8B8B53">
            <w:pPr>
              <w:jc w:val="center"/>
              <w:rPr>
                <w:color w:val="000000"/>
              </w:rPr>
            </w:pPr>
            <w:r>
              <w:rPr>
                <w:color w:val="000000"/>
              </w:rPr>
              <w:t xml:space="preserve">Augusta </w:t>
            </w:r>
          </w:p>
        </w:tc>
        <w:tc>
          <w:tcPr>
            <w:tcW w:w="1725" w:type="dxa"/>
            <w:tcBorders>
              <w:top w:val="single" w:color="auto" w:sz="4" w:space="0"/>
              <w:left w:val="single" w:color="auto" w:sz="4" w:space="0"/>
              <w:bottom w:val="single" w:color="auto" w:sz="4" w:space="0"/>
              <w:right w:val="single" w:color="auto" w:sz="4" w:space="0"/>
            </w:tcBorders>
          </w:tcPr>
          <w:p w:rsidR="00900DA3" w:rsidP="00900DA3" w:rsidRDefault="00900DA3" w14:paraId="28BE80D3" w14:textId="066CEE3C">
            <w:pPr>
              <w:jc w:val="center"/>
              <w:rPr>
                <w:color w:val="000000"/>
              </w:rPr>
            </w:pPr>
            <w:r>
              <w:rPr>
                <w:color w:val="000000"/>
              </w:rPr>
              <w:t>Wilson</w:t>
            </w:r>
          </w:p>
        </w:tc>
        <w:tc>
          <w:tcPr>
            <w:tcW w:w="2088" w:type="dxa"/>
            <w:tcBorders>
              <w:top w:val="single" w:color="auto" w:sz="4" w:space="0"/>
              <w:left w:val="single" w:color="auto" w:sz="4" w:space="0"/>
              <w:bottom w:val="single" w:color="auto" w:sz="4" w:space="0"/>
              <w:right w:val="single" w:color="auto" w:sz="4" w:space="0"/>
            </w:tcBorders>
          </w:tcPr>
          <w:p w:rsidRPr="00910595" w:rsidR="00900DA3" w:rsidP="00900DA3" w:rsidRDefault="00900DA3" w14:paraId="2F60FA5E" w14:textId="39B10E23">
            <w:pPr>
              <w:jc w:val="center"/>
            </w:pPr>
            <w:r w:rsidRPr="00910595">
              <w:t>Attorney</w:t>
            </w:r>
            <w:bookmarkStart w:name="_Ref206766056" w:id="1"/>
            <w:r w:rsidR="00FE0E00">
              <w:rPr>
                <w:rStyle w:val="FootnoteReference"/>
              </w:rPr>
              <w:footnoteReference w:id="8"/>
            </w:r>
            <w:bookmarkEnd w:id="1"/>
          </w:p>
        </w:tc>
        <w:tc>
          <w:tcPr>
            <w:tcW w:w="1748" w:type="dxa"/>
            <w:tcBorders>
              <w:top w:val="single" w:color="auto" w:sz="4" w:space="0"/>
              <w:left w:val="single" w:color="auto" w:sz="4" w:space="0"/>
              <w:bottom w:val="single" w:color="auto" w:sz="4" w:space="0"/>
              <w:right w:val="single" w:color="auto" w:sz="4" w:space="0"/>
            </w:tcBorders>
          </w:tcPr>
          <w:p w:rsidRPr="00F77EE4" w:rsidR="00900DA3" w:rsidP="00900DA3" w:rsidRDefault="005924C1" w14:paraId="3671A837" w14:textId="0ABEE3A8">
            <w:pPr>
              <w:jc w:val="center"/>
            </w:pPr>
            <w:r>
              <w:t>N/A</w:t>
            </w:r>
            <w:r w:rsidR="003F045B">
              <w:fldChar w:fldCharType="begin"/>
            </w:r>
            <w:r w:rsidR="003F045B">
              <w:instrText xml:space="preserve"> NOTEREF _Ref206658337 \f \h </w:instrText>
            </w:r>
            <w:r w:rsidR="003F045B">
              <w:fldChar w:fldCharType="separate"/>
            </w:r>
            <w:r w:rsidRPr="001F7CA4" w:rsidR="001F7CA4">
              <w:rPr>
                <w:rStyle w:val="FootnoteReference"/>
              </w:rPr>
              <w:t>3</w:t>
            </w:r>
            <w:r w:rsidR="003F045B">
              <w:fldChar w:fldCharType="end"/>
            </w:r>
          </w:p>
        </w:tc>
        <w:tc>
          <w:tcPr>
            <w:tcW w:w="1725" w:type="dxa"/>
            <w:tcBorders>
              <w:top w:val="single" w:color="auto" w:sz="4" w:space="0"/>
              <w:left w:val="single" w:color="auto" w:sz="4" w:space="0"/>
              <w:bottom w:val="single" w:color="auto" w:sz="4" w:space="0"/>
              <w:right w:val="single" w:color="auto" w:sz="4" w:space="0"/>
            </w:tcBorders>
          </w:tcPr>
          <w:p w:rsidR="00900DA3" w:rsidP="00900DA3" w:rsidRDefault="00AE22BF" w14:paraId="414F0512" w14:textId="35960883">
            <w:pPr>
              <w:jc w:val="center"/>
              <w:rPr>
                <w:color w:val="000000"/>
              </w:rPr>
            </w:pPr>
            <w:r>
              <w:rPr>
                <w:color w:val="000000"/>
              </w:rPr>
              <w:t>2022</w:t>
            </w:r>
          </w:p>
        </w:tc>
        <w:tc>
          <w:tcPr>
            <w:tcW w:w="1634" w:type="dxa"/>
            <w:tcBorders>
              <w:top w:val="single" w:color="auto" w:sz="4" w:space="0"/>
              <w:left w:val="single" w:color="auto" w:sz="4" w:space="0"/>
              <w:bottom w:val="single" w:color="auto" w:sz="4" w:space="0"/>
              <w:right w:val="single" w:color="auto" w:sz="4" w:space="0"/>
            </w:tcBorders>
          </w:tcPr>
          <w:p w:rsidR="00900DA3" w:rsidP="00900DA3" w:rsidRDefault="003F045B" w14:paraId="0F825B22" w14:textId="0CA40C28">
            <w:pPr>
              <w:jc w:val="center"/>
            </w:pPr>
            <w:r>
              <w:t>$</w:t>
            </w:r>
            <w:r w:rsidR="005E218D">
              <w:t>510</w:t>
            </w:r>
            <w:r>
              <w:t>.00</w:t>
            </w:r>
          </w:p>
        </w:tc>
      </w:tr>
      <w:tr w:rsidRPr="00B803D5" w:rsidR="003E79DA" w:rsidTr="007E3A88"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803D5" w:rsidR="003E79DA" w:rsidP="003E79DA" w:rsidRDefault="003E79DA" w14:paraId="0F0C6D6C" w14:textId="25BC5A61">
            <w:pPr>
              <w:jc w:val="center"/>
              <w:rPr>
                <w:shd w:val="clear" w:color="auto" w:fill="CCFFCC"/>
              </w:rPr>
            </w:pPr>
            <w:r>
              <w:rPr>
                <w:color w:val="000000"/>
              </w:rPr>
              <w:t xml:space="preserve">Augusta </w:t>
            </w:r>
          </w:p>
        </w:tc>
        <w:tc>
          <w:tcPr>
            <w:tcW w:w="1725" w:type="dxa"/>
            <w:tcBorders>
              <w:top w:val="single" w:color="auto" w:sz="4" w:space="0"/>
              <w:left w:val="single" w:color="auto" w:sz="4" w:space="0"/>
              <w:bottom w:val="single" w:color="auto" w:sz="4" w:space="0"/>
              <w:right w:val="single" w:color="auto" w:sz="4" w:space="0"/>
            </w:tcBorders>
          </w:tcPr>
          <w:p w:rsidRPr="00B803D5" w:rsidR="003E79DA" w:rsidP="003E79DA" w:rsidRDefault="003E79DA" w14:paraId="6ACE7B68" w14:textId="45E3FC6D">
            <w:pPr>
              <w:jc w:val="center"/>
              <w:rPr>
                <w:shd w:val="clear" w:color="auto" w:fill="CCFFCC"/>
              </w:rPr>
            </w:pPr>
            <w:r>
              <w:rPr>
                <w:color w:val="000000"/>
              </w:rPr>
              <w:t>Wilson</w:t>
            </w:r>
          </w:p>
        </w:tc>
        <w:tc>
          <w:tcPr>
            <w:tcW w:w="2088" w:type="dxa"/>
            <w:tcBorders>
              <w:top w:val="single" w:color="auto" w:sz="4" w:space="0"/>
              <w:left w:val="single" w:color="auto" w:sz="4" w:space="0"/>
              <w:bottom w:val="single" w:color="auto" w:sz="4" w:space="0"/>
              <w:right w:val="single" w:color="auto" w:sz="4" w:space="0"/>
            </w:tcBorders>
          </w:tcPr>
          <w:p w:rsidRPr="00910595" w:rsidR="003E79DA" w:rsidP="00910595" w:rsidRDefault="00910595" w14:paraId="0E61474F" w14:textId="58305A47">
            <w:pPr>
              <w:jc w:val="center"/>
            </w:pPr>
            <w:r w:rsidRPr="00910595">
              <w:t>Attorney</w:t>
            </w:r>
            <w:r w:rsidR="00E826E5">
              <w:fldChar w:fldCharType="begin"/>
            </w:r>
            <w:r w:rsidR="00E826E5">
              <w:instrText xml:space="preserve"> NOTEREF _Ref206766056 \f \h </w:instrText>
            </w:r>
            <w:r w:rsidR="00E826E5">
              <w:fldChar w:fldCharType="separate"/>
            </w:r>
            <w:r w:rsidRPr="001F7CA4" w:rsidR="001F7CA4">
              <w:rPr>
                <w:rStyle w:val="FootnoteReference"/>
              </w:rPr>
              <w:t>8</w:t>
            </w:r>
            <w:r w:rsidR="00E826E5">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3E79DA" w:rsidP="003E79DA" w:rsidRDefault="003E79DA" w14:paraId="44F9655C" w14:textId="64F9A948">
            <w:pPr>
              <w:jc w:val="center"/>
            </w:pPr>
            <w:r w:rsidRPr="00F77EE4">
              <w:t>$536.52</w:t>
            </w:r>
          </w:p>
        </w:tc>
        <w:tc>
          <w:tcPr>
            <w:tcW w:w="1725" w:type="dxa"/>
            <w:tcBorders>
              <w:top w:val="single" w:color="auto" w:sz="4" w:space="0"/>
              <w:left w:val="single" w:color="auto" w:sz="4" w:space="0"/>
              <w:bottom w:val="single" w:color="auto" w:sz="4" w:space="0"/>
              <w:right w:val="single" w:color="auto" w:sz="4" w:space="0"/>
            </w:tcBorders>
          </w:tcPr>
          <w:p w:rsidRPr="00B803D5" w:rsidR="003E79DA" w:rsidP="003E79DA" w:rsidRDefault="003E79DA" w14:paraId="2EB25516" w14:textId="7162625E">
            <w:pPr>
              <w:jc w:val="center"/>
            </w:pPr>
            <w:r>
              <w:rPr>
                <w:color w:val="000000"/>
              </w:rPr>
              <w:t>2023</w:t>
            </w:r>
          </w:p>
        </w:tc>
        <w:tc>
          <w:tcPr>
            <w:tcW w:w="1634" w:type="dxa"/>
            <w:tcBorders>
              <w:top w:val="single" w:color="auto" w:sz="4" w:space="0"/>
              <w:left w:val="single" w:color="auto" w:sz="4" w:space="0"/>
              <w:bottom w:val="single" w:color="auto" w:sz="4" w:space="0"/>
              <w:right w:val="single" w:color="auto" w:sz="4" w:space="0"/>
            </w:tcBorders>
          </w:tcPr>
          <w:p w:rsidRPr="00B803D5" w:rsidR="003E79DA" w:rsidP="003E79DA" w:rsidRDefault="00361616" w14:paraId="0A76FE98" w14:textId="184716B9">
            <w:pPr>
              <w:jc w:val="center"/>
            </w:pPr>
            <w:r>
              <w:t>$</w:t>
            </w:r>
            <w:r w:rsidR="005E218D">
              <w:t>535</w:t>
            </w:r>
            <w:r>
              <w:t>.00</w:t>
            </w:r>
          </w:p>
        </w:tc>
      </w:tr>
      <w:tr w:rsidRPr="00B803D5" w:rsidR="00910595" w:rsidTr="007E3A88"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803D5" w:rsidR="00910595" w:rsidP="00910595" w:rsidRDefault="00910595" w14:paraId="4CFDAB24" w14:textId="5F039FC2">
            <w:pPr>
              <w:jc w:val="center"/>
              <w:rPr>
                <w:shd w:val="clear" w:color="auto" w:fill="CCFFCC"/>
              </w:rPr>
            </w:pPr>
            <w:r>
              <w:rPr>
                <w:color w:val="000000"/>
              </w:rPr>
              <w:t xml:space="preserve">Augusta </w:t>
            </w:r>
          </w:p>
        </w:tc>
        <w:tc>
          <w:tcPr>
            <w:tcW w:w="1725" w:type="dxa"/>
            <w:tcBorders>
              <w:top w:val="single" w:color="auto" w:sz="4" w:space="0"/>
              <w:left w:val="single" w:color="auto" w:sz="4" w:space="0"/>
              <w:bottom w:val="single" w:color="auto" w:sz="4" w:space="0"/>
              <w:right w:val="single" w:color="auto" w:sz="4" w:space="0"/>
            </w:tcBorders>
          </w:tcPr>
          <w:p w:rsidRPr="00B803D5" w:rsidR="00910595" w:rsidP="00910595" w:rsidRDefault="00910595" w14:paraId="3A9B4F75" w14:textId="2914B204">
            <w:pPr>
              <w:jc w:val="center"/>
              <w:rPr>
                <w:shd w:val="clear" w:color="auto" w:fill="CCFFCC"/>
              </w:rPr>
            </w:pPr>
            <w:r>
              <w:rPr>
                <w:color w:val="000000"/>
              </w:rPr>
              <w:t>Wilson</w:t>
            </w:r>
          </w:p>
        </w:tc>
        <w:tc>
          <w:tcPr>
            <w:tcW w:w="2088" w:type="dxa"/>
            <w:tcBorders>
              <w:top w:val="single" w:color="auto" w:sz="4" w:space="0"/>
              <w:left w:val="single" w:color="auto" w:sz="4" w:space="0"/>
              <w:bottom w:val="single" w:color="auto" w:sz="4" w:space="0"/>
              <w:right w:val="single" w:color="auto" w:sz="4" w:space="0"/>
            </w:tcBorders>
          </w:tcPr>
          <w:p w:rsidRPr="00910595" w:rsidR="00910595" w:rsidP="00910595" w:rsidRDefault="00910595" w14:paraId="73440B00" w14:textId="5204431D">
            <w:pPr>
              <w:jc w:val="center"/>
            </w:pPr>
            <w:r w:rsidRPr="00910595">
              <w:t>Attorney</w:t>
            </w:r>
            <w:r w:rsidR="00E826E5">
              <w:fldChar w:fldCharType="begin"/>
            </w:r>
            <w:r w:rsidR="00E826E5">
              <w:instrText xml:space="preserve"> NOTEREF _Ref206766056 \f \h </w:instrText>
            </w:r>
            <w:r w:rsidR="00E826E5">
              <w:fldChar w:fldCharType="separate"/>
            </w:r>
            <w:r w:rsidRPr="001F7CA4" w:rsidR="001F7CA4">
              <w:rPr>
                <w:rStyle w:val="FootnoteReference"/>
              </w:rPr>
              <w:t>8</w:t>
            </w:r>
            <w:r w:rsidR="00E826E5">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910595" w:rsidP="00910595" w:rsidRDefault="00910595" w14:paraId="1466F47E" w14:textId="58E00A58">
            <w:pPr>
              <w:jc w:val="center"/>
            </w:pPr>
            <w:r w:rsidRPr="00F77EE4">
              <w:t>$558.35</w:t>
            </w:r>
          </w:p>
        </w:tc>
        <w:tc>
          <w:tcPr>
            <w:tcW w:w="1725" w:type="dxa"/>
            <w:tcBorders>
              <w:top w:val="single" w:color="auto" w:sz="4" w:space="0"/>
              <w:left w:val="single" w:color="auto" w:sz="4" w:space="0"/>
              <w:bottom w:val="single" w:color="auto" w:sz="4" w:space="0"/>
              <w:right w:val="single" w:color="auto" w:sz="4" w:space="0"/>
            </w:tcBorders>
          </w:tcPr>
          <w:p w:rsidRPr="00B803D5" w:rsidR="00910595" w:rsidP="00910595" w:rsidRDefault="00910595" w14:paraId="4CBE320E" w14:textId="6664AB8E">
            <w:pPr>
              <w:jc w:val="center"/>
            </w:pPr>
            <w:r>
              <w:rPr>
                <w:color w:val="000000"/>
              </w:rPr>
              <w:t>2024</w:t>
            </w:r>
          </w:p>
        </w:tc>
        <w:tc>
          <w:tcPr>
            <w:tcW w:w="1634" w:type="dxa"/>
            <w:tcBorders>
              <w:top w:val="single" w:color="auto" w:sz="4" w:space="0"/>
              <w:left w:val="single" w:color="auto" w:sz="4" w:space="0"/>
              <w:bottom w:val="single" w:color="auto" w:sz="4" w:space="0"/>
              <w:right w:val="single" w:color="auto" w:sz="4" w:space="0"/>
            </w:tcBorders>
          </w:tcPr>
          <w:p w:rsidRPr="00B803D5" w:rsidR="00910595" w:rsidP="00910595" w:rsidRDefault="00361616" w14:paraId="37932A57" w14:textId="2607919F">
            <w:pPr>
              <w:jc w:val="center"/>
            </w:pPr>
            <w:r>
              <w:t>$</w:t>
            </w:r>
            <w:r w:rsidR="005E218D">
              <w:t>555</w:t>
            </w:r>
            <w:r>
              <w:t>.00</w:t>
            </w:r>
          </w:p>
        </w:tc>
      </w:tr>
      <w:tr w:rsidRPr="00B803D5" w:rsidR="00910595" w:rsidTr="007E3A88" w14:paraId="4C519B4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803D5" w:rsidR="00910595" w:rsidP="00910595" w:rsidRDefault="00910595" w14:paraId="65C04662" w14:textId="716FE5F9">
            <w:pPr>
              <w:jc w:val="center"/>
              <w:rPr>
                <w:shd w:val="clear" w:color="auto" w:fill="CCFFCC"/>
              </w:rPr>
            </w:pPr>
            <w:r>
              <w:rPr>
                <w:color w:val="000000"/>
              </w:rPr>
              <w:t xml:space="preserve">Howard </w:t>
            </w:r>
          </w:p>
        </w:tc>
        <w:tc>
          <w:tcPr>
            <w:tcW w:w="1725" w:type="dxa"/>
            <w:tcBorders>
              <w:top w:val="single" w:color="auto" w:sz="4" w:space="0"/>
              <w:left w:val="single" w:color="auto" w:sz="4" w:space="0"/>
              <w:bottom w:val="single" w:color="auto" w:sz="4" w:space="0"/>
              <w:right w:val="single" w:color="auto" w:sz="4" w:space="0"/>
            </w:tcBorders>
          </w:tcPr>
          <w:p w:rsidRPr="00B803D5" w:rsidR="00910595" w:rsidP="00910595" w:rsidRDefault="00910595" w14:paraId="1C590887" w14:textId="6CD67DB0">
            <w:pPr>
              <w:jc w:val="center"/>
              <w:rPr>
                <w:shd w:val="clear" w:color="auto" w:fill="CCFFCC"/>
              </w:rPr>
            </w:pPr>
            <w:r>
              <w:rPr>
                <w:color w:val="000000"/>
              </w:rPr>
              <w:t>Crystal</w:t>
            </w:r>
          </w:p>
        </w:tc>
        <w:tc>
          <w:tcPr>
            <w:tcW w:w="2088" w:type="dxa"/>
            <w:tcBorders>
              <w:top w:val="single" w:color="auto" w:sz="4" w:space="0"/>
              <w:left w:val="single" w:color="auto" w:sz="4" w:space="0"/>
              <w:bottom w:val="single" w:color="auto" w:sz="4" w:space="0"/>
              <w:right w:val="single" w:color="auto" w:sz="4" w:space="0"/>
            </w:tcBorders>
          </w:tcPr>
          <w:p w:rsidRPr="00910595" w:rsidR="00910595" w:rsidP="00910595" w:rsidRDefault="00910595" w14:paraId="1EA8DE3D" w14:textId="1C36D319">
            <w:pPr>
              <w:jc w:val="center"/>
            </w:pPr>
            <w:r w:rsidRPr="00910595">
              <w:t>Attorney</w:t>
            </w:r>
            <w:bookmarkStart w:name="_Ref206766049" w:id="2"/>
            <w:r w:rsidR="00250430">
              <w:rPr>
                <w:rStyle w:val="FootnoteReference"/>
              </w:rPr>
              <w:footnoteReference w:id="9"/>
            </w:r>
            <w:bookmarkEnd w:id="2"/>
          </w:p>
        </w:tc>
        <w:tc>
          <w:tcPr>
            <w:tcW w:w="1748" w:type="dxa"/>
            <w:tcBorders>
              <w:top w:val="single" w:color="auto" w:sz="4" w:space="0"/>
              <w:left w:val="single" w:color="auto" w:sz="4" w:space="0"/>
              <w:bottom w:val="single" w:color="auto" w:sz="4" w:space="0"/>
              <w:right w:val="single" w:color="auto" w:sz="4" w:space="0"/>
            </w:tcBorders>
          </w:tcPr>
          <w:p w:rsidRPr="00B803D5" w:rsidR="00910595" w:rsidP="00910595" w:rsidRDefault="00910595" w14:paraId="4F6290AB" w14:textId="4BF7A521">
            <w:pPr>
              <w:jc w:val="center"/>
            </w:pPr>
            <w:r w:rsidRPr="00F77EE4">
              <w:t>$</w:t>
            </w:r>
            <w:r>
              <w:t>763.19</w:t>
            </w:r>
          </w:p>
        </w:tc>
        <w:tc>
          <w:tcPr>
            <w:tcW w:w="1725" w:type="dxa"/>
            <w:tcBorders>
              <w:top w:val="single" w:color="auto" w:sz="4" w:space="0"/>
              <w:left w:val="single" w:color="auto" w:sz="4" w:space="0"/>
              <w:bottom w:val="single" w:color="auto" w:sz="4" w:space="0"/>
              <w:right w:val="single" w:color="auto" w:sz="4" w:space="0"/>
            </w:tcBorders>
          </w:tcPr>
          <w:p w:rsidRPr="00B803D5" w:rsidR="00910595" w:rsidP="00910595" w:rsidRDefault="00910595" w14:paraId="1354C70A" w14:textId="3F1646B8">
            <w:pPr>
              <w:jc w:val="center"/>
            </w:pPr>
            <w:r>
              <w:rPr>
                <w:color w:val="000000"/>
              </w:rPr>
              <w:t>2023</w:t>
            </w:r>
          </w:p>
        </w:tc>
        <w:tc>
          <w:tcPr>
            <w:tcW w:w="1634" w:type="dxa"/>
            <w:tcBorders>
              <w:top w:val="single" w:color="auto" w:sz="4" w:space="0"/>
              <w:left w:val="single" w:color="auto" w:sz="4" w:space="0"/>
              <w:bottom w:val="single" w:color="auto" w:sz="4" w:space="0"/>
              <w:right w:val="single" w:color="auto" w:sz="4" w:space="0"/>
            </w:tcBorders>
          </w:tcPr>
          <w:p w:rsidRPr="00B803D5" w:rsidR="00910595" w:rsidP="00910595" w:rsidRDefault="00361616" w14:paraId="36649915" w14:textId="6C8CDC6B">
            <w:pPr>
              <w:jc w:val="center"/>
            </w:pPr>
            <w:r>
              <w:t>$</w:t>
            </w:r>
            <w:r w:rsidR="005E218D">
              <w:t>765</w:t>
            </w:r>
            <w:r w:rsidR="0000380D">
              <w:t>.00</w:t>
            </w:r>
          </w:p>
        </w:tc>
      </w:tr>
      <w:tr w:rsidRPr="00B803D5" w:rsidR="00910595" w:rsidTr="007E3A88"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803D5" w:rsidR="00910595" w:rsidP="00910595" w:rsidRDefault="00910595" w14:paraId="71BF257F" w14:textId="61D74CD1">
            <w:pPr>
              <w:jc w:val="center"/>
              <w:rPr>
                <w:shd w:val="clear" w:color="auto" w:fill="CCFFCC"/>
              </w:rPr>
            </w:pPr>
            <w:r>
              <w:rPr>
                <w:color w:val="000000"/>
              </w:rPr>
              <w:t xml:space="preserve">Howard </w:t>
            </w:r>
          </w:p>
        </w:tc>
        <w:tc>
          <w:tcPr>
            <w:tcW w:w="1725" w:type="dxa"/>
            <w:tcBorders>
              <w:top w:val="single" w:color="auto" w:sz="4" w:space="0"/>
              <w:left w:val="single" w:color="auto" w:sz="4" w:space="0"/>
              <w:bottom w:val="single" w:color="auto" w:sz="4" w:space="0"/>
              <w:right w:val="single" w:color="auto" w:sz="4" w:space="0"/>
            </w:tcBorders>
          </w:tcPr>
          <w:p w:rsidRPr="00B803D5" w:rsidR="00910595" w:rsidP="00910595" w:rsidRDefault="00910595" w14:paraId="4D0E5B24" w14:textId="1BAAD4CE">
            <w:pPr>
              <w:jc w:val="center"/>
              <w:rPr>
                <w:shd w:val="clear" w:color="auto" w:fill="CCFFCC"/>
              </w:rPr>
            </w:pPr>
            <w:r>
              <w:rPr>
                <w:color w:val="000000"/>
              </w:rPr>
              <w:t>Crystal</w:t>
            </w:r>
          </w:p>
        </w:tc>
        <w:tc>
          <w:tcPr>
            <w:tcW w:w="2088" w:type="dxa"/>
            <w:tcBorders>
              <w:top w:val="single" w:color="auto" w:sz="4" w:space="0"/>
              <w:left w:val="single" w:color="auto" w:sz="4" w:space="0"/>
              <w:bottom w:val="single" w:color="auto" w:sz="4" w:space="0"/>
              <w:right w:val="single" w:color="auto" w:sz="4" w:space="0"/>
            </w:tcBorders>
          </w:tcPr>
          <w:p w:rsidRPr="00910595" w:rsidR="00910595" w:rsidP="00910595" w:rsidRDefault="00910595" w14:paraId="3ACB6465" w14:textId="088F89E7">
            <w:pPr>
              <w:jc w:val="center"/>
            </w:pPr>
            <w:r w:rsidRPr="00910595">
              <w:t>Attorney</w:t>
            </w:r>
            <w:r w:rsidR="00E826E5">
              <w:fldChar w:fldCharType="begin"/>
            </w:r>
            <w:r w:rsidR="00E826E5">
              <w:instrText xml:space="preserve"> NOTEREF _Ref206766049 \f \h </w:instrText>
            </w:r>
            <w:r w:rsidR="00E826E5">
              <w:fldChar w:fldCharType="separate"/>
            </w:r>
            <w:r w:rsidRPr="001F7CA4" w:rsidR="001F7CA4">
              <w:rPr>
                <w:rStyle w:val="FootnoteReference"/>
              </w:rPr>
              <w:t>9</w:t>
            </w:r>
            <w:r w:rsidR="00E826E5">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910595" w:rsidP="00910595" w:rsidRDefault="00910595" w14:paraId="27D75B3F" w14:textId="7686CB10">
            <w:pPr>
              <w:jc w:val="center"/>
            </w:pPr>
            <w:r w:rsidRPr="00F77EE4">
              <w:t>$</w:t>
            </w:r>
            <w:r>
              <w:t>794.25</w:t>
            </w:r>
          </w:p>
        </w:tc>
        <w:tc>
          <w:tcPr>
            <w:tcW w:w="1725" w:type="dxa"/>
            <w:tcBorders>
              <w:top w:val="single" w:color="auto" w:sz="4" w:space="0"/>
              <w:left w:val="single" w:color="auto" w:sz="4" w:space="0"/>
              <w:bottom w:val="single" w:color="auto" w:sz="4" w:space="0"/>
              <w:right w:val="single" w:color="auto" w:sz="4" w:space="0"/>
            </w:tcBorders>
          </w:tcPr>
          <w:p w:rsidRPr="00B803D5" w:rsidR="00910595" w:rsidP="00910595" w:rsidRDefault="00910595" w14:paraId="0BD45097" w14:textId="54A3DC68">
            <w:pPr>
              <w:jc w:val="center"/>
            </w:pPr>
            <w:r>
              <w:rPr>
                <w:color w:val="000000"/>
              </w:rPr>
              <w:t>2024</w:t>
            </w:r>
          </w:p>
        </w:tc>
        <w:tc>
          <w:tcPr>
            <w:tcW w:w="1634" w:type="dxa"/>
            <w:tcBorders>
              <w:top w:val="single" w:color="auto" w:sz="4" w:space="0"/>
              <w:left w:val="single" w:color="auto" w:sz="4" w:space="0"/>
              <w:bottom w:val="single" w:color="auto" w:sz="4" w:space="0"/>
              <w:right w:val="single" w:color="auto" w:sz="4" w:space="0"/>
            </w:tcBorders>
          </w:tcPr>
          <w:p w:rsidRPr="00B803D5" w:rsidR="00910595" w:rsidP="00910595" w:rsidRDefault="0000380D" w14:paraId="6B245605" w14:textId="70BA53E0">
            <w:pPr>
              <w:jc w:val="center"/>
            </w:pPr>
            <w:r>
              <w:t>$</w:t>
            </w:r>
            <w:r w:rsidR="005E218D">
              <w:t>795</w:t>
            </w:r>
            <w:r>
              <w:t>.00</w:t>
            </w:r>
          </w:p>
        </w:tc>
      </w:tr>
      <w:tr w:rsidRPr="00B803D5" w:rsidR="00900DA3" w:rsidTr="007E3A88" w14:paraId="36D6EE2E"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00900DA3" w:rsidP="00900DA3" w:rsidRDefault="00900DA3" w14:paraId="14919A79" w14:textId="5E0FADC3">
            <w:pPr>
              <w:jc w:val="center"/>
              <w:rPr>
                <w:color w:val="000000"/>
              </w:rPr>
            </w:pPr>
            <w:r>
              <w:rPr>
                <w:color w:val="000000"/>
              </w:rPr>
              <w:t xml:space="preserve">Roger </w:t>
            </w:r>
          </w:p>
        </w:tc>
        <w:tc>
          <w:tcPr>
            <w:tcW w:w="1725" w:type="dxa"/>
            <w:tcBorders>
              <w:top w:val="single" w:color="auto" w:sz="4" w:space="0"/>
              <w:left w:val="single" w:color="auto" w:sz="4" w:space="0"/>
              <w:bottom w:val="single" w:color="auto" w:sz="4" w:space="0"/>
              <w:right w:val="single" w:color="auto" w:sz="4" w:space="0"/>
            </w:tcBorders>
          </w:tcPr>
          <w:p w:rsidR="00900DA3" w:rsidP="00900DA3" w:rsidRDefault="00900DA3" w14:paraId="30DFE255" w14:textId="1A89E949">
            <w:pPr>
              <w:jc w:val="center"/>
              <w:rPr>
                <w:color w:val="000000"/>
              </w:rPr>
            </w:pPr>
            <w:r>
              <w:rPr>
                <w:color w:val="000000"/>
              </w:rPr>
              <w:t>Lin</w:t>
            </w:r>
          </w:p>
        </w:tc>
        <w:tc>
          <w:tcPr>
            <w:tcW w:w="2088" w:type="dxa"/>
            <w:tcBorders>
              <w:top w:val="single" w:color="auto" w:sz="4" w:space="0"/>
              <w:left w:val="single" w:color="auto" w:sz="4" w:space="0"/>
              <w:bottom w:val="single" w:color="auto" w:sz="4" w:space="0"/>
              <w:right w:val="single" w:color="auto" w:sz="4" w:space="0"/>
            </w:tcBorders>
          </w:tcPr>
          <w:p w:rsidRPr="00910595" w:rsidR="00900DA3" w:rsidP="00900DA3" w:rsidRDefault="00900DA3" w14:paraId="17FAB092" w14:textId="3611E12A">
            <w:pPr>
              <w:jc w:val="center"/>
            </w:pPr>
            <w:r w:rsidRPr="00910595">
              <w:t>Attorney</w:t>
            </w:r>
            <w:bookmarkStart w:name="_Ref206766070" w:id="3"/>
            <w:r w:rsidR="002B01CC">
              <w:fldChar w:fldCharType="begin"/>
            </w:r>
            <w:r w:rsidR="002B01CC">
              <w:instrText xml:space="preserve"> NOTEREF _Ref227761781 \f \h </w:instrText>
            </w:r>
            <w:r w:rsidR="002B01CC">
              <w:fldChar w:fldCharType="separate"/>
            </w:r>
            <w:r w:rsidRPr="001F7CA4" w:rsidR="001F7CA4">
              <w:rPr>
                <w:rStyle w:val="FootnoteReference"/>
              </w:rPr>
              <w:t>10</w:t>
            </w:r>
            <w:r w:rsidR="002B01CC">
              <w:fldChar w:fldCharType="end"/>
            </w:r>
            <w:bookmarkEnd w:id="3"/>
          </w:p>
        </w:tc>
        <w:tc>
          <w:tcPr>
            <w:tcW w:w="1748" w:type="dxa"/>
            <w:tcBorders>
              <w:top w:val="single" w:color="auto" w:sz="4" w:space="0"/>
              <w:left w:val="single" w:color="auto" w:sz="4" w:space="0"/>
              <w:bottom w:val="single" w:color="auto" w:sz="4" w:space="0"/>
              <w:right w:val="single" w:color="auto" w:sz="4" w:space="0"/>
            </w:tcBorders>
          </w:tcPr>
          <w:p w:rsidRPr="00F77EE4" w:rsidR="00900DA3" w:rsidP="00900DA3" w:rsidRDefault="005924C1" w14:paraId="075494C7" w14:textId="69802E7B">
            <w:pPr>
              <w:jc w:val="center"/>
            </w:pPr>
            <w:r>
              <w:t>N/A</w:t>
            </w:r>
            <w:r w:rsidR="003F045B">
              <w:fldChar w:fldCharType="begin"/>
            </w:r>
            <w:r w:rsidR="003F045B">
              <w:instrText xml:space="preserve"> NOTEREF _Ref206658337 \f \h </w:instrText>
            </w:r>
            <w:r w:rsidR="003F045B">
              <w:fldChar w:fldCharType="separate"/>
            </w:r>
            <w:r w:rsidRPr="001F7CA4" w:rsidR="001F7CA4">
              <w:rPr>
                <w:rStyle w:val="FootnoteReference"/>
              </w:rPr>
              <w:t>3</w:t>
            </w:r>
            <w:r w:rsidR="003F045B">
              <w:fldChar w:fldCharType="end"/>
            </w:r>
          </w:p>
        </w:tc>
        <w:tc>
          <w:tcPr>
            <w:tcW w:w="1725" w:type="dxa"/>
            <w:tcBorders>
              <w:top w:val="single" w:color="auto" w:sz="4" w:space="0"/>
              <w:left w:val="single" w:color="auto" w:sz="4" w:space="0"/>
              <w:bottom w:val="single" w:color="auto" w:sz="4" w:space="0"/>
              <w:right w:val="single" w:color="auto" w:sz="4" w:space="0"/>
            </w:tcBorders>
          </w:tcPr>
          <w:p w:rsidR="00900DA3" w:rsidP="00900DA3" w:rsidRDefault="00AE22BF" w14:paraId="52DC518F" w14:textId="128870E7">
            <w:pPr>
              <w:jc w:val="center"/>
              <w:rPr>
                <w:color w:val="000000"/>
              </w:rPr>
            </w:pPr>
            <w:r>
              <w:rPr>
                <w:color w:val="000000"/>
              </w:rPr>
              <w:t>2022</w:t>
            </w:r>
          </w:p>
        </w:tc>
        <w:tc>
          <w:tcPr>
            <w:tcW w:w="1634" w:type="dxa"/>
            <w:tcBorders>
              <w:top w:val="single" w:color="auto" w:sz="4" w:space="0"/>
              <w:left w:val="single" w:color="auto" w:sz="4" w:space="0"/>
              <w:bottom w:val="single" w:color="auto" w:sz="4" w:space="0"/>
              <w:right w:val="single" w:color="auto" w:sz="4" w:space="0"/>
            </w:tcBorders>
          </w:tcPr>
          <w:p w:rsidR="00900DA3" w:rsidP="00900DA3" w:rsidRDefault="00221599" w14:paraId="6931CEC9" w14:textId="277FAA00">
            <w:pPr>
              <w:jc w:val="center"/>
            </w:pPr>
            <w:r>
              <w:t>$555.00</w:t>
            </w:r>
          </w:p>
        </w:tc>
      </w:tr>
      <w:tr w:rsidRPr="00B803D5" w:rsidR="00900DA3" w:rsidTr="007E3A88" w14:paraId="474E258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803D5" w:rsidR="00900DA3" w:rsidP="00900DA3" w:rsidRDefault="00900DA3" w14:paraId="115C1393" w14:textId="552C9213">
            <w:pPr>
              <w:jc w:val="center"/>
              <w:rPr>
                <w:shd w:val="clear" w:color="auto" w:fill="CCFFCC"/>
              </w:rPr>
            </w:pPr>
            <w:r>
              <w:rPr>
                <w:color w:val="000000"/>
              </w:rPr>
              <w:t xml:space="preserve">Roger </w:t>
            </w:r>
          </w:p>
        </w:tc>
        <w:tc>
          <w:tcPr>
            <w:tcW w:w="1725" w:type="dxa"/>
            <w:tcBorders>
              <w:top w:val="single" w:color="auto" w:sz="4" w:space="0"/>
              <w:left w:val="single" w:color="auto" w:sz="4" w:space="0"/>
              <w:bottom w:val="single" w:color="auto" w:sz="4" w:space="0"/>
              <w:right w:val="single" w:color="auto" w:sz="4" w:space="0"/>
            </w:tcBorders>
          </w:tcPr>
          <w:p w:rsidRPr="00B803D5" w:rsidR="00900DA3" w:rsidP="00900DA3" w:rsidRDefault="00900DA3" w14:paraId="1467A27B" w14:textId="29ECD8D7">
            <w:pPr>
              <w:jc w:val="center"/>
              <w:rPr>
                <w:shd w:val="clear" w:color="auto" w:fill="CCFFCC"/>
              </w:rPr>
            </w:pPr>
            <w:r>
              <w:rPr>
                <w:color w:val="000000"/>
              </w:rPr>
              <w:t>Lin</w:t>
            </w:r>
          </w:p>
        </w:tc>
        <w:tc>
          <w:tcPr>
            <w:tcW w:w="2088" w:type="dxa"/>
            <w:tcBorders>
              <w:top w:val="single" w:color="auto" w:sz="4" w:space="0"/>
              <w:left w:val="single" w:color="auto" w:sz="4" w:space="0"/>
              <w:bottom w:val="single" w:color="auto" w:sz="4" w:space="0"/>
              <w:right w:val="single" w:color="auto" w:sz="4" w:space="0"/>
            </w:tcBorders>
          </w:tcPr>
          <w:p w:rsidRPr="00910595" w:rsidR="00900DA3" w:rsidP="00900DA3" w:rsidRDefault="00900DA3" w14:paraId="66D10560" w14:textId="7EDF9CF9">
            <w:pPr>
              <w:jc w:val="center"/>
            </w:pPr>
            <w:r w:rsidRPr="00910595">
              <w:t>Attorney</w:t>
            </w:r>
            <w:bookmarkStart w:name="_Ref227761781" w:id="4"/>
            <w:r w:rsidR="00C8027B">
              <w:rPr>
                <w:rStyle w:val="FootnoteReference"/>
              </w:rPr>
              <w:footnoteReference w:id="10"/>
            </w:r>
            <w:bookmarkEnd w:id="4"/>
          </w:p>
        </w:tc>
        <w:tc>
          <w:tcPr>
            <w:tcW w:w="1748" w:type="dxa"/>
            <w:tcBorders>
              <w:top w:val="single" w:color="auto" w:sz="4" w:space="0"/>
              <w:left w:val="single" w:color="auto" w:sz="4" w:space="0"/>
              <w:bottom w:val="single" w:color="auto" w:sz="4" w:space="0"/>
              <w:right w:val="single" w:color="auto" w:sz="4" w:space="0"/>
            </w:tcBorders>
          </w:tcPr>
          <w:p w:rsidRPr="00B803D5" w:rsidR="00900DA3" w:rsidP="00900DA3" w:rsidRDefault="00900DA3" w14:paraId="7BC812A8" w14:textId="4A0CAC24">
            <w:pPr>
              <w:jc w:val="center"/>
            </w:pPr>
            <w:r w:rsidRPr="00F77EE4">
              <w:t>$536.52</w:t>
            </w:r>
          </w:p>
        </w:tc>
        <w:tc>
          <w:tcPr>
            <w:tcW w:w="1725" w:type="dxa"/>
            <w:tcBorders>
              <w:top w:val="single" w:color="auto" w:sz="4" w:space="0"/>
              <w:left w:val="single" w:color="auto" w:sz="4" w:space="0"/>
              <w:bottom w:val="single" w:color="auto" w:sz="4" w:space="0"/>
              <w:right w:val="single" w:color="auto" w:sz="4" w:space="0"/>
            </w:tcBorders>
          </w:tcPr>
          <w:p w:rsidRPr="00B803D5" w:rsidR="00900DA3" w:rsidP="00900DA3" w:rsidRDefault="00900DA3" w14:paraId="4580AE9E" w14:textId="2D4B5A46">
            <w:pPr>
              <w:jc w:val="center"/>
            </w:pPr>
            <w:r>
              <w:rPr>
                <w:color w:val="000000"/>
              </w:rPr>
              <w:t>2023</w:t>
            </w:r>
          </w:p>
        </w:tc>
        <w:tc>
          <w:tcPr>
            <w:tcW w:w="1634" w:type="dxa"/>
            <w:tcBorders>
              <w:top w:val="single" w:color="auto" w:sz="4" w:space="0"/>
              <w:left w:val="single" w:color="auto" w:sz="4" w:space="0"/>
              <w:bottom w:val="single" w:color="auto" w:sz="4" w:space="0"/>
              <w:right w:val="single" w:color="auto" w:sz="4" w:space="0"/>
            </w:tcBorders>
          </w:tcPr>
          <w:p w:rsidRPr="00B803D5" w:rsidR="00900DA3" w:rsidP="00900DA3" w:rsidRDefault="00900DA3" w14:paraId="74B7B957" w14:textId="3045C771">
            <w:pPr>
              <w:jc w:val="center"/>
            </w:pPr>
            <w:r>
              <w:t>$580.00</w:t>
            </w:r>
          </w:p>
        </w:tc>
      </w:tr>
      <w:tr w:rsidRPr="00B803D5" w:rsidR="00900DA3" w:rsidTr="007E3A88" w14:paraId="0DC4129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803D5" w:rsidR="00900DA3" w:rsidP="00900DA3" w:rsidRDefault="00900DA3" w14:paraId="1C03A89B" w14:textId="1ED8F1A9">
            <w:pPr>
              <w:jc w:val="center"/>
              <w:rPr>
                <w:shd w:val="clear" w:color="auto" w:fill="CCFFCC"/>
              </w:rPr>
            </w:pPr>
            <w:r>
              <w:rPr>
                <w:color w:val="000000"/>
              </w:rPr>
              <w:lastRenderedPageBreak/>
              <w:t xml:space="preserve">Roger </w:t>
            </w:r>
          </w:p>
        </w:tc>
        <w:tc>
          <w:tcPr>
            <w:tcW w:w="1725" w:type="dxa"/>
            <w:tcBorders>
              <w:top w:val="single" w:color="auto" w:sz="4" w:space="0"/>
              <w:left w:val="single" w:color="auto" w:sz="4" w:space="0"/>
              <w:bottom w:val="single" w:color="auto" w:sz="4" w:space="0"/>
              <w:right w:val="single" w:color="auto" w:sz="4" w:space="0"/>
            </w:tcBorders>
          </w:tcPr>
          <w:p w:rsidRPr="00B803D5" w:rsidR="00900DA3" w:rsidP="00900DA3" w:rsidRDefault="00900DA3" w14:paraId="53680AFD" w14:textId="03BBA2C9">
            <w:pPr>
              <w:jc w:val="center"/>
              <w:rPr>
                <w:shd w:val="clear" w:color="auto" w:fill="CCFFCC"/>
              </w:rPr>
            </w:pPr>
            <w:r>
              <w:rPr>
                <w:color w:val="000000"/>
              </w:rPr>
              <w:t>Lin</w:t>
            </w:r>
          </w:p>
        </w:tc>
        <w:tc>
          <w:tcPr>
            <w:tcW w:w="2088" w:type="dxa"/>
            <w:tcBorders>
              <w:top w:val="single" w:color="auto" w:sz="4" w:space="0"/>
              <w:left w:val="single" w:color="auto" w:sz="4" w:space="0"/>
              <w:bottom w:val="single" w:color="auto" w:sz="4" w:space="0"/>
              <w:right w:val="single" w:color="auto" w:sz="4" w:space="0"/>
            </w:tcBorders>
          </w:tcPr>
          <w:p w:rsidRPr="00910595" w:rsidR="00900DA3" w:rsidP="00900DA3" w:rsidRDefault="00900DA3" w14:paraId="597A6D17" w14:textId="75841BE4">
            <w:pPr>
              <w:jc w:val="center"/>
            </w:pPr>
            <w:r w:rsidRPr="00910595">
              <w:t>Attorney</w:t>
            </w:r>
            <w:r w:rsidR="00C8027B">
              <w:fldChar w:fldCharType="begin"/>
            </w:r>
            <w:r w:rsidR="00C8027B">
              <w:instrText xml:space="preserve"> NOTEREF _Ref227761781 \f \h </w:instrText>
            </w:r>
            <w:r w:rsidR="00C8027B">
              <w:fldChar w:fldCharType="separate"/>
            </w:r>
            <w:r w:rsidRPr="001F7CA4" w:rsidR="001F7CA4">
              <w:rPr>
                <w:rStyle w:val="FootnoteReference"/>
              </w:rPr>
              <w:t>10</w:t>
            </w:r>
            <w:r w:rsidR="00C8027B">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900DA3" w:rsidP="00900DA3" w:rsidRDefault="00900DA3" w14:paraId="48B7FBBF" w14:textId="6334C4F5">
            <w:pPr>
              <w:jc w:val="center"/>
            </w:pPr>
            <w:r w:rsidRPr="00F77EE4">
              <w:t>$558.35</w:t>
            </w:r>
          </w:p>
        </w:tc>
        <w:tc>
          <w:tcPr>
            <w:tcW w:w="1725" w:type="dxa"/>
            <w:tcBorders>
              <w:top w:val="single" w:color="auto" w:sz="4" w:space="0"/>
              <w:left w:val="single" w:color="auto" w:sz="4" w:space="0"/>
              <w:bottom w:val="single" w:color="auto" w:sz="4" w:space="0"/>
              <w:right w:val="single" w:color="auto" w:sz="4" w:space="0"/>
            </w:tcBorders>
          </w:tcPr>
          <w:p w:rsidRPr="00B803D5" w:rsidR="00900DA3" w:rsidP="00900DA3" w:rsidRDefault="00900DA3" w14:paraId="5541B9E8" w14:textId="3ED2F6C3">
            <w:pPr>
              <w:jc w:val="center"/>
            </w:pPr>
            <w:r>
              <w:rPr>
                <w:color w:val="000000"/>
              </w:rPr>
              <w:t>2024</w:t>
            </w:r>
          </w:p>
        </w:tc>
        <w:tc>
          <w:tcPr>
            <w:tcW w:w="1634" w:type="dxa"/>
            <w:tcBorders>
              <w:top w:val="single" w:color="auto" w:sz="4" w:space="0"/>
              <w:left w:val="single" w:color="auto" w:sz="4" w:space="0"/>
              <w:bottom w:val="single" w:color="auto" w:sz="4" w:space="0"/>
              <w:right w:val="single" w:color="auto" w:sz="4" w:space="0"/>
            </w:tcBorders>
          </w:tcPr>
          <w:p w:rsidRPr="00B803D5" w:rsidR="00900DA3" w:rsidP="00900DA3" w:rsidRDefault="00900DA3" w14:paraId="5585EC38" w14:textId="7BCAE3DD">
            <w:pPr>
              <w:jc w:val="center"/>
            </w:pPr>
            <w:r>
              <w:t>$605.00</w:t>
            </w:r>
          </w:p>
        </w:tc>
      </w:tr>
    </w:tbl>
    <w:p w:rsidR="0022302F" w:rsidP="00FE3BAE" w:rsidRDefault="0022302F" w14:paraId="330D3693" w14:textId="77777777">
      <w:pPr>
        <w:spacing w:line="360" w:lineRule="auto"/>
        <w:rPr>
          <w:b/>
        </w:rPr>
      </w:pPr>
    </w:p>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Pr="00B803D5" w:rsidR="00FE3BAE" w:rsidP="00FE3BAE" w:rsidRDefault="00FE3BAE" w14:paraId="53F54635" w14:textId="77777777">
      <w:pPr>
        <w:jc w:val="center"/>
      </w:pPr>
      <w:r w:rsidRPr="00B803D5">
        <w:rPr>
          <w:b/>
        </w:rPr>
        <w:t xml:space="preserve">(END OF </w:t>
      </w:r>
      <w:r w:rsidRPr="00B803D5">
        <w:rPr>
          <w:b/>
          <w:szCs w:val="26"/>
        </w:rPr>
        <w:t>APPENDIX</w:t>
      </w:r>
      <w:r w:rsidRPr="00B803D5">
        <w:rPr>
          <w:b/>
        </w:rPr>
        <w:t>)</w:t>
      </w:r>
    </w:p>
    <w:sectPr w:rsidRPr="00B803D5" w:rsidR="00FE3BAE" w:rsidSect="006B7228">
      <w:footerReference w:type="default" r:id="rId11"/>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0C84" w14:textId="77777777" w:rsidR="009D2697" w:rsidRDefault="009D2697" w:rsidP="00885956">
      <w:r>
        <w:separator/>
      </w:r>
    </w:p>
  </w:endnote>
  <w:endnote w:type="continuationSeparator" w:id="0">
    <w:p w14:paraId="43A7BAC8" w14:textId="77777777" w:rsidR="009D2697" w:rsidRDefault="009D2697"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174758"/>
      <w:docPartObj>
        <w:docPartGallery w:val="Page Numbers (Bottom of Page)"/>
        <w:docPartUnique/>
      </w:docPartObj>
    </w:sdtPr>
    <w:sdtEndPr>
      <w:rPr>
        <w:noProof/>
      </w:rPr>
    </w:sdtEndPr>
    <w:sdtContent>
      <w:p w14:paraId="45FCEB85" w14:textId="1FDAD82E" w:rsidR="00843696" w:rsidRDefault="008436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9CEDEC" w14:textId="77777777" w:rsidR="00843696" w:rsidRDefault="00843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4285" w14:textId="27E93700" w:rsidR="00D163FF" w:rsidRDefault="00277AA8" w:rsidP="00EE66A3">
    <w:pPr>
      <w:pStyle w:val="Footer"/>
    </w:pPr>
    <w:r w:rsidRPr="00277AA8">
      <w:rPr>
        <w:sz w:val="16"/>
        <w:szCs w:val="16"/>
      </w:rPr>
      <w:t>611658013</w:t>
    </w:r>
    <w:r w:rsidR="00EE66A3">
      <w:tab/>
    </w:r>
    <w:sdt>
      <w:sdtPr>
        <w:id w:val="-371842330"/>
        <w:docPartObj>
          <w:docPartGallery w:val="Page Numbers (Bottom of Page)"/>
          <w:docPartUnique/>
        </w:docPartObj>
      </w:sdtPr>
      <w:sdtEndPr>
        <w:rPr>
          <w:noProof/>
        </w:rPr>
      </w:sdtEndPr>
      <w:sdtContent>
        <w:r w:rsidR="00D163FF">
          <w:fldChar w:fldCharType="begin"/>
        </w:r>
        <w:r w:rsidR="00D163FF">
          <w:instrText xml:space="preserve"> PAGE   \* MERGEFORMAT </w:instrText>
        </w:r>
        <w:r w:rsidR="00D163FF">
          <w:fldChar w:fldCharType="separate"/>
        </w:r>
        <w:r w:rsidR="00D163FF">
          <w:rPr>
            <w:noProof/>
          </w:rPr>
          <w:t>2</w:t>
        </w:r>
        <w:r w:rsidR="00D163FF">
          <w:rPr>
            <w:noProof/>
          </w:rPr>
          <w:fldChar w:fldCharType="end"/>
        </w:r>
      </w:sdtContent>
    </w:sdt>
  </w:p>
  <w:p w14:paraId="269F0A84" w14:textId="77777777" w:rsidR="00D163FF" w:rsidRDefault="00D16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5971" w14:textId="77777777" w:rsidR="009D2697" w:rsidRDefault="009D2697" w:rsidP="00885956">
      <w:r>
        <w:separator/>
      </w:r>
    </w:p>
  </w:footnote>
  <w:footnote w:type="continuationSeparator" w:id="0">
    <w:p w14:paraId="54B4F136" w14:textId="77777777" w:rsidR="009D2697" w:rsidRDefault="009D2697" w:rsidP="00885956">
      <w:r>
        <w:continuationSeparator/>
      </w:r>
    </w:p>
  </w:footnote>
  <w:footnote w:id="1">
    <w:p w14:paraId="0C1E5192" w14:textId="4447138D" w:rsidR="00E04E68" w:rsidRPr="00AB321F" w:rsidRDefault="00E04E68">
      <w:pPr>
        <w:pStyle w:val="FootnoteText"/>
        <w:rPr>
          <w:lang w:val="en-ZW"/>
        </w:rPr>
      </w:pPr>
      <w:r>
        <w:rPr>
          <w:rStyle w:val="FootnoteReference"/>
        </w:rPr>
        <w:footnoteRef/>
      </w:r>
      <w:r>
        <w:t xml:space="preserve"> </w:t>
      </w:r>
      <w:r>
        <w:rPr>
          <w:lang w:val="en-ZW"/>
        </w:rPr>
        <w:t>This proceeding was reassigned to President John Reynolds on March 25, 2026.</w:t>
      </w:r>
    </w:p>
  </w:footnote>
  <w:footnote w:id="2">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3">
    <w:p w14:paraId="70148350" w14:textId="18D163A7" w:rsidR="00FD6A44" w:rsidRDefault="00FD6A44">
      <w:pPr>
        <w:pStyle w:val="FootnoteText"/>
      </w:pPr>
      <w:r>
        <w:rPr>
          <w:rStyle w:val="FootnoteReference"/>
        </w:rPr>
        <w:footnoteRef/>
      </w:r>
      <w:r>
        <w:t xml:space="preserve"> Rows added by Commission staff. </w:t>
      </w:r>
      <w:r w:rsidRPr="00AE22BF">
        <w:rPr>
          <w:i/>
          <w:iCs/>
        </w:rPr>
        <w:t>See</w:t>
      </w:r>
      <w:r>
        <w:t xml:space="preserve"> Part III. D [1].</w:t>
      </w:r>
    </w:p>
  </w:footnote>
  <w:footnote w:id="4">
    <w:p w14:paraId="2A44723A" w14:textId="26B45CD8" w:rsidR="003B6A1B" w:rsidRPr="00DE3A5D" w:rsidRDefault="003B6A1B"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r w:rsidR="006B0C8A">
        <w:rPr>
          <w:color w:val="000000"/>
        </w:rPr>
        <w:t xml:space="preserve"> </w:t>
      </w:r>
      <w:hyperlink r:id="rId1" w:history="1">
        <w:r w:rsidR="00EA61AE">
          <w:rPr>
            <w:rStyle w:val="Hyperlink"/>
            <w:szCs w:val="22"/>
          </w:rPr>
          <w:t>https://apps.calbar.ca.gov/attorney/LicenseeSearch/QuickSearch</w:t>
        </w:r>
      </w:hyperlink>
      <w:r>
        <w:rPr>
          <w:color w:val="000000"/>
        </w:rPr>
        <w:t>.</w:t>
      </w:r>
    </w:p>
  </w:footnote>
  <w:footnote w:id="5">
    <w:p w14:paraId="281B6036" w14:textId="03A0EA6F" w:rsidR="00B50ABA" w:rsidRDefault="00B50ABA">
      <w:pPr>
        <w:pStyle w:val="FootnoteText"/>
      </w:pPr>
      <w:r>
        <w:rPr>
          <w:rStyle w:val="FootnoteReference"/>
        </w:rPr>
        <w:footnoteRef/>
      </w:r>
      <w:r>
        <w:t xml:space="preserve"> Augusta Wilson has an inactive status for the </w:t>
      </w:r>
      <w:r w:rsidR="002865E1">
        <w:t>Pennsyl</w:t>
      </w:r>
      <w:r w:rsidR="0068463E">
        <w:t xml:space="preserve">vania Bar </w:t>
      </w:r>
      <w:r>
        <w:t>and no status with the D.C. Bar</w:t>
      </w:r>
      <w:r w:rsidR="007C6486">
        <w:t xml:space="preserve">. </w:t>
      </w:r>
      <w:r w:rsidR="00C96CE5">
        <w:t xml:space="preserve">Her status in the </w:t>
      </w:r>
      <w:r w:rsidR="007C6486">
        <w:t xml:space="preserve">New York Bar is </w:t>
      </w:r>
      <w:r w:rsidR="004560B3">
        <w:t>current.</w:t>
      </w:r>
      <w:r w:rsidR="003371C9">
        <w:t xml:space="preserve"> </w:t>
      </w:r>
    </w:p>
  </w:footnote>
  <w:footnote w:id="6">
    <w:p w14:paraId="30135BE3" w14:textId="0AF2384E" w:rsidR="009E3B81" w:rsidRDefault="009E3B81">
      <w:pPr>
        <w:pStyle w:val="FootnoteText"/>
      </w:pPr>
      <w:r>
        <w:rPr>
          <w:rStyle w:val="FootnoteReference"/>
        </w:rPr>
        <w:footnoteRef/>
      </w:r>
      <w:r>
        <w:t xml:space="preserve"> A</w:t>
      </w:r>
      <w:r w:rsidRPr="00E91981">
        <w:t>ttachments not attached to final Decision</w:t>
      </w:r>
      <w:r>
        <w:t>.</w:t>
      </w:r>
    </w:p>
  </w:footnote>
  <w:footnote w:id="7">
    <w:p w14:paraId="50662685" w14:textId="23D2C9B1" w:rsidR="000E3499" w:rsidRDefault="000E3499">
      <w:pPr>
        <w:pStyle w:val="FootnoteText"/>
      </w:pPr>
      <w:r>
        <w:rPr>
          <w:rStyle w:val="FootnoteReference"/>
        </w:rPr>
        <w:footnoteRef/>
      </w:r>
      <w:r>
        <w:t xml:space="preserve"> We note that the intervenor did not </w:t>
      </w:r>
      <w:r w:rsidR="00C446F7">
        <w:t>fill out any part of the appendix.</w:t>
      </w:r>
    </w:p>
  </w:footnote>
  <w:footnote w:id="8">
    <w:p w14:paraId="34162140" w14:textId="3A57B412" w:rsidR="00FE0E00" w:rsidRDefault="00FE0E00">
      <w:pPr>
        <w:pStyle w:val="FootnoteText"/>
      </w:pPr>
      <w:r>
        <w:rPr>
          <w:rStyle w:val="FootnoteReference"/>
        </w:rPr>
        <w:footnoteRef/>
      </w:r>
      <w:r>
        <w:t xml:space="preserve"> Augusta Wilson is a Legal – Attorney – IV in 2022, 2023, and 2024.</w:t>
      </w:r>
    </w:p>
  </w:footnote>
  <w:footnote w:id="9">
    <w:p w14:paraId="05448044" w14:textId="66ACA21B" w:rsidR="00774651" w:rsidRDefault="00250430">
      <w:pPr>
        <w:pStyle w:val="FootnoteText"/>
      </w:pPr>
      <w:r>
        <w:rPr>
          <w:rStyle w:val="FootnoteReference"/>
        </w:rPr>
        <w:footnoteRef/>
      </w:r>
      <w:r>
        <w:t xml:space="preserve"> Howard Crystal is a Legal – Director – IV in 2023 and 2024.</w:t>
      </w:r>
    </w:p>
  </w:footnote>
  <w:footnote w:id="10">
    <w:p w14:paraId="69EE29CE" w14:textId="1524B203" w:rsidR="00C8027B" w:rsidRDefault="00C8027B">
      <w:pPr>
        <w:pStyle w:val="FootnoteText"/>
      </w:pPr>
      <w:r>
        <w:rPr>
          <w:rStyle w:val="FootnoteReference"/>
        </w:rPr>
        <w:footnoteRef/>
      </w:r>
      <w:r>
        <w:t xml:space="preserve"> Roger Lin is a Legal – Attorney – V in </w:t>
      </w:r>
      <w:r w:rsidR="002B01CC">
        <w:t xml:space="preserve">2022, </w:t>
      </w:r>
      <w:r>
        <w:t>2023</w:t>
      </w:r>
      <w:r w:rsidR="002B01CC">
        <w:t>,</w:t>
      </w:r>
      <w:r>
        <w:t xml:space="preserve"> and 2024</w:t>
      </w:r>
      <w:r w:rsidR="00A720C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FFB1" w14:textId="22E686F7" w:rsidR="00167FE6" w:rsidRDefault="00167FE6" w:rsidP="00167FE6">
    <w:pPr>
      <w:pStyle w:val="Header"/>
      <w:jc w:val="right"/>
      <w:rPr>
        <w:b/>
        <w:bCs/>
      </w:rPr>
    </w:pPr>
    <w:r>
      <w:t xml:space="preserve">A.22-05-022 </w:t>
    </w:r>
    <w:proofErr w:type="gramStart"/>
    <w:r>
      <w:t>et al.,/</w:t>
    </w:r>
    <w:proofErr w:type="gramEnd"/>
    <w:r>
      <w:t>VUK/</w:t>
    </w:r>
    <w:proofErr w:type="spellStart"/>
    <w:r>
      <w:t>asf</w:t>
    </w:r>
    <w:proofErr w:type="spellEnd"/>
    <w:r>
      <w:tab/>
    </w:r>
    <w:r>
      <w:tab/>
    </w:r>
  </w:p>
  <w:p w14:paraId="7C9D69ED" w14:textId="77777777" w:rsidR="00167FE6" w:rsidRDefault="00167FE6" w:rsidP="00167FE6">
    <w:pPr>
      <w:pStyle w:val="Header"/>
      <w:jc w:val="right"/>
      <w:rPr>
        <w:b/>
        <w:bCs/>
      </w:rPr>
    </w:pPr>
  </w:p>
  <w:p w14:paraId="10E62955" w14:textId="77777777" w:rsidR="00167FE6" w:rsidRDefault="00167FE6" w:rsidP="00167FE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D7552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693079"/>
    <w:multiLevelType w:val="hybridMultilevel"/>
    <w:tmpl w:val="5ECAC8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395569"/>
    <w:multiLevelType w:val="hybridMultilevel"/>
    <w:tmpl w:val="F67C847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11"/>
  </w:num>
  <w:num w:numId="2" w16cid:durableId="296566636">
    <w:abstractNumId w:val="0"/>
  </w:num>
  <w:num w:numId="3" w16cid:durableId="2098595014">
    <w:abstractNumId w:val="12"/>
  </w:num>
  <w:num w:numId="4" w16cid:durableId="1312905431">
    <w:abstractNumId w:val="8"/>
  </w:num>
  <w:num w:numId="5" w16cid:durableId="417093550">
    <w:abstractNumId w:val="4"/>
  </w:num>
  <w:num w:numId="6" w16cid:durableId="1486429129">
    <w:abstractNumId w:val="10"/>
  </w:num>
  <w:num w:numId="7" w16cid:durableId="258221757">
    <w:abstractNumId w:val="5"/>
  </w:num>
  <w:num w:numId="8" w16cid:durableId="842936081">
    <w:abstractNumId w:val="9"/>
  </w:num>
  <w:num w:numId="9" w16cid:durableId="1685205339">
    <w:abstractNumId w:val="1"/>
  </w:num>
  <w:num w:numId="10" w16cid:durableId="789317941">
    <w:abstractNumId w:val="2"/>
  </w:num>
  <w:num w:numId="11" w16cid:durableId="166480367">
    <w:abstractNumId w:val="3"/>
  </w:num>
  <w:num w:numId="12" w16cid:durableId="1319843981">
    <w:abstractNumId w:val="6"/>
  </w:num>
  <w:num w:numId="13" w16cid:durableId="616255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33AC"/>
    <w:rsid w:val="0000380D"/>
    <w:rsid w:val="00003A49"/>
    <w:rsid w:val="00003D12"/>
    <w:rsid w:val="000044F1"/>
    <w:rsid w:val="00006FDB"/>
    <w:rsid w:val="00007C8F"/>
    <w:rsid w:val="00010878"/>
    <w:rsid w:val="00014155"/>
    <w:rsid w:val="00020771"/>
    <w:rsid w:val="000236E4"/>
    <w:rsid w:val="00026A15"/>
    <w:rsid w:val="00026C0B"/>
    <w:rsid w:val="00031E3D"/>
    <w:rsid w:val="00034492"/>
    <w:rsid w:val="00034B3B"/>
    <w:rsid w:val="00036C78"/>
    <w:rsid w:val="00036F54"/>
    <w:rsid w:val="0004521E"/>
    <w:rsid w:val="00045A2F"/>
    <w:rsid w:val="00050195"/>
    <w:rsid w:val="000544CD"/>
    <w:rsid w:val="00054CAC"/>
    <w:rsid w:val="0005538D"/>
    <w:rsid w:val="00055843"/>
    <w:rsid w:val="00060E49"/>
    <w:rsid w:val="00060E68"/>
    <w:rsid w:val="00061B6F"/>
    <w:rsid w:val="00062911"/>
    <w:rsid w:val="000632A5"/>
    <w:rsid w:val="00064BF2"/>
    <w:rsid w:val="00065660"/>
    <w:rsid w:val="00066840"/>
    <w:rsid w:val="00070088"/>
    <w:rsid w:val="00072C81"/>
    <w:rsid w:val="00073262"/>
    <w:rsid w:val="00073DD9"/>
    <w:rsid w:val="000832FC"/>
    <w:rsid w:val="0008491F"/>
    <w:rsid w:val="000903CF"/>
    <w:rsid w:val="000926D1"/>
    <w:rsid w:val="000932FF"/>
    <w:rsid w:val="00093831"/>
    <w:rsid w:val="0009634B"/>
    <w:rsid w:val="000971C0"/>
    <w:rsid w:val="000A01D1"/>
    <w:rsid w:val="000A385D"/>
    <w:rsid w:val="000A4345"/>
    <w:rsid w:val="000A7DED"/>
    <w:rsid w:val="000B2761"/>
    <w:rsid w:val="000C2340"/>
    <w:rsid w:val="000C398E"/>
    <w:rsid w:val="000C4A9B"/>
    <w:rsid w:val="000C6B21"/>
    <w:rsid w:val="000C759B"/>
    <w:rsid w:val="000D607B"/>
    <w:rsid w:val="000D6CA0"/>
    <w:rsid w:val="000D6DF8"/>
    <w:rsid w:val="000E3499"/>
    <w:rsid w:val="000E41D9"/>
    <w:rsid w:val="000E52A3"/>
    <w:rsid w:val="000E57FC"/>
    <w:rsid w:val="000E6ABD"/>
    <w:rsid w:val="000F1F2B"/>
    <w:rsid w:val="000F505F"/>
    <w:rsid w:val="000F595C"/>
    <w:rsid w:val="000F684C"/>
    <w:rsid w:val="000F7670"/>
    <w:rsid w:val="001009D8"/>
    <w:rsid w:val="00101BF5"/>
    <w:rsid w:val="00101E30"/>
    <w:rsid w:val="00101ECE"/>
    <w:rsid w:val="0010480F"/>
    <w:rsid w:val="00110B6D"/>
    <w:rsid w:val="00110D89"/>
    <w:rsid w:val="00112042"/>
    <w:rsid w:val="0011341A"/>
    <w:rsid w:val="001134DB"/>
    <w:rsid w:val="00114068"/>
    <w:rsid w:val="00114B09"/>
    <w:rsid w:val="00115E01"/>
    <w:rsid w:val="00117ED4"/>
    <w:rsid w:val="00123103"/>
    <w:rsid w:val="00125418"/>
    <w:rsid w:val="00125492"/>
    <w:rsid w:val="0012602F"/>
    <w:rsid w:val="001321BE"/>
    <w:rsid w:val="001341F1"/>
    <w:rsid w:val="001346EB"/>
    <w:rsid w:val="00135CB8"/>
    <w:rsid w:val="00136D2F"/>
    <w:rsid w:val="00141356"/>
    <w:rsid w:val="00141A4E"/>
    <w:rsid w:val="0014226D"/>
    <w:rsid w:val="001427C9"/>
    <w:rsid w:val="00143BA3"/>
    <w:rsid w:val="00147A2B"/>
    <w:rsid w:val="00151AA8"/>
    <w:rsid w:val="00152547"/>
    <w:rsid w:val="0015295E"/>
    <w:rsid w:val="00152F94"/>
    <w:rsid w:val="001532C3"/>
    <w:rsid w:val="00154281"/>
    <w:rsid w:val="001542E8"/>
    <w:rsid w:val="0015642E"/>
    <w:rsid w:val="00161274"/>
    <w:rsid w:val="001641C6"/>
    <w:rsid w:val="00167F40"/>
    <w:rsid w:val="00167FE6"/>
    <w:rsid w:val="001701BB"/>
    <w:rsid w:val="00171EBF"/>
    <w:rsid w:val="00172604"/>
    <w:rsid w:val="00173455"/>
    <w:rsid w:val="00175865"/>
    <w:rsid w:val="00180E8C"/>
    <w:rsid w:val="0018235B"/>
    <w:rsid w:val="001835D7"/>
    <w:rsid w:val="00184B50"/>
    <w:rsid w:val="00187EAE"/>
    <w:rsid w:val="0019122B"/>
    <w:rsid w:val="00193268"/>
    <w:rsid w:val="00193E0A"/>
    <w:rsid w:val="00194E02"/>
    <w:rsid w:val="001962EB"/>
    <w:rsid w:val="00196375"/>
    <w:rsid w:val="001A0D11"/>
    <w:rsid w:val="001A0D45"/>
    <w:rsid w:val="001A303B"/>
    <w:rsid w:val="001A3CF3"/>
    <w:rsid w:val="001A422F"/>
    <w:rsid w:val="001A7DF4"/>
    <w:rsid w:val="001B0130"/>
    <w:rsid w:val="001B17A1"/>
    <w:rsid w:val="001B2609"/>
    <w:rsid w:val="001B4565"/>
    <w:rsid w:val="001B51E6"/>
    <w:rsid w:val="001C056C"/>
    <w:rsid w:val="001C0DD1"/>
    <w:rsid w:val="001C21AE"/>
    <w:rsid w:val="001C40CD"/>
    <w:rsid w:val="001C5840"/>
    <w:rsid w:val="001C7129"/>
    <w:rsid w:val="001D2445"/>
    <w:rsid w:val="001D3CD8"/>
    <w:rsid w:val="001D3ED2"/>
    <w:rsid w:val="001D55B2"/>
    <w:rsid w:val="001D5DAB"/>
    <w:rsid w:val="001D6513"/>
    <w:rsid w:val="001E664A"/>
    <w:rsid w:val="001E77CF"/>
    <w:rsid w:val="001E7EE2"/>
    <w:rsid w:val="001F238E"/>
    <w:rsid w:val="001F40B1"/>
    <w:rsid w:val="001F60F6"/>
    <w:rsid w:val="001F6187"/>
    <w:rsid w:val="001F7104"/>
    <w:rsid w:val="001F7CA4"/>
    <w:rsid w:val="00203150"/>
    <w:rsid w:val="00204E3A"/>
    <w:rsid w:val="00205353"/>
    <w:rsid w:val="00205A22"/>
    <w:rsid w:val="00205E3E"/>
    <w:rsid w:val="00212E10"/>
    <w:rsid w:val="0021432E"/>
    <w:rsid w:val="002147FA"/>
    <w:rsid w:val="002149F1"/>
    <w:rsid w:val="00214B22"/>
    <w:rsid w:val="00215053"/>
    <w:rsid w:val="00217224"/>
    <w:rsid w:val="00221599"/>
    <w:rsid w:val="0022302F"/>
    <w:rsid w:val="00226191"/>
    <w:rsid w:val="002264DA"/>
    <w:rsid w:val="00226801"/>
    <w:rsid w:val="00230392"/>
    <w:rsid w:val="00234012"/>
    <w:rsid w:val="00236CCD"/>
    <w:rsid w:val="002415DC"/>
    <w:rsid w:val="00244FC4"/>
    <w:rsid w:val="002466F8"/>
    <w:rsid w:val="00247904"/>
    <w:rsid w:val="00250430"/>
    <w:rsid w:val="002537C6"/>
    <w:rsid w:val="0025596C"/>
    <w:rsid w:val="00256F00"/>
    <w:rsid w:val="00260518"/>
    <w:rsid w:val="0026152C"/>
    <w:rsid w:val="00263D4E"/>
    <w:rsid w:val="00264333"/>
    <w:rsid w:val="002658A3"/>
    <w:rsid w:val="0026718A"/>
    <w:rsid w:val="0027057E"/>
    <w:rsid w:val="00270E2E"/>
    <w:rsid w:val="00271A22"/>
    <w:rsid w:val="002727D1"/>
    <w:rsid w:val="00272BCA"/>
    <w:rsid w:val="00273208"/>
    <w:rsid w:val="00273913"/>
    <w:rsid w:val="00274899"/>
    <w:rsid w:val="00275C02"/>
    <w:rsid w:val="00277AA8"/>
    <w:rsid w:val="0028157F"/>
    <w:rsid w:val="002854FE"/>
    <w:rsid w:val="002865E1"/>
    <w:rsid w:val="002930F4"/>
    <w:rsid w:val="00293C9D"/>
    <w:rsid w:val="00296587"/>
    <w:rsid w:val="002A0F6E"/>
    <w:rsid w:val="002A13FC"/>
    <w:rsid w:val="002A1DBC"/>
    <w:rsid w:val="002A554A"/>
    <w:rsid w:val="002A62B2"/>
    <w:rsid w:val="002A6C07"/>
    <w:rsid w:val="002B01CC"/>
    <w:rsid w:val="002B2812"/>
    <w:rsid w:val="002B75B3"/>
    <w:rsid w:val="002C0434"/>
    <w:rsid w:val="002C3A90"/>
    <w:rsid w:val="002C46FC"/>
    <w:rsid w:val="002C6C26"/>
    <w:rsid w:val="002D21CA"/>
    <w:rsid w:val="002D510A"/>
    <w:rsid w:val="002D53AA"/>
    <w:rsid w:val="002D5893"/>
    <w:rsid w:val="002E0B77"/>
    <w:rsid w:val="002E485F"/>
    <w:rsid w:val="002E58AC"/>
    <w:rsid w:val="002E5F83"/>
    <w:rsid w:val="002E6F85"/>
    <w:rsid w:val="002E77D8"/>
    <w:rsid w:val="002F57D5"/>
    <w:rsid w:val="002F7BCF"/>
    <w:rsid w:val="00300F8D"/>
    <w:rsid w:val="0030111B"/>
    <w:rsid w:val="00301BC2"/>
    <w:rsid w:val="00302B19"/>
    <w:rsid w:val="00303C2B"/>
    <w:rsid w:val="003059D0"/>
    <w:rsid w:val="00306A8E"/>
    <w:rsid w:val="00307A06"/>
    <w:rsid w:val="00315626"/>
    <w:rsid w:val="00316429"/>
    <w:rsid w:val="003177A0"/>
    <w:rsid w:val="00320520"/>
    <w:rsid w:val="00323EC0"/>
    <w:rsid w:val="003272E1"/>
    <w:rsid w:val="003316A3"/>
    <w:rsid w:val="00333A30"/>
    <w:rsid w:val="003371C9"/>
    <w:rsid w:val="003401A0"/>
    <w:rsid w:val="0034039D"/>
    <w:rsid w:val="003423EA"/>
    <w:rsid w:val="00343A21"/>
    <w:rsid w:val="00343BB8"/>
    <w:rsid w:val="00347C12"/>
    <w:rsid w:val="003501DD"/>
    <w:rsid w:val="00351587"/>
    <w:rsid w:val="00353426"/>
    <w:rsid w:val="00356355"/>
    <w:rsid w:val="00357623"/>
    <w:rsid w:val="00357F1A"/>
    <w:rsid w:val="00361616"/>
    <w:rsid w:val="003655F7"/>
    <w:rsid w:val="003662BB"/>
    <w:rsid w:val="00367D10"/>
    <w:rsid w:val="003723B4"/>
    <w:rsid w:val="00373ADA"/>
    <w:rsid w:val="0037409D"/>
    <w:rsid w:val="00374FD1"/>
    <w:rsid w:val="003759CD"/>
    <w:rsid w:val="00377884"/>
    <w:rsid w:val="00380703"/>
    <w:rsid w:val="00380EF2"/>
    <w:rsid w:val="00383228"/>
    <w:rsid w:val="00387D6A"/>
    <w:rsid w:val="003937F5"/>
    <w:rsid w:val="0039507A"/>
    <w:rsid w:val="003966D3"/>
    <w:rsid w:val="003A24D6"/>
    <w:rsid w:val="003A520D"/>
    <w:rsid w:val="003B1782"/>
    <w:rsid w:val="003B3DC6"/>
    <w:rsid w:val="003B44CB"/>
    <w:rsid w:val="003B5EAC"/>
    <w:rsid w:val="003B6666"/>
    <w:rsid w:val="003B6A1B"/>
    <w:rsid w:val="003C19A7"/>
    <w:rsid w:val="003C4384"/>
    <w:rsid w:val="003C608A"/>
    <w:rsid w:val="003C6346"/>
    <w:rsid w:val="003C6D52"/>
    <w:rsid w:val="003D222B"/>
    <w:rsid w:val="003D29E3"/>
    <w:rsid w:val="003D359B"/>
    <w:rsid w:val="003D4455"/>
    <w:rsid w:val="003D5011"/>
    <w:rsid w:val="003D5F82"/>
    <w:rsid w:val="003D62AF"/>
    <w:rsid w:val="003D7AAD"/>
    <w:rsid w:val="003E34FD"/>
    <w:rsid w:val="003E3C60"/>
    <w:rsid w:val="003E505D"/>
    <w:rsid w:val="003E53FA"/>
    <w:rsid w:val="003E5D85"/>
    <w:rsid w:val="003E628E"/>
    <w:rsid w:val="003E6C02"/>
    <w:rsid w:val="003E70F6"/>
    <w:rsid w:val="003E79DA"/>
    <w:rsid w:val="003F045B"/>
    <w:rsid w:val="003F1CB4"/>
    <w:rsid w:val="003F4E7E"/>
    <w:rsid w:val="00403423"/>
    <w:rsid w:val="00403FA2"/>
    <w:rsid w:val="0040511F"/>
    <w:rsid w:val="00407F31"/>
    <w:rsid w:val="00414B06"/>
    <w:rsid w:val="00416DCD"/>
    <w:rsid w:val="00423463"/>
    <w:rsid w:val="00425CA1"/>
    <w:rsid w:val="00425DCD"/>
    <w:rsid w:val="004326A0"/>
    <w:rsid w:val="00435C30"/>
    <w:rsid w:val="0043716A"/>
    <w:rsid w:val="0044283B"/>
    <w:rsid w:val="00442BDD"/>
    <w:rsid w:val="00444EB0"/>
    <w:rsid w:val="004455EA"/>
    <w:rsid w:val="00445E99"/>
    <w:rsid w:val="00446E89"/>
    <w:rsid w:val="004471FF"/>
    <w:rsid w:val="00450484"/>
    <w:rsid w:val="004534E7"/>
    <w:rsid w:val="00453EEA"/>
    <w:rsid w:val="004560B3"/>
    <w:rsid w:val="00456DAA"/>
    <w:rsid w:val="004603E4"/>
    <w:rsid w:val="00462330"/>
    <w:rsid w:val="0046248A"/>
    <w:rsid w:val="004638B3"/>
    <w:rsid w:val="00464D2F"/>
    <w:rsid w:val="004679AE"/>
    <w:rsid w:val="00467E65"/>
    <w:rsid w:val="00474AA4"/>
    <w:rsid w:val="00474DF5"/>
    <w:rsid w:val="004806BC"/>
    <w:rsid w:val="00480BF6"/>
    <w:rsid w:val="00480C0F"/>
    <w:rsid w:val="00480D6B"/>
    <w:rsid w:val="004832EC"/>
    <w:rsid w:val="004840D2"/>
    <w:rsid w:val="00484783"/>
    <w:rsid w:val="004870D6"/>
    <w:rsid w:val="004917E3"/>
    <w:rsid w:val="0049248A"/>
    <w:rsid w:val="00492992"/>
    <w:rsid w:val="004938F2"/>
    <w:rsid w:val="0049432A"/>
    <w:rsid w:val="00494BF1"/>
    <w:rsid w:val="004955E6"/>
    <w:rsid w:val="00497645"/>
    <w:rsid w:val="004A0F92"/>
    <w:rsid w:val="004A1AD4"/>
    <w:rsid w:val="004A51A6"/>
    <w:rsid w:val="004A51D7"/>
    <w:rsid w:val="004A60F9"/>
    <w:rsid w:val="004A6C71"/>
    <w:rsid w:val="004A6E8C"/>
    <w:rsid w:val="004A6FD4"/>
    <w:rsid w:val="004B3973"/>
    <w:rsid w:val="004B46C4"/>
    <w:rsid w:val="004B5DB5"/>
    <w:rsid w:val="004B7AEB"/>
    <w:rsid w:val="004C089E"/>
    <w:rsid w:val="004C0961"/>
    <w:rsid w:val="004C0D98"/>
    <w:rsid w:val="004C0E9B"/>
    <w:rsid w:val="004C29B9"/>
    <w:rsid w:val="004C2E54"/>
    <w:rsid w:val="004C39A1"/>
    <w:rsid w:val="004D101E"/>
    <w:rsid w:val="004D2430"/>
    <w:rsid w:val="004D3B1A"/>
    <w:rsid w:val="004D6B6D"/>
    <w:rsid w:val="004D779D"/>
    <w:rsid w:val="004E0395"/>
    <w:rsid w:val="004E199D"/>
    <w:rsid w:val="004E20F7"/>
    <w:rsid w:val="004E3939"/>
    <w:rsid w:val="004E3D93"/>
    <w:rsid w:val="004E42DB"/>
    <w:rsid w:val="004E55C5"/>
    <w:rsid w:val="004E7FB2"/>
    <w:rsid w:val="004F04C8"/>
    <w:rsid w:val="004F19E8"/>
    <w:rsid w:val="004F5B9C"/>
    <w:rsid w:val="004F7931"/>
    <w:rsid w:val="004F7C20"/>
    <w:rsid w:val="005007BE"/>
    <w:rsid w:val="00500BB8"/>
    <w:rsid w:val="0050520F"/>
    <w:rsid w:val="00515E21"/>
    <w:rsid w:val="00516CE7"/>
    <w:rsid w:val="00520AFE"/>
    <w:rsid w:val="005215EF"/>
    <w:rsid w:val="00521B86"/>
    <w:rsid w:val="00525674"/>
    <w:rsid w:val="005259F6"/>
    <w:rsid w:val="00527B59"/>
    <w:rsid w:val="00527C11"/>
    <w:rsid w:val="00527FDB"/>
    <w:rsid w:val="005312C7"/>
    <w:rsid w:val="00533373"/>
    <w:rsid w:val="00537C63"/>
    <w:rsid w:val="00540C1D"/>
    <w:rsid w:val="00542478"/>
    <w:rsid w:val="00543AD9"/>
    <w:rsid w:val="00543CE4"/>
    <w:rsid w:val="0054617B"/>
    <w:rsid w:val="00547145"/>
    <w:rsid w:val="005473F5"/>
    <w:rsid w:val="00547461"/>
    <w:rsid w:val="00550730"/>
    <w:rsid w:val="00551210"/>
    <w:rsid w:val="00551967"/>
    <w:rsid w:val="0055228B"/>
    <w:rsid w:val="005527DB"/>
    <w:rsid w:val="005572DE"/>
    <w:rsid w:val="00557388"/>
    <w:rsid w:val="00557485"/>
    <w:rsid w:val="0056253F"/>
    <w:rsid w:val="00565A14"/>
    <w:rsid w:val="00570435"/>
    <w:rsid w:val="0057088A"/>
    <w:rsid w:val="005716FC"/>
    <w:rsid w:val="00573A19"/>
    <w:rsid w:val="00574629"/>
    <w:rsid w:val="00575494"/>
    <w:rsid w:val="00576C89"/>
    <w:rsid w:val="00583FB4"/>
    <w:rsid w:val="005846C9"/>
    <w:rsid w:val="00585332"/>
    <w:rsid w:val="00590BA0"/>
    <w:rsid w:val="005912FA"/>
    <w:rsid w:val="0059157E"/>
    <w:rsid w:val="005924C1"/>
    <w:rsid w:val="0059289A"/>
    <w:rsid w:val="005940FC"/>
    <w:rsid w:val="00596D63"/>
    <w:rsid w:val="00597471"/>
    <w:rsid w:val="005A2D9F"/>
    <w:rsid w:val="005A3018"/>
    <w:rsid w:val="005A53F1"/>
    <w:rsid w:val="005A54E4"/>
    <w:rsid w:val="005A63D4"/>
    <w:rsid w:val="005A65C2"/>
    <w:rsid w:val="005A7D86"/>
    <w:rsid w:val="005B2545"/>
    <w:rsid w:val="005B35A8"/>
    <w:rsid w:val="005B4161"/>
    <w:rsid w:val="005B5B44"/>
    <w:rsid w:val="005B6C0D"/>
    <w:rsid w:val="005C1F65"/>
    <w:rsid w:val="005C2233"/>
    <w:rsid w:val="005C327F"/>
    <w:rsid w:val="005C4D6B"/>
    <w:rsid w:val="005C52FE"/>
    <w:rsid w:val="005C6360"/>
    <w:rsid w:val="005C67CF"/>
    <w:rsid w:val="005D119A"/>
    <w:rsid w:val="005D125B"/>
    <w:rsid w:val="005D20A5"/>
    <w:rsid w:val="005D4F04"/>
    <w:rsid w:val="005E17CF"/>
    <w:rsid w:val="005E218D"/>
    <w:rsid w:val="005E61C8"/>
    <w:rsid w:val="005F12AA"/>
    <w:rsid w:val="005F4D82"/>
    <w:rsid w:val="005F61FE"/>
    <w:rsid w:val="005F7479"/>
    <w:rsid w:val="006009CB"/>
    <w:rsid w:val="00600CCF"/>
    <w:rsid w:val="006104D1"/>
    <w:rsid w:val="00614C85"/>
    <w:rsid w:val="00614F72"/>
    <w:rsid w:val="00614F8F"/>
    <w:rsid w:val="006164C6"/>
    <w:rsid w:val="00620682"/>
    <w:rsid w:val="00621A7C"/>
    <w:rsid w:val="006222ED"/>
    <w:rsid w:val="006241AA"/>
    <w:rsid w:val="00624CCB"/>
    <w:rsid w:val="0062593D"/>
    <w:rsid w:val="006271AB"/>
    <w:rsid w:val="00630788"/>
    <w:rsid w:val="00637292"/>
    <w:rsid w:val="00640B91"/>
    <w:rsid w:val="00641894"/>
    <w:rsid w:val="00643A51"/>
    <w:rsid w:val="006458E0"/>
    <w:rsid w:val="0065087E"/>
    <w:rsid w:val="006509FB"/>
    <w:rsid w:val="00651348"/>
    <w:rsid w:val="006513B8"/>
    <w:rsid w:val="00652134"/>
    <w:rsid w:val="0065239E"/>
    <w:rsid w:val="00652DEA"/>
    <w:rsid w:val="00660D7E"/>
    <w:rsid w:val="006637D2"/>
    <w:rsid w:val="00664281"/>
    <w:rsid w:val="00664944"/>
    <w:rsid w:val="00664DA7"/>
    <w:rsid w:val="00666AB9"/>
    <w:rsid w:val="00667667"/>
    <w:rsid w:val="00667759"/>
    <w:rsid w:val="00670547"/>
    <w:rsid w:val="00673595"/>
    <w:rsid w:val="00673EB1"/>
    <w:rsid w:val="00676632"/>
    <w:rsid w:val="00677B5C"/>
    <w:rsid w:val="00683CE8"/>
    <w:rsid w:val="0068463E"/>
    <w:rsid w:val="00684EAE"/>
    <w:rsid w:val="006907CC"/>
    <w:rsid w:val="00690B63"/>
    <w:rsid w:val="00691528"/>
    <w:rsid w:val="00692738"/>
    <w:rsid w:val="00692D33"/>
    <w:rsid w:val="00693F24"/>
    <w:rsid w:val="0069448A"/>
    <w:rsid w:val="00696FBF"/>
    <w:rsid w:val="006A5E0A"/>
    <w:rsid w:val="006A6799"/>
    <w:rsid w:val="006A6D35"/>
    <w:rsid w:val="006A7272"/>
    <w:rsid w:val="006B0BC7"/>
    <w:rsid w:val="006B0C8A"/>
    <w:rsid w:val="006B6B94"/>
    <w:rsid w:val="006B70F6"/>
    <w:rsid w:val="006B7228"/>
    <w:rsid w:val="006B7375"/>
    <w:rsid w:val="006C0083"/>
    <w:rsid w:val="006C1285"/>
    <w:rsid w:val="006C4198"/>
    <w:rsid w:val="006C5F24"/>
    <w:rsid w:val="006C79A7"/>
    <w:rsid w:val="006D1905"/>
    <w:rsid w:val="006D1BE0"/>
    <w:rsid w:val="006D4B0E"/>
    <w:rsid w:val="006D4B44"/>
    <w:rsid w:val="006D4BF0"/>
    <w:rsid w:val="006D6036"/>
    <w:rsid w:val="006D67C9"/>
    <w:rsid w:val="006D6A75"/>
    <w:rsid w:val="006D7282"/>
    <w:rsid w:val="006E0288"/>
    <w:rsid w:val="006E3FA3"/>
    <w:rsid w:val="006F269F"/>
    <w:rsid w:val="006F2FEC"/>
    <w:rsid w:val="006F3E1D"/>
    <w:rsid w:val="006F5A69"/>
    <w:rsid w:val="006F7F69"/>
    <w:rsid w:val="00703D5A"/>
    <w:rsid w:val="00704B87"/>
    <w:rsid w:val="007056FC"/>
    <w:rsid w:val="00707ED7"/>
    <w:rsid w:val="00710001"/>
    <w:rsid w:val="0071273A"/>
    <w:rsid w:val="007152FD"/>
    <w:rsid w:val="00715F95"/>
    <w:rsid w:val="007165F7"/>
    <w:rsid w:val="007177F6"/>
    <w:rsid w:val="00726C86"/>
    <w:rsid w:val="0073231A"/>
    <w:rsid w:val="00732C68"/>
    <w:rsid w:val="00735230"/>
    <w:rsid w:val="0073655B"/>
    <w:rsid w:val="00737B84"/>
    <w:rsid w:val="00742C1F"/>
    <w:rsid w:val="00744358"/>
    <w:rsid w:val="00745353"/>
    <w:rsid w:val="0074620B"/>
    <w:rsid w:val="00746669"/>
    <w:rsid w:val="00750122"/>
    <w:rsid w:val="00757B44"/>
    <w:rsid w:val="0076268F"/>
    <w:rsid w:val="00763797"/>
    <w:rsid w:val="00770637"/>
    <w:rsid w:val="00770B33"/>
    <w:rsid w:val="00773642"/>
    <w:rsid w:val="00774651"/>
    <w:rsid w:val="007759F0"/>
    <w:rsid w:val="00777D52"/>
    <w:rsid w:val="00780C7B"/>
    <w:rsid w:val="00781A56"/>
    <w:rsid w:val="0078556A"/>
    <w:rsid w:val="00785A29"/>
    <w:rsid w:val="00786CAD"/>
    <w:rsid w:val="0079186E"/>
    <w:rsid w:val="00792078"/>
    <w:rsid w:val="007927E3"/>
    <w:rsid w:val="0079306B"/>
    <w:rsid w:val="007953B5"/>
    <w:rsid w:val="0079623E"/>
    <w:rsid w:val="007965AA"/>
    <w:rsid w:val="007A2524"/>
    <w:rsid w:val="007A3027"/>
    <w:rsid w:val="007A3FCC"/>
    <w:rsid w:val="007A4C8A"/>
    <w:rsid w:val="007A6559"/>
    <w:rsid w:val="007B0CB8"/>
    <w:rsid w:val="007B2281"/>
    <w:rsid w:val="007B3A4B"/>
    <w:rsid w:val="007B4213"/>
    <w:rsid w:val="007B5436"/>
    <w:rsid w:val="007B5C3B"/>
    <w:rsid w:val="007B620E"/>
    <w:rsid w:val="007C057D"/>
    <w:rsid w:val="007C1B69"/>
    <w:rsid w:val="007C2EF0"/>
    <w:rsid w:val="007C3698"/>
    <w:rsid w:val="007C507F"/>
    <w:rsid w:val="007C5A66"/>
    <w:rsid w:val="007C6486"/>
    <w:rsid w:val="007D14F9"/>
    <w:rsid w:val="007D35DC"/>
    <w:rsid w:val="007D42F2"/>
    <w:rsid w:val="007D56E2"/>
    <w:rsid w:val="007D5A3E"/>
    <w:rsid w:val="007D765B"/>
    <w:rsid w:val="007E176C"/>
    <w:rsid w:val="007E1FE7"/>
    <w:rsid w:val="007E2428"/>
    <w:rsid w:val="007E3230"/>
    <w:rsid w:val="007E36D1"/>
    <w:rsid w:val="007E3A88"/>
    <w:rsid w:val="007E3BB0"/>
    <w:rsid w:val="007E3F35"/>
    <w:rsid w:val="007E4247"/>
    <w:rsid w:val="007E71C3"/>
    <w:rsid w:val="007F070C"/>
    <w:rsid w:val="007F620E"/>
    <w:rsid w:val="007F6CF5"/>
    <w:rsid w:val="007F6EC6"/>
    <w:rsid w:val="007F71BD"/>
    <w:rsid w:val="007F73D5"/>
    <w:rsid w:val="00802101"/>
    <w:rsid w:val="008024F5"/>
    <w:rsid w:val="00802701"/>
    <w:rsid w:val="00807D64"/>
    <w:rsid w:val="00811DB1"/>
    <w:rsid w:val="00814631"/>
    <w:rsid w:val="00815550"/>
    <w:rsid w:val="00815F1F"/>
    <w:rsid w:val="0081626F"/>
    <w:rsid w:val="00817F18"/>
    <w:rsid w:val="00821972"/>
    <w:rsid w:val="00830A4E"/>
    <w:rsid w:val="00831652"/>
    <w:rsid w:val="0083350A"/>
    <w:rsid w:val="0083442F"/>
    <w:rsid w:val="00834558"/>
    <w:rsid w:val="0083470E"/>
    <w:rsid w:val="00837A8D"/>
    <w:rsid w:val="00841A23"/>
    <w:rsid w:val="00842A29"/>
    <w:rsid w:val="00842F3C"/>
    <w:rsid w:val="00843696"/>
    <w:rsid w:val="00844BB2"/>
    <w:rsid w:val="00847204"/>
    <w:rsid w:val="00853C79"/>
    <w:rsid w:val="00855FD7"/>
    <w:rsid w:val="00862288"/>
    <w:rsid w:val="0086406A"/>
    <w:rsid w:val="00864390"/>
    <w:rsid w:val="00864DBA"/>
    <w:rsid w:val="00873B35"/>
    <w:rsid w:val="00877672"/>
    <w:rsid w:val="00880855"/>
    <w:rsid w:val="008844B6"/>
    <w:rsid w:val="0088503E"/>
    <w:rsid w:val="00885956"/>
    <w:rsid w:val="00886869"/>
    <w:rsid w:val="00887FA3"/>
    <w:rsid w:val="00891073"/>
    <w:rsid w:val="008914AD"/>
    <w:rsid w:val="008917C6"/>
    <w:rsid w:val="00891A50"/>
    <w:rsid w:val="00891E68"/>
    <w:rsid w:val="0089214F"/>
    <w:rsid w:val="00894244"/>
    <w:rsid w:val="008A00D2"/>
    <w:rsid w:val="008A0EBA"/>
    <w:rsid w:val="008A29D7"/>
    <w:rsid w:val="008A2A34"/>
    <w:rsid w:val="008A2AD8"/>
    <w:rsid w:val="008A2B14"/>
    <w:rsid w:val="008A3FBA"/>
    <w:rsid w:val="008A70F6"/>
    <w:rsid w:val="008B09B4"/>
    <w:rsid w:val="008B1CA1"/>
    <w:rsid w:val="008B67E2"/>
    <w:rsid w:val="008B6FC0"/>
    <w:rsid w:val="008B7CBF"/>
    <w:rsid w:val="008C09F7"/>
    <w:rsid w:val="008C0B6F"/>
    <w:rsid w:val="008C1E45"/>
    <w:rsid w:val="008C2208"/>
    <w:rsid w:val="008C277D"/>
    <w:rsid w:val="008D3922"/>
    <w:rsid w:val="008D47E5"/>
    <w:rsid w:val="008D5FA0"/>
    <w:rsid w:val="008E182E"/>
    <w:rsid w:val="008E3450"/>
    <w:rsid w:val="008E3602"/>
    <w:rsid w:val="008E42B6"/>
    <w:rsid w:val="008E4336"/>
    <w:rsid w:val="008E6368"/>
    <w:rsid w:val="008E7D62"/>
    <w:rsid w:val="008F0881"/>
    <w:rsid w:val="008F171F"/>
    <w:rsid w:val="008F2641"/>
    <w:rsid w:val="008F29E7"/>
    <w:rsid w:val="008F5C21"/>
    <w:rsid w:val="008F5F5C"/>
    <w:rsid w:val="008F6029"/>
    <w:rsid w:val="008F68A4"/>
    <w:rsid w:val="00900DA3"/>
    <w:rsid w:val="0090732E"/>
    <w:rsid w:val="00910595"/>
    <w:rsid w:val="00910928"/>
    <w:rsid w:val="00914298"/>
    <w:rsid w:val="00915118"/>
    <w:rsid w:val="00915FF9"/>
    <w:rsid w:val="00920E4D"/>
    <w:rsid w:val="009244EA"/>
    <w:rsid w:val="0092483A"/>
    <w:rsid w:val="00925FAB"/>
    <w:rsid w:val="00933121"/>
    <w:rsid w:val="009331AB"/>
    <w:rsid w:val="00934B54"/>
    <w:rsid w:val="009362C4"/>
    <w:rsid w:val="0093631F"/>
    <w:rsid w:val="00937FA8"/>
    <w:rsid w:val="00942935"/>
    <w:rsid w:val="00947428"/>
    <w:rsid w:val="00947C2A"/>
    <w:rsid w:val="00950CFB"/>
    <w:rsid w:val="0095151F"/>
    <w:rsid w:val="009523A5"/>
    <w:rsid w:val="00952A29"/>
    <w:rsid w:val="009553A0"/>
    <w:rsid w:val="00955D9E"/>
    <w:rsid w:val="00955EBE"/>
    <w:rsid w:val="0096356C"/>
    <w:rsid w:val="00963EEF"/>
    <w:rsid w:val="0096699A"/>
    <w:rsid w:val="0096701E"/>
    <w:rsid w:val="009717D8"/>
    <w:rsid w:val="00973B17"/>
    <w:rsid w:val="009759F6"/>
    <w:rsid w:val="009800DF"/>
    <w:rsid w:val="00983232"/>
    <w:rsid w:val="00984CEC"/>
    <w:rsid w:val="00993FFC"/>
    <w:rsid w:val="00995B07"/>
    <w:rsid w:val="009961DA"/>
    <w:rsid w:val="009A026E"/>
    <w:rsid w:val="009A51ED"/>
    <w:rsid w:val="009A62F6"/>
    <w:rsid w:val="009A6D14"/>
    <w:rsid w:val="009A7C6E"/>
    <w:rsid w:val="009B24DF"/>
    <w:rsid w:val="009C3317"/>
    <w:rsid w:val="009C66F2"/>
    <w:rsid w:val="009C68D4"/>
    <w:rsid w:val="009D0860"/>
    <w:rsid w:val="009D0B55"/>
    <w:rsid w:val="009D2697"/>
    <w:rsid w:val="009D2C1C"/>
    <w:rsid w:val="009D5B9C"/>
    <w:rsid w:val="009D6152"/>
    <w:rsid w:val="009D77B9"/>
    <w:rsid w:val="009D7E91"/>
    <w:rsid w:val="009E0F2E"/>
    <w:rsid w:val="009E1B9A"/>
    <w:rsid w:val="009E2A67"/>
    <w:rsid w:val="009E2B7F"/>
    <w:rsid w:val="009E3B81"/>
    <w:rsid w:val="009E48E4"/>
    <w:rsid w:val="009E5FB1"/>
    <w:rsid w:val="009F1690"/>
    <w:rsid w:val="009F3046"/>
    <w:rsid w:val="009F3E63"/>
    <w:rsid w:val="009F4B1F"/>
    <w:rsid w:val="009F723C"/>
    <w:rsid w:val="00A00CEA"/>
    <w:rsid w:val="00A05C83"/>
    <w:rsid w:val="00A07A96"/>
    <w:rsid w:val="00A11ABE"/>
    <w:rsid w:val="00A12A45"/>
    <w:rsid w:val="00A141F7"/>
    <w:rsid w:val="00A15CCE"/>
    <w:rsid w:val="00A16E8C"/>
    <w:rsid w:val="00A23294"/>
    <w:rsid w:val="00A23930"/>
    <w:rsid w:val="00A23F23"/>
    <w:rsid w:val="00A24E91"/>
    <w:rsid w:val="00A319DE"/>
    <w:rsid w:val="00A3520B"/>
    <w:rsid w:val="00A36C50"/>
    <w:rsid w:val="00A37AE1"/>
    <w:rsid w:val="00A42E28"/>
    <w:rsid w:val="00A433CD"/>
    <w:rsid w:val="00A44AFA"/>
    <w:rsid w:val="00A45C83"/>
    <w:rsid w:val="00A53A03"/>
    <w:rsid w:val="00A54B6D"/>
    <w:rsid w:val="00A55D96"/>
    <w:rsid w:val="00A60203"/>
    <w:rsid w:val="00A61D1D"/>
    <w:rsid w:val="00A62B6A"/>
    <w:rsid w:val="00A63110"/>
    <w:rsid w:val="00A63699"/>
    <w:rsid w:val="00A646B8"/>
    <w:rsid w:val="00A65461"/>
    <w:rsid w:val="00A66679"/>
    <w:rsid w:val="00A67E89"/>
    <w:rsid w:val="00A7072D"/>
    <w:rsid w:val="00A70B0C"/>
    <w:rsid w:val="00A720C0"/>
    <w:rsid w:val="00A75D2D"/>
    <w:rsid w:val="00A86489"/>
    <w:rsid w:val="00A86988"/>
    <w:rsid w:val="00A910F1"/>
    <w:rsid w:val="00A91AFE"/>
    <w:rsid w:val="00A92D0B"/>
    <w:rsid w:val="00A938D6"/>
    <w:rsid w:val="00A962F4"/>
    <w:rsid w:val="00A97311"/>
    <w:rsid w:val="00A973DB"/>
    <w:rsid w:val="00A978C6"/>
    <w:rsid w:val="00AA1740"/>
    <w:rsid w:val="00AA68F8"/>
    <w:rsid w:val="00AB1188"/>
    <w:rsid w:val="00AB21C0"/>
    <w:rsid w:val="00AB2F7F"/>
    <w:rsid w:val="00AB321F"/>
    <w:rsid w:val="00AB3281"/>
    <w:rsid w:val="00AB3510"/>
    <w:rsid w:val="00AC1724"/>
    <w:rsid w:val="00AC4E4F"/>
    <w:rsid w:val="00AC5A4B"/>
    <w:rsid w:val="00AD038C"/>
    <w:rsid w:val="00AD0EFE"/>
    <w:rsid w:val="00AD27F8"/>
    <w:rsid w:val="00AD3D91"/>
    <w:rsid w:val="00AD5797"/>
    <w:rsid w:val="00AD6C56"/>
    <w:rsid w:val="00AD742A"/>
    <w:rsid w:val="00AD7F47"/>
    <w:rsid w:val="00AE0E6C"/>
    <w:rsid w:val="00AE19CD"/>
    <w:rsid w:val="00AE22BF"/>
    <w:rsid w:val="00AE429F"/>
    <w:rsid w:val="00AE6488"/>
    <w:rsid w:val="00AF1302"/>
    <w:rsid w:val="00AF3BF2"/>
    <w:rsid w:val="00AF61A9"/>
    <w:rsid w:val="00B00BCD"/>
    <w:rsid w:val="00B018D3"/>
    <w:rsid w:val="00B01924"/>
    <w:rsid w:val="00B01E4C"/>
    <w:rsid w:val="00B03003"/>
    <w:rsid w:val="00B1269F"/>
    <w:rsid w:val="00B1593B"/>
    <w:rsid w:val="00B17005"/>
    <w:rsid w:val="00B17752"/>
    <w:rsid w:val="00B22A7D"/>
    <w:rsid w:val="00B24894"/>
    <w:rsid w:val="00B25190"/>
    <w:rsid w:val="00B257DF"/>
    <w:rsid w:val="00B26E86"/>
    <w:rsid w:val="00B30F84"/>
    <w:rsid w:val="00B312DA"/>
    <w:rsid w:val="00B31565"/>
    <w:rsid w:val="00B332A2"/>
    <w:rsid w:val="00B42DB4"/>
    <w:rsid w:val="00B43718"/>
    <w:rsid w:val="00B507AE"/>
    <w:rsid w:val="00B50ABA"/>
    <w:rsid w:val="00B51C2B"/>
    <w:rsid w:val="00B51F03"/>
    <w:rsid w:val="00B5248E"/>
    <w:rsid w:val="00B537FC"/>
    <w:rsid w:val="00B54991"/>
    <w:rsid w:val="00B55CCD"/>
    <w:rsid w:val="00B55D78"/>
    <w:rsid w:val="00B60C4D"/>
    <w:rsid w:val="00B60DCF"/>
    <w:rsid w:val="00B62AC0"/>
    <w:rsid w:val="00B66632"/>
    <w:rsid w:val="00B66CF5"/>
    <w:rsid w:val="00B7298C"/>
    <w:rsid w:val="00B740F7"/>
    <w:rsid w:val="00B77899"/>
    <w:rsid w:val="00B77AA6"/>
    <w:rsid w:val="00B803D5"/>
    <w:rsid w:val="00B81BD2"/>
    <w:rsid w:val="00B853AD"/>
    <w:rsid w:val="00B86B5D"/>
    <w:rsid w:val="00B906AC"/>
    <w:rsid w:val="00B93879"/>
    <w:rsid w:val="00B9395D"/>
    <w:rsid w:val="00BA1373"/>
    <w:rsid w:val="00BA1F96"/>
    <w:rsid w:val="00BA4941"/>
    <w:rsid w:val="00BA548C"/>
    <w:rsid w:val="00BA56FB"/>
    <w:rsid w:val="00BA75E6"/>
    <w:rsid w:val="00BB0CB2"/>
    <w:rsid w:val="00BB2C0B"/>
    <w:rsid w:val="00BB49BB"/>
    <w:rsid w:val="00BB650D"/>
    <w:rsid w:val="00BB71F8"/>
    <w:rsid w:val="00BC1C00"/>
    <w:rsid w:val="00BC362D"/>
    <w:rsid w:val="00BC524D"/>
    <w:rsid w:val="00BD129F"/>
    <w:rsid w:val="00BD266B"/>
    <w:rsid w:val="00BD5912"/>
    <w:rsid w:val="00BD6242"/>
    <w:rsid w:val="00BD6AEF"/>
    <w:rsid w:val="00BD7AB1"/>
    <w:rsid w:val="00BE0AA6"/>
    <w:rsid w:val="00BE37CA"/>
    <w:rsid w:val="00BE4510"/>
    <w:rsid w:val="00BE45D0"/>
    <w:rsid w:val="00BE6447"/>
    <w:rsid w:val="00BE7DB8"/>
    <w:rsid w:val="00BF09FC"/>
    <w:rsid w:val="00BF0C88"/>
    <w:rsid w:val="00BF0FF3"/>
    <w:rsid w:val="00BF1AA0"/>
    <w:rsid w:val="00BF2F45"/>
    <w:rsid w:val="00BF3507"/>
    <w:rsid w:val="00BF43CF"/>
    <w:rsid w:val="00BF58A2"/>
    <w:rsid w:val="00BF7FFD"/>
    <w:rsid w:val="00C02649"/>
    <w:rsid w:val="00C029C3"/>
    <w:rsid w:val="00C0471D"/>
    <w:rsid w:val="00C111FF"/>
    <w:rsid w:val="00C13B3F"/>
    <w:rsid w:val="00C1544F"/>
    <w:rsid w:val="00C166BF"/>
    <w:rsid w:val="00C1697F"/>
    <w:rsid w:val="00C16981"/>
    <w:rsid w:val="00C17A54"/>
    <w:rsid w:val="00C17FDF"/>
    <w:rsid w:val="00C20584"/>
    <w:rsid w:val="00C20F2D"/>
    <w:rsid w:val="00C233A3"/>
    <w:rsid w:val="00C23497"/>
    <w:rsid w:val="00C2647C"/>
    <w:rsid w:val="00C322C9"/>
    <w:rsid w:val="00C36A36"/>
    <w:rsid w:val="00C372E0"/>
    <w:rsid w:val="00C40988"/>
    <w:rsid w:val="00C432B3"/>
    <w:rsid w:val="00C446F7"/>
    <w:rsid w:val="00C47A2B"/>
    <w:rsid w:val="00C50EE0"/>
    <w:rsid w:val="00C50EE2"/>
    <w:rsid w:val="00C528B3"/>
    <w:rsid w:val="00C52B8D"/>
    <w:rsid w:val="00C55F0B"/>
    <w:rsid w:val="00C5609C"/>
    <w:rsid w:val="00C60737"/>
    <w:rsid w:val="00C619A6"/>
    <w:rsid w:val="00C62A1F"/>
    <w:rsid w:val="00C62AC6"/>
    <w:rsid w:val="00C62AF0"/>
    <w:rsid w:val="00C63895"/>
    <w:rsid w:val="00C67BCB"/>
    <w:rsid w:val="00C67DAB"/>
    <w:rsid w:val="00C67EC6"/>
    <w:rsid w:val="00C719B4"/>
    <w:rsid w:val="00C71D4C"/>
    <w:rsid w:val="00C72DB2"/>
    <w:rsid w:val="00C73CD1"/>
    <w:rsid w:val="00C742D7"/>
    <w:rsid w:val="00C75F21"/>
    <w:rsid w:val="00C765A2"/>
    <w:rsid w:val="00C775A7"/>
    <w:rsid w:val="00C8027B"/>
    <w:rsid w:val="00C80771"/>
    <w:rsid w:val="00C835B2"/>
    <w:rsid w:val="00C87C11"/>
    <w:rsid w:val="00C87E5C"/>
    <w:rsid w:val="00C917AF"/>
    <w:rsid w:val="00C93486"/>
    <w:rsid w:val="00C95EF4"/>
    <w:rsid w:val="00C96AE8"/>
    <w:rsid w:val="00C96CE5"/>
    <w:rsid w:val="00CA0423"/>
    <w:rsid w:val="00CA0FC9"/>
    <w:rsid w:val="00CA5FCA"/>
    <w:rsid w:val="00CA6FEC"/>
    <w:rsid w:val="00CB2450"/>
    <w:rsid w:val="00CB4C49"/>
    <w:rsid w:val="00CB60FB"/>
    <w:rsid w:val="00CC10AF"/>
    <w:rsid w:val="00CC12C0"/>
    <w:rsid w:val="00CC1747"/>
    <w:rsid w:val="00CC30B6"/>
    <w:rsid w:val="00CC4B40"/>
    <w:rsid w:val="00CD040C"/>
    <w:rsid w:val="00CD0A3A"/>
    <w:rsid w:val="00CD0EA0"/>
    <w:rsid w:val="00CD2DBF"/>
    <w:rsid w:val="00CD51C2"/>
    <w:rsid w:val="00CD5AD5"/>
    <w:rsid w:val="00CD6093"/>
    <w:rsid w:val="00CD621C"/>
    <w:rsid w:val="00CD6886"/>
    <w:rsid w:val="00CD7782"/>
    <w:rsid w:val="00CD7D17"/>
    <w:rsid w:val="00CE057B"/>
    <w:rsid w:val="00CE0756"/>
    <w:rsid w:val="00CE16F4"/>
    <w:rsid w:val="00CE71A9"/>
    <w:rsid w:val="00CF0423"/>
    <w:rsid w:val="00CF1129"/>
    <w:rsid w:val="00CF6575"/>
    <w:rsid w:val="00D014E7"/>
    <w:rsid w:val="00D01871"/>
    <w:rsid w:val="00D06EA3"/>
    <w:rsid w:val="00D07375"/>
    <w:rsid w:val="00D075B1"/>
    <w:rsid w:val="00D079C9"/>
    <w:rsid w:val="00D10372"/>
    <w:rsid w:val="00D10DAD"/>
    <w:rsid w:val="00D121D2"/>
    <w:rsid w:val="00D13969"/>
    <w:rsid w:val="00D15470"/>
    <w:rsid w:val="00D155B4"/>
    <w:rsid w:val="00D163FF"/>
    <w:rsid w:val="00D1778A"/>
    <w:rsid w:val="00D206D0"/>
    <w:rsid w:val="00D20F66"/>
    <w:rsid w:val="00D239A3"/>
    <w:rsid w:val="00D243C2"/>
    <w:rsid w:val="00D25E24"/>
    <w:rsid w:val="00D27D5F"/>
    <w:rsid w:val="00D30039"/>
    <w:rsid w:val="00D30C4F"/>
    <w:rsid w:val="00D317A7"/>
    <w:rsid w:val="00D334B1"/>
    <w:rsid w:val="00D357DF"/>
    <w:rsid w:val="00D36884"/>
    <w:rsid w:val="00D36927"/>
    <w:rsid w:val="00D41E75"/>
    <w:rsid w:val="00D437AC"/>
    <w:rsid w:val="00D46462"/>
    <w:rsid w:val="00D541A4"/>
    <w:rsid w:val="00D549D9"/>
    <w:rsid w:val="00D56BCA"/>
    <w:rsid w:val="00D648FE"/>
    <w:rsid w:val="00D64D7A"/>
    <w:rsid w:val="00D65AC6"/>
    <w:rsid w:val="00D67008"/>
    <w:rsid w:val="00D70F29"/>
    <w:rsid w:val="00D735CB"/>
    <w:rsid w:val="00D74F4E"/>
    <w:rsid w:val="00D75107"/>
    <w:rsid w:val="00D75DE7"/>
    <w:rsid w:val="00D75E8D"/>
    <w:rsid w:val="00D76056"/>
    <w:rsid w:val="00D767E1"/>
    <w:rsid w:val="00D77D47"/>
    <w:rsid w:val="00D80550"/>
    <w:rsid w:val="00D84560"/>
    <w:rsid w:val="00D84F94"/>
    <w:rsid w:val="00D85DFA"/>
    <w:rsid w:val="00D87049"/>
    <w:rsid w:val="00D8769E"/>
    <w:rsid w:val="00D91D8B"/>
    <w:rsid w:val="00D948DA"/>
    <w:rsid w:val="00D95C54"/>
    <w:rsid w:val="00D97EEE"/>
    <w:rsid w:val="00DA0864"/>
    <w:rsid w:val="00DA1632"/>
    <w:rsid w:val="00DA1763"/>
    <w:rsid w:val="00DA216D"/>
    <w:rsid w:val="00DA3AEE"/>
    <w:rsid w:val="00DA6000"/>
    <w:rsid w:val="00DA6967"/>
    <w:rsid w:val="00DB0A77"/>
    <w:rsid w:val="00DB0AD3"/>
    <w:rsid w:val="00DB1C97"/>
    <w:rsid w:val="00DB1D37"/>
    <w:rsid w:val="00DB5D54"/>
    <w:rsid w:val="00DC1524"/>
    <w:rsid w:val="00DC45FA"/>
    <w:rsid w:val="00DC5803"/>
    <w:rsid w:val="00DC590E"/>
    <w:rsid w:val="00DC64BB"/>
    <w:rsid w:val="00DC6A43"/>
    <w:rsid w:val="00DD0FD4"/>
    <w:rsid w:val="00DD2F93"/>
    <w:rsid w:val="00DD3C0C"/>
    <w:rsid w:val="00DD4BDA"/>
    <w:rsid w:val="00DD52BB"/>
    <w:rsid w:val="00DD5A8A"/>
    <w:rsid w:val="00DE2FD6"/>
    <w:rsid w:val="00DE3197"/>
    <w:rsid w:val="00DE3A5D"/>
    <w:rsid w:val="00DF5ADE"/>
    <w:rsid w:val="00E0002C"/>
    <w:rsid w:val="00E00990"/>
    <w:rsid w:val="00E00FCE"/>
    <w:rsid w:val="00E01C0B"/>
    <w:rsid w:val="00E04161"/>
    <w:rsid w:val="00E04E0D"/>
    <w:rsid w:val="00E04E68"/>
    <w:rsid w:val="00E058D5"/>
    <w:rsid w:val="00E059D4"/>
    <w:rsid w:val="00E0679A"/>
    <w:rsid w:val="00E07546"/>
    <w:rsid w:val="00E07FF3"/>
    <w:rsid w:val="00E14834"/>
    <w:rsid w:val="00E14F61"/>
    <w:rsid w:val="00E14F82"/>
    <w:rsid w:val="00E15DC3"/>
    <w:rsid w:val="00E168C1"/>
    <w:rsid w:val="00E17B34"/>
    <w:rsid w:val="00E17BD9"/>
    <w:rsid w:val="00E218DA"/>
    <w:rsid w:val="00E21EA5"/>
    <w:rsid w:val="00E25078"/>
    <w:rsid w:val="00E26CBE"/>
    <w:rsid w:val="00E32D06"/>
    <w:rsid w:val="00E35678"/>
    <w:rsid w:val="00E3786F"/>
    <w:rsid w:val="00E40140"/>
    <w:rsid w:val="00E4194C"/>
    <w:rsid w:val="00E41B1E"/>
    <w:rsid w:val="00E421B6"/>
    <w:rsid w:val="00E43201"/>
    <w:rsid w:val="00E43238"/>
    <w:rsid w:val="00E43F11"/>
    <w:rsid w:val="00E440D1"/>
    <w:rsid w:val="00E45301"/>
    <w:rsid w:val="00E4634D"/>
    <w:rsid w:val="00E463F1"/>
    <w:rsid w:val="00E50FB9"/>
    <w:rsid w:val="00E52992"/>
    <w:rsid w:val="00E56A30"/>
    <w:rsid w:val="00E60942"/>
    <w:rsid w:val="00E6102D"/>
    <w:rsid w:val="00E660B9"/>
    <w:rsid w:val="00E66FE7"/>
    <w:rsid w:val="00E717DA"/>
    <w:rsid w:val="00E74815"/>
    <w:rsid w:val="00E75E09"/>
    <w:rsid w:val="00E7655D"/>
    <w:rsid w:val="00E7676B"/>
    <w:rsid w:val="00E775D0"/>
    <w:rsid w:val="00E801E7"/>
    <w:rsid w:val="00E81881"/>
    <w:rsid w:val="00E81976"/>
    <w:rsid w:val="00E826E5"/>
    <w:rsid w:val="00E830C1"/>
    <w:rsid w:val="00E834E4"/>
    <w:rsid w:val="00E84531"/>
    <w:rsid w:val="00E910E7"/>
    <w:rsid w:val="00E912BE"/>
    <w:rsid w:val="00E9366A"/>
    <w:rsid w:val="00E95799"/>
    <w:rsid w:val="00E959A0"/>
    <w:rsid w:val="00E96E58"/>
    <w:rsid w:val="00EA43B2"/>
    <w:rsid w:val="00EA5207"/>
    <w:rsid w:val="00EA61AE"/>
    <w:rsid w:val="00EB0DBA"/>
    <w:rsid w:val="00EB6168"/>
    <w:rsid w:val="00EB64CF"/>
    <w:rsid w:val="00EB7924"/>
    <w:rsid w:val="00EC0DDD"/>
    <w:rsid w:val="00EC1C87"/>
    <w:rsid w:val="00EC2264"/>
    <w:rsid w:val="00EC2479"/>
    <w:rsid w:val="00EC38F2"/>
    <w:rsid w:val="00EC41E8"/>
    <w:rsid w:val="00EC6387"/>
    <w:rsid w:val="00EC6435"/>
    <w:rsid w:val="00EC64C0"/>
    <w:rsid w:val="00ED06EC"/>
    <w:rsid w:val="00ED0E5E"/>
    <w:rsid w:val="00ED1D60"/>
    <w:rsid w:val="00ED243C"/>
    <w:rsid w:val="00ED3F6C"/>
    <w:rsid w:val="00ED537C"/>
    <w:rsid w:val="00ED64F3"/>
    <w:rsid w:val="00ED6B6B"/>
    <w:rsid w:val="00ED773C"/>
    <w:rsid w:val="00EE66A3"/>
    <w:rsid w:val="00EF0593"/>
    <w:rsid w:val="00EF16E5"/>
    <w:rsid w:val="00EF20F6"/>
    <w:rsid w:val="00EF53AA"/>
    <w:rsid w:val="00F009B1"/>
    <w:rsid w:val="00F01F23"/>
    <w:rsid w:val="00F028C8"/>
    <w:rsid w:val="00F0315B"/>
    <w:rsid w:val="00F04904"/>
    <w:rsid w:val="00F0707F"/>
    <w:rsid w:val="00F10AA7"/>
    <w:rsid w:val="00F11089"/>
    <w:rsid w:val="00F122F6"/>
    <w:rsid w:val="00F1347B"/>
    <w:rsid w:val="00F1432E"/>
    <w:rsid w:val="00F15867"/>
    <w:rsid w:val="00F16812"/>
    <w:rsid w:val="00F20061"/>
    <w:rsid w:val="00F22C70"/>
    <w:rsid w:val="00F24506"/>
    <w:rsid w:val="00F26371"/>
    <w:rsid w:val="00F2656B"/>
    <w:rsid w:val="00F2682B"/>
    <w:rsid w:val="00F30DA8"/>
    <w:rsid w:val="00F31813"/>
    <w:rsid w:val="00F3381A"/>
    <w:rsid w:val="00F34C1F"/>
    <w:rsid w:val="00F3772B"/>
    <w:rsid w:val="00F431B5"/>
    <w:rsid w:val="00F47E87"/>
    <w:rsid w:val="00F54AF9"/>
    <w:rsid w:val="00F60EC7"/>
    <w:rsid w:val="00F62A1B"/>
    <w:rsid w:val="00F630CD"/>
    <w:rsid w:val="00F635C1"/>
    <w:rsid w:val="00F63C29"/>
    <w:rsid w:val="00F650AE"/>
    <w:rsid w:val="00F6608C"/>
    <w:rsid w:val="00F67C41"/>
    <w:rsid w:val="00F74763"/>
    <w:rsid w:val="00F7579D"/>
    <w:rsid w:val="00F75F5C"/>
    <w:rsid w:val="00F77EE4"/>
    <w:rsid w:val="00F807E4"/>
    <w:rsid w:val="00F808AF"/>
    <w:rsid w:val="00F81778"/>
    <w:rsid w:val="00F82E7B"/>
    <w:rsid w:val="00F840EC"/>
    <w:rsid w:val="00F85B64"/>
    <w:rsid w:val="00F862A9"/>
    <w:rsid w:val="00F87A98"/>
    <w:rsid w:val="00F90BD3"/>
    <w:rsid w:val="00F90C08"/>
    <w:rsid w:val="00F91482"/>
    <w:rsid w:val="00F917C5"/>
    <w:rsid w:val="00F9265D"/>
    <w:rsid w:val="00F944F7"/>
    <w:rsid w:val="00FA163A"/>
    <w:rsid w:val="00FA2095"/>
    <w:rsid w:val="00FA2793"/>
    <w:rsid w:val="00FA4732"/>
    <w:rsid w:val="00FA4D06"/>
    <w:rsid w:val="00FB1543"/>
    <w:rsid w:val="00FB3D4E"/>
    <w:rsid w:val="00FB58FB"/>
    <w:rsid w:val="00FB671E"/>
    <w:rsid w:val="00FB74AE"/>
    <w:rsid w:val="00FC0440"/>
    <w:rsid w:val="00FC3AF0"/>
    <w:rsid w:val="00FC3EC4"/>
    <w:rsid w:val="00FC46E0"/>
    <w:rsid w:val="00FC72B7"/>
    <w:rsid w:val="00FD5547"/>
    <w:rsid w:val="00FD688E"/>
    <w:rsid w:val="00FD6A44"/>
    <w:rsid w:val="00FD7308"/>
    <w:rsid w:val="00FE0E00"/>
    <w:rsid w:val="00FE3BAE"/>
    <w:rsid w:val="00FF05A7"/>
    <w:rsid w:val="00FF4948"/>
    <w:rsid w:val="00FF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ABFD0D49-203B-4F86-A3B6-53EB394D5EB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customStyle="1" w:styleId="Default">
    <w:name w:val="Default"/>
    <w:rsid w:val="001C40CD"/>
    <w:pPr>
      <w:autoSpaceDE w:val="0"/>
      <w:autoSpaceDN w:val="0"/>
      <w:adjustRightInd w:val="0"/>
    </w:pPr>
    <w:rPr>
      <w:rFonts w:eastAsiaTheme="minorHAnsi"/>
      <w:color w:val="000000"/>
      <w:sz w:val="24"/>
      <w:szCs w:val="24"/>
      <w14:ligatures w14:val="standardContextual"/>
    </w:rPr>
  </w:style>
  <w:style w:type="character" w:styleId="UnresolvedMention">
    <w:name w:val="Unresolved Mention"/>
    <w:basedOn w:val="DefaultParagraphFont"/>
    <w:uiPriority w:val="99"/>
    <w:semiHidden/>
    <w:unhideWhenUsed/>
    <w:rsid w:val="004560B3"/>
    <w:rPr>
      <w:color w:val="605E5C"/>
      <w:shd w:val="clear" w:color="auto" w:fill="E1DFDD"/>
    </w:rPr>
  </w:style>
  <w:style w:type="table" w:customStyle="1" w:styleId="TableGrid1">
    <w:name w:val="Table Grid1"/>
    <w:basedOn w:val="TableNormal"/>
    <w:next w:val="TableGrid"/>
    <w:uiPriority w:val="39"/>
    <w:rsid w:val="00777D52"/>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6677">
      <w:bodyDiv w:val="1"/>
      <w:marLeft w:val="0"/>
      <w:marRight w:val="0"/>
      <w:marTop w:val="0"/>
      <w:marBottom w:val="0"/>
      <w:divBdr>
        <w:top w:val="none" w:sz="0" w:space="0" w:color="auto"/>
        <w:left w:val="none" w:sz="0" w:space="0" w:color="auto"/>
        <w:bottom w:val="none" w:sz="0" w:space="0" w:color="auto"/>
        <w:right w:val="none" w:sz="0" w:space="0" w:color="auto"/>
      </w:divBdr>
    </w:div>
    <w:div w:id="843125542">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 w:id="1918127484">
      <w:bodyDiv w:val="1"/>
      <w:marLeft w:val="0"/>
      <w:marRight w:val="0"/>
      <w:marTop w:val="0"/>
      <w:marBottom w:val="0"/>
      <w:divBdr>
        <w:top w:val="none" w:sz="0" w:space="0" w:color="auto"/>
        <w:left w:val="none" w:sz="0" w:space="0" w:color="auto"/>
        <w:bottom w:val="none" w:sz="0" w:space="0" w:color="auto"/>
        <w:right w:val="none" w:sz="0" w:space="0" w:color="auto"/>
      </w:divBdr>
    </w:div>
    <w:div w:id="1979800260">
      <w:bodyDiv w:val="1"/>
      <w:marLeft w:val="0"/>
      <w:marRight w:val="0"/>
      <w:marTop w:val="0"/>
      <w:marBottom w:val="0"/>
      <w:divBdr>
        <w:top w:val="none" w:sz="0" w:space="0" w:color="auto"/>
        <w:left w:val="none" w:sz="0" w:space="0" w:color="auto"/>
        <w:bottom w:val="none" w:sz="0" w:space="0" w:color="auto"/>
        <w:right w:val="none" w:sz="0" w:space="0" w:color="auto"/>
      </w:divBdr>
    </w:div>
    <w:div w:id="206801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pps.calbar.ca.gov/attorney/Licensee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26</ap:Pages>
  <ap:Words>6241</ap:Words>
  <ap:Characters>41383</ap:Characters>
  <ap:Application>Microsoft Office Word</ap:Application>
  <ap:DocSecurity>0</ap:DocSecurity>
  <ap:Lines>8276</ap:Lines>
  <ap:Paragraphs>2506</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45118</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2026-07-21T08:01:16Z</dcterms:created>
  <dcterms:modified xsi:type="dcterms:W3CDTF">2026-07-21T08:01:16Z</dcterms:modified>
</cp:coreProperties>
</file>