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3C6" w:rsidP="00CD457D" w:rsidRDefault="006F53C6" w14:paraId="6A9B54CA" w14:textId="275C9C40">
      <w:pPr>
        <w:pStyle w:val="Header"/>
        <w:rPr>
          <w:b/>
          <w:bCs/>
        </w:rPr>
      </w:pPr>
      <w:r w:rsidRPr="00FD1EE9">
        <w:t>ALJ/</w:t>
      </w:r>
      <w:r>
        <w:t>RL8</w:t>
      </w:r>
      <w:r w:rsidRPr="00FD1EE9">
        <w:t>/</w:t>
      </w:r>
      <w:r>
        <w:t>abb</w:t>
      </w:r>
      <w:r w:rsidR="00CD457D">
        <w:rPr>
          <w:b/>
          <w:bCs/>
        </w:rPr>
        <w:tab/>
      </w:r>
      <w:r w:rsidR="00CD457D">
        <w:rPr>
          <w:b/>
          <w:bCs/>
        </w:rPr>
        <w:tab/>
        <w:t>Date of Issuance 7/21/2026</w:t>
      </w:r>
    </w:p>
    <w:p w:rsidRPr="006F53C6" w:rsidR="00CD457D" w:rsidP="00CD457D" w:rsidRDefault="00CD457D" w14:paraId="72B89A7E" w14:textId="77777777">
      <w:pPr>
        <w:pStyle w:val="Header"/>
        <w:rPr>
          <w:b/>
          <w:bCs/>
        </w:rPr>
      </w:pPr>
    </w:p>
    <w:p w:rsidR="006F53C6" w:rsidRDefault="006F53C6" w14:paraId="719F81D8" w14:textId="77777777">
      <w:pPr>
        <w:suppressAutoHyphens/>
        <w:rPr>
          <w:color w:val="000000"/>
        </w:rPr>
      </w:pPr>
    </w:p>
    <w:p w:rsidRPr="007F620E" w:rsidR="00A92D0B" w:rsidP="006F53C6" w:rsidRDefault="00A92D0B" w14:paraId="5BDA9FD4" w14:textId="14351E8E">
      <w:pPr>
        <w:suppressAutoHyphens/>
        <w:rPr>
          <w:color w:val="000000"/>
        </w:rPr>
      </w:pPr>
      <w:r w:rsidRPr="007F620E">
        <w:rPr>
          <w:color w:val="000000"/>
        </w:rPr>
        <w:t>Decision</w:t>
      </w:r>
      <w:r w:rsidR="00CD457D">
        <w:rPr>
          <w:color w:val="000000"/>
        </w:rPr>
        <w:t> </w:t>
      </w:r>
      <w:r w:rsidRPr="00CD457D" w:rsidR="00CD457D">
        <w:rPr>
          <w:color w:val="000000"/>
        </w:rPr>
        <w:t>26-07-056</w:t>
      </w:r>
      <w:r w:rsidR="00CD457D">
        <w:rPr>
          <w:color w:val="000000"/>
        </w:rPr>
        <w:t>  July 16, 2026</w:t>
      </w:r>
    </w:p>
    <w:p w:rsidRPr="007F620E" w:rsidR="00A92D0B" w:rsidP="006F53C6" w:rsidRDefault="00A92D0B" w14:paraId="6D327C87" w14:textId="77777777">
      <w:pPr>
        <w:pStyle w:val="titlebar"/>
        <w:jc w:val="left"/>
        <w:rPr>
          <w:rFonts w:ascii="Times New Roman" w:hAnsi="Times New Roman"/>
          <w:color w:val="000000"/>
          <w:sz w:val="24"/>
          <w:szCs w:val="24"/>
        </w:rPr>
      </w:pPr>
    </w:p>
    <w:p w:rsidRPr="007F620E" w:rsidR="00A92D0B" w:rsidP="006F53C6" w:rsidRDefault="00A92D0B" w14:paraId="44E03231" w14:textId="77777777">
      <w:pPr>
        <w:pStyle w:val="titlebar"/>
        <w:jc w:val="left"/>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00A92D0B" w:rsidRDefault="00A92D0B" w14:paraId="564284CD" w14:textId="77777777">
      <w:pPr>
        <w:suppressAutoHyphens/>
        <w:rPr>
          <w:color w:val="000000"/>
        </w:rPr>
      </w:pPr>
    </w:p>
    <w:p w:rsidRPr="007F620E" w:rsidR="001F3A13" w:rsidRDefault="001F3A13" w14:paraId="19260691" w14:textId="77777777">
      <w:pPr>
        <w:suppressAutoHyphens/>
        <w:rPr>
          <w:color w:val="000000"/>
        </w:rPr>
      </w:pPr>
    </w:p>
    <w:tbl>
      <w:tblPr>
        <w:tblW w:w="9828" w:type="dxa"/>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4680"/>
        <w:gridCol w:w="5148"/>
      </w:tblGrid>
      <w:tr w:rsidRPr="007F620E" w:rsidR="00A92D0B" w:rsidTr="001F3A13" w14:paraId="3942D7B4" w14:textId="77777777">
        <w:tc>
          <w:tcPr>
            <w:tcW w:w="4680" w:type="dxa"/>
          </w:tcPr>
          <w:p w:rsidRPr="007F620E" w:rsidR="00A92D0B" w:rsidP="00954AB4" w:rsidRDefault="00954AB4" w14:paraId="47850BD9" w14:textId="40838B0A">
            <w:pPr>
              <w:autoSpaceDE w:val="0"/>
              <w:autoSpaceDN w:val="0"/>
              <w:adjustRightInd w:val="0"/>
              <w:rPr>
                <w:color w:val="000000"/>
              </w:rPr>
            </w:pPr>
            <w:r w:rsidRPr="00954AB4">
              <w:rPr>
                <w:color w:val="000000"/>
              </w:rPr>
              <w:t>Application Of Southern California Edison Company (U</w:t>
            </w:r>
            <w:r w:rsidR="00AE752D">
              <w:rPr>
                <w:color w:val="000000"/>
              </w:rPr>
              <w:t> </w:t>
            </w:r>
            <w:r w:rsidRPr="00954AB4">
              <w:rPr>
                <w:color w:val="000000"/>
              </w:rPr>
              <w:t>338-E) For Authority To Increase Its Authorized Revenues For Electric Service In 2025, Among Other Things, And To Reflect That Increase In Rates.</w:t>
            </w:r>
            <w:r>
              <w:rPr>
                <w:color w:val="000000"/>
              </w:rPr>
              <w:br/>
            </w:r>
          </w:p>
        </w:tc>
        <w:tc>
          <w:tcPr>
            <w:tcW w:w="5148" w:type="dxa"/>
            <w:tcBorders>
              <w:top w:val="nil"/>
              <w:bottom w:val="nil"/>
            </w:tcBorders>
            <w:vAlign w:val="center"/>
          </w:tcPr>
          <w:p w:rsidRPr="007F620E" w:rsidR="00A92D0B" w:rsidP="00AE752D" w:rsidRDefault="00954AB4" w14:paraId="7EC7277D" w14:textId="050FE6EA">
            <w:pPr>
              <w:jc w:val="center"/>
              <w:rPr>
                <w:color w:val="000000"/>
              </w:rPr>
            </w:pPr>
            <w:r>
              <w:rPr>
                <w:color w:val="000000"/>
              </w:rPr>
              <w:t>A</w:t>
            </w:r>
            <w:r w:rsidR="00760970">
              <w:rPr>
                <w:color w:val="000000"/>
              </w:rPr>
              <w:t>pplication</w:t>
            </w:r>
            <w:r w:rsidR="001F3A13">
              <w:rPr>
                <w:color w:val="000000"/>
              </w:rPr>
              <w:t> </w:t>
            </w:r>
            <w:r>
              <w:rPr>
                <w:color w:val="000000"/>
              </w:rPr>
              <w:t>23-05-010</w:t>
            </w:r>
            <w:r>
              <w:rPr>
                <w:color w:val="000000"/>
              </w:rPr>
              <w:br/>
            </w:r>
            <w:r w:rsidRPr="00954AB4">
              <w:rPr>
                <w:color w:val="000000"/>
              </w:rPr>
              <w:t>(Filed May 12, 2023)</w:t>
            </w:r>
          </w:p>
        </w:tc>
      </w:tr>
    </w:tbl>
    <w:p w:rsidR="00FC72B7" w:rsidP="00AE752D" w:rsidRDefault="00AE752D" w14:paraId="5459E071" w14:textId="7F0AFAEB">
      <w:pPr>
        <w:spacing w:before="240" w:after="240"/>
        <w:jc w:val="center"/>
        <w:rPr>
          <w:b/>
          <w:color w:val="000000"/>
        </w:rPr>
      </w:pPr>
      <w:r>
        <w:rPr>
          <w:b/>
          <w:color w:val="000000"/>
        </w:rPr>
        <w:t>NOT CONSOLIDATED</w:t>
      </w:r>
    </w:p>
    <w:tbl>
      <w:tblPr>
        <w:tblW w:w="9828" w:type="dxa"/>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4680"/>
        <w:gridCol w:w="5148"/>
      </w:tblGrid>
      <w:tr w:rsidRPr="007F620E" w:rsidR="00AE752D" w:rsidTr="001F3A13" w14:paraId="66B91826" w14:textId="77777777">
        <w:tc>
          <w:tcPr>
            <w:tcW w:w="4680" w:type="dxa"/>
          </w:tcPr>
          <w:p w:rsidR="00AE752D" w:rsidP="006F51CC" w:rsidRDefault="00AE752D" w14:paraId="502B77CC" w14:textId="68951DED">
            <w:pPr>
              <w:autoSpaceDE w:val="0"/>
              <w:autoSpaceDN w:val="0"/>
              <w:adjustRightInd w:val="0"/>
            </w:pPr>
            <w:r>
              <w:t>Application of Southern California Edison Company (U 338-E) Regarding 2022 Risk Assessment Mitigation Phase.</w:t>
            </w:r>
          </w:p>
          <w:p w:rsidRPr="007F620E" w:rsidR="00AE752D" w:rsidP="006F51CC" w:rsidRDefault="00AE752D" w14:paraId="68CE3707" w14:textId="05518606">
            <w:pPr>
              <w:autoSpaceDE w:val="0"/>
              <w:autoSpaceDN w:val="0"/>
              <w:adjustRightInd w:val="0"/>
              <w:rPr>
                <w:color w:val="000000"/>
              </w:rPr>
            </w:pPr>
          </w:p>
        </w:tc>
        <w:tc>
          <w:tcPr>
            <w:tcW w:w="5148" w:type="dxa"/>
            <w:tcBorders>
              <w:top w:val="nil"/>
              <w:bottom w:val="nil"/>
            </w:tcBorders>
            <w:vAlign w:val="center"/>
          </w:tcPr>
          <w:p w:rsidRPr="00954AB4" w:rsidR="00AE752D" w:rsidP="00AE752D" w:rsidRDefault="00AE752D" w14:paraId="4A21E5F4" w14:textId="6100E60E">
            <w:pPr>
              <w:jc w:val="center"/>
              <w:rPr>
                <w:color w:val="000000"/>
              </w:rPr>
            </w:pPr>
            <w:r w:rsidRPr="00954AB4">
              <w:rPr>
                <w:color w:val="000000"/>
              </w:rPr>
              <w:t>Application</w:t>
            </w:r>
            <w:r w:rsidR="001F3A13">
              <w:rPr>
                <w:color w:val="000000"/>
              </w:rPr>
              <w:t> </w:t>
            </w:r>
            <w:r w:rsidRPr="00954AB4">
              <w:rPr>
                <w:color w:val="000000"/>
              </w:rPr>
              <w:t>22-05-013</w:t>
            </w:r>
          </w:p>
          <w:p w:rsidRPr="007F620E" w:rsidR="00AE752D" w:rsidP="00AE752D" w:rsidRDefault="00AE752D" w14:paraId="117F9663" w14:textId="238F55AB">
            <w:pPr>
              <w:jc w:val="center"/>
              <w:rPr>
                <w:color w:val="000000"/>
              </w:rPr>
            </w:pPr>
            <w:r w:rsidRPr="00954AB4">
              <w:rPr>
                <w:color w:val="000000"/>
              </w:rPr>
              <w:t>(Filed May 13, 202</w:t>
            </w:r>
            <w:r>
              <w:rPr>
                <w:color w:val="000000"/>
              </w:rPr>
              <w:t>2</w:t>
            </w:r>
            <w:r w:rsidRPr="00954AB4">
              <w:rPr>
                <w:color w:val="000000"/>
              </w:rPr>
              <w:t>)</w:t>
            </w:r>
          </w:p>
        </w:tc>
      </w:tr>
    </w:tbl>
    <w:p w:rsidR="00AE752D" w:rsidP="00AE752D" w:rsidRDefault="00AE752D" w14:paraId="2E59F66F" w14:textId="77777777">
      <w:pPr>
        <w:rPr>
          <w:b/>
          <w:color w:val="000000"/>
        </w:rPr>
      </w:pPr>
    </w:p>
    <w:p w:rsidRPr="00896710" w:rsidR="00AE752D" w:rsidP="00896710" w:rsidRDefault="00AE752D" w14:paraId="7D2AA1A0" w14:textId="77777777">
      <w:pPr>
        <w:pStyle w:val="Style1forICOMPS"/>
        <w:jc w:val="left"/>
      </w:pPr>
    </w:p>
    <w:p w:rsidRPr="00896710" w:rsidR="001F3A13" w:rsidP="00896710" w:rsidRDefault="005A0575" w14:paraId="59452631" w14:textId="4CD707CE">
      <w:pPr>
        <w:pStyle w:val="Style1forICOMPS"/>
      </w:pPr>
      <w:r w:rsidRPr="00896710">
        <w:t xml:space="preserve">DECISION </w:t>
      </w:r>
      <w:r w:rsidRPr="00896710" w:rsidR="00AC78AE">
        <w:t xml:space="preserve">GRANTING </w:t>
      </w:r>
      <w:r w:rsidRPr="00896710">
        <w:t xml:space="preserve">COMPENSATION </w:t>
      </w:r>
      <w:r w:rsidRPr="00896710" w:rsidR="006346A7">
        <w:t xml:space="preserve">TO </w:t>
      </w:r>
      <w:r w:rsidRPr="00896710">
        <w:t>MUSSEY GRADE</w:t>
      </w:r>
    </w:p>
    <w:p w:rsidRPr="00896710" w:rsidR="001F3A13" w:rsidP="00896710" w:rsidRDefault="005A0575" w14:paraId="19C2800F" w14:textId="77777777">
      <w:pPr>
        <w:pStyle w:val="Style1forICOMPS"/>
      </w:pPr>
      <w:r w:rsidRPr="00896710">
        <w:t>ROAD ALLIANCE</w:t>
      </w:r>
      <w:r w:rsidRPr="00896710" w:rsidR="006346A7">
        <w:t xml:space="preserve"> FOR SUBSTANTIAL CONTRIBUTIONS</w:t>
      </w:r>
    </w:p>
    <w:p w:rsidRPr="00FD6827" w:rsidR="00A92D0B" w:rsidP="00FD6827" w:rsidRDefault="006346A7" w14:paraId="4BEAFF75" w14:textId="214B21C0">
      <w:pPr>
        <w:pStyle w:val="Style1forICOMPS"/>
        <w:spacing w:after="120"/>
      </w:pPr>
      <w:r w:rsidRPr="00896710">
        <w:t>TO DECISION</w:t>
      </w:r>
      <w:r w:rsidRPr="00896710" w:rsidR="001F3A13">
        <w:t>S</w:t>
      </w:r>
      <w:r w:rsidRPr="00896710">
        <w:t xml:space="preserve"> (D.) 23-11-007 AND D.</w:t>
      </w:r>
      <w:r w:rsidRPr="00896710" w:rsidR="006B385C">
        <w:t>25-09-030</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495"/>
        <w:gridCol w:w="4950"/>
      </w:tblGrid>
      <w:tr w:rsidRPr="007F620E" w:rsidR="00A92D0B" w:rsidTr="001F3A13" w14:paraId="0FE98F62" w14:textId="77777777">
        <w:tc>
          <w:tcPr>
            <w:tcW w:w="4495" w:type="dxa"/>
          </w:tcPr>
          <w:p w:rsidRPr="00691528" w:rsidR="00A92D0B" w:rsidP="00C47A2B" w:rsidRDefault="005A63D4" w14:paraId="11570D4A" w14:textId="7F59289C">
            <w:pPr>
              <w:tabs>
                <w:tab w:val="left" w:pos="1620"/>
                <w:tab w:val="right" w:pos="4500"/>
              </w:tabs>
              <w:rPr>
                <w:color w:val="000000"/>
              </w:rPr>
            </w:pPr>
            <w:r w:rsidRPr="007F620E">
              <w:rPr>
                <w:b/>
                <w:color w:val="000000"/>
              </w:rPr>
              <w:t>Intervenor</w:t>
            </w:r>
            <w:r w:rsidRPr="007F620E" w:rsidR="00F63C29">
              <w:rPr>
                <w:b/>
                <w:color w:val="000000"/>
              </w:rPr>
              <w:t>:</w:t>
            </w:r>
            <w:r w:rsidR="001F3A13">
              <w:rPr>
                <w:b/>
                <w:color w:val="000000"/>
              </w:rPr>
              <w:t>  </w:t>
            </w:r>
            <w:r w:rsidRPr="00831C70" w:rsidR="002B39ED">
              <w:rPr>
                <w:bCs/>
                <w:color w:val="000000"/>
              </w:rPr>
              <w:t>Mussey Grade Road Alliance</w:t>
            </w:r>
          </w:p>
        </w:tc>
        <w:tc>
          <w:tcPr>
            <w:tcW w:w="4950" w:type="dxa"/>
          </w:tcPr>
          <w:p w:rsidRPr="007F620E" w:rsidR="00A92D0B" w:rsidP="00C47A2B" w:rsidRDefault="00A92D0B" w14:paraId="53A584EE" w14:textId="38C48EB7">
            <w:pPr>
              <w:tabs>
                <w:tab w:val="left" w:pos="1872"/>
                <w:tab w:val="right" w:pos="3672"/>
              </w:tabs>
              <w:rPr>
                <w:b/>
                <w:color w:val="000000"/>
              </w:rPr>
            </w:pPr>
            <w:r w:rsidRPr="007F620E">
              <w:rPr>
                <w:b/>
                <w:color w:val="000000"/>
              </w:rPr>
              <w:t>For contribution to D</w:t>
            </w:r>
            <w:r w:rsidRPr="007F620E" w:rsidR="00DE3A5D">
              <w:rPr>
                <w:b/>
                <w:color w:val="000000"/>
              </w:rPr>
              <w:t xml:space="preserve">ecision (D.) </w:t>
            </w:r>
            <w:r w:rsidRPr="002B39ED" w:rsidR="002B39ED">
              <w:rPr>
                <w:b/>
                <w:color w:val="000000"/>
              </w:rPr>
              <w:t>25-09-030</w:t>
            </w:r>
            <w:r w:rsidR="00760970">
              <w:rPr>
                <w:b/>
                <w:color w:val="000000"/>
              </w:rPr>
              <w:t>,</w:t>
            </w:r>
            <w:r w:rsidR="001F3A13">
              <w:rPr>
                <w:b/>
                <w:color w:val="000000"/>
              </w:rPr>
              <w:t xml:space="preserve"> </w:t>
            </w:r>
            <w:r w:rsidR="00760970">
              <w:rPr>
                <w:b/>
                <w:color w:val="000000"/>
              </w:rPr>
              <w:t>D.23</w:t>
            </w:r>
            <w:r w:rsidR="001F3A13">
              <w:rPr>
                <w:b/>
                <w:color w:val="000000"/>
              </w:rPr>
              <w:noBreakHyphen/>
            </w:r>
            <w:r w:rsidR="00760970">
              <w:rPr>
                <w:b/>
                <w:color w:val="000000"/>
              </w:rPr>
              <w:t>11-007</w:t>
            </w:r>
          </w:p>
        </w:tc>
      </w:tr>
      <w:tr w:rsidRPr="007F620E" w:rsidR="00A92D0B" w:rsidTr="001F3A13" w14:paraId="47003B8E" w14:textId="77777777">
        <w:tc>
          <w:tcPr>
            <w:tcW w:w="4495" w:type="dxa"/>
          </w:tcPr>
          <w:p w:rsidRPr="007F620E" w:rsidR="00A92D0B" w:rsidP="00C47A2B" w:rsidRDefault="00A92D0B" w14:paraId="0E2E4BD1" w14:textId="1AFF0973">
            <w:pPr>
              <w:tabs>
                <w:tab w:val="left" w:pos="1620"/>
                <w:tab w:val="right" w:pos="4500"/>
              </w:tabs>
              <w:rPr>
                <w:b/>
                <w:color w:val="000000"/>
                <w:u w:val="single"/>
              </w:rPr>
            </w:pPr>
            <w:r w:rsidRPr="007F620E">
              <w:rPr>
                <w:b/>
                <w:color w:val="000000"/>
              </w:rPr>
              <w:t>Claimed:</w:t>
            </w:r>
            <w:r w:rsidR="001F3A13">
              <w:rPr>
                <w:b/>
                <w:color w:val="000000"/>
              </w:rPr>
              <w:t>  </w:t>
            </w:r>
            <w:r w:rsidRPr="00E60C89" w:rsidR="00FC72B7">
              <w:rPr>
                <w:bCs/>
                <w:color w:val="000000"/>
              </w:rPr>
              <w:t>$</w:t>
            </w:r>
            <w:r w:rsidRPr="00E60C89" w:rsidR="005D40D8">
              <w:rPr>
                <w:bCs/>
                <w:color w:val="000000"/>
              </w:rPr>
              <w:t>154,013</w:t>
            </w:r>
            <w:r w:rsidRPr="00AC6CCF" w:rsidR="0000618E">
              <w:rPr>
                <w:rStyle w:val="FootnoteReference"/>
                <w:bCs/>
                <w:color w:val="000000"/>
              </w:rPr>
              <w:footnoteReference w:id="1"/>
            </w:r>
          </w:p>
        </w:tc>
        <w:tc>
          <w:tcPr>
            <w:tcW w:w="4950" w:type="dxa"/>
            <w:tcBorders>
              <w:bottom w:val="single" w:color="auto" w:sz="4" w:space="0"/>
            </w:tcBorders>
          </w:tcPr>
          <w:p w:rsidRPr="007F620E" w:rsidR="00A92D0B" w:rsidP="001F3A13" w:rsidRDefault="00A92D0B" w14:paraId="211F40A8" w14:textId="621680DE">
            <w:pPr>
              <w:rPr>
                <w:b/>
                <w:u w:val="single"/>
              </w:rPr>
            </w:pPr>
            <w:r w:rsidRPr="007F620E">
              <w:rPr>
                <w:b/>
              </w:rPr>
              <w:t>Awarded:</w:t>
            </w:r>
            <w:r w:rsidR="001F3A13">
              <w:rPr>
                <w:b/>
              </w:rPr>
              <w:t>  </w:t>
            </w:r>
            <w:r w:rsidRPr="009D66FE" w:rsidR="00FC72B7">
              <w:t>$</w:t>
            </w:r>
            <w:r w:rsidRPr="0052776A" w:rsidR="0052776A">
              <w:t>147,592.92</w:t>
            </w:r>
          </w:p>
        </w:tc>
      </w:tr>
      <w:tr w:rsidRPr="007F620E" w:rsidR="00A92D0B" w:rsidTr="001F3A13" w14:paraId="5C56877D" w14:textId="77777777">
        <w:tc>
          <w:tcPr>
            <w:tcW w:w="4495" w:type="dxa"/>
          </w:tcPr>
          <w:p w:rsidRPr="00691528" w:rsidR="00A92D0B" w:rsidP="00C47A2B" w:rsidRDefault="00A92D0B" w14:paraId="6EF99E36" w14:textId="3CC6D3AD">
            <w:pPr>
              <w:tabs>
                <w:tab w:val="left" w:pos="3060"/>
                <w:tab w:val="right" w:pos="4500"/>
              </w:tabs>
              <w:rPr>
                <w:color w:val="000000"/>
                <w:u w:val="single"/>
              </w:rPr>
            </w:pPr>
            <w:r w:rsidRPr="007F620E">
              <w:rPr>
                <w:b/>
                <w:color w:val="000000"/>
              </w:rPr>
              <w:t>Assigned Commissioner:</w:t>
            </w:r>
            <w:r w:rsidR="001F3A13">
              <w:rPr>
                <w:b/>
                <w:color w:val="000000"/>
              </w:rPr>
              <w:t>  </w:t>
            </w:r>
            <w:r w:rsidRPr="00FA2519" w:rsidR="0045054E">
              <w:rPr>
                <w:bCs/>
                <w:color w:val="000000"/>
              </w:rPr>
              <w:t xml:space="preserve">Karen </w:t>
            </w:r>
            <w:r w:rsidRPr="00FA2519" w:rsidR="002B39ED">
              <w:rPr>
                <w:bCs/>
                <w:color w:val="000000"/>
              </w:rPr>
              <w:t>Dougla</w:t>
            </w:r>
            <w:r w:rsidR="001B20BD">
              <w:rPr>
                <w:bCs/>
                <w:color w:val="000000"/>
              </w:rPr>
              <w:t>s</w:t>
            </w:r>
            <w:r w:rsidR="001F6F09">
              <w:rPr>
                <w:rStyle w:val="FootnoteReference"/>
                <w:bCs/>
                <w:color w:val="000000"/>
              </w:rPr>
              <w:footnoteReference w:id="2"/>
            </w:r>
          </w:p>
        </w:tc>
        <w:tc>
          <w:tcPr>
            <w:tcW w:w="4950" w:type="dxa"/>
          </w:tcPr>
          <w:p w:rsidRPr="00691528" w:rsidR="00A92D0B" w:rsidP="00C47A2B" w:rsidRDefault="00A92D0B" w14:paraId="79375F78" w14:textId="02A60028">
            <w:pPr>
              <w:tabs>
                <w:tab w:val="left" w:pos="1872"/>
                <w:tab w:val="right" w:pos="3672"/>
              </w:tabs>
              <w:rPr>
                <w:color w:val="000000"/>
                <w:u w:val="single"/>
              </w:rPr>
            </w:pPr>
            <w:r w:rsidRPr="007F620E">
              <w:rPr>
                <w:b/>
                <w:color w:val="000000"/>
              </w:rPr>
              <w:t>Assigned ALJ</w:t>
            </w:r>
            <w:r w:rsidR="00EE7CCD">
              <w:rPr>
                <w:b/>
                <w:color w:val="000000"/>
              </w:rPr>
              <w:t>s</w:t>
            </w:r>
            <w:r w:rsidRPr="007F620E">
              <w:rPr>
                <w:b/>
                <w:color w:val="000000"/>
              </w:rPr>
              <w:t>:</w:t>
            </w:r>
            <w:r w:rsidR="001F3A13">
              <w:rPr>
                <w:b/>
                <w:color w:val="000000"/>
              </w:rPr>
              <w:t>  </w:t>
            </w:r>
            <w:r w:rsidRPr="008E7787" w:rsidR="008E7787">
              <w:rPr>
                <w:bCs/>
                <w:color w:val="000000"/>
              </w:rPr>
              <w:t xml:space="preserve">Colin </w:t>
            </w:r>
            <w:r w:rsidRPr="008E7787" w:rsidR="002B39ED">
              <w:rPr>
                <w:bCs/>
                <w:color w:val="000000"/>
              </w:rPr>
              <w:t xml:space="preserve">Rizzo, </w:t>
            </w:r>
            <w:r w:rsidRPr="008E7787" w:rsidR="0093299E">
              <w:rPr>
                <w:bCs/>
                <w:color w:val="000000"/>
              </w:rPr>
              <w:t xml:space="preserve">Ehren </w:t>
            </w:r>
            <w:r w:rsidRPr="008E7787" w:rsidR="002B39ED">
              <w:rPr>
                <w:bCs/>
                <w:color w:val="000000"/>
              </w:rPr>
              <w:t>Seybert</w:t>
            </w:r>
            <w:r w:rsidRPr="008E7787" w:rsidR="0045054E">
              <w:rPr>
                <w:bCs/>
                <w:color w:val="000000"/>
              </w:rPr>
              <w:t xml:space="preserve">, </w:t>
            </w:r>
            <w:r w:rsidR="00EE7CCD">
              <w:rPr>
                <w:bCs/>
                <w:color w:val="000000"/>
              </w:rPr>
              <w:t xml:space="preserve">and </w:t>
            </w:r>
            <w:r w:rsidRPr="008E7787" w:rsidR="0093299E">
              <w:rPr>
                <w:bCs/>
                <w:color w:val="000000"/>
              </w:rPr>
              <w:t>Rafael</w:t>
            </w:r>
            <w:r w:rsidR="008E7787">
              <w:rPr>
                <w:bCs/>
                <w:color w:val="000000"/>
              </w:rPr>
              <w:t> </w:t>
            </w:r>
            <w:r w:rsidRPr="008E7787" w:rsidR="0093299E">
              <w:rPr>
                <w:bCs/>
                <w:color w:val="000000"/>
              </w:rPr>
              <w:t>Lirag</w:t>
            </w:r>
            <w:r w:rsidRPr="008E7787" w:rsidR="0093299E">
              <w:rPr>
                <w:rStyle w:val="FootnoteReference"/>
                <w:bCs/>
                <w:color w:val="000000"/>
              </w:rPr>
              <w:footnoteReference w:id="3"/>
            </w:r>
          </w:p>
        </w:tc>
      </w:tr>
    </w:tbl>
    <w:p w:rsidRPr="00FD6827" w:rsidR="00A92D0B" w:rsidP="00FD6827" w:rsidRDefault="00A92D0B" w14:paraId="37AA25BD" w14:textId="114A2D9F">
      <w:pPr>
        <w:pStyle w:val="Style1forICOMPS"/>
        <w:spacing w:before="240" w:after="120"/>
      </w:pPr>
      <w:r w:rsidRPr="00FD6827">
        <w:t>PART I:</w:t>
      </w:r>
      <w:r w:rsidRPr="00FD6827" w:rsidR="00FD6827">
        <w:t>  </w:t>
      </w:r>
      <w:r w:rsidRPr="00FD6827">
        <w:t>PROCEDURAL ISSUES</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95"/>
        <w:gridCol w:w="4950"/>
      </w:tblGrid>
      <w:tr w:rsidRPr="007F620E" w:rsidR="00A92D0B" w:rsidTr="001F3A13" w14:paraId="3C5C25ED" w14:textId="77777777">
        <w:tc>
          <w:tcPr>
            <w:tcW w:w="4495" w:type="dxa"/>
            <w:vAlign w:val="center"/>
          </w:tcPr>
          <w:p w:rsidRPr="007F620E" w:rsidR="00A92D0B" w:rsidP="00FD6827" w:rsidRDefault="00A92D0B" w14:paraId="1576A0A6" w14:textId="19B2F63C">
            <w:pPr>
              <w:rPr>
                <w:b/>
                <w:color w:val="000000"/>
              </w:rPr>
            </w:pPr>
            <w:r w:rsidRPr="007F620E">
              <w:rPr>
                <w:b/>
                <w:color w:val="000000"/>
              </w:rPr>
              <w:t>A.</w:t>
            </w:r>
            <w:r w:rsidR="001F3A13">
              <w:rPr>
                <w:b/>
                <w:color w:val="000000"/>
              </w:rPr>
              <w:t>  </w:t>
            </w:r>
            <w:r w:rsidRPr="007F620E">
              <w:rPr>
                <w:b/>
                <w:color w:val="000000"/>
              </w:rPr>
              <w:t xml:space="preserve">Brief </w:t>
            </w:r>
            <w:r w:rsidRPr="007F620E" w:rsidR="00A319DE">
              <w:rPr>
                <w:b/>
                <w:color w:val="000000"/>
              </w:rPr>
              <w:t>d</w:t>
            </w:r>
            <w:r w:rsidRPr="007F620E">
              <w:rPr>
                <w:b/>
                <w:color w:val="000000"/>
              </w:rPr>
              <w:t>escription of Decision:</w:t>
            </w:r>
          </w:p>
        </w:tc>
        <w:tc>
          <w:tcPr>
            <w:tcW w:w="4950" w:type="dxa"/>
          </w:tcPr>
          <w:p w:rsidRPr="007F620E" w:rsidR="00C02649" w:rsidP="00760970" w:rsidRDefault="00760970" w14:paraId="67B8ECAA" w14:textId="2675FCA3">
            <w:pPr>
              <w:rPr>
                <w:color w:val="000000"/>
              </w:rPr>
            </w:pPr>
            <w:r w:rsidRPr="00760970">
              <w:rPr>
                <w:color w:val="000000"/>
              </w:rPr>
              <w:t>DECISION ON TEST YEAR 2025 GENERAL RATE CASE FOR SOUTHERN CALIFORNIA EDISON COMPANY</w:t>
            </w:r>
            <w:r w:rsidR="003E3062">
              <w:rPr>
                <w:color w:val="000000"/>
              </w:rPr>
              <w:t xml:space="preserve"> </w:t>
            </w:r>
            <w:r>
              <w:t>DECISION CLOSING RISK ASSESSMENT MITIGATION PHASE</w:t>
            </w:r>
          </w:p>
        </w:tc>
      </w:tr>
    </w:tbl>
    <w:p w:rsidR="003E3062" w:rsidRDefault="003E3062" w14:paraId="401410B1" w14:textId="2B2FBC8B">
      <w:pPr>
        <w:rPr>
          <w:b/>
          <w:color w:val="000000"/>
        </w:rPr>
      </w:pPr>
    </w:p>
    <w:p w:rsidR="00C53E28" w:rsidRDefault="00C53E28" w14:paraId="2E67ECD7" w14:textId="77777777">
      <w:pPr>
        <w:rPr>
          <w:b/>
          <w:color w:val="000000"/>
        </w:rPr>
      </w:pPr>
    </w:p>
    <w:p w:rsidR="00FD6827" w:rsidP="00FD6827" w:rsidRDefault="003A3185" w14:paraId="4448D393" w14:textId="77777777">
      <w:pPr>
        <w:pStyle w:val="Style1forICOMPS"/>
        <w:numPr>
          <w:ilvl w:val="0"/>
          <w:numId w:val="12"/>
        </w:numPr>
        <w:ind w:left="360"/>
        <w:jc w:val="left"/>
      </w:pPr>
      <w:r w:rsidRPr="003A3185">
        <w:lastRenderedPageBreak/>
        <w:t>Intervenor must satisfy intervenor compensation</w:t>
      </w:r>
    </w:p>
    <w:p w:rsidRPr="003A3185" w:rsidR="003A3185" w:rsidP="00FD6827" w:rsidRDefault="003A3185" w14:paraId="6FC6F258" w14:textId="10205AD2">
      <w:pPr>
        <w:pStyle w:val="Style1forICOMPS"/>
        <w:spacing w:after="120"/>
        <w:ind w:left="360"/>
        <w:jc w:val="left"/>
      </w:pPr>
      <w:r w:rsidRPr="003A3185">
        <w:t>requirements set forth in Pub. Util. Code §§ 1801-1812</w:t>
      </w:r>
      <w:r w:rsidRPr="003A3185">
        <w:rPr>
          <w:vertAlign w:val="superscript"/>
        </w:rPr>
        <w:footnoteReference w:id="4"/>
      </w:r>
      <w:r w:rsidRPr="003A3185">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045"/>
        <w:gridCol w:w="2430"/>
        <w:gridCol w:w="2885"/>
      </w:tblGrid>
      <w:tr w:rsidRPr="007F620E" w:rsidR="00A92D0B" w:rsidTr="00D75175" w14:paraId="640CF70A" w14:textId="77777777">
        <w:trPr>
          <w:cantSplit/>
          <w:tblHeader/>
        </w:trPr>
        <w:tc>
          <w:tcPr>
            <w:tcW w:w="4045"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430" w:type="dxa"/>
            <w:tcBorders>
              <w:bottom w:val="single" w:color="auto" w:sz="4" w:space="0"/>
            </w:tcBorders>
          </w:tcPr>
          <w:p w:rsidRPr="007F620E" w:rsidR="00A92D0B" w:rsidP="00F028C8" w:rsidRDefault="005778E3" w14:paraId="1412A3C6" w14:textId="5D0BF425">
            <w:pPr>
              <w:tabs>
                <w:tab w:val="left" w:pos="360"/>
              </w:tabs>
              <w:jc w:val="center"/>
              <w:rPr>
                <w:b/>
                <w:color w:val="000000"/>
              </w:rPr>
            </w:pPr>
            <w:r w:rsidRPr="007F620E">
              <w:rPr>
                <w:b/>
                <w:color w:val="000000"/>
              </w:rPr>
              <w:t>INTERVENOR</w:t>
            </w:r>
          </w:p>
        </w:tc>
        <w:tc>
          <w:tcPr>
            <w:tcW w:w="2885" w:type="dxa"/>
            <w:tcBorders>
              <w:bottom w:val="single" w:color="auto" w:sz="4" w:space="0"/>
            </w:tcBorders>
          </w:tcPr>
          <w:p w:rsidRPr="007F620E" w:rsidR="00A92D0B" w:rsidP="00F028C8" w:rsidRDefault="005778E3" w14:paraId="2A218C38" w14:textId="182214FF">
            <w:pPr>
              <w:tabs>
                <w:tab w:val="left" w:pos="360"/>
              </w:tabs>
              <w:jc w:val="center"/>
              <w:rPr>
                <w:b/>
                <w:color w:val="000000"/>
              </w:rPr>
            </w:pPr>
            <w:r w:rsidRPr="007F620E">
              <w:rPr>
                <w:b/>
                <w:color w:val="000000"/>
              </w:rPr>
              <w:t xml:space="preserve">CPUC </w:t>
            </w:r>
            <w:r>
              <w:rPr>
                <w:b/>
                <w:color w:val="000000"/>
              </w:rPr>
              <w:t>VERIFICATION</w:t>
            </w:r>
          </w:p>
        </w:tc>
      </w:tr>
      <w:tr w:rsidRPr="007F620E" w:rsidR="00A92D0B" w:rsidTr="00D64742" w14:paraId="7D83D00D" w14:textId="77777777">
        <w:trPr>
          <w:cantSplit/>
        </w:trPr>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131D381E">
            <w:pPr>
              <w:keepNext/>
              <w:tabs>
                <w:tab w:val="left" w:pos="360"/>
              </w:tabs>
              <w:jc w:val="center"/>
              <w:rPr>
                <w:b/>
              </w:rPr>
            </w:pPr>
            <w:r w:rsidRPr="007F620E">
              <w:rPr>
                <w:b/>
              </w:rPr>
              <w:t>Timely filing of notice of intent to claim compensation (NOI) (§1804(a)):</w:t>
            </w:r>
          </w:p>
        </w:tc>
      </w:tr>
      <w:tr w:rsidRPr="007F620E" w:rsidR="00A92D0B" w:rsidTr="00D75175" w14:paraId="160E284A" w14:textId="77777777">
        <w:trPr>
          <w:cantSplit/>
        </w:trPr>
        <w:tc>
          <w:tcPr>
            <w:tcW w:w="4045"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430" w:type="dxa"/>
            <w:tcBorders>
              <w:top w:val="single" w:color="auto" w:sz="4" w:space="0"/>
            </w:tcBorders>
            <w:vAlign w:val="center"/>
          </w:tcPr>
          <w:p w:rsidR="00A92D0B" w:rsidP="005778E3" w:rsidRDefault="00760970" w14:paraId="0D075ED4" w14:textId="66DB19A1">
            <w:pPr>
              <w:keepNext/>
              <w:keepLines/>
              <w:tabs>
                <w:tab w:val="left" w:pos="360"/>
              </w:tabs>
              <w:ind w:left="360" w:hanging="360"/>
              <w:jc w:val="center"/>
              <w:rPr>
                <w:color w:val="000000"/>
              </w:rPr>
            </w:pPr>
            <w:r>
              <w:rPr>
                <w:color w:val="000000"/>
              </w:rPr>
              <w:t>8/15/22 A.22-05-013</w:t>
            </w:r>
          </w:p>
          <w:p w:rsidRPr="007F620E" w:rsidR="00760970" w:rsidP="005778E3" w:rsidRDefault="00760970" w14:paraId="35450816" w14:textId="5208964C">
            <w:pPr>
              <w:keepNext/>
              <w:keepLines/>
              <w:tabs>
                <w:tab w:val="left" w:pos="360"/>
              </w:tabs>
              <w:ind w:left="360" w:hanging="360"/>
              <w:jc w:val="center"/>
              <w:rPr>
                <w:color w:val="000000"/>
              </w:rPr>
            </w:pPr>
            <w:r>
              <w:rPr>
                <w:color w:val="000000"/>
              </w:rPr>
              <w:t>7/12/23 A.23-05-010</w:t>
            </w:r>
          </w:p>
        </w:tc>
        <w:tc>
          <w:tcPr>
            <w:tcW w:w="2885" w:type="dxa"/>
            <w:tcBorders>
              <w:top w:val="single" w:color="auto" w:sz="4" w:space="0"/>
            </w:tcBorders>
            <w:vAlign w:val="center"/>
          </w:tcPr>
          <w:p w:rsidR="00A92D0B" w:rsidP="005778E3" w:rsidRDefault="00CA420C" w14:paraId="40A42AD9" w14:textId="77777777">
            <w:pPr>
              <w:keepNext/>
              <w:tabs>
                <w:tab w:val="left" w:pos="360"/>
              </w:tabs>
              <w:jc w:val="center"/>
              <w:rPr>
                <w:color w:val="000000"/>
              </w:rPr>
            </w:pPr>
            <w:r>
              <w:rPr>
                <w:color w:val="000000"/>
              </w:rPr>
              <w:t>Verified: A.22-05-013</w:t>
            </w:r>
          </w:p>
          <w:p w:rsidRPr="004764FD" w:rsidR="004764FD" w:rsidP="005778E3" w:rsidRDefault="004764FD" w14:paraId="34540344" w14:textId="1522D45E">
            <w:pPr>
              <w:jc w:val="center"/>
            </w:pPr>
            <w:r>
              <w:t>Verified: A.23-05-010</w:t>
            </w:r>
          </w:p>
        </w:tc>
      </w:tr>
      <w:tr w:rsidRPr="007F620E" w:rsidR="00D75175" w:rsidTr="002C4E41" w14:paraId="24C85564" w14:textId="77777777">
        <w:trPr>
          <w:cantSplit/>
        </w:trPr>
        <w:tc>
          <w:tcPr>
            <w:tcW w:w="9360" w:type="dxa"/>
            <w:gridSpan w:val="3"/>
          </w:tcPr>
          <w:p w:rsidRPr="007F620E" w:rsidR="00D75175" w:rsidP="00D75175" w:rsidRDefault="00D75175" w14:paraId="210DAD91" w14:textId="4CA2B5FD">
            <w:pPr>
              <w:tabs>
                <w:tab w:val="left" w:pos="360"/>
              </w:tabs>
              <w:rPr>
                <w:color w:val="000000"/>
              </w:rPr>
            </w:pPr>
            <w:r w:rsidRPr="007F620E">
              <w:rPr>
                <w:color w:val="000000"/>
              </w:rPr>
              <w:t>2.</w:t>
            </w:r>
            <w:r>
              <w:rPr>
                <w:color w:val="000000"/>
              </w:rPr>
              <w:tab/>
            </w:r>
            <w:r w:rsidRPr="007F620E">
              <w:rPr>
                <w:color w:val="000000"/>
              </w:rPr>
              <w:t>Other specified date for NOI:</w:t>
            </w:r>
          </w:p>
        </w:tc>
      </w:tr>
      <w:tr w:rsidRPr="007F620E" w:rsidR="00A92D0B" w:rsidTr="00D75175" w14:paraId="4836EEA6" w14:textId="77777777">
        <w:trPr>
          <w:cantSplit/>
        </w:trPr>
        <w:tc>
          <w:tcPr>
            <w:tcW w:w="4045"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430" w:type="dxa"/>
            <w:tcBorders>
              <w:bottom w:val="single" w:color="auto" w:sz="4" w:space="0"/>
            </w:tcBorders>
            <w:vAlign w:val="center"/>
          </w:tcPr>
          <w:p w:rsidR="00760970" w:rsidP="005778E3" w:rsidRDefault="00760970" w14:paraId="4F9189D3" w14:textId="21CDF279">
            <w:pPr>
              <w:keepNext/>
              <w:keepLines/>
              <w:tabs>
                <w:tab w:val="left" w:pos="360"/>
              </w:tabs>
              <w:ind w:left="360" w:hanging="360"/>
              <w:jc w:val="center"/>
              <w:rPr>
                <w:color w:val="000000"/>
              </w:rPr>
            </w:pPr>
            <w:r>
              <w:rPr>
                <w:color w:val="000000"/>
              </w:rPr>
              <w:t>9/7/22 A.22-05-013</w:t>
            </w:r>
          </w:p>
          <w:p w:rsidRPr="007F620E" w:rsidR="00A92D0B" w:rsidP="005778E3" w:rsidRDefault="00760970" w14:paraId="44F7CCB9" w14:textId="7D29EC7C">
            <w:pPr>
              <w:keepNext/>
              <w:keepLines/>
              <w:tabs>
                <w:tab w:val="left" w:pos="360"/>
              </w:tabs>
              <w:ind w:left="360" w:hanging="360"/>
              <w:jc w:val="center"/>
              <w:rPr>
                <w:color w:val="000000"/>
              </w:rPr>
            </w:pPr>
            <w:r>
              <w:rPr>
                <w:color w:val="000000"/>
              </w:rPr>
              <w:t>8/5/23 A.23-05-010</w:t>
            </w:r>
          </w:p>
        </w:tc>
        <w:tc>
          <w:tcPr>
            <w:tcW w:w="2885" w:type="dxa"/>
            <w:tcBorders>
              <w:bottom w:val="single" w:color="auto" w:sz="4" w:space="0"/>
            </w:tcBorders>
            <w:vAlign w:val="center"/>
          </w:tcPr>
          <w:p w:rsidR="00A92D0B" w:rsidP="005778E3" w:rsidRDefault="0008570C" w14:paraId="46727FAC" w14:textId="7E5C0757">
            <w:pPr>
              <w:tabs>
                <w:tab w:val="left" w:pos="360"/>
              </w:tabs>
              <w:jc w:val="center"/>
              <w:rPr>
                <w:color w:val="000000"/>
              </w:rPr>
            </w:pPr>
            <w:r>
              <w:rPr>
                <w:color w:val="000000"/>
              </w:rPr>
              <w:t>Verified</w:t>
            </w:r>
            <w:r w:rsidR="00CA420C">
              <w:rPr>
                <w:color w:val="000000"/>
              </w:rPr>
              <w:t>: A.22-05-013</w:t>
            </w:r>
          </w:p>
          <w:p w:rsidRPr="007F620E" w:rsidR="001133CF" w:rsidP="005778E3" w:rsidRDefault="001133CF" w14:paraId="71759DE3" w14:textId="60E8BE33">
            <w:pPr>
              <w:tabs>
                <w:tab w:val="left" w:pos="360"/>
              </w:tabs>
              <w:jc w:val="center"/>
              <w:rPr>
                <w:color w:val="000000"/>
              </w:rPr>
            </w:pPr>
            <w:r>
              <w:rPr>
                <w:color w:val="000000"/>
              </w:rPr>
              <w:t>8/8/23: A.23-05-010</w:t>
            </w:r>
          </w:p>
        </w:tc>
      </w:tr>
      <w:tr w:rsidRPr="007F620E" w:rsidR="00A92D0B" w:rsidTr="00D75175" w14:paraId="22BBCDE3" w14:textId="77777777">
        <w:trPr>
          <w:cantSplit/>
        </w:trPr>
        <w:tc>
          <w:tcPr>
            <w:tcW w:w="6475"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885" w:type="dxa"/>
            <w:tcBorders>
              <w:bottom w:val="single" w:color="auto" w:sz="4" w:space="0"/>
            </w:tcBorders>
          </w:tcPr>
          <w:p w:rsidRPr="007F620E" w:rsidR="00A92D0B" w:rsidP="005778E3" w:rsidRDefault="00C4291A" w14:paraId="61DE2845" w14:textId="11479AB4">
            <w:pPr>
              <w:tabs>
                <w:tab w:val="left" w:pos="360"/>
              </w:tabs>
              <w:jc w:val="center"/>
              <w:rPr>
                <w:color w:val="000000"/>
              </w:rPr>
            </w:pPr>
            <w:r>
              <w:rPr>
                <w:color w:val="000000"/>
              </w:rPr>
              <w:t>Yes</w:t>
            </w:r>
          </w:p>
        </w:tc>
      </w:tr>
      <w:tr w:rsidRPr="007F620E" w:rsidR="00A92D0B" w:rsidTr="00D64742" w14:paraId="4CD7D46A" w14:textId="77777777">
        <w:trPr>
          <w:cantSplit/>
        </w:trPr>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6E8C34B4">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D75175" w14:paraId="259EC227" w14:textId="77777777">
        <w:trPr>
          <w:cantSplit/>
        </w:trPr>
        <w:tc>
          <w:tcPr>
            <w:tcW w:w="4045" w:type="dxa"/>
            <w:tcBorders>
              <w:top w:val="single" w:color="auto" w:sz="4" w:space="0"/>
            </w:tcBorders>
          </w:tcPr>
          <w:p w:rsidRPr="007F620E" w:rsidR="00A92D0B" w:rsidP="00F028C8" w:rsidRDefault="00A92D0B" w14:paraId="0EFCD0E9" w14:textId="5939B890">
            <w:pPr>
              <w:keepNext/>
              <w:keepLines/>
              <w:ind w:left="360" w:hanging="360"/>
              <w:rPr>
                <w:color w:val="000000"/>
              </w:rPr>
            </w:pPr>
            <w:r w:rsidRPr="007F620E">
              <w:rPr>
                <w:color w:val="000000"/>
              </w:rPr>
              <w:t>5.</w:t>
            </w:r>
            <w:r w:rsidR="001E7EE2">
              <w:rPr>
                <w:color w:val="000000"/>
              </w:rPr>
              <w:tab/>
            </w:r>
            <w:r w:rsidRPr="007F620E">
              <w:rPr>
                <w:color w:val="000000"/>
              </w:rPr>
              <w:t>Based on ALJ ruling issued in proceeding number:</w:t>
            </w:r>
          </w:p>
        </w:tc>
        <w:tc>
          <w:tcPr>
            <w:tcW w:w="2430" w:type="dxa"/>
            <w:tcBorders>
              <w:top w:val="single" w:color="auto" w:sz="4" w:space="0"/>
            </w:tcBorders>
            <w:vAlign w:val="center"/>
          </w:tcPr>
          <w:p w:rsidRPr="00760970" w:rsidR="00A92D0B" w:rsidP="005778E3" w:rsidRDefault="00760970" w14:paraId="13E72B6D" w14:textId="09D4896D">
            <w:pPr>
              <w:pStyle w:val="Default"/>
              <w:jc w:val="center"/>
              <w:rPr>
                <w:sz w:val="23"/>
                <w:szCs w:val="23"/>
              </w:rPr>
            </w:pPr>
            <w:r>
              <w:rPr>
                <w:sz w:val="23"/>
                <w:szCs w:val="23"/>
              </w:rPr>
              <w:t>D.25-04-013 at 2-3 in A.24-01-023</w:t>
            </w:r>
          </w:p>
        </w:tc>
        <w:tc>
          <w:tcPr>
            <w:tcW w:w="2885" w:type="dxa"/>
            <w:tcBorders>
              <w:top w:val="single" w:color="auto" w:sz="4" w:space="0"/>
            </w:tcBorders>
            <w:vAlign w:val="center"/>
          </w:tcPr>
          <w:p w:rsidRPr="007F620E" w:rsidR="00A92D0B" w:rsidP="005778E3" w:rsidRDefault="007917AC" w14:paraId="2679B197" w14:textId="4DB31FB2">
            <w:pPr>
              <w:keepNext/>
              <w:keepLines/>
              <w:tabs>
                <w:tab w:val="left" w:pos="360"/>
              </w:tabs>
              <w:jc w:val="center"/>
              <w:rPr>
                <w:color w:val="000000"/>
              </w:rPr>
            </w:pPr>
            <w:r>
              <w:rPr>
                <w:color w:val="000000"/>
              </w:rPr>
              <w:t>A.</w:t>
            </w:r>
            <w:r w:rsidR="00E70519">
              <w:rPr>
                <w:color w:val="000000"/>
              </w:rPr>
              <w:t>22-05-015 et al</w:t>
            </w:r>
          </w:p>
        </w:tc>
      </w:tr>
      <w:tr w:rsidRPr="007F620E" w:rsidR="00A92D0B" w:rsidTr="00D75175" w14:paraId="4E0FB3B6" w14:textId="77777777">
        <w:trPr>
          <w:cantSplit/>
        </w:trPr>
        <w:tc>
          <w:tcPr>
            <w:tcW w:w="4045"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430" w:type="dxa"/>
            <w:vAlign w:val="center"/>
          </w:tcPr>
          <w:p w:rsidRPr="007F620E" w:rsidR="00A92D0B" w:rsidP="005778E3" w:rsidRDefault="0042356E" w14:paraId="306125B9" w14:textId="2DE1726C">
            <w:pPr>
              <w:tabs>
                <w:tab w:val="left" w:pos="360"/>
              </w:tabs>
              <w:ind w:left="360" w:hanging="360"/>
              <w:jc w:val="center"/>
              <w:rPr>
                <w:color w:val="000000"/>
              </w:rPr>
            </w:pPr>
            <w:r>
              <w:rPr>
                <w:color w:val="000000"/>
              </w:rPr>
              <w:t xml:space="preserve">Issuance: </w:t>
            </w:r>
            <w:r w:rsidR="00760970">
              <w:rPr>
                <w:color w:val="000000"/>
              </w:rPr>
              <w:t>4/</w:t>
            </w:r>
            <w:r>
              <w:rPr>
                <w:color w:val="000000"/>
              </w:rPr>
              <w:t>10</w:t>
            </w:r>
            <w:r w:rsidR="00760970">
              <w:rPr>
                <w:color w:val="000000"/>
              </w:rPr>
              <w:t>/25</w:t>
            </w:r>
          </w:p>
        </w:tc>
        <w:tc>
          <w:tcPr>
            <w:tcW w:w="2885" w:type="dxa"/>
            <w:vAlign w:val="center"/>
          </w:tcPr>
          <w:p w:rsidRPr="007F620E" w:rsidR="00A92D0B" w:rsidP="005778E3" w:rsidRDefault="00E737F4" w14:paraId="19F10313" w14:textId="1A6919CA">
            <w:pPr>
              <w:tabs>
                <w:tab w:val="left" w:pos="360"/>
              </w:tabs>
              <w:jc w:val="center"/>
              <w:rPr>
                <w:color w:val="000000"/>
              </w:rPr>
            </w:pPr>
            <w:r>
              <w:rPr>
                <w:color w:val="000000"/>
              </w:rPr>
              <w:t>1/</w:t>
            </w:r>
            <w:r w:rsidR="00AC6CCF">
              <w:rPr>
                <w:color w:val="000000"/>
              </w:rPr>
              <w:t>25/23</w:t>
            </w:r>
          </w:p>
        </w:tc>
      </w:tr>
      <w:tr w:rsidRPr="007F620E" w:rsidR="00D75175" w:rsidTr="009F68CA" w14:paraId="7F6C1E54" w14:textId="77777777">
        <w:trPr>
          <w:cantSplit/>
        </w:trPr>
        <w:tc>
          <w:tcPr>
            <w:tcW w:w="9360" w:type="dxa"/>
            <w:gridSpan w:val="3"/>
          </w:tcPr>
          <w:p w:rsidRPr="007F620E" w:rsidR="00D75175" w:rsidP="00F028C8" w:rsidRDefault="00D75175" w14:paraId="180E80B3" w14:textId="665E313E">
            <w:pPr>
              <w:tabs>
                <w:tab w:val="left" w:pos="360"/>
              </w:tabs>
              <w:rPr>
                <w:color w:val="000000"/>
              </w:rPr>
            </w:pPr>
            <w:r w:rsidRPr="007F620E">
              <w:rPr>
                <w:color w:val="000000"/>
              </w:rPr>
              <w:t>7.</w:t>
            </w:r>
            <w:r>
              <w:rPr>
                <w:color w:val="000000"/>
              </w:rPr>
              <w:tab/>
            </w:r>
            <w:r w:rsidRPr="007F620E">
              <w:rPr>
                <w:color w:val="000000"/>
              </w:rPr>
              <w:t>Based on another CPUC determination (specify):</w:t>
            </w:r>
          </w:p>
        </w:tc>
      </w:tr>
      <w:tr w:rsidRPr="007F620E" w:rsidR="00A92D0B" w:rsidTr="00D75175" w14:paraId="397CC4AD" w14:textId="77777777">
        <w:trPr>
          <w:cantSplit/>
        </w:trPr>
        <w:tc>
          <w:tcPr>
            <w:tcW w:w="6475"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885" w:type="dxa"/>
            <w:tcBorders>
              <w:bottom w:val="single" w:color="auto" w:sz="4" w:space="0"/>
            </w:tcBorders>
          </w:tcPr>
          <w:p w:rsidRPr="007F620E" w:rsidR="00A92D0B" w:rsidP="005778E3" w:rsidRDefault="00C4291A" w14:paraId="7D296E63" w14:textId="20D2681D">
            <w:pPr>
              <w:tabs>
                <w:tab w:val="left" w:pos="360"/>
              </w:tabs>
              <w:jc w:val="center"/>
              <w:rPr>
                <w:color w:val="000000"/>
              </w:rPr>
            </w:pPr>
            <w:r>
              <w:rPr>
                <w:color w:val="000000"/>
              </w:rPr>
              <w:t>Yes</w:t>
            </w:r>
          </w:p>
        </w:tc>
      </w:tr>
      <w:tr w:rsidRPr="007F620E" w:rsidR="00A92D0B" w:rsidTr="00D64742" w14:paraId="33231C71" w14:textId="77777777">
        <w:trPr>
          <w:cantSplit/>
        </w:trPr>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760970" w:rsidTr="00D75175" w14:paraId="77F91856" w14:textId="77777777">
        <w:trPr>
          <w:cantSplit/>
        </w:trPr>
        <w:tc>
          <w:tcPr>
            <w:tcW w:w="4045" w:type="dxa"/>
            <w:tcBorders>
              <w:top w:val="single" w:color="auto" w:sz="4" w:space="0"/>
            </w:tcBorders>
          </w:tcPr>
          <w:p w:rsidRPr="007F620E" w:rsidR="00760970" w:rsidP="00760970" w:rsidRDefault="00760970" w14:paraId="6506E60E" w14:textId="7F0FF6A0">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430" w:type="dxa"/>
            <w:tcBorders>
              <w:top w:val="single" w:color="auto" w:sz="4" w:space="0"/>
            </w:tcBorders>
            <w:vAlign w:val="center"/>
          </w:tcPr>
          <w:p w:rsidRPr="007F620E" w:rsidR="00760970" w:rsidP="005778E3" w:rsidRDefault="00760970" w14:paraId="54B4911C" w14:textId="3036938A">
            <w:pPr>
              <w:tabs>
                <w:tab w:val="left" w:pos="360"/>
              </w:tabs>
              <w:jc w:val="center"/>
              <w:rPr>
                <w:color w:val="000000"/>
              </w:rPr>
            </w:pPr>
            <w:r>
              <w:rPr>
                <w:sz w:val="23"/>
                <w:szCs w:val="23"/>
              </w:rPr>
              <w:t>D.25-04-013 at 2-3 in A.24-01-023</w:t>
            </w:r>
          </w:p>
        </w:tc>
        <w:tc>
          <w:tcPr>
            <w:tcW w:w="2885" w:type="dxa"/>
            <w:tcBorders>
              <w:top w:val="single" w:color="auto" w:sz="4" w:space="0"/>
            </w:tcBorders>
            <w:vAlign w:val="center"/>
          </w:tcPr>
          <w:p w:rsidRPr="007F620E" w:rsidR="00760970" w:rsidP="005778E3" w:rsidRDefault="007917AC" w14:paraId="2E2FB9D6" w14:textId="748A93B5">
            <w:pPr>
              <w:tabs>
                <w:tab w:val="left" w:pos="360"/>
              </w:tabs>
              <w:jc w:val="center"/>
              <w:rPr>
                <w:color w:val="000000"/>
              </w:rPr>
            </w:pPr>
            <w:r>
              <w:rPr>
                <w:color w:val="000000"/>
              </w:rPr>
              <w:t>A.</w:t>
            </w:r>
            <w:r w:rsidR="00CF4A3B">
              <w:rPr>
                <w:color w:val="000000"/>
              </w:rPr>
              <w:t>22-05-015</w:t>
            </w:r>
            <w:r w:rsidR="0027301B">
              <w:rPr>
                <w:color w:val="000000"/>
              </w:rPr>
              <w:t xml:space="preserve">, </w:t>
            </w:r>
            <w:r w:rsidR="0027301B">
              <w:rPr>
                <w:i/>
                <w:iCs/>
                <w:color w:val="000000"/>
              </w:rPr>
              <w:t xml:space="preserve">see </w:t>
            </w:r>
            <w:r w:rsidR="0027301B">
              <w:rPr>
                <w:color w:val="000000"/>
              </w:rPr>
              <w:t>Part I.C.</w:t>
            </w:r>
            <w:r w:rsidR="001B1F2D">
              <w:rPr>
                <w:color w:val="000000"/>
              </w:rPr>
              <w:t>2</w:t>
            </w:r>
          </w:p>
        </w:tc>
      </w:tr>
      <w:tr w:rsidRPr="007F620E" w:rsidR="00760970" w:rsidTr="00D75175" w14:paraId="4AD750C1" w14:textId="77777777">
        <w:trPr>
          <w:cantSplit/>
        </w:trPr>
        <w:tc>
          <w:tcPr>
            <w:tcW w:w="4045" w:type="dxa"/>
          </w:tcPr>
          <w:p w:rsidRPr="007F620E" w:rsidR="00760970" w:rsidP="00760970" w:rsidRDefault="00760970" w14:paraId="2A279407" w14:textId="1E831EEE">
            <w:pPr>
              <w:ind w:left="360" w:hanging="360"/>
              <w:rPr>
                <w:color w:val="000000"/>
              </w:rPr>
            </w:pPr>
            <w:r w:rsidRPr="007F620E">
              <w:rPr>
                <w:color w:val="000000"/>
              </w:rPr>
              <w:t>10.</w:t>
            </w:r>
            <w:r>
              <w:rPr>
                <w:color w:val="000000"/>
              </w:rPr>
              <w:tab/>
            </w:r>
            <w:r w:rsidRPr="007F620E">
              <w:rPr>
                <w:color w:val="000000"/>
              </w:rPr>
              <w:t>Date of ALJ ruling:</w:t>
            </w:r>
          </w:p>
        </w:tc>
        <w:tc>
          <w:tcPr>
            <w:tcW w:w="2430" w:type="dxa"/>
            <w:vAlign w:val="center"/>
          </w:tcPr>
          <w:p w:rsidRPr="007F620E" w:rsidR="00760970" w:rsidP="005778E3" w:rsidRDefault="0042356E" w14:paraId="4B66A2E4" w14:textId="690E2717">
            <w:pPr>
              <w:tabs>
                <w:tab w:val="left" w:pos="360"/>
              </w:tabs>
              <w:ind w:left="360" w:hanging="360"/>
              <w:jc w:val="center"/>
              <w:rPr>
                <w:color w:val="000000"/>
              </w:rPr>
            </w:pPr>
            <w:r>
              <w:rPr>
                <w:color w:val="000000"/>
              </w:rPr>
              <w:t xml:space="preserve">Issuance: </w:t>
            </w:r>
            <w:r w:rsidR="00760970">
              <w:rPr>
                <w:color w:val="000000"/>
              </w:rPr>
              <w:t>4/</w:t>
            </w:r>
            <w:r>
              <w:rPr>
                <w:color w:val="000000"/>
              </w:rPr>
              <w:t>10</w:t>
            </w:r>
            <w:r w:rsidR="00760970">
              <w:rPr>
                <w:color w:val="000000"/>
              </w:rPr>
              <w:t>/25</w:t>
            </w:r>
          </w:p>
        </w:tc>
        <w:tc>
          <w:tcPr>
            <w:tcW w:w="2885" w:type="dxa"/>
            <w:vAlign w:val="center"/>
          </w:tcPr>
          <w:p w:rsidRPr="008360EC" w:rsidR="00760970" w:rsidP="005778E3" w:rsidRDefault="00CF4A3B" w14:paraId="3B83D035" w14:textId="2530BECE">
            <w:pPr>
              <w:tabs>
                <w:tab w:val="left" w:pos="360"/>
              </w:tabs>
              <w:jc w:val="center"/>
              <w:rPr>
                <w:color w:val="000000"/>
              </w:rPr>
            </w:pPr>
            <w:r w:rsidRPr="008360EC">
              <w:rPr>
                <w:color w:val="000000"/>
              </w:rPr>
              <w:t>3/</w:t>
            </w:r>
            <w:r w:rsidRPr="00181058" w:rsidR="008360EC">
              <w:rPr>
                <w:color w:val="000000"/>
              </w:rPr>
              <w:t>19</w:t>
            </w:r>
            <w:r w:rsidRPr="008360EC">
              <w:rPr>
                <w:color w:val="000000"/>
              </w:rPr>
              <w:t>/26</w:t>
            </w:r>
            <w:r w:rsidRPr="008360EC" w:rsidR="00570263">
              <w:rPr>
                <w:color w:val="000000"/>
              </w:rPr>
              <w:t xml:space="preserve">, </w:t>
            </w:r>
            <w:r w:rsidRPr="008360EC" w:rsidR="00570263">
              <w:rPr>
                <w:i/>
                <w:iCs/>
                <w:color w:val="000000"/>
              </w:rPr>
              <w:t xml:space="preserve">see </w:t>
            </w:r>
            <w:r w:rsidRPr="008360EC" w:rsidR="00570263">
              <w:rPr>
                <w:color w:val="000000"/>
              </w:rPr>
              <w:t>Part I.C.</w:t>
            </w:r>
            <w:r w:rsidRPr="008360EC" w:rsidR="001B1F2D">
              <w:rPr>
                <w:color w:val="000000"/>
              </w:rPr>
              <w:t>2</w:t>
            </w:r>
          </w:p>
        </w:tc>
      </w:tr>
      <w:tr w:rsidRPr="007F620E" w:rsidR="00D75175" w:rsidTr="00D75175" w14:paraId="7C183C5E" w14:textId="77777777">
        <w:trPr>
          <w:cantSplit/>
        </w:trPr>
        <w:tc>
          <w:tcPr>
            <w:tcW w:w="6475" w:type="dxa"/>
            <w:gridSpan w:val="2"/>
          </w:tcPr>
          <w:p w:rsidRPr="007F620E" w:rsidR="00D75175" w:rsidP="00760970" w:rsidRDefault="00D75175" w14:paraId="141EB5CF" w14:textId="1B726162">
            <w:pPr>
              <w:tabs>
                <w:tab w:val="left" w:pos="360"/>
              </w:tabs>
              <w:ind w:left="360" w:hanging="360"/>
              <w:rPr>
                <w:color w:val="000000"/>
              </w:rPr>
            </w:pPr>
            <w:r w:rsidRPr="007F620E">
              <w:rPr>
                <w:color w:val="000000"/>
              </w:rPr>
              <w:t>11.</w:t>
            </w:r>
            <w:r>
              <w:rPr>
                <w:color w:val="000000"/>
              </w:rPr>
              <w:tab/>
            </w:r>
            <w:r w:rsidRPr="007F620E">
              <w:rPr>
                <w:color w:val="000000"/>
              </w:rPr>
              <w:t>Based on another CPUC determination (specify):</w:t>
            </w:r>
          </w:p>
        </w:tc>
        <w:tc>
          <w:tcPr>
            <w:tcW w:w="2885" w:type="dxa"/>
            <w:vAlign w:val="center"/>
          </w:tcPr>
          <w:p w:rsidRPr="008360EC" w:rsidR="00D75175" w:rsidP="005778E3" w:rsidRDefault="00D75175" w14:paraId="79318715" w14:textId="02817552">
            <w:pPr>
              <w:tabs>
                <w:tab w:val="left" w:pos="360"/>
              </w:tabs>
              <w:jc w:val="center"/>
              <w:rPr>
                <w:color w:val="000000"/>
              </w:rPr>
            </w:pPr>
            <w:r w:rsidRPr="008360EC">
              <w:rPr>
                <w:color w:val="000000"/>
              </w:rPr>
              <w:t>D.26-03-041</w:t>
            </w:r>
            <w:r w:rsidRPr="008360EC">
              <w:rPr>
                <w:i/>
                <w:iCs/>
                <w:color w:val="000000"/>
              </w:rPr>
              <w:t xml:space="preserve"> see </w:t>
            </w:r>
            <w:r w:rsidRPr="008360EC">
              <w:rPr>
                <w:color w:val="000000"/>
              </w:rPr>
              <w:t>Part I.C.2</w:t>
            </w:r>
          </w:p>
        </w:tc>
      </w:tr>
      <w:tr w:rsidRPr="007F620E" w:rsidR="00760970" w:rsidTr="00D75175" w14:paraId="4E8D20BF" w14:textId="77777777">
        <w:trPr>
          <w:cantSplit/>
        </w:trPr>
        <w:tc>
          <w:tcPr>
            <w:tcW w:w="6475" w:type="dxa"/>
            <w:gridSpan w:val="2"/>
            <w:tcBorders>
              <w:bottom w:val="single" w:color="auto" w:sz="4" w:space="0"/>
            </w:tcBorders>
          </w:tcPr>
          <w:p w:rsidRPr="007F620E" w:rsidR="00760970" w:rsidP="00760970" w:rsidRDefault="00760970" w14:paraId="48D0D936" w14:textId="6A3DF8B8">
            <w:pPr>
              <w:tabs>
                <w:tab w:val="left" w:pos="360"/>
              </w:tabs>
              <w:ind w:left="360" w:hanging="360"/>
              <w:rPr>
                <w:color w:val="000000"/>
              </w:rPr>
            </w:pPr>
            <w:r>
              <w:rPr>
                <w:color w:val="000000"/>
              </w:rPr>
              <w:t>12</w:t>
            </w:r>
            <w:r w:rsidRPr="007F620E">
              <w:rPr>
                <w:color w:val="000000"/>
              </w:rPr>
              <w:t>.</w:t>
            </w:r>
            <w:r>
              <w:rPr>
                <w:color w:val="000000"/>
              </w:rPr>
              <w:tab/>
            </w:r>
            <w:r w:rsidRPr="007F620E">
              <w:rPr>
                <w:color w:val="000000"/>
              </w:rPr>
              <w:t>Has the Intervenor demonstrated significant financial hardship?</w:t>
            </w:r>
          </w:p>
        </w:tc>
        <w:tc>
          <w:tcPr>
            <w:tcW w:w="2885" w:type="dxa"/>
            <w:tcBorders>
              <w:bottom w:val="single" w:color="auto" w:sz="4" w:space="0"/>
            </w:tcBorders>
          </w:tcPr>
          <w:p w:rsidRPr="007F620E" w:rsidR="00760970" w:rsidP="005778E3" w:rsidRDefault="00C4291A" w14:paraId="0F29B839" w14:textId="3EC98EDC">
            <w:pPr>
              <w:tabs>
                <w:tab w:val="left" w:pos="360"/>
              </w:tabs>
              <w:jc w:val="center"/>
              <w:rPr>
                <w:color w:val="000000"/>
              </w:rPr>
            </w:pPr>
            <w:r>
              <w:rPr>
                <w:color w:val="000000"/>
              </w:rPr>
              <w:t>Yes</w:t>
            </w:r>
          </w:p>
        </w:tc>
      </w:tr>
      <w:tr w:rsidRPr="007F620E" w:rsidR="00760970" w:rsidTr="00D64742" w14:paraId="60D4FD5C" w14:textId="77777777">
        <w:trPr>
          <w:cantSplit/>
        </w:trPr>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760970" w:rsidP="00760970" w:rsidRDefault="00760970" w14:paraId="172E2884" w14:textId="166A4914">
            <w:pPr>
              <w:keepNext/>
              <w:tabs>
                <w:tab w:val="left" w:pos="360"/>
              </w:tabs>
              <w:jc w:val="center"/>
              <w:rPr>
                <w:color w:val="000000"/>
              </w:rPr>
            </w:pPr>
            <w:r w:rsidRPr="007F620E">
              <w:rPr>
                <w:b/>
                <w:color w:val="000000"/>
              </w:rPr>
              <w:t>Timely request for compensation (§1804(c)):</w:t>
            </w:r>
          </w:p>
        </w:tc>
      </w:tr>
      <w:tr w:rsidRPr="007F620E" w:rsidR="00760970" w:rsidTr="00D75175" w14:paraId="3E7938B0" w14:textId="77777777">
        <w:trPr>
          <w:cantSplit/>
        </w:trPr>
        <w:tc>
          <w:tcPr>
            <w:tcW w:w="4045" w:type="dxa"/>
            <w:tcBorders>
              <w:top w:val="single" w:color="auto" w:sz="4" w:space="0"/>
            </w:tcBorders>
          </w:tcPr>
          <w:p w:rsidRPr="007F620E" w:rsidR="00760970" w:rsidP="00760970" w:rsidRDefault="00760970" w14:paraId="66088F1B" w14:textId="2DB4A731">
            <w:pPr>
              <w:keepNext/>
              <w:tabs>
                <w:tab w:val="left" w:pos="612"/>
              </w:tabs>
              <w:ind w:left="360" w:hanging="360"/>
              <w:rPr>
                <w:color w:val="000000"/>
              </w:rPr>
            </w:pPr>
            <w:r w:rsidRPr="007F620E">
              <w:rPr>
                <w:color w:val="000000"/>
              </w:rPr>
              <w:t>13.</w:t>
            </w:r>
            <w:r>
              <w:rPr>
                <w:color w:val="000000"/>
              </w:rPr>
              <w:tab/>
            </w:r>
            <w:r w:rsidRPr="007F620E">
              <w:rPr>
                <w:color w:val="000000"/>
              </w:rPr>
              <w:t>Identify Final Decision:</w:t>
            </w:r>
          </w:p>
        </w:tc>
        <w:tc>
          <w:tcPr>
            <w:tcW w:w="2430" w:type="dxa"/>
            <w:tcBorders>
              <w:top w:val="single" w:color="auto" w:sz="4" w:space="0"/>
            </w:tcBorders>
            <w:vAlign w:val="center"/>
          </w:tcPr>
          <w:p w:rsidRPr="007F620E" w:rsidR="00760970" w:rsidP="005778E3" w:rsidRDefault="00760970" w14:paraId="7166F318" w14:textId="3618E729">
            <w:pPr>
              <w:tabs>
                <w:tab w:val="left" w:pos="360"/>
              </w:tabs>
              <w:jc w:val="center"/>
              <w:rPr>
                <w:color w:val="000000"/>
              </w:rPr>
            </w:pPr>
            <w:r>
              <w:rPr>
                <w:color w:val="000000"/>
              </w:rPr>
              <w:t>D.</w:t>
            </w:r>
            <w:r w:rsidRPr="00760970">
              <w:rPr>
                <w:color w:val="000000"/>
              </w:rPr>
              <w:t>25-09-030</w:t>
            </w:r>
            <w:r>
              <w:rPr>
                <w:color w:val="000000"/>
              </w:rPr>
              <w:br/>
              <w:t>D.23-11-007</w:t>
            </w:r>
          </w:p>
        </w:tc>
        <w:tc>
          <w:tcPr>
            <w:tcW w:w="2885" w:type="dxa"/>
            <w:tcBorders>
              <w:top w:val="single" w:color="auto" w:sz="4" w:space="0"/>
            </w:tcBorders>
            <w:vAlign w:val="center"/>
          </w:tcPr>
          <w:p w:rsidRPr="007F620E" w:rsidR="00760970" w:rsidP="005778E3" w:rsidRDefault="00DB4B81" w14:paraId="1588DC54" w14:textId="6F7557D8">
            <w:pPr>
              <w:tabs>
                <w:tab w:val="left" w:pos="360"/>
              </w:tabs>
              <w:jc w:val="center"/>
              <w:rPr>
                <w:color w:val="000000"/>
              </w:rPr>
            </w:pPr>
            <w:r>
              <w:rPr>
                <w:color w:val="000000"/>
              </w:rPr>
              <w:t>D.25-09-030</w:t>
            </w:r>
            <w:r w:rsidR="00EB1E0F">
              <w:rPr>
                <w:color w:val="000000"/>
              </w:rPr>
              <w:t>. See Part I.C.</w:t>
            </w:r>
            <w:r w:rsidR="001B1F2D">
              <w:rPr>
                <w:color w:val="000000"/>
              </w:rPr>
              <w:t>1</w:t>
            </w:r>
          </w:p>
        </w:tc>
      </w:tr>
      <w:tr w:rsidRPr="007F620E" w:rsidR="00760970" w:rsidTr="00D75175" w14:paraId="6360DE59" w14:textId="77777777">
        <w:trPr>
          <w:cantSplit/>
        </w:trPr>
        <w:tc>
          <w:tcPr>
            <w:tcW w:w="4045" w:type="dxa"/>
          </w:tcPr>
          <w:p w:rsidRPr="007F620E" w:rsidR="00760970" w:rsidP="00760970" w:rsidRDefault="00760970" w14:paraId="4B809E4A" w14:textId="3CEC8E4B">
            <w:pPr>
              <w:tabs>
                <w:tab w:val="left" w:pos="612"/>
              </w:tabs>
              <w:ind w:left="360" w:hanging="360"/>
              <w:rPr>
                <w:color w:val="000000"/>
              </w:rPr>
            </w:pPr>
            <w:r w:rsidRPr="007F620E">
              <w:rPr>
                <w:color w:val="000000"/>
              </w:rPr>
              <w:t>14.</w:t>
            </w:r>
            <w:r>
              <w:rPr>
                <w:color w:val="000000"/>
              </w:rPr>
              <w:tab/>
            </w:r>
            <w:r w:rsidRPr="007F620E">
              <w:rPr>
                <w:color w:val="000000"/>
              </w:rPr>
              <w:t>Date of issuance of Final Order or Decision:</w:t>
            </w:r>
          </w:p>
        </w:tc>
        <w:tc>
          <w:tcPr>
            <w:tcW w:w="2430" w:type="dxa"/>
            <w:vAlign w:val="center"/>
          </w:tcPr>
          <w:p w:rsidRPr="007F620E" w:rsidR="00760970" w:rsidP="005778E3" w:rsidRDefault="00E54D84" w14:paraId="20455B5F" w14:textId="31153A87">
            <w:pPr>
              <w:tabs>
                <w:tab w:val="left" w:pos="360"/>
              </w:tabs>
              <w:jc w:val="center"/>
              <w:rPr>
                <w:color w:val="000000"/>
              </w:rPr>
            </w:pPr>
            <w:r>
              <w:rPr>
                <w:color w:val="000000"/>
              </w:rPr>
              <w:t>9/23/25</w:t>
            </w:r>
            <w:r>
              <w:rPr>
                <w:color w:val="000000"/>
              </w:rPr>
              <w:br/>
              <w:t>11/15/23</w:t>
            </w:r>
          </w:p>
        </w:tc>
        <w:tc>
          <w:tcPr>
            <w:tcW w:w="2885" w:type="dxa"/>
            <w:vAlign w:val="center"/>
          </w:tcPr>
          <w:p w:rsidRPr="007F620E" w:rsidR="00760970" w:rsidP="005778E3" w:rsidRDefault="000C0E0F" w14:paraId="1FCF00DD" w14:textId="326AA5E8">
            <w:pPr>
              <w:tabs>
                <w:tab w:val="left" w:pos="360"/>
              </w:tabs>
              <w:jc w:val="center"/>
              <w:rPr>
                <w:color w:val="000000"/>
              </w:rPr>
            </w:pPr>
            <w:r>
              <w:rPr>
                <w:color w:val="000000"/>
              </w:rPr>
              <w:t>9/23/25, See Part I.C.</w:t>
            </w:r>
            <w:r w:rsidR="001B1F2D">
              <w:rPr>
                <w:color w:val="000000"/>
              </w:rPr>
              <w:t>1</w:t>
            </w:r>
          </w:p>
        </w:tc>
      </w:tr>
      <w:tr w:rsidRPr="007F620E" w:rsidR="00760970" w:rsidTr="00D75175" w14:paraId="723259E3" w14:textId="77777777">
        <w:trPr>
          <w:cantSplit/>
        </w:trPr>
        <w:tc>
          <w:tcPr>
            <w:tcW w:w="4045" w:type="dxa"/>
          </w:tcPr>
          <w:p w:rsidRPr="007F620E" w:rsidR="00760970" w:rsidP="00760970" w:rsidRDefault="00760970" w14:paraId="163EE1CA" w14:textId="2B64EB9E">
            <w:pPr>
              <w:tabs>
                <w:tab w:val="left" w:pos="612"/>
              </w:tabs>
              <w:ind w:left="360" w:hanging="360"/>
              <w:rPr>
                <w:color w:val="000000"/>
              </w:rPr>
            </w:pPr>
            <w:r w:rsidRPr="007F620E">
              <w:rPr>
                <w:color w:val="000000"/>
              </w:rPr>
              <w:t>15.</w:t>
            </w:r>
            <w:r>
              <w:rPr>
                <w:color w:val="000000"/>
              </w:rPr>
              <w:tab/>
            </w:r>
            <w:r w:rsidRPr="007F620E">
              <w:rPr>
                <w:color w:val="000000"/>
              </w:rPr>
              <w:t>File date of compensation request:</w:t>
            </w:r>
          </w:p>
        </w:tc>
        <w:tc>
          <w:tcPr>
            <w:tcW w:w="2430" w:type="dxa"/>
            <w:vAlign w:val="center"/>
          </w:tcPr>
          <w:p w:rsidRPr="007F620E" w:rsidR="00760970" w:rsidP="005778E3" w:rsidRDefault="005D40D8" w14:paraId="0568B39D" w14:textId="358456B3">
            <w:pPr>
              <w:tabs>
                <w:tab w:val="left" w:pos="360"/>
              </w:tabs>
              <w:jc w:val="center"/>
              <w:rPr>
                <w:color w:val="000000"/>
              </w:rPr>
            </w:pPr>
            <w:r>
              <w:rPr>
                <w:color w:val="000000"/>
              </w:rPr>
              <w:t>10/1</w:t>
            </w:r>
            <w:r w:rsidR="00975D1F">
              <w:rPr>
                <w:color w:val="000000"/>
              </w:rPr>
              <w:t>5</w:t>
            </w:r>
            <w:r>
              <w:rPr>
                <w:color w:val="000000"/>
              </w:rPr>
              <w:t>/25</w:t>
            </w:r>
          </w:p>
        </w:tc>
        <w:tc>
          <w:tcPr>
            <w:tcW w:w="2885" w:type="dxa"/>
          </w:tcPr>
          <w:p w:rsidRPr="007F620E" w:rsidR="00760970" w:rsidP="005778E3" w:rsidRDefault="000C0E0F" w14:paraId="1CBF4E7A" w14:textId="4CE71235">
            <w:pPr>
              <w:tabs>
                <w:tab w:val="left" w:pos="360"/>
              </w:tabs>
              <w:jc w:val="center"/>
              <w:rPr>
                <w:color w:val="000000"/>
              </w:rPr>
            </w:pPr>
            <w:r>
              <w:rPr>
                <w:color w:val="000000"/>
              </w:rPr>
              <w:t>Verified</w:t>
            </w:r>
          </w:p>
        </w:tc>
      </w:tr>
      <w:tr w:rsidRPr="007F620E" w:rsidR="00760970" w:rsidTr="00D75175" w14:paraId="406BCA3A" w14:textId="77777777">
        <w:trPr>
          <w:cantSplit/>
        </w:trPr>
        <w:tc>
          <w:tcPr>
            <w:tcW w:w="6475" w:type="dxa"/>
            <w:gridSpan w:val="2"/>
          </w:tcPr>
          <w:p w:rsidRPr="007F620E" w:rsidR="00760970" w:rsidP="00760970" w:rsidRDefault="00760970" w14:paraId="10AF42D1" w14:textId="67695104">
            <w:pPr>
              <w:tabs>
                <w:tab w:val="left" w:pos="360"/>
              </w:tabs>
              <w:ind w:left="360" w:hanging="360"/>
              <w:rPr>
                <w:color w:val="000000"/>
              </w:rPr>
            </w:pPr>
            <w:r w:rsidRPr="007F620E">
              <w:rPr>
                <w:color w:val="000000"/>
              </w:rPr>
              <w:t>16</w:t>
            </w:r>
            <w:r>
              <w:rPr>
                <w:color w:val="000000"/>
              </w:rPr>
              <w:t>.</w:t>
            </w:r>
            <w:r>
              <w:rPr>
                <w:color w:val="000000"/>
              </w:rPr>
              <w:tab/>
            </w:r>
            <w:r w:rsidRPr="007F620E">
              <w:rPr>
                <w:color w:val="000000"/>
              </w:rPr>
              <w:t>Was the request for compensation timely?</w:t>
            </w:r>
          </w:p>
        </w:tc>
        <w:tc>
          <w:tcPr>
            <w:tcW w:w="2885" w:type="dxa"/>
          </w:tcPr>
          <w:p w:rsidRPr="007F620E" w:rsidR="00760970" w:rsidP="005778E3" w:rsidRDefault="000C0E0F" w14:paraId="2EA30E63" w14:textId="13B2A633">
            <w:pPr>
              <w:tabs>
                <w:tab w:val="left" w:pos="360"/>
              </w:tabs>
              <w:jc w:val="center"/>
              <w:rPr>
                <w:color w:val="000000"/>
              </w:rPr>
            </w:pPr>
            <w:r>
              <w:rPr>
                <w:color w:val="000000"/>
              </w:rPr>
              <w:t>Yes</w:t>
            </w:r>
          </w:p>
        </w:tc>
      </w:tr>
    </w:tbl>
    <w:p w:rsidR="003A3185" w:rsidP="003A3185" w:rsidRDefault="003A3185" w14:paraId="32966F46" w14:textId="77777777"/>
    <w:p w:rsidR="003A3185" w:rsidP="003A3185" w:rsidRDefault="003A3185" w14:paraId="390273FA" w14:textId="77777777"/>
    <w:p w:rsidRPr="00FD6827" w:rsidR="003A3185" w:rsidP="00FD6827" w:rsidRDefault="003A3185" w14:paraId="07032B11" w14:textId="1E834188">
      <w:pPr>
        <w:pStyle w:val="Style1forICOMPS"/>
        <w:numPr>
          <w:ilvl w:val="0"/>
          <w:numId w:val="12"/>
        </w:numPr>
        <w:spacing w:after="120"/>
        <w:ind w:left="360"/>
        <w:jc w:val="left"/>
      </w:pPr>
      <w:r w:rsidRPr="003A3185">
        <w:lastRenderedPageBreak/>
        <w:t>Additional Comments on Part I:</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005"/>
        <w:gridCol w:w="5495"/>
      </w:tblGrid>
      <w:tr w:rsidRPr="007F620E" w:rsidR="003C608A" w:rsidTr="00CA36D7" w14:paraId="046F77BA" w14:textId="77777777">
        <w:trPr>
          <w:tblHeader/>
        </w:trPr>
        <w:tc>
          <w:tcPr>
            <w:tcW w:w="860" w:type="dxa"/>
            <w:tcBorders>
              <w:bottom w:val="single" w:color="auto" w:sz="4" w:space="0"/>
            </w:tcBorders>
            <w:shd w:val="clear" w:color="auto" w:fill="D9D9D9" w:themeFill="background1" w:themeFillShade="D9"/>
            <w:vAlign w:val="center"/>
          </w:tcPr>
          <w:p w:rsidRPr="007F620E" w:rsidR="003C608A" w:rsidP="00DA74C8" w:rsidRDefault="003C608A" w14:paraId="0CB867A6" w14:textId="77777777">
            <w:pPr>
              <w:tabs>
                <w:tab w:val="left" w:pos="360"/>
              </w:tabs>
              <w:jc w:val="center"/>
              <w:rPr>
                <w:b/>
                <w:color w:val="000000"/>
              </w:rPr>
            </w:pPr>
            <w:r w:rsidRPr="007F620E">
              <w:rPr>
                <w:b/>
                <w:color w:val="000000"/>
              </w:rPr>
              <w:t>#</w:t>
            </w:r>
          </w:p>
        </w:tc>
        <w:tc>
          <w:tcPr>
            <w:tcW w:w="3005" w:type="dxa"/>
            <w:tcBorders>
              <w:bottom w:val="single" w:color="auto" w:sz="4" w:space="0"/>
            </w:tcBorders>
            <w:shd w:val="clear" w:color="auto" w:fill="D9D9D9" w:themeFill="background1" w:themeFillShade="D9"/>
          </w:tcPr>
          <w:p w:rsidRPr="007F620E" w:rsidR="003C608A" w:rsidP="007056FC" w:rsidRDefault="005778E3" w14:paraId="196D09DF" w14:textId="18C56774">
            <w:pPr>
              <w:tabs>
                <w:tab w:val="left" w:pos="360"/>
              </w:tabs>
              <w:jc w:val="center"/>
              <w:rPr>
                <w:b/>
                <w:color w:val="000000"/>
              </w:rPr>
            </w:pPr>
            <w:r w:rsidRPr="007F620E">
              <w:rPr>
                <w:b/>
                <w:color w:val="000000"/>
              </w:rPr>
              <w:t>INTERVENOR’S COMMENT(S)</w:t>
            </w:r>
          </w:p>
        </w:tc>
        <w:tc>
          <w:tcPr>
            <w:tcW w:w="5495" w:type="dxa"/>
            <w:shd w:val="clear" w:color="auto" w:fill="D9D9D9" w:themeFill="background1" w:themeFillShade="D9"/>
            <w:vAlign w:val="center"/>
          </w:tcPr>
          <w:p w:rsidRPr="007F620E" w:rsidR="003C608A" w:rsidP="00DA74C8" w:rsidRDefault="005778E3" w14:paraId="07207D31" w14:textId="78217D92">
            <w:pPr>
              <w:tabs>
                <w:tab w:val="left" w:pos="360"/>
              </w:tabs>
              <w:jc w:val="center"/>
              <w:rPr>
                <w:b/>
                <w:color w:val="000000"/>
              </w:rPr>
            </w:pPr>
            <w:r w:rsidRPr="007F620E">
              <w:rPr>
                <w:b/>
                <w:color w:val="000000"/>
              </w:rPr>
              <w:t>CPUC DISCUSSION</w:t>
            </w:r>
          </w:p>
        </w:tc>
      </w:tr>
      <w:tr w:rsidRPr="007F620E" w:rsidR="003C608A" w:rsidTr="00CA36D7" w14:paraId="1C6180A4" w14:textId="77777777">
        <w:trPr>
          <w:trHeight w:val="67"/>
        </w:trPr>
        <w:tc>
          <w:tcPr>
            <w:tcW w:w="860" w:type="dxa"/>
          </w:tcPr>
          <w:p w:rsidRPr="007F620E" w:rsidR="003C608A" w:rsidP="005778E3" w:rsidRDefault="00E54D84" w14:paraId="4350D384" w14:textId="75F28483">
            <w:pPr>
              <w:tabs>
                <w:tab w:val="left" w:pos="360"/>
              </w:tabs>
              <w:jc w:val="center"/>
              <w:rPr>
                <w:color w:val="000000"/>
              </w:rPr>
            </w:pPr>
            <w:r>
              <w:rPr>
                <w:color w:val="000000"/>
              </w:rPr>
              <w:t>1</w:t>
            </w:r>
          </w:p>
        </w:tc>
        <w:tc>
          <w:tcPr>
            <w:tcW w:w="3005" w:type="dxa"/>
          </w:tcPr>
          <w:p w:rsidRPr="007F620E" w:rsidR="003C608A" w:rsidP="007056FC" w:rsidRDefault="00E54D84" w14:paraId="0ECF4A98" w14:textId="6ACEF683">
            <w:pPr>
              <w:tabs>
                <w:tab w:val="left" w:pos="360"/>
              </w:tabs>
              <w:rPr>
                <w:color w:val="000000"/>
              </w:rPr>
            </w:pPr>
            <w:r>
              <w:rPr>
                <w:color w:val="000000"/>
              </w:rPr>
              <w:t>MGRA is consolidating the compensation claims for SCE’s RAMP and GRC proceedings as has become practice for RAMP proceedings and has been specifically allowed in D.23</w:t>
            </w:r>
            <w:r w:rsidR="005778E3">
              <w:rPr>
                <w:color w:val="000000"/>
              </w:rPr>
              <w:noBreakHyphen/>
            </w:r>
            <w:r>
              <w:rPr>
                <w:color w:val="000000"/>
              </w:rPr>
              <w:t>11-007 at p. 13.</w:t>
            </w:r>
          </w:p>
        </w:tc>
        <w:tc>
          <w:tcPr>
            <w:tcW w:w="5495" w:type="dxa"/>
          </w:tcPr>
          <w:p w:rsidRPr="007F620E" w:rsidR="00570263" w:rsidP="00A374DB" w:rsidRDefault="00354A14" w14:paraId="416D6250" w14:textId="60AB4174">
            <w:pPr>
              <w:tabs>
                <w:tab w:val="left" w:pos="360"/>
              </w:tabs>
              <w:rPr>
                <w:color w:val="000000"/>
              </w:rPr>
            </w:pPr>
            <w:r>
              <w:rPr>
                <w:color w:val="000000"/>
              </w:rPr>
              <w:t>Verified</w:t>
            </w:r>
            <w:r w:rsidR="00A374DB">
              <w:rPr>
                <w:color w:val="000000"/>
              </w:rPr>
              <w:t>. D</w:t>
            </w:r>
            <w:r w:rsidR="00207302">
              <w:rPr>
                <w:color w:val="000000"/>
              </w:rPr>
              <w:t>.</w:t>
            </w:r>
            <w:r w:rsidR="00A374DB">
              <w:rPr>
                <w:color w:val="000000"/>
              </w:rPr>
              <w:t>23-11-007 states: “</w:t>
            </w:r>
            <w:r w:rsidRPr="00A374DB" w:rsidR="00A374DB">
              <w:rPr>
                <w:color w:val="000000"/>
              </w:rPr>
              <w:t>Regarding TURN’s comment in its September 15, 2023 Response about</w:t>
            </w:r>
            <w:r w:rsidR="00A374DB">
              <w:rPr>
                <w:color w:val="000000"/>
              </w:rPr>
              <w:t xml:space="preserve"> </w:t>
            </w:r>
            <w:r w:rsidRPr="00A374DB" w:rsidR="00A374DB">
              <w:rPr>
                <w:color w:val="000000"/>
              </w:rPr>
              <w:t>allowing intervenors to carry forward hours and costs from this proceeding to</w:t>
            </w:r>
            <w:r w:rsidR="00A374DB">
              <w:rPr>
                <w:color w:val="000000"/>
              </w:rPr>
              <w:t xml:space="preserve"> </w:t>
            </w:r>
            <w:r w:rsidRPr="00A374DB" w:rsidR="00A374DB">
              <w:rPr>
                <w:color w:val="000000"/>
              </w:rPr>
              <w:t>SCE’s GRC, the Commission has allowed this in prior RAMPs, and we find no</w:t>
            </w:r>
            <w:r w:rsidR="00A374DB">
              <w:rPr>
                <w:color w:val="000000"/>
              </w:rPr>
              <w:t xml:space="preserve"> </w:t>
            </w:r>
            <w:r w:rsidRPr="00A374DB" w:rsidR="00A374DB">
              <w:rPr>
                <w:color w:val="000000"/>
              </w:rPr>
              <w:t>reason to deviate from this practice.</w:t>
            </w:r>
            <w:r w:rsidR="00A374DB">
              <w:rPr>
                <w:color w:val="000000"/>
              </w:rPr>
              <w:t>”</w:t>
            </w:r>
          </w:p>
        </w:tc>
      </w:tr>
      <w:tr w:rsidRPr="007F620E" w:rsidR="00570263" w:rsidTr="00CA36D7" w14:paraId="44BDDD95" w14:textId="77777777">
        <w:trPr>
          <w:trHeight w:val="67"/>
        </w:trPr>
        <w:tc>
          <w:tcPr>
            <w:tcW w:w="860" w:type="dxa"/>
          </w:tcPr>
          <w:p w:rsidR="00570263" w:rsidP="005778E3" w:rsidRDefault="00570263" w14:paraId="0B6BB5DA" w14:textId="4F69ABEB">
            <w:pPr>
              <w:tabs>
                <w:tab w:val="left" w:pos="360"/>
              </w:tabs>
              <w:jc w:val="center"/>
              <w:rPr>
                <w:color w:val="000000"/>
              </w:rPr>
            </w:pPr>
            <w:r>
              <w:rPr>
                <w:color w:val="000000"/>
              </w:rPr>
              <w:t>2</w:t>
            </w:r>
          </w:p>
        </w:tc>
        <w:tc>
          <w:tcPr>
            <w:tcW w:w="3005" w:type="dxa"/>
          </w:tcPr>
          <w:p w:rsidR="00570263" w:rsidP="007056FC" w:rsidRDefault="00570263" w14:paraId="3E2C28D0" w14:textId="77777777">
            <w:pPr>
              <w:tabs>
                <w:tab w:val="left" w:pos="360"/>
              </w:tabs>
              <w:rPr>
                <w:color w:val="000000"/>
              </w:rPr>
            </w:pPr>
          </w:p>
        </w:tc>
        <w:tc>
          <w:tcPr>
            <w:tcW w:w="5495" w:type="dxa"/>
          </w:tcPr>
          <w:p w:rsidR="00474263" w:rsidP="00CA36D7" w:rsidRDefault="004E016D" w14:paraId="3A1C311C" w14:textId="2D1BFAA7">
            <w:pPr>
              <w:tabs>
                <w:tab w:val="left" w:pos="360"/>
              </w:tabs>
              <w:spacing w:after="120"/>
              <w:rPr>
                <w:color w:val="000000"/>
              </w:rPr>
            </w:pPr>
            <w:r>
              <w:rPr>
                <w:color w:val="000000"/>
              </w:rPr>
              <w:t xml:space="preserve">On January </w:t>
            </w:r>
            <w:r w:rsidR="00AA6EDB">
              <w:rPr>
                <w:color w:val="000000"/>
              </w:rPr>
              <w:t xml:space="preserve">25, 2023, </w:t>
            </w:r>
            <w:r w:rsidR="008F2E96">
              <w:rPr>
                <w:color w:val="000000"/>
              </w:rPr>
              <w:t xml:space="preserve">we issued </w:t>
            </w:r>
            <w:r w:rsidR="006E7339">
              <w:rPr>
                <w:color w:val="000000"/>
              </w:rPr>
              <w:t>a ruling</w:t>
            </w:r>
            <w:r>
              <w:rPr>
                <w:color w:val="000000"/>
              </w:rPr>
              <w:t xml:space="preserve"> </w:t>
            </w:r>
            <w:r w:rsidR="006E7339">
              <w:rPr>
                <w:color w:val="000000"/>
              </w:rPr>
              <w:t>in A.22</w:t>
            </w:r>
            <w:r w:rsidR="00DA74C8">
              <w:rPr>
                <w:color w:val="000000"/>
              </w:rPr>
              <w:noBreakHyphen/>
            </w:r>
            <w:r w:rsidR="006E7339">
              <w:rPr>
                <w:color w:val="000000"/>
              </w:rPr>
              <w:t>05</w:t>
            </w:r>
            <w:r w:rsidR="00DA74C8">
              <w:rPr>
                <w:color w:val="000000"/>
              </w:rPr>
              <w:noBreakHyphen/>
            </w:r>
            <w:r w:rsidR="006E7339">
              <w:rPr>
                <w:color w:val="000000"/>
              </w:rPr>
              <w:t xml:space="preserve">015 </w:t>
            </w:r>
            <w:r w:rsidR="007D48A5">
              <w:rPr>
                <w:color w:val="000000"/>
              </w:rPr>
              <w:t xml:space="preserve">et al </w:t>
            </w:r>
            <w:r w:rsidR="006E7339">
              <w:rPr>
                <w:color w:val="000000"/>
              </w:rPr>
              <w:t xml:space="preserve">that </w:t>
            </w:r>
            <w:r w:rsidR="00AA6EDB">
              <w:rPr>
                <w:color w:val="000000"/>
              </w:rPr>
              <w:t xml:space="preserve">found </w:t>
            </w:r>
            <w:r w:rsidR="00B37504">
              <w:rPr>
                <w:color w:val="000000"/>
              </w:rPr>
              <w:t xml:space="preserve">MGRA had not demonstrated </w:t>
            </w:r>
            <w:r w:rsidR="00730266">
              <w:rPr>
                <w:color w:val="000000"/>
              </w:rPr>
              <w:t>significant financial hardship</w:t>
            </w:r>
            <w:r w:rsidR="00356CCD">
              <w:rPr>
                <w:color w:val="000000"/>
              </w:rPr>
              <w:t xml:space="preserve">, but allowed MGRA to </w:t>
            </w:r>
            <w:r w:rsidR="00474263">
              <w:rPr>
                <w:color w:val="000000"/>
              </w:rPr>
              <w:t>“</w:t>
            </w:r>
            <w:r w:rsidRPr="00474263" w:rsidR="00474263">
              <w:rPr>
                <w:color w:val="000000"/>
              </w:rPr>
              <w:t>demonstrate significant financial hardship in its next intervenor compensation claim filed before the Commission</w:t>
            </w:r>
            <w:r w:rsidR="00E5668B">
              <w:rPr>
                <w:color w:val="000000"/>
              </w:rPr>
              <w:t>.</w:t>
            </w:r>
            <w:r w:rsidR="00474263">
              <w:rPr>
                <w:color w:val="000000"/>
              </w:rPr>
              <w:t>”</w:t>
            </w:r>
            <w:r w:rsidR="007E766C">
              <w:rPr>
                <w:rStyle w:val="FootnoteReference"/>
                <w:color w:val="000000"/>
              </w:rPr>
              <w:footnoteReference w:id="5"/>
            </w:r>
          </w:p>
          <w:p w:rsidR="007D48A5" w:rsidP="00757072" w:rsidRDefault="007D48A5" w14:paraId="3F268B61" w14:textId="76D9CDDA">
            <w:pPr>
              <w:tabs>
                <w:tab w:val="left" w:pos="360"/>
              </w:tabs>
              <w:rPr>
                <w:color w:val="000000"/>
              </w:rPr>
            </w:pPr>
            <w:r>
              <w:rPr>
                <w:color w:val="000000"/>
              </w:rPr>
              <w:t>MGRA filed an intervenor compensation</w:t>
            </w:r>
            <w:r w:rsidR="00757072">
              <w:rPr>
                <w:color w:val="000000"/>
              </w:rPr>
              <w:t xml:space="preserve"> claim</w:t>
            </w:r>
            <w:r>
              <w:rPr>
                <w:color w:val="000000"/>
              </w:rPr>
              <w:t xml:space="preserve"> in A.22-05-015 et al on </w:t>
            </w:r>
            <w:r w:rsidR="00757072">
              <w:rPr>
                <w:color w:val="000000"/>
              </w:rPr>
              <w:t>March 5, 2025, with the</w:t>
            </w:r>
            <w:r w:rsidR="001671E0">
              <w:rPr>
                <w:color w:val="000000"/>
              </w:rPr>
              <w:t xml:space="preserve"> information requested by ALJ Lakhanpal’s ruling. </w:t>
            </w:r>
            <w:r w:rsidR="007053BC">
              <w:rPr>
                <w:color w:val="000000"/>
              </w:rPr>
              <w:t xml:space="preserve">The Commission reviewed MGRA’s new information and found in Decision </w:t>
            </w:r>
            <w:r w:rsidRPr="008360EC" w:rsidR="007053BC">
              <w:rPr>
                <w:color w:val="000000"/>
              </w:rPr>
              <w:t>(D.) 26-03-0</w:t>
            </w:r>
            <w:r w:rsidRPr="008360EC" w:rsidR="007029EF">
              <w:rPr>
                <w:color w:val="000000"/>
              </w:rPr>
              <w:t>41</w:t>
            </w:r>
            <w:r w:rsidRPr="008360EC" w:rsidR="00644B6F">
              <w:rPr>
                <w:color w:val="000000"/>
              </w:rPr>
              <w:t xml:space="preserve"> that</w:t>
            </w:r>
            <w:r w:rsidR="00644B6F">
              <w:rPr>
                <w:color w:val="000000"/>
              </w:rPr>
              <w:t xml:space="preserve"> MGRA had significant financial hardship and was eligible to claim </w:t>
            </w:r>
            <w:r w:rsidR="006B44E7">
              <w:rPr>
                <w:color w:val="000000"/>
              </w:rPr>
              <w:t>intervenor compensation.</w:t>
            </w:r>
            <w:r w:rsidR="00EC50F9">
              <w:rPr>
                <w:color w:val="000000"/>
              </w:rPr>
              <w:t xml:space="preserve"> </w:t>
            </w:r>
            <w:r w:rsidR="00403EDB">
              <w:rPr>
                <w:color w:val="000000"/>
              </w:rPr>
              <w:t>It is reasonable</w:t>
            </w:r>
            <w:r w:rsidR="008F2E96">
              <w:rPr>
                <w:color w:val="000000"/>
              </w:rPr>
              <w:t xml:space="preserve"> to apply this finding to MGRA’s eligibility in this proceeding</w:t>
            </w:r>
            <w:r w:rsidR="00305ED3">
              <w:rPr>
                <w:color w:val="000000"/>
              </w:rPr>
              <w:t>.</w:t>
            </w:r>
          </w:p>
        </w:tc>
      </w:tr>
    </w:tbl>
    <w:p w:rsidR="003B6A1B" w:rsidP="00FD6827" w:rsidRDefault="00A92D0B" w14:paraId="501B5F3D" w14:textId="4F8FB93B">
      <w:pPr>
        <w:pStyle w:val="Style1forICOMPS"/>
        <w:spacing w:before="240" w:after="120"/>
      </w:pPr>
      <w:r w:rsidRPr="007F620E">
        <w:t>PART II:</w:t>
      </w:r>
      <w:r w:rsidR="00D1778A">
        <w:t xml:space="preserve">  </w:t>
      </w:r>
      <w:r w:rsidRPr="007F620E">
        <w:t>SUBSTANTIAL CONTRIBUTION</w:t>
      </w:r>
    </w:p>
    <w:p w:rsidRPr="00C02649" w:rsidR="00A92D0B" w:rsidP="00FD6827" w:rsidRDefault="00D075B1" w14:paraId="337CC332" w14:textId="2393E456">
      <w:pPr>
        <w:pStyle w:val="Style1forICOMPS"/>
        <w:numPr>
          <w:ilvl w:val="0"/>
          <w:numId w:val="13"/>
        </w:numPr>
        <w:spacing w:after="120"/>
        <w:ind w:left="360"/>
        <w:jc w:val="left"/>
      </w:pPr>
      <w:r w:rsidRPr="007F620E">
        <w:t xml:space="preserve">Did the </w:t>
      </w:r>
      <w:r w:rsidRPr="007F620E" w:rsidR="005A63D4">
        <w:t>Intervenor</w:t>
      </w:r>
      <w:r w:rsidRPr="007F620E">
        <w:t xml:space="preserve"> substantially contribute to the final decision</w:t>
      </w:r>
      <w:r w:rsidRPr="007F620E" w:rsidR="00A92D0B">
        <w:t xml:space="preserve"> (</w:t>
      </w:r>
      <w:r w:rsidRPr="007F620E" w:rsidR="00A92D0B">
        <w:rPr>
          <w:i/>
        </w:rPr>
        <w:t>see</w:t>
      </w:r>
      <w:r w:rsidR="0067412B">
        <w:t> </w:t>
      </w:r>
      <w:r w:rsidRPr="007F620E" w:rsidR="00A92D0B">
        <w:t>§</w:t>
      </w:r>
      <w:r w:rsidRPr="005778E3" w:rsidR="005778E3">
        <w:t>§</w:t>
      </w:r>
      <w:r w:rsidR="0067412B">
        <w:t> </w:t>
      </w:r>
      <w:r w:rsidRPr="007F620E" w:rsidR="00A92D0B">
        <w:t>1802(</w:t>
      </w:r>
      <w:r w:rsidR="00ED6B6B">
        <w:t>j</w:t>
      </w:r>
      <w:r w:rsidRPr="007F620E" w:rsidR="00A92D0B">
        <w:t>), 1803(a)</w:t>
      </w:r>
      <w:r w:rsidRPr="007F620E" w:rsidR="00F30DA8">
        <w:t>,</w:t>
      </w:r>
      <w:r w:rsidRPr="007F620E" w:rsidR="00A92D0B">
        <w:t xml:space="preserve"> </w:t>
      </w:r>
      <w:r w:rsidR="00ED6B6B">
        <w:t xml:space="preserve">1803.1(a) </w:t>
      </w:r>
      <w:r w:rsidRPr="007F620E" w:rsidR="00F30DA8">
        <w:t>and</w:t>
      </w:r>
      <w:r w:rsidRPr="007F620E" w:rsidR="00A92D0B">
        <w:t xml:space="preserve"> D.98-04-059)</w:t>
      </w:r>
      <w:r w:rsidR="00C02649">
        <w:t>:</w:t>
      </w:r>
    </w:p>
    <w:tbl>
      <w:tblPr>
        <w:tblpPr w:leftFromText="180" w:rightFromText="180" w:vertAnchor="text" w:tblpY="1"/>
        <w:tblOverlap w:val="neve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3325"/>
        <w:gridCol w:w="4729"/>
        <w:gridCol w:w="1684"/>
      </w:tblGrid>
      <w:tr w:rsidRPr="007F620E" w:rsidR="00A92D0B" w:rsidTr="00476311" w14:paraId="67755362" w14:textId="77777777">
        <w:trPr>
          <w:tblHeader/>
        </w:trPr>
        <w:tc>
          <w:tcPr>
            <w:tcW w:w="3325" w:type="dxa"/>
            <w:tcBorders>
              <w:bottom w:val="single" w:color="auto" w:sz="4" w:space="0"/>
            </w:tcBorders>
            <w:vAlign w:val="center"/>
          </w:tcPr>
          <w:p w:rsidRPr="007F620E" w:rsidR="00A92D0B" w:rsidP="00DA74C8" w:rsidRDefault="005778E3" w14:paraId="7CE2E5BB" w14:textId="29474652">
            <w:pPr>
              <w:jc w:val="center"/>
              <w:rPr>
                <w:b/>
                <w:color w:val="000000"/>
              </w:rPr>
            </w:pPr>
            <w:r w:rsidRPr="007F620E">
              <w:rPr>
                <w:b/>
                <w:color w:val="000000"/>
              </w:rPr>
              <w:t>INTERVENOR’S CLAIMED CONTRIBUTION(S)</w:t>
            </w:r>
          </w:p>
        </w:tc>
        <w:tc>
          <w:tcPr>
            <w:tcW w:w="4729" w:type="dxa"/>
            <w:tcBorders>
              <w:bottom w:val="single" w:color="auto" w:sz="4" w:space="0"/>
            </w:tcBorders>
            <w:vAlign w:val="bottom"/>
          </w:tcPr>
          <w:p w:rsidRPr="007F620E" w:rsidR="00A92D0B" w:rsidP="00DA74C8" w:rsidRDefault="005778E3" w14:paraId="2794272E" w14:textId="7BDBBB60">
            <w:pPr>
              <w:jc w:val="center"/>
              <w:rPr>
                <w:b/>
                <w:color w:val="000000"/>
              </w:rPr>
            </w:pPr>
            <w:r w:rsidRPr="007F620E">
              <w:rPr>
                <w:b/>
                <w:color w:val="000000"/>
              </w:rPr>
              <w:t>SPECIFIC REFERENCES TO INTERVENOR’S CLAIMED CONTRIBUTION(S)</w:t>
            </w:r>
          </w:p>
        </w:tc>
        <w:tc>
          <w:tcPr>
            <w:tcW w:w="1684" w:type="dxa"/>
            <w:vAlign w:val="center"/>
          </w:tcPr>
          <w:p w:rsidRPr="007F620E" w:rsidR="00A92D0B" w:rsidP="00DA74C8" w:rsidRDefault="005778E3" w14:paraId="79AFC714" w14:textId="7F6C9BE9">
            <w:pPr>
              <w:jc w:val="center"/>
              <w:rPr>
                <w:b/>
                <w:color w:val="000000"/>
              </w:rPr>
            </w:pPr>
            <w:r w:rsidRPr="007F620E">
              <w:rPr>
                <w:b/>
                <w:color w:val="000000"/>
              </w:rPr>
              <w:t>CPUC DISCUSSION</w:t>
            </w:r>
          </w:p>
        </w:tc>
      </w:tr>
      <w:tr w:rsidRPr="007F620E" w:rsidR="00A92D0B" w:rsidTr="00476311" w14:paraId="2E691FFC" w14:textId="77777777">
        <w:tc>
          <w:tcPr>
            <w:tcW w:w="3325" w:type="dxa"/>
          </w:tcPr>
          <w:p w:rsidRPr="007F620E" w:rsidR="00E25078" w:rsidP="00DA74C8" w:rsidRDefault="00A92D0B" w14:paraId="1B0CC007" w14:textId="2B35196F">
            <w:pPr>
              <w:rPr>
                <w:color w:val="000000"/>
              </w:rPr>
            </w:pPr>
            <w:r w:rsidRPr="007F620E">
              <w:rPr>
                <w:color w:val="000000"/>
              </w:rPr>
              <w:t>1.</w:t>
            </w:r>
            <w:r w:rsidR="00E25078">
              <w:rPr>
                <w:color w:val="000000"/>
              </w:rPr>
              <w:t xml:space="preserve"> </w:t>
            </w:r>
            <w:r w:rsidRPr="00422B6F" w:rsidR="00953953">
              <w:rPr>
                <w:b/>
                <w:color w:val="000000"/>
              </w:rPr>
              <w:t xml:space="preserve">Note: </w:t>
            </w:r>
            <w:r w:rsidRPr="00422B6F" w:rsidR="00953953">
              <w:rPr>
                <w:b/>
                <w:color w:val="000000"/>
              </w:rPr>
              <w:br/>
              <w:t>For definition of contribution types, see Comment 1 in Section C.</w:t>
            </w:r>
            <w:r w:rsidRPr="00422B6F" w:rsidR="00953953">
              <w:rPr>
                <w:b/>
                <w:color w:val="000000"/>
              </w:rPr>
              <w:br/>
              <w:t>For definition of issue, see Comment 2 in Section C.</w:t>
            </w:r>
          </w:p>
        </w:tc>
        <w:tc>
          <w:tcPr>
            <w:tcW w:w="4729" w:type="dxa"/>
          </w:tcPr>
          <w:p w:rsidRPr="007F620E" w:rsidR="00A92D0B" w:rsidP="00DA74C8" w:rsidRDefault="00A92D0B" w14:paraId="532F95D2" w14:textId="77777777">
            <w:pPr>
              <w:rPr>
                <w:color w:val="000000"/>
              </w:rPr>
            </w:pPr>
          </w:p>
        </w:tc>
        <w:tc>
          <w:tcPr>
            <w:tcW w:w="1684" w:type="dxa"/>
            <w:vAlign w:val="center"/>
          </w:tcPr>
          <w:p w:rsidRPr="007F620E" w:rsidR="00A92D0B" w:rsidP="00DA74C8" w:rsidRDefault="006B17CE" w14:paraId="63938BDA" w14:textId="3837E657">
            <w:pPr>
              <w:jc w:val="center"/>
              <w:rPr>
                <w:color w:val="000000"/>
              </w:rPr>
            </w:pPr>
            <w:r>
              <w:rPr>
                <w:color w:val="000000"/>
              </w:rPr>
              <w:t>Noted</w:t>
            </w:r>
          </w:p>
        </w:tc>
      </w:tr>
      <w:tr w:rsidRPr="007F620E" w:rsidR="00A92D0B" w:rsidTr="00476311" w14:paraId="4AAA05AE" w14:textId="77777777">
        <w:tc>
          <w:tcPr>
            <w:tcW w:w="3325" w:type="dxa"/>
          </w:tcPr>
          <w:p w:rsidR="0036292D" w:rsidP="00CA36D7" w:rsidRDefault="00A92D0B" w14:paraId="5B51CDE4" w14:textId="2F9CCAC7">
            <w:pPr>
              <w:spacing w:after="120"/>
              <w:rPr>
                <w:color w:val="000000"/>
              </w:rPr>
            </w:pPr>
            <w:r w:rsidRPr="00271AB1">
              <w:rPr>
                <w:color w:val="000000"/>
              </w:rPr>
              <w:lastRenderedPageBreak/>
              <w:t>2.</w:t>
            </w:r>
            <w:r w:rsidRPr="00271AB1" w:rsidR="00E25078">
              <w:rPr>
                <w:color w:val="000000"/>
              </w:rPr>
              <w:t xml:space="preserve"> </w:t>
            </w:r>
            <w:r w:rsidRPr="00271AB1" w:rsidR="0036292D">
              <w:rPr>
                <w:color w:val="000000"/>
              </w:rPr>
              <w:t xml:space="preserve">MGRA provided technical data, analysis, and argument resulting in several different design scenarios showing that SCE’s undergrounding proposal was cost-inefficient and arguing for a much larger fraction of covered conductor. </w:t>
            </w:r>
            <w:r w:rsidR="00CA36D7">
              <w:rPr>
                <w:color w:val="000000"/>
              </w:rPr>
              <w:t xml:space="preserve"> </w:t>
            </w:r>
            <w:r w:rsidRPr="00271AB1" w:rsidR="0036292D">
              <w:rPr>
                <w:color w:val="000000"/>
              </w:rPr>
              <w:t>One of MGRA’s suggested scenarios was replace 2/3 of SCE’s requested undergrounding with covered conductor, which is very close to what was decided in the Final Decision based on TURN’s proposal. MGRA’s analysis provided a rebuttal to SCE’s assertion that the TURN results were dependent on its risk ranking method.</w:t>
            </w:r>
          </w:p>
          <w:p w:rsidR="0036292D" w:rsidP="00DA74C8" w:rsidRDefault="0036292D" w14:paraId="5514E5AC" w14:textId="178D755B">
            <w:pPr>
              <w:rPr>
                <w:b/>
                <w:bCs/>
                <w:color w:val="000000"/>
              </w:rPr>
            </w:pPr>
            <w:r>
              <w:rPr>
                <w:b/>
                <w:bCs/>
                <w:color w:val="000000"/>
              </w:rPr>
              <w:t>Type:</w:t>
            </w:r>
            <w:r w:rsidR="00CA36D7">
              <w:rPr>
                <w:b/>
                <w:bCs/>
                <w:color w:val="000000"/>
              </w:rPr>
              <w:t>  </w:t>
            </w:r>
            <w:r>
              <w:rPr>
                <w:b/>
                <w:bCs/>
                <w:color w:val="000000"/>
              </w:rPr>
              <w:t>Complimentary</w:t>
            </w:r>
          </w:p>
          <w:p w:rsidRPr="0036292D" w:rsidR="0036292D" w:rsidP="00DA74C8" w:rsidRDefault="0036292D" w14:paraId="0088593F" w14:textId="1AB81770">
            <w:pPr>
              <w:rPr>
                <w:b/>
                <w:bCs/>
                <w:color w:val="000000"/>
              </w:rPr>
            </w:pPr>
            <w:r>
              <w:rPr>
                <w:b/>
                <w:bCs/>
                <w:color w:val="000000"/>
              </w:rPr>
              <w:t>Issue:</w:t>
            </w:r>
            <w:r w:rsidR="00CA36D7">
              <w:rPr>
                <w:b/>
                <w:bCs/>
                <w:color w:val="000000"/>
              </w:rPr>
              <w:t>  </w:t>
            </w:r>
            <w:proofErr w:type="spellStart"/>
            <w:r>
              <w:rPr>
                <w:b/>
                <w:bCs/>
                <w:color w:val="000000"/>
              </w:rPr>
              <w:t>Hdn</w:t>
            </w:r>
            <w:proofErr w:type="spellEnd"/>
          </w:p>
          <w:p w:rsidRPr="007F620E" w:rsidR="00E25078" w:rsidP="00DA74C8" w:rsidRDefault="00E25078" w14:paraId="11FCCEB5" w14:textId="77777777">
            <w:pPr>
              <w:rPr>
                <w:color w:val="000000"/>
              </w:rPr>
            </w:pPr>
          </w:p>
        </w:tc>
        <w:tc>
          <w:tcPr>
            <w:tcW w:w="4729" w:type="dxa"/>
          </w:tcPr>
          <w:p w:rsidRPr="0036292D" w:rsidR="0036292D" w:rsidP="00DA74C8" w:rsidRDefault="0036292D" w14:paraId="5AF54197" w14:textId="7C8D6390">
            <w:pPr>
              <w:rPr>
                <w:color w:val="000000"/>
              </w:rPr>
            </w:pPr>
            <w:r>
              <w:rPr>
                <w:color w:val="000000"/>
              </w:rPr>
              <w:t>FD; p.  363-4 – “</w:t>
            </w:r>
            <w:r w:rsidRPr="0036292D">
              <w:rPr>
                <w:color w:val="000000"/>
              </w:rPr>
              <w:t>MGRA asserts significant savings could be obtained by deploying covered conductor and</w:t>
            </w:r>
            <w:r>
              <w:rPr>
                <w:color w:val="000000"/>
              </w:rPr>
              <w:t xml:space="preserve"> </w:t>
            </w:r>
            <w:r w:rsidRPr="0036292D">
              <w:rPr>
                <w:color w:val="000000"/>
              </w:rPr>
              <w:t>advanced technologies in place of undergrounding, but similarly does not recommend an alternative capital forecast for the TUG program.1361</w:t>
            </w:r>
          </w:p>
          <w:p w:rsidR="00CA1DE7" w:rsidP="00CA36D7" w:rsidRDefault="0036292D" w14:paraId="59A50C69" w14:textId="625730B0">
            <w:pPr>
              <w:spacing w:after="120"/>
              <w:rPr>
                <w:color w:val="000000"/>
              </w:rPr>
            </w:pPr>
            <w:r w:rsidRPr="0036292D">
              <w:rPr>
                <w:color w:val="000000"/>
              </w:rPr>
              <w:t xml:space="preserve">1361 MGRA’s projected, potential savings are based on different scenario analyses, including Severe Risk Areas mitigated by covered conductor; a scenario with covered conductor and REFCL; and a scenario where all of SCE’s HFRAs are hardened. </w:t>
            </w:r>
            <w:r w:rsidR="00DA74C8">
              <w:rPr>
                <w:color w:val="000000"/>
              </w:rPr>
              <w:t xml:space="preserve"> </w:t>
            </w:r>
            <w:r w:rsidRPr="0036292D">
              <w:rPr>
                <w:color w:val="000000"/>
              </w:rPr>
              <w:t>MGRA states these scenarios are designed to demonstrate the impact of changing system assumptions, and are not intended to be actual, implementable proposals. (Ex.</w:t>
            </w:r>
            <w:r w:rsidR="00DA74C8">
              <w:rPr>
                <w:color w:val="000000"/>
              </w:rPr>
              <w:t> </w:t>
            </w:r>
            <w:r w:rsidRPr="0036292D">
              <w:rPr>
                <w:color w:val="000000"/>
              </w:rPr>
              <w:t>MGRA-01 at 81-98).</w:t>
            </w:r>
          </w:p>
          <w:p w:rsidR="00CA1DE7" w:rsidP="00CA36D7" w:rsidRDefault="00CA1DE7" w14:paraId="56A25FA0" w14:textId="2367DB5C">
            <w:pPr>
              <w:spacing w:after="120"/>
              <w:rPr>
                <w:color w:val="000000"/>
              </w:rPr>
            </w:pPr>
            <w:r>
              <w:rPr>
                <w:color w:val="000000"/>
              </w:rPr>
              <w:t>p. 379 – “</w:t>
            </w:r>
            <w:r w:rsidRPr="00CA1DE7">
              <w:rPr>
                <w:color w:val="000000"/>
              </w:rPr>
              <w:t>we agree with TURN and other intervenors that the scope of SCE’s TUG program should be scoped to address the highest risk miles, with remaining risk reductions achieved through more cost-effective grid hardening measures, mainly the deployment of covered conductor.”</w:t>
            </w:r>
          </w:p>
          <w:p w:rsidR="0036292D" w:rsidP="00DA74C8" w:rsidRDefault="00CA1DE7" w14:paraId="57D3AB6D" w14:textId="1ADA092B">
            <w:pPr>
              <w:rPr>
                <w:color w:val="000000"/>
              </w:rPr>
            </w:pPr>
            <w:r>
              <w:rPr>
                <w:color w:val="000000"/>
              </w:rPr>
              <w:t>p. 392-3 – “</w:t>
            </w:r>
            <w:r w:rsidRPr="00CA1DE7">
              <w:rPr>
                <w:color w:val="000000"/>
              </w:rPr>
              <w:t>This more optimized mix of mitigations is also consistent with the cost-effectiveness concerns raised by TURN, Cal Advocates, SBUA, MGRA, and EPUC in this proceeding.</w:t>
            </w:r>
            <w:r>
              <w:rPr>
                <w:color w:val="000000"/>
              </w:rPr>
              <w:t>”</w:t>
            </w:r>
          </w:p>
          <w:p w:rsidRPr="0036292D" w:rsidR="0036292D" w:rsidP="00DA74C8" w:rsidRDefault="0036292D" w14:paraId="3F975480" w14:textId="3E829DBC">
            <w:pPr>
              <w:rPr>
                <w:color w:val="000000"/>
              </w:rPr>
            </w:pPr>
            <w:r>
              <w:rPr>
                <w:color w:val="000000"/>
              </w:rPr>
              <w:t>GRC-MGRA-PD-</w:t>
            </w:r>
            <w:proofErr w:type="spellStart"/>
            <w:r>
              <w:rPr>
                <w:color w:val="000000"/>
              </w:rPr>
              <w:t>Rpl</w:t>
            </w:r>
            <w:proofErr w:type="spellEnd"/>
            <w:r>
              <w:rPr>
                <w:color w:val="000000"/>
              </w:rPr>
              <w:t>; p. 1 – “</w:t>
            </w:r>
            <w:r w:rsidRPr="0036292D">
              <w:rPr>
                <w:color w:val="000000"/>
              </w:rPr>
              <w:t xml:space="preserve">As noted in MGRA’s Comments, MGRA </w:t>
            </w:r>
            <w:r>
              <w:rPr>
                <w:color w:val="000000"/>
              </w:rPr>
              <w:t>m</w:t>
            </w:r>
            <w:r w:rsidRPr="0036292D">
              <w:rPr>
                <w:color w:val="000000"/>
              </w:rPr>
              <w:t>odeled a scenario with similar impacts</w:t>
            </w:r>
          </w:p>
          <w:p w:rsidR="0036292D" w:rsidP="00DA74C8" w:rsidRDefault="0036292D" w14:paraId="23858FE8" w14:textId="376F7313">
            <w:pPr>
              <w:rPr>
                <w:color w:val="000000"/>
              </w:rPr>
            </w:pPr>
            <w:r w:rsidRPr="0036292D">
              <w:rPr>
                <w:color w:val="000000"/>
              </w:rPr>
              <w:t>to the TURN and PD proposals, changing roughly 2/3 of Edison’s original proposed</w:t>
            </w:r>
            <w:r>
              <w:rPr>
                <w:color w:val="000000"/>
              </w:rPr>
              <w:t xml:space="preserve"> </w:t>
            </w:r>
            <w:r w:rsidRPr="0036292D">
              <w:rPr>
                <w:color w:val="000000"/>
              </w:rPr>
              <w:t>undergrounding to covered conductor. However, MGRA’s model did not use any risk ranking to</w:t>
            </w:r>
            <w:r w:rsidR="00DA74C8">
              <w:rPr>
                <w:color w:val="000000"/>
              </w:rPr>
              <w:t xml:space="preserve"> </w:t>
            </w:r>
            <w:r w:rsidRPr="0036292D">
              <w:rPr>
                <w:color w:val="000000"/>
              </w:rPr>
              <w:t>choose circuits for its example but rather drew from randomly selected CC and TUG circuits in</w:t>
            </w:r>
            <w:r>
              <w:t xml:space="preserve"> order to avoid any selection bias</w:t>
            </w:r>
            <w:r w:rsidRPr="0036292D">
              <w:rPr>
                <w:color w:val="000000"/>
              </w:rPr>
              <w:t>.</w:t>
            </w:r>
            <w:r>
              <w:rPr>
                <w:color w:val="000000"/>
              </w:rPr>
              <w:t>”</w:t>
            </w:r>
          </w:p>
          <w:p w:rsidR="0036292D" w:rsidP="00DA74C8" w:rsidRDefault="0036292D" w14:paraId="0FA071CE" w14:textId="4C4AA1B6">
            <w:r>
              <w:rPr>
                <w:color w:val="000000"/>
              </w:rPr>
              <w:lastRenderedPageBreak/>
              <w:t>GRC-SCE-JCE; p. 171 – “</w:t>
            </w:r>
            <w:r>
              <w:t>MGRA proposes a variety of scenarios including a combination of various components: 1) a significant reduction in the TUG program (MGRA proposes 2/3) with circuits slated for TUG receiving covered conductor instead 2) that rather than ramping down the covered conductor program and replacing it with TUG as SCE plans, SCE continues its WCCP until its</w:t>
            </w:r>
            <w:r w:rsidR="00DA74C8">
              <w:t xml:space="preserve"> </w:t>
            </w:r>
            <w:r>
              <w:t>entire HFRA is hardened by 2028 3) a more extensive deployment of REFCL and advanced technologies…</w:t>
            </w:r>
          </w:p>
          <w:p w:rsidR="0036292D" w:rsidP="00DA74C8" w:rsidRDefault="0036292D" w14:paraId="193A9AE5" w14:textId="77777777">
            <w:r>
              <w:t>(MGRA-01E; Tables 19-21)</w:t>
            </w:r>
          </w:p>
          <w:p w:rsidR="0036292D" w:rsidP="00DA74C8" w:rsidRDefault="0036292D" w14:paraId="7854F95D" w14:textId="77777777">
            <w:r>
              <w:t>SCE (MGRA - Total to 2028, assumes $3M/mi TUG): 3,796,383</w:t>
            </w:r>
          </w:p>
          <w:p w:rsidR="0036292D" w:rsidP="00DA74C8" w:rsidRDefault="0036292D" w14:paraId="6EEF4B22" w14:textId="77777777">
            <w:r>
              <w:t>MGRA vs SCE (lowest cost option): (1,644,452)</w:t>
            </w:r>
          </w:p>
          <w:p w:rsidR="0036292D" w:rsidP="00DA74C8" w:rsidRDefault="0036292D" w14:paraId="6D225C59" w14:textId="77777777">
            <w:r>
              <w:t>MGRA (lowest cost option): 2,151,931</w:t>
            </w:r>
          </w:p>
          <w:p w:rsidR="0036292D" w:rsidP="00DA74C8" w:rsidRDefault="0036292D" w14:paraId="5A3DAC0E" w14:textId="77777777">
            <w:r>
              <w:t>MGRA vs SCE (greatest risk reduction option): (955,511)</w:t>
            </w:r>
          </w:p>
          <w:p w:rsidR="0036292D" w:rsidP="00DA74C8" w:rsidRDefault="0036292D" w14:paraId="0AFE7A51" w14:textId="72B76AD3">
            <w:r>
              <w:t>MGRA (greatest risk reduction option):</w:t>
            </w:r>
            <w:r w:rsidR="00D75175">
              <w:t xml:space="preserve"> </w:t>
            </w:r>
            <w:r>
              <w:t>2,840,872</w:t>
            </w:r>
          </w:p>
          <w:p w:rsidRPr="007F620E" w:rsidR="0036292D" w:rsidP="00DA74C8" w:rsidRDefault="0036292D" w14:paraId="2A92A629" w14:textId="69D07947">
            <w:pPr>
              <w:rPr>
                <w:color w:val="000000"/>
              </w:rPr>
            </w:pPr>
            <w:r>
              <w:t>MGRA-01E1, pp. 89-97”</w:t>
            </w:r>
          </w:p>
        </w:tc>
        <w:tc>
          <w:tcPr>
            <w:tcW w:w="1684" w:type="dxa"/>
          </w:tcPr>
          <w:p w:rsidR="00A92D0B" w:rsidP="00DA74C8" w:rsidRDefault="00AC6D0A" w14:paraId="16D75CD6" w14:textId="64675E5D">
            <w:pPr>
              <w:jc w:val="center"/>
              <w:rPr>
                <w:color w:val="000000"/>
              </w:rPr>
            </w:pPr>
            <w:r>
              <w:rPr>
                <w:color w:val="000000"/>
              </w:rPr>
              <w:lastRenderedPageBreak/>
              <w:t>Verified</w:t>
            </w:r>
          </w:p>
          <w:p w:rsidR="00E932C5" w:rsidP="00DA74C8" w:rsidRDefault="00E932C5" w14:paraId="326339F7" w14:textId="77777777">
            <w:pPr>
              <w:rPr>
                <w:color w:val="000000"/>
              </w:rPr>
            </w:pPr>
          </w:p>
          <w:p w:rsidR="00E932C5" w:rsidP="00DA74C8" w:rsidRDefault="00E932C5" w14:paraId="37FCDFE3" w14:textId="77777777">
            <w:pPr>
              <w:rPr>
                <w:color w:val="000000"/>
              </w:rPr>
            </w:pPr>
          </w:p>
          <w:p w:rsidR="00E932C5" w:rsidP="00DA74C8" w:rsidRDefault="00E932C5" w14:paraId="7871F14C" w14:textId="77777777">
            <w:pPr>
              <w:rPr>
                <w:color w:val="000000"/>
              </w:rPr>
            </w:pPr>
          </w:p>
          <w:p w:rsidR="00E932C5" w:rsidP="00DA74C8" w:rsidRDefault="00E932C5" w14:paraId="0ED2C7B2" w14:textId="77777777">
            <w:pPr>
              <w:rPr>
                <w:color w:val="000000"/>
              </w:rPr>
            </w:pPr>
          </w:p>
          <w:p w:rsidR="00E932C5" w:rsidP="00DA74C8" w:rsidRDefault="00E932C5" w14:paraId="0A84F031" w14:textId="77777777">
            <w:pPr>
              <w:rPr>
                <w:color w:val="000000"/>
              </w:rPr>
            </w:pPr>
          </w:p>
          <w:p w:rsidR="00E932C5" w:rsidP="00DA74C8" w:rsidRDefault="00E932C5" w14:paraId="64B12C05" w14:textId="77777777">
            <w:pPr>
              <w:rPr>
                <w:color w:val="000000"/>
              </w:rPr>
            </w:pPr>
          </w:p>
          <w:p w:rsidR="00E932C5" w:rsidP="00DA74C8" w:rsidRDefault="00E932C5" w14:paraId="28551250" w14:textId="77777777">
            <w:pPr>
              <w:rPr>
                <w:color w:val="000000"/>
              </w:rPr>
            </w:pPr>
          </w:p>
          <w:p w:rsidR="00E932C5" w:rsidP="00DA74C8" w:rsidRDefault="00E932C5" w14:paraId="05F23EED" w14:textId="77777777">
            <w:pPr>
              <w:rPr>
                <w:color w:val="000000"/>
              </w:rPr>
            </w:pPr>
          </w:p>
          <w:p w:rsidR="00E932C5" w:rsidP="00DA74C8" w:rsidRDefault="00E932C5" w14:paraId="6A89EDE6" w14:textId="77777777">
            <w:pPr>
              <w:rPr>
                <w:color w:val="000000"/>
              </w:rPr>
            </w:pPr>
          </w:p>
          <w:p w:rsidR="00E932C5" w:rsidP="00DA74C8" w:rsidRDefault="00E932C5" w14:paraId="4FE9A71A" w14:textId="77777777">
            <w:pPr>
              <w:rPr>
                <w:color w:val="000000"/>
              </w:rPr>
            </w:pPr>
          </w:p>
          <w:p w:rsidR="00E932C5" w:rsidP="00DA74C8" w:rsidRDefault="00E932C5" w14:paraId="46122F80" w14:textId="77777777">
            <w:pPr>
              <w:rPr>
                <w:color w:val="000000"/>
              </w:rPr>
            </w:pPr>
          </w:p>
          <w:p w:rsidR="00E932C5" w:rsidP="00DA74C8" w:rsidRDefault="00E932C5" w14:paraId="37C17778" w14:textId="77777777">
            <w:pPr>
              <w:rPr>
                <w:color w:val="000000"/>
              </w:rPr>
            </w:pPr>
          </w:p>
          <w:p w:rsidR="00E932C5" w:rsidP="00DA74C8" w:rsidRDefault="00E932C5" w14:paraId="6D5FC79D" w14:textId="77777777">
            <w:pPr>
              <w:rPr>
                <w:color w:val="000000"/>
              </w:rPr>
            </w:pPr>
          </w:p>
          <w:p w:rsidR="00E932C5" w:rsidP="00DA74C8" w:rsidRDefault="00E932C5" w14:paraId="727D802A" w14:textId="77777777">
            <w:pPr>
              <w:rPr>
                <w:color w:val="000000"/>
              </w:rPr>
            </w:pPr>
          </w:p>
          <w:p w:rsidR="00E932C5" w:rsidP="00DA74C8" w:rsidRDefault="00E932C5" w14:paraId="56C2C847" w14:textId="77777777">
            <w:pPr>
              <w:rPr>
                <w:color w:val="000000"/>
              </w:rPr>
            </w:pPr>
          </w:p>
          <w:p w:rsidR="00E932C5" w:rsidP="00DA74C8" w:rsidRDefault="00E932C5" w14:paraId="12D2B509" w14:textId="77777777">
            <w:pPr>
              <w:rPr>
                <w:color w:val="000000"/>
              </w:rPr>
            </w:pPr>
          </w:p>
          <w:p w:rsidR="00E932C5" w:rsidP="00DA74C8" w:rsidRDefault="00E932C5" w14:paraId="6A44A5B7" w14:textId="77777777">
            <w:pPr>
              <w:rPr>
                <w:color w:val="000000"/>
              </w:rPr>
            </w:pPr>
          </w:p>
          <w:p w:rsidR="00E932C5" w:rsidP="00DA74C8" w:rsidRDefault="00E932C5" w14:paraId="3072814F" w14:textId="77777777">
            <w:pPr>
              <w:rPr>
                <w:color w:val="000000"/>
              </w:rPr>
            </w:pPr>
          </w:p>
          <w:p w:rsidR="00E932C5" w:rsidP="00DA74C8" w:rsidRDefault="00E932C5" w14:paraId="6E6F2389" w14:textId="77777777">
            <w:pPr>
              <w:rPr>
                <w:color w:val="000000"/>
              </w:rPr>
            </w:pPr>
          </w:p>
          <w:p w:rsidR="00E932C5" w:rsidP="00DA74C8" w:rsidRDefault="00E932C5" w14:paraId="73617DA4" w14:textId="77777777">
            <w:pPr>
              <w:jc w:val="center"/>
              <w:rPr>
                <w:color w:val="000000"/>
              </w:rPr>
            </w:pPr>
            <w:r>
              <w:rPr>
                <w:color w:val="000000"/>
              </w:rPr>
              <w:t>Verified</w:t>
            </w:r>
          </w:p>
          <w:p w:rsidR="00E932C5" w:rsidP="00DA74C8" w:rsidRDefault="00E932C5" w14:paraId="5F5A97B2" w14:textId="77777777">
            <w:pPr>
              <w:rPr>
                <w:color w:val="000000"/>
              </w:rPr>
            </w:pPr>
          </w:p>
          <w:p w:rsidR="00E932C5" w:rsidP="00DA74C8" w:rsidRDefault="00E932C5" w14:paraId="4C88D43C" w14:textId="77777777">
            <w:pPr>
              <w:rPr>
                <w:color w:val="000000"/>
              </w:rPr>
            </w:pPr>
          </w:p>
          <w:p w:rsidR="00E932C5" w:rsidP="00DA74C8" w:rsidRDefault="00E932C5" w14:paraId="7694FD88" w14:textId="77777777">
            <w:pPr>
              <w:rPr>
                <w:color w:val="000000"/>
              </w:rPr>
            </w:pPr>
          </w:p>
          <w:p w:rsidR="00E932C5" w:rsidP="00DA74C8" w:rsidRDefault="00E932C5" w14:paraId="4759F540" w14:textId="77777777">
            <w:pPr>
              <w:rPr>
                <w:color w:val="000000"/>
              </w:rPr>
            </w:pPr>
          </w:p>
          <w:p w:rsidR="00E932C5" w:rsidP="00DA74C8" w:rsidRDefault="00E932C5" w14:paraId="1079C109" w14:textId="77777777">
            <w:pPr>
              <w:rPr>
                <w:color w:val="000000"/>
              </w:rPr>
            </w:pPr>
          </w:p>
          <w:p w:rsidR="00E932C5" w:rsidP="00DA74C8" w:rsidRDefault="00C22674" w14:paraId="77F1136B" w14:textId="02295DB5">
            <w:pPr>
              <w:rPr>
                <w:color w:val="000000"/>
              </w:rPr>
            </w:pPr>
            <w:r>
              <w:rPr>
                <w:color w:val="000000"/>
              </w:rPr>
              <w:t>We verify this citation, however</w:t>
            </w:r>
            <w:r w:rsidR="00E5668B">
              <w:rPr>
                <w:color w:val="000000"/>
              </w:rPr>
              <w:t>,</w:t>
            </w:r>
            <w:r>
              <w:rPr>
                <w:color w:val="000000"/>
              </w:rPr>
              <w:t xml:space="preserve"> the correct location is</w:t>
            </w:r>
            <w:r w:rsidR="00AB3019">
              <w:rPr>
                <w:color w:val="000000"/>
              </w:rPr>
              <w:t xml:space="preserve"> </w:t>
            </w:r>
            <w:r w:rsidR="00AC78AE">
              <w:rPr>
                <w:color w:val="000000"/>
              </w:rPr>
              <w:t>at</w:t>
            </w:r>
            <w:r w:rsidR="00FC3EF8">
              <w:rPr>
                <w:color w:val="000000"/>
              </w:rPr>
              <w:t xml:space="preserve"> </w:t>
            </w:r>
            <w:r>
              <w:rPr>
                <w:color w:val="000000"/>
              </w:rPr>
              <w:t>382-83.</w:t>
            </w:r>
          </w:p>
          <w:p w:rsidR="00C22674" w:rsidP="00DA74C8" w:rsidRDefault="00C22674" w14:paraId="178BC2B9" w14:textId="77777777">
            <w:pPr>
              <w:rPr>
                <w:color w:val="000000"/>
              </w:rPr>
            </w:pPr>
          </w:p>
          <w:p w:rsidR="00C22674" w:rsidP="00DA74C8" w:rsidRDefault="00C22674" w14:paraId="662EE711" w14:textId="77777777">
            <w:pPr>
              <w:rPr>
                <w:color w:val="000000"/>
              </w:rPr>
            </w:pPr>
          </w:p>
          <w:p w:rsidR="00E05E19" w:rsidP="00DA74C8" w:rsidRDefault="00E05E19" w14:paraId="2648BFD0" w14:textId="399E77F6">
            <w:pPr>
              <w:jc w:val="center"/>
              <w:rPr>
                <w:color w:val="000000"/>
              </w:rPr>
            </w:pPr>
            <w:r>
              <w:rPr>
                <w:color w:val="000000"/>
              </w:rPr>
              <w:t>Verified</w:t>
            </w:r>
          </w:p>
          <w:p w:rsidR="00E05E19" w:rsidP="00DA74C8" w:rsidRDefault="00E05E19" w14:paraId="08DFF3B7" w14:textId="77777777">
            <w:pPr>
              <w:rPr>
                <w:color w:val="000000"/>
              </w:rPr>
            </w:pPr>
          </w:p>
          <w:p w:rsidR="00E05E19" w:rsidP="00DA74C8" w:rsidRDefault="00E05E19" w14:paraId="7E6210A6" w14:textId="77777777">
            <w:pPr>
              <w:rPr>
                <w:color w:val="000000"/>
              </w:rPr>
            </w:pPr>
          </w:p>
          <w:p w:rsidR="00E05E19" w:rsidP="00DA74C8" w:rsidRDefault="00E05E19" w14:paraId="3427E663" w14:textId="77777777">
            <w:pPr>
              <w:rPr>
                <w:color w:val="000000"/>
              </w:rPr>
            </w:pPr>
          </w:p>
          <w:p w:rsidR="00E05E19" w:rsidP="00DA74C8" w:rsidRDefault="00E05E19" w14:paraId="1394EB28" w14:textId="77777777">
            <w:pPr>
              <w:rPr>
                <w:color w:val="000000"/>
              </w:rPr>
            </w:pPr>
          </w:p>
          <w:p w:rsidR="00E05E19" w:rsidP="00DA74C8" w:rsidRDefault="00E05E19" w14:paraId="5E110700" w14:textId="77777777">
            <w:pPr>
              <w:rPr>
                <w:color w:val="000000"/>
              </w:rPr>
            </w:pPr>
          </w:p>
          <w:p w:rsidR="00FC3EF8" w:rsidP="00DA74C8" w:rsidRDefault="00FC3EF8" w14:paraId="7B84FDE2" w14:textId="77777777">
            <w:pPr>
              <w:rPr>
                <w:color w:val="000000"/>
              </w:rPr>
            </w:pPr>
          </w:p>
          <w:p w:rsidR="00E05E19" w:rsidP="00DA74C8" w:rsidRDefault="00E05E19" w14:paraId="7F85C788" w14:textId="77777777">
            <w:pPr>
              <w:rPr>
                <w:color w:val="000000"/>
              </w:rPr>
            </w:pPr>
          </w:p>
          <w:p w:rsidRPr="007F620E" w:rsidR="00E05E19" w:rsidP="00DA74C8" w:rsidRDefault="00F34BF9" w14:paraId="56FD3368" w14:textId="10793EFC">
            <w:pPr>
              <w:rPr>
                <w:color w:val="000000"/>
              </w:rPr>
            </w:pPr>
            <w:r>
              <w:rPr>
                <w:color w:val="000000"/>
              </w:rPr>
              <w:lastRenderedPageBreak/>
              <w:t xml:space="preserve">We verify </w:t>
            </w:r>
            <w:r w:rsidR="00A90E9B">
              <w:rPr>
                <w:color w:val="000000"/>
              </w:rPr>
              <w:t xml:space="preserve">that </w:t>
            </w:r>
            <w:r w:rsidR="00443CDD">
              <w:rPr>
                <w:color w:val="000000"/>
              </w:rPr>
              <w:t>this citation</w:t>
            </w:r>
            <w:r w:rsidR="00A90E9B">
              <w:rPr>
                <w:color w:val="000000"/>
              </w:rPr>
              <w:t xml:space="preserve"> is</w:t>
            </w:r>
            <w:r w:rsidR="00443CDD">
              <w:rPr>
                <w:color w:val="000000"/>
              </w:rPr>
              <w:t xml:space="preserve"> from </w:t>
            </w:r>
            <w:r w:rsidR="00754398">
              <w:rPr>
                <w:color w:val="000000"/>
              </w:rPr>
              <w:t>SCE-42, the</w:t>
            </w:r>
            <w:r w:rsidR="00443CDD">
              <w:rPr>
                <w:color w:val="000000"/>
              </w:rPr>
              <w:t xml:space="preserve"> Joint Comparison Exhibit</w:t>
            </w:r>
            <w:r w:rsidR="00754398">
              <w:rPr>
                <w:color w:val="000000"/>
              </w:rPr>
              <w:t xml:space="preserve"> (JCE).</w:t>
            </w:r>
          </w:p>
        </w:tc>
      </w:tr>
      <w:tr w:rsidRPr="007F620E" w:rsidR="00691528" w:rsidTr="00476311" w14:paraId="36FF786B" w14:textId="77777777">
        <w:tc>
          <w:tcPr>
            <w:tcW w:w="3325" w:type="dxa"/>
          </w:tcPr>
          <w:p w:rsidR="00CD21D3" w:rsidP="00CA36D7" w:rsidRDefault="00691528" w14:paraId="7F897B08" w14:textId="3204A8EB">
            <w:pPr>
              <w:spacing w:after="120"/>
              <w:rPr>
                <w:color w:val="000000"/>
              </w:rPr>
            </w:pPr>
            <w:r>
              <w:rPr>
                <w:color w:val="000000"/>
              </w:rPr>
              <w:lastRenderedPageBreak/>
              <w:t>3.</w:t>
            </w:r>
            <w:r w:rsidR="00E25078">
              <w:rPr>
                <w:color w:val="000000"/>
              </w:rPr>
              <w:t xml:space="preserve"> </w:t>
            </w:r>
            <w:r w:rsidR="00CD21D3">
              <w:rPr>
                <w:color w:val="000000"/>
              </w:rPr>
              <w:t xml:space="preserve">MGRA extensively analyzed and opposed SCE’s Integrated Wildfire Mitigation Strategy (IWMS) framework, which SCE proposed using as an alternative to risk based-decision making when determining mitigations. MGRA had opposed SCE’s proposal in the RDF proceeding and brought it to the attention of other intervenors in the SCE </w:t>
            </w:r>
            <w:r w:rsidR="000B20CA">
              <w:rPr>
                <w:color w:val="000000"/>
              </w:rPr>
              <w:t xml:space="preserve">RAMP and </w:t>
            </w:r>
            <w:r w:rsidR="00CD21D3">
              <w:rPr>
                <w:color w:val="000000"/>
              </w:rPr>
              <w:t>GRC proceeding</w:t>
            </w:r>
            <w:r w:rsidR="000B20CA">
              <w:rPr>
                <w:color w:val="000000"/>
              </w:rPr>
              <w:t>s</w:t>
            </w:r>
            <w:r w:rsidR="00CD21D3">
              <w:rPr>
                <w:color w:val="000000"/>
              </w:rPr>
              <w:t xml:space="preserve">. MGRA noted that IWMS was a qualitative heuristic model that in some cases (particularly for high wind areas) compensated for flaws in SCE’s MARS risk model. MGRA also observed </w:t>
            </w:r>
            <w:r w:rsidR="00CD21D3">
              <w:rPr>
                <w:color w:val="000000"/>
              </w:rPr>
              <w:lastRenderedPageBreak/>
              <w:t>that with IWMS SCE effectively adopts a “zero-tolerance” risk policy in contravention of Commission precedent.</w:t>
            </w:r>
          </w:p>
          <w:p w:rsidRPr="00D75175" w:rsidR="00E25078" w:rsidP="00DA74C8" w:rsidRDefault="00CD21D3" w14:paraId="77A8C970" w14:textId="1348B239">
            <w:pPr>
              <w:rPr>
                <w:b/>
                <w:bCs/>
                <w:color w:val="000000"/>
              </w:rPr>
            </w:pPr>
            <w:r>
              <w:rPr>
                <w:b/>
                <w:bCs/>
                <w:color w:val="000000"/>
              </w:rPr>
              <w:t>Type:</w:t>
            </w:r>
            <w:r w:rsidR="00CA36D7">
              <w:rPr>
                <w:b/>
                <w:bCs/>
                <w:color w:val="000000"/>
              </w:rPr>
              <w:t>  </w:t>
            </w:r>
            <w:r>
              <w:rPr>
                <w:b/>
                <w:bCs/>
                <w:color w:val="000000"/>
              </w:rPr>
              <w:t>Initiator</w:t>
            </w:r>
            <w:r>
              <w:rPr>
                <w:b/>
                <w:bCs/>
                <w:color w:val="000000"/>
              </w:rPr>
              <w:br/>
              <w:t>Topic:</w:t>
            </w:r>
            <w:r w:rsidR="00CA36D7">
              <w:rPr>
                <w:b/>
                <w:bCs/>
                <w:color w:val="000000"/>
              </w:rPr>
              <w:t>  </w:t>
            </w:r>
            <w:r>
              <w:rPr>
                <w:b/>
                <w:bCs/>
                <w:color w:val="000000"/>
              </w:rPr>
              <w:t>IWMS</w:t>
            </w:r>
          </w:p>
        </w:tc>
        <w:tc>
          <w:tcPr>
            <w:tcW w:w="4729" w:type="dxa"/>
          </w:tcPr>
          <w:p w:rsidR="00CD21D3" w:rsidP="00CA36D7" w:rsidRDefault="00CD21D3" w14:paraId="4B2DA1AE" w14:textId="2BA71F74">
            <w:pPr>
              <w:spacing w:after="120"/>
              <w:rPr>
                <w:color w:val="000000"/>
              </w:rPr>
            </w:pPr>
            <w:r>
              <w:rPr>
                <w:color w:val="000000"/>
              </w:rPr>
              <w:lastRenderedPageBreak/>
              <w:t>FD; p. 21 – “</w:t>
            </w:r>
            <w:r w:rsidRPr="00CD21D3">
              <w:rPr>
                <w:color w:val="000000"/>
              </w:rPr>
              <w:t>MGRA asserts that: (1) SCE’s Integrated Wildfire Mitigation Strategy (IWMS) has not been demonstrated to be a risk model, though in some cases it provides a heuristic that compensates for flaws in SCE’s MARS wildfire risk model</w:t>
            </w:r>
            <w:r>
              <w:rPr>
                <w:color w:val="000000"/>
              </w:rPr>
              <w:t>..”</w:t>
            </w:r>
          </w:p>
          <w:p w:rsidRPr="00CA36D7" w:rsidR="00CD21D3" w:rsidP="00CA36D7" w:rsidRDefault="00CD21D3" w14:paraId="3D544823" w14:textId="77D11888">
            <w:pPr>
              <w:spacing w:after="120"/>
            </w:pPr>
            <w:r>
              <w:rPr>
                <w:color w:val="000000"/>
              </w:rPr>
              <w:t>FD; p. 375 – “</w:t>
            </w:r>
            <w:r>
              <w:t>SCE largely fails to demonstrate why its IWMS framework is necessary or an efficient use of party and Commission resources, especially given the extensive, ongoing refinements made to the RDF.”</w:t>
            </w:r>
          </w:p>
          <w:p w:rsidRPr="00CD21D3" w:rsidR="00CD21D3" w:rsidP="00DA74C8" w:rsidRDefault="00CD21D3" w14:paraId="556589E5" w14:textId="77777777">
            <w:pPr>
              <w:rPr>
                <w:color w:val="000000"/>
              </w:rPr>
            </w:pPr>
            <w:r>
              <w:rPr>
                <w:color w:val="000000"/>
              </w:rPr>
              <w:t>FD; p. 362 – “</w:t>
            </w:r>
            <w:r w:rsidRPr="00CD21D3">
              <w:rPr>
                <w:color w:val="000000"/>
              </w:rPr>
              <w:t xml:space="preserve">A common point of contention among intervenors in this proceeding concerns SCE’s use of SRAs to define the scope of its proposed TUG program. As argued by TURN, Cal Advocates, MGRA, and SBUA, SCE’s IWMS framework uses qualitative criteria to categorize the consequences of different risks, </w:t>
            </w:r>
            <w:r w:rsidRPr="00CD21D3">
              <w:rPr>
                <w:color w:val="000000"/>
              </w:rPr>
              <w:lastRenderedPageBreak/>
              <w:t>and consequently fails to consider the likelihood of ignition when assessing whether to use undergrounding in its wildfire-mitigation efforts.1354</w:t>
            </w:r>
          </w:p>
          <w:p w:rsidRPr="00CA36D7" w:rsidR="00CA1DE7" w:rsidP="00CA36D7" w:rsidRDefault="00CD21D3" w14:paraId="06311907" w14:textId="4E89A1B8">
            <w:pPr>
              <w:spacing w:after="120"/>
              <w:rPr>
                <w:color w:val="000000"/>
              </w:rPr>
            </w:pPr>
            <w:r w:rsidRPr="00CD21D3">
              <w:rPr>
                <w:color w:val="000000"/>
              </w:rPr>
              <w:t>1354 TURN OB at 184-194; Cal Advocates OB at 8-18; MGRA OB at 9-14; SBUA OB at</w:t>
            </w:r>
            <w:r w:rsidR="00CA36D7">
              <w:rPr>
                <w:color w:val="000000"/>
              </w:rPr>
              <w:t> </w:t>
            </w:r>
            <w:r w:rsidRPr="00CD21D3">
              <w:rPr>
                <w:color w:val="000000"/>
              </w:rPr>
              <w:t>18.</w:t>
            </w:r>
            <w:r>
              <w:rPr>
                <w:color w:val="000000"/>
              </w:rPr>
              <w:t>”</w:t>
            </w:r>
          </w:p>
          <w:p w:rsidR="00CA1DE7" w:rsidP="00DA74C8" w:rsidRDefault="00CA1DE7" w14:paraId="2F46A387" w14:textId="1C29AF26">
            <w:r>
              <w:t>“Further, these parties and EPUC observe that SCE’s decision tree concerning when to deploy undergrounding hinges on whether a circuit is in a SRA, giving no consideration to the cost-effectiveness or risk spend efficiency (RSE)1355 of undergrounding as compared to alternative wildfire mitigations.1356</w:t>
            </w:r>
          </w:p>
          <w:p w:rsidR="00CA1DE7" w:rsidP="00DA74C8" w:rsidRDefault="00CA1DE7" w14:paraId="43FC2D16" w14:textId="5BB73D9D">
            <w:r>
              <w:t>1356 TURN OB at 186-187; Cal Advocates OB at 8-9; MGRA OB at 13-14; Ex. SBUA-01 at 18; EPUC OB at 10-14.”</w:t>
            </w:r>
          </w:p>
          <w:p w:rsidR="00CA1DE7" w:rsidP="00DA74C8" w:rsidRDefault="00CA1DE7" w14:paraId="3C5A83ED" w14:textId="424EF79A">
            <w:r>
              <w:t>p. 363 – “…in failing to consider, analyze, and select the most cost-effective wildfire grid hardening mitigation available, SCE’s current mitigation-selection process effectively sets a zero risk-tolerance policy without any thresholds for affordability.1359</w:t>
            </w:r>
          </w:p>
          <w:p w:rsidRPr="007F620E" w:rsidR="00CA1DE7" w:rsidP="00DA74C8" w:rsidRDefault="00CA1DE7" w14:paraId="2144B6BD" w14:textId="6CFD9E84">
            <w:pPr>
              <w:rPr>
                <w:color w:val="000000"/>
              </w:rPr>
            </w:pPr>
            <w:r>
              <w:t>1359 Ex. TURN-12 at 5-11; Ex. CA-30 at 1</w:t>
            </w:r>
            <w:r w:rsidR="003368B5">
              <w:noBreakHyphen/>
            </w:r>
            <w:r>
              <w:t>20; Ex. MGRA-01 at 15-22; Ex. SBUA-01 at 22-25; Ex. EPUC-01 at 24-33.</w:t>
            </w:r>
          </w:p>
        </w:tc>
        <w:tc>
          <w:tcPr>
            <w:tcW w:w="1684" w:type="dxa"/>
          </w:tcPr>
          <w:p w:rsidR="00691528" w:rsidP="00DA74C8" w:rsidRDefault="008458BA" w14:paraId="4417A1C0" w14:textId="77777777">
            <w:pPr>
              <w:jc w:val="center"/>
              <w:rPr>
                <w:color w:val="000000"/>
              </w:rPr>
            </w:pPr>
            <w:r>
              <w:rPr>
                <w:color w:val="000000"/>
              </w:rPr>
              <w:lastRenderedPageBreak/>
              <w:t>Verified</w:t>
            </w:r>
          </w:p>
          <w:p w:rsidR="008458BA" w:rsidP="00DA74C8" w:rsidRDefault="008458BA" w14:paraId="2FF5CB21" w14:textId="77777777">
            <w:pPr>
              <w:rPr>
                <w:color w:val="000000"/>
              </w:rPr>
            </w:pPr>
          </w:p>
          <w:p w:rsidR="008458BA" w:rsidP="00DA74C8" w:rsidRDefault="008458BA" w14:paraId="023B348F" w14:textId="77777777">
            <w:pPr>
              <w:rPr>
                <w:color w:val="000000"/>
              </w:rPr>
            </w:pPr>
          </w:p>
          <w:p w:rsidR="008458BA" w:rsidP="00DA74C8" w:rsidRDefault="008458BA" w14:paraId="4993B4E9" w14:textId="77777777">
            <w:pPr>
              <w:rPr>
                <w:color w:val="000000"/>
              </w:rPr>
            </w:pPr>
          </w:p>
          <w:p w:rsidR="008458BA" w:rsidP="00DA74C8" w:rsidRDefault="008458BA" w14:paraId="2E401C4D" w14:textId="77777777">
            <w:pPr>
              <w:rPr>
                <w:color w:val="000000"/>
              </w:rPr>
            </w:pPr>
          </w:p>
          <w:p w:rsidR="008458BA" w:rsidP="00DA74C8" w:rsidRDefault="008458BA" w14:paraId="168600BC" w14:textId="77777777">
            <w:pPr>
              <w:rPr>
                <w:color w:val="000000"/>
              </w:rPr>
            </w:pPr>
          </w:p>
          <w:p w:rsidR="008458BA" w:rsidP="00DA74C8" w:rsidRDefault="008458BA" w14:paraId="28E5EE7F" w14:textId="77777777">
            <w:pPr>
              <w:rPr>
                <w:color w:val="000000"/>
              </w:rPr>
            </w:pPr>
          </w:p>
          <w:p w:rsidR="008458BA" w:rsidP="00DA74C8" w:rsidRDefault="008458BA" w14:paraId="202026DB" w14:textId="77777777">
            <w:pPr>
              <w:rPr>
                <w:color w:val="000000"/>
              </w:rPr>
            </w:pPr>
          </w:p>
          <w:p w:rsidR="00A90E9B" w:rsidP="00DA74C8" w:rsidRDefault="00A90E9B" w14:paraId="75B65C98" w14:textId="77777777">
            <w:pPr>
              <w:rPr>
                <w:color w:val="000000"/>
              </w:rPr>
            </w:pPr>
          </w:p>
          <w:p w:rsidR="008458BA" w:rsidP="00DA74C8" w:rsidRDefault="002A7AD1" w14:paraId="23F3C32D" w14:textId="77777777">
            <w:pPr>
              <w:jc w:val="center"/>
              <w:rPr>
                <w:color w:val="000000"/>
              </w:rPr>
            </w:pPr>
            <w:r>
              <w:rPr>
                <w:color w:val="000000"/>
              </w:rPr>
              <w:t>Verified</w:t>
            </w:r>
          </w:p>
          <w:p w:rsidR="002A7AD1" w:rsidP="00DA74C8" w:rsidRDefault="002A7AD1" w14:paraId="03CD87C6" w14:textId="77777777">
            <w:pPr>
              <w:rPr>
                <w:color w:val="000000"/>
              </w:rPr>
            </w:pPr>
          </w:p>
          <w:p w:rsidR="002A7AD1" w:rsidP="00DA74C8" w:rsidRDefault="002A7AD1" w14:paraId="3916123E" w14:textId="77777777">
            <w:pPr>
              <w:rPr>
                <w:color w:val="000000"/>
              </w:rPr>
            </w:pPr>
          </w:p>
          <w:p w:rsidR="002A7AD1" w:rsidP="00DA74C8" w:rsidRDefault="002A7AD1" w14:paraId="46EB19A8" w14:textId="77777777">
            <w:pPr>
              <w:rPr>
                <w:color w:val="000000"/>
              </w:rPr>
            </w:pPr>
          </w:p>
          <w:p w:rsidR="002A7AD1" w:rsidP="00DA74C8" w:rsidRDefault="002A7AD1" w14:paraId="02DCF7F9" w14:textId="77777777">
            <w:pPr>
              <w:rPr>
                <w:color w:val="000000"/>
              </w:rPr>
            </w:pPr>
          </w:p>
          <w:p w:rsidR="002A7AD1" w:rsidP="00DA74C8" w:rsidRDefault="002A7AD1" w14:paraId="14C33BB3" w14:textId="77777777">
            <w:pPr>
              <w:rPr>
                <w:color w:val="000000"/>
              </w:rPr>
            </w:pPr>
          </w:p>
          <w:p w:rsidR="002A7AD1" w:rsidP="00DA74C8" w:rsidRDefault="002A7AD1" w14:paraId="4AF32AA3" w14:textId="77777777">
            <w:pPr>
              <w:rPr>
                <w:color w:val="000000"/>
              </w:rPr>
            </w:pPr>
          </w:p>
          <w:p w:rsidR="002A7AD1" w:rsidP="00DA74C8" w:rsidRDefault="002A7AD1" w14:paraId="24472216" w14:textId="77777777">
            <w:pPr>
              <w:jc w:val="center"/>
              <w:rPr>
                <w:color w:val="000000"/>
              </w:rPr>
            </w:pPr>
            <w:r>
              <w:rPr>
                <w:color w:val="000000"/>
              </w:rPr>
              <w:t>Verified</w:t>
            </w:r>
          </w:p>
          <w:p w:rsidR="002A7AD1" w:rsidP="00DA74C8" w:rsidRDefault="002A7AD1" w14:paraId="31179B99" w14:textId="77777777">
            <w:pPr>
              <w:rPr>
                <w:color w:val="000000"/>
              </w:rPr>
            </w:pPr>
          </w:p>
          <w:p w:rsidR="002A7AD1" w:rsidP="00DA74C8" w:rsidRDefault="002A7AD1" w14:paraId="0BE57B65" w14:textId="77777777">
            <w:pPr>
              <w:rPr>
                <w:color w:val="000000"/>
              </w:rPr>
            </w:pPr>
          </w:p>
          <w:p w:rsidR="002A7AD1" w:rsidP="00DA74C8" w:rsidRDefault="002A7AD1" w14:paraId="1DA017EB" w14:textId="77777777">
            <w:pPr>
              <w:rPr>
                <w:color w:val="000000"/>
              </w:rPr>
            </w:pPr>
          </w:p>
          <w:p w:rsidR="002A7AD1" w:rsidP="00DA74C8" w:rsidRDefault="002A7AD1" w14:paraId="34FE6781" w14:textId="77777777">
            <w:pPr>
              <w:rPr>
                <w:color w:val="000000"/>
              </w:rPr>
            </w:pPr>
          </w:p>
          <w:p w:rsidR="002A7AD1" w:rsidP="00DA74C8" w:rsidRDefault="002A7AD1" w14:paraId="036520D8" w14:textId="77777777">
            <w:pPr>
              <w:rPr>
                <w:color w:val="000000"/>
              </w:rPr>
            </w:pPr>
          </w:p>
          <w:p w:rsidR="002A7AD1" w:rsidP="00DA74C8" w:rsidRDefault="002A7AD1" w14:paraId="5BFFFAE6" w14:textId="77777777">
            <w:pPr>
              <w:rPr>
                <w:color w:val="000000"/>
              </w:rPr>
            </w:pPr>
          </w:p>
          <w:p w:rsidR="002A7AD1" w:rsidP="00DA74C8" w:rsidRDefault="002A7AD1" w14:paraId="3FEDDF35" w14:textId="77777777">
            <w:pPr>
              <w:rPr>
                <w:color w:val="000000"/>
              </w:rPr>
            </w:pPr>
          </w:p>
          <w:p w:rsidR="002A7AD1" w:rsidP="00DA74C8" w:rsidRDefault="002A7AD1" w14:paraId="378647A2" w14:textId="77777777">
            <w:pPr>
              <w:rPr>
                <w:color w:val="000000"/>
              </w:rPr>
            </w:pPr>
          </w:p>
          <w:p w:rsidR="002A7AD1" w:rsidP="00DA74C8" w:rsidRDefault="002A7AD1" w14:paraId="2E4276B7" w14:textId="77777777">
            <w:pPr>
              <w:rPr>
                <w:color w:val="000000"/>
              </w:rPr>
            </w:pPr>
          </w:p>
          <w:p w:rsidR="002A7AD1" w:rsidP="00DA74C8" w:rsidRDefault="002A7AD1" w14:paraId="5F1DBE76" w14:textId="77777777">
            <w:pPr>
              <w:rPr>
                <w:color w:val="000000"/>
              </w:rPr>
            </w:pPr>
          </w:p>
          <w:p w:rsidR="002A7AD1" w:rsidP="00DA74C8" w:rsidRDefault="002A7AD1" w14:paraId="43C77C9B" w14:textId="77777777">
            <w:pPr>
              <w:rPr>
                <w:color w:val="000000"/>
              </w:rPr>
            </w:pPr>
          </w:p>
          <w:p w:rsidR="007A4A50" w:rsidP="00DA74C8" w:rsidRDefault="007A4A50" w14:paraId="56B947CD" w14:textId="77777777">
            <w:pPr>
              <w:rPr>
                <w:color w:val="000000"/>
              </w:rPr>
            </w:pPr>
          </w:p>
          <w:p w:rsidR="007A4A50" w:rsidP="00DA74C8" w:rsidRDefault="007A4A50" w14:paraId="4B7C97BC" w14:textId="77777777">
            <w:pPr>
              <w:rPr>
                <w:color w:val="000000"/>
              </w:rPr>
            </w:pPr>
          </w:p>
          <w:p w:rsidR="007A4A50" w:rsidP="00DA74C8" w:rsidRDefault="007A4A50" w14:paraId="79198E29" w14:textId="77777777">
            <w:pPr>
              <w:rPr>
                <w:color w:val="000000"/>
              </w:rPr>
            </w:pPr>
          </w:p>
          <w:p w:rsidR="007A4A50" w:rsidP="00DA74C8" w:rsidRDefault="007A4A50" w14:paraId="2B4D1825" w14:textId="77777777">
            <w:pPr>
              <w:rPr>
                <w:color w:val="000000"/>
              </w:rPr>
            </w:pPr>
          </w:p>
          <w:p w:rsidR="007A4A50" w:rsidP="00DA74C8" w:rsidRDefault="007A4A50" w14:paraId="7A5DEEDB" w14:textId="77777777">
            <w:pPr>
              <w:rPr>
                <w:color w:val="000000"/>
              </w:rPr>
            </w:pPr>
          </w:p>
          <w:p w:rsidR="007A4A50" w:rsidP="00DA74C8" w:rsidRDefault="007A4A50" w14:paraId="45B83C1B" w14:textId="77777777">
            <w:pPr>
              <w:rPr>
                <w:color w:val="000000"/>
              </w:rPr>
            </w:pPr>
          </w:p>
          <w:p w:rsidRPr="007F620E" w:rsidR="007A4A50" w:rsidP="00DA74C8" w:rsidRDefault="00AB16E6" w14:paraId="64233D9C" w14:textId="44151A58">
            <w:pPr>
              <w:jc w:val="center"/>
              <w:rPr>
                <w:color w:val="000000"/>
              </w:rPr>
            </w:pPr>
            <w:r>
              <w:rPr>
                <w:color w:val="000000"/>
              </w:rPr>
              <w:t>Verified</w:t>
            </w:r>
            <w:r w:rsidR="00E75BA0">
              <w:rPr>
                <w:color w:val="000000"/>
              </w:rPr>
              <w:t xml:space="preserve"> However</w:t>
            </w:r>
            <w:r w:rsidR="00E206A6">
              <w:rPr>
                <w:color w:val="000000"/>
              </w:rPr>
              <w:t>,</w:t>
            </w:r>
            <w:r>
              <w:rPr>
                <w:color w:val="000000"/>
              </w:rPr>
              <w:t xml:space="preserve"> this citation is also on page 362 of D.25-</w:t>
            </w:r>
            <w:r w:rsidR="00D26B9E">
              <w:rPr>
                <w:color w:val="000000"/>
              </w:rPr>
              <w:t>09-030.</w:t>
            </w:r>
          </w:p>
        </w:tc>
      </w:tr>
      <w:tr w:rsidRPr="007F620E" w:rsidR="000B20CA" w:rsidTr="00476311" w14:paraId="134B332B" w14:textId="77777777">
        <w:tc>
          <w:tcPr>
            <w:tcW w:w="3325" w:type="dxa"/>
          </w:tcPr>
          <w:p w:rsidR="000B20CA" w:rsidP="00476311" w:rsidRDefault="000B20CA" w14:paraId="6A940746" w14:textId="0F2917A7">
            <w:pPr>
              <w:spacing w:after="120"/>
              <w:rPr>
                <w:color w:val="000000"/>
              </w:rPr>
            </w:pPr>
            <w:r>
              <w:rPr>
                <w:color w:val="000000"/>
              </w:rPr>
              <w:lastRenderedPageBreak/>
              <w:t>4. MGRA and other intervenors noted that egress, PSPS and other factors included in SCE’s IWMS model as presented in its RAMP should instead be incorporated into its MARS risk model. Egress and PSPS risk were in fact included in the MARS model presented by SCE in its GRC.</w:t>
            </w:r>
          </w:p>
          <w:p w:rsidR="000B20CA" w:rsidP="00DA74C8" w:rsidRDefault="000B20CA" w14:paraId="72B7EA85" w14:textId="01C9ED6B">
            <w:pPr>
              <w:rPr>
                <w:b/>
                <w:bCs/>
                <w:color w:val="000000"/>
              </w:rPr>
            </w:pPr>
            <w:r>
              <w:rPr>
                <w:b/>
                <w:bCs/>
                <w:color w:val="000000"/>
              </w:rPr>
              <w:t>Type:</w:t>
            </w:r>
            <w:r w:rsidR="00476311">
              <w:rPr>
                <w:b/>
                <w:bCs/>
                <w:color w:val="000000"/>
              </w:rPr>
              <w:t>  </w:t>
            </w:r>
            <w:r>
              <w:rPr>
                <w:b/>
                <w:bCs/>
                <w:color w:val="000000"/>
              </w:rPr>
              <w:t>Contributor</w:t>
            </w:r>
          </w:p>
          <w:p w:rsidRPr="000B20CA" w:rsidR="000B20CA" w:rsidP="00DA74C8" w:rsidRDefault="000B20CA" w14:paraId="7E8D0F9D" w14:textId="23274223">
            <w:pPr>
              <w:rPr>
                <w:b/>
                <w:bCs/>
                <w:color w:val="000000"/>
              </w:rPr>
            </w:pPr>
            <w:r>
              <w:rPr>
                <w:b/>
                <w:bCs/>
                <w:color w:val="000000"/>
              </w:rPr>
              <w:t>Topic:</w:t>
            </w:r>
            <w:r w:rsidR="00476311">
              <w:rPr>
                <w:b/>
                <w:bCs/>
                <w:color w:val="000000"/>
              </w:rPr>
              <w:t>  </w:t>
            </w:r>
            <w:r>
              <w:rPr>
                <w:b/>
                <w:bCs/>
                <w:color w:val="000000"/>
              </w:rPr>
              <w:t>IWMS</w:t>
            </w:r>
            <w:r w:rsidR="00033015">
              <w:rPr>
                <w:b/>
                <w:bCs/>
                <w:color w:val="000000"/>
              </w:rPr>
              <w:t xml:space="preserve">, </w:t>
            </w:r>
            <w:proofErr w:type="spellStart"/>
            <w:r w:rsidR="00033015">
              <w:rPr>
                <w:b/>
                <w:bCs/>
                <w:color w:val="000000"/>
              </w:rPr>
              <w:t>Rsk</w:t>
            </w:r>
            <w:proofErr w:type="spellEnd"/>
          </w:p>
        </w:tc>
        <w:tc>
          <w:tcPr>
            <w:tcW w:w="4729" w:type="dxa"/>
          </w:tcPr>
          <w:p w:rsidR="000B20CA" w:rsidP="00476311" w:rsidRDefault="000B20CA" w14:paraId="3CB8097B" w14:textId="6BAB550C">
            <w:pPr>
              <w:spacing w:after="120"/>
              <w:rPr>
                <w:color w:val="000000"/>
              </w:rPr>
            </w:pPr>
            <w:r>
              <w:rPr>
                <w:color w:val="000000"/>
              </w:rPr>
              <w:t>FD; p. 375 – “</w:t>
            </w:r>
            <w:r w:rsidRPr="000B20CA">
              <w:rPr>
                <w:color w:val="000000"/>
              </w:rPr>
              <w:t>SCE already incorporates both egress risk and PSPS risk into its wildfire risk modeling and risk scores, two of the key criteria SCE uses to define SRAs.</w:t>
            </w:r>
            <w:r>
              <w:rPr>
                <w:color w:val="000000"/>
              </w:rPr>
              <w:t>”</w:t>
            </w:r>
          </w:p>
          <w:p w:rsidR="000B20CA" w:rsidP="00DA74C8" w:rsidRDefault="000B20CA" w14:paraId="1C33CCB5" w14:textId="77777777">
            <w:pPr>
              <w:rPr>
                <w:color w:val="000000"/>
              </w:rPr>
            </w:pPr>
            <w:r>
              <w:rPr>
                <w:color w:val="000000"/>
              </w:rPr>
              <w:t>RAMP-SPD-</w:t>
            </w:r>
            <w:proofErr w:type="spellStart"/>
            <w:r>
              <w:rPr>
                <w:color w:val="000000"/>
              </w:rPr>
              <w:t>Rpt</w:t>
            </w:r>
            <w:proofErr w:type="spellEnd"/>
            <w:r>
              <w:rPr>
                <w:color w:val="000000"/>
              </w:rPr>
              <w:t>; p. 23  - “</w:t>
            </w:r>
            <w:r w:rsidRPr="000B20CA">
              <w:rPr>
                <w:color w:val="000000"/>
              </w:rPr>
              <w:t>MGRA points out that by introducing the concept of “T1-Severe</w:t>
            </w:r>
            <w:r>
              <w:rPr>
                <w:color w:val="000000"/>
              </w:rPr>
              <w:t xml:space="preserve"> </w:t>
            </w:r>
            <w:r w:rsidRPr="000B20CA">
              <w:rPr>
                <w:color w:val="000000"/>
              </w:rPr>
              <w:t>Risk Areas”, “T2-High Consequence Areas” and “T3-Other HFRA” reporting tranches, SCE has</w:t>
            </w:r>
            <w:r>
              <w:rPr>
                <w:color w:val="000000"/>
              </w:rPr>
              <w:t xml:space="preserve"> </w:t>
            </w:r>
            <w:r w:rsidRPr="000B20CA">
              <w:rPr>
                <w:color w:val="000000"/>
              </w:rPr>
              <w:t>decoupled its actual mitigation planning from its risk scores. 12</w:t>
            </w:r>
            <w:r>
              <w:rPr>
                <w:color w:val="000000"/>
              </w:rPr>
              <w:t>”</w:t>
            </w:r>
          </w:p>
          <w:p w:rsidR="003368B5" w:rsidP="00DA74C8" w:rsidRDefault="000B20CA" w14:paraId="79CFCDEA" w14:textId="78580A17">
            <w:pPr>
              <w:rPr>
                <w:color w:val="000000"/>
              </w:rPr>
            </w:pPr>
            <w:r w:rsidRPr="000B20CA">
              <w:rPr>
                <w:color w:val="000000"/>
              </w:rPr>
              <w:t xml:space="preserve">12 MGRA Informal Comments to the SPD re: SCE’s RAMP Filing, </w:t>
            </w:r>
            <w:r>
              <w:rPr>
                <w:color w:val="000000"/>
              </w:rPr>
              <w:t>1</w:t>
            </w:r>
            <w:r w:rsidRPr="000B20CA">
              <w:rPr>
                <w:color w:val="000000"/>
              </w:rPr>
              <w:t>0/10/2022,</w:t>
            </w:r>
            <w:r w:rsidR="003368B5">
              <w:rPr>
                <w:color w:val="000000"/>
              </w:rPr>
              <w:t xml:space="preserve"> </w:t>
            </w:r>
            <w:r w:rsidRPr="000B20CA">
              <w:rPr>
                <w:color w:val="000000"/>
              </w:rPr>
              <w:t>page</w:t>
            </w:r>
            <w:r w:rsidR="003368B5">
              <w:rPr>
                <w:color w:val="000000"/>
              </w:rPr>
              <w:t> </w:t>
            </w:r>
            <w:r w:rsidRPr="000B20CA">
              <w:rPr>
                <w:color w:val="000000"/>
              </w:rPr>
              <w:t>14.</w:t>
            </w:r>
          </w:p>
          <w:p w:rsidRPr="000B20CA" w:rsidR="000B20CA" w:rsidP="00DA74C8" w:rsidRDefault="000B20CA" w14:paraId="0C2D9B7F" w14:textId="4F4231F9">
            <w:pPr>
              <w:rPr>
                <w:color w:val="000000"/>
              </w:rPr>
            </w:pPr>
            <w:r w:rsidRPr="000B20CA">
              <w:rPr>
                <w:color w:val="000000"/>
              </w:rPr>
              <w:t>13 MGRA Informal Comments to the SPD re: SCE’s RAMP Filing, 10/10/2022, pages</w:t>
            </w:r>
            <w:r w:rsidR="003368B5">
              <w:rPr>
                <w:color w:val="000000"/>
              </w:rPr>
              <w:t> </w:t>
            </w:r>
            <w:r w:rsidRPr="000B20CA">
              <w:rPr>
                <w:color w:val="000000"/>
              </w:rPr>
              <w:t>14</w:t>
            </w:r>
            <w:r w:rsidR="003368B5">
              <w:rPr>
                <w:color w:val="000000"/>
              </w:rPr>
              <w:noBreakHyphen/>
            </w:r>
            <w:r w:rsidRPr="000B20CA">
              <w:rPr>
                <w:color w:val="000000"/>
              </w:rPr>
              <w:t>15.</w:t>
            </w:r>
          </w:p>
          <w:p w:rsidR="000B20CA" w:rsidP="00DA74C8" w:rsidRDefault="000B20CA" w14:paraId="049CEF9A" w14:textId="36C2D67D">
            <w:pPr>
              <w:rPr>
                <w:color w:val="000000"/>
              </w:rPr>
            </w:pPr>
            <w:r>
              <w:rPr>
                <w:color w:val="000000"/>
              </w:rPr>
              <w:lastRenderedPageBreak/>
              <w:t>p.</w:t>
            </w:r>
            <w:r w:rsidR="003368B5">
              <w:rPr>
                <w:color w:val="000000"/>
              </w:rPr>
              <w:t> </w:t>
            </w:r>
            <w:r>
              <w:rPr>
                <w:color w:val="000000"/>
              </w:rPr>
              <w:t>28 – “</w:t>
            </w:r>
            <w:r w:rsidRPr="000B20CA">
              <w:rPr>
                <w:color w:val="000000"/>
              </w:rPr>
              <w:t xml:space="preserve">SPD agrees with MGRA and TURN that SCE did not include all risks in its RSE calculations. </w:t>
            </w:r>
            <w:r w:rsidR="003368B5">
              <w:rPr>
                <w:color w:val="000000"/>
              </w:rPr>
              <w:t xml:space="preserve"> </w:t>
            </w:r>
            <w:r w:rsidRPr="000B20CA">
              <w:rPr>
                <w:color w:val="000000"/>
              </w:rPr>
              <w:t>Therefore,</w:t>
            </w:r>
            <w:r>
              <w:rPr>
                <w:color w:val="000000"/>
              </w:rPr>
              <w:t xml:space="preserve"> </w:t>
            </w:r>
            <w:r w:rsidRPr="000B20CA">
              <w:rPr>
                <w:color w:val="000000"/>
              </w:rPr>
              <w:t>SPD recommends that SCE include all risks, such as egress, past historical fires, and wind, in its MAVF</w:t>
            </w:r>
            <w:r>
              <w:rPr>
                <w:color w:val="000000"/>
              </w:rPr>
              <w:t xml:space="preserve"> </w:t>
            </w:r>
            <w:r w:rsidRPr="000B20CA">
              <w:rPr>
                <w:color w:val="000000"/>
              </w:rPr>
              <w:t>and RSE risk analysis.</w:t>
            </w:r>
            <w:r>
              <w:rPr>
                <w:color w:val="000000"/>
              </w:rPr>
              <w:t>”</w:t>
            </w:r>
          </w:p>
        </w:tc>
        <w:tc>
          <w:tcPr>
            <w:tcW w:w="1684" w:type="dxa"/>
          </w:tcPr>
          <w:p w:rsidR="000B20CA" w:rsidP="003368B5" w:rsidRDefault="00EA60A4" w14:paraId="7DDD166F" w14:textId="77777777">
            <w:pPr>
              <w:jc w:val="center"/>
              <w:rPr>
                <w:color w:val="000000"/>
              </w:rPr>
            </w:pPr>
            <w:r>
              <w:rPr>
                <w:color w:val="000000"/>
              </w:rPr>
              <w:lastRenderedPageBreak/>
              <w:t>Verified</w:t>
            </w:r>
          </w:p>
          <w:p w:rsidR="00EA60A4" w:rsidP="00DA74C8" w:rsidRDefault="00EA60A4" w14:paraId="4E32EA7B" w14:textId="77777777">
            <w:pPr>
              <w:rPr>
                <w:color w:val="000000"/>
              </w:rPr>
            </w:pPr>
          </w:p>
          <w:p w:rsidR="00EA60A4" w:rsidP="00DA74C8" w:rsidRDefault="00EA60A4" w14:paraId="728EDBA1" w14:textId="77777777">
            <w:pPr>
              <w:rPr>
                <w:color w:val="000000"/>
              </w:rPr>
            </w:pPr>
          </w:p>
          <w:p w:rsidR="00EA60A4" w:rsidP="00DA74C8" w:rsidRDefault="00EA60A4" w14:paraId="45771680" w14:textId="77777777">
            <w:pPr>
              <w:rPr>
                <w:color w:val="000000"/>
              </w:rPr>
            </w:pPr>
          </w:p>
          <w:p w:rsidR="00EA60A4" w:rsidP="00DA74C8" w:rsidRDefault="00EA60A4" w14:paraId="1831F7B1" w14:textId="77777777">
            <w:pPr>
              <w:rPr>
                <w:color w:val="000000"/>
              </w:rPr>
            </w:pPr>
          </w:p>
          <w:p w:rsidR="00EA60A4" w:rsidP="00DA74C8" w:rsidRDefault="00EA60A4" w14:paraId="78A3EEDF" w14:textId="77777777">
            <w:pPr>
              <w:rPr>
                <w:color w:val="000000"/>
              </w:rPr>
            </w:pPr>
          </w:p>
          <w:p w:rsidR="00EA60A4" w:rsidP="003368B5" w:rsidRDefault="000F6716" w14:paraId="43FB4067" w14:textId="77777777">
            <w:pPr>
              <w:jc w:val="center"/>
              <w:rPr>
                <w:color w:val="000000"/>
              </w:rPr>
            </w:pPr>
            <w:r>
              <w:rPr>
                <w:color w:val="000000"/>
              </w:rPr>
              <w:t>Verified</w:t>
            </w:r>
          </w:p>
          <w:p w:rsidR="002C60B8" w:rsidP="00DA74C8" w:rsidRDefault="002C60B8" w14:paraId="4764C761" w14:textId="77777777">
            <w:pPr>
              <w:rPr>
                <w:color w:val="000000"/>
              </w:rPr>
            </w:pPr>
          </w:p>
          <w:p w:rsidR="002C60B8" w:rsidP="00DA74C8" w:rsidRDefault="002C60B8" w14:paraId="261F405C" w14:textId="77777777">
            <w:pPr>
              <w:rPr>
                <w:color w:val="000000"/>
              </w:rPr>
            </w:pPr>
          </w:p>
          <w:p w:rsidR="002C60B8" w:rsidP="00DA74C8" w:rsidRDefault="002C60B8" w14:paraId="23D72B87" w14:textId="77777777">
            <w:pPr>
              <w:rPr>
                <w:color w:val="000000"/>
              </w:rPr>
            </w:pPr>
          </w:p>
          <w:p w:rsidR="002C60B8" w:rsidP="00DA74C8" w:rsidRDefault="002C60B8" w14:paraId="72761B4C" w14:textId="77777777">
            <w:pPr>
              <w:rPr>
                <w:color w:val="000000"/>
              </w:rPr>
            </w:pPr>
          </w:p>
          <w:p w:rsidR="002C60B8" w:rsidP="00DA74C8" w:rsidRDefault="002C60B8" w14:paraId="45F15811" w14:textId="77777777">
            <w:pPr>
              <w:rPr>
                <w:color w:val="000000"/>
              </w:rPr>
            </w:pPr>
          </w:p>
          <w:p w:rsidR="002C60B8" w:rsidP="00DA74C8" w:rsidRDefault="002C60B8" w14:paraId="7A732349" w14:textId="77777777">
            <w:pPr>
              <w:rPr>
                <w:color w:val="000000"/>
              </w:rPr>
            </w:pPr>
          </w:p>
          <w:p w:rsidR="002C60B8" w:rsidP="00DA74C8" w:rsidRDefault="002C60B8" w14:paraId="3FCFB760" w14:textId="77777777">
            <w:pPr>
              <w:rPr>
                <w:color w:val="000000"/>
              </w:rPr>
            </w:pPr>
          </w:p>
          <w:p w:rsidR="002C60B8" w:rsidP="00DA74C8" w:rsidRDefault="002C60B8" w14:paraId="7B0FE5B2" w14:textId="77777777">
            <w:pPr>
              <w:rPr>
                <w:color w:val="000000"/>
              </w:rPr>
            </w:pPr>
          </w:p>
          <w:p w:rsidR="002C60B8" w:rsidP="00DA74C8" w:rsidRDefault="002C60B8" w14:paraId="0F446682" w14:textId="77777777">
            <w:pPr>
              <w:rPr>
                <w:color w:val="000000"/>
              </w:rPr>
            </w:pPr>
          </w:p>
          <w:p w:rsidR="002C60B8" w:rsidP="00DA74C8" w:rsidRDefault="002C60B8" w14:paraId="55C5137F" w14:textId="77777777">
            <w:pPr>
              <w:rPr>
                <w:color w:val="000000"/>
              </w:rPr>
            </w:pPr>
          </w:p>
          <w:p w:rsidR="002C60B8" w:rsidP="00DA74C8" w:rsidRDefault="002C60B8" w14:paraId="378232E1" w14:textId="77777777">
            <w:pPr>
              <w:rPr>
                <w:color w:val="000000"/>
              </w:rPr>
            </w:pPr>
          </w:p>
          <w:p w:rsidR="002C60B8" w:rsidP="00DA74C8" w:rsidRDefault="002C60B8" w14:paraId="633336EA" w14:textId="77777777">
            <w:pPr>
              <w:rPr>
                <w:color w:val="000000"/>
              </w:rPr>
            </w:pPr>
          </w:p>
          <w:p w:rsidRPr="007F620E" w:rsidR="002C60B8" w:rsidP="003368B5" w:rsidRDefault="002C60B8" w14:paraId="13A09A46" w14:textId="30C9AB03">
            <w:pPr>
              <w:jc w:val="center"/>
              <w:rPr>
                <w:color w:val="000000"/>
              </w:rPr>
            </w:pPr>
            <w:r>
              <w:rPr>
                <w:color w:val="000000"/>
              </w:rPr>
              <w:t>Verified</w:t>
            </w:r>
          </w:p>
        </w:tc>
      </w:tr>
      <w:tr w:rsidRPr="007F620E" w:rsidR="000B20CA" w:rsidTr="00476311" w14:paraId="06B598F5" w14:textId="77777777">
        <w:tc>
          <w:tcPr>
            <w:tcW w:w="3325" w:type="dxa"/>
          </w:tcPr>
          <w:p w:rsidR="00CA1DE7" w:rsidP="0006735F" w:rsidRDefault="00CA1DE7" w14:paraId="52B9EF91" w14:textId="29223460">
            <w:pPr>
              <w:spacing w:before="120" w:after="80"/>
              <w:rPr>
                <w:color w:val="000000"/>
              </w:rPr>
            </w:pPr>
            <w:r>
              <w:rPr>
                <w:color w:val="000000"/>
              </w:rPr>
              <w:lastRenderedPageBreak/>
              <w:t>5. MGRA notes that rate increases are impacting low-income ratepayers to the extent where there may be measurable impacts to health. This is acknowledged by the Commission to be a “useful backdrop” to evaluating SCE’s revenue requests.</w:t>
            </w:r>
            <w:r>
              <w:rPr>
                <w:color w:val="000000"/>
              </w:rPr>
              <w:br/>
            </w:r>
            <w:r>
              <w:rPr>
                <w:color w:val="000000"/>
              </w:rPr>
              <w:br/>
              <w:t>It should be noted that MGRA did the analysis supporting its conclusion in a previous proceeding, and presented it in several other proceedings and in compensation claims. These contributions were not previously acknowledged or compensated. MGRA has persisted because it is our position that it is an important issue regardless of compensation potential. Nevertheless, with the acknowledgment offered by the Commission in the current proceeding, MGRA requests compensation on this issue for time spent in th</w:t>
            </w:r>
            <w:r w:rsidR="0042356E">
              <w:rPr>
                <w:color w:val="000000"/>
              </w:rPr>
              <w:t>e current</w:t>
            </w:r>
            <w:r>
              <w:rPr>
                <w:color w:val="000000"/>
              </w:rPr>
              <w:t xml:space="preserve"> proceeding only and foregoes any claim to the previous work that established the basis for its position.</w:t>
            </w:r>
          </w:p>
          <w:p w:rsidR="00CA1DE7" w:rsidP="00DA74C8" w:rsidRDefault="00CA1DE7" w14:paraId="678818D6" w14:textId="428D2D6F">
            <w:pPr>
              <w:rPr>
                <w:b/>
                <w:bCs/>
                <w:color w:val="000000"/>
              </w:rPr>
            </w:pPr>
            <w:r>
              <w:rPr>
                <w:b/>
                <w:bCs/>
                <w:color w:val="000000"/>
              </w:rPr>
              <w:t>Type:</w:t>
            </w:r>
            <w:r w:rsidR="00476311">
              <w:rPr>
                <w:b/>
                <w:bCs/>
                <w:color w:val="000000"/>
              </w:rPr>
              <w:t> </w:t>
            </w:r>
            <w:r>
              <w:rPr>
                <w:b/>
                <w:bCs/>
                <w:color w:val="000000"/>
              </w:rPr>
              <w:t>Primary,</w:t>
            </w:r>
            <w:r w:rsidR="00476311">
              <w:rPr>
                <w:b/>
                <w:bCs/>
                <w:color w:val="000000"/>
              </w:rPr>
              <w:t xml:space="preserve"> </w:t>
            </w:r>
            <w:r>
              <w:rPr>
                <w:b/>
                <w:bCs/>
                <w:color w:val="000000"/>
              </w:rPr>
              <w:t>Alternative</w:t>
            </w:r>
          </w:p>
          <w:p w:rsidRPr="00CA1DE7" w:rsidR="00CA1DE7" w:rsidP="00DA74C8" w:rsidRDefault="00CA1DE7" w14:paraId="62D277F1" w14:textId="5DD5207C">
            <w:pPr>
              <w:rPr>
                <w:b/>
                <w:bCs/>
                <w:color w:val="000000"/>
              </w:rPr>
            </w:pPr>
            <w:r>
              <w:rPr>
                <w:b/>
                <w:bCs/>
                <w:color w:val="000000"/>
              </w:rPr>
              <w:t>Issue:</w:t>
            </w:r>
            <w:r w:rsidR="00476311">
              <w:rPr>
                <w:b/>
                <w:bCs/>
                <w:color w:val="000000"/>
              </w:rPr>
              <w:t>  </w:t>
            </w:r>
            <w:r>
              <w:rPr>
                <w:b/>
                <w:bCs/>
                <w:color w:val="000000"/>
              </w:rPr>
              <w:t>Aff</w:t>
            </w:r>
          </w:p>
        </w:tc>
        <w:tc>
          <w:tcPr>
            <w:tcW w:w="4729" w:type="dxa"/>
          </w:tcPr>
          <w:p w:rsidRPr="00CA1DE7" w:rsidR="00CA1DE7" w:rsidP="0006735F" w:rsidRDefault="00CA1DE7" w14:paraId="24C0E822" w14:textId="7EA26327">
            <w:pPr>
              <w:spacing w:before="120"/>
              <w:rPr>
                <w:color w:val="000000"/>
              </w:rPr>
            </w:pPr>
            <w:r>
              <w:rPr>
                <w:color w:val="000000"/>
              </w:rPr>
              <w:t>FD; p. 30 – “</w:t>
            </w:r>
            <w:r w:rsidRPr="00CA1DE7">
              <w:rPr>
                <w:color w:val="000000"/>
              </w:rPr>
              <w:t>MGRA asserts the rate increases required to implement massive wildfire mitigation programs may be approaching the level where they are impacting public health, especially for the poorest and most vulnerable.96</w:t>
            </w:r>
          </w:p>
          <w:p w:rsidR="00CA1DE7" w:rsidP="00476311" w:rsidRDefault="00CA1DE7" w14:paraId="488F5886" w14:textId="5E4455F4">
            <w:pPr>
              <w:spacing w:after="120"/>
              <w:rPr>
                <w:color w:val="000000"/>
              </w:rPr>
            </w:pPr>
            <w:r w:rsidRPr="00CA1DE7">
              <w:rPr>
                <w:color w:val="000000"/>
              </w:rPr>
              <w:t xml:space="preserve">96 Ex. MGRA-01 at 99; MGRA OB at 17-20 </w:t>
            </w:r>
          </w:p>
          <w:p w:rsidR="0006735F" w:rsidP="00DA74C8" w:rsidRDefault="0006735F" w14:paraId="218DDB07" w14:textId="77777777">
            <w:pPr>
              <w:rPr>
                <w:color w:val="000000"/>
              </w:rPr>
            </w:pPr>
          </w:p>
          <w:p w:rsidR="00CA1DE7" w:rsidP="003E3062" w:rsidRDefault="00CA1DE7" w14:paraId="6AEF2B20" w14:textId="65337DA3">
            <w:pPr>
              <w:spacing w:after="120"/>
            </w:pPr>
            <w:r>
              <w:rPr>
                <w:color w:val="000000"/>
              </w:rPr>
              <w:t>FD; p. 35 – “</w:t>
            </w:r>
            <w:r>
              <w:t xml:space="preserve">claims that SCE’s rates are connected to homelessness, 107 and that utility rate increases are tied to reduced life expectancy,108 lack sufficient evidentiary support. Moreover, we recognize that affordability issues are also driven by factors such as wages not keeping pace with the costs of housing and other essential utility and non-utility expenses. </w:t>
            </w:r>
            <w:r w:rsidR="003E3062">
              <w:t xml:space="preserve"> </w:t>
            </w:r>
            <w:r>
              <w:t>However, given SCE’s current and proposed rate levels, and considering our statutory obligations, we agree with intervenors that customer affordability is a critical factor to consider in this proceeding, and find the data and analysis presented by the parties to be a useful backdrop against which to evaluate SCE’s individual GRC requests.</w:t>
            </w:r>
          </w:p>
          <w:p w:rsidR="00CA1DE7" w:rsidP="00DA74C8" w:rsidRDefault="00CA1DE7" w14:paraId="3F5032B1" w14:textId="486E632B">
            <w:pPr>
              <w:rPr>
                <w:color w:val="000000"/>
              </w:rPr>
            </w:pPr>
            <w:r w:rsidRPr="00CA1DE7">
              <w:rPr>
                <w:color w:val="000000"/>
              </w:rPr>
              <w:t>108 In testimony, MGRA acknowledges the evidence it presents in this proceeding concerning the potential health effects from SCE’s rate increase on health and safety is not conclusory, and that it can be subject to a wide range of valid criticisms. (Ex. MGRA-01E at 99</w:t>
            </w:r>
            <w:r w:rsidR="00476311">
              <w:rPr>
                <w:color w:val="000000"/>
              </w:rPr>
              <w:noBreakHyphen/>
            </w:r>
            <w:r w:rsidRPr="00CA1DE7">
              <w:rPr>
                <w:color w:val="000000"/>
              </w:rPr>
              <w:t>100).</w:t>
            </w:r>
            <w:r>
              <w:rPr>
                <w:color w:val="000000"/>
              </w:rPr>
              <w:t>”</w:t>
            </w:r>
          </w:p>
        </w:tc>
        <w:tc>
          <w:tcPr>
            <w:tcW w:w="1684" w:type="dxa"/>
          </w:tcPr>
          <w:p w:rsidR="000B20CA" w:rsidP="003368B5" w:rsidRDefault="00E438C4" w14:paraId="6B39AE1D" w14:textId="77777777">
            <w:pPr>
              <w:jc w:val="center"/>
              <w:rPr>
                <w:color w:val="000000"/>
              </w:rPr>
            </w:pPr>
            <w:r>
              <w:rPr>
                <w:color w:val="000000"/>
              </w:rPr>
              <w:t>Verified</w:t>
            </w:r>
          </w:p>
          <w:p w:rsidR="00E438C4" w:rsidP="00DA74C8" w:rsidRDefault="00E438C4" w14:paraId="1BAD35C1" w14:textId="77777777">
            <w:pPr>
              <w:rPr>
                <w:color w:val="000000"/>
              </w:rPr>
            </w:pPr>
          </w:p>
          <w:p w:rsidR="00E438C4" w:rsidP="00DA74C8" w:rsidRDefault="00E438C4" w14:paraId="5398A1B9" w14:textId="77777777">
            <w:pPr>
              <w:rPr>
                <w:color w:val="000000"/>
              </w:rPr>
            </w:pPr>
          </w:p>
          <w:p w:rsidR="00E438C4" w:rsidP="00DA74C8" w:rsidRDefault="00E438C4" w14:paraId="6E76F7DC" w14:textId="77777777">
            <w:pPr>
              <w:rPr>
                <w:color w:val="000000"/>
              </w:rPr>
            </w:pPr>
          </w:p>
          <w:p w:rsidR="00E438C4" w:rsidP="00DA74C8" w:rsidRDefault="00E438C4" w14:paraId="21781C80" w14:textId="77777777">
            <w:pPr>
              <w:rPr>
                <w:color w:val="000000"/>
              </w:rPr>
            </w:pPr>
          </w:p>
          <w:p w:rsidR="00E438C4" w:rsidP="00DA74C8" w:rsidRDefault="00E438C4" w14:paraId="0DB32D1E" w14:textId="77777777">
            <w:pPr>
              <w:rPr>
                <w:color w:val="000000"/>
              </w:rPr>
            </w:pPr>
          </w:p>
          <w:p w:rsidR="00E438C4" w:rsidP="00DA74C8" w:rsidRDefault="00E438C4" w14:paraId="1D73B39B" w14:textId="77777777">
            <w:pPr>
              <w:rPr>
                <w:color w:val="000000"/>
              </w:rPr>
            </w:pPr>
          </w:p>
          <w:p w:rsidR="00E438C4" w:rsidP="00DA74C8" w:rsidRDefault="00E438C4" w14:paraId="6702568E" w14:textId="77777777">
            <w:pPr>
              <w:rPr>
                <w:color w:val="000000"/>
              </w:rPr>
            </w:pPr>
          </w:p>
          <w:p w:rsidR="00E438C4" w:rsidP="00DA74C8" w:rsidRDefault="00E438C4" w14:paraId="5142EAA4" w14:textId="77777777">
            <w:pPr>
              <w:rPr>
                <w:color w:val="000000"/>
              </w:rPr>
            </w:pPr>
          </w:p>
          <w:p w:rsidRPr="007F620E" w:rsidR="006E2AF0" w:rsidP="003368B5" w:rsidRDefault="006E2AF0" w14:paraId="02B5777D" w14:textId="2BCD55B1">
            <w:pPr>
              <w:jc w:val="center"/>
              <w:rPr>
                <w:color w:val="000000"/>
              </w:rPr>
            </w:pPr>
            <w:r>
              <w:rPr>
                <w:color w:val="000000"/>
              </w:rPr>
              <w:t>Verified</w:t>
            </w:r>
          </w:p>
        </w:tc>
      </w:tr>
      <w:tr w:rsidRPr="007F620E" w:rsidR="00CA1DE7" w:rsidTr="00476311" w14:paraId="2D82A35C" w14:textId="77777777">
        <w:tc>
          <w:tcPr>
            <w:tcW w:w="3325" w:type="dxa"/>
          </w:tcPr>
          <w:p w:rsidR="00CA1DE7" w:rsidP="00476311" w:rsidRDefault="00CA1DE7" w14:paraId="4B4F6498" w14:textId="5C5D1AEB">
            <w:pPr>
              <w:spacing w:after="120"/>
              <w:rPr>
                <w:color w:val="000000"/>
              </w:rPr>
            </w:pPr>
            <w:r>
              <w:rPr>
                <w:color w:val="000000"/>
              </w:rPr>
              <w:lastRenderedPageBreak/>
              <w:t>6. MGRA obtained data from SCE allowing it to analyze SCE’s risk buy-down over time and demonstrate that it had achieved significant risk reduction through the deployment of its covered conductor program and fast-curve settings. The Commission displays TURN’s version of this data in the FD, which is appropriate since TURN additionally extrapolated the risk buy-down into future years, but the original data and plots can be found in the MGRA testimony and brief. MGRA’s contribution was not acknowledged in the PD but was added to the FD in response to MGRA’s PD Comments.</w:t>
            </w:r>
          </w:p>
          <w:p w:rsidR="00CA1DE7" w:rsidP="00DA74C8" w:rsidRDefault="00CA1DE7" w14:paraId="3F64F1D0" w14:textId="631A25ED">
            <w:pPr>
              <w:rPr>
                <w:b/>
                <w:bCs/>
                <w:color w:val="000000"/>
              </w:rPr>
            </w:pPr>
            <w:r>
              <w:rPr>
                <w:b/>
                <w:bCs/>
                <w:color w:val="000000"/>
              </w:rPr>
              <w:t>Type:</w:t>
            </w:r>
            <w:r w:rsidR="00476311">
              <w:rPr>
                <w:b/>
                <w:bCs/>
                <w:color w:val="000000"/>
              </w:rPr>
              <w:t>  </w:t>
            </w:r>
            <w:r>
              <w:rPr>
                <w:b/>
                <w:bCs/>
                <w:color w:val="000000"/>
              </w:rPr>
              <w:t>Initiator</w:t>
            </w:r>
          </w:p>
          <w:p w:rsidRPr="00CA1DE7" w:rsidR="00CA1DE7" w:rsidP="00DA74C8" w:rsidRDefault="00CA1DE7" w14:paraId="41509A2A" w14:textId="175CCD80">
            <w:pPr>
              <w:rPr>
                <w:b/>
                <w:bCs/>
                <w:color w:val="000000"/>
              </w:rPr>
            </w:pPr>
            <w:r>
              <w:rPr>
                <w:b/>
                <w:bCs/>
                <w:color w:val="000000"/>
              </w:rPr>
              <w:t>Issue:</w:t>
            </w:r>
            <w:r w:rsidR="00476311">
              <w:rPr>
                <w:b/>
                <w:bCs/>
                <w:color w:val="000000"/>
              </w:rPr>
              <w:t>  </w:t>
            </w:r>
            <w:proofErr w:type="spellStart"/>
            <w:r>
              <w:rPr>
                <w:b/>
                <w:bCs/>
                <w:color w:val="000000"/>
              </w:rPr>
              <w:t>Rsk</w:t>
            </w:r>
            <w:proofErr w:type="spellEnd"/>
          </w:p>
        </w:tc>
        <w:tc>
          <w:tcPr>
            <w:tcW w:w="4729" w:type="dxa"/>
          </w:tcPr>
          <w:p w:rsidRPr="00476311" w:rsidR="00CA1DE7" w:rsidP="00476311" w:rsidRDefault="00CA1DE7" w14:paraId="0597FB9E" w14:textId="2DDF1E71">
            <w:pPr>
              <w:spacing w:after="120"/>
            </w:pPr>
            <w:r>
              <w:rPr>
                <w:color w:val="000000"/>
              </w:rPr>
              <w:t>FD; p. 366 – “</w:t>
            </w:r>
            <w:r w:rsidRPr="00CA1DE7">
              <w:rPr>
                <w:color w:val="000000"/>
              </w:rPr>
              <w:t>TURN argues SCE’s proposed increase in undergrounding would be a poor use of ratepayer funds given the significant risk reduction that has already been achieved through covered conductor. The figure below shows SCE’s estimated risk reduction due to grid hardening (i.e., covered conductor and undergrounding) and the implementation of fast curve settings.1369</w:t>
            </w:r>
            <w:r>
              <w:rPr>
                <w:color w:val="000000"/>
              </w:rPr>
              <w:br/>
            </w:r>
            <w:r>
              <w:t>1369 Ex. TURN-12-E, Figure 9 at 21; also, Ex. MGRA-01E at 57.</w:t>
            </w:r>
            <w:r>
              <w:rPr>
                <w:color w:val="000000"/>
              </w:rPr>
              <w:t>”</w:t>
            </w:r>
          </w:p>
          <w:p w:rsidR="00CA1DE7" w:rsidP="00DA74C8" w:rsidRDefault="00CA1DE7" w14:paraId="4ECE8F09" w14:textId="21267B83">
            <w:pPr>
              <w:rPr>
                <w:color w:val="000000"/>
              </w:rPr>
            </w:pPr>
            <w:r>
              <w:rPr>
                <w:color w:val="000000"/>
              </w:rPr>
              <w:t>GRC-MGRA-PD-</w:t>
            </w:r>
            <w:proofErr w:type="spellStart"/>
            <w:r>
              <w:rPr>
                <w:color w:val="000000"/>
              </w:rPr>
              <w:t>Cmt</w:t>
            </w:r>
            <w:proofErr w:type="spellEnd"/>
            <w:r>
              <w:rPr>
                <w:color w:val="000000"/>
              </w:rPr>
              <w:t>; pp. 8-9 – “</w:t>
            </w:r>
            <w:r w:rsidRPr="00CA1DE7">
              <w:rPr>
                <w:color w:val="000000"/>
              </w:rPr>
              <w:t>MGRA published a similar curve for</w:t>
            </w:r>
            <w:r w:rsidR="00476311">
              <w:rPr>
                <w:color w:val="000000"/>
              </w:rPr>
              <w:t xml:space="preserve"> </w:t>
            </w:r>
            <w:r w:rsidRPr="00CA1DE7">
              <w:rPr>
                <w:color w:val="000000"/>
              </w:rPr>
              <w:t>historical data as Figure 4 of its Opening Brief</w:t>
            </w:r>
            <w:r>
              <w:rPr>
                <w:color w:val="000000"/>
              </w:rPr>
              <w:t xml:space="preserve"> </w:t>
            </w:r>
            <w:r w:rsidRPr="00CA1DE7">
              <w:rPr>
                <w:color w:val="000000"/>
              </w:rPr>
              <w:t>27 and Figure 12 of its testimony, which broke down</w:t>
            </w:r>
            <w:r w:rsidR="00476311">
              <w:rPr>
                <w:color w:val="000000"/>
              </w:rPr>
              <w:t xml:space="preserve"> </w:t>
            </w:r>
            <w:r w:rsidRPr="00CA1DE7">
              <w:rPr>
                <w:color w:val="000000"/>
              </w:rPr>
              <w:t>SCE’s risk buy-down curve into underground, covered conductor, and fast curve components.</w:t>
            </w:r>
            <w:r>
              <w:rPr>
                <w:color w:val="000000"/>
              </w:rPr>
              <w:t xml:space="preserve"> </w:t>
            </w:r>
            <w:r w:rsidRPr="00CA1DE7">
              <w:rPr>
                <w:color w:val="000000"/>
              </w:rPr>
              <w:t>28</w:t>
            </w:r>
          </w:p>
          <w:p w:rsidRPr="00CA1DE7" w:rsidR="00CA1DE7" w:rsidP="00DA74C8" w:rsidRDefault="00CA1DE7" w14:paraId="0EC9051A" w14:textId="77777777">
            <w:pPr>
              <w:rPr>
                <w:color w:val="000000"/>
              </w:rPr>
            </w:pPr>
            <w:r w:rsidRPr="00CA1DE7">
              <w:rPr>
                <w:color w:val="000000"/>
              </w:rPr>
              <w:t>27 MGRA Opening Brief; p. 43.</w:t>
            </w:r>
          </w:p>
          <w:p w:rsidR="00CA1DE7" w:rsidP="00DA74C8" w:rsidRDefault="00CA1DE7" w14:paraId="4C371107" w14:textId="0C6B4116">
            <w:pPr>
              <w:rPr>
                <w:color w:val="000000"/>
              </w:rPr>
            </w:pPr>
            <w:r w:rsidRPr="53B84B3B">
              <w:rPr>
                <w:color w:val="000000" w:themeColor="text1"/>
              </w:rPr>
              <w:t>28 MGRA-01-2E; p. 57.</w:t>
            </w:r>
            <w:r>
              <w:br/>
            </w:r>
            <w:r w:rsidRPr="53B84B3B">
              <w:rPr>
                <w:color w:val="000000" w:themeColor="text1"/>
              </w:rPr>
              <w:t>It should be emphasized that MGRA, TURN and Cal Advocates collaborated on technical and strategic matters and shared information, and it is entirely appropriate to use the TURN buydown</w:t>
            </w:r>
            <w:r w:rsidR="003368B5">
              <w:rPr>
                <w:color w:val="000000"/>
              </w:rPr>
              <w:t xml:space="preserve"> </w:t>
            </w:r>
            <w:r w:rsidRPr="00CA1DE7">
              <w:rPr>
                <w:color w:val="000000"/>
              </w:rPr>
              <w:t>curve due to its additional projections for the 2024-2028 period. However the citation should</w:t>
            </w:r>
            <w:r>
              <w:rPr>
                <w:color w:val="000000"/>
              </w:rPr>
              <w:t xml:space="preserve"> </w:t>
            </w:r>
            <w:r w:rsidRPr="00CA1DE7">
              <w:rPr>
                <w:color w:val="000000"/>
              </w:rPr>
              <w:t>be modified to cite to the original source as well.</w:t>
            </w:r>
            <w:r>
              <w:rPr>
                <w:color w:val="000000"/>
              </w:rPr>
              <w:t>”</w:t>
            </w:r>
          </w:p>
        </w:tc>
        <w:tc>
          <w:tcPr>
            <w:tcW w:w="1684" w:type="dxa"/>
          </w:tcPr>
          <w:p w:rsidR="00CA1DE7" w:rsidP="003368B5" w:rsidRDefault="005C5D89" w14:paraId="3C6B60CC" w14:textId="77777777">
            <w:pPr>
              <w:jc w:val="center"/>
              <w:rPr>
                <w:color w:val="000000"/>
              </w:rPr>
            </w:pPr>
            <w:r>
              <w:rPr>
                <w:color w:val="000000"/>
              </w:rPr>
              <w:t>Verified</w:t>
            </w:r>
          </w:p>
          <w:p w:rsidR="005C5D89" w:rsidP="00DA74C8" w:rsidRDefault="005C5D89" w14:paraId="40AE8A78" w14:textId="77777777">
            <w:pPr>
              <w:rPr>
                <w:color w:val="000000"/>
              </w:rPr>
            </w:pPr>
          </w:p>
          <w:p w:rsidR="005C5D89" w:rsidP="00DA74C8" w:rsidRDefault="005C5D89" w14:paraId="3E641E7E" w14:textId="77777777">
            <w:pPr>
              <w:rPr>
                <w:color w:val="000000"/>
              </w:rPr>
            </w:pPr>
          </w:p>
          <w:p w:rsidR="005C5D89" w:rsidP="00DA74C8" w:rsidRDefault="005C5D89" w14:paraId="73E13932" w14:textId="77777777">
            <w:pPr>
              <w:rPr>
                <w:color w:val="000000"/>
              </w:rPr>
            </w:pPr>
          </w:p>
          <w:p w:rsidR="005C5D89" w:rsidP="00DA74C8" w:rsidRDefault="005C5D89" w14:paraId="45879657" w14:textId="77777777">
            <w:pPr>
              <w:rPr>
                <w:color w:val="000000"/>
              </w:rPr>
            </w:pPr>
          </w:p>
          <w:p w:rsidR="005C5D89" w:rsidP="00DA74C8" w:rsidRDefault="005C5D89" w14:paraId="6924A4A8" w14:textId="77777777">
            <w:pPr>
              <w:rPr>
                <w:color w:val="000000"/>
              </w:rPr>
            </w:pPr>
          </w:p>
          <w:p w:rsidR="005C5D89" w:rsidP="00DA74C8" w:rsidRDefault="005C5D89" w14:paraId="18D433F9" w14:textId="77777777">
            <w:pPr>
              <w:rPr>
                <w:color w:val="000000"/>
              </w:rPr>
            </w:pPr>
          </w:p>
          <w:p w:rsidR="005C5D89" w:rsidP="00DA74C8" w:rsidRDefault="005C5D89" w14:paraId="1F52B604" w14:textId="77777777">
            <w:pPr>
              <w:rPr>
                <w:color w:val="000000"/>
              </w:rPr>
            </w:pPr>
          </w:p>
          <w:p w:rsidR="005C5D89" w:rsidP="00DA74C8" w:rsidRDefault="005C5D89" w14:paraId="5A5CC0FA" w14:textId="77777777">
            <w:pPr>
              <w:rPr>
                <w:color w:val="000000"/>
              </w:rPr>
            </w:pPr>
          </w:p>
          <w:p w:rsidR="005C5D89" w:rsidP="00DA74C8" w:rsidRDefault="005C5D89" w14:paraId="22E55DCA" w14:textId="77777777">
            <w:pPr>
              <w:rPr>
                <w:color w:val="000000"/>
              </w:rPr>
            </w:pPr>
          </w:p>
          <w:p w:rsidR="005C5D89" w:rsidP="00DA74C8" w:rsidRDefault="005C5D89" w14:paraId="7D18FB65" w14:textId="77777777">
            <w:pPr>
              <w:rPr>
                <w:color w:val="000000"/>
              </w:rPr>
            </w:pPr>
          </w:p>
          <w:p w:rsidR="005C5D89" w:rsidP="00DA74C8" w:rsidRDefault="005C5D89" w14:paraId="110088B3" w14:textId="77777777">
            <w:pPr>
              <w:rPr>
                <w:color w:val="000000"/>
              </w:rPr>
            </w:pPr>
          </w:p>
          <w:p w:rsidR="005C5D89" w:rsidP="00DA74C8" w:rsidRDefault="005C5D89" w14:paraId="0D15B252" w14:textId="77777777">
            <w:pPr>
              <w:rPr>
                <w:color w:val="000000"/>
              </w:rPr>
            </w:pPr>
          </w:p>
          <w:p w:rsidR="005C5D89" w:rsidP="00DA74C8" w:rsidRDefault="005C5D89" w14:paraId="440E6C23" w14:textId="77777777">
            <w:pPr>
              <w:rPr>
                <w:color w:val="000000"/>
              </w:rPr>
            </w:pPr>
          </w:p>
          <w:p w:rsidRPr="007F620E" w:rsidR="005C5D89" w:rsidP="003368B5" w:rsidRDefault="00951C03" w14:paraId="7795163A" w14:textId="561E5DB5">
            <w:pPr>
              <w:jc w:val="center"/>
              <w:rPr>
                <w:color w:val="000000"/>
              </w:rPr>
            </w:pPr>
            <w:r>
              <w:rPr>
                <w:color w:val="000000"/>
              </w:rPr>
              <w:t>Verified</w:t>
            </w:r>
          </w:p>
        </w:tc>
      </w:tr>
      <w:tr w:rsidRPr="007F620E" w:rsidR="00CA1DE7" w:rsidTr="00476311" w14:paraId="59CAED17" w14:textId="77777777">
        <w:trPr>
          <w:cantSplit/>
        </w:trPr>
        <w:tc>
          <w:tcPr>
            <w:tcW w:w="3325" w:type="dxa"/>
          </w:tcPr>
          <w:p w:rsidR="00476311" w:rsidP="00476311" w:rsidRDefault="00CA1DE7" w14:paraId="7549BE9B" w14:textId="77777777">
            <w:pPr>
              <w:rPr>
                <w:color w:val="000000"/>
              </w:rPr>
            </w:pPr>
            <w:r>
              <w:rPr>
                <w:color w:val="000000"/>
              </w:rPr>
              <w:t xml:space="preserve">7. MGRA analyzed all SCE advanced technologies throughout the RAMP and GRC proceedings and estimated their effectiveness in conjunction with covered conductor. MGRA recommended increases in funding for REFCL and for other SCE advanced technology programs, and the FD allows SCE an increase in REFCL funding if needed. Additionally, MGRA argued for REFCL risk reduction and RSE be included </w:t>
            </w:r>
            <w:r>
              <w:rPr>
                <w:color w:val="000000"/>
              </w:rPr>
              <w:lastRenderedPageBreak/>
              <w:t>within the scope of the RAMP, and it was specifically included because of MGRA’s intervention.</w:t>
            </w:r>
          </w:p>
          <w:p w:rsidR="00CA1DE7" w:rsidP="00476311" w:rsidRDefault="00CA1DE7" w14:paraId="4F2F02B8" w14:textId="73112F1F">
            <w:pPr>
              <w:rPr>
                <w:color w:val="000000"/>
              </w:rPr>
            </w:pPr>
            <w:r>
              <w:rPr>
                <w:color w:val="000000"/>
              </w:rPr>
              <w:br/>
              <w:t>That being said, the FD found MGRA’s lack of commitment to specific funding targets for these programs unhelpful. While this has consequences, MGRA respectfully requests that the Commission consider the following when determining any disallowances:</w:t>
            </w:r>
            <w:r>
              <w:rPr>
                <w:color w:val="000000"/>
              </w:rPr>
              <w:br/>
              <w:t>1) MGRA was the sole party arguing for an increase in REFCL funding, which the Commission ultimately approved, and</w:t>
            </w:r>
            <w:r>
              <w:rPr>
                <w:color w:val="000000"/>
              </w:rPr>
              <w:br/>
              <w:t>2) An MGRA data request did provide information regarding the combination of covered conductor and an advanced technology (fast curve) that was used in the FD.</w:t>
            </w:r>
          </w:p>
          <w:p w:rsidR="00CA1DE7" w:rsidP="00FB1C79" w:rsidRDefault="00CA1DE7" w14:paraId="5A79D421" w14:textId="2400C468">
            <w:pPr>
              <w:spacing w:after="120"/>
              <w:rPr>
                <w:color w:val="000000"/>
              </w:rPr>
            </w:pPr>
            <w:r>
              <w:rPr>
                <w:color w:val="000000"/>
              </w:rPr>
              <w:t>3) MGRA’s intervention during the RAMP was key to having REFCL risk reduction and RSE included in the RAMP scope.</w:t>
            </w:r>
          </w:p>
          <w:p w:rsidRPr="00CA1DE7" w:rsidR="00CA1DE7" w:rsidP="00DA74C8" w:rsidRDefault="00CA1DE7" w14:paraId="47BAF4AE" w14:textId="05E5A6B7">
            <w:pPr>
              <w:rPr>
                <w:b/>
                <w:bCs/>
                <w:color w:val="000000"/>
              </w:rPr>
            </w:pPr>
            <w:r>
              <w:rPr>
                <w:b/>
                <w:bCs/>
                <w:color w:val="000000"/>
              </w:rPr>
              <w:t>Type:</w:t>
            </w:r>
            <w:r w:rsidR="00476311">
              <w:rPr>
                <w:b/>
                <w:bCs/>
                <w:color w:val="000000"/>
              </w:rPr>
              <w:t>  </w:t>
            </w:r>
            <w:r>
              <w:rPr>
                <w:b/>
                <w:bCs/>
                <w:color w:val="000000"/>
              </w:rPr>
              <w:t>Contributing, Alternative</w:t>
            </w:r>
            <w:r>
              <w:rPr>
                <w:b/>
                <w:bCs/>
                <w:color w:val="000000"/>
              </w:rPr>
              <w:br/>
              <w:t>Issue:</w:t>
            </w:r>
            <w:r w:rsidR="00476311">
              <w:rPr>
                <w:b/>
                <w:bCs/>
                <w:color w:val="000000"/>
              </w:rPr>
              <w:t>  </w:t>
            </w:r>
            <w:r>
              <w:rPr>
                <w:b/>
                <w:bCs/>
                <w:color w:val="000000"/>
              </w:rPr>
              <w:t>AT</w:t>
            </w:r>
          </w:p>
        </w:tc>
        <w:tc>
          <w:tcPr>
            <w:tcW w:w="4729" w:type="dxa"/>
          </w:tcPr>
          <w:p w:rsidR="00CA1DE7" w:rsidP="00DA74C8" w:rsidRDefault="00CA1DE7" w14:paraId="7B09E6EE" w14:textId="6528988B">
            <w:r>
              <w:rPr>
                <w:color w:val="000000"/>
              </w:rPr>
              <w:lastRenderedPageBreak/>
              <w:t>FD; p. 392-3 – “</w:t>
            </w:r>
            <w:r>
              <w:t>MGRA broadly recommends SCE “accelerate its evaluation and</w:t>
            </w:r>
            <w:r w:rsidR="003368B5">
              <w:t xml:space="preserve"> </w:t>
            </w:r>
            <w:r>
              <w:t xml:space="preserve">deployment” of REFCL projects and be provided “adequate </w:t>
            </w:r>
            <w:r w:rsidR="003368B5">
              <w:t xml:space="preserve"> </w:t>
            </w:r>
            <w:r>
              <w:t>funding to expand these programs.” 1430</w:t>
            </w:r>
          </w:p>
          <w:p w:rsidR="00CA1DE7" w:rsidP="00DA74C8" w:rsidRDefault="00CA1DE7" w14:paraId="45ED2FAC" w14:textId="2FE1927D">
            <w:r>
              <w:t>1430 Ex. MGRA-1 at 110; MGRA OB at 5.”</w:t>
            </w:r>
          </w:p>
          <w:p w:rsidR="00CA1DE7" w:rsidP="00FB1C79" w:rsidRDefault="00CA1DE7" w14:paraId="32C180E0" w14:textId="7D97F486">
            <w:pPr>
              <w:spacing w:after="120"/>
            </w:pPr>
            <w:r>
              <w:t>“</w:t>
            </w:r>
            <w:r w:rsidRPr="00CA1DE7">
              <w:t xml:space="preserve">It is generally accepted among the parties that covered conductor paired with REFCL technologies can provide significant risk reduction benefits. In light of these risk reduction benefits, and considering the reductions made to SCE’s proposed TUG program, we authorize SCE to record in the Grid Hardening Balancing Account up to </w:t>
            </w:r>
            <w:r w:rsidRPr="00CA1DE7">
              <w:lastRenderedPageBreak/>
              <w:t>$20</w:t>
            </w:r>
            <w:r w:rsidR="003368B5">
              <w:t> </w:t>
            </w:r>
            <w:r w:rsidRPr="00CA1DE7">
              <w:t xml:space="preserve">million in capital expenditures for the installation of additional REFCL technologies above the amounts </w:t>
            </w:r>
            <w:r>
              <w:t>“</w:t>
            </w:r>
            <w:r w:rsidRPr="00CA1DE7">
              <w:t>approved in this decision.</w:t>
            </w:r>
          </w:p>
          <w:p w:rsidR="00CA1DE7" w:rsidP="00DA74C8" w:rsidRDefault="00CA1DE7" w14:paraId="3FBBABB4" w14:textId="77777777">
            <w:r>
              <w:t>FD; p. 322 – “p. 322 - TURN points to the stand-alone risk reduction from fast curve settings,1225 which are expected to be deployed on a majority of SCE’s HFRA circuits and may be combined with covered conductor; however, the record of this proceeding is unclear on the incremental risk reduction benefit of combining fast curve settings with covered conductor.1226</w:t>
            </w:r>
          </w:p>
          <w:p w:rsidR="00CA1DE7" w:rsidP="00DA74C8" w:rsidRDefault="00CA1DE7" w14:paraId="10C09701" w14:textId="79CAADB6">
            <w:r>
              <w:t>1226 During evidentiary hearing, SCE’s witness testified that the incremental benefit of fast curve combined with covered conductor and REFCL is unknown (RT, Vol. 10 at 923:20-925:21; TURN OB at 170; SCE RB at 74). However, in an MGRA data request response, SCE estimates that fast curve setting provide an incremental ignition reduction of 1</w:t>
            </w:r>
            <w:r w:rsidR="003368B5">
              <w:t> </w:t>
            </w:r>
            <w:r>
              <w:t>percent over covered conductor plus REFCL. (Ex. MGRA-01E, Appendix B, Data Request Set MGRA-SCE-007).”</w:t>
            </w:r>
          </w:p>
          <w:p w:rsidR="00CA1DE7" w:rsidP="00DA74C8" w:rsidRDefault="00CA1DE7" w14:paraId="4F58AE82" w14:textId="7A0A888D">
            <w:r>
              <w:t xml:space="preserve">FD p. 439; </w:t>
            </w:r>
            <w:proofErr w:type="spellStart"/>
            <w:r>
              <w:t>fn</w:t>
            </w:r>
            <w:proofErr w:type="spellEnd"/>
            <w:r>
              <w:t xml:space="preserve"> 1480 – “</w:t>
            </w:r>
            <w:r w:rsidRPr="00CA1DE7">
              <w:t>Including a scenario with covered conductor and advance technologies; a scenario where two-thirds of SCE’s Severe Risk Areas are mitigated by covered conductor; a scenario with covered conductor and REFCL; and a scenario where all of SCE’s HFRAs are hardened. MGRA’s scenarios are designed to demonstrate the impact of changing system assumptions, and are not intended to be actual implementable proposals. (Ex. MGRA-01 at 81</w:t>
            </w:r>
            <w:r w:rsidR="00885F26">
              <w:noBreakHyphen/>
            </w:r>
            <w:r w:rsidRPr="00CA1DE7">
              <w:t>98).</w:t>
            </w:r>
            <w:r>
              <w:t>”</w:t>
            </w:r>
          </w:p>
          <w:p w:rsidR="00CA1DE7" w:rsidP="00DA74C8" w:rsidRDefault="00CA1DE7" w14:paraId="1F988D9C" w14:textId="46153A62">
            <w:r>
              <w:t>RAMP-MGRA-</w:t>
            </w:r>
            <w:proofErr w:type="spellStart"/>
            <w:r>
              <w:t>Scp</w:t>
            </w:r>
            <w:proofErr w:type="spellEnd"/>
            <w:r>
              <w:t>-Bf; p. 3 – “MGRA requests that wildfire smoke health effects, power law model for</w:t>
            </w:r>
            <w:r w:rsidR="00BB16D1">
              <w:t xml:space="preserve"> </w:t>
            </w:r>
            <w:r>
              <w:t>catastrophic wildfire sizes, and Rapid Earth Fault Current Limiter (REFCL) be specifically listed for inclusion or protected from exclusion.”</w:t>
            </w:r>
          </w:p>
          <w:p w:rsidR="00CA1DE7" w:rsidP="00FB1C79" w:rsidRDefault="00CA1DE7" w14:paraId="77FF0EB1" w14:textId="498CB1EA">
            <w:pPr>
              <w:spacing w:after="120"/>
            </w:pPr>
            <w:r>
              <w:t xml:space="preserve">p. 8 – “It is important to establish risk reduction and RSE for REFCL, particularly in </w:t>
            </w:r>
            <w:r>
              <w:lastRenderedPageBreak/>
              <w:t>combination with covered conductor, where it may provide protection approaching that of undergrounding.”</w:t>
            </w:r>
          </w:p>
          <w:p w:rsidRPr="00CA1DE7" w:rsidR="00CA1DE7" w:rsidP="00DA74C8" w:rsidRDefault="00CA1DE7" w14:paraId="6A49A43B" w14:textId="6A47DA20">
            <w:r>
              <w:t>RAMP-</w:t>
            </w:r>
            <w:proofErr w:type="spellStart"/>
            <w:r>
              <w:t>Scp</w:t>
            </w:r>
            <w:proofErr w:type="spellEnd"/>
            <w:r>
              <w:t>; pp. 2-3 – “</w:t>
            </w:r>
            <w:r w:rsidRPr="00CA1DE7">
              <w:t>Based on the application, PHC statements, discussion during the PHC, and briefs filed by several parties, the scope of issues to be addressed in this proceeding are as follows:</w:t>
            </w:r>
            <w:r>
              <w:br/>
              <w:t xml:space="preserve">… </w:t>
            </w:r>
            <w:r w:rsidRPr="00CA1DE7">
              <w:t>e. Whether risk reduction and risk-spend efficiency should be established for Rapid Earth Fault Current Limiter prototyping and developments in this RAMP and/or in its future RAMPs.</w:t>
            </w:r>
          </w:p>
        </w:tc>
        <w:tc>
          <w:tcPr>
            <w:tcW w:w="1684" w:type="dxa"/>
          </w:tcPr>
          <w:p w:rsidR="00CA1DE7" w:rsidP="003368B5" w:rsidRDefault="00726279" w14:paraId="2889BA22" w14:textId="77777777">
            <w:pPr>
              <w:jc w:val="center"/>
              <w:rPr>
                <w:color w:val="000000"/>
              </w:rPr>
            </w:pPr>
            <w:r>
              <w:rPr>
                <w:color w:val="000000"/>
              </w:rPr>
              <w:lastRenderedPageBreak/>
              <w:t>Verified</w:t>
            </w:r>
          </w:p>
          <w:p w:rsidR="00726279" w:rsidP="00DA74C8" w:rsidRDefault="00726279" w14:paraId="5FBE42B8" w14:textId="77777777">
            <w:pPr>
              <w:rPr>
                <w:color w:val="000000"/>
              </w:rPr>
            </w:pPr>
          </w:p>
          <w:p w:rsidR="00726279" w:rsidP="00DA74C8" w:rsidRDefault="00726279" w14:paraId="27425F54" w14:textId="77777777">
            <w:pPr>
              <w:rPr>
                <w:color w:val="000000"/>
              </w:rPr>
            </w:pPr>
          </w:p>
          <w:p w:rsidR="00726279" w:rsidP="00DA74C8" w:rsidRDefault="00726279" w14:paraId="6907B77A" w14:textId="77777777">
            <w:pPr>
              <w:rPr>
                <w:color w:val="000000"/>
              </w:rPr>
            </w:pPr>
          </w:p>
          <w:p w:rsidR="00726279" w:rsidP="00DA74C8" w:rsidRDefault="00726279" w14:paraId="1064557A" w14:textId="77777777">
            <w:pPr>
              <w:rPr>
                <w:color w:val="000000"/>
              </w:rPr>
            </w:pPr>
          </w:p>
          <w:p w:rsidR="00726279" w:rsidP="00DA74C8" w:rsidRDefault="00726279" w14:paraId="6ECE2665" w14:textId="77777777">
            <w:pPr>
              <w:rPr>
                <w:color w:val="000000"/>
              </w:rPr>
            </w:pPr>
          </w:p>
          <w:p w:rsidR="00726279" w:rsidP="00DA74C8" w:rsidRDefault="00726279" w14:paraId="2B29EC4A" w14:textId="77777777">
            <w:pPr>
              <w:rPr>
                <w:color w:val="000000"/>
              </w:rPr>
            </w:pPr>
          </w:p>
          <w:p w:rsidR="00726279" w:rsidP="003368B5" w:rsidRDefault="006509E0" w14:paraId="672EBA17" w14:textId="6AE76F08">
            <w:pPr>
              <w:jc w:val="center"/>
              <w:rPr>
                <w:color w:val="000000"/>
              </w:rPr>
            </w:pPr>
            <w:r>
              <w:rPr>
                <w:color w:val="000000"/>
              </w:rPr>
              <w:t>Verified</w:t>
            </w:r>
          </w:p>
          <w:p w:rsidR="00726279" w:rsidP="00DA74C8" w:rsidRDefault="00726279" w14:paraId="275229EC" w14:textId="77777777">
            <w:pPr>
              <w:rPr>
                <w:color w:val="000000"/>
              </w:rPr>
            </w:pPr>
          </w:p>
          <w:p w:rsidR="00726279" w:rsidP="00DA74C8" w:rsidRDefault="00726279" w14:paraId="412535C2" w14:textId="77777777">
            <w:pPr>
              <w:rPr>
                <w:color w:val="000000"/>
              </w:rPr>
            </w:pPr>
          </w:p>
          <w:p w:rsidR="00726279" w:rsidP="00DA74C8" w:rsidRDefault="00726279" w14:paraId="5AD03850" w14:textId="77777777">
            <w:pPr>
              <w:rPr>
                <w:color w:val="000000"/>
              </w:rPr>
            </w:pPr>
          </w:p>
          <w:p w:rsidR="00726279" w:rsidP="00DA74C8" w:rsidRDefault="00726279" w14:paraId="7487A629" w14:textId="77777777">
            <w:pPr>
              <w:rPr>
                <w:color w:val="000000"/>
              </w:rPr>
            </w:pPr>
          </w:p>
          <w:p w:rsidR="00726279" w:rsidP="00DA74C8" w:rsidRDefault="00726279" w14:paraId="45E8CAEC" w14:textId="77777777">
            <w:pPr>
              <w:rPr>
                <w:color w:val="000000"/>
              </w:rPr>
            </w:pPr>
          </w:p>
          <w:p w:rsidR="00726279" w:rsidP="00DA74C8" w:rsidRDefault="00726279" w14:paraId="1C713A4A" w14:textId="77777777">
            <w:pPr>
              <w:rPr>
                <w:color w:val="000000"/>
              </w:rPr>
            </w:pPr>
          </w:p>
          <w:p w:rsidR="00726279" w:rsidP="00DA74C8" w:rsidRDefault="00726279" w14:paraId="30A1027F" w14:textId="77777777">
            <w:pPr>
              <w:rPr>
                <w:color w:val="000000"/>
              </w:rPr>
            </w:pPr>
          </w:p>
          <w:p w:rsidR="00726279" w:rsidP="00DA74C8" w:rsidRDefault="00726279" w14:paraId="39B312C8" w14:textId="77777777">
            <w:pPr>
              <w:rPr>
                <w:color w:val="000000"/>
              </w:rPr>
            </w:pPr>
          </w:p>
          <w:p w:rsidR="00726279" w:rsidP="00DA74C8" w:rsidRDefault="00726279" w14:paraId="42C07CB3" w14:textId="77777777">
            <w:pPr>
              <w:rPr>
                <w:color w:val="000000"/>
              </w:rPr>
            </w:pPr>
          </w:p>
          <w:p w:rsidR="00726279" w:rsidP="00DA74C8" w:rsidRDefault="00726279" w14:paraId="64CFCE30" w14:textId="77777777">
            <w:pPr>
              <w:rPr>
                <w:color w:val="000000"/>
              </w:rPr>
            </w:pPr>
          </w:p>
          <w:p w:rsidR="00726279" w:rsidP="00DA74C8" w:rsidRDefault="00726279" w14:paraId="34537803" w14:textId="77777777">
            <w:pPr>
              <w:rPr>
                <w:color w:val="000000"/>
              </w:rPr>
            </w:pPr>
          </w:p>
          <w:p w:rsidR="00726279" w:rsidP="00DA74C8" w:rsidRDefault="00726279" w14:paraId="222CB5A4" w14:textId="77777777">
            <w:pPr>
              <w:rPr>
                <w:color w:val="000000"/>
              </w:rPr>
            </w:pPr>
          </w:p>
          <w:p w:rsidR="00726279" w:rsidP="00DA74C8" w:rsidRDefault="00726279" w14:paraId="62ADD4F2" w14:textId="77777777">
            <w:pPr>
              <w:rPr>
                <w:color w:val="000000"/>
              </w:rPr>
            </w:pPr>
          </w:p>
          <w:p w:rsidR="00726279" w:rsidP="003368B5" w:rsidRDefault="00726279" w14:paraId="27947C02" w14:textId="77777777">
            <w:pPr>
              <w:jc w:val="center"/>
              <w:rPr>
                <w:color w:val="000000"/>
              </w:rPr>
            </w:pPr>
            <w:r>
              <w:rPr>
                <w:color w:val="000000"/>
              </w:rPr>
              <w:t>Verified</w:t>
            </w:r>
          </w:p>
          <w:p w:rsidR="006509E0" w:rsidP="00DA74C8" w:rsidRDefault="006509E0" w14:paraId="1716B43A" w14:textId="77777777">
            <w:pPr>
              <w:rPr>
                <w:color w:val="000000"/>
              </w:rPr>
            </w:pPr>
          </w:p>
          <w:p w:rsidR="006509E0" w:rsidP="00DA74C8" w:rsidRDefault="006509E0" w14:paraId="008AA142" w14:textId="77777777">
            <w:pPr>
              <w:rPr>
                <w:color w:val="000000"/>
              </w:rPr>
            </w:pPr>
          </w:p>
          <w:p w:rsidR="006509E0" w:rsidP="00DA74C8" w:rsidRDefault="006509E0" w14:paraId="30FC9D1E" w14:textId="77777777">
            <w:pPr>
              <w:rPr>
                <w:color w:val="000000"/>
              </w:rPr>
            </w:pPr>
          </w:p>
          <w:p w:rsidR="006509E0" w:rsidP="00DA74C8" w:rsidRDefault="006509E0" w14:paraId="1B0035C5" w14:textId="77777777">
            <w:pPr>
              <w:rPr>
                <w:color w:val="000000"/>
              </w:rPr>
            </w:pPr>
          </w:p>
          <w:p w:rsidR="006509E0" w:rsidP="00DA74C8" w:rsidRDefault="006509E0" w14:paraId="22EC4C42" w14:textId="77777777">
            <w:pPr>
              <w:rPr>
                <w:color w:val="000000"/>
              </w:rPr>
            </w:pPr>
          </w:p>
          <w:p w:rsidR="006509E0" w:rsidP="00DA74C8" w:rsidRDefault="006509E0" w14:paraId="612FB180" w14:textId="77777777">
            <w:pPr>
              <w:rPr>
                <w:color w:val="000000"/>
              </w:rPr>
            </w:pPr>
          </w:p>
          <w:p w:rsidR="006509E0" w:rsidP="00DA74C8" w:rsidRDefault="006509E0" w14:paraId="4B816B77" w14:textId="77777777">
            <w:pPr>
              <w:rPr>
                <w:color w:val="000000"/>
              </w:rPr>
            </w:pPr>
          </w:p>
          <w:p w:rsidR="006509E0" w:rsidP="00DA74C8" w:rsidRDefault="006509E0" w14:paraId="2CED98A9" w14:textId="77777777">
            <w:pPr>
              <w:rPr>
                <w:color w:val="000000"/>
              </w:rPr>
            </w:pPr>
          </w:p>
          <w:p w:rsidR="006509E0" w:rsidP="00DA74C8" w:rsidRDefault="006509E0" w14:paraId="38ABD463" w14:textId="77777777">
            <w:pPr>
              <w:rPr>
                <w:color w:val="000000"/>
              </w:rPr>
            </w:pPr>
          </w:p>
          <w:p w:rsidR="006509E0" w:rsidP="00DA74C8" w:rsidRDefault="006509E0" w14:paraId="13EFD68D" w14:textId="77777777">
            <w:pPr>
              <w:rPr>
                <w:color w:val="000000"/>
              </w:rPr>
            </w:pPr>
          </w:p>
          <w:p w:rsidR="006509E0" w:rsidP="00DA74C8" w:rsidRDefault="006509E0" w14:paraId="5CE37DF5" w14:textId="77777777">
            <w:pPr>
              <w:rPr>
                <w:color w:val="000000"/>
              </w:rPr>
            </w:pPr>
          </w:p>
          <w:p w:rsidR="006509E0" w:rsidP="00DA74C8" w:rsidRDefault="006509E0" w14:paraId="0045F92D" w14:textId="77777777">
            <w:pPr>
              <w:rPr>
                <w:color w:val="000000"/>
              </w:rPr>
            </w:pPr>
          </w:p>
          <w:p w:rsidR="006509E0" w:rsidP="00DA74C8" w:rsidRDefault="006509E0" w14:paraId="77B461C2" w14:textId="77777777">
            <w:pPr>
              <w:rPr>
                <w:color w:val="000000"/>
              </w:rPr>
            </w:pPr>
          </w:p>
          <w:p w:rsidR="006509E0" w:rsidP="00DA74C8" w:rsidRDefault="006509E0" w14:paraId="3E2CED62" w14:textId="77777777">
            <w:pPr>
              <w:rPr>
                <w:color w:val="000000"/>
              </w:rPr>
            </w:pPr>
          </w:p>
          <w:p w:rsidR="006509E0" w:rsidP="00DA74C8" w:rsidRDefault="006509E0" w14:paraId="5B09AB55" w14:textId="77777777">
            <w:pPr>
              <w:rPr>
                <w:color w:val="000000"/>
              </w:rPr>
            </w:pPr>
          </w:p>
          <w:p w:rsidR="006509E0" w:rsidP="00DA74C8" w:rsidRDefault="006509E0" w14:paraId="73BBF7EF" w14:textId="77777777">
            <w:pPr>
              <w:rPr>
                <w:color w:val="000000"/>
              </w:rPr>
            </w:pPr>
          </w:p>
          <w:p w:rsidR="006509E0" w:rsidP="00DA74C8" w:rsidRDefault="006509E0" w14:paraId="26136DA3" w14:textId="77777777">
            <w:pPr>
              <w:rPr>
                <w:color w:val="000000"/>
              </w:rPr>
            </w:pPr>
          </w:p>
          <w:p w:rsidR="006509E0" w:rsidP="00DA74C8" w:rsidRDefault="006509E0" w14:paraId="0C2B954F" w14:textId="77777777">
            <w:pPr>
              <w:rPr>
                <w:color w:val="000000"/>
              </w:rPr>
            </w:pPr>
          </w:p>
          <w:p w:rsidR="006509E0" w:rsidP="00DA74C8" w:rsidRDefault="006509E0" w14:paraId="7F987929" w14:textId="77777777">
            <w:pPr>
              <w:rPr>
                <w:color w:val="000000"/>
              </w:rPr>
            </w:pPr>
          </w:p>
          <w:p w:rsidR="006509E0" w:rsidP="00DA74C8" w:rsidRDefault="006509E0" w14:paraId="4E9D8DB1" w14:textId="77777777">
            <w:pPr>
              <w:rPr>
                <w:color w:val="000000"/>
              </w:rPr>
            </w:pPr>
          </w:p>
          <w:p w:rsidR="006509E0" w:rsidP="00DA74C8" w:rsidRDefault="006509E0" w14:paraId="0F895EF3" w14:textId="77777777">
            <w:pPr>
              <w:rPr>
                <w:color w:val="000000"/>
              </w:rPr>
            </w:pPr>
          </w:p>
          <w:p w:rsidR="006509E0" w:rsidP="00DA74C8" w:rsidRDefault="006509E0" w14:paraId="07985D62" w14:textId="77777777">
            <w:pPr>
              <w:rPr>
                <w:color w:val="000000"/>
              </w:rPr>
            </w:pPr>
          </w:p>
          <w:p w:rsidR="003368B5" w:rsidP="003368B5" w:rsidRDefault="006509E0" w14:paraId="134D014D" w14:textId="77777777">
            <w:pPr>
              <w:jc w:val="center"/>
              <w:rPr>
                <w:color w:val="000000"/>
              </w:rPr>
            </w:pPr>
            <w:r>
              <w:rPr>
                <w:color w:val="000000"/>
              </w:rPr>
              <w:t>Verified</w:t>
            </w:r>
          </w:p>
          <w:p w:rsidR="00740A7C" w:rsidP="00DA74C8" w:rsidRDefault="006509E0" w14:paraId="2E382DF3" w14:textId="4F6E99F2">
            <w:pPr>
              <w:rPr>
                <w:color w:val="000000"/>
              </w:rPr>
            </w:pPr>
            <w:r>
              <w:rPr>
                <w:color w:val="000000"/>
              </w:rPr>
              <w:t>However, this citation is on page 409 of D.25-09-030.</w:t>
            </w:r>
          </w:p>
          <w:p w:rsidR="00740A7C" w:rsidP="00DA74C8" w:rsidRDefault="00740A7C" w14:paraId="230CF1F1" w14:textId="77777777">
            <w:pPr>
              <w:rPr>
                <w:color w:val="000000"/>
              </w:rPr>
            </w:pPr>
          </w:p>
          <w:p w:rsidR="00740A7C" w:rsidP="00DA74C8" w:rsidRDefault="00740A7C" w14:paraId="20A33927" w14:textId="77777777">
            <w:pPr>
              <w:rPr>
                <w:color w:val="000000"/>
              </w:rPr>
            </w:pPr>
          </w:p>
          <w:p w:rsidR="00740A7C" w:rsidP="00DA74C8" w:rsidRDefault="00740A7C" w14:paraId="5AFFDD42" w14:textId="77777777">
            <w:pPr>
              <w:rPr>
                <w:color w:val="000000"/>
              </w:rPr>
            </w:pPr>
          </w:p>
          <w:p w:rsidR="00740A7C" w:rsidP="00DA74C8" w:rsidRDefault="00740A7C" w14:paraId="0EE92D55" w14:textId="77777777">
            <w:pPr>
              <w:rPr>
                <w:color w:val="000000"/>
              </w:rPr>
            </w:pPr>
          </w:p>
          <w:p w:rsidR="00740A7C" w:rsidP="00DA74C8" w:rsidRDefault="00740A7C" w14:paraId="2AD1FC60" w14:textId="77777777">
            <w:pPr>
              <w:rPr>
                <w:color w:val="000000"/>
              </w:rPr>
            </w:pPr>
          </w:p>
          <w:p w:rsidR="00740A7C" w:rsidP="00DA74C8" w:rsidRDefault="00740A7C" w14:paraId="26986068" w14:textId="77777777">
            <w:pPr>
              <w:rPr>
                <w:color w:val="000000"/>
              </w:rPr>
            </w:pPr>
          </w:p>
          <w:p w:rsidR="00740A7C" w:rsidP="00DA74C8" w:rsidRDefault="00740A7C" w14:paraId="18488604" w14:textId="77777777">
            <w:pPr>
              <w:rPr>
                <w:color w:val="000000"/>
              </w:rPr>
            </w:pPr>
          </w:p>
          <w:p w:rsidR="00740A7C" w:rsidP="00DA74C8" w:rsidRDefault="00740A7C" w14:paraId="7FB61C69" w14:textId="77777777">
            <w:pPr>
              <w:rPr>
                <w:color w:val="000000"/>
              </w:rPr>
            </w:pPr>
          </w:p>
          <w:p w:rsidR="00740A7C" w:rsidP="00DA74C8" w:rsidRDefault="00740A7C" w14:paraId="56A9FE2D" w14:textId="77777777">
            <w:pPr>
              <w:rPr>
                <w:color w:val="000000"/>
              </w:rPr>
            </w:pPr>
          </w:p>
          <w:p w:rsidR="00740A7C" w:rsidP="003368B5" w:rsidRDefault="00FF3A51" w14:paraId="14D072D3" w14:textId="77777777">
            <w:pPr>
              <w:jc w:val="center"/>
              <w:rPr>
                <w:color w:val="000000"/>
              </w:rPr>
            </w:pPr>
            <w:r>
              <w:rPr>
                <w:color w:val="000000"/>
              </w:rPr>
              <w:t>Verified</w:t>
            </w:r>
          </w:p>
          <w:p w:rsidR="00FF3A51" w:rsidP="00DA74C8" w:rsidRDefault="00FF3A51" w14:paraId="7020033A" w14:textId="77777777">
            <w:pPr>
              <w:rPr>
                <w:color w:val="000000"/>
              </w:rPr>
            </w:pPr>
          </w:p>
          <w:p w:rsidR="00FF3A51" w:rsidP="003368B5" w:rsidRDefault="00FF3A51" w14:paraId="6C5D6B42" w14:textId="77777777">
            <w:pPr>
              <w:jc w:val="center"/>
              <w:rPr>
                <w:color w:val="000000"/>
              </w:rPr>
            </w:pPr>
            <w:r>
              <w:rPr>
                <w:color w:val="000000"/>
              </w:rPr>
              <w:t>Verified</w:t>
            </w:r>
          </w:p>
          <w:p w:rsidR="00FF3A51" w:rsidP="00DA74C8" w:rsidRDefault="00FF3A51" w14:paraId="3AE22A0B" w14:textId="77777777">
            <w:pPr>
              <w:rPr>
                <w:color w:val="000000"/>
              </w:rPr>
            </w:pPr>
          </w:p>
          <w:p w:rsidR="00FF3A51" w:rsidP="00DA74C8" w:rsidRDefault="00FF3A51" w14:paraId="6FCF3AE2" w14:textId="77777777">
            <w:pPr>
              <w:rPr>
                <w:color w:val="000000"/>
              </w:rPr>
            </w:pPr>
          </w:p>
          <w:p w:rsidR="00FF3A51" w:rsidP="00DA74C8" w:rsidRDefault="00FF3A51" w14:paraId="4A2EDA12" w14:textId="77777777">
            <w:pPr>
              <w:rPr>
                <w:color w:val="000000"/>
              </w:rPr>
            </w:pPr>
          </w:p>
          <w:p w:rsidRPr="007F620E" w:rsidR="00FF3A51" w:rsidP="00BB16D1" w:rsidRDefault="00FF0C1E" w14:paraId="262E504A" w14:textId="6076652B">
            <w:pPr>
              <w:jc w:val="center"/>
              <w:rPr>
                <w:color w:val="000000"/>
              </w:rPr>
            </w:pPr>
            <w:r>
              <w:rPr>
                <w:color w:val="000000"/>
              </w:rPr>
              <w:t>Verified</w:t>
            </w:r>
          </w:p>
        </w:tc>
      </w:tr>
      <w:tr w:rsidRPr="007F620E" w:rsidR="00CA1DE7" w:rsidTr="00476311" w14:paraId="7D09764C" w14:textId="77777777">
        <w:tc>
          <w:tcPr>
            <w:tcW w:w="3325" w:type="dxa"/>
          </w:tcPr>
          <w:p w:rsidR="00CA1DE7" w:rsidP="00DA74C8" w:rsidRDefault="00CA1DE7" w14:paraId="58434439" w14:textId="62D476E3">
            <w:pPr>
              <w:rPr>
                <w:color w:val="000000"/>
              </w:rPr>
            </w:pPr>
            <w:r>
              <w:rPr>
                <w:color w:val="000000"/>
              </w:rPr>
              <w:lastRenderedPageBreak/>
              <w:t xml:space="preserve">8. MGRA continues to maintain that SCE’s approach to the risk posed by high winds in its MARS risk model is inadequate, a view shared by SPD. </w:t>
            </w:r>
            <w:r w:rsidR="00BB16D1">
              <w:rPr>
                <w:color w:val="000000"/>
              </w:rPr>
              <w:t xml:space="preserve"> </w:t>
            </w:r>
            <w:r>
              <w:rPr>
                <w:color w:val="000000"/>
              </w:rPr>
              <w:t xml:space="preserve">MGRA noted that SCE’s high wind SRA criterion used in its IWMS framework to some extent compensates for this flaw in the risk model, and therefore MGRA supported SCE’s TUG program in extreme wind areas. </w:t>
            </w:r>
            <w:r w:rsidR="00BB16D1">
              <w:rPr>
                <w:color w:val="000000"/>
              </w:rPr>
              <w:t xml:space="preserve"> </w:t>
            </w:r>
            <w:r>
              <w:rPr>
                <w:color w:val="000000"/>
              </w:rPr>
              <w:t xml:space="preserve">This position is adopted by the FD. </w:t>
            </w:r>
            <w:r w:rsidR="00BB16D1">
              <w:rPr>
                <w:color w:val="000000"/>
              </w:rPr>
              <w:t xml:space="preserve"> </w:t>
            </w:r>
            <w:r>
              <w:rPr>
                <w:color w:val="000000"/>
              </w:rPr>
              <w:t>MGRA also pointed out that PSPS use in an area creates a bias in risk models which then underrepresent the risk in those areas, a position supported by SPD.</w:t>
            </w:r>
          </w:p>
          <w:p w:rsidR="00CA1DE7" w:rsidP="00DA74C8" w:rsidRDefault="00CA1DE7" w14:paraId="51DD37DB" w14:textId="77777777">
            <w:pPr>
              <w:rPr>
                <w:color w:val="000000"/>
              </w:rPr>
            </w:pPr>
          </w:p>
          <w:p w:rsidR="00885F26" w:rsidP="00DA74C8" w:rsidRDefault="00885F26" w14:paraId="184B0434" w14:textId="77777777">
            <w:pPr>
              <w:rPr>
                <w:b/>
                <w:bCs/>
                <w:color w:val="000000"/>
              </w:rPr>
            </w:pPr>
          </w:p>
          <w:p w:rsidR="00CA1DE7" w:rsidP="00DA74C8" w:rsidRDefault="00CA1DE7" w14:paraId="4466B42B" w14:textId="1746F5A9">
            <w:pPr>
              <w:rPr>
                <w:b/>
                <w:bCs/>
                <w:color w:val="000000"/>
              </w:rPr>
            </w:pPr>
            <w:r>
              <w:rPr>
                <w:b/>
                <w:bCs/>
                <w:color w:val="000000"/>
              </w:rPr>
              <w:t>Type: Primary</w:t>
            </w:r>
          </w:p>
          <w:p w:rsidRPr="00CA1DE7" w:rsidR="00CA1DE7" w:rsidP="00DA74C8" w:rsidRDefault="00CA1DE7" w14:paraId="715C2126" w14:textId="310AC4CE">
            <w:pPr>
              <w:rPr>
                <w:b/>
                <w:bCs/>
                <w:color w:val="000000"/>
              </w:rPr>
            </w:pPr>
            <w:r>
              <w:rPr>
                <w:b/>
                <w:bCs/>
                <w:color w:val="000000"/>
              </w:rPr>
              <w:t xml:space="preserve">Issue: </w:t>
            </w:r>
            <w:proofErr w:type="spellStart"/>
            <w:r>
              <w:rPr>
                <w:b/>
                <w:bCs/>
                <w:color w:val="000000"/>
              </w:rPr>
              <w:t>Wnd</w:t>
            </w:r>
            <w:proofErr w:type="spellEnd"/>
          </w:p>
        </w:tc>
        <w:tc>
          <w:tcPr>
            <w:tcW w:w="4729" w:type="dxa"/>
          </w:tcPr>
          <w:p w:rsidR="00CA1DE7" w:rsidP="00FB1C79" w:rsidRDefault="00CA1DE7" w14:paraId="29D836C1" w14:textId="359233F4">
            <w:pPr>
              <w:spacing w:after="120"/>
              <w:rPr>
                <w:color w:val="000000"/>
              </w:rPr>
            </w:pPr>
            <w:r>
              <w:rPr>
                <w:color w:val="000000"/>
              </w:rPr>
              <w:t>FD; p. 379 – “</w:t>
            </w:r>
            <w:r w:rsidRPr="00CA1DE7">
              <w:rPr>
                <w:color w:val="000000"/>
              </w:rPr>
              <w:t>while SCE did not sufficiently justify its full TUG proposal in this proceeding, undergrounding may be appropriate in high wind locations where covered conductor circuits would still be subject to high PSPS likelihood.</w:t>
            </w:r>
            <w:r>
              <w:rPr>
                <w:color w:val="000000"/>
              </w:rPr>
              <w:t>”</w:t>
            </w:r>
          </w:p>
          <w:p w:rsidR="00CA1DE7" w:rsidP="00FB1C79" w:rsidRDefault="00CA1DE7" w14:paraId="294724FC" w14:textId="2604904C">
            <w:pPr>
              <w:rPr>
                <w:color w:val="000000"/>
              </w:rPr>
            </w:pPr>
            <w:r>
              <w:rPr>
                <w:color w:val="000000"/>
              </w:rPr>
              <w:t>GRC-MGRA-</w:t>
            </w:r>
            <w:proofErr w:type="spellStart"/>
            <w:r>
              <w:rPr>
                <w:color w:val="000000"/>
              </w:rPr>
              <w:t>Brf</w:t>
            </w:r>
            <w:proofErr w:type="spellEnd"/>
            <w:r>
              <w:rPr>
                <w:color w:val="000000"/>
              </w:rPr>
              <w:t>; p. 71 – “</w:t>
            </w:r>
            <w:r w:rsidRPr="00CA1DE7">
              <w:rPr>
                <w:color w:val="000000"/>
              </w:rPr>
              <w:t>Undergrounding should still be employed to address</w:t>
            </w:r>
            <w:r>
              <w:rPr>
                <w:color w:val="000000"/>
              </w:rPr>
              <w:t xml:space="preserve"> </w:t>
            </w:r>
            <w:r w:rsidRPr="00CA1DE7">
              <w:rPr>
                <w:color w:val="000000"/>
              </w:rPr>
              <w:t>areas where particular attention is needed to risk reduction on either the probability side (such as</w:t>
            </w:r>
            <w:r>
              <w:rPr>
                <w:color w:val="000000"/>
              </w:rPr>
              <w:t xml:space="preserve"> </w:t>
            </w:r>
            <w:r w:rsidRPr="00CA1DE7">
              <w:rPr>
                <w:color w:val="000000"/>
              </w:rPr>
              <w:t>high wind areas) or the consequence side (such as limited egress), or in specific cases where it is</w:t>
            </w:r>
            <w:r w:rsidR="00FB1C79">
              <w:rPr>
                <w:color w:val="000000"/>
              </w:rPr>
              <w:t xml:space="preserve"> </w:t>
            </w:r>
            <w:r w:rsidRPr="00CA1DE7">
              <w:rPr>
                <w:color w:val="000000"/>
              </w:rPr>
              <w:t>more efficient to implement than covered conductor and advanced technologies.</w:t>
            </w:r>
            <w:r>
              <w:rPr>
                <w:color w:val="000000"/>
              </w:rPr>
              <w:t>”</w:t>
            </w:r>
          </w:p>
          <w:p w:rsidRPr="00CA1DE7" w:rsidR="00CA1DE7" w:rsidP="00DA74C8" w:rsidRDefault="00CA1DE7" w14:paraId="7EEB7CCE" w14:textId="0BE1D5A2">
            <w:pPr>
              <w:rPr>
                <w:color w:val="000000"/>
              </w:rPr>
            </w:pPr>
            <w:r>
              <w:rPr>
                <w:color w:val="000000"/>
              </w:rPr>
              <w:t>RAMP-SPD-</w:t>
            </w:r>
            <w:proofErr w:type="spellStart"/>
            <w:r>
              <w:rPr>
                <w:color w:val="000000"/>
              </w:rPr>
              <w:t>Rpt</w:t>
            </w:r>
            <w:proofErr w:type="spellEnd"/>
            <w:r>
              <w:rPr>
                <w:color w:val="000000"/>
              </w:rPr>
              <w:t>; p. 24 – “</w:t>
            </w:r>
            <w:r w:rsidRPr="00CA1DE7">
              <w:rPr>
                <w:color w:val="000000"/>
              </w:rPr>
              <w:t>SPD agrees with MGRA that SCE’s risk model fails to account for wind as an external risk driver and</w:t>
            </w:r>
            <w:r>
              <w:rPr>
                <w:color w:val="000000"/>
              </w:rPr>
              <w:t xml:space="preserve"> </w:t>
            </w:r>
            <w:r w:rsidRPr="00CA1DE7">
              <w:rPr>
                <w:color w:val="000000"/>
              </w:rPr>
              <w:t xml:space="preserve">how it can increase outage rates. </w:t>
            </w:r>
            <w:r w:rsidR="00BB16D1">
              <w:rPr>
                <w:color w:val="000000"/>
              </w:rPr>
              <w:t xml:space="preserve"> </w:t>
            </w:r>
            <w:r w:rsidRPr="00CA1DE7">
              <w:rPr>
                <w:color w:val="000000"/>
              </w:rPr>
              <w:t>SCE’s risk model fails to include conditional probabilities tha</w:t>
            </w:r>
            <w:r>
              <w:rPr>
                <w:color w:val="000000"/>
              </w:rPr>
              <w:t>t</w:t>
            </w:r>
          </w:p>
          <w:p w:rsidRPr="00CA1DE7" w:rsidR="00CA1DE7" w:rsidP="00DA74C8" w:rsidRDefault="00CA1DE7" w14:paraId="021E553E" w14:textId="6F40CB28">
            <w:pPr>
              <w:rPr>
                <w:color w:val="000000"/>
              </w:rPr>
            </w:pPr>
            <w:r w:rsidRPr="00CA1DE7">
              <w:rPr>
                <w:color w:val="000000"/>
              </w:rPr>
              <w:t>correctly account for the increased likelihood of outages during the “extreme weather days” in the</w:t>
            </w:r>
            <w:r w:rsidR="00BB16D1">
              <w:rPr>
                <w:color w:val="000000"/>
              </w:rPr>
              <w:t xml:space="preserve"> </w:t>
            </w:r>
            <w:r w:rsidRPr="00CA1DE7">
              <w:rPr>
                <w:color w:val="000000"/>
              </w:rPr>
              <w:t>wildfire modeling.27</w:t>
            </w:r>
          </w:p>
          <w:p w:rsidRPr="00CA1DE7" w:rsidR="00CA1DE7" w:rsidP="00DA74C8" w:rsidRDefault="00CA1DE7" w14:paraId="60B8EB83" w14:textId="77777777">
            <w:pPr>
              <w:rPr>
                <w:color w:val="000000"/>
              </w:rPr>
            </w:pPr>
            <w:r w:rsidRPr="00CA1DE7">
              <w:rPr>
                <w:color w:val="000000"/>
              </w:rPr>
              <w:t>27 MGRA Informal Comments to SPD re: SCE’s RAMP Filing, 10/10/2022, page 15.</w:t>
            </w:r>
          </w:p>
          <w:p w:rsidR="00CA1DE7" w:rsidP="00FD6827" w:rsidRDefault="00CA1DE7" w14:paraId="263E8902" w14:textId="3595138C">
            <w:r w:rsidRPr="00CA1DE7">
              <w:t>28 MGRA Informal Comments to SPD re: SCE’s RAMP Filing, 10/10/2022, pages</w:t>
            </w:r>
            <w:r w:rsidR="00FD6827">
              <w:t> </w:t>
            </w:r>
            <w:r w:rsidRPr="00CA1DE7">
              <w:t>16</w:t>
            </w:r>
            <w:r w:rsidR="00FB1C79">
              <w:noBreakHyphen/>
            </w:r>
            <w:r w:rsidRPr="00CA1DE7">
              <w:t>17.</w:t>
            </w:r>
          </w:p>
          <w:p w:rsidR="00CA1DE7" w:rsidP="00DA74C8" w:rsidRDefault="00CA1DE7" w14:paraId="7000BAA4" w14:textId="6781A70B">
            <w:r>
              <w:rPr>
                <w:color w:val="000000"/>
              </w:rPr>
              <w:lastRenderedPageBreak/>
              <w:t>RAMP-SPD-</w:t>
            </w:r>
            <w:proofErr w:type="spellStart"/>
            <w:r>
              <w:rPr>
                <w:color w:val="000000"/>
              </w:rPr>
              <w:t>Rpt</w:t>
            </w:r>
            <w:proofErr w:type="spellEnd"/>
            <w:r>
              <w:rPr>
                <w:color w:val="000000"/>
              </w:rPr>
              <w:t>; p. 40 – “</w:t>
            </w:r>
            <w:r>
              <w:t>as MGRA points out in their informal comments because SCE does not include PSPS damage events in its ignition risk model, this will bias the likelihood model (which is dependent on historical data), and result in underestimating the ignition risk in areas with frequent PSPS.58 SPD agrees with MGRA and</w:t>
            </w:r>
            <w:r w:rsidR="00BB16D1">
              <w:t xml:space="preserve"> </w:t>
            </w:r>
            <w:r>
              <w:t>recommends that SCE integrate PSPS damage and hazard reports into their likelihood calculations.</w:t>
            </w:r>
          </w:p>
          <w:p w:rsidR="00CA1DE7" w:rsidP="00DA74C8" w:rsidRDefault="00CA1DE7" w14:paraId="76709DD8" w14:textId="10D51555">
            <w:pPr>
              <w:rPr>
                <w:color w:val="000000"/>
              </w:rPr>
            </w:pPr>
            <w:r>
              <w:t>58 MGRA Informal Comments to SPD on SCE RAMP Report, 10/10/2022, page 26”</w:t>
            </w:r>
          </w:p>
        </w:tc>
        <w:tc>
          <w:tcPr>
            <w:tcW w:w="1684" w:type="dxa"/>
          </w:tcPr>
          <w:p w:rsidR="00CA1DE7" w:rsidP="003368B5" w:rsidRDefault="00F23364" w14:paraId="29F92524" w14:textId="77777777">
            <w:pPr>
              <w:jc w:val="center"/>
              <w:rPr>
                <w:color w:val="000000"/>
              </w:rPr>
            </w:pPr>
            <w:r>
              <w:rPr>
                <w:color w:val="000000"/>
              </w:rPr>
              <w:lastRenderedPageBreak/>
              <w:t>Verified</w:t>
            </w:r>
          </w:p>
          <w:p w:rsidR="00F23364" w:rsidP="00DA74C8" w:rsidRDefault="00F23364" w14:paraId="21CC0BE5" w14:textId="77777777">
            <w:pPr>
              <w:rPr>
                <w:color w:val="000000"/>
              </w:rPr>
            </w:pPr>
          </w:p>
          <w:p w:rsidR="00F23364" w:rsidP="00DA74C8" w:rsidRDefault="00F23364" w14:paraId="26EBD749" w14:textId="77777777">
            <w:pPr>
              <w:rPr>
                <w:color w:val="000000"/>
              </w:rPr>
            </w:pPr>
          </w:p>
          <w:p w:rsidR="00F23364" w:rsidP="00DA74C8" w:rsidRDefault="00F23364" w14:paraId="0CBC58F9" w14:textId="77777777">
            <w:pPr>
              <w:rPr>
                <w:color w:val="000000"/>
              </w:rPr>
            </w:pPr>
          </w:p>
          <w:p w:rsidR="00F23364" w:rsidP="00DA74C8" w:rsidRDefault="00F23364" w14:paraId="1F2AE00A" w14:textId="77777777">
            <w:pPr>
              <w:rPr>
                <w:color w:val="000000"/>
              </w:rPr>
            </w:pPr>
          </w:p>
          <w:p w:rsidR="00F23364" w:rsidP="00DA74C8" w:rsidRDefault="00F23364" w14:paraId="4DA12AA4" w14:textId="77777777">
            <w:pPr>
              <w:rPr>
                <w:color w:val="000000"/>
              </w:rPr>
            </w:pPr>
          </w:p>
          <w:p w:rsidR="00F23364" w:rsidP="00DA74C8" w:rsidRDefault="00F23364" w14:paraId="4CD0FDA3" w14:textId="77777777">
            <w:pPr>
              <w:rPr>
                <w:color w:val="000000"/>
              </w:rPr>
            </w:pPr>
          </w:p>
          <w:p w:rsidR="00F23364" w:rsidP="00BB16D1" w:rsidRDefault="00F23364" w14:paraId="624B149E" w14:textId="77777777">
            <w:pPr>
              <w:jc w:val="center"/>
              <w:rPr>
                <w:color w:val="000000"/>
              </w:rPr>
            </w:pPr>
            <w:r>
              <w:rPr>
                <w:color w:val="000000"/>
              </w:rPr>
              <w:t>Verified</w:t>
            </w:r>
          </w:p>
          <w:p w:rsidR="00F23364" w:rsidP="00DA74C8" w:rsidRDefault="00F23364" w14:paraId="6F8256A0" w14:textId="77777777">
            <w:pPr>
              <w:rPr>
                <w:color w:val="000000"/>
              </w:rPr>
            </w:pPr>
          </w:p>
          <w:p w:rsidR="00F23364" w:rsidP="00DA74C8" w:rsidRDefault="00F23364" w14:paraId="298FD56D" w14:textId="77777777">
            <w:pPr>
              <w:rPr>
                <w:color w:val="000000"/>
              </w:rPr>
            </w:pPr>
          </w:p>
          <w:p w:rsidR="00F23364" w:rsidP="00DA74C8" w:rsidRDefault="00F23364" w14:paraId="06990D99" w14:textId="77777777">
            <w:pPr>
              <w:rPr>
                <w:color w:val="000000"/>
              </w:rPr>
            </w:pPr>
          </w:p>
          <w:p w:rsidR="00F23364" w:rsidP="00DA74C8" w:rsidRDefault="00F23364" w14:paraId="1ECAB8B9" w14:textId="77777777">
            <w:pPr>
              <w:rPr>
                <w:color w:val="000000"/>
              </w:rPr>
            </w:pPr>
          </w:p>
          <w:p w:rsidR="00F23364" w:rsidP="00DA74C8" w:rsidRDefault="00F23364" w14:paraId="17766409" w14:textId="77777777">
            <w:pPr>
              <w:rPr>
                <w:color w:val="000000"/>
              </w:rPr>
            </w:pPr>
          </w:p>
          <w:p w:rsidR="00F23364" w:rsidP="00DA74C8" w:rsidRDefault="00F23364" w14:paraId="749DB383" w14:textId="77777777">
            <w:pPr>
              <w:rPr>
                <w:color w:val="000000"/>
              </w:rPr>
            </w:pPr>
          </w:p>
          <w:p w:rsidR="00F23364" w:rsidP="00DA74C8" w:rsidRDefault="00F23364" w14:paraId="580F63A0" w14:textId="77777777">
            <w:pPr>
              <w:rPr>
                <w:color w:val="000000"/>
              </w:rPr>
            </w:pPr>
          </w:p>
          <w:p w:rsidR="00F23364" w:rsidP="00DA74C8" w:rsidRDefault="00F23364" w14:paraId="5051A663" w14:textId="77777777">
            <w:pPr>
              <w:rPr>
                <w:color w:val="000000"/>
              </w:rPr>
            </w:pPr>
          </w:p>
          <w:p w:rsidR="00F23364" w:rsidP="00DA74C8" w:rsidRDefault="00F23364" w14:paraId="4372E746" w14:textId="77777777">
            <w:pPr>
              <w:rPr>
                <w:color w:val="000000"/>
              </w:rPr>
            </w:pPr>
          </w:p>
          <w:p w:rsidR="00F23364" w:rsidP="00DA74C8" w:rsidRDefault="00F23364" w14:paraId="64490E86" w14:textId="77777777">
            <w:pPr>
              <w:rPr>
                <w:color w:val="000000"/>
              </w:rPr>
            </w:pPr>
          </w:p>
          <w:p w:rsidR="00BB16D1" w:rsidP="00BB16D1" w:rsidRDefault="002A493E" w14:paraId="6DCB0CC5" w14:textId="77777777">
            <w:pPr>
              <w:jc w:val="center"/>
              <w:rPr>
                <w:color w:val="000000"/>
              </w:rPr>
            </w:pPr>
            <w:r>
              <w:rPr>
                <w:color w:val="000000"/>
              </w:rPr>
              <w:t>Verified</w:t>
            </w:r>
          </w:p>
          <w:p w:rsidR="00B27C43" w:rsidP="00DA74C8" w:rsidRDefault="002A493E" w14:paraId="6D8AE31A" w14:textId="01258409">
            <w:pPr>
              <w:rPr>
                <w:color w:val="000000"/>
              </w:rPr>
            </w:pPr>
            <w:r>
              <w:rPr>
                <w:color w:val="000000"/>
              </w:rPr>
              <w:t>However</w:t>
            </w:r>
            <w:r w:rsidR="004B0A53">
              <w:rPr>
                <w:color w:val="000000"/>
              </w:rPr>
              <w:t>,</w:t>
            </w:r>
            <w:r>
              <w:rPr>
                <w:color w:val="000000"/>
              </w:rPr>
              <w:t xml:space="preserve"> this citation is </w:t>
            </w:r>
            <w:r w:rsidR="002E4774">
              <w:rPr>
                <w:color w:val="000000"/>
              </w:rPr>
              <w:t>on page 29 of D.25-09-030.</w:t>
            </w:r>
          </w:p>
          <w:p w:rsidR="00B27C43" w:rsidP="00DA74C8" w:rsidRDefault="00B27C43" w14:paraId="58AE17B6" w14:textId="77777777">
            <w:pPr>
              <w:rPr>
                <w:color w:val="000000"/>
              </w:rPr>
            </w:pPr>
          </w:p>
          <w:p w:rsidR="00B27C43" w:rsidP="00DA74C8" w:rsidRDefault="00B27C43" w14:paraId="4023627E" w14:textId="77777777">
            <w:pPr>
              <w:rPr>
                <w:color w:val="000000"/>
              </w:rPr>
            </w:pPr>
          </w:p>
          <w:p w:rsidR="00B27C43" w:rsidP="00DA74C8" w:rsidRDefault="00B27C43" w14:paraId="43FCA04D" w14:textId="77777777">
            <w:pPr>
              <w:rPr>
                <w:color w:val="000000"/>
              </w:rPr>
            </w:pPr>
          </w:p>
          <w:p w:rsidR="00B27C43" w:rsidP="00DA74C8" w:rsidRDefault="00B27C43" w14:paraId="57E29553" w14:textId="77777777">
            <w:pPr>
              <w:rPr>
                <w:color w:val="000000"/>
              </w:rPr>
            </w:pPr>
          </w:p>
          <w:p w:rsidR="00B27C43" w:rsidP="00DA74C8" w:rsidRDefault="00B27C43" w14:paraId="29EF2F20" w14:textId="77777777">
            <w:pPr>
              <w:rPr>
                <w:color w:val="000000"/>
              </w:rPr>
            </w:pPr>
          </w:p>
          <w:p w:rsidR="00B27C43" w:rsidP="00DA74C8" w:rsidRDefault="00B27C43" w14:paraId="20C13335" w14:textId="77777777">
            <w:pPr>
              <w:rPr>
                <w:color w:val="000000"/>
              </w:rPr>
            </w:pPr>
          </w:p>
          <w:p w:rsidR="00B27C43" w:rsidP="00DA74C8" w:rsidRDefault="00B27C43" w14:paraId="6E409E16" w14:textId="77777777">
            <w:pPr>
              <w:rPr>
                <w:color w:val="000000"/>
              </w:rPr>
            </w:pPr>
          </w:p>
          <w:p w:rsidR="00B27C43" w:rsidP="00DA74C8" w:rsidRDefault="00B27C43" w14:paraId="02EC1704" w14:textId="77777777">
            <w:pPr>
              <w:rPr>
                <w:color w:val="000000"/>
              </w:rPr>
            </w:pPr>
          </w:p>
          <w:p w:rsidR="00B27C43" w:rsidP="00DA74C8" w:rsidRDefault="00B27C43" w14:paraId="28F6CF07" w14:textId="77777777">
            <w:pPr>
              <w:rPr>
                <w:color w:val="000000"/>
              </w:rPr>
            </w:pPr>
          </w:p>
          <w:p w:rsidR="00B27C43" w:rsidP="00DA74C8" w:rsidRDefault="00B27C43" w14:paraId="4BF6CF2D" w14:textId="77777777">
            <w:pPr>
              <w:rPr>
                <w:color w:val="000000"/>
              </w:rPr>
            </w:pPr>
          </w:p>
          <w:p w:rsidR="00B27C43" w:rsidP="00DA74C8" w:rsidRDefault="00B27C43" w14:paraId="27D3714C" w14:textId="77777777">
            <w:pPr>
              <w:rPr>
                <w:color w:val="000000"/>
              </w:rPr>
            </w:pPr>
          </w:p>
          <w:p w:rsidR="00B27C43" w:rsidP="00DA74C8" w:rsidRDefault="00B27C43" w14:paraId="3A8D6DE6" w14:textId="77777777">
            <w:pPr>
              <w:rPr>
                <w:color w:val="000000"/>
              </w:rPr>
            </w:pPr>
          </w:p>
          <w:p w:rsidRPr="007F620E" w:rsidR="00B27C43" w:rsidP="00BB16D1" w:rsidRDefault="006B5F33" w14:paraId="59646F2A" w14:textId="7D46A517">
            <w:pPr>
              <w:jc w:val="center"/>
              <w:rPr>
                <w:color w:val="000000"/>
              </w:rPr>
            </w:pPr>
            <w:r>
              <w:rPr>
                <w:color w:val="000000"/>
              </w:rPr>
              <w:t>Verified</w:t>
            </w:r>
          </w:p>
        </w:tc>
      </w:tr>
      <w:tr w:rsidRPr="007F620E" w:rsidR="00CA1DE7" w:rsidTr="00476311" w14:paraId="73C96F27" w14:textId="77777777">
        <w:tc>
          <w:tcPr>
            <w:tcW w:w="3325" w:type="dxa"/>
          </w:tcPr>
          <w:p w:rsidR="00CA1DE7" w:rsidP="00FB1C79" w:rsidRDefault="00CA1DE7" w14:paraId="77D2820B" w14:textId="7919E8E9">
            <w:pPr>
              <w:spacing w:after="120"/>
              <w:rPr>
                <w:color w:val="000000"/>
              </w:rPr>
            </w:pPr>
            <w:r>
              <w:rPr>
                <w:color w:val="000000"/>
              </w:rPr>
              <w:lastRenderedPageBreak/>
              <w:t>9. MGRA raised a number of issues regarding SCE’s risk analysis in the RAMP proceeding that were shared by SPD and included within the RAMP scope due to MGRA’s support, including the importance of tail risk, catastrophic losses, and power laws, and also the health effects of wildfire smoke.</w:t>
            </w:r>
          </w:p>
          <w:p w:rsidR="00CA1DE7" w:rsidP="00DA74C8" w:rsidRDefault="00CA1DE7" w14:paraId="5A4213A6" w14:textId="3D89BF28">
            <w:pPr>
              <w:rPr>
                <w:b/>
                <w:bCs/>
                <w:color w:val="000000"/>
              </w:rPr>
            </w:pPr>
            <w:r>
              <w:rPr>
                <w:b/>
                <w:bCs/>
                <w:color w:val="000000"/>
              </w:rPr>
              <w:t>Type:</w:t>
            </w:r>
            <w:r w:rsidR="00FB1C79">
              <w:rPr>
                <w:b/>
                <w:bCs/>
                <w:color w:val="000000"/>
              </w:rPr>
              <w:t>  </w:t>
            </w:r>
            <w:r>
              <w:rPr>
                <w:b/>
                <w:bCs/>
                <w:color w:val="000000"/>
              </w:rPr>
              <w:t>Primary</w:t>
            </w:r>
          </w:p>
          <w:p w:rsidRPr="00CA1DE7" w:rsidR="00CA1DE7" w:rsidP="00DA74C8" w:rsidRDefault="00CA1DE7" w14:paraId="3D54FE38" w14:textId="4C9E3518">
            <w:pPr>
              <w:rPr>
                <w:b/>
                <w:bCs/>
                <w:color w:val="000000"/>
              </w:rPr>
            </w:pPr>
            <w:r>
              <w:rPr>
                <w:b/>
                <w:bCs/>
                <w:color w:val="000000"/>
              </w:rPr>
              <w:t>Issue:</w:t>
            </w:r>
            <w:r w:rsidR="00FB1C79">
              <w:rPr>
                <w:b/>
                <w:bCs/>
                <w:color w:val="000000"/>
              </w:rPr>
              <w:t>  </w:t>
            </w:r>
            <w:proofErr w:type="spellStart"/>
            <w:r>
              <w:rPr>
                <w:b/>
                <w:bCs/>
                <w:color w:val="000000"/>
              </w:rPr>
              <w:t>Rsk</w:t>
            </w:r>
            <w:proofErr w:type="spellEnd"/>
          </w:p>
        </w:tc>
        <w:tc>
          <w:tcPr>
            <w:tcW w:w="4729" w:type="dxa"/>
          </w:tcPr>
          <w:p w:rsidRPr="00CA1DE7" w:rsidR="00CA1DE7" w:rsidP="00DA74C8" w:rsidRDefault="00CA1DE7" w14:paraId="51E9E6D4" w14:textId="77777777">
            <w:pPr>
              <w:rPr>
                <w:color w:val="000000"/>
              </w:rPr>
            </w:pPr>
            <w:r>
              <w:rPr>
                <w:color w:val="000000"/>
              </w:rPr>
              <w:t>RAMP-SPD-</w:t>
            </w:r>
            <w:proofErr w:type="spellStart"/>
            <w:r>
              <w:rPr>
                <w:color w:val="000000"/>
              </w:rPr>
              <w:t>Rpt</w:t>
            </w:r>
            <w:proofErr w:type="spellEnd"/>
            <w:r>
              <w:rPr>
                <w:color w:val="000000"/>
              </w:rPr>
              <w:t xml:space="preserve">; p. 22 – </w:t>
            </w:r>
            <w:r>
              <w:rPr>
                <w:color w:val="000000"/>
              </w:rPr>
              <w:br/>
              <w:t>“</w:t>
            </w:r>
            <w:r w:rsidRPr="00CA1DE7">
              <w:rPr>
                <w:color w:val="000000"/>
              </w:rPr>
              <w:t>1. SCE should revise its risk modeling to:</w:t>
            </w:r>
            <w:r>
              <w:rPr>
                <w:color w:val="000000"/>
              </w:rPr>
              <w:t>…</w:t>
            </w:r>
            <w:r>
              <w:rPr>
                <w:color w:val="000000"/>
              </w:rPr>
              <w:br/>
            </w:r>
            <w:r w:rsidRPr="00CA1DE7">
              <w:rPr>
                <w:color w:val="000000"/>
              </w:rPr>
              <w:t>c. Improve modeling of catastrophic losses and the impacts of longer-lasting fires.</w:t>
            </w:r>
          </w:p>
          <w:p w:rsidRPr="00CA1DE7" w:rsidR="00CA1DE7" w:rsidP="00DA74C8" w:rsidRDefault="00CA1DE7" w14:paraId="680A9E45" w14:textId="4D7FE70E">
            <w:pPr>
              <w:rPr>
                <w:color w:val="000000"/>
              </w:rPr>
            </w:pPr>
            <w:r w:rsidRPr="00CA1DE7">
              <w:rPr>
                <w:color w:val="000000"/>
              </w:rPr>
              <w:t>d. Better reflect consequences of increased outage rates and “extreme weather” periods</w:t>
            </w:r>
            <w:r>
              <w:rPr>
                <w:color w:val="000000"/>
              </w:rPr>
              <w:t xml:space="preserve"> </w:t>
            </w:r>
            <w:r w:rsidRPr="00CA1DE7">
              <w:rPr>
                <w:color w:val="000000"/>
              </w:rPr>
              <w:t>(i.e. adding a red flag warning day variable to better reflect the weighting of wind</w:t>
            </w:r>
            <w:r>
              <w:rPr>
                <w:color w:val="000000"/>
              </w:rPr>
              <w:t>-</w:t>
            </w:r>
            <w:r w:rsidRPr="00CA1DE7">
              <w:rPr>
                <w:color w:val="000000"/>
              </w:rPr>
              <w:t>driven</w:t>
            </w:r>
            <w:r>
              <w:rPr>
                <w:color w:val="000000"/>
              </w:rPr>
              <w:t xml:space="preserve"> </w:t>
            </w:r>
            <w:r w:rsidRPr="00CA1DE7">
              <w:rPr>
                <w:color w:val="000000"/>
              </w:rPr>
              <w:t>drivers).</w:t>
            </w:r>
          </w:p>
          <w:p w:rsidR="00CA1DE7" w:rsidP="00FB1C79" w:rsidRDefault="00CA1DE7" w14:paraId="126AB2BE" w14:textId="4C7B9934">
            <w:pPr>
              <w:spacing w:after="120"/>
              <w:rPr>
                <w:color w:val="000000"/>
              </w:rPr>
            </w:pPr>
            <w:r w:rsidRPr="00CA1DE7">
              <w:rPr>
                <w:color w:val="000000"/>
              </w:rPr>
              <w:t>e. Include estimates of health and safety consequences of wildfire smoke.</w:t>
            </w:r>
          </w:p>
          <w:p w:rsidRPr="00BB16D1" w:rsidR="00CA1DE7" w:rsidP="00DA74C8" w:rsidRDefault="00CA1DE7" w14:paraId="00A98AC8" w14:textId="6D3EE668">
            <w:r>
              <w:rPr>
                <w:color w:val="000000"/>
              </w:rPr>
              <w:t>FD-RAMP; pp. 8-9 – “</w:t>
            </w:r>
            <w:r>
              <w:t xml:space="preserve">MGRA states that SCE’s risk modeling contains several deficiencies such as the lack of wind dependency in ignition models, not capturing extreme weather impacts, the limitations to the </w:t>
            </w:r>
            <w:proofErr w:type="spellStart"/>
            <w:r>
              <w:t>Technosylva</w:t>
            </w:r>
            <w:proofErr w:type="spellEnd"/>
            <w:r>
              <w:t xml:space="preserve"> consequence modeling, and the correlation between ignition and consequence. MGRA also recommends </w:t>
            </w:r>
            <w:proofErr w:type="spellStart"/>
            <w:r>
              <w:t>Technosylva</w:t>
            </w:r>
            <w:proofErr w:type="spellEnd"/>
            <w:r>
              <w:t xml:space="preserve"> is a wildfire science company that specializes in solutions for wildfire protection planning, risk analysis, simulation modeling, and operational response….</w:t>
            </w:r>
            <w:r w:rsidR="00BB16D1">
              <w:t xml:space="preserve"> </w:t>
            </w:r>
            <w:r>
              <w:t>using power laws to model catastrophic events and including the impacts of wildfire smoke PSPS in SCE’s risk modeling.”</w:t>
            </w:r>
          </w:p>
        </w:tc>
        <w:tc>
          <w:tcPr>
            <w:tcW w:w="1684" w:type="dxa"/>
          </w:tcPr>
          <w:p w:rsidR="00CA1DE7" w:rsidP="00BB16D1" w:rsidRDefault="001C4214" w14:paraId="01286A2C" w14:textId="77777777">
            <w:pPr>
              <w:jc w:val="center"/>
              <w:rPr>
                <w:color w:val="000000"/>
              </w:rPr>
            </w:pPr>
            <w:r>
              <w:rPr>
                <w:color w:val="000000"/>
              </w:rPr>
              <w:t>Verified</w:t>
            </w:r>
          </w:p>
          <w:p w:rsidR="001C4214" w:rsidP="00DA74C8" w:rsidRDefault="001C4214" w14:paraId="22AA8044" w14:textId="77777777">
            <w:pPr>
              <w:rPr>
                <w:color w:val="000000"/>
              </w:rPr>
            </w:pPr>
          </w:p>
          <w:p w:rsidR="001C4214" w:rsidP="00DA74C8" w:rsidRDefault="001C4214" w14:paraId="0182ABA6" w14:textId="77777777">
            <w:pPr>
              <w:rPr>
                <w:color w:val="000000"/>
              </w:rPr>
            </w:pPr>
          </w:p>
          <w:p w:rsidR="001C4214" w:rsidP="00DA74C8" w:rsidRDefault="001C4214" w14:paraId="4A35206A" w14:textId="77777777">
            <w:pPr>
              <w:rPr>
                <w:color w:val="000000"/>
              </w:rPr>
            </w:pPr>
          </w:p>
          <w:p w:rsidR="001C4214" w:rsidP="00DA74C8" w:rsidRDefault="001C4214" w14:paraId="135174EC" w14:textId="77777777">
            <w:pPr>
              <w:rPr>
                <w:color w:val="000000"/>
              </w:rPr>
            </w:pPr>
          </w:p>
          <w:p w:rsidR="001C4214" w:rsidP="00DA74C8" w:rsidRDefault="001C4214" w14:paraId="783EA390" w14:textId="77777777">
            <w:pPr>
              <w:rPr>
                <w:color w:val="000000"/>
              </w:rPr>
            </w:pPr>
          </w:p>
          <w:p w:rsidR="001C4214" w:rsidP="00DA74C8" w:rsidRDefault="001C4214" w14:paraId="59BDC046" w14:textId="77777777">
            <w:pPr>
              <w:rPr>
                <w:color w:val="000000"/>
              </w:rPr>
            </w:pPr>
          </w:p>
          <w:p w:rsidR="001C4214" w:rsidP="00DA74C8" w:rsidRDefault="001C4214" w14:paraId="3673E106" w14:textId="77777777">
            <w:pPr>
              <w:rPr>
                <w:color w:val="000000"/>
              </w:rPr>
            </w:pPr>
          </w:p>
          <w:p w:rsidR="001C4214" w:rsidP="00DA74C8" w:rsidRDefault="001C4214" w14:paraId="251B2C35" w14:textId="77777777">
            <w:pPr>
              <w:rPr>
                <w:color w:val="000000"/>
              </w:rPr>
            </w:pPr>
          </w:p>
          <w:p w:rsidR="001C4214" w:rsidP="00DA74C8" w:rsidRDefault="001C4214" w14:paraId="0BDFA8EC" w14:textId="77777777">
            <w:pPr>
              <w:rPr>
                <w:color w:val="000000"/>
              </w:rPr>
            </w:pPr>
          </w:p>
          <w:p w:rsidR="001C4214" w:rsidP="00DA74C8" w:rsidRDefault="001C4214" w14:paraId="68E79073" w14:textId="77777777">
            <w:pPr>
              <w:rPr>
                <w:color w:val="000000"/>
              </w:rPr>
            </w:pPr>
          </w:p>
          <w:p w:rsidR="001C4214" w:rsidP="00DA74C8" w:rsidRDefault="001C4214" w14:paraId="32276F5A" w14:textId="77777777">
            <w:pPr>
              <w:rPr>
                <w:color w:val="000000"/>
              </w:rPr>
            </w:pPr>
          </w:p>
          <w:p w:rsidR="001C4214" w:rsidP="00DA74C8" w:rsidRDefault="001C4214" w14:paraId="12B32AEA" w14:textId="77777777">
            <w:pPr>
              <w:rPr>
                <w:color w:val="000000"/>
              </w:rPr>
            </w:pPr>
          </w:p>
          <w:p w:rsidRPr="007F620E" w:rsidR="001C4214" w:rsidP="00BB16D1" w:rsidRDefault="00681DDE" w14:paraId="033DC55F" w14:textId="73F2315A">
            <w:pPr>
              <w:jc w:val="center"/>
              <w:rPr>
                <w:color w:val="000000"/>
              </w:rPr>
            </w:pPr>
            <w:r>
              <w:rPr>
                <w:color w:val="000000"/>
              </w:rPr>
              <w:t xml:space="preserve">Verified </w:t>
            </w:r>
            <w:r w:rsidR="00B17573">
              <w:rPr>
                <w:color w:val="000000"/>
              </w:rPr>
              <w:t>However,</w:t>
            </w:r>
            <w:r>
              <w:rPr>
                <w:color w:val="000000"/>
              </w:rPr>
              <w:t xml:space="preserve"> this citation </w:t>
            </w:r>
            <w:r w:rsidR="00BA7304">
              <w:rPr>
                <w:color w:val="000000"/>
              </w:rPr>
              <w:t xml:space="preserve">does not follow the phrasing from </w:t>
            </w:r>
            <w:r w:rsidR="009359E4">
              <w:rPr>
                <w:color w:val="000000"/>
              </w:rPr>
              <w:t>D.25-09-030</w:t>
            </w:r>
            <w:r w:rsidR="00B17573">
              <w:rPr>
                <w:color w:val="000000"/>
              </w:rPr>
              <w:t xml:space="preserve"> as </w:t>
            </w:r>
            <w:r w:rsidR="009359E4">
              <w:rPr>
                <w:color w:val="000000"/>
              </w:rPr>
              <w:t xml:space="preserve">MGRA inserts a </w:t>
            </w:r>
            <w:r w:rsidR="00B17573">
              <w:rPr>
                <w:color w:val="000000"/>
              </w:rPr>
              <w:t>footnote midsentence.</w:t>
            </w:r>
          </w:p>
        </w:tc>
      </w:tr>
    </w:tbl>
    <w:p w:rsidRPr="0067412B" w:rsidR="00A92D0B" w:rsidP="00FD6827" w:rsidRDefault="00A92D0B" w14:paraId="0D4BCD3A" w14:textId="71E0F842">
      <w:pPr>
        <w:pStyle w:val="Style1forICOMPS"/>
        <w:numPr>
          <w:ilvl w:val="0"/>
          <w:numId w:val="13"/>
        </w:numPr>
        <w:spacing w:before="480" w:after="120"/>
        <w:ind w:left="360"/>
        <w:jc w:val="left"/>
      </w:pPr>
      <w:r w:rsidRPr="0067412B">
        <w:lastRenderedPageBreak/>
        <w:t>Duplication of Effort (§</w:t>
      </w:r>
      <w:r w:rsidRPr="0067412B" w:rsidR="00BB16D1">
        <w:t>§</w:t>
      </w:r>
      <w:r w:rsidRPr="0067412B">
        <w:t xml:space="preserve"> 1801.3(f) </w:t>
      </w:r>
      <w:r w:rsidRPr="0067412B" w:rsidR="00F30DA8">
        <w:t xml:space="preserve">and </w:t>
      </w:r>
      <w:r w:rsidRPr="0067412B" w:rsidR="0022302F">
        <w:t>1802.5)</w:t>
      </w:r>
      <w:r w:rsidRPr="0067412B" w:rsidR="00C02649">
        <w:t>:</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5575"/>
        <w:gridCol w:w="2070"/>
        <w:gridCol w:w="1710"/>
      </w:tblGrid>
      <w:tr w:rsidRPr="007F620E" w:rsidR="00A92D0B" w:rsidTr="00C83159" w14:paraId="76F3266C" w14:textId="77777777">
        <w:trPr>
          <w:trHeight w:val="520"/>
          <w:tblHeader/>
        </w:trPr>
        <w:tc>
          <w:tcPr>
            <w:tcW w:w="5575"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2070" w:type="dxa"/>
            <w:tcBorders>
              <w:bottom w:val="single" w:color="auto" w:sz="4" w:space="0"/>
            </w:tcBorders>
            <w:shd w:val="clear" w:color="auto" w:fill="D9D9D9" w:themeFill="background1" w:themeFillShade="D9"/>
            <w:vAlign w:val="center"/>
          </w:tcPr>
          <w:p w:rsidRPr="007F620E" w:rsidR="00A92D0B" w:rsidP="00BB16D1" w:rsidRDefault="00BB16D1" w14:paraId="7B091096" w14:textId="45CAFE18">
            <w:pPr>
              <w:keepNext/>
              <w:keepLines/>
              <w:jc w:val="center"/>
              <w:rPr>
                <w:b/>
                <w:color w:val="000000"/>
              </w:rPr>
            </w:pPr>
            <w:r w:rsidRPr="007F620E">
              <w:rPr>
                <w:b/>
                <w:color w:val="000000"/>
              </w:rPr>
              <w:t>INTERVENOR’S ASSERTION</w:t>
            </w:r>
          </w:p>
        </w:tc>
        <w:tc>
          <w:tcPr>
            <w:tcW w:w="1710" w:type="dxa"/>
            <w:shd w:val="clear" w:color="auto" w:fill="D9D9D9" w:themeFill="background1" w:themeFillShade="D9"/>
            <w:vAlign w:val="center"/>
          </w:tcPr>
          <w:p w:rsidRPr="007F620E" w:rsidR="00A92D0B" w:rsidP="00BB16D1" w:rsidRDefault="00BB16D1" w14:paraId="25CE5081" w14:textId="15BECCB8">
            <w:pPr>
              <w:keepNext/>
              <w:keepLines/>
              <w:jc w:val="center"/>
              <w:rPr>
                <w:b/>
                <w:color w:val="000000"/>
              </w:rPr>
            </w:pPr>
            <w:r w:rsidRPr="007F620E">
              <w:rPr>
                <w:b/>
                <w:color w:val="000000"/>
              </w:rPr>
              <w:t>CPUC DISCUSSION</w:t>
            </w:r>
          </w:p>
        </w:tc>
      </w:tr>
      <w:tr w:rsidRPr="007F620E" w:rsidR="00A92D0B" w:rsidTr="00C83159" w14:paraId="24A12BE1" w14:textId="77777777">
        <w:trPr>
          <w:trHeight w:val="814"/>
        </w:trPr>
        <w:tc>
          <w:tcPr>
            <w:tcW w:w="5575" w:type="dxa"/>
          </w:tcPr>
          <w:p w:rsidRPr="007F620E" w:rsidR="00A92D0B" w:rsidP="00745A67" w:rsidRDefault="00A92D0B" w14:paraId="6915FAF6" w14:textId="3491B250">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2070" w:type="dxa"/>
            <w:vAlign w:val="center"/>
          </w:tcPr>
          <w:p w:rsidRPr="00E25078" w:rsidR="00A92D0B" w:rsidP="00133A05" w:rsidRDefault="00F356A1" w14:paraId="0B49A7C8" w14:textId="3CD4EF65">
            <w:pPr>
              <w:keepNext/>
              <w:keepLines/>
              <w:jc w:val="center"/>
              <w:rPr>
                <w:color w:val="000000"/>
              </w:rPr>
            </w:pPr>
            <w:r>
              <w:rPr>
                <w:color w:val="000000"/>
              </w:rPr>
              <w:t>Yes</w:t>
            </w:r>
          </w:p>
        </w:tc>
        <w:tc>
          <w:tcPr>
            <w:tcW w:w="1710" w:type="dxa"/>
            <w:vAlign w:val="center"/>
          </w:tcPr>
          <w:p w:rsidRPr="00E25078" w:rsidR="00A92D0B" w:rsidP="00133A05" w:rsidRDefault="00041F69" w14:paraId="23B6532A" w14:textId="15807C91">
            <w:pPr>
              <w:keepNext/>
              <w:keepLines/>
              <w:jc w:val="center"/>
              <w:rPr>
                <w:color w:val="000000"/>
              </w:rPr>
            </w:pPr>
            <w:r>
              <w:rPr>
                <w:color w:val="000000"/>
              </w:rPr>
              <w:t>Verified</w:t>
            </w:r>
          </w:p>
        </w:tc>
      </w:tr>
      <w:tr w:rsidRPr="007F620E" w:rsidR="00A92D0B" w:rsidTr="00C83159" w14:paraId="3317BD71" w14:textId="77777777">
        <w:trPr>
          <w:trHeight w:val="526"/>
        </w:trPr>
        <w:tc>
          <w:tcPr>
            <w:tcW w:w="5575" w:type="dxa"/>
          </w:tcPr>
          <w:p w:rsidRPr="007F620E" w:rsidR="00A92D0B" w:rsidP="00745A67"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the proceeding with positions similar to yours? </w:t>
            </w:r>
          </w:p>
        </w:tc>
        <w:tc>
          <w:tcPr>
            <w:tcW w:w="2070" w:type="dxa"/>
            <w:vAlign w:val="center"/>
          </w:tcPr>
          <w:p w:rsidRPr="00E25078" w:rsidR="00A92D0B" w:rsidP="00133A05" w:rsidRDefault="00F356A1" w14:paraId="3708E485" w14:textId="39493621">
            <w:pPr>
              <w:jc w:val="center"/>
              <w:rPr>
                <w:color w:val="000000"/>
              </w:rPr>
            </w:pPr>
            <w:r>
              <w:rPr>
                <w:color w:val="000000"/>
              </w:rPr>
              <w:t>Yes</w:t>
            </w:r>
          </w:p>
        </w:tc>
        <w:tc>
          <w:tcPr>
            <w:tcW w:w="1710" w:type="dxa"/>
            <w:vAlign w:val="center"/>
          </w:tcPr>
          <w:p w:rsidRPr="00E25078" w:rsidR="00A92D0B" w:rsidP="00133A05" w:rsidRDefault="00041F69" w14:paraId="6B3388E6" w14:textId="07CABF5D">
            <w:pPr>
              <w:jc w:val="center"/>
              <w:rPr>
                <w:color w:val="000000"/>
              </w:rPr>
            </w:pPr>
            <w:r>
              <w:rPr>
                <w:color w:val="000000"/>
              </w:rPr>
              <w:t>Verified</w:t>
            </w:r>
          </w:p>
        </w:tc>
      </w:tr>
      <w:tr w:rsidRPr="007F620E" w:rsidR="00A92D0B" w:rsidTr="0006735F" w14:paraId="0A51B7D4" w14:textId="77777777">
        <w:trPr>
          <w:trHeight w:val="301"/>
        </w:trPr>
        <w:tc>
          <w:tcPr>
            <w:tcW w:w="7645" w:type="dxa"/>
            <w:gridSpan w:val="2"/>
          </w:tcPr>
          <w:p w:rsidRPr="00E25078" w:rsidR="00A92D0B" w:rsidP="00745A67" w:rsidRDefault="00A92D0B" w14:paraId="0919176B" w14:textId="4B4A9692">
            <w:pPr>
              <w:ind w:left="360" w:hanging="360"/>
              <w:rPr>
                <w:color w:val="000000"/>
              </w:rPr>
            </w:pPr>
            <w:r w:rsidRPr="00E25078">
              <w:rPr>
                <w:b/>
                <w:color w:val="000000"/>
              </w:rPr>
              <w:t>c.</w:t>
            </w:r>
            <w:r w:rsidRPr="00E25078">
              <w:rPr>
                <w:b/>
                <w:color w:val="000000"/>
              </w:rPr>
              <w:tab/>
              <w:t>If so, provide name of other parties:</w:t>
            </w:r>
            <w:r w:rsidR="00BB16D1">
              <w:rPr>
                <w:color w:val="000000"/>
              </w:rPr>
              <w:t>  </w:t>
            </w:r>
            <w:r w:rsidR="00F356A1">
              <w:rPr>
                <w:color w:val="000000"/>
              </w:rPr>
              <w:t>TURN, SBUA</w:t>
            </w:r>
          </w:p>
        </w:tc>
        <w:tc>
          <w:tcPr>
            <w:tcW w:w="1710" w:type="dxa"/>
            <w:vAlign w:val="center"/>
          </w:tcPr>
          <w:p w:rsidRPr="00E25078" w:rsidR="00A92D0B" w:rsidP="00133A05" w:rsidRDefault="004B0A53" w14:paraId="22A40B49" w14:textId="78C88C8B">
            <w:pPr>
              <w:jc w:val="center"/>
              <w:rPr>
                <w:color w:val="000000"/>
              </w:rPr>
            </w:pPr>
            <w:r>
              <w:rPr>
                <w:color w:val="000000"/>
              </w:rPr>
              <w:t>Noted</w:t>
            </w:r>
          </w:p>
        </w:tc>
      </w:tr>
      <w:tr w:rsidRPr="007F620E" w:rsidR="00A92D0B" w:rsidTr="0006735F" w14:paraId="744830F5" w14:textId="77777777">
        <w:trPr>
          <w:trHeight w:val="3703"/>
        </w:trPr>
        <w:tc>
          <w:tcPr>
            <w:tcW w:w="7645" w:type="dxa"/>
            <w:gridSpan w:val="2"/>
          </w:tcPr>
          <w:p w:rsidRPr="00E25078" w:rsidR="00F356A1" w:rsidP="00745A67" w:rsidRDefault="00A92D0B" w14:paraId="60CFCEAF" w14:textId="38BB6DA9">
            <w:pPr>
              <w:tabs>
                <w:tab w:val="left" w:pos="360"/>
              </w:tabs>
              <w:ind w:left="360" w:hanging="360"/>
              <w:rPr>
                <w:color w:val="000000"/>
              </w:rPr>
            </w:pPr>
            <w:r w:rsidRPr="00E25078">
              <w:rPr>
                <w:b/>
                <w:color w:val="000000"/>
              </w:rPr>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p>
          <w:p w:rsidRPr="00F356A1" w:rsidR="00F356A1" w:rsidP="00745A67" w:rsidRDefault="00F356A1" w14:paraId="28BF1CED" w14:textId="3A6402AD">
            <w:pPr>
              <w:tabs>
                <w:tab w:val="left" w:pos="360"/>
              </w:tabs>
              <w:rPr>
                <w:color w:val="000000"/>
              </w:rPr>
            </w:pPr>
            <w:r w:rsidRPr="00F356A1">
              <w:rPr>
                <w:color w:val="000000"/>
              </w:rPr>
              <w:t>MGRA</w:t>
            </w:r>
            <w:r>
              <w:rPr>
                <w:color w:val="000000"/>
              </w:rPr>
              <w:t>’s contribution is distinctive in the emphasis it puts on utility wildfire risk reduction and the importance of achieving this goal in a cost effective way.</w:t>
            </w:r>
          </w:p>
          <w:p w:rsidR="00F356A1" w:rsidP="00745A67" w:rsidRDefault="00F356A1" w14:paraId="6C3195F8" w14:textId="133AC21B">
            <w:pPr>
              <w:tabs>
                <w:tab w:val="left" w:pos="360"/>
              </w:tabs>
              <w:spacing w:before="60"/>
              <w:rPr>
                <w:color w:val="000000"/>
              </w:rPr>
            </w:pPr>
            <w:r w:rsidRPr="00F356A1">
              <w:rPr>
                <w:color w:val="000000"/>
              </w:rPr>
              <w:t>While other intervenors’ positions are similar to MGRA’s in some cases, there are differences</w:t>
            </w:r>
            <w:r w:rsidRPr="00B17573">
              <w:rPr>
                <w:color w:val="000000"/>
              </w:rPr>
              <w:t>. MGRA brings with it directional vision for utility fire safety. For example TURN’s primary goal has been ratepayer protection, while SBUA’s</w:t>
            </w:r>
            <w:r>
              <w:rPr>
                <w:color w:val="000000"/>
              </w:rPr>
              <w:t xml:space="preserve"> emphasis is on protecting the interest of small business utility customers</w:t>
            </w:r>
            <w:r w:rsidRPr="00F356A1">
              <w:rPr>
                <w:color w:val="000000"/>
              </w:rPr>
              <w:t>. These lead to a difference in emphasis between MGRA’s positions and those of the other</w:t>
            </w:r>
            <w:r>
              <w:rPr>
                <w:color w:val="000000"/>
              </w:rPr>
              <w:t xml:space="preserve"> intervenors.</w:t>
            </w:r>
          </w:p>
          <w:p w:rsidRPr="00E25078" w:rsidR="00F356A1" w:rsidP="00745A67" w:rsidRDefault="00F356A1" w14:paraId="3228BB07" w14:textId="5035475F">
            <w:pPr>
              <w:tabs>
                <w:tab w:val="left" w:pos="360"/>
              </w:tabs>
              <w:spacing w:before="60"/>
              <w:rPr>
                <w:color w:val="000000"/>
              </w:rPr>
            </w:pPr>
            <w:r>
              <w:rPr>
                <w:color w:val="000000"/>
              </w:rPr>
              <w:t>Some duplication was inevitable, and in fact facilitated by cooperation and sharing of information between MGRA, TURN, and Cal Advocate</w:t>
            </w:r>
            <w:r w:rsidR="00333DFA">
              <w:rPr>
                <w:color w:val="000000"/>
              </w:rPr>
              <w:t>s</w:t>
            </w:r>
            <w:r>
              <w:rPr>
                <w:color w:val="000000"/>
              </w:rPr>
              <w:t>. This cooperation in the long run reduced the overall amount of time and effort spent by intervenors.</w:t>
            </w:r>
          </w:p>
        </w:tc>
        <w:tc>
          <w:tcPr>
            <w:tcW w:w="1710" w:type="dxa"/>
          </w:tcPr>
          <w:p w:rsidRPr="00E25078" w:rsidR="00A92D0B" w:rsidP="00BB16D1" w:rsidRDefault="00041F69" w14:paraId="5F9BBA55" w14:textId="2A3C910D">
            <w:pPr>
              <w:tabs>
                <w:tab w:val="left" w:pos="360"/>
              </w:tabs>
              <w:ind w:left="360" w:hanging="360"/>
              <w:jc w:val="center"/>
              <w:rPr>
                <w:color w:val="000000"/>
              </w:rPr>
            </w:pPr>
            <w:r>
              <w:rPr>
                <w:color w:val="000000"/>
              </w:rPr>
              <w:t>Noted</w:t>
            </w:r>
          </w:p>
        </w:tc>
      </w:tr>
    </w:tbl>
    <w:p w:rsidRPr="00AE0709" w:rsidR="00AE0709" w:rsidP="00FD6827" w:rsidRDefault="00AE0709" w14:paraId="60418214" w14:textId="35D515B1">
      <w:pPr>
        <w:pStyle w:val="Style1forICOMPS"/>
        <w:numPr>
          <w:ilvl w:val="0"/>
          <w:numId w:val="13"/>
        </w:numPr>
        <w:spacing w:before="240" w:after="120"/>
        <w:ind w:left="360"/>
        <w:jc w:val="left"/>
        <w:rPr>
          <w:i/>
          <w:u w:val="single"/>
        </w:rPr>
      </w:pPr>
      <w:r w:rsidRPr="007F620E">
        <w:t>Additional Comments on Part II</w:t>
      </w:r>
      <w:r>
        <w:t>:</w:t>
      </w:r>
    </w:p>
    <w:tbl>
      <w:tblPr>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50"/>
        <w:gridCol w:w="7474"/>
        <w:gridCol w:w="1701"/>
      </w:tblGrid>
      <w:tr w:rsidRPr="007F620E" w:rsidR="00133A05" w:rsidTr="00E957AF" w14:paraId="35C58BC9" w14:textId="77777777">
        <w:trPr>
          <w:tblHeader/>
          <w:jc w:val="center"/>
        </w:trPr>
        <w:tc>
          <w:tcPr>
            <w:tcW w:w="450" w:type="dxa"/>
            <w:tcBorders>
              <w:bottom w:val="single" w:color="auto" w:sz="4" w:space="0"/>
            </w:tcBorders>
            <w:shd w:val="clear" w:color="auto" w:fill="D9D9D9" w:themeFill="background1" w:themeFillShade="D9"/>
          </w:tcPr>
          <w:p w:rsidR="00133A05" w:rsidP="00AF0FC9" w:rsidRDefault="00133A05" w14:paraId="5CB65E7A" w14:textId="77777777">
            <w:pPr>
              <w:tabs>
                <w:tab w:val="left" w:pos="360"/>
              </w:tabs>
              <w:jc w:val="center"/>
              <w:rPr>
                <w:b/>
                <w:color w:val="000000"/>
              </w:rPr>
            </w:pPr>
            <w:r w:rsidRPr="007F620E">
              <w:rPr>
                <w:b/>
                <w:color w:val="000000"/>
              </w:rPr>
              <w:t>#</w:t>
            </w:r>
          </w:p>
          <w:p w:rsidRPr="007F620E" w:rsidR="00AE0709" w:rsidP="00AF0FC9" w:rsidRDefault="00AE0709" w14:paraId="645351CD" w14:textId="77777777">
            <w:pPr>
              <w:tabs>
                <w:tab w:val="left" w:pos="360"/>
              </w:tabs>
              <w:jc w:val="center"/>
              <w:rPr>
                <w:b/>
                <w:color w:val="000000"/>
              </w:rPr>
            </w:pPr>
          </w:p>
        </w:tc>
        <w:tc>
          <w:tcPr>
            <w:tcW w:w="7474" w:type="dxa"/>
            <w:tcBorders>
              <w:bottom w:val="single" w:color="auto" w:sz="4" w:space="0"/>
            </w:tcBorders>
            <w:shd w:val="clear" w:color="auto" w:fill="D9D9D9" w:themeFill="background1" w:themeFillShade="D9"/>
            <w:vAlign w:val="center"/>
          </w:tcPr>
          <w:p w:rsidRPr="007F620E" w:rsidR="00133A05" w:rsidP="00AF0FC9" w:rsidRDefault="00133A05" w14:paraId="6B761497" w14:textId="77777777">
            <w:pPr>
              <w:keepNext/>
              <w:keepLines/>
              <w:tabs>
                <w:tab w:val="left" w:pos="360"/>
              </w:tabs>
              <w:jc w:val="center"/>
              <w:rPr>
                <w:b/>
                <w:color w:val="000000"/>
              </w:rPr>
            </w:pPr>
            <w:r w:rsidRPr="007F620E">
              <w:rPr>
                <w:b/>
                <w:color w:val="000000"/>
              </w:rPr>
              <w:t>INTERVENOR’S COMMENT</w:t>
            </w:r>
          </w:p>
        </w:tc>
        <w:tc>
          <w:tcPr>
            <w:tcW w:w="1701" w:type="dxa"/>
            <w:shd w:val="clear" w:color="auto" w:fill="D9D9D9" w:themeFill="background1" w:themeFillShade="D9"/>
            <w:vAlign w:val="center"/>
          </w:tcPr>
          <w:p w:rsidRPr="007F620E" w:rsidR="00133A05" w:rsidP="00AF0FC9" w:rsidRDefault="00133A05" w14:paraId="2C00CD02" w14:textId="77777777">
            <w:pPr>
              <w:tabs>
                <w:tab w:val="left" w:pos="360"/>
              </w:tabs>
              <w:jc w:val="center"/>
              <w:rPr>
                <w:b/>
                <w:color w:val="000000"/>
              </w:rPr>
            </w:pPr>
            <w:r w:rsidRPr="007F620E">
              <w:rPr>
                <w:b/>
                <w:color w:val="000000"/>
              </w:rPr>
              <w:t>CPUC DISCUSSION</w:t>
            </w:r>
          </w:p>
        </w:tc>
      </w:tr>
      <w:tr w:rsidRPr="007F620E" w:rsidR="00133A05" w:rsidTr="00E957AF" w14:paraId="4E50066B" w14:textId="77777777">
        <w:trPr>
          <w:jc w:val="center"/>
        </w:trPr>
        <w:tc>
          <w:tcPr>
            <w:tcW w:w="450" w:type="dxa"/>
          </w:tcPr>
          <w:p w:rsidRPr="007F620E" w:rsidR="00133A05" w:rsidP="006E294A" w:rsidRDefault="00133A05" w14:paraId="7690717D" w14:textId="77777777">
            <w:pPr>
              <w:tabs>
                <w:tab w:val="left" w:pos="360"/>
              </w:tabs>
              <w:jc w:val="center"/>
              <w:rPr>
                <w:color w:val="000000"/>
              </w:rPr>
            </w:pPr>
            <w:r>
              <w:rPr>
                <w:color w:val="000000"/>
              </w:rPr>
              <w:t>1</w:t>
            </w:r>
          </w:p>
        </w:tc>
        <w:tc>
          <w:tcPr>
            <w:tcW w:w="7474" w:type="dxa"/>
          </w:tcPr>
          <w:tbl>
            <w:tblPr>
              <w:tblStyle w:val="TableGrid"/>
              <w:tblW w:w="7138" w:type="dxa"/>
              <w:jc w:val="center"/>
              <w:tblCellSpacing w:w="7" w:type="dxa"/>
              <w:tblLayout w:type="fixed"/>
              <w:tblLook w:val="01E0" w:firstRow="1" w:lastRow="1" w:firstColumn="1" w:lastColumn="1" w:noHBand="0" w:noVBand="0"/>
            </w:tblPr>
            <w:tblGrid>
              <w:gridCol w:w="1952"/>
              <w:gridCol w:w="5186"/>
            </w:tblGrid>
            <w:tr w:rsidRPr="00262A76" w:rsidR="00133A05" w:rsidTr="00262A76" w14:paraId="06A3B189" w14:textId="77777777">
              <w:trPr>
                <w:tblCellSpacing w:w="7" w:type="dxa"/>
                <w:jc w:val="center"/>
              </w:trPr>
              <w:tc>
                <w:tcPr>
                  <w:tcW w:w="1931" w:type="dxa"/>
                </w:tcPr>
                <w:p w:rsidRPr="00262A76" w:rsidR="00133A05" w:rsidP="006E294A" w:rsidRDefault="00133A05" w14:paraId="1E5EAF97" w14:textId="77777777">
                  <w:pPr>
                    <w:rPr>
                      <w:b/>
                      <w:bCs/>
                    </w:rPr>
                  </w:pPr>
                  <w:r w:rsidRPr="00262A76">
                    <w:rPr>
                      <w:b/>
                      <w:bCs/>
                    </w:rPr>
                    <w:t>Contribution Types</w:t>
                  </w:r>
                </w:p>
              </w:tc>
              <w:tc>
                <w:tcPr>
                  <w:tcW w:w="5165" w:type="dxa"/>
                </w:tcPr>
                <w:p w:rsidRPr="00262A76" w:rsidR="00133A05" w:rsidP="00262A76" w:rsidRDefault="00133A05" w14:paraId="3182EBFA" w14:textId="77777777">
                  <w:pPr>
                    <w:spacing w:before="60" w:after="60"/>
                    <w:jc w:val="both"/>
                  </w:pPr>
                  <w:r w:rsidRPr="00262A76">
                    <w:t xml:space="preserve">There are various types and levels of contribution that the Alliance interventions provided. These are defined and explained below. </w:t>
                  </w:r>
                </w:p>
              </w:tc>
            </w:tr>
            <w:tr w:rsidRPr="00262A76" w:rsidR="00133A05" w:rsidTr="00262A76" w14:paraId="5F5A86F8" w14:textId="77777777">
              <w:trPr>
                <w:tblCellSpacing w:w="7" w:type="dxa"/>
                <w:jc w:val="center"/>
              </w:trPr>
              <w:tc>
                <w:tcPr>
                  <w:tcW w:w="1931" w:type="dxa"/>
                </w:tcPr>
                <w:p w:rsidRPr="00262A76" w:rsidR="00133A05" w:rsidP="00AF0FC9" w:rsidRDefault="00133A05" w14:paraId="50DE94D5" w14:textId="77777777">
                  <w:pPr>
                    <w:rPr>
                      <w:b/>
                      <w:bCs/>
                    </w:rPr>
                  </w:pPr>
                  <w:r w:rsidRPr="00262A76">
                    <w:rPr>
                      <w:b/>
                      <w:bCs/>
                    </w:rPr>
                    <w:t>Primary</w:t>
                  </w:r>
                </w:p>
              </w:tc>
              <w:tc>
                <w:tcPr>
                  <w:tcW w:w="5165" w:type="dxa"/>
                </w:tcPr>
                <w:p w:rsidRPr="00262A76" w:rsidR="00133A05" w:rsidP="00262A76" w:rsidRDefault="00133A05" w14:paraId="060094D6" w14:textId="77777777">
                  <w:pPr>
                    <w:spacing w:before="60" w:after="60"/>
                  </w:pPr>
                  <w:r w:rsidRPr="00262A76">
                    <w:t>A Primary contribution is one in which the Alliance made a unique and definitive difference in supplying information not supplied by any other party. The Alliance can show that "but for" its intervention, the Decision would have likely reached a different conclusion.</w:t>
                  </w:r>
                </w:p>
              </w:tc>
            </w:tr>
            <w:tr w:rsidRPr="00262A76" w:rsidR="00133A05" w:rsidTr="00262A76" w14:paraId="445C439C" w14:textId="77777777">
              <w:trPr>
                <w:tblCellSpacing w:w="7" w:type="dxa"/>
                <w:jc w:val="center"/>
              </w:trPr>
              <w:tc>
                <w:tcPr>
                  <w:tcW w:w="1931" w:type="dxa"/>
                </w:tcPr>
                <w:p w:rsidRPr="00262A76" w:rsidR="00133A05" w:rsidP="00AF0FC9" w:rsidRDefault="00133A05" w14:paraId="2EF8BEE6" w14:textId="77777777">
                  <w:pPr>
                    <w:rPr>
                      <w:b/>
                      <w:bCs/>
                    </w:rPr>
                  </w:pPr>
                  <w:r w:rsidRPr="00262A76">
                    <w:rPr>
                      <w:b/>
                      <w:bCs/>
                    </w:rPr>
                    <w:t>Initiator</w:t>
                  </w:r>
                </w:p>
              </w:tc>
              <w:tc>
                <w:tcPr>
                  <w:tcW w:w="5165" w:type="dxa"/>
                </w:tcPr>
                <w:p w:rsidRPr="00262A76" w:rsidR="00133A05" w:rsidP="00262A76" w:rsidRDefault="00133A05" w14:paraId="17C03920" w14:textId="77777777">
                  <w:pPr>
                    <w:spacing w:before="60" w:after="60"/>
                  </w:pPr>
                  <w:r w:rsidRPr="00262A76">
                    <w:t xml:space="preserve">In instances where the Alliance was an "Initiator", it was the first to bring a particular issue or analysis to the Commission's attention. Other parties subsequently made additions or </w:t>
                  </w:r>
                  <w:r w:rsidRPr="00262A76">
                    <w:lastRenderedPageBreak/>
                    <w:t xml:space="preserve">improvements that were accepted by the Commission. </w:t>
                  </w:r>
                </w:p>
              </w:tc>
            </w:tr>
            <w:tr w:rsidRPr="00262A76" w:rsidR="00133A05" w:rsidTr="00262A76" w14:paraId="08D16A16" w14:textId="77777777">
              <w:trPr>
                <w:tblCellSpacing w:w="7" w:type="dxa"/>
                <w:jc w:val="center"/>
              </w:trPr>
              <w:tc>
                <w:tcPr>
                  <w:tcW w:w="1931" w:type="dxa"/>
                </w:tcPr>
                <w:p w:rsidRPr="00262A76" w:rsidR="00133A05" w:rsidP="006E294A" w:rsidRDefault="00133A05" w14:paraId="229AA059" w14:textId="77777777">
                  <w:pPr>
                    <w:rPr>
                      <w:b/>
                      <w:bCs/>
                    </w:rPr>
                  </w:pPr>
                  <w:r w:rsidRPr="00262A76">
                    <w:rPr>
                      <w:b/>
                      <w:bCs/>
                    </w:rPr>
                    <w:lastRenderedPageBreak/>
                    <w:t>Contributor</w:t>
                  </w:r>
                </w:p>
              </w:tc>
              <w:tc>
                <w:tcPr>
                  <w:tcW w:w="5165" w:type="dxa"/>
                </w:tcPr>
                <w:p w:rsidRPr="00262A76" w:rsidR="00133A05" w:rsidP="00262A76" w:rsidRDefault="00133A05" w14:paraId="210646A8" w14:textId="77777777">
                  <w:pPr>
                    <w:spacing w:before="60" w:after="60"/>
                  </w:pPr>
                  <w:r w:rsidRPr="00262A76">
                    <w:t>While not initiating an analysis or study, the Alliance made a significant contribution to it. Also, in decisions or conclusions which take into account many different factors, the Alliance's results contribute one or more of these factors.</w:t>
                  </w:r>
                </w:p>
              </w:tc>
            </w:tr>
            <w:tr w:rsidRPr="00262A76" w:rsidR="00133A05" w:rsidTr="00262A76" w14:paraId="12729EC3" w14:textId="77777777">
              <w:trPr>
                <w:tblCellSpacing w:w="7" w:type="dxa"/>
                <w:jc w:val="center"/>
              </w:trPr>
              <w:tc>
                <w:tcPr>
                  <w:tcW w:w="1931" w:type="dxa"/>
                </w:tcPr>
                <w:p w:rsidRPr="00262A76" w:rsidR="00133A05" w:rsidP="006E294A" w:rsidRDefault="00133A05" w14:paraId="64DF734E" w14:textId="77777777">
                  <w:pPr>
                    <w:rPr>
                      <w:b/>
                      <w:bCs/>
                    </w:rPr>
                  </w:pPr>
                  <w:r w:rsidRPr="00262A76">
                    <w:rPr>
                      <w:b/>
                      <w:bCs/>
                    </w:rPr>
                    <w:t>Improvement</w:t>
                  </w:r>
                </w:p>
              </w:tc>
              <w:tc>
                <w:tcPr>
                  <w:tcW w:w="5165" w:type="dxa"/>
                </w:tcPr>
                <w:p w:rsidRPr="00262A76" w:rsidR="00133A05" w:rsidP="00262A76" w:rsidRDefault="00133A05" w14:paraId="6B5762B5" w14:textId="77777777">
                  <w:pPr>
                    <w:spacing w:before="60" w:after="60"/>
                  </w:pPr>
                  <w:r w:rsidRPr="00262A76">
                    <w:t>The Alliance commented on an existing process or measure and its suggestion was adopted in the final decision.</w:t>
                  </w:r>
                </w:p>
              </w:tc>
            </w:tr>
            <w:tr w:rsidRPr="00262A76" w:rsidR="00133A05" w:rsidTr="00262A76" w14:paraId="676B8BC7" w14:textId="77777777">
              <w:trPr>
                <w:tblCellSpacing w:w="7" w:type="dxa"/>
                <w:jc w:val="center"/>
              </w:trPr>
              <w:tc>
                <w:tcPr>
                  <w:tcW w:w="1931" w:type="dxa"/>
                </w:tcPr>
                <w:p w:rsidRPr="00262A76" w:rsidR="00133A05" w:rsidP="006E294A" w:rsidRDefault="00133A05" w14:paraId="52414C9F" w14:textId="77777777">
                  <w:pPr>
                    <w:rPr>
                      <w:b/>
                      <w:bCs/>
                    </w:rPr>
                  </w:pPr>
                  <w:r w:rsidRPr="00262A76">
                    <w:rPr>
                      <w:b/>
                      <w:bCs/>
                    </w:rPr>
                    <w:t>Complimentary</w:t>
                  </w:r>
                </w:p>
              </w:tc>
              <w:tc>
                <w:tcPr>
                  <w:tcW w:w="5165" w:type="dxa"/>
                </w:tcPr>
                <w:p w:rsidRPr="00262A76" w:rsidR="00133A05" w:rsidP="00262A76" w:rsidRDefault="00133A05" w14:paraId="2E2548EE" w14:textId="77777777">
                  <w:pPr>
                    <w:spacing w:before="60" w:after="60"/>
                  </w:pPr>
                  <w:r w:rsidRPr="00262A76">
                    <w:t>The Alliance chose a different method or analysis than that used in the Final Decision, but which is consistent with it and supports the same results.</w:t>
                  </w:r>
                </w:p>
              </w:tc>
            </w:tr>
            <w:tr w:rsidRPr="00262A76" w:rsidR="00133A05" w:rsidTr="00262A76" w14:paraId="0D01D66C" w14:textId="77777777">
              <w:trPr>
                <w:tblCellSpacing w:w="7" w:type="dxa"/>
                <w:jc w:val="center"/>
              </w:trPr>
              <w:tc>
                <w:tcPr>
                  <w:tcW w:w="1931" w:type="dxa"/>
                </w:tcPr>
                <w:p w:rsidRPr="00262A76" w:rsidR="00133A05" w:rsidP="006E294A" w:rsidRDefault="00133A05" w14:paraId="23DE4FC6" w14:textId="77777777">
                  <w:pPr>
                    <w:rPr>
                      <w:b/>
                      <w:bCs/>
                    </w:rPr>
                  </w:pPr>
                  <w:r w:rsidRPr="00262A76">
                    <w:rPr>
                      <w:b/>
                      <w:bCs/>
                    </w:rPr>
                    <w:t>Alternative</w:t>
                  </w:r>
                </w:p>
                <w:p w:rsidRPr="00262A76" w:rsidR="00133A05" w:rsidP="006E294A" w:rsidRDefault="00133A05" w14:paraId="22A729C9" w14:textId="77777777">
                  <w:pPr>
                    <w:rPr>
                      <w:b/>
                      <w:bCs/>
                    </w:rPr>
                  </w:pPr>
                </w:p>
              </w:tc>
              <w:tc>
                <w:tcPr>
                  <w:tcW w:w="5165" w:type="dxa"/>
                </w:tcPr>
                <w:p w:rsidRPr="00262A76" w:rsidR="00133A05" w:rsidP="00262A76" w:rsidRDefault="00133A05" w14:paraId="01FAC91C" w14:textId="77777777">
                  <w:pPr>
                    <w:spacing w:before="60" w:after="60"/>
                  </w:pPr>
                  <w:r w:rsidRPr="00262A76">
                    <w:t>The Alliance reached a conclusion or presented an analysis at variance with the Decision but which raised important points.</w:t>
                  </w:r>
                </w:p>
              </w:tc>
            </w:tr>
          </w:tbl>
          <w:p w:rsidRPr="00262A76" w:rsidR="00133A05" w:rsidP="00AF0FC9" w:rsidRDefault="00133A05" w14:paraId="1A8B96E6" w14:textId="77777777">
            <w:pPr>
              <w:tabs>
                <w:tab w:val="left" w:pos="360"/>
              </w:tabs>
              <w:rPr>
                <w:color w:val="000000"/>
              </w:rPr>
            </w:pPr>
          </w:p>
        </w:tc>
        <w:tc>
          <w:tcPr>
            <w:tcW w:w="1701" w:type="dxa"/>
          </w:tcPr>
          <w:p w:rsidRPr="007F620E" w:rsidR="00133A05" w:rsidP="00CB59EE" w:rsidRDefault="00133A05" w14:paraId="7828BFB9" w14:textId="77777777">
            <w:pPr>
              <w:tabs>
                <w:tab w:val="left" w:pos="360"/>
              </w:tabs>
              <w:ind w:left="-320"/>
              <w:jc w:val="center"/>
              <w:rPr>
                <w:color w:val="000000"/>
              </w:rPr>
            </w:pPr>
            <w:r>
              <w:rPr>
                <w:color w:val="000000"/>
              </w:rPr>
              <w:lastRenderedPageBreak/>
              <w:t>Noted</w:t>
            </w:r>
          </w:p>
        </w:tc>
      </w:tr>
      <w:tr w:rsidRPr="007F620E" w:rsidR="00133A05" w:rsidTr="00E957AF" w14:paraId="69E8E404" w14:textId="77777777">
        <w:trPr>
          <w:jc w:val="center"/>
        </w:trPr>
        <w:tc>
          <w:tcPr>
            <w:tcW w:w="450" w:type="dxa"/>
          </w:tcPr>
          <w:p w:rsidRPr="007F620E" w:rsidR="00133A05" w:rsidP="00E957AF" w:rsidRDefault="00133A05" w14:paraId="6F130FCF" w14:textId="77777777">
            <w:pPr>
              <w:tabs>
                <w:tab w:val="left" w:pos="360"/>
              </w:tabs>
              <w:spacing w:before="120"/>
              <w:rPr>
                <w:color w:val="000000"/>
              </w:rPr>
            </w:pPr>
            <w:r>
              <w:rPr>
                <w:color w:val="000000"/>
              </w:rPr>
              <w:t>2</w:t>
            </w:r>
          </w:p>
        </w:tc>
        <w:tc>
          <w:tcPr>
            <w:tcW w:w="7474" w:type="dxa"/>
          </w:tcPr>
          <w:p w:rsidRPr="00262A76" w:rsidR="00E957AF" w:rsidP="00262A76" w:rsidRDefault="00133A05" w14:paraId="1CB89266" w14:textId="77777777">
            <w:pPr>
              <w:tabs>
                <w:tab w:val="left" w:pos="360"/>
              </w:tabs>
              <w:spacing w:before="120" w:after="120"/>
              <w:rPr>
                <w:b/>
                <w:bCs/>
              </w:rPr>
            </w:pPr>
            <w:r w:rsidRPr="00262A76">
              <w:rPr>
                <w:b/>
                <w:bCs/>
              </w:rPr>
              <w:t>Abbreviations for issues that MGRA was involved in:</w:t>
            </w:r>
          </w:p>
          <w:p w:rsidRPr="00262A76" w:rsidR="006E294A" w:rsidP="00E957AF" w:rsidRDefault="00133A05" w14:paraId="6ABAFDEC" w14:textId="59D978DD">
            <w:pPr>
              <w:tabs>
                <w:tab w:val="left" w:pos="360"/>
              </w:tabs>
              <w:rPr>
                <w:b/>
                <w:bCs/>
              </w:rPr>
            </w:pPr>
            <w:proofErr w:type="spellStart"/>
            <w:r w:rsidRPr="00262A76">
              <w:rPr>
                <w:b/>
                <w:bCs/>
              </w:rPr>
              <w:t>GPr</w:t>
            </w:r>
            <w:proofErr w:type="spellEnd"/>
            <w:r w:rsidRPr="00262A76">
              <w:rPr>
                <w:b/>
                <w:bCs/>
              </w:rPr>
              <w:t>: General/Procedural</w:t>
            </w:r>
          </w:p>
          <w:p w:rsidRPr="00262A76" w:rsidR="00133A05" w:rsidP="00262A76" w:rsidRDefault="006E294A" w14:paraId="49526957" w14:textId="42E8C52F">
            <w:pPr>
              <w:tabs>
                <w:tab w:val="left" w:pos="360"/>
              </w:tabs>
              <w:spacing w:after="120"/>
              <w:rPr>
                <w:b/>
                <w:bCs/>
              </w:rPr>
            </w:pPr>
            <w:r w:rsidRPr="00262A76">
              <w:rPr>
                <w:bCs/>
              </w:rPr>
              <w:tab/>
            </w:r>
            <w:r w:rsidRPr="00262A76" w:rsidR="00133A05">
              <w:rPr>
                <w:bCs/>
              </w:rPr>
              <w:t>Procedural issues, preambles, establishing record, scope, process. Review and meeting times were distributed according to the issue weighting for the specific phase to which the reviews contributed.</w:t>
            </w:r>
          </w:p>
          <w:p w:rsidRPr="00262A76" w:rsidR="00133A05" w:rsidP="00262A76" w:rsidRDefault="00133A05" w14:paraId="79A0133B" w14:textId="5B72CF00">
            <w:pPr>
              <w:tabs>
                <w:tab w:val="left" w:pos="360"/>
              </w:tabs>
              <w:spacing w:after="120"/>
              <w:rPr>
                <w:bCs/>
              </w:rPr>
            </w:pPr>
            <w:proofErr w:type="spellStart"/>
            <w:r w:rsidRPr="00262A76">
              <w:rPr>
                <w:b/>
                <w:bCs/>
              </w:rPr>
              <w:t>Rsk</w:t>
            </w:r>
            <w:proofErr w:type="spellEnd"/>
            <w:r w:rsidRPr="00262A76">
              <w:rPr>
                <w:b/>
                <w:bCs/>
              </w:rPr>
              <w:t>: Risk</w:t>
            </w:r>
            <w:r w:rsidRPr="00262A76">
              <w:rPr>
                <w:b/>
                <w:bCs/>
              </w:rPr>
              <w:br/>
            </w:r>
            <w:r w:rsidRPr="00262A76" w:rsidR="00E957AF">
              <w:rPr>
                <w:b/>
                <w:bCs/>
              </w:rPr>
              <w:tab/>
            </w:r>
            <w:r w:rsidRPr="00262A76">
              <w:rPr>
                <w:bCs/>
              </w:rPr>
              <w:t>Issues related to risk, costs, RSEs, MAVF, likelihood, consequences, wildfire smoke and power laws.</w:t>
            </w:r>
          </w:p>
          <w:p w:rsidRPr="00262A76" w:rsidR="00133A05" w:rsidP="00AF0FC9" w:rsidRDefault="00133A05" w14:paraId="0D0EBC77" w14:textId="77777777">
            <w:pPr>
              <w:tabs>
                <w:tab w:val="left" w:pos="360"/>
              </w:tabs>
              <w:rPr>
                <w:b/>
                <w:bCs/>
              </w:rPr>
            </w:pPr>
            <w:proofErr w:type="spellStart"/>
            <w:r w:rsidRPr="00262A76">
              <w:rPr>
                <w:b/>
                <w:bCs/>
              </w:rPr>
              <w:t>Wnd</w:t>
            </w:r>
            <w:proofErr w:type="spellEnd"/>
            <w:r w:rsidRPr="00262A76">
              <w:rPr>
                <w:b/>
                <w:bCs/>
              </w:rPr>
              <w:t>: Wind-Related Risks</w:t>
            </w:r>
          </w:p>
          <w:p w:rsidRPr="00262A76" w:rsidR="00133A05" w:rsidP="00262A76" w:rsidRDefault="00E957AF" w14:paraId="0960E8CA" w14:textId="5B697EB8">
            <w:pPr>
              <w:tabs>
                <w:tab w:val="left" w:pos="360"/>
              </w:tabs>
              <w:spacing w:after="120"/>
              <w:rPr>
                <w:bCs/>
              </w:rPr>
            </w:pPr>
            <w:r w:rsidRPr="00262A76">
              <w:rPr>
                <w:bCs/>
              </w:rPr>
              <w:tab/>
            </w:r>
            <w:r w:rsidRPr="00262A76" w:rsidR="00133A05">
              <w:rPr>
                <w:bCs/>
              </w:rPr>
              <w:t>Issues relating wind-related risk. Extreme events, high wind events, ignition-rate biases due to PSPS.</w:t>
            </w:r>
          </w:p>
          <w:p w:rsidRPr="00262A76" w:rsidR="00133A05" w:rsidP="00262A76" w:rsidRDefault="00133A05" w14:paraId="65CF52C4" w14:textId="25DD1109">
            <w:pPr>
              <w:tabs>
                <w:tab w:val="left" w:pos="360"/>
              </w:tabs>
              <w:spacing w:after="120"/>
              <w:rPr>
                <w:bCs/>
              </w:rPr>
            </w:pPr>
            <w:r w:rsidRPr="00262A76">
              <w:rPr>
                <w:b/>
                <w:bCs/>
              </w:rPr>
              <w:t xml:space="preserve">IWMS: IWMS </w:t>
            </w:r>
            <w:r w:rsidRPr="00262A76">
              <w:rPr>
                <w:b/>
                <w:bCs/>
              </w:rPr>
              <w:br/>
            </w:r>
            <w:r w:rsidRPr="00262A76" w:rsidR="00E957AF">
              <w:rPr>
                <w:b/>
                <w:bCs/>
              </w:rPr>
              <w:tab/>
            </w:r>
            <w:r w:rsidRPr="00262A76">
              <w:rPr>
                <w:bCs/>
              </w:rPr>
              <w:t>Issues related to SCE’s “IWMS” consequence-only risk framework and the risk tolerance policy supporting it.</w:t>
            </w:r>
          </w:p>
          <w:p w:rsidRPr="00262A76" w:rsidR="00133A05" w:rsidP="00262A76" w:rsidRDefault="00133A05" w14:paraId="5DA70AAF" w14:textId="4FAA333A">
            <w:pPr>
              <w:tabs>
                <w:tab w:val="left" w:pos="360"/>
              </w:tabs>
              <w:spacing w:after="120"/>
              <w:rPr>
                <w:bCs/>
              </w:rPr>
            </w:pPr>
            <w:proofErr w:type="spellStart"/>
            <w:r w:rsidRPr="00262A76">
              <w:rPr>
                <w:b/>
                <w:bCs/>
              </w:rPr>
              <w:t>Hdn</w:t>
            </w:r>
            <w:proofErr w:type="spellEnd"/>
            <w:r w:rsidRPr="00262A76">
              <w:rPr>
                <w:b/>
                <w:bCs/>
              </w:rPr>
              <w:t>: Hardening</w:t>
            </w:r>
            <w:r w:rsidRPr="00262A76">
              <w:rPr>
                <w:b/>
                <w:bCs/>
              </w:rPr>
              <w:br/>
            </w:r>
            <w:r w:rsidRPr="00262A76" w:rsidR="00E957AF">
              <w:rPr>
                <w:b/>
                <w:bCs/>
              </w:rPr>
              <w:tab/>
            </w:r>
            <w:r w:rsidRPr="00262A76">
              <w:rPr>
                <w:bCs/>
              </w:rPr>
              <w:t>Issues related to Covered Conductor and Undergrounding as wildfire mitigations.</w:t>
            </w:r>
          </w:p>
          <w:p w:rsidRPr="00262A76" w:rsidR="00262A76" w:rsidP="00262A76" w:rsidRDefault="00133A05" w14:paraId="4CAD5154" w14:textId="2B8539D9">
            <w:pPr>
              <w:tabs>
                <w:tab w:val="left" w:pos="360"/>
              </w:tabs>
              <w:spacing w:after="120"/>
              <w:rPr>
                <w:bCs/>
              </w:rPr>
            </w:pPr>
            <w:r w:rsidRPr="00262A76">
              <w:rPr>
                <w:b/>
                <w:bCs/>
              </w:rPr>
              <w:t>Aff: Affordability</w:t>
            </w:r>
            <w:r w:rsidRPr="00262A76">
              <w:rPr>
                <w:b/>
                <w:bCs/>
              </w:rPr>
              <w:br/>
            </w:r>
            <w:r w:rsidRPr="00262A76" w:rsidR="00E957AF">
              <w:rPr>
                <w:b/>
                <w:bCs/>
              </w:rPr>
              <w:tab/>
            </w:r>
            <w:r w:rsidRPr="00262A76">
              <w:rPr>
                <w:bCs/>
              </w:rPr>
              <w:t>Issues related to affordability and risks to low income ratepayers due to rate increases.</w:t>
            </w:r>
          </w:p>
          <w:p w:rsidR="00C83159" w:rsidP="00AF0FC9" w:rsidRDefault="00C83159" w14:paraId="170D9B7B" w14:textId="77777777">
            <w:pPr>
              <w:tabs>
                <w:tab w:val="left" w:pos="360"/>
              </w:tabs>
              <w:rPr>
                <w:b/>
                <w:bCs/>
              </w:rPr>
            </w:pPr>
          </w:p>
          <w:p w:rsidRPr="00262A76" w:rsidR="00133A05" w:rsidP="00AF0FC9" w:rsidRDefault="00133A05" w14:paraId="7B49D792" w14:textId="4EF48E8D">
            <w:pPr>
              <w:tabs>
                <w:tab w:val="left" w:pos="360"/>
              </w:tabs>
              <w:rPr>
                <w:b/>
                <w:bCs/>
              </w:rPr>
            </w:pPr>
            <w:r w:rsidRPr="00262A76">
              <w:rPr>
                <w:b/>
                <w:bCs/>
              </w:rPr>
              <w:lastRenderedPageBreak/>
              <w:t>AT: Advanced Technologies</w:t>
            </w:r>
          </w:p>
          <w:p w:rsidRPr="00262A76" w:rsidR="00133A05" w:rsidP="00AF0FC9" w:rsidRDefault="00262A76" w14:paraId="5ADFE72F" w14:textId="167E8D51">
            <w:pPr>
              <w:tabs>
                <w:tab w:val="left" w:pos="360"/>
              </w:tabs>
              <w:rPr>
                <w:color w:val="000000"/>
              </w:rPr>
            </w:pPr>
            <w:r>
              <w:rPr>
                <w:b/>
                <w:bCs/>
              </w:rPr>
              <w:tab/>
            </w:r>
            <w:r w:rsidRPr="00262A76" w:rsidR="00133A05">
              <w:rPr>
                <w:bCs/>
              </w:rPr>
              <w:t xml:space="preserve">Issues related to the effectiveness, development and deployment of advanced wildfire mitigation technologies such as REFCL, Fast Trip PSPS, EFD, Hi-Z, DOPD. </w:t>
            </w:r>
          </w:p>
        </w:tc>
        <w:tc>
          <w:tcPr>
            <w:tcW w:w="1701" w:type="dxa"/>
          </w:tcPr>
          <w:p w:rsidRPr="007F620E" w:rsidR="00133A05" w:rsidP="006E294A" w:rsidRDefault="00133A05" w14:paraId="5AB4ECAF" w14:textId="77777777">
            <w:pPr>
              <w:tabs>
                <w:tab w:val="left" w:pos="360"/>
              </w:tabs>
              <w:jc w:val="center"/>
              <w:rPr>
                <w:color w:val="000000"/>
              </w:rPr>
            </w:pPr>
            <w:r>
              <w:rPr>
                <w:color w:val="000000"/>
              </w:rPr>
              <w:lastRenderedPageBreak/>
              <w:t>Noted</w:t>
            </w:r>
          </w:p>
        </w:tc>
      </w:tr>
      <w:tr w:rsidRPr="007F620E" w:rsidR="00133A05" w:rsidTr="00E957AF" w14:paraId="605C7CCE" w14:textId="77777777">
        <w:trPr>
          <w:jc w:val="center"/>
        </w:trPr>
        <w:tc>
          <w:tcPr>
            <w:tcW w:w="450" w:type="dxa"/>
          </w:tcPr>
          <w:p w:rsidR="00133A05" w:rsidP="00AF0FC9" w:rsidRDefault="00133A05" w14:paraId="2680639E" w14:textId="77777777">
            <w:pPr>
              <w:tabs>
                <w:tab w:val="left" w:pos="360"/>
              </w:tabs>
              <w:rPr>
                <w:color w:val="000000"/>
              </w:rPr>
            </w:pPr>
            <w:r>
              <w:rPr>
                <w:color w:val="000000"/>
              </w:rPr>
              <w:t>3</w:t>
            </w:r>
          </w:p>
        </w:tc>
        <w:tc>
          <w:tcPr>
            <w:tcW w:w="7474" w:type="dxa"/>
          </w:tcPr>
          <w:p w:rsidRPr="00E957AF" w:rsidR="00133A05" w:rsidP="00262A76" w:rsidRDefault="00133A05" w14:paraId="267A6909" w14:textId="77777777">
            <w:pPr>
              <w:tabs>
                <w:tab w:val="left" w:pos="360"/>
              </w:tabs>
              <w:spacing w:before="120" w:after="120"/>
              <w:rPr>
                <w:b/>
                <w:bCs/>
              </w:rPr>
            </w:pPr>
            <w:r w:rsidRPr="00E957AF">
              <w:rPr>
                <w:b/>
                <w:bCs/>
              </w:rPr>
              <w:t>Abbreviations for documents</w:t>
            </w:r>
          </w:p>
          <w:tbl>
            <w:tblPr>
              <w:tblW w:w="8566" w:type="dxa"/>
              <w:tblLayout w:type="fixed"/>
              <w:tblLook w:val="04A0" w:firstRow="1" w:lastRow="0" w:firstColumn="1" w:lastColumn="0" w:noHBand="0" w:noVBand="1"/>
            </w:tblPr>
            <w:tblGrid>
              <w:gridCol w:w="2228"/>
              <w:gridCol w:w="6338"/>
            </w:tblGrid>
            <w:tr w:rsidRPr="00262A76" w:rsidR="00133A05" w:rsidTr="00F10078" w14:paraId="0C1BB16A" w14:textId="77777777">
              <w:trPr>
                <w:trHeight w:val="300"/>
              </w:trPr>
              <w:tc>
                <w:tcPr>
                  <w:tcW w:w="2228" w:type="dxa"/>
                  <w:tcBorders>
                    <w:top w:val="nil"/>
                    <w:left w:val="nil"/>
                    <w:bottom w:val="nil"/>
                    <w:right w:val="nil"/>
                  </w:tcBorders>
                  <w:noWrap/>
                  <w:hideMark/>
                </w:tcPr>
                <w:p w:rsidRPr="00262A76" w:rsidR="00133A05" w:rsidP="00262A76" w:rsidRDefault="00133A05" w14:paraId="411C406E" w14:textId="77777777">
                  <w:pPr>
                    <w:tabs>
                      <w:tab w:val="left" w:pos="360"/>
                    </w:tabs>
                    <w:ind w:left="-128"/>
                    <w:rPr>
                      <w:sz w:val="22"/>
                      <w:szCs w:val="22"/>
                    </w:rPr>
                  </w:pPr>
                  <w:r w:rsidRPr="00262A76">
                    <w:rPr>
                      <w:sz w:val="22"/>
                      <w:szCs w:val="22"/>
                    </w:rPr>
                    <w:t xml:space="preserve">FD </w:t>
                  </w:r>
                </w:p>
              </w:tc>
              <w:tc>
                <w:tcPr>
                  <w:tcW w:w="6338" w:type="dxa"/>
                  <w:tcBorders>
                    <w:top w:val="nil"/>
                    <w:left w:val="nil"/>
                    <w:bottom w:val="nil"/>
                    <w:right w:val="nil"/>
                  </w:tcBorders>
                  <w:hideMark/>
                </w:tcPr>
                <w:p w:rsidR="00B61EDF" w:rsidP="00AF0FC9" w:rsidRDefault="00133A05" w14:paraId="3FC83B7D" w14:textId="63AA27F4">
                  <w:pPr>
                    <w:tabs>
                      <w:tab w:val="left" w:pos="360"/>
                    </w:tabs>
                    <w:rPr>
                      <w:sz w:val="22"/>
                      <w:szCs w:val="22"/>
                    </w:rPr>
                  </w:pPr>
                  <w:r w:rsidRPr="00262A76">
                    <w:rPr>
                      <w:sz w:val="22"/>
                      <w:szCs w:val="22"/>
                    </w:rPr>
                    <w:t>D.25-09-030</w:t>
                  </w:r>
                  <w:r w:rsidRPr="00262A76">
                    <w:rPr>
                      <w:sz w:val="22"/>
                      <w:szCs w:val="22"/>
                    </w:rPr>
                    <w:br/>
                    <w:t>DECISION ON TEST YEAR 2025 GENERAL RATE</w:t>
                  </w:r>
                </w:p>
                <w:p w:rsidR="00B61EDF" w:rsidP="00AF0FC9" w:rsidRDefault="00133A05" w14:paraId="11256BED" w14:textId="371737DA">
                  <w:pPr>
                    <w:tabs>
                      <w:tab w:val="left" w:pos="360"/>
                    </w:tabs>
                    <w:rPr>
                      <w:sz w:val="22"/>
                      <w:szCs w:val="22"/>
                    </w:rPr>
                  </w:pPr>
                  <w:r w:rsidRPr="00262A76">
                    <w:rPr>
                      <w:sz w:val="22"/>
                      <w:szCs w:val="22"/>
                    </w:rPr>
                    <w:t>CASE FOR SOUTHERN CALIFORNIA EDISON</w:t>
                  </w:r>
                </w:p>
                <w:p w:rsidRPr="00262A76" w:rsidR="00133A05" w:rsidP="00B61EDF" w:rsidRDefault="00133A05" w14:paraId="73E0A4B5" w14:textId="7F9EFB8E">
                  <w:pPr>
                    <w:tabs>
                      <w:tab w:val="left" w:pos="360"/>
                    </w:tabs>
                    <w:spacing w:after="120"/>
                    <w:rPr>
                      <w:sz w:val="22"/>
                      <w:szCs w:val="22"/>
                    </w:rPr>
                  </w:pPr>
                  <w:r w:rsidRPr="00262A76">
                    <w:rPr>
                      <w:sz w:val="22"/>
                      <w:szCs w:val="22"/>
                    </w:rPr>
                    <w:t>COMPANY (9/23/2025)</w:t>
                  </w:r>
                </w:p>
              </w:tc>
            </w:tr>
            <w:tr w:rsidRPr="00262A76" w:rsidR="00133A05" w:rsidTr="00F10078" w14:paraId="0461EA63" w14:textId="77777777">
              <w:trPr>
                <w:trHeight w:val="300"/>
              </w:trPr>
              <w:tc>
                <w:tcPr>
                  <w:tcW w:w="2228" w:type="dxa"/>
                  <w:tcBorders>
                    <w:top w:val="nil"/>
                    <w:left w:val="nil"/>
                    <w:bottom w:val="nil"/>
                    <w:right w:val="nil"/>
                  </w:tcBorders>
                  <w:noWrap/>
                </w:tcPr>
                <w:p w:rsidRPr="00262A76" w:rsidR="00133A05" w:rsidP="00262A76" w:rsidRDefault="00133A05" w14:paraId="1D71D426" w14:textId="77777777">
                  <w:pPr>
                    <w:tabs>
                      <w:tab w:val="left" w:pos="360"/>
                    </w:tabs>
                    <w:ind w:left="-128"/>
                    <w:rPr>
                      <w:sz w:val="22"/>
                      <w:szCs w:val="22"/>
                    </w:rPr>
                  </w:pPr>
                  <w:r w:rsidRPr="00262A76">
                    <w:rPr>
                      <w:sz w:val="22"/>
                      <w:szCs w:val="22"/>
                    </w:rPr>
                    <w:t>FD-RAMP</w:t>
                  </w:r>
                </w:p>
              </w:tc>
              <w:tc>
                <w:tcPr>
                  <w:tcW w:w="6338" w:type="dxa"/>
                  <w:tcBorders>
                    <w:top w:val="nil"/>
                    <w:left w:val="nil"/>
                    <w:bottom w:val="nil"/>
                    <w:right w:val="nil"/>
                  </w:tcBorders>
                </w:tcPr>
                <w:p w:rsidR="00B61EDF" w:rsidP="00AF0FC9" w:rsidRDefault="00133A05" w14:paraId="4F87C3ED" w14:textId="26743384">
                  <w:pPr>
                    <w:tabs>
                      <w:tab w:val="left" w:pos="360"/>
                    </w:tabs>
                    <w:rPr>
                      <w:sz w:val="22"/>
                      <w:szCs w:val="22"/>
                    </w:rPr>
                  </w:pPr>
                  <w:r w:rsidRPr="00262A76">
                    <w:rPr>
                      <w:sz w:val="22"/>
                      <w:szCs w:val="22"/>
                    </w:rPr>
                    <w:t>D.23-11-007</w:t>
                  </w:r>
                  <w:r w:rsidRPr="00262A76">
                    <w:rPr>
                      <w:sz w:val="22"/>
                      <w:szCs w:val="22"/>
                    </w:rPr>
                    <w:br/>
                    <w:t>DECISION CLOSING RISK ASSESSMENT</w:t>
                  </w:r>
                </w:p>
                <w:p w:rsidRPr="00262A76" w:rsidR="00133A05" w:rsidP="00B61EDF" w:rsidRDefault="00133A05" w14:paraId="32E488D4" w14:textId="11CBB913">
                  <w:pPr>
                    <w:tabs>
                      <w:tab w:val="left" w:pos="360"/>
                    </w:tabs>
                    <w:spacing w:after="120"/>
                    <w:rPr>
                      <w:sz w:val="22"/>
                      <w:szCs w:val="22"/>
                    </w:rPr>
                  </w:pPr>
                  <w:r w:rsidRPr="00262A76">
                    <w:rPr>
                      <w:sz w:val="22"/>
                      <w:szCs w:val="22"/>
                    </w:rPr>
                    <w:t>MITIGATION PHASE (11/2/2023)</w:t>
                  </w:r>
                </w:p>
              </w:tc>
            </w:tr>
            <w:tr w:rsidRPr="00262A76" w:rsidR="00133A05" w:rsidTr="00F10078" w14:paraId="06AC68D4" w14:textId="77777777">
              <w:trPr>
                <w:trHeight w:val="300"/>
              </w:trPr>
              <w:tc>
                <w:tcPr>
                  <w:tcW w:w="2228" w:type="dxa"/>
                  <w:tcBorders>
                    <w:top w:val="nil"/>
                    <w:left w:val="nil"/>
                    <w:bottom w:val="nil"/>
                    <w:right w:val="nil"/>
                  </w:tcBorders>
                  <w:noWrap/>
                </w:tcPr>
                <w:p w:rsidRPr="00262A76" w:rsidR="00133A05" w:rsidP="00262A76" w:rsidRDefault="00133A05" w14:paraId="3B698260" w14:textId="77777777">
                  <w:pPr>
                    <w:tabs>
                      <w:tab w:val="left" w:pos="360"/>
                    </w:tabs>
                    <w:ind w:left="-128"/>
                    <w:rPr>
                      <w:b/>
                      <w:bCs/>
                      <w:sz w:val="22"/>
                      <w:szCs w:val="22"/>
                    </w:rPr>
                  </w:pPr>
                  <w:r w:rsidRPr="00262A76">
                    <w:rPr>
                      <w:b/>
                      <w:bCs/>
                      <w:sz w:val="22"/>
                      <w:szCs w:val="22"/>
                    </w:rPr>
                    <w:t>A.23-05-013</w:t>
                  </w:r>
                </w:p>
              </w:tc>
              <w:tc>
                <w:tcPr>
                  <w:tcW w:w="6338" w:type="dxa"/>
                  <w:tcBorders>
                    <w:top w:val="nil"/>
                    <w:left w:val="nil"/>
                    <w:bottom w:val="nil"/>
                    <w:right w:val="nil"/>
                  </w:tcBorders>
                </w:tcPr>
                <w:p w:rsidRPr="00262A76" w:rsidR="00133A05" w:rsidP="00AF0FC9" w:rsidRDefault="00133A05" w14:paraId="59BB6F5F" w14:textId="77777777">
                  <w:pPr>
                    <w:tabs>
                      <w:tab w:val="left" w:pos="360"/>
                    </w:tabs>
                    <w:rPr>
                      <w:sz w:val="22"/>
                      <w:szCs w:val="22"/>
                    </w:rPr>
                  </w:pPr>
                </w:p>
              </w:tc>
            </w:tr>
            <w:tr w:rsidRPr="00262A76" w:rsidR="00133A05" w:rsidTr="00F10078" w14:paraId="1FF168F1" w14:textId="77777777">
              <w:trPr>
                <w:trHeight w:val="300"/>
              </w:trPr>
              <w:tc>
                <w:tcPr>
                  <w:tcW w:w="2228" w:type="dxa"/>
                  <w:tcBorders>
                    <w:top w:val="nil"/>
                    <w:left w:val="nil"/>
                    <w:bottom w:val="nil"/>
                    <w:right w:val="nil"/>
                  </w:tcBorders>
                  <w:noWrap/>
                </w:tcPr>
                <w:p w:rsidRPr="00262A76" w:rsidR="00133A05" w:rsidP="00262A76" w:rsidRDefault="00133A05" w14:paraId="1F3E5446" w14:textId="77777777">
                  <w:pPr>
                    <w:tabs>
                      <w:tab w:val="left" w:pos="360"/>
                    </w:tabs>
                    <w:ind w:left="-128"/>
                    <w:rPr>
                      <w:sz w:val="22"/>
                      <w:szCs w:val="22"/>
                    </w:rPr>
                  </w:pPr>
                  <w:r w:rsidRPr="00262A76">
                    <w:rPr>
                      <w:sz w:val="22"/>
                      <w:szCs w:val="22"/>
                    </w:rPr>
                    <w:t>GRC-MGRA-PD-</w:t>
                  </w:r>
                  <w:proofErr w:type="spellStart"/>
                  <w:r w:rsidRPr="00262A76">
                    <w:rPr>
                      <w:sz w:val="22"/>
                      <w:szCs w:val="22"/>
                    </w:rPr>
                    <w:t>Rpl</w:t>
                  </w:r>
                  <w:proofErr w:type="spellEnd"/>
                </w:p>
              </w:tc>
              <w:tc>
                <w:tcPr>
                  <w:tcW w:w="6338" w:type="dxa"/>
                  <w:tcBorders>
                    <w:top w:val="nil"/>
                    <w:left w:val="nil"/>
                    <w:bottom w:val="nil"/>
                    <w:right w:val="nil"/>
                  </w:tcBorders>
                </w:tcPr>
                <w:p w:rsidR="00B61EDF" w:rsidP="00AF0FC9" w:rsidRDefault="00133A05" w14:paraId="51FD7163" w14:textId="765507C0">
                  <w:pPr>
                    <w:tabs>
                      <w:tab w:val="left" w:pos="360"/>
                    </w:tabs>
                    <w:rPr>
                      <w:sz w:val="22"/>
                      <w:szCs w:val="22"/>
                    </w:rPr>
                  </w:pPr>
                  <w:r w:rsidRPr="00262A76">
                    <w:rPr>
                      <w:sz w:val="22"/>
                      <w:szCs w:val="22"/>
                    </w:rPr>
                    <w:t>MUSSEY GRADE ROAD ALLIANCE REPLY TO</w:t>
                  </w:r>
                </w:p>
                <w:p w:rsidR="00B61EDF" w:rsidP="00AF0FC9" w:rsidRDefault="00133A05" w14:paraId="5E901A9F" w14:textId="595A3FF9">
                  <w:pPr>
                    <w:tabs>
                      <w:tab w:val="left" w:pos="360"/>
                    </w:tabs>
                    <w:rPr>
                      <w:sz w:val="22"/>
                      <w:szCs w:val="22"/>
                    </w:rPr>
                  </w:pPr>
                  <w:r w:rsidRPr="00262A76">
                    <w:rPr>
                      <w:sz w:val="22"/>
                      <w:szCs w:val="22"/>
                    </w:rPr>
                    <w:t>COMMENTS ON THE PROPOSED DECISION OF ADMINISTRATIVE LAW JUDGES RIZZO AND</w:t>
                  </w:r>
                </w:p>
                <w:p w:rsidR="00B61EDF" w:rsidP="00AF0FC9" w:rsidRDefault="00133A05" w14:paraId="29CEAF15" w14:textId="791F7C70">
                  <w:pPr>
                    <w:tabs>
                      <w:tab w:val="left" w:pos="360"/>
                    </w:tabs>
                    <w:rPr>
                      <w:sz w:val="22"/>
                      <w:szCs w:val="22"/>
                    </w:rPr>
                  </w:pPr>
                  <w:r w:rsidRPr="00262A76">
                    <w:rPr>
                      <w:sz w:val="22"/>
                      <w:szCs w:val="22"/>
                    </w:rPr>
                    <w:t>SEYBERT FOR THE 2025 TEST YEAR GENERAL</w:t>
                  </w:r>
                </w:p>
                <w:p w:rsidRPr="00262A76" w:rsidR="00133A05" w:rsidP="00B61EDF" w:rsidRDefault="00133A05" w14:paraId="3533D14E" w14:textId="10C67DA4">
                  <w:pPr>
                    <w:tabs>
                      <w:tab w:val="left" w:pos="360"/>
                    </w:tabs>
                    <w:spacing w:after="120"/>
                    <w:rPr>
                      <w:sz w:val="22"/>
                      <w:szCs w:val="22"/>
                    </w:rPr>
                  </w:pPr>
                  <w:r w:rsidRPr="00262A76">
                    <w:rPr>
                      <w:sz w:val="22"/>
                      <w:szCs w:val="22"/>
                    </w:rPr>
                    <w:t>RATE CASE OF SOUTHERN CALIFORINA EDISON COMPANY (August 25, 2025)</w:t>
                  </w:r>
                </w:p>
              </w:tc>
            </w:tr>
            <w:tr w:rsidRPr="00262A76" w:rsidR="00133A05" w:rsidTr="00F10078" w14:paraId="7E7330F3" w14:textId="77777777">
              <w:trPr>
                <w:trHeight w:val="300"/>
              </w:trPr>
              <w:tc>
                <w:tcPr>
                  <w:tcW w:w="2228" w:type="dxa"/>
                  <w:tcBorders>
                    <w:top w:val="nil"/>
                    <w:left w:val="nil"/>
                    <w:bottom w:val="nil"/>
                    <w:right w:val="nil"/>
                  </w:tcBorders>
                  <w:noWrap/>
                </w:tcPr>
                <w:p w:rsidRPr="00262A76" w:rsidR="00133A05" w:rsidP="00AF0FC9" w:rsidRDefault="00133A05" w14:paraId="0B53A398" w14:textId="77777777">
                  <w:pPr>
                    <w:tabs>
                      <w:tab w:val="left" w:pos="360"/>
                    </w:tabs>
                    <w:rPr>
                      <w:sz w:val="22"/>
                      <w:szCs w:val="22"/>
                    </w:rPr>
                  </w:pPr>
                  <w:r w:rsidRPr="00262A76">
                    <w:rPr>
                      <w:sz w:val="22"/>
                      <w:szCs w:val="22"/>
                    </w:rPr>
                    <w:t>GRC-MGRA-PD-</w:t>
                  </w:r>
                  <w:proofErr w:type="spellStart"/>
                  <w:r w:rsidRPr="00262A76">
                    <w:rPr>
                      <w:sz w:val="22"/>
                      <w:szCs w:val="22"/>
                    </w:rPr>
                    <w:t>Cmt</w:t>
                  </w:r>
                  <w:proofErr w:type="spellEnd"/>
                </w:p>
              </w:tc>
              <w:tc>
                <w:tcPr>
                  <w:tcW w:w="6338" w:type="dxa"/>
                  <w:tcBorders>
                    <w:top w:val="nil"/>
                    <w:left w:val="nil"/>
                    <w:bottom w:val="nil"/>
                    <w:right w:val="nil"/>
                  </w:tcBorders>
                </w:tcPr>
                <w:p w:rsidR="00B61EDF" w:rsidP="00AF0FC9" w:rsidRDefault="00133A05" w14:paraId="6D7CBC54" w14:textId="77777777">
                  <w:pPr>
                    <w:tabs>
                      <w:tab w:val="left" w:pos="360"/>
                    </w:tabs>
                    <w:rPr>
                      <w:sz w:val="22"/>
                      <w:szCs w:val="22"/>
                    </w:rPr>
                  </w:pPr>
                  <w:r w:rsidRPr="00262A76">
                    <w:rPr>
                      <w:sz w:val="22"/>
                      <w:szCs w:val="22"/>
                    </w:rPr>
                    <w:t>MUSSEY GRADE ROAD ALLIANCE COMMENTS</w:t>
                  </w:r>
                </w:p>
                <w:p w:rsidR="00B61EDF" w:rsidP="00AF0FC9" w:rsidRDefault="00133A05" w14:paraId="0570086E" w14:textId="77777777">
                  <w:pPr>
                    <w:tabs>
                      <w:tab w:val="left" w:pos="360"/>
                    </w:tabs>
                    <w:rPr>
                      <w:sz w:val="22"/>
                      <w:szCs w:val="22"/>
                    </w:rPr>
                  </w:pPr>
                  <w:r w:rsidRPr="00262A76">
                    <w:rPr>
                      <w:sz w:val="22"/>
                      <w:szCs w:val="22"/>
                    </w:rPr>
                    <w:t>ON THE  PROPOSED DECISION OF</w:t>
                  </w:r>
                </w:p>
                <w:p w:rsidR="00B61EDF" w:rsidP="00AF0FC9" w:rsidRDefault="00133A05" w14:paraId="46DC1CDE" w14:textId="77777777">
                  <w:pPr>
                    <w:tabs>
                      <w:tab w:val="left" w:pos="360"/>
                    </w:tabs>
                    <w:rPr>
                      <w:sz w:val="22"/>
                      <w:szCs w:val="22"/>
                    </w:rPr>
                  </w:pPr>
                  <w:r w:rsidRPr="00262A76">
                    <w:rPr>
                      <w:sz w:val="22"/>
                      <w:szCs w:val="22"/>
                    </w:rPr>
                    <w:t>ADMINISTRATIVE LAW JUDGES RIZZO AND</w:t>
                  </w:r>
                </w:p>
                <w:p w:rsidR="00B61EDF" w:rsidP="00AF0FC9" w:rsidRDefault="00133A05" w14:paraId="2C77224A" w14:textId="77777777">
                  <w:pPr>
                    <w:tabs>
                      <w:tab w:val="left" w:pos="360"/>
                    </w:tabs>
                    <w:rPr>
                      <w:sz w:val="22"/>
                      <w:szCs w:val="22"/>
                    </w:rPr>
                  </w:pPr>
                  <w:r w:rsidRPr="00262A76">
                    <w:rPr>
                      <w:sz w:val="22"/>
                      <w:szCs w:val="22"/>
                    </w:rPr>
                    <w:t>SEYBERT FOR THE 2024 TEST YEAR GENERAL</w:t>
                  </w:r>
                </w:p>
                <w:p w:rsidR="00B61EDF" w:rsidP="00AF0FC9" w:rsidRDefault="00133A05" w14:paraId="5533F966" w14:textId="77777777">
                  <w:pPr>
                    <w:tabs>
                      <w:tab w:val="left" w:pos="360"/>
                    </w:tabs>
                    <w:rPr>
                      <w:sz w:val="22"/>
                      <w:szCs w:val="22"/>
                    </w:rPr>
                  </w:pPr>
                  <w:r w:rsidRPr="00262A76">
                    <w:rPr>
                      <w:sz w:val="22"/>
                      <w:szCs w:val="22"/>
                    </w:rPr>
                    <w:t>RATE CASE OF SOUTHERN CALIFORINA</w:t>
                  </w:r>
                </w:p>
                <w:p w:rsidRPr="00262A76" w:rsidR="00133A05" w:rsidP="00B61EDF" w:rsidRDefault="00133A05" w14:paraId="22B7C0FB" w14:textId="39A04997">
                  <w:pPr>
                    <w:tabs>
                      <w:tab w:val="left" w:pos="360"/>
                    </w:tabs>
                    <w:spacing w:after="120"/>
                    <w:rPr>
                      <w:sz w:val="22"/>
                      <w:szCs w:val="22"/>
                    </w:rPr>
                  </w:pPr>
                  <w:r w:rsidRPr="00262A76">
                    <w:rPr>
                      <w:sz w:val="22"/>
                      <w:szCs w:val="22"/>
                    </w:rPr>
                    <w:t>EDISON COMPANY (August 18, 2025)</w:t>
                  </w:r>
                </w:p>
              </w:tc>
            </w:tr>
            <w:tr w:rsidRPr="00262A76" w:rsidR="00133A05" w:rsidTr="00F10078" w14:paraId="68397E29" w14:textId="77777777">
              <w:trPr>
                <w:trHeight w:val="300"/>
              </w:trPr>
              <w:tc>
                <w:tcPr>
                  <w:tcW w:w="2228" w:type="dxa"/>
                  <w:tcBorders>
                    <w:top w:val="nil"/>
                    <w:left w:val="nil"/>
                    <w:bottom w:val="nil"/>
                    <w:right w:val="nil"/>
                  </w:tcBorders>
                  <w:noWrap/>
                </w:tcPr>
                <w:p w:rsidRPr="00262A76" w:rsidR="00133A05" w:rsidP="00AF0FC9" w:rsidRDefault="00133A05" w14:paraId="2429DD54" w14:textId="77777777">
                  <w:pPr>
                    <w:tabs>
                      <w:tab w:val="left" w:pos="360"/>
                    </w:tabs>
                    <w:rPr>
                      <w:sz w:val="22"/>
                      <w:szCs w:val="22"/>
                    </w:rPr>
                  </w:pPr>
                  <w:r w:rsidRPr="00262A76">
                    <w:rPr>
                      <w:sz w:val="22"/>
                      <w:szCs w:val="22"/>
                    </w:rPr>
                    <w:t>GRC-MGRA-</w:t>
                  </w:r>
                  <w:proofErr w:type="spellStart"/>
                  <w:r w:rsidRPr="00262A76">
                    <w:rPr>
                      <w:sz w:val="22"/>
                      <w:szCs w:val="22"/>
                    </w:rPr>
                    <w:t>RpBf</w:t>
                  </w:r>
                  <w:proofErr w:type="spellEnd"/>
                </w:p>
              </w:tc>
              <w:tc>
                <w:tcPr>
                  <w:tcW w:w="6338" w:type="dxa"/>
                  <w:tcBorders>
                    <w:top w:val="nil"/>
                    <w:left w:val="nil"/>
                    <w:bottom w:val="nil"/>
                    <w:right w:val="nil"/>
                  </w:tcBorders>
                </w:tcPr>
                <w:p w:rsidR="00B61EDF" w:rsidP="00AF0FC9" w:rsidRDefault="00133A05" w14:paraId="229FF90C" w14:textId="77777777">
                  <w:pPr>
                    <w:tabs>
                      <w:tab w:val="left" w:pos="360"/>
                    </w:tabs>
                    <w:rPr>
                      <w:sz w:val="22"/>
                      <w:szCs w:val="22"/>
                    </w:rPr>
                  </w:pPr>
                  <w:r w:rsidRPr="00262A76">
                    <w:rPr>
                      <w:sz w:val="22"/>
                      <w:szCs w:val="22"/>
                    </w:rPr>
                    <w:t>MUSSEY GRADE ROAD ALLIANCE REPLY BRIEF</w:t>
                  </w:r>
                </w:p>
                <w:p w:rsidR="00B61EDF" w:rsidP="00AF0FC9" w:rsidRDefault="00133A05" w14:paraId="0A5293CF" w14:textId="77777777">
                  <w:pPr>
                    <w:tabs>
                      <w:tab w:val="left" w:pos="360"/>
                    </w:tabs>
                    <w:rPr>
                      <w:sz w:val="22"/>
                      <w:szCs w:val="22"/>
                    </w:rPr>
                  </w:pPr>
                  <w:r w:rsidRPr="00262A76">
                    <w:rPr>
                      <w:sz w:val="22"/>
                      <w:szCs w:val="22"/>
                    </w:rPr>
                    <w:t>SOUTHERN CALIFORNIA EDISON’S 2025</w:t>
                  </w:r>
                </w:p>
                <w:p w:rsidRPr="00262A76" w:rsidR="00133A05" w:rsidP="00B61EDF" w:rsidRDefault="00133A05" w14:paraId="751CAD83" w14:textId="29B470A8">
                  <w:pPr>
                    <w:tabs>
                      <w:tab w:val="left" w:pos="360"/>
                    </w:tabs>
                    <w:spacing w:after="120"/>
                    <w:rPr>
                      <w:sz w:val="22"/>
                      <w:szCs w:val="22"/>
                    </w:rPr>
                  </w:pPr>
                  <w:r w:rsidRPr="00262A76">
                    <w:rPr>
                      <w:sz w:val="22"/>
                      <w:szCs w:val="22"/>
                    </w:rPr>
                    <w:t>GENERAL RATE CASE (August 5, 2024)</w:t>
                  </w:r>
                </w:p>
              </w:tc>
            </w:tr>
            <w:tr w:rsidRPr="00262A76" w:rsidR="00133A05" w:rsidTr="00F10078" w14:paraId="14F652B2" w14:textId="77777777">
              <w:trPr>
                <w:trHeight w:val="300"/>
              </w:trPr>
              <w:tc>
                <w:tcPr>
                  <w:tcW w:w="2228" w:type="dxa"/>
                  <w:tcBorders>
                    <w:top w:val="nil"/>
                    <w:left w:val="nil"/>
                    <w:bottom w:val="nil"/>
                    <w:right w:val="nil"/>
                  </w:tcBorders>
                  <w:noWrap/>
                </w:tcPr>
                <w:p w:rsidRPr="00262A76" w:rsidR="00133A05" w:rsidP="00AF0FC9" w:rsidRDefault="00133A05" w14:paraId="00A9E99A" w14:textId="77777777">
                  <w:pPr>
                    <w:tabs>
                      <w:tab w:val="left" w:pos="360"/>
                    </w:tabs>
                    <w:rPr>
                      <w:sz w:val="22"/>
                      <w:szCs w:val="22"/>
                    </w:rPr>
                  </w:pPr>
                  <w:r w:rsidRPr="00262A76">
                    <w:rPr>
                      <w:sz w:val="22"/>
                      <w:szCs w:val="22"/>
                    </w:rPr>
                    <w:t>GRC-SCE-42</w:t>
                  </w:r>
                </w:p>
              </w:tc>
              <w:tc>
                <w:tcPr>
                  <w:tcW w:w="6338" w:type="dxa"/>
                  <w:tcBorders>
                    <w:top w:val="nil"/>
                    <w:left w:val="nil"/>
                    <w:bottom w:val="nil"/>
                    <w:right w:val="nil"/>
                  </w:tcBorders>
                </w:tcPr>
                <w:p w:rsidRPr="00262A76" w:rsidR="00133A05" w:rsidP="00AF0FC9" w:rsidRDefault="00133A05" w14:paraId="11737258" w14:textId="77777777">
                  <w:pPr>
                    <w:tabs>
                      <w:tab w:val="left" w:pos="360"/>
                    </w:tabs>
                    <w:rPr>
                      <w:sz w:val="22"/>
                      <w:szCs w:val="22"/>
                    </w:rPr>
                  </w:pPr>
                  <w:r w:rsidRPr="00262A76">
                    <w:rPr>
                      <w:sz w:val="22"/>
                      <w:szCs w:val="22"/>
                    </w:rPr>
                    <w:t>JOINT COMPARISON EXHIBIT (August 5, 2024)</w:t>
                  </w:r>
                </w:p>
              </w:tc>
            </w:tr>
            <w:tr w:rsidRPr="00262A76" w:rsidR="00133A05" w:rsidTr="00F10078" w14:paraId="5E8A3B46" w14:textId="77777777">
              <w:trPr>
                <w:trHeight w:val="300"/>
              </w:trPr>
              <w:tc>
                <w:tcPr>
                  <w:tcW w:w="2228" w:type="dxa"/>
                  <w:tcBorders>
                    <w:top w:val="nil"/>
                    <w:left w:val="nil"/>
                    <w:bottom w:val="nil"/>
                    <w:right w:val="nil"/>
                  </w:tcBorders>
                  <w:noWrap/>
                </w:tcPr>
                <w:p w:rsidRPr="00262A76" w:rsidR="00133A05" w:rsidP="00AF0FC9" w:rsidRDefault="00133A05" w14:paraId="48CF2289" w14:textId="77777777">
                  <w:pPr>
                    <w:tabs>
                      <w:tab w:val="left" w:pos="360"/>
                    </w:tabs>
                    <w:rPr>
                      <w:sz w:val="22"/>
                      <w:szCs w:val="22"/>
                    </w:rPr>
                  </w:pPr>
                  <w:r w:rsidRPr="00262A76">
                    <w:rPr>
                      <w:sz w:val="22"/>
                      <w:szCs w:val="22"/>
                    </w:rPr>
                    <w:t>GRC-MGRA-Bf</w:t>
                  </w:r>
                </w:p>
              </w:tc>
              <w:tc>
                <w:tcPr>
                  <w:tcW w:w="6338" w:type="dxa"/>
                  <w:tcBorders>
                    <w:top w:val="nil"/>
                    <w:left w:val="nil"/>
                    <w:bottom w:val="nil"/>
                    <w:right w:val="nil"/>
                  </w:tcBorders>
                </w:tcPr>
                <w:p w:rsidR="00B61EDF" w:rsidP="00AF0FC9" w:rsidRDefault="00133A05" w14:paraId="4EF3670F" w14:textId="77777777">
                  <w:pPr>
                    <w:tabs>
                      <w:tab w:val="left" w:pos="360"/>
                    </w:tabs>
                    <w:rPr>
                      <w:sz w:val="22"/>
                      <w:szCs w:val="22"/>
                    </w:rPr>
                  </w:pPr>
                  <w:r w:rsidRPr="00262A76">
                    <w:rPr>
                      <w:sz w:val="22"/>
                      <w:szCs w:val="22"/>
                    </w:rPr>
                    <w:t>MUSSEY GRADE ROAD ALLIANCE OPENING</w:t>
                  </w:r>
                </w:p>
                <w:p w:rsidR="00B61EDF" w:rsidP="00AF0FC9" w:rsidRDefault="00133A05" w14:paraId="1D9BA912" w14:textId="77777777">
                  <w:pPr>
                    <w:tabs>
                      <w:tab w:val="left" w:pos="360"/>
                    </w:tabs>
                    <w:rPr>
                      <w:sz w:val="22"/>
                      <w:szCs w:val="22"/>
                    </w:rPr>
                  </w:pPr>
                  <w:r w:rsidRPr="00262A76">
                    <w:rPr>
                      <w:sz w:val="22"/>
                      <w:szCs w:val="22"/>
                    </w:rPr>
                    <w:t>BRIEF ON SOUTHERN CALIFORNIA EDISON’S</w:t>
                  </w:r>
                </w:p>
                <w:p w:rsidRPr="00262A76" w:rsidR="00133A05" w:rsidP="00B61EDF" w:rsidRDefault="00133A05" w14:paraId="4D6CB5E0" w14:textId="27059E6E">
                  <w:pPr>
                    <w:tabs>
                      <w:tab w:val="left" w:pos="360"/>
                    </w:tabs>
                    <w:spacing w:after="120"/>
                    <w:rPr>
                      <w:sz w:val="22"/>
                      <w:szCs w:val="22"/>
                    </w:rPr>
                  </w:pPr>
                  <w:r w:rsidRPr="00262A76">
                    <w:rPr>
                      <w:sz w:val="22"/>
                      <w:szCs w:val="22"/>
                    </w:rPr>
                    <w:t>2025 GENERAL RATE CASE (July 15, 2024)</w:t>
                  </w:r>
                </w:p>
              </w:tc>
            </w:tr>
            <w:tr w:rsidRPr="00262A76" w:rsidR="00133A05" w:rsidTr="00F10078" w14:paraId="3DAB0995" w14:textId="77777777">
              <w:trPr>
                <w:trHeight w:val="300"/>
              </w:trPr>
              <w:tc>
                <w:tcPr>
                  <w:tcW w:w="2228" w:type="dxa"/>
                  <w:tcBorders>
                    <w:top w:val="nil"/>
                    <w:left w:val="nil"/>
                    <w:bottom w:val="nil"/>
                    <w:right w:val="nil"/>
                  </w:tcBorders>
                  <w:noWrap/>
                </w:tcPr>
                <w:p w:rsidRPr="00262A76" w:rsidR="00133A05" w:rsidP="00AF0FC9" w:rsidRDefault="00133A05" w14:paraId="7810D1A8" w14:textId="77777777">
                  <w:pPr>
                    <w:tabs>
                      <w:tab w:val="left" w:pos="360"/>
                    </w:tabs>
                    <w:rPr>
                      <w:sz w:val="22"/>
                      <w:szCs w:val="22"/>
                    </w:rPr>
                  </w:pPr>
                  <w:r w:rsidRPr="00262A76">
                    <w:rPr>
                      <w:sz w:val="22"/>
                      <w:szCs w:val="22"/>
                    </w:rPr>
                    <w:t>GRC-MGRA-01-2A</w:t>
                  </w:r>
                </w:p>
              </w:tc>
              <w:tc>
                <w:tcPr>
                  <w:tcW w:w="6338" w:type="dxa"/>
                  <w:tcBorders>
                    <w:top w:val="nil"/>
                    <w:left w:val="nil"/>
                    <w:bottom w:val="nil"/>
                    <w:right w:val="nil"/>
                  </w:tcBorders>
                </w:tcPr>
                <w:p w:rsidR="00B61EDF" w:rsidP="00AF0FC9" w:rsidRDefault="00133A05" w14:paraId="4260BBFD" w14:textId="77777777">
                  <w:pPr>
                    <w:tabs>
                      <w:tab w:val="left" w:pos="360"/>
                    </w:tabs>
                    <w:rPr>
                      <w:sz w:val="22"/>
                      <w:szCs w:val="22"/>
                    </w:rPr>
                  </w:pPr>
                  <w:r w:rsidRPr="00262A76">
                    <w:rPr>
                      <w:sz w:val="22"/>
                      <w:szCs w:val="22"/>
                    </w:rPr>
                    <w:t>DIRECT TESTIMONY OF THE MUSSEY GRADE</w:t>
                  </w:r>
                </w:p>
                <w:p w:rsidR="00B61EDF" w:rsidP="00AF0FC9" w:rsidRDefault="00133A05" w14:paraId="456F02BF" w14:textId="77777777">
                  <w:pPr>
                    <w:tabs>
                      <w:tab w:val="left" w:pos="360"/>
                    </w:tabs>
                    <w:rPr>
                      <w:sz w:val="22"/>
                      <w:szCs w:val="22"/>
                    </w:rPr>
                  </w:pPr>
                  <w:r w:rsidRPr="00262A76">
                    <w:rPr>
                      <w:sz w:val="22"/>
                      <w:szCs w:val="22"/>
                    </w:rPr>
                    <w:t>ROAD ALLIANCE SOUTHERN CALIFORNIA</w:t>
                  </w:r>
                </w:p>
                <w:p w:rsidR="00B61EDF" w:rsidP="00AF0FC9" w:rsidRDefault="00133A05" w14:paraId="0FC70863" w14:textId="77777777">
                  <w:pPr>
                    <w:tabs>
                      <w:tab w:val="left" w:pos="360"/>
                    </w:tabs>
                    <w:rPr>
                      <w:sz w:val="22"/>
                      <w:szCs w:val="22"/>
                    </w:rPr>
                  </w:pPr>
                  <w:r w:rsidRPr="00262A76">
                    <w:rPr>
                      <w:sz w:val="22"/>
                      <w:szCs w:val="22"/>
                    </w:rPr>
                    <w:t>EDISON COMPANY 2025 GENERAL RATE CASE</w:t>
                  </w:r>
                </w:p>
                <w:p w:rsidR="00B61EDF" w:rsidP="00AF0FC9" w:rsidRDefault="00133A05" w14:paraId="0E5F22DA" w14:textId="77777777">
                  <w:pPr>
                    <w:tabs>
                      <w:tab w:val="left" w:pos="360"/>
                    </w:tabs>
                    <w:rPr>
                      <w:sz w:val="22"/>
                      <w:szCs w:val="22"/>
                    </w:rPr>
                  </w:pPr>
                  <w:r w:rsidRPr="00262A76">
                    <w:rPr>
                      <w:sz w:val="22"/>
                      <w:szCs w:val="22"/>
                    </w:rPr>
                    <w:t>ERRATA 2A - CLEAN (February 29, 2024, Updated</w:t>
                  </w:r>
                </w:p>
                <w:p w:rsidRPr="00262A76" w:rsidR="00133A05" w:rsidP="00B61EDF" w:rsidRDefault="00133A05" w14:paraId="38480315" w14:textId="5787C360">
                  <w:pPr>
                    <w:tabs>
                      <w:tab w:val="left" w:pos="360"/>
                    </w:tabs>
                    <w:spacing w:after="120"/>
                    <w:rPr>
                      <w:sz w:val="22"/>
                      <w:szCs w:val="22"/>
                    </w:rPr>
                  </w:pPr>
                  <w:r w:rsidRPr="00262A76">
                    <w:rPr>
                      <w:sz w:val="22"/>
                      <w:szCs w:val="22"/>
                    </w:rPr>
                    <w:t>May 13, 2024, July 13, 2024)</w:t>
                  </w:r>
                </w:p>
              </w:tc>
            </w:tr>
            <w:tr w:rsidRPr="00262A76" w:rsidR="00133A05" w:rsidTr="00F10078" w14:paraId="21B48912" w14:textId="77777777">
              <w:trPr>
                <w:trHeight w:val="300"/>
              </w:trPr>
              <w:tc>
                <w:tcPr>
                  <w:tcW w:w="2228" w:type="dxa"/>
                  <w:tcBorders>
                    <w:top w:val="nil"/>
                    <w:left w:val="nil"/>
                    <w:bottom w:val="nil"/>
                    <w:right w:val="nil"/>
                  </w:tcBorders>
                  <w:noWrap/>
                </w:tcPr>
                <w:p w:rsidRPr="00262A76" w:rsidR="00133A05" w:rsidP="00AF0FC9" w:rsidRDefault="00133A05" w14:paraId="659B6182" w14:textId="77777777">
                  <w:pPr>
                    <w:tabs>
                      <w:tab w:val="left" w:pos="360"/>
                    </w:tabs>
                    <w:rPr>
                      <w:sz w:val="22"/>
                      <w:szCs w:val="22"/>
                    </w:rPr>
                  </w:pPr>
                  <w:r w:rsidRPr="00262A76">
                    <w:rPr>
                      <w:sz w:val="22"/>
                      <w:szCs w:val="22"/>
                    </w:rPr>
                    <w:t>GRC-MGRA-</w:t>
                  </w:r>
                  <w:proofErr w:type="spellStart"/>
                  <w:r w:rsidRPr="00262A76">
                    <w:rPr>
                      <w:sz w:val="22"/>
                      <w:szCs w:val="22"/>
                    </w:rPr>
                    <w:t>Prt</w:t>
                  </w:r>
                  <w:proofErr w:type="spellEnd"/>
                </w:p>
              </w:tc>
              <w:tc>
                <w:tcPr>
                  <w:tcW w:w="6338" w:type="dxa"/>
                  <w:tcBorders>
                    <w:top w:val="nil"/>
                    <w:left w:val="nil"/>
                    <w:bottom w:val="nil"/>
                    <w:right w:val="nil"/>
                  </w:tcBorders>
                </w:tcPr>
                <w:p w:rsidR="00B61EDF" w:rsidP="00AF0FC9" w:rsidRDefault="00133A05" w14:paraId="537BDF35" w14:textId="77777777">
                  <w:pPr>
                    <w:tabs>
                      <w:tab w:val="left" w:pos="360"/>
                    </w:tabs>
                    <w:rPr>
                      <w:sz w:val="22"/>
                      <w:szCs w:val="22"/>
                    </w:rPr>
                  </w:pPr>
                  <w:r w:rsidRPr="00262A76">
                    <w:rPr>
                      <w:sz w:val="22"/>
                      <w:szCs w:val="22"/>
                    </w:rPr>
                    <w:t>MUSSEY GRADE ROAD ALLIANCE PROTEST TO</w:t>
                  </w:r>
                </w:p>
                <w:p w:rsidR="00B61EDF" w:rsidP="00AF0FC9" w:rsidRDefault="00133A05" w14:paraId="06DF9486" w14:textId="77777777">
                  <w:pPr>
                    <w:tabs>
                      <w:tab w:val="left" w:pos="360"/>
                    </w:tabs>
                    <w:rPr>
                      <w:sz w:val="22"/>
                      <w:szCs w:val="22"/>
                    </w:rPr>
                  </w:pPr>
                  <w:r w:rsidRPr="00262A76">
                    <w:rPr>
                      <w:sz w:val="22"/>
                      <w:szCs w:val="22"/>
                    </w:rPr>
                    <w:t>SOUTHERN CALIFORNIA EDISON COMPANY</w:t>
                  </w:r>
                </w:p>
                <w:p w:rsidR="00B61EDF" w:rsidP="00AF0FC9" w:rsidRDefault="00133A05" w14:paraId="4DE0B538" w14:textId="77777777">
                  <w:pPr>
                    <w:tabs>
                      <w:tab w:val="left" w:pos="360"/>
                    </w:tabs>
                    <w:rPr>
                      <w:sz w:val="22"/>
                      <w:szCs w:val="22"/>
                    </w:rPr>
                  </w:pPr>
                  <w:r w:rsidRPr="00262A76">
                    <w:rPr>
                      <w:sz w:val="22"/>
                      <w:szCs w:val="22"/>
                    </w:rPr>
                    <w:t>2025 GENERAL RATE CASE APPLICATION</w:t>
                  </w:r>
                </w:p>
                <w:p w:rsidRPr="00262A76" w:rsidR="00133A05" w:rsidP="00AF0FC9" w:rsidRDefault="00133A05" w14:paraId="14F8A3E7" w14:textId="35CB2895">
                  <w:pPr>
                    <w:tabs>
                      <w:tab w:val="left" w:pos="360"/>
                    </w:tabs>
                    <w:rPr>
                      <w:sz w:val="22"/>
                      <w:szCs w:val="22"/>
                    </w:rPr>
                  </w:pPr>
                  <w:r w:rsidRPr="00262A76">
                    <w:rPr>
                      <w:sz w:val="22"/>
                      <w:szCs w:val="22"/>
                    </w:rPr>
                    <w:t>(June 14, 2023)</w:t>
                  </w:r>
                </w:p>
              </w:tc>
            </w:tr>
            <w:tr w:rsidRPr="00262A76" w:rsidR="00133A05" w:rsidTr="00F10078" w14:paraId="4E309F66" w14:textId="77777777">
              <w:trPr>
                <w:trHeight w:val="300"/>
              </w:trPr>
              <w:tc>
                <w:tcPr>
                  <w:tcW w:w="2228" w:type="dxa"/>
                  <w:tcBorders>
                    <w:top w:val="nil"/>
                    <w:left w:val="nil"/>
                    <w:bottom w:val="nil"/>
                    <w:right w:val="nil"/>
                  </w:tcBorders>
                  <w:noWrap/>
                </w:tcPr>
                <w:p w:rsidRPr="00262A76" w:rsidR="00133A05" w:rsidP="00AF0FC9" w:rsidRDefault="00133A05" w14:paraId="25FB3B34" w14:textId="77777777">
                  <w:pPr>
                    <w:tabs>
                      <w:tab w:val="left" w:pos="360"/>
                    </w:tabs>
                    <w:rPr>
                      <w:sz w:val="22"/>
                      <w:szCs w:val="22"/>
                    </w:rPr>
                  </w:pPr>
                  <w:r w:rsidRPr="00262A76">
                    <w:rPr>
                      <w:b/>
                      <w:bCs/>
                      <w:sz w:val="22"/>
                      <w:szCs w:val="22"/>
                    </w:rPr>
                    <w:lastRenderedPageBreak/>
                    <w:t>A.22-05-013</w:t>
                  </w:r>
                </w:p>
              </w:tc>
              <w:tc>
                <w:tcPr>
                  <w:tcW w:w="6338" w:type="dxa"/>
                  <w:tcBorders>
                    <w:top w:val="nil"/>
                    <w:left w:val="nil"/>
                    <w:bottom w:val="nil"/>
                    <w:right w:val="nil"/>
                  </w:tcBorders>
                </w:tcPr>
                <w:p w:rsidRPr="00262A76" w:rsidR="00133A05" w:rsidP="00AF0FC9" w:rsidRDefault="00133A05" w14:paraId="321AEE31" w14:textId="77777777">
                  <w:pPr>
                    <w:tabs>
                      <w:tab w:val="left" w:pos="360"/>
                    </w:tabs>
                    <w:rPr>
                      <w:sz w:val="22"/>
                      <w:szCs w:val="22"/>
                    </w:rPr>
                  </w:pPr>
                </w:p>
              </w:tc>
            </w:tr>
            <w:tr w:rsidRPr="00262A76" w:rsidR="00133A05" w:rsidTr="00F10078" w14:paraId="517A2B80" w14:textId="77777777">
              <w:trPr>
                <w:trHeight w:val="300"/>
              </w:trPr>
              <w:tc>
                <w:tcPr>
                  <w:tcW w:w="2228" w:type="dxa"/>
                  <w:tcBorders>
                    <w:top w:val="nil"/>
                    <w:left w:val="nil"/>
                    <w:bottom w:val="nil"/>
                    <w:right w:val="nil"/>
                  </w:tcBorders>
                  <w:noWrap/>
                </w:tcPr>
                <w:p w:rsidRPr="00262A76" w:rsidR="00133A05" w:rsidP="00AF0FC9" w:rsidRDefault="00133A05" w14:paraId="3A5FDE7A" w14:textId="77777777">
                  <w:pPr>
                    <w:tabs>
                      <w:tab w:val="left" w:pos="360"/>
                    </w:tabs>
                    <w:rPr>
                      <w:b/>
                      <w:bCs/>
                      <w:sz w:val="22"/>
                      <w:szCs w:val="22"/>
                    </w:rPr>
                  </w:pPr>
                  <w:r w:rsidRPr="00262A76">
                    <w:rPr>
                      <w:sz w:val="22"/>
                      <w:szCs w:val="22"/>
                    </w:rPr>
                    <w:t>RAMP-MGRA-</w:t>
                  </w:r>
                  <w:proofErr w:type="spellStart"/>
                  <w:r w:rsidRPr="00262A76">
                    <w:rPr>
                      <w:sz w:val="22"/>
                      <w:szCs w:val="22"/>
                    </w:rPr>
                    <w:t>Rpl</w:t>
                  </w:r>
                  <w:proofErr w:type="spellEnd"/>
                </w:p>
              </w:tc>
              <w:tc>
                <w:tcPr>
                  <w:tcW w:w="6338" w:type="dxa"/>
                  <w:tcBorders>
                    <w:top w:val="nil"/>
                    <w:left w:val="nil"/>
                    <w:bottom w:val="nil"/>
                    <w:right w:val="nil"/>
                  </w:tcBorders>
                </w:tcPr>
                <w:p w:rsidR="00B61EDF" w:rsidP="00AF0FC9" w:rsidRDefault="00133A05" w14:paraId="6427676A" w14:textId="77777777">
                  <w:pPr>
                    <w:tabs>
                      <w:tab w:val="left" w:pos="360"/>
                    </w:tabs>
                    <w:rPr>
                      <w:sz w:val="22"/>
                      <w:szCs w:val="22"/>
                    </w:rPr>
                  </w:pPr>
                  <w:r w:rsidRPr="00262A76">
                    <w:rPr>
                      <w:sz w:val="22"/>
                      <w:szCs w:val="22"/>
                    </w:rPr>
                    <w:t>MUSSEY GRADE ROAD ALLIANCE REPLY TO</w:t>
                  </w:r>
                </w:p>
                <w:p w:rsidR="00B61EDF" w:rsidP="00AF0FC9" w:rsidRDefault="00133A05" w14:paraId="35A6CBEC" w14:textId="77777777">
                  <w:pPr>
                    <w:tabs>
                      <w:tab w:val="left" w:pos="360"/>
                    </w:tabs>
                    <w:rPr>
                      <w:sz w:val="22"/>
                      <w:szCs w:val="22"/>
                    </w:rPr>
                  </w:pPr>
                  <w:r w:rsidRPr="00262A76">
                    <w:rPr>
                      <w:sz w:val="22"/>
                      <w:szCs w:val="22"/>
                    </w:rPr>
                    <w:t>COMMENTS ON SOUTHERN CALIFORNIA</w:t>
                  </w:r>
                </w:p>
                <w:p w:rsidR="00B61EDF" w:rsidP="00AF0FC9" w:rsidRDefault="00133A05" w14:paraId="65C6DB7E" w14:textId="18DF5B06">
                  <w:pPr>
                    <w:tabs>
                      <w:tab w:val="left" w:pos="360"/>
                    </w:tabs>
                    <w:rPr>
                      <w:sz w:val="22"/>
                      <w:szCs w:val="22"/>
                    </w:rPr>
                  </w:pPr>
                  <w:r w:rsidRPr="00262A76">
                    <w:rPr>
                      <w:sz w:val="22"/>
                      <w:szCs w:val="22"/>
                    </w:rPr>
                    <w:t>EDISON COMPANY’S RAMP FILING AND THE</w:t>
                  </w:r>
                </w:p>
                <w:p w:rsidR="00B61EDF" w:rsidP="00AF0FC9" w:rsidRDefault="00133A05" w14:paraId="38CE8EAD" w14:textId="77777777">
                  <w:pPr>
                    <w:tabs>
                      <w:tab w:val="left" w:pos="360"/>
                    </w:tabs>
                    <w:rPr>
                      <w:sz w:val="22"/>
                      <w:szCs w:val="22"/>
                    </w:rPr>
                  </w:pPr>
                  <w:r w:rsidRPr="00262A76">
                    <w:rPr>
                      <w:sz w:val="22"/>
                      <w:szCs w:val="22"/>
                    </w:rPr>
                    <w:t>SAFETY POLICY DIVISION REPORT</w:t>
                  </w:r>
                </w:p>
                <w:p w:rsidRPr="00262A76" w:rsidR="00133A05" w:rsidP="00B61EDF" w:rsidRDefault="00133A05" w14:paraId="0AE6C0AC" w14:textId="44DBA17A">
                  <w:pPr>
                    <w:tabs>
                      <w:tab w:val="left" w:pos="360"/>
                    </w:tabs>
                    <w:spacing w:after="120"/>
                    <w:rPr>
                      <w:sz w:val="22"/>
                      <w:szCs w:val="22"/>
                    </w:rPr>
                  </w:pPr>
                  <w:r w:rsidRPr="00262A76">
                    <w:rPr>
                      <w:sz w:val="22"/>
                      <w:szCs w:val="22"/>
                    </w:rPr>
                    <w:t>(January</w:t>
                  </w:r>
                  <w:r w:rsidR="00B61EDF">
                    <w:rPr>
                      <w:sz w:val="22"/>
                      <w:szCs w:val="22"/>
                    </w:rPr>
                    <w:t> </w:t>
                  </w:r>
                  <w:r w:rsidRPr="00262A76">
                    <w:rPr>
                      <w:sz w:val="22"/>
                      <w:szCs w:val="22"/>
                    </w:rPr>
                    <w:t>4,</w:t>
                  </w:r>
                  <w:r w:rsidR="00B61EDF">
                    <w:rPr>
                      <w:sz w:val="22"/>
                      <w:szCs w:val="22"/>
                    </w:rPr>
                    <w:t> </w:t>
                  </w:r>
                  <w:r w:rsidRPr="00262A76">
                    <w:rPr>
                      <w:sz w:val="22"/>
                      <w:szCs w:val="22"/>
                    </w:rPr>
                    <w:t>2023)</w:t>
                  </w:r>
                </w:p>
              </w:tc>
            </w:tr>
            <w:tr w:rsidRPr="00262A76" w:rsidR="00133A05" w:rsidTr="00F10078" w14:paraId="3C121645" w14:textId="77777777">
              <w:trPr>
                <w:trHeight w:val="300"/>
              </w:trPr>
              <w:tc>
                <w:tcPr>
                  <w:tcW w:w="2228" w:type="dxa"/>
                  <w:tcBorders>
                    <w:top w:val="nil"/>
                    <w:left w:val="nil"/>
                    <w:bottom w:val="nil"/>
                    <w:right w:val="nil"/>
                  </w:tcBorders>
                  <w:noWrap/>
                </w:tcPr>
                <w:p w:rsidRPr="00262A76" w:rsidR="00133A05" w:rsidP="00AF0FC9" w:rsidRDefault="00133A05" w14:paraId="56E39CFF" w14:textId="77777777">
                  <w:pPr>
                    <w:tabs>
                      <w:tab w:val="left" w:pos="360"/>
                    </w:tabs>
                    <w:rPr>
                      <w:sz w:val="22"/>
                      <w:szCs w:val="22"/>
                    </w:rPr>
                  </w:pPr>
                  <w:r w:rsidRPr="00262A76">
                    <w:rPr>
                      <w:sz w:val="22"/>
                      <w:szCs w:val="22"/>
                    </w:rPr>
                    <w:t>RAMP-MGRA-</w:t>
                  </w:r>
                  <w:proofErr w:type="spellStart"/>
                  <w:r w:rsidRPr="00262A76">
                    <w:rPr>
                      <w:sz w:val="22"/>
                      <w:szCs w:val="22"/>
                    </w:rPr>
                    <w:t>Cmt</w:t>
                  </w:r>
                  <w:proofErr w:type="spellEnd"/>
                </w:p>
              </w:tc>
              <w:tc>
                <w:tcPr>
                  <w:tcW w:w="6338" w:type="dxa"/>
                  <w:tcBorders>
                    <w:top w:val="nil"/>
                    <w:left w:val="nil"/>
                    <w:bottom w:val="nil"/>
                    <w:right w:val="nil"/>
                  </w:tcBorders>
                </w:tcPr>
                <w:p w:rsidR="00B61EDF" w:rsidP="00AF0FC9" w:rsidRDefault="00133A05" w14:paraId="23C472CB" w14:textId="77777777">
                  <w:pPr>
                    <w:tabs>
                      <w:tab w:val="left" w:pos="360"/>
                    </w:tabs>
                    <w:rPr>
                      <w:sz w:val="22"/>
                      <w:szCs w:val="22"/>
                    </w:rPr>
                  </w:pPr>
                  <w:r w:rsidRPr="00262A76">
                    <w:rPr>
                      <w:sz w:val="22"/>
                      <w:szCs w:val="22"/>
                    </w:rPr>
                    <w:t>MUSSEY GRADE ROAD ALLIANCE COMMENTS</w:t>
                  </w:r>
                </w:p>
                <w:p w:rsidR="00B61EDF" w:rsidP="00AF0FC9" w:rsidRDefault="00133A05" w14:paraId="2FC9C145" w14:textId="77777777">
                  <w:pPr>
                    <w:tabs>
                      <w:tab w:val="left" w:pos="360"/>
                    </w:tabs>
                    <w:rPr>
                      <w:sz w:val="22"/>
                      <w:szCs w:val="22"/>
                    </w:rPr>
                  </w:pPr>
                  <w:r w:rsidRPr="00262A76">
                    <w:rPr>
                      <w:sz w:val="22"/>
                      <w:szCs w:val="22"/>
                    </w:rPr>
                    <w:t>ON SOUTHERN CALIFORNIA EDISON</w:t>
                  </w:r>
                </w:p>
                <w:p w:rsidR="00B61EDF" w:rsidP="00AF0FC9" w:rsidRDefault="00133A05" w14:paraId="1F21AB1B" w14:textId="77777777">
                  <w:pPr>
                    <w:tabs>
                      <w:tab w:val="left" w:pos="360"/>
                    </w:tabs>
                    <w:rPr>
                      <w:sz w:val="22"/>
                      <w:szCs w:val="22"/>
                    </w:rPr>
                  </w:pPr>
                  <w:r w:rsidRPr="00262A76">
                    <w:rPr>
                      <w:sz w:val="22"/>
                      <w:szCs w:val="22"/>
                    </w:rPr>
                    <w:t>COMPANY’S RAMP FILING AND THE SAFETY</w:t>
                  </w:r>
                </w:p>
                <w:p w:rsidRPr="00262A76" w:rsidR="00133A05" w:rsidP="00B61EDF" w:rsidRDefault="00133A05" w14:paraId="750AD81F" w14:textId="5AB2F9B0">
                  <w:pPr>
                    <w:tabs>
                      <w:tab w:val="left" w:pos="360"/>
                    </w:tabs>
                    <w:spacing w:after="120"/>
                    <w:rPr>
                      <w:sz w:val="22"/>
                      <w:szCs w:val="22"/>
                    </w:rPr>
                  </w:pPr>
                  <w:r w:rsidRPr="00262A76">
                    <w:rPr>
                      <w:sz w:val="22"/>
                      <w:szCs w:val="22"/>
                    </w:rPr>
                    <w:t>POLICY DIVISION REPORT (December 9, 2022)</w:t>
                  </w:r>
                </w:p>
              </w:tc>
            </w:tr>
            <w:tr w:rsidRPr="00262A76" w:rsidR="00133A05" w:rsidTr="00F10078" w14:paraId="384A1D5A" w14:textId="77777777">
              <w:trPr>
                <w:trHeight w:val="300"/>
              </w:trPr>
              <w:tc>
                <w:tcPr>
                  <w:tcW w:w="2228" w:type="dxa"/>
                  <w:tcBorders>
                    <w:top w:val="nil"/>
                    <w:left w:val="nil"/>
                    <w:bottom w:val="nil"/>
                    <w:right w:val="nil"/>
                  </w:tcBorders>
                  <w:noWrap/>
                </w:tcPr>
                <w:p w:rsidRPr="00262A76" w:rsidR="00133A05" w:rsidP="00AF0FC9" w:rsidRDefault="00133A05" w14:paraId="1CED3C65" w14:textId="77777777">
                  <w:pPr>
                    <w:tabs>
                      <w:tab w:val="left" w:pos="360"/>
                    </w:tabs>
                    <w:rPr>
                      <w:sz w:val="22"/>
                      <w:szCs w:val="22"/>
                    </w:rPr>
                  </w:pPr>
                  <w:r w:rsidRPr="00262A76">
                    <w:rPr>
                      <w:sz w:val="22"/>
                      <w:szCs w:val="22"/>
                    </w:rPr>
                    <w:t>RAMP-SPD-</w:t>
                  </w:r>
                  <w:proofErr w:type="spellStart"/>
                  <w:r w:rsidRPr="00262A76">
                    <w:rPr>
                      <w:sz w:val="22"/>
                      <w:szCs w:val="22"/>
                    </w:rPr>
                    <w:t>Rpt</w:t>
                  </w:r>
                  <w:proofErr w:type="spellEnd"/>
                </w:p>
              </w:tc>
              <w:tc>
                <w:tcPr>
                  <w:tcW w:w="6338" w:type="dxa"/>
                  <w:tcBorders>
                    <w:top w:val="nil"/>
                    <w:left w:val="nil"/>
                    <w:bottom w:val="nil"/>
                    <w:right w:val="nil"/>
                  </w:tcBorders>
                </w:tcPr>
                <w:p w:rsidR="00B61EDF" w:rsidP="00AF0FC9" w:rsidRDefault="00133A05" w14:paraId="02CAC38E" w14:textId="77777777">
                  <w:pPr>
                    <w:tabs>
                      <w:tab w:val="left" w:pos="360"/>
                    </w:tabs>
                    <w:rPr>
                      <w:sz w:val="22"/>
                      <w:szCs w:val="22"/>
                    </w:rPr>
                  </w:pPr>
                  <w:r w:rsidRPr="00262A76">
                    <w:rPr>
                      <w:sz w:val="22"/>
                      <w:szCs w:val="22"/>
                    </w:rPr>
                    <w:t>Safety Policy Division Staff Evaluation Report on the</w:t>
                  </w:r>
                </w:p>
                <w:p w:rsidR="00B61EDF" w:rsidP="00AF0FC9" w:rsidRDefault="00133A05" w14:paraId="6689191D" w14:textId="77777777">
                  <w:pPr>
                    <w:tabs>
                      <w:tab w:val="left" w:pos="360"/>
                    </w:tabs>
                    <w:rPr>
                      <w:sz w:val="22"/>
                      <w:szCs w:val="22"/>
                    </w:rPr>
                  </w:pPr>
                  <w:r w:rsidRPr="00262A76">
                    <w:rPr>
                      <w:sz w:val="22"/>
                      <w:szCs w:val="22"/>
                    </w:rPr>
                    <w:t>Southern California Edison Company’s 2022 Risk</w:t>
                  </w:r>
                </w:p>
                <w:p w:rsidR="00B61EDF" w:rsidP="00AF0FC9" w:rsidRDefault="00133A05" w14:paraId="5E8997EA" w14:textId="77777777">
                  <w:pPr>
                    <w:tabs>
                      <w:tab w:val="left" w:pos="360"/>
                    </w:tabs>
                    <w:rPr>
                      <w:sz w:val="22"/>
                      <w:szCs w:val="22"/>
                    </w:rPr>
                  </w:pPr>
                  <w:r w:rsidRPr="00262A76">
                    <w:rPr>
                      <w:sz w:val="22"/>
                      <w:szCs w:val="22"/>
                    </w:rPr>
                    <w:t>Assessment and Mitigation Phase (RAMP) Application</w:t>
                  </w:r>
                </w:p>
                <w:p w:rsidRPr="00262A76" w:rsidR="00133A05" w:rsidP="00B61EDF" w:rsidRDefault="00133A05" w14:paraId="5432B4AC" w14:textId="34954BCC">
                  <w:pPr>
                    <w:tabs>
                      <w:tab w:val="left" w:pos="360"/>
                    </w:tabs>
                    <w:spacing w:after="120"/>
                    <w:rPr>
                      <w:sz w:val="22"/>
                      <w:szCs w:val="22"/>
                    </w:rPr>
                  </w:pPr>
                  <w:r w:rsidRPr="00262A76">
                    <w:rPr>
                      <w:sz w:val="22"/>
                      <w:szCs w:val="22"/>
                    </w:rPr>
                    <w:t>(A.)22-05-013 (November 10, 2022)</w:t>
                  </w:r>
                </w:p>
              </w:tc>
            </w:tr>
            <w:tr w:rsidRPr="00262A76" w:rsidR="00133A05" w:rsidTr="00F10078" w14:paraId="04F9CCF3" w14:textId="77777777">
              <w:trPr>
                <w:trHeight w:val="300"/>
              </w:trPr>
              <w:tc>
                <w:tcPr>
                  <w:tcW w:w="2228" w:type="dxa"/>
                  <w:tcBorders>
                    <w:top w:val="nil"/>
                    <w:left w:val="nil"/>
                    <w:bottom w:val="nil"/>
                    <w:right w:val="nil"/>
                  </w:tcBorders>
                  <w:noWrap/>
                </w:tcPr>
                <w:p w:rsidRPr="00262A76" w:rsidR="00133A05" w:rsidP="00AF0FC9" w:rsidRDefault="00133A05" w14:paraId="0E54CAA2" w14:textId="77777777">
                  <w:pPr>
                    <w:tabs>
                      <w:tab w:val="left" w:pos="360"/>
                    </w:tabs>
                    <w:rPr>
                      <w:sz w:val="22"/>
                      <w:szCs w:val="22"/>
                    </w:rPr>
                  </w:pPr>
                  <w:r w:rsidRPr="00262A76">
                    <w:rPr>
                      <w:sz w:val="22"/>
                      <w:szCs w:val="22"/>
                    </w:rPr>
                    <w:t>RAMP-MGRA-</w:t>
                  </w:r>
                  <w:proofErr w:type="spellStart"/>
                  <w:r w:rsidRPr="00262A76">
                    <w:rPr>
                      <w:sz w:val="22"/>
                      <w:szCs w:val="22"/>
                    </w:rPr>
                    <w:t>InfCmt</w:t>
                  </w:r>
                  <w:proofErr w:type="spellEnd"/>
                </w:p>
              </w:tc>
              <w:tc>
                <w:tcPr>
                  <w:tcW w:w="6338" w:type="dxa"/>
                  <w:tcBorders>
                    <w:top w:val="nil"/>
                    <w:left w:val="nil"/>
                    <w:bottom w:val="nil"/>
                    <w:right w:val="nil"/>
                  </w:tcBorders>
                </w:tcPr>
                <w:p w:rsidR="00B61EDF" w:rsidP="00AF0FC9" w:rsidRDefault="00133A05" w14:paraId="40FCD6D8" w14:textId="77777777">
                  <w:pPr>
                    <w:tabs>
                      <w:tab w:val="left" w:pos="360"/>
                    </w:tabs>
                    <w:rPr>
                      <w:sz w:val="22"/>
                      <w:szCs w:val="22"/>
                    </w:rPr>
                  </w:pPr>
                  <w:r w:rsidRPr="00262A76">
                    <w:rPr>
                      <w:sz w:val="22"/>
                      <w:szCs w:val="22"/>
                    </w:rPr>
                    <w:t>MUSSEY GRADE ROAD ALLIANCE INFORMAL</w:t>
                  </w:r>
                </w:p>
                <w:p w:rsidR="00B61EDF" w:rsidP="00AF0FC9" w:rsidRDefault="00133A05" w14:paraId="17D282BF" w14:textId="77777777">
                  <w:pPr>
                    <w:tabs>
                      <w:tab w:val="left" w:pos="360"/>
                    </w:tabs>
                    <w:rPr>
                      <w:sz w:val="22"/>
                      <w:szCs w:val="22"/>
                    </w:rPr>
                  </w:pPr>
                  <w:r w:rsidRPr="00262A76">
                    <w:rPr>
                      <w:sz w:val="22"/>
                      <w:szCs w:val="22"/>
                    </w:rPr>
                    <w:t>COMMENTS TO THE SAFETY POLICY DIVISION</w:t>
                  </w:r>
                </w:p>
                <w:p w:rsidR="00B61EDF" w:rsidP="00AF0FC9" w:rsidRDefault="00133A05" w14:paraId="2A733494" w14:textId="77777777">
                  <w:pPr>
                    <w:tabs>
                      <w:tab w:val="left" w:pos="360"/>
                    </w:tabs>
                    <w:rPr>
                      <w:sz w:val="22"/>
                      <w:szCs w:val="22"/>
                    </w:rPr>
                  </w:pPr>
                  <w:r w:rsidRPr="00262A76">
                    <w:rPr>
                      <w:sz w:val="22"/>
                      <w:szCs w:val="22"/>
                    </w:rPr>
                    <w:t>REGARDING SOUTHERN CALIFORINA EDISON</w:t>
                  </w:r>
                </w:p>
                <w:p w:rsidRPr="00262A76" w:rsidR="00133A05" w:rsidP="00B61EDF" w:rsidRDefault="00133A05" w14:paraId="65EE6085" w14:textId="3A2B4E9A">
                  <w:pPr>
                    <w:tabs>
                      <w:tab w:val="left" w:pos="360"/>
                    </w:tabs>
                    <w:spacing w:after="120"/>
                    <w:rPr>
                      <w:sz w:val="22"/>
                      <w:szCs w:val="22"/>
                    </w:rPr>
                  </w:pPr>
                  <w:r w:rsidRPr="00262A76">
                    <w:rPr>
                      <w:sz w:val="22"/>
                      <w:szCs w:val="22"/>
                    </w:rPr>
                    <w:t>COMPANY’S RAMP FILING (October 10, 2022)</w:t>
                  </w:r>
                </w:p>
              </w:tc>
            </w:tr>
            <w:tr w:rsidRPr="00262A76" w:rsidR="00133A05" w:rsidTr="00F10078" w14:paraId="46C297F1" w14:textId="77777777">
              <w:trPr>
                <w:trHeight w:val="300"/>
              </w:trPr>
              <w:tc>
                <w:tcPr>
                  <w:tcW w:w="2228" w:type="dxa"/>
                  <w:tcBorders>
                    <w:top w:val="nil"/>
                    <w:left w:val="nil"/>
                    <w:bottom w:val="nil"/>
                    <w:right w:val="nil"/>
                  </w:tcBorders>
                  <w:noWrap/>
                </w:tcPr>
                <w:p w:rsidRPr="00262A76" w:rsidR="00133A05" w:rsidP="00AF0FC9" w:rsidRDefault="00133A05" w14:paraId="7E3838B3" w14:textId="77777777">
                  <w:pPr>
                    <w:tabs>
                      <w:tab w:val="left" w:pos="360"/>
                    </w:tabs>
                    <w:rPr>
                      <w:sz w:val="22"/>
                      <w:szCs w:val="22"/>
                    </w:rPr>
                  </w:pPr>
                  <w:r w:rsidRPr="00262A76">
                    <w:rPr>
                      <w:sz w:val="22"/>
                      <w:szCs w:val="22"/>
                    </w:rPr>
                    <w:t>RAMP-</w:t>
                  </w:r>
                  <w:proofErr w:type="spellStart"/>
                  <w:r w:rsidRPr="00262A76">
                    <w:rPr>
                      <w:sz w:val="22"/>
                      <w:szCs w:val="22"/>
                    </w:rPr>
                    <w:t>Scp</w:t>
                  </w:r>
                  <w:proofErr w:type="spellEnd"/>
                </w:p>
              </w:tc>
              <w:tc>
                <w:tcPr>
                  <w:tcW w:w="6338" w:type="dxa"/>
                  <w:tcBorders>
                    <w:top w:val="nil"/>
                    <w:left w:val="nil"/>
                    <w:bottom w:val="nil"/>
                    <w:right w:val="nil"/>
                  </w:tcBorders>
                </w:tcPr>
                <w:p w:rsidR="00B61EDF" w:rsidP="00AF0FC9" w:rsidRDefault="00133A05" w14:paraId="22FAF9CD" w14:textId="77777777">
                  <w:pPr>
                    <w:tabs>
                      <w:tab w:val="left" w:pos="360"/>
                    </w:tabs>
                    <w:rPr>
                      <w:sz w:val="22"/>
                      <w:szCs w:val="22"/>
                    </w:rPr>
                  </w:pPr>
                  <w:r w:rsidRPr="00262A76">
                    <w:rPr>
                      <w:sz w:val="22"/>
                      <w:szCs w:val="22"/>
                    </w:rPr>
                    <w:t>ASSIGNED COMMISSIONER’S SCOPING MEMO</w:t>
                  </w:r>
                </w:p>
                <w:p w:rsidRPr="00262A76" w:rsidR="00133A05" w:rsidP="00B61EDF" w:rsidRDefault="00133A05" w14:paraId="4DE43498" w14:textId="54F3AB2E">
                  <w:pPr>
                    <w:tabs>
                      <w:tab w:val="left" w:pos="360"/>
                    </w:tabs>
                    <w:spacing w:after="120"/>
                    <w:rPr>
                      <w:sz w:val="22"/>
                      <w:szCs w:val="22"/>
                    </w:rPr>
                  </w:pPr>
                  <w:r w:rsidRPr="00262A76">
                    <w:rPr>
                      <w:sz w:val="22"/>
                      <w:szCs w:val="22"/>
                    </w:rPr>
                    <w:t>AND RULING (September 19, 2022)</w:t>
                  </w:r>
                </w:p>
              </w:tc>
            </w:tr>
            <w:tr w:rsidRPr="00262A76" w:rsidR="00133A05" w:rsidTr="00F10078" w14:paraId="4E697FFD" w14:textId="77777777">
              <w:trPr>
                <w:trHeight w:val="300"/>
              </w:trPr>
              <w:tc>
                <w:tcPr>
                  <w:tcW w:w="2228" w:type="dxa"/>
                  <w:tcBorders>
                    <w:top w:val="nil"/>
                    <w:left w:val="nil"/>
                    <w:bottom w:val="nil"/>
                    <w:right w:val="nil"/>
                  </w:tcBorders>
                  <w:noWrap/>
                </w:tcPr>
                <w:p w:rsidRPr="00262A76" w:rsidR="00133A05" w:rsidP="00AF0FC9" w:rsidRDefault="00133A05" w14:paraId="324BC188" w14:textId="77777777">
                  <w:pPr>
                    <w:tabs>
                      <w:tab w:val="left" w:pos="360"/>
                    </w:tabs>
                    <w:rPr>
                      <w:sz w:val="22"/>
                      <w:szCs w:val="22"/>
                    </w:rPr>
                  </w:pPr>
                  <w:r w:rsidRPr="00262A76">
                    <w:rPr>
                      <w:sz w:val="22"/>
                      <w:szCs w:val="22"/>
                    </w:rPr>
                    <w:t>RAMP-MGRA-</w:t>
                  </w:r>
                  <w:proofErr w:type="spellStart"/>
                  <w:r w:rsidRPr="00262A76">
                    <w:rPr>
                      <w:sz w:val="22"/>
                      <w:szCs w:val="22"/>
                    </w:rPr>
                    <w:t>ScBf</w:t>
                  </w:r>
                  <w:proofErr w:type="spellEnd"/>
                </w:p>
              </w:tc>
              <w:tc>
                <w:tcPr>
                  <w:tcW w:w="6338" w:type="dxa"/>
                  <w:tcBorders>
                    <w:top w:val="nil"/>
                    <w:left w:val="nil"/>
                    <w:bottom w:val="nil"/>
                    <w:right w:val="nil"/>
                  </w:tcBorders>
                </w:tcPr>
                <w:p w:rsidR="00B61EDF" w:rsidP="00AF0FC9" w:rsidRDefault="00133A05" w14:paraId="14C2D3CD" w14:textId="77777777">
                  <w:pPr>
                    <w:tabs>
                      <w:tab w:val="left" w:pos="360"/>
                    </w:tabs>
                    <w:rPr>
                      <w:sz w:val="22"/>
                      <w:szCs w:val="22"/>
                    </w:rPr>
                  </w:pPr>
                  <w:r w:rsidRPr="00262A76">
                    <w:rPr>
                      <w:sz w:val="22"/>
                      <w:szCs w:val="22"/>
                    </w:rPr>
                    <w:t>MUSSEY GRADE ROAD ALLIANCE BRIEF</w:t>
                  </w:r>
                </w:p>
                <w:p w:rsidR="00B61EDF" w:rsidP="00AF0FC9" w:rsidRDefault="00133A05" w14:paraId="106B9F24" w14:textId="77777777">
                  <w:pPr>
                    <w:tabs>
                      <w:tab w:val="left" w:pos="360"/>
                    </w:tabs>
                    <w:rPr>
                      <w:sz w:val="22"/>
                      <w:szCs w:val="22"/>
                    </w:rPr>
                  </w:pPr>
                  <w:r w:rsidRPr="00262A76">
                    <w:rPr>
                      <w:sz w:val="22"/>
                      <w:szCs w:val="22"/>
                    </w:rPr>
                    <w:t>REGARDING SOUTHERN CALIFORNIA EDISON</w:t>
                  </w:r>
                </w:p>
                <w:p w:rsidR="00B61EDF" w:rsidP="00AF0FC9" w:rsidRDefault="00133A05" w14:paraId="4F54068D" w14:textId="77777777">
                  <w:pPr>
                    <w:tabs>
                      <w:tab w:val="left" w:pos="360"/>
                    </w:tabs>
                    <w:rPr>
                      <w:sz w:val="22"/>
                      <w:szCs w:val="22"/>
                    </w:rPr>
                  </w:pPr>
                  <w:r w:rsidRPr="00262A76">
                    <w:rPr>
                      <w:sz w:val="22"/>
                      <w:szCs w:val="22"/>
                    </w:rPr>
                    <w:t>COMPANY 2022 RISK ASSESSMENT AND</w:t>
                  </w:r>
                </w:p>
                <w:p w:rsidR="00B61EDF" w:rsidP="00AF0FC9" w:rsidRDefault="00133A05" w14:paraId="5ACD8B53" w14:textId="77777777">
                  <w:pPr>
                    <w:tabs>
                      <w:tab w:val="left" w:pos="360"/>
                    </w:tabs>
                    <w:rPr>
                      <w:sz w:val="22"/>
                      <w:szCs w:val="22"/>
                    </w:rPr>
                  </w:pPr>
                  <w:r w:rsidRPr="00262A76">
                    <w:rPr>
                      <w:sz w:val="22"/>
                      <w:szCs w:val="22"/>
                    </w:rPr>
                    <w:t>MITIGATION PHASE REPORT SCOPING</w:t>
                  </w:r>
                </w:p>
                <w:p w:rsidRPr="00262A76" w:rsidR="00133A05" w:rsidP="00B61EDF" w:rsidRDefault="00133A05" w14:paraId="1F4C551A" w14:textId="4C5B04A2">
                  <w:pPr>
                    <w:tabs>
                      <w:tab w:val="left" w:pos="360"/>
                    </w:tabs>
                    <w:spacing w:after="120"/>
                    <w:rPr>
                      <w:sz w:val="22"/>
                      <w:szCs w:val="22"/>
                    </w:rPr>
                  </w:pPr>
                  <w:r w:rsidRPr="00262A76">
                    <w:rPr>
                      <w:sz w:val="22"/>
                      <w:szCs w:val="22"/>
                    </w:rPr>
                    <w:t>(August 22, 2022)</w:t>
                  </w:r>
                </w:p>
              </w:tc>
            </w:tr>
            <w:tr w:rsidRPr="00262A76" w:rsidR="00133A05" w:rsidTr="00F10078" w14:paraId="5E265DA2" w14:textId="77777777">
              <w:trPr>
                <w:trHeight w:val="300"/>
              </w:trPr>
              <w:tc>
                <w:tcPr>
                  <w:tcW w:w="2228" w:type="dxa"/>
                  <w:tcBorders>
                    <w:top w:val="nil"/>
                    <w:left w:val="nil"/>
                    <w:bottom w:val="nil"/>
                    <w:right w:val="nil"/>
                  </w:tcBorders>
                  <w:noWrap/>
                </w:tcPr>
                <w:p w:rsidRPr="00262A76" w:rsidR="00133A05" w:rsidP="00AF0FC9" w:rsidRDefault="00133A05" w14:paraId="405FF9EE" w14:textId="77777777">
                  <w:pPr>
                    <w:tabs>
                      <w:tab w:val="left" w:pos="360"/>
                    </w:tabs>
                    <w:rPr>
                      <w:sz w:val="22"/>
                      <w:szCs w:val="22"/>
                    </w:rPr>
                  </w:pPr>
                  <w:r w:rsidRPr="00262A76">
                    <w:rPr>
                      <w:sz w:val="22"/>
                      <w:szCs w:val="22"/>
                    </w:rPr>
                    <w:t>RAMP-MGRA-</w:t>
                  </w:r>
                  <w:proofErr w:type="spellStart"/>
                  <w:r w:rsidRPr="00262A76">
                    <w:rPr>
                      <w:sz w:val="22"/>
                      <w:szCs w:val="22"/>
                    </w:rPr>
                    <w:t>Rsp</w:t>
                  </w:r>
                  <w:proofErr w:type="spellEnd"/>
                </w:p>
              </w:tc>
              <w:tc>
                <w:tcPr>
                  <w:tcW w:w="6338" w:type="dxa"/>
                  <w:tcBorders>
                    <w:top w:val="nil"/>
                    <w:left w:val="nil"/>
                    <w:bottom w:val="nil"/>
                    <w:right w:val="nil"/>
                  </w:tcBorders>
                </w:tcPr>
                <w:p w:rsidR="00B61EDF" w:rsidP="00AF0FC9" w:rsidRDefault="00133A05" w14:paraId="75FB41B5" w14:textId="77777777">
                  <w:pPr>
                    <w:tabs>
                      <w:tab w:val="left" w:pos="360"/>
                    </w:tabs>
                    <w:rPr>
                      <w:sz w:val="22"/>
                      <w:szCs w:val="22"/>
                    </w:rPr>
                  </w:pPr>
                  <w:r w:rsidRPr="00262A76">
                    <w:rPr>
                      <w:sz w:val="22"/>
                      <w:szCs w:val="22"/>
                    </w:rPr>
                    <w:t>MUSSEY GRADE ROAD ALLIANCE RESPONSE</w:t>
                  </w:r>
                </w:p>
                <w:p w:rsidR="008963D3" w:rsidP="00AF0FC9" w:rsidRDefault="00133A05" w14:paraId="37937C7C" w14:textId="77777777">
                  <w:pPr>
                    <w:tabs>
                      <w:tab w:val="left" w:pos="360"/>
                    </w:tabs>
                    <w:rPr>
                      <w:sz w:val="22"/>
                      <w:szCs w:val="22"/>
                    </w:rPr>
                  </w:pPr>
                  <w:r w:rsidRPr="00262A76">
                    <w:rPr>
                      <w:sz w:val="22"/>
                      <w:szCs w:val="22"/>
                    </w:rPr>
                    <w:t>TO SOUTHERN CALIFORNIA EDISON</w:t>
                  </w:r>
                </w:p>
                <w:p w:rsidR="008963D3" w:rsidP="00AF0FC9" w:rsidRDefault="00133A05" w14:paraId="5AB41F03" w14:textId="77777777">
                  <w:pPr>
                    <w:tabs>
                      <w:tab w:val="left" w:pos="360"/>
                    </w:tabs>
                    <w:rPr>
                      <w:sz w:val="22"/>
                      <w:szCs w:val="22"/>
                    </w:rPr>
                  </w:pPr>
                  <w:r w:rsidRPr="00262A76">
                    <w:rPr>
                      <w:sz w:val="22"/>
                      <w:szCs w:val="22"/>
                    </w:rPr>
                    <w:t>COMPANY 2022 RISK ASSESSMENT AND</w:t>
                  </w:r>
                </w:p>
                <w:p w:rsidRPr="00262A76" w:rsidR="00133A05" w:rsidP="00AF0FC9" w:rsidRDefault="00133A05" w14:paraId="3D040451" w14:textId="25E4EF11">
                  <w:pPr>
                    <w:tabs>
                      <w:tab w:val="left" w:pos="360"/>
                    </w:tabs>
                    <w:rPr>
                      <w:sz w:val="22"/>
                      <w:szCs w:val="22"/>
                    </w:rPr>
                  </w:pPr>
                  <w:r w:rsidRPr="00262A76">
                    <w:rPr>
                      <w:sz w:val="22"/>
                      <w:szCs w:val="22"/>
                    </w:rPr>
                    <w:t>MITIGATION PHASE REPORT (June 13, 2022)</w:t>
                  </w:r>
                </w:p>
              </w:tc>
            </w:tr>
          </w:tbl>
          <w:p w:rsidR="00133A05" w:rsidP="00AF0FC9" w:rsidRDefault="00133A05" w14:paraId="00E2F143" w14:textId="77777777">
            <w:pPr>
              <w:tabs>
                <w:tab w:val="left" w:pos="360"/>
              </w:tabs>
              <w:rPr>
                <w:rFonts w:ascii="Arial" w:hAnsi="Arial" w:cs="Arial"/>
                <w:b/>
                <w:bCs/>
                <w:sz w:val="20"/>
                <w:szCs w:val="20"/>
              </w:rPr>
            </w:pPr>
          </w:p>
        </w:tc>
        <w:tc>
          <w:tcPr>
            <w:tcW w:w="1701" w:type="dxa"/>
          </w:tcPr>
          <w:p w:rsidRPr="007F620E" w:rsidR="00133A05" w:rsidP="00B61EDF" w:rsidRDefault="00133A05" w14:paraId="1D4E4FEA" w14:textId="77777777">
            <w:pPr>
              <w:tabs>
                <w:tab w:val="left" w:pos="360"/>
              </w:tabs>
              <w:spacing w:before="120"/>
              <w:jc w:val="center"/>
              <w:rPr>
                <w:color w:val="000000"/>
              </w:rPr>
            </w:pPr>
            <w:r>
              <w:rPr>
                <w:color w:val="000000"/>
              </w:rPr>
              <w:lastRenderedPageBreak/>
              <w:t>Noted</w:t>
            </w:r>
          </w:p>
        </w:tc>
      </w:tr>
    </w:tbl>
    <w:p w:rsidRPr="003B6A1B" w:rsidR="00A92D0B" w:rsidP="0067412B" w:rsidRDefault="00A92D0B" w14:paraId="48FE39F8" w14:textId="66589C23">
      <w:pPr>
        <w:pStyle w:val="Style1forICOMPS"/>
        <w:spacing w:before="360" w:after="120"/>
        <w:rPr>
          <w:i/>
          <w:u w:val="single"/>
        </w:rPr>
      </w:pPr>
      <w:r w:rsidRPr="007F620E">
        <w:t>PART III:</w:t>
      </w:r>
      <w:r w:rsidR="0067412B">
        <w:t>  </w:t>
      </w:r>
      <w:r w:rsidRPr="007F620E">
        <w:t>REASONABLENESS OF REQUESTED COMPENSATION</w:t>
      </w:r>
    </w:p>
    <w:p w:rsidRPr="007F620E" w:rsidR="00A92D0B" w:rsidP="00FD6827" w:rsidRDefault="00A92D0B" w14:paraId="6F74DAE2" w14:textId="55D7649D">
      <w:pPr>
        <w:pStyle w:val="Style1forICOMPS"/>
        <w:numPr>
          <w:ilvl w:val="0"/>
          <w:numId w:val="14"/>
        </w:numPr>
        <w:spacing w:after="120"/>
        <w:ind w:left="360"/>
        <w:jc w:val="left"/>
      </w:pPr>
      <w:r w:rsidRPr="007F620E">
        <w:t xml:space="preserve">General Claim of Reasonableness </w:t>
      </w:r>
      <w:r w:rsidRPr="007F620E" w:rsidR="00F30DA8">
        <w:t>(§</w:t>
      </w:r>
      <w:r w:rsidRPr="008963D3" w:rsidR="008963D3">
        <w:t>§</w:t>
      </w:r>
      <w:r w:rsidRPr="007F620E" w:rsidR="00F30DA8">
        <w:t xml:space="preserve"> </w:t>
      </w:r>
      <w:r w:rsidRPr="007F620E">
        <w:t xml:space="preserve">1801 </w:t>
      </w:r>
      <w:r w:rsidRPr="007F620E" w:rsidR="00F30DA8">
        <w:t>and</w:t>
      </w:r>
      <w:r w:rsidR="0022302F">
        <w:t xml:space="preserve"> 1806)</w:t>
      </w:r>
      <w:r w:rsidR="00C02649">
        <w:t>:</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047"/>
      </w:tblGrid>
      <w:tr w:rsidRPr="007F620E" w:rsidR="00FE3BAE" w:rsidTr="008963D3"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047" w:type="dxa"/>
            <w:shd w:val="clear" w:color="auto" w:fill="D9D9D9" w:themeFill="background1" w:themeFillShade="D9"/>
            <w:vAlign w:val="center"/>
          </w:tcPr>
          <w:p w:rsidRPr="00FE3BAE" w:rsidR="00FE3BAE" w:rsidP="008963D3" w:rsidRDefault="008963D3" w14:paraId="59CD9FCF" w14:textId="10F0D48E">
            <w:pPr>
              <w:jc w:val="center"/>
              <w:rPr>
                <w:color w:val="000000"/>
              </w:rPr>
            </w:pPr>
            <w:r w:rsidRPr="007F620E">
              <w:rPr>
                <w:b/>
                <w:color w:val="000000"/>
              </w:rPr>
              <w:t>CPUC DISCUSSION</w:t>
            </w:r>
          </w:p>
        </w:tc>
      </w:tr>
      <w:tr w:rsidRPr="007F620E" w:rsidR="00FE3BAE" w:rsidTr="008963D3" w14:paraId="5708510E" w14:textId="77777777">
        <w:tc>
          <w:tcPr>
            <w:tcW w:w="7488" w:type="dxa"/>
            <w:tcBorders>
              <w:bottom w:val="single" w:color="auto" w:sz="4" w:space="0"/>
            </w:tcBorders>
          </w:tcPr>
          <w:p w:rsidR="00691528" w:rsidP="008963D3" w:rsidRDefault="00FE3BAE" w14:paraId="6A25116A" w14:textId="46526559">
            <w:pPr>
              <w:spacing w:after="120"/>
              <w:rPr>
                <w:color w:val="000000"/>
              </w:rPr>
            </w:pPr>
            <w:r w:rsidRPr="007F620E">
              <w:rPr>
                <w:b/>
                <w:color w:val="000000"/>
              </w:rPr>
              <w:t>a. Intervenor’s claim of cost reasonableness:</w:t>
            </w:r>
          </w:p>
          <w:p w:rsidR="006C6937" w:rsidP="008963D3" w:rsidRDefault="006C6937" w14:paraId="4AB265CF" w14:textId="16E58CED">
            <w:pPr>
              <w:spacing w:after="120"/>
              <w:rPr>
                <w:color w:val="000000"/>
              </w:rPr>
            </w:pPr>
            <w:r w:rsidRPr="003B3A9D">
              <w:rPr>
                <w:color w:val="000000"/>
              </w:rPr>
              <w:t xml:space="preserve">Over </w:t>
            </w:r>
            <w:r>
              <w:rPr>
                <w:color w:val="000000"/>
              </w:rPr>
              <w:t>the past two decades</w:t>
            </w:r>
            <w:r w:rsidRPr="003B3A9D">
              <w:rPr>
                <w:color w:val="000000"/>
              </w:rPr>
              <w:t xml:space="preserve">, utility-caused wildfires have resulted in </w:t>
            </w:r>
            <w:r>
              <w:rPr>
                <w:color w:val="000000"/>
              </w:rPr>
              <w:t>scores of deaths</w:t>
            </w:r>
            <w:r w:rsidRPr="003B3A9D">
              <w:rPr>
                <w:color w:val="000000"/>
              </w:rPr>
              <w:t xml:space="preserve"> and damages over $</w:t>
            </w:r>
            <w:r>
              <w:rPr>
                <w:color w:val="000000"/>
              </w:rPr>
              <w:t>3</w:t>
            </w:r>
            <w:r w:rsidRPr="003B3A9D">
              <w:rPr>
                <w:color w:val="000000"/>
              </w:rPr>
              <w:t>0 billion.</w:t>
            </w:r>
            <w:r>
              <w:rPr>
                <w:color w:val="000000"/>
              </w:rPr>
              <w:t xml:space="preserve"> The primary goal of the Mussey Grade Road Alliance in its interventions since 2007 has been to identify utility wildfire risks and to identify cost-effective strategies to prevent them. In the context of wildfire risk, any strategy that reduces risk and does </w:t>
            </w:r>
            <w:r>
              <w:rPr>
                <w:color w:val="000000"/>
              </w:rPr>
              <w:lastRenderedPageBreak/>
              <w:t xml:space="preserve">so at a reasonable cost provides a tremendous benefit to ratepayers. </w:t>
            </w:r>
            <w:r w:rsidRPr="003B3A9D">
              <w:rPr>
                <w:color w:val="000000"/>
              </w:rPr>
              <w:t>MGRA’s expert, Joseph W. Mitchell, has been providing technical analysis of utility data and has published academic works on this subject</w:t>
            </w:r>
            <w:r>
              <w:rPr>
                <w:color w:val="000000"/>
              </w:rPr>
              <w:t>, and has made numerous contributions to fire safety that have been recognized by the Commission. MGRA contributions were limited to areas in which we could provide unique, quantitative contributions.</w:t>
            </w:r>
          </w:p>
          <w:p w:rsidR="006C6937" w:rsidP="008963D3" w:rsidRDefault="006C6937" w14:paraId="31C64C4C" w14:textId="7F5C2135">
            <w:pPr>
              <w:spacing w:after="120"/>
              <w:rPr>
                <w:color w:val="000000"/>
              </w:rPr>
            </w:pPr>
            <w:r>
              <w:rPr>
                <w:color w:val="000000"/>
              </w:rPr>
              <w:t>Dr. Mitchell’s requested compensation rate reflects his 33 years of work as a Level V Physicist and his 18 years of work on Commission proceedings.</w:t>
            </w:r>
          </w:p>
          <w:p w:rsidR="006C6937" w:rsidP="008963D3" w:rsidRDefault="006C6937" w14:paraId="3D568B4B" w14:textId="0C72E88A">
            <w:pPr>
              <w:spacing w:after="120"/>
              <w:rPr>
                <w:color w:val="000000"/>
              </w:rPr>
            </w:pPr>
            <w:r w:rsidRPr="00D5625F">
              <w:rPr>
                <w:color w:val="000000"/>
              </w:rPr>
              <w:t>While it is hard to accurately quantify the extent to which MGRA’s contribution will decrease future risk and costs, even an incremental contribution, when multiplied by the avoided losses, vastly exceeds the compensation being requested by the Alliance.</w:t>
            </w:r>
          </w:p>
          <w:p w:rsidR="006C6937" w:rsidP="008963D3" w:rsidRDefault="006C6937" w14:paraId="4C465760" w14:textId="2F4FBA65">
            <w:pPr>
              <w:spacing w:after="120"/>
              <w:rPr>
                <w:color w:val="000000"/>
              </w:rPr>
            </w:pPr>
            <w:r w:rsidRPr="00B17573">
              <w:rPr>
                <w:color w:val="000000"/>
              </w:rPr>
              <w:t>MGRA’s technical input contributed substantially to the Commission’s determination to substantially scale back SCE’s requested undergrounding program, reducing</w:t>
            </w:r>
            <w:r>
              <w:rPr>
                <w:color w:val="000000"/>
              </w:rPr>
              <w:t xml:space="preserve"> their request from the original 685 miles to 212 miles and replacing it with covered conductor, at a savings of approximately $2 million per mile, or a total savings of $800 million. While it is not possible to estimate with certainty how much MGRA’s contributions weighed into the Commission’s Decision, even if the fraction were less than 10% this would still be equivalent of many millions of dollars, which far exceeds MGRA’s compensation claim.</w:t>
            </w:r>
          </w:p>
          <w:p w:rsidR="006C6937" w:rsidP="008963D3" w:rsidRDefault="006C6937" w14:paraId="1BDF8C28" w14:textId="20AE7A61">
            <w:pPr>
              <w:spacing w:after="120"/>
              <w:rPr>
                <w:color w:val="000000"/>
              </w:rPr>
            </w:pPr>
            <w:r w:rsidRPr="00B17573">
              <w:rPr>
                <w:color w:val="000000"/>
              </w:rPr>
              <w:t>MGRA’s inputs during the RAMP phase also contributed to changes in the SDG&amp;E risk analysis that improved safety and will lead to further safety improvements</w:t>
            </w:r>
            <w:r>
              <w:rPr>
                <w:color w:val="000000"/>
              </w:rPr>
              <w:t xml:space="preserve"> by allowing a more accurate assessment of geographical risk distribution. Given the potential for extreme losses, even a marginal improvement in safety provides substantial benefit.</w:t>
            </w:r>
          </w:p>
          <w:p w:rsidRPr="003D4455" w:rsidR="00FE3BAE" w:rsidP="006C6937" w:rsidRDefault="006C6937" w14:paraId="2B1A1242" w14:textId="740533AD">
            <w:pPr>
              <w:rPr>
                <w:color w:val="000000"/>
              </w:rPr>
            </w:pPr>
            <w:r>
              <w:rPr>
                <w:sz w:val="23"/>
                <w:szCs w:val="23"/>
              </w:rPr>
              <w:t>For 2025, MGRA requests an escalation of Dr. Mitchell’s hourly rate of 3.46% based on the Hourly Rate Chart of 2/13/2025. This would increase Dr.</w:t>
            </w:r>
            <w:r w:rsidR="008963D3">
              <w:rPr>
                <w:sz w:val="23"/>
                <w:szCs w:val="23"/>
              </w:rPr>
              <w:t> </w:t>
            </w:r>
            <w:r>
              <w:rPr>
                <w:sz w:val="23"/>
                <w:szCs w:val="23"/>
              </w:rPr>
              <w:t>Mitchell’s rate for 2025 to $471.</w:t>
            </w:r>
          </w:p>
        </w:tc>
        <w:tc>
          <w:tcPr>
            <w:tcW w:w="2047" w:type="dxa"/>
          </w:tcPr>
          <w:p w:rsidRPr="00FE3BAE" w:rsidR="00FE3BAE" w:rsidP="00EC6387" w:rsidRDefault="00EE7CCD" w14:paraId="223B4665" w14:textId="5A541FF9">
            <w:pPr>
              <w:rPr>
                <w:color w:val="000000"/>
              </w:rPr>
            </w:pPr>
            <w:r w:rsidRPr="00B33DED">
              <w:rPr>
                <w:color w:val="000000"/>
              </w:rPr>
              <w:lastRenderedPageBreak/>
              <w:t>After the adjustments made to this claim the remainder of the</w:t>
            </w:r>
            <w:r w:rsidR="008963D3">
              <w:rPr>
                <w:color w:val="000000"/>
              </w:rPr>
              <w:t xml:space="preserve"> </w:t>
            </w:r>
            <w:r w:rsidRPr="00B33DED">
              <w:rPr>
                <w:color w:val="000000"/>
              </w:rPr>
              <w:t>claimed</w:t>
            </w:r>
            <w:r w:rsidR="008963D3">
              <w:rPr>
                <w:color w:val="000000"/>
              </w:rPr>
              <w:t xml:space="preserve"> </w:t>
            </w:r>
            <w:r w:rsidRPr="00B33DED">
              <w:rPr>
                <w:color w:val="000000"/>
              </w:rPr>
              <w:t>costs</w:t>
            </w:r>
            <w:r w:rsidR="008963D3">
              <w:rPr>
                <w:color w:val="000000"/>
              </w:rPr>
              <w:t xml:space="preserve"> </w:t>
            </w:r>
            <w:r w:rsidRPr="00B33DED">
              <w:rPr>
                <w:color w:val="000000"/>
              </w:rPr>
              <w:t>are</w:t>
            </w:r>
            <w:r w:rsidR="008963D3">
              <w:rPr>
                <w:color w:val="000000"/>
              </w:rPr>
              <w:t xml:space="preserve"> </w:t>
            </w:r>
            <w:r w:rsidRPr="00B33DED">
              <w:rPr>
                <w:color w:val="000000"/>
              </w:rPr>
              <w:t>reasonable. </w:t>
            </w:r>
            <w:r w:rsidR="008963D3">
              <w:rPr>
                <w:color w:val="000000"/>
              </w:rPr>
              <w:t xml:space="preserve"> </w:t>
            </w:r>
            <w:r w:rsidRPr="00B33DED">
              <w:rPr>
                <w:i/>
                <w:iCs/>
                <w:color w:val="000000"/>
              </w:rPr>
              <w:t>See</w:t>
            </w:r>
            <w:r w:rsidRPr="00B33DED">
              <w:rPr>
                <w:color w:val="000000"/>
              </w:rPr>
              <w:t> Part III.D.</w:t>
            </w:r>
          </w:p>
        </w:tc>
      </w:tr>
      <w:tr w:rsidRPr="007F620E" w:rsidR="00FE3BAE" w:rsidTr="008963D3" w14:paraId="5548029C" w14:textId="77777777">
        <w:tc>
          <w:tcPr>
            <w:tcW w:w="7488" w:type="dxa"/>
          </w:tcPr>
          <w:p w:rsidRPr="00E25078" w:rsidR="00FE3BAE" w:rsidP="00EC6387" w:rsidRDefault="00FE3BAE" w14:paraId="751A610C" w14:textId="685B7C48">
            <w:pPr>
              <w:rPr>
                <w:color w:val="000000"/>
              </w:rPr>
            </w:pPr>
            <w:r w:rsidRPr="007F620E">
              <w:rPr>
                <w:b/>
                <w:color w:val="000000"/>
              </w:rPr>
              <w:t>b. Reasonableness of hours claimed:</w:t>
            </w:r>
          </w:p>
          <w:p w:rsidRPr="00D5625F" w:rsidR="006C6937" w:rsidP="008963D3" w:rsidRDefault="006C6937" w14:paraId="1D3BD3B5" w14:textId="60998BDD">
            <w:pPr>
              <w:spacing w:after="120"/>
              <w:rPr>
                <w:color w:val="000000"/>
              </w:rPr>
            </w:pPr>
            <w:r w:rsidRPr="00D5625F">
              <w:rPr>
                <w:color w:val="000000"/>
              </w:rPr>
              <w:t>MGRA was careful to limit its participation to areas in which its expert could make a unique and substantive contribution, and to procedural areas of vital interest to the success of the proceeding.</w:t>
            </w:r>
            <w:r>
              <w:rPr>
                <w:color w:val="000000"/>
              </w:rPr>
              <w:t xml:space="preserve"> In the case of the present phase of the proceeding, MGRA only engaged in a few topics, and thus presents a very modest compensation request.</w:t>
            </w:r>
          </w:p>
          <w:p w:rsidRPr="007F620E" w:rsidR="00691528" w:rsidP="006C6937" w:rsidRDefault="006C6937" w14:paraId="694F0B63" w14:textId="4D79D1E5">
            <w:pPr>
              <w:rPr>
                <w:color w:val="000000"/>
              </w:rPr>
            </w:pPr>
            <w:r w:rsidRPr="00D5625F">
              <w:rPr>
                <w:color w:val="000000"/>
              </w:rPr>
              <w:t xml:space="preserve">Dr. Mitchell has been intervening on fire safety issues before the Commission since 2007.  </w:t>
            </w:r>
            <w:r>
              <w:rPr>
                <w:color w:val="000000"/>
              </w:rPr>
              <w:t>He participated in the previous GRC and RAMP proceedings of PG&amp;E, SDG&amp;E, and SCE.  He was therefore well-prepared for this proceeding and was able to efficiently identify and concentrate on key issues that needed attention.</w:t>
            </w:r>
          </w:p>
        </w:tc>
        <w:tc>
          <w:tcPr>
            <w:tcW w:w="2047" w:type="dxa"/>
          </w:tcPr>
          <w:p w:rsidR="008963D3" w:rsidP="00EC6387" w:rsidRDefault="00EE7CCD" w14:paraId="4F670014" w14:textId="3D7ADBCD">
            <w:pPr>
              <w:rPr>
                <w:color w:val="000000"/>
              </w:rPr>
            </w:pPr>
            <w:r w:rsidRPr="00B33DED">
              <w:rPr>
                <w:color w:val="000000"/>
              </w:rPr>
              <w:t>After the adjustments made to this claim the remainder of the</w:t>
            </w:r>
            <w:r w:rsidR="008963D3">
              <w:rPr>
                <w:color w:val="000000"/>
              </w:rPr>
              <w:t xml:space="preserve"> </w:t>
            </w:r>
            <w:r w:rsidRPr="00B33DED">
              <w:rPr>
                <w:color w:val="000000"/>
              </w:rPr>
              <w:t>claimed </w:t>
            </w:r>
            <w:r>
              <w:rPr>
                <w:color w:val="000000"/>
              </w:rPr>
              <w:t>hour</w:t>
            </w:r>
            <w:r w:rsidRPr="00B33DED">
              <w:rPr>
                <w:color w:val="000000"/>
              </w:rPr>
              <w:t>s </w:t>
            </w:r>
          </w:p>
          <w:p w:rsidR="008963D3" w:rsidP="00EC6387" w:rsidRDefault="008963D3" w14:paraId="6677B406" w14:textId="3CB7A2DA">
            <w:pPr>
              <w:rPr>
                <w:color w:val="000000"/>
              </w:rPr>
            </w:pPr>
            <w:r w:rsidRPr="00B33DED">
              <w:rPr>
                <w:color w:val="000000"/>
              </w:rPr>
              <w:t>A</w:t>
            </w:r>
            <w:r w:rsidRPr="00B33DED" w:rsidR="00EE7CCD">
              <w:rPr>
                <w:color w:val="000000"/>
              </w:rPr>
              <w:t>re</w:t>
            </w:r>
            <w:r>
              <w:rPr>
                <w:color w:val="000000"/>
              </w:rPr>
              <w:t xml:space="preserve"> </w:t>
            </w:r>
            <w:r w:rsidRPr="00B33DED" w:rsidR="00EE7CCD">
              <w:rPr>
                <w:color w:val="000000"/>
              </w:rPr>
              <w:t>reasonable.</w:t>
            </w:r>
          </w:p>
          <w:p w:rsidRPr="007F620E" w:rsidR="00FE3BAE" w:rsidP="00EC6387" w:rsidRDefault="00EE7CCD" w14:paraId="1874D625" w14:textId="6BEF6720">
            <w:pPr>
              <w:rPr>
                <w:color w:val="000000"/>
              </w:rPr>
            </w:pPr>
            <w:r w:rsidRPr="00B33DED">
              <w:rPr>
                <w:i/>
                <w:iCs/>
                <w:color w:val="000000"/>
              </w:rPr>
              <w:t>See</w:t>
            </w:r>
            <w:r w:rsidRPr="00B33DED">
              <w:rPr>
                <w:color w:val="000000"/>
              </w:rPr>
              <w:t> Part III.D. </w:t>
            </w:r>
          </w:p>
        </w:tc>
      </w:tr>
      <w:tr w:rsidRPr="007F620E" w:rsidR="00FE3BAE" w:rsidTr="008963D3" w14:paraId="3FD38B74" w14:textId="77777777">
        <w:tc>
          <w:tcPr>
            <w:tcW w:w="7488" w:type="dxa"/>
          </w:tcPr>
          <w:p w:rsidRPr="00691528" w:rsidR="00FE3BAE" w:rsidP="008963D3" w:rsidRDefault="00FE3BAE" w14:paraId="78501013" w14:textId="7D979910">
            <w:pPr>
              <w:spacing w:after="120"/>
              <w:rPr>
                <w:color w:val="000000"/>
              </w:rPr>
            </w:pPr>
            <w:r w:rsidRPr="007F620E">
              <w:rPr>
                <w:b/>
                <w:color w:val="000000"/>
              </w:rPr>
              <w:lastRenderedPageBreak/>
              <w:t>c. Allocation of hours by issue:</w:t>
            </w:r>
          </w:p>
          <w:p w:rsidRPr="00691528" w:rsidR="00557B88" w:rsidP="00557B88" w:rsidRDefault="00557B88" w14:paraId="07D3B1BF" w14:textId="495A3E06">
            <w:pPr>
              <w:rPr>
                <w:color w:val="000000"/>
              </w:rPr>
            </w:pPr>
            <w:r>
              <w:rPr>
                <w:color w:val="000000"/>
              </w:rPr>
              <w:t>2022:</w:t>
            </w:r>
          </w:p>
          <w:p w:rsidR="00557B88" w:rsidP="008963D3" w:rsidRDefault="00557B88" w14:paraId="0BBFCD4E" w14:textId="3BD7FDB6">
            <w:pPr>
              <w:spacing w:after="120"/>
              <w:rPr>
                <w:color w:val="000000"/>
              </w:rPr>
            </w:pPr>
            <w:proofErr w:type="spellStart"/>
            <w:r w:rsidRPr="008D19E7">
              <w:rPr>
                <w:color w:val="000000"/>
              </w:rPr>
              <w:t>G</w:t>
            </w:r>
            <w:r>
              <w:rPr>
                <w:color w:val="000000"/>
              </w:rPr>
              <w:t>Pr</w:t>
            </w:r>
            <w:proofErr w:type="spellEnd"/>
            <w:r w:rsidRPr="008D19E7">
              <w:rPr>
                <w:color w:val="000000"/>
              </w:rPr>
              <w:t xml:space="preserve">: </w:t>
            </w:r>
            <w:r>
              <w:rPr>
                <w:color w:val="000000"/>
              </w:rPr>
              <w:t xml:space="preserve">11.6  </w:t>
            </w:r>
            <w:proofErr w:type="spellStart"/>
            <w:r>
              <w:rPr>
                <w:color w:val="000000"/>
              </w:rPr>
              <w:t>Rsk</w:t>
            </w:r>
            <w:proofErr w:type="spellEnd"/>
            <w:r>
              <w:rPr>
                <w:color w:val="000000"/>
              </w:rPr>
              <w:t xml:space="preserve">: 38.0  IWMS: 2.3 </w:t>
            </w:r>
            <w:proofErr w:type="spellStart"/>
            <w:r>
              <w:rPr>
                <w:color w:val="000000"/>
              </w:rPr>
              <w:t>Wnd</w:t>
            </w:r>
            <w:proofErr w:type="spellEnd"/>
            <w:r>
              <w:rPr>
                <w:color w:val="000000"/>
              </w:rPr>
              <w:t xml:space="preserve">: 8.7 </w:t>
            </w:r>
            <w:proofErr w:type="spellStart"/>
            <w:r>
              <w:rPr>
                <w:color w:val="000000"/>
              </w:rPr>
              <w:t>Hdn</w:t>
            </w:r>
            <w:proofErr w:type="spellEnd"/>
            <w:r>
              <w:rPr>
                <w:color w:val="000000"/>
              </w:rPr>
              <w:t>: 8.1  Aff: 0.8  AT: 2.6</w:t>
            </w:r>
          </w:p>
          <w:p w:rsidRPr="00691528" w:rsidR="00557B88" w:rsidP="00557B88" w:rsidRDefault="00557B88" w14:paraId="5833D0F9" w14:textId="1479CECF">
            <w:pPr>
              <w:rPr>
                <w:color w:val="000000"/>
              </w:rPr>
            </w:pPr>
            <w:r>
              <w:rPr>
                <w:color w:val="000000"/>
              </w:rPr>
              <w:t>2023:</w:t>
            </w:r>
          </w:p>
          <w:p w:rsidR="00557B88" w:rsidP="008963D3" w:rsidRDefault="00557B88" w14:paraId="51CAD659" w14:textId="682D158B">
            <w:pPr>
              <w:spacing w:after="120"/>
              <w:rPr>
                <w:color w:val="000000"/>
              </w:rPr>
            </w:pPr>
            <w:proofErr w:type="spellStart"/>
            <w:r w:rsidRPr="008D19E7">
              <w:rPr>
                <w:color w:val="000000"/>
              </w:rPr>
              <w:t>G</w:t>
            </w:r>
            <w:r>
              <w:rPr>
                <w:color w:val="000000"/>
              </w:rPr>
              <w:t>Pr</w:t>
            </w:r>
            <w:proofErr w:type="spellEnd"/>
            <w:r w:rsidRPr="008D19E7">
              <w:rPr>
                <w:color w:val="000000"/>
              </w:rPr>
              <w:t xml:space="preserve">: </w:t>
            </w:r>
            <w:r>
              <w:rPr>
                <w:color w:val="000000"/>
              </w:rPr>
              <w:t xml:space="preserve">3.0  </w:t>
            </w:r>
            <w:proofErr w:type="spellStart"/>
            <w:r>
              <w:rPr>
                <w:color w:val="000000"/>
              </w:rPr>
              <w:t>Rsk</w:t>
            </w:r>
            <w:proofErr w:type="spellEnd"/>
            <w:r>
              <w:rPr>
                <w:color w:val="000000"/>
              </w:rPr>
              <w:t xml:space="preserve">: 4.9  IWMS: 5.5 </w:t>
            </w:r>
            <w:proofErr w:type="spellStart"/>
            <w:r>
              <w:rPr>
                <w:color w:val="000000"/>
              </w:rPr>
              <w:t>Wnd</w:t>
            </w:r>
            <w:proofErr w:type="spellEnd"/>
            <w:r>
              <w:rPr>
                <w:color w:val="000000"/>
              </w:rPr>
              <w:t xml:space="preserve">: 4.9 </w:t>
            </w:r>
            <w:proofErr w:type="spellStart"/>
            <w:r>
              <w:rPr>
                <w:color w:val="000000"/>
              </w:rPr>
              <w:t>Hdn</w:t>
            </w:r>
            <w:proofErr w:type="spellEnd"/>
            <w:r>
              <w:rPr>
                <w:color w:val="000000"/>
              </w:rPr>
              <w:t>: 2.5  Aff:  3.2 AT: 2.5</w:t>
            </w:r>
          </w:p>
          <w:p w:rsidRPr="00691528" w:rsidR="00557B88" w:rsidP="00557B88" w:rsidRDefault="00557B88" w14:paraId="6D8E0027" w14:textId="2BD1C059">
            <w:pPr>
              <w:rPr>
                <w:color w:val="000000"/>
              </w:rPr>
            </w:pPr>
            <w:r>
              <w:rPr>
                <w:color w:val="000000"/>
              </w:rPr>
              <w:t>2024:</w:t>
            </w:r>
          </w:p>
          <w:p w:rsidR="00557B88" w:rsidP="008963D3" w:rsidRDefault="00557B88" w14:paraId="674F8794" w14:textId="24A05AF3">
            <w:pPr>
              <w:spacing w:after="120"/>
              <w:rPr>
                <w:color w:val="000000"/>
              </w:rPr>
            </w:pPr>
            <w:proofErr w:type="spellStart"/>
            <w:r w:rsidRPr="008D19E7">
              <w:rPr>
                <w:color w:val="000000"/>
              </w:rPr>
              <w:t>G</w:t>
            </w:r>
            <w:r>
              <w:rPr>
                <w:color w:val="000000"/>
              </w:rPr>
              <w:t>Pr</w:t>
            </w:r>
            <w:proofErr w:type="spellEnd"/>
            <w:r w:rsidRPr="008D19E7">
              <w:rPr>
                <w:color w:val="000000"/>
              </w:rPr>
              <w:t xml:space="preserve">: </w:t>
            </w:r>
            <w:r>
              <w:rPr>
                <w:color w:val="000000"/>
              </w:rPr>
              <w:t xml:space="preserve">14.3 </w:t>
            </w:r>
            <w:proofErr w:type="spellStart"/>
            <w:r>
              <w:rPr>
                <w:color w:val="000000"/>
              </w:rPr>
              <w:t>Rsk</w:t>
            </w:r>
            <w:proofErr w:type="spellEnd"/>
            <w:r>
              <w:rPr>
                <w:color w:val="000000"/>
              </w:rPr>
              <w:t>: 32.</w:t>
            </w:r>
            <w:r w:rsidR="005D40D8">
              <w:rPr>
                <w:color w:val="000000"/>
              </w:rPr>
              <w:t>2</w:t>
            </w:r>
            <w:r>
              <w:rPr>
                <w:color w:val="000000"/>
              </w:rPr>
              <w:t xml:space="preserve"> IWMS: 43.</w:t>
            </w:r>
            <w:r w:rsidR="005D40D8">
              <w:rPr>
                <w:color w:val="000000"/>
              </w:rPr>
              <w:t>2</w:t>
            </w:r>
            <w:r>
              <w:rPr>
                <w:color w:val="000000"/>
              </w:rPr>
              <w:t xml:space="preserve"> </w:t>
            </w:r>
            <w:proofErr w:type="spellStart"/>
            <w:r>
              <w:rPr>
                <w:color w:val="000000"/>
              </w:rPr>
              <w:t>Wnd</w:t>
            </w:r>
            <w:proofErr w:type="spellEnd"/>
            <w:r>
              <w:rPr>
                <w:color w:val="000000"/>
              </w:rPr>
              <w:t xml:space="preserve">: 26.1 </w:t>
            </w:r>
            <w:proofErr w:type="spellStart"/>
            <w:r>
              <w:rPr>
                <w:color w:val="000000"/>
              </w:rPr>
              <w:t>Hdn</w:t>
            </w:r>
            <w:proofErr w:type="spellEnd"/>
            <w:r>
              <w:rPr>
                <w:color w:val="000000"/>
              </w:rPr>
              <w:t>: 58.</w:t>
            </w:r>
            <w:r w:rsidR="005D40D8">
              <w:rPr>
                <w:color w:val="000000"/>
              </w:rPr>
              <w:t>2</w:t>
            </w:r>
            <w:r>
              <w:rPr>
                <w:color w:val="000000"/>
              </w:rPr>
              <w:t xml:space="preserve">  Aff: 11.4  AT: 28.6</w:t>
            </w:r>
          </w:p>
          <w:p w:rsidRPr="00691528" w:rsidR="00557B88" w:rsidP="00557B88" w:rsidRDefault="00557B88" w14:paraId="71112E8D" w14:textId="54BA0C9C">
            <w:pPr>
              <w:rPr>
                <w:color w:val="000000"/>
              </w:rPr>
            </w:pPr>
            <w:r>
              <w:rPr>
                <w:color w:val="000000"/>
              </w:rPr>
              <w:t>2025:</w:t>
            </w:r>
          </w:p>
          <w:p w:rsidRPr="003D4455" w:rsidR="00557B88" w:rsidP="00557B88" w:rsidRDefault="00557B88" w14:paraId="3285939A" w14:textId="28E6CDD9">
            <w:pPr>
              <w:rPr>
                <w:color w:val="000000"/>
              </w:rPr>
            </w:pPr>
            <w:proofErr w:type="spellStart"/>
            <w:r w:rsidRPr="008D19E7">
              <w:rPr>
                <w:color w:val="000000"/>
              </w:rPr>
              <w:t>G</w:t>
            </w:r>
            <w:r>
              <w:rPr>
                <w:color w:val="000000"/>
              </w:rPr>
              <w:t>Pr</w:t>
            </w:r>
            <w:proofErr w:type="spellEnd"/>
            <w:r w:rsidRPr="008D19E7">
              <w:rPr>
                <w:color w:val="000000"/>
              </w:rPr>
              <w:t xml:space="preserve">: </w:t>
            </w:r>
            <w:r>
              <w:rPr>
                <w:color w:val="000000"/>
              </w:rPr>
              <w:t xml:space="preserve">0.5  </w:t>
            </w:r>
            <w:proofErr w:type="spellStart"/>
            <w:r>
              <w:rPr>
                <w:color w:val="000000"/>
              </w:rPr>
              <w:t>Rsk</w:t>
            </w:r>
            <w:proofErr w:type="spellEnd"/>
            <w:r>
              <w:rPr>
                <w:color w:val="000000"/>
              </w:rPr>
              <w:t xml:space="preserve">: 1.9  IWMS: 3.6 </w:t>
            </w:r>
            <w:proofErr w:type="spellStart"/>
            <w:r>
              <w:rPr>
                <w:color w:val="000000"/>
              </w:rPr>
              <w:t>Wnd</w:t>
            </w:r>
            <w:proofErr w:type="spellEnd"/>
            <w:r>
              <w:rPr>
                <w:color w:val="000000"/>
              </w:rPr>
              <w:t xml:space="preserve">: 4.3 </w:t>
            </w:r>
            <w:proofErr w:type="spellStart"/>
            <w:r>
              <w:rPr>
                <w:color w:val="000000"/>
              </w:rPr>
              <w:t>Hdn</w:t>
            </w:r>
            <w:proofErr w:type="spellEnd"/>
            <w:r>
              <w:rPr>
                <w:color w:val="000000"/>
              </w:rPr>
              <w:t>: 6.8  Aff: 0.1  AT: 1.9</w:t>
            </w:r>
          </w:p>
        </w:tc>
        <w:tc>
          <w:tcPr>
            <w:tcW w:w="2047" w:type="dxa"/>
          </w:tcPr>
          <w:p w:rsidRPr="007F620E" w:rsidR="00B865BE" w:rsidP="008963D3" w:rsidRDefault="00F26365" w14:paraId="497C4799" w14:textId="3A714343">
            <w:pPr>
              <w:pStyle w:val="ListBullet"/>
              <w:numPr>
                <w:ilvl w:val="0"/>
                <w:numId w:val="0"/>
              </w:numPr>
              <w:ind w:left="360" w:hanging="360"/>
              <w:jc w:val="center"/>
            </w:pPr>
            <w:r>
              <w:t>Noted</w:t>
            </w:r>
          </w:p>
        </w:tc>
      </w:tr>
    </w:tbl>
    <w:p w:rsidRPr="007F620E" w:rsidR="00A92D0B" w:rsidP="008D5BD7" w:rsidRDefault="00A92D0B" w14:paraId="710BC7D6" w14:textId="77777777">
      <w:pPr>
        <w:pStyle w:val="Style1forICOMPS"/>
        <w:numPr>
          <w:ilvl w:val="0"/>
          <w:numId w:val="14"/>
        </w:numPr>
        <w:spacing w:before="240" w:after="120"/>
        <w:ind w:left="360"/>
        <w:jc w:val="left"/>
      </w:pPr>
      <w:r w:rsidRPr="007F620E">
        <w:t>Specific Claim</w:t>
      </w:r>
      <w:r w:rsidR="00C02649">
        <w:t>:</w:t>
      </w:r>
      <w:r w:rsidRPr="007F620E" w:rsidR="00D075B1">
        <w:t>*</w:t>
      </w:r>
    </w:p>
    <w:tbl>
      <w:tblPr>
        <w:tblW w:w="10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
        <w:gridCol w:w="1299"/>
        <w:gridCol w:w="420"/>
        <w:gridCol w:w="300"/>
        <w:gridCol w:w="810"/>
        <w:gridCol w:w="990"/>
        <w:gridCol w:w="1530"/>
        <w:gridCol w:w="1350"/>
        <w:gridCol w:w="810"/>
        <w:gridCol w:w="1260"/>
        <w:gridCol w:w="1260"/>
      </w:tblGrid>
      <w:tr w:rsidRPr="007F620E" w:rsidR="00A92D0B" w:rsidTr="008B1F8D" w14:paraId="780664A2" w14:textId="77777777">
        <w:trPr>
          <w:tblHeader/>
          <w:jc w:val="center"/>
        </w:trPr>
        <w:tc>
          <w:tcPr>
            <w:tcW w:w="7195" w:type="dxa"/>
            <w:gridSpan w:val="8"/>
            <w:tcBorders>
              <w:bottom w:val="single" w:color="auto" w:sz="4" w:space="0"/>
              <w:right w:val="single" w:color="auto" w:sz="24" w:space="0"/>
            </w:tcBorders>
          </w:tcPr>
          <w:p w:rsidRPr="007F620E" w:rsidR="00A92D0B" w:rsidP="00DE3A5D" w:rsidRDefault="00466E6E" w14:paraId="6BFE54DA" w14:textId="2DA381D1">
            <w:pPr>
              <w:keepNext/>
              <w:keepLines/>
              <w:spacing w:before="60" w:after="60"/>
              <w:jc w:val="center"/>
              <w:rPr>
                <w:b/>
                <w:smallCaps/>
                <w:color w:val="000000"/>
              </w:rPr>
            </w:pPr>
            <w:r w:rsidRPr="007F620E">
              <w:rPr>
                <w:b/>
                <w:smallCaps/>
                <w:color w:val="000000"/>
              </w:rPr>
              <w:t>CLAIMED</w:t>
            </w:r>
          </w:p>
        </w:tc>
        <w:tc>
          <w:tcPr>
            <w:tcW w:w="3330" w:type="dxa"/>
            <w:gridSpan w:val="3"/>
            <w:tcBorders>
              <w:left w:val="single" w:color="auto" w:sz="24" w:space="0"/>
              <w:bottom w:val="single" w:color="auto" w:sz="4" w:space="0"/>
            </w:tcBorders>
          </w:tcPr>
          <w:p w:rsidRPr="007F620E" w:rsidR="00A92D0B" w:rsidP="00DE3A5D" w:rsidRDefault="00466E6E" w14:paraId="170A0FA1" w14:textId="4F83636C">
            <w:pPr>
              <w:keepNext/>
              <w:keepLines/>
              <w:spacing w:before="60" w:after="60"/>
              <w:jc w:val="center"/>
              <w:rPr>
                <w:b/>
                <w:smallCaps/>
                <w:color w:val="000000"/>
              </w:rPr>
            </w:pPr>
            <w:r w:rsidRPr="007F620E">
              <w:rPr>
                <w:b/>
                <w:smallCaps/>
                <w:color w:val="000000"/>
              </w:rPr>
              <w:t>CPUC AWARD</w:t>
            </w:r>
          </w:p>
        </w:tc>
      </w:tr>
      <w:tr w:rsidRPr="007F620E" w:rsidR="00A92D0B" w:rsidTr="00466E6E" w14:paraId="0F5B6CAA" w14:textId="77777777">
        <w:trPr>
          <w:jc w:val="center"/>
        </w:trPr>
        <w:tc>
          <w:tcPr>
            <w:tcW w:w="10525" w:type="dxa"/>
            <w:gridSpan w:val="11"/>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8B1F8D" w14:paraId="5A70C962" w14:textId="77777777">
        <w:trPr>
          <w:jc w:val="center"/>
        </w:trPr>
        <w:tc>
          <w:tcPr>
            <w:tcW w:w="1795" w:type="dxa"/>
            <w:gridSpan w:val="2"/>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720" w:type="dxa"/>
            <w:gridSpan w:val="2"/>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10" w:type="dxa"/>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9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530" w:type="dxa"/>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50" w:type="dxa"/>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810"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260"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260"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784F85" w:rsidTr="008B1F8D" w14:paraId="62E8A168" w14:textId="77777777">
        <w:trPr>
          <w:jc w:val="center"/>
        </w:trPr>
        <w:tc>
          <w:tcPr>
            <w:tcW w:w="1795" w:type="dxa"/>
            <w:gridSpan w:val="2"/>
          </w:tcPr>
          <w:p w:rsidRPr="007F620E" w:rsidR="00784F85" w:rsidP="00C83159" w:rsidRDefault="00C83159" w14:paraId="33EA8B38" w14:textId="143D0A25">
            <w:pPr>
              <w:tabs>
                <w:tab w:val="left" w:pos="1325"/>
              </w:tabs>
              <w:spacing w:before="60" w:after="60"/>
              <w:ind w:left="-115" w:right="-106"/>
              <w:jc w:val="center"/>
              <w:rPr>
                <w:color w:val="000000"/>
              </w:rPr>
            </w:pPr>
            <w:r w:rsidRPr="005812EB">
              <w:rPr>
                <w:color w:val="000000"/>
                <w:sz w:val="22"/>
                <w:szCs w:val="22"/>
              </w:rPr>
              <w:t>Dr.</w:t>
            </w:r>
            <w:r>
              <w:rPr>
                <w:color w:val="000000"/>
                <w:sz w:val="22"/>
                <w:szCs w:val="22"/>
              </w:rPr>
              <w:t> </w:t>
            </w:r>
            <w:r w:rsidRPr="005812EB">
              <w:rPr>
                <w:color w:val="000000"/>
                <w:sz w:val="22"/>
                <w:szCs w:val="22"/>
              </w:rPr>
              <w:t>Joseph</w:t>
            </w:r>
            <w:r>
              <w:rPr>
                <w:color w:val="000000"/>
                <w:sz w:val="22"/>
                <w:szCs w:val="22"/>
              </w:rPr>
              <w:t> </w:t>
            </w:r>
            <w:r w:rsidRPr="005812EB">
              <w:rPr>
                <w:color w:val="000000"/>
                <w:sz w:val="22"/>
                <w:szCs w:val="22"/>
              </w:rPr>
              <w:t>Mitchell</w:t>
            </w:r>
            <w:r w:rsidRPr="005812EB">
              <w:rPr>
                <w:color w:val="000000"/>
                <w:sz w:val="22"/>
                <w:szCs w:val="22"/>
              </w:rPr>
              <w:br/>
              <w:t>(Expert)</w:t>
            </w:r>
          </w:p>
        </w:tc>
        <w:tc>
          <w:tcPr>
            <w:tcW w:w="720" w:type="dxa"/>
            <w:gridSpan w:val="2"/>
          </w:tcPr>
          <w:p w:rsidRPr="00C83159" w:rsidR="00784F85" w:rsidP="00784F85" w:rsidRDefault="00784F85" w14:paraId="47EBBC49" w14:textId="5791DD3D">
            <w:pPr>
              <w:spacing w:before="60" w:after="60"/>
              <w:jc w:val="center"/>
              <w:rPr>
                <w:color w:val="000000"/>
                <w:sz w:val="22"/>
                <w:szCs w:val="22"/>
              </w:rPr>
            </w:pPr>
            <w:r w:rsidRPr="00C83159">
              <w:rPr>
                <w:color w:val="000000"/>
                <w:sz w:val="22"/>
                <w:szCs w:val="22"/>
              </w:rPr>
              <w:t>2022</w:t>
            </w:r>
          </w:p>
        </w:tc>
        <w:tc>
          <w:tcPr>
            <w:tcW w:w="810" w:type="dxa"/>
          </w:tcPr>
          <w:p w:rsidRPr="00C83159" w:rsidR="00784F85" w:rsidP="00784F85" w:rsidRDefault="00CA3798" w14:paraId="39A3074C" w14:textId="0A30B691">
            <w:pPr>
              <w:spacing w:before="60" w:after="60"/>
              <w:jc w:val="center"/>
              <w:rPr>
                <w:color w:val="000000"/>
                <w:sz w:val="22"/>
                <w:szCs w:val="22"/>
              </w:rPr>
            </w:pPr>
            <w:r w:rsidRPr="00C83159">
              <w:rPr>
                <w:color w:val="000000"/>
                <w:sz w:val="22"/>
                <w:szCs w:val="22"/>
              </w:rPr>
              <w:t>7</w:t>
            </w:r>
            <w:r w:rsidRPr="00C83159" w:rsidR="005D40D8">
              <w:rPr>
                <w:color w:val="000000"/>
                <w:sz w:val="22"/>
                <w:szCs w:val="22"/>
              </w:rPr>
              <w:t>1.9</w:t>
            </w:r>
          </w:p>
        </w:tc>
        <w:tc>
          <w:tcPr>
            <w:tcW w:w="990" w:type="dxa"/>
          </w:tcPr>
          <w:p w:rsidRPr="00C83159" w:rsidR="00784F85" w:rsidP="00784F85" w:rsidRDefault="00784F85" w14:paraId="3E5BD317" w14:textId="030D1674">
            <w:pPr>
              <w:spacing w:before="60" w:after="60"/>
              <w:jc w:val="right"/>
              <w:rPr>
                <w:color w:val="000000"/>
                <w:sz w:val="22"/>
                <w:szCs w:val="22"/>
              </w:rPr>
            </w:pPr>
            <w:r w:rsidRPr="00C83159">
              <w:rPr>
                <w:color w:val="000000"/>
                <w:sz w:val="22"/>
                <w:szCs w:val="22"/>
              </w:rPr>
              <w:t>$</w:t>
            </w:r>
            <w:r w:rsidRPr="00C83159" w:rsidR="00CA3798">
              <w:rPr>
                <w:color w:val="000000"/>
                <w:sz w:val="22"/>
                <w:szCs w:val="22"/>
              </w:rPr>
              <w:t>395</w:t>
            </w:r>
            <w:r w:rsidRPr="00C83159" w:rsidR="00466E6E">
              <w:rPr>
                <w:color w:val="000000"/>
                <w:sz w:val="22"/>
                <w:szCs w:val="22"/>
              </w:rPr>
              <w:t>.00</w:t>
            </w:r>
          </w:p>
        </w:tc>
        <w:tc>
          <w:tcPr>
            <w:tcW w:w="1530" w:type="dxa"/>
            <w:tcBorders>
              <w:right w:val="single" w:color="auto" w:sz="4" w:space="0"/>
            </w:tcBorders>
          </w:tcPr>
          <w:p w:rsidRPr="00C83159" w:rsidR="00784F85" w:rsidP="00784F85" w:rsidRDefault="00784F85" w14:paraId="63BDE315" w14:textId="7CD1C0C5">
            <w:pPr>
              <w:spacing w:before="60" w:after="60"/>
              <w:rPr>
                <w:color w:val="000000"/>
                <w:sz w:val="22"/>
                <w:szCs w:val="22"/>
              </w:rPr>
            </w:pPr>
            <w:r w:rsidRPr="00C83159">
              <w:rPr>
                <w:color w:val="000000"/>
                <w:sz w:val="22"/>
                <w:szCs w:val="22"/>
              </w:rPr>
              <w:t>D.2</w:t>
            </w:r>
            <w:r w:rsidRPr="00C83159" w:rsidR="00CA3798">
              <w:rPr>
                <w:color w:val="000000"/>
                <w:sz w:val="22"/>
                <w:szCs w:val="22"/>
              </w:rPr>
              <w:t>3-08-039</w:t>
            </w:r>
            <w:r w:rsidRPr="00C83159">
              <w:rPr>
                <w:color w:val="000000"/>
                <w:sz w:val="22"/>
                <w:szCs w:val="22"/>
              </w:rPr>
              <w:br/>
            </w:r>
          </w:p>
        </w:tc>
        <w:tc>
          <w:tcPr>
            <w:tcW w:w="1350" w:type="dxa"/>
            <w:tcBorders>
              <w:top w:val="single" w:color="auto" w:sz="4" w:space="0"/>
              <w:left w:val="single" w:color="auto" w:sz="4" w:space="0"/>
              <w:bottom w:val="single" w:color="auto" w:sz="4" w:space="0"/>
              <w:right w:val="single" w:color="auto" w:sz="24" w:space="0"/>
            </w:tcBorders>
          </w:tcPr>
          <w:p w:rsidRPr="00C83159" w:rsidR="00784F85" w:rsidP="008B1F8D" w:rsidRDefault="00784F85" w14:paraId="06BD92A5" w14:textId="559432C6">
            <w:pPr>
              <w:spacing w:before="60" w:after="60"/>
              <w:rPr>
                <w:color w:val="000000"/>
                <w:sz w:val="22"/>
                <w:szCs w:val="22"/>
              </w:rPr>
            </w:pPr>
            <w:r w:rsidRPr="00C83159">
              <w:rPr>
                <w:color w:val="000000"/>
                <w:sz w:val="22"/>
                <w:szCs w:val="22"/>
              </w:rPr>
              <w:t>$</w:t>
            </w:r>
            <w:r w:rsidRPr="00C83159" w:rsidR="00897BFF">
              <w:rPr>
                <w:color w:val="000000"/>
                <w:sz w:val="22"/>
                <w:szCs w:val="22"/>
              </w:rPr>
              <w:t>28,412</w:t>
            </w:r>
            <w:r w:rsidRPr="00C83159" w:rsidR="00466E6E">
              <w:rPr>
                <w:color w:val="000000"/>
                <w:sz w:val="22"/>
                <w:szCs w:val="22"/>
              </w:rPr>
              <w:t xml:space="preserve">.00 </w:t>
            </w:r>
            <w:r w:rsidRPr="00C83159" w:rsidR="003342CC">
              <w:rPr>
                <w:rStyle w:val="FootnoteReference"/>
                <w:color w:val="000000"/>
                <w:sz w:val="22"/>
                <w:szCs w:val="22"/>
              </w:rPr>
              <w:footnoteReference w:id="6"/>
            </w:r>
          </w:p>
        </w:tc>
        <w:tc>
          <w:tcPr>
            <w:tcW w:w="810" w:type="dxa"/>
            <w:tcBorders>
              <w:left w:val="single" w:color="auto" w:sz="4" w:space="0"/>
            </w:tcBorders>
          </w:tcPr>
          <w:p w:rsidR="008B1F8D" w:rsidP="00784F85" w:rsidRDefault="00295E9C" w14:paraId="6ABE34C8" w14:textId="5130485F">
            <w:pPr>
              <w:spacing w:before="60" w:after="60"/>
              <w:jc w:val="center"/>
              <w:rPr>
                <w:color w:val="000000"/>
                <w:sz w:val="22"/>
                <w:szCs w:val="22"/>
              </w:rPr>
            </w:pPr>
            <w:r w:rsidRPr="00C83159">
              <w:rPr>
                <w:color w:val="000000"/>
                <w:sz w:val="22"/>
                <w:szCs w:val="22"/>
              </w:rPr>
              <w:t xml:space="preserve">69.3 </w:t>
            </w:r>
          </w:p>
          <w:p w:rsidRPr="00C83159" w:rsidR="00784F85" w:rsidP="00784F85" w:rsidRDefault="009A3F2D" w14:paraId="31AF7AA4" w14:textId="02C56B9E">
            <w:pPr>
              <w:spacing w:before="60" w:after="60"/>
              <w:jc w:val="center"/>
              <w:rPr>
                <w:color w:val="000000"/>
                <w:sz w:val="22"/>
                <w:szCs w:val="22"/>
              </w:rPr>
            </w:pPr>
            <w:r w:rsidRPr="00C83159">
              <w:rPr>
                <w:color w:val="000000"/>
                <w:sz w:val="22"/>
                <w:szCs w:val="22"/>
              </w:rPr>
              <w:t>[</w:t>
            </w:r>
            <w:r w:rsidRPr="00C83159" w:rsidR="00295E9C">
              <w:rPr>
                <w:color w:val="000000"/>
                <w:sz w:val="22"/>
                <w:szCs w:val="22"/>
              </w:rPr>
              <w:t>2</w:t>
            </w:r>
            <w:r w:rsidRPr="00C83159">
              <w:rPr>
                <w:color w:val="000000"/>
                <w:sz w:val="22"/>
                <w:szCs w:val="22"/>
              </w:rPr>
              <w:t>]</w:t>
            </w:r>
          </w:p>
        </w:tc>
        <w:tc>
          <w:tcPr>
            <w:tcW w:w="1260" w:type="dxa"/>
          </w:tcPr>
          <w:p w:rsidRPr="00C83159" w:rsidR="00784F85" w:rsidP="006F6F85" w:rsidRDefault="00381A11" w14:paraId="3400AFFC" w14:textId="49A2BEBF">
            <w:pPr>
              <w:spacing w:before="60" w:after="60"/>
              <w:jc w:val="center"/>
              <w:rPr>
                <w:color w:val="000000"/>
                <w:sz w:val="22"/>
                <w:szCs w:val="22"/>
              </w:rPr>
            </w:pPr>
            <w:r w:rsidRPr="00C83159">
              <w:rPr>
                <w:color w:val="000000"/>
                <w:sz w:val="22"/>
                <w:szCs w:val="22"/>
              </w:rPr>
              <w:t>$395.00 [</w:t>
            </w:r>
            <w:r w:rsidRPr="00C83159" w:rsidR="004C2E41">
              <w:rPr>
                <w:color w:val="000000"/>
                <w:sz w:val="22"/>
                <w:szCs w:val="22"/>
              </w:rPr>
              <w:t>1</w:t>
            </w:r>
            <w:r w:rsidRPr="00C83159">
              <w:rPr>
                <w:color w:val="000000"/>
                <w:sz w:val="22"/>
                <w:szCs w:val="22"/>
              </w:rPr>
              <w:t>]</w:t>
            </w:r>
          </w:p>
        </w:tc>
        <w:tc>
          <w:tcPr>
            <w:tcW w:w="1260" w:type="dxa"/>
          </w:tcPr>
          <w:p w:rsidRPr="00C83159" w:rsidR="00784F85" w:rsidP="00784F85" w:rsidRDefault="00FB33B1" w14:paraId="196C1830" w14:textId="443D3D34">
            <w:pPr>
              <w:spacing w:before="60" w:after="60"/>
              <w:jc w:val="right"/>
              <w:rPr>
                <w:color w:val="000000"/>
                <w:sz w:val="22"/>
                <w:szCs w:val="22"/>
              </w:rPr>
            </w:pPr>
            <w:r w:rsidRPr="00C83159">
              <w:rPr>
                <w:color w:val="000000"/>
                <w:sz w:val="22"/>
                <w:szCs w:val="22"/>
              </w:rPr>
              <w:t>$27,373.50</w:t>
            </w:r>
          </w:p>
        </w:tc>
      </w:tr>
      <w:tr w:rsidRPr="007F620E" w:rsidR="00784F85" w:rsidTr="008B1F8D" w14:paraId="5BF6A154" w14:textId="77777777">
        <w:trPr>
          <w:jc w:val="center"/>
        </w:trPr>
        <w:tc>
          <w:tcPr>
            <w:tcW w:w="1795" w:type="dxa"/>
            <w:gridSpan w:val="2"/>
          </w:tcPr>
          <w:p w:rsidRPr="007F620E" w:rsidR="00784F85" w:rsidP="00C83159" w:rsidRDefault="00C83159" w14:paraId="118506EC" w14:textId="43BEA05F">
            <w:pPr>
              <w:tabs>
                <w:tab w:val="left" w:pos="1325"/>
              </w:tabs>
              <w:spacing w:before="60" w:after="60"/>
              <w:ind w:left="-115" w:right="-106"/>
              <w:jc w:val="center"/>
              <w:rPr>
                <w:color w:val="000000"/>
              </w:rPr>
            </w:pPr>
            <w:r w:rsidRPr="005812EB">
              <w:rPr>
                <w:color w:val="000000"/>
                <w:sz w:val="22"/>
                <w:szCs w:val="22"/>
              </w:rPr>
              <w:t>Dr.</w:t>
            </w:r>
            <w:r>
              <w:rPr>
                <w:color w:val="000000"/>
                <w:sz w:val="22"/>
                <w:szCs w:val="22"/>
              </w:rPr>
              <w:t> </w:t>
            </w:r>
            <w:r w:rsidRPr="005812EB">
              <w:rPr>
                <w:color w:val="000000"/>
                <w:sz w:val="22"/>
                <w:szCs w:val="22"/>
              </w:rPr>
              <w:t>Joseph</w:t>
            </w:r>
            <w:r>
              <w:rPr>
                <w:color w:val="000000"/>
                <w:sz w:val="22"/>
                <w:szCs w:val="22"/>
              </w:rPr>
              <w:t> </w:t>
            </w:r>
            <w:r w:rsidRPr="005812EB">
              <w:rPr>
                <w:color w:val="000000"/>
                <w:sz w:val="22"/>
                <w:szCs w:val="22"/>
              </w:rPr>
              <w:t>Mitchell</w:t>
            </w:r>
            <w:r w:rsidRPr="005812EB">
              <w:rPr>
                <w:color w:val="000000"/>
                <w:sz w:val="22"/>
                <w:szCs w:val="22"/>
              </w:rPr>
              <w:br/>
              <w:t>(Expert)</w:t>
            </w:r>
          </w:p>
        </w:tc>
        <w:tc>
          <w:tcPr>
            <w:tcW w:w="720" w:type="dxa"/>
            <w:gridSpan w:val="2"/>
          </w:tcPr>
          <w:p w:rsidRPr="00C83159" w:rsidR="00784F85" w:rsidP="00784F85" w:rsidRDefault="00784F85" w14:paraId="3767540B" w14:textId="322537FB">
            <w:pPr>
              <w:spacing w:before="60" w:after="60"/>
              <w:jc w:val="center"/>
              <w:rPr>
                <w:color w:val="000000"/>
                <w:sz w:val="22"/>
                <w:szCs w:val="22"/>
              </w:rPr>
            </w:pPr>
            <w:r w:rsidRPr="00C83159">
              <w:rPr>
                <w:color w:val="000000"/>
                <w:sz w:val="22"/>
                <w:szCs w:val="22"/>
              </w:rPr>
              <w:t>2023</w:t>
            </w:r>
          </w:p>
        </w:tc>
        <w:tc>
          <w:tcPr>
            <w:tcW w:w="810" w:type="dxa"/>
          </w:tcPr>
          <w:p w:rsidRPr="00C83159" w:rsidR="00784F85" w:rsidP="00784F85" w:rsidRDefault="00CA3798" w14:paraId="120FE857" w14:textId="77411492">
            <w:pPr>
              <w:spacing w:before="60" w:after="60"/>
              <w:jc w:val="center"/>
              <w:rPr>
                <w:color w:val="000000"/>
                <w:sz w:val="22"/>
                <w:szCs w:val="22"/>
              </w:rPr>
            </w:pPr>
            <w:r w:rsidRPr="00C83159">
              <w:rPr>
                <w:color w:val="000000"/>
                <w:sz w:val="22"/>
                <w:szCs w:val="22"/>
              </w:rPr>
              <w:t>26.5</w:t>
            </w:r>
          </w:p>
        </w:tc>
        <w:tc>
          <w:tcPr>
            <w:tcW w:w="990" w:type="dxa"/>
          </w:tcPr>
          <w:p w:rsidRPr="00C83159" w:rsidR="00784F85" w:rsidP="00784F85" w:rsidRDefault="00784F85" w14:paraId="075109E1" w14:textId="4D02D649">
            <w:pPr>
              <w:spacing w:before="60" w:after="60"/>
              <w:jc w:val="right"/>
              <w:rPr>
                <w:color w:val="000000"/>
                <w:sz w:val="22"/>
                <w:szCs w:val="22"/>
              </w:rPr>
            </w:pPr>
            <w:r w:rsidRPr="00C83159">
              <w:rPr>
                <w:color w:val="000000"/>
                <w:sz w:val="22"/>
                <w:szCs w:val="22"/>
              </w:rPr>
              <w:t>$</w:t>
            </w:r>
            <w:r w:rsidRPr="00C83159" w:rsidR="00CA3798">
              <w:rPr>
                <w:color w:val="000000"/>
                <w:sz w:val="22"/>
                <w:szCs w:val="22"/>
              </w:rPr>
              <w:t>415</w:t>
            </w:r>
            <w:r w:rsidRPr="00C83159" w:rsidR="00466E6E">
              <w:rPr>
                <w:color w:val="000000"/>
                <w:sz w:val="22"/>
                <w:szCs w:val="22"/>
              </w:rPr>
              <w:t>.00</w:t>
            </w:r>
          </w:p>
        </w:tc>
        <w:tc>
          <w:tcPr>
            <w:tcW w:w="1530" w:type="dxa"/>
            <w:tcBorders>
              <w:right w:val="single" w:color="auto" w:sz="4" w:space="0"/>
            </w:tcBorders>
          </w:tcPr>
          <w:p w:rsidRPr="00C83159" w:rsidR="00784F85" w:rsidP="00784F85" w:rsidRDefault="00784F85" w14:paraId="4AF4C006" w14:textId="78E588E6">
            <w:pPr>
              <w:spacing w:before="60" w:after="60"/>
              <w:rPr>
                <w:color w:val="000000"/>
                <w:sz w:val="22"/>
                <w:szCs w:val="22"/>
              </w:rPr>
            </w:pPr>
            <w:r w:rsidRPr="00C83159">
              <w:rPr>
                <w:color w:val="000000"/>
                <w:sz w:val="22"/>
                <w:szCs w:val="22"/>
              </w:rPr>
              <w:t>D.25-</w:t>
            </w:r>
            <w:r w:rsidRPr="00C83159" w:rsidR="00CA3798">
              <w:rPr>
                <w:color w:val="000000"/>
                <w:sz w:val="22"/>
                <w:szCs w:val="22"/>
              </w:rPr>
              <w:t>05-022</w:t>
            </w:r>
            <w:r w:rsidRPr="00C83159">
              <w:rPr>
                <w:color w:val="000000"/>
                <w:sz w:val="22"/>
                <w:szCs w:val="22"/>
              </w:rPr>
              <w:br/>
            </w:r>
          </w:p>
        </w:tc>
        <w:tc>
          <w:tcPr>
            <w:tcW w:w="1350" w:type="dxa"/>
            <w:tcBorders>
              <w:top w:val="single" w:color="auto" w:sz="4" w:space="0"/>
              <w:left w:val="single" w:color="auto" w:sz="4" w:space="0"/>
              <w:bottom w:val="single" w:color="auto" w:sz="4" w:space="0"/>
              <w:right w:val="single" w:color="auto" w:sz="24" w:space="0"/>
            </w:tcBorders>
          </w:tcPr>
          <w:p w:rsidRPr="00C83159" w:rsidR="00784F85" w:rsidP="008B1F8D" w:rsidRDefault="00784F85" w14:paraId="2A77845E" w14:textId="0001DB4C">
            <w:pPr>
              <w:spacing w:before="60" w:after="60"/>
              <w:rPr>
                <w:color w:val="000000"/>
                <w:sz w:val="22"/>
                <w:szCs w:val="22"/>
              </w:rPr>
            </w:pPr>
            <w:r w:rsidRPr="00C83159">
              <w:rPr>
                <w:color w:val="000000"/>
                <w:sz w:val="22"/>
                <w:szCs w:val="22"/>
              </w:rPr>
              <w:t>$</w:t>
            </w:r>
            <w:r w:rsidRPr="00C83159" w:rsidR="00897BFF">
              <w:rPr>
                <w:color w:val="000000"/>
                <w:sz w:val="22"/>
                <w:szCs w:val="22"/>
              </w:rPr>
              <w:t>10,998</w:t>
            </w:r>
            <w:r w:rsidRPr="00C83159" w:rsidR="00466E6E">
              <w:rPr>
                <w:color w:val="000000"/>
                <w:sz w:val="22"/>
                <w:szCs w:val="22"/>
              </w:rPr>
              <w:t xml:space="preserve">.00 </w:t>
            </w:r>
            <w:r w:rsidRPr="00C83159" w:rsidR="003342CC">
              <w:rPr>
                <w:rStyle w:val="FootnoteReference"/>
                <w:color w:val="000000"/>
                <w:sz w:val="22"/>
                <w:szCs w:val="22"/>
              </w:rPr>
              <w:footnoteReference w:id="7"/>
            </w:r>
          </w:p>
        </w:tc>
        <w:tc>
          <w:tcPr>
            <w:tcW w:w="810" w:type="dxa"/>
            <w:tcBorders>
              <w:left w:val="single" w:color="auto" w:sz="4" w:space="0"/>
            </w:tcBorders>
          </w:tcPr>
          <w:p w:rsidRPr="00C83159" w:rsidR="00784F85" w:rsidP="00784F85" w:rsidRDefault="00B17573" w14:paraId="461DC9FD" w14:textId="44555820">
            <w:pPr>
              <w:spacing w:before="60" w:after="60"/>
              <w:jc w:val="center"/>
              <w:rPr>
                <w:color w:val="000000"/>
                <w:sz w:val="22"/>
                <w:szCs w:val="22"/>
              </w:rPr>
            </w:pPr>
            <w:r w:rsidRPr="00C83159">
              <w:rPr>
                <w:color w:val="000000"/>
                <w:sz w:val="22"/>
                <w:szCs w:val="22"/>
              </w:rPr>
              <w:t>2</w:t>
            </w:r>
            <w:r w:rsidRPr="00C83159" w:rsidR="003F6551">
              <w:rPr>
                <w:color w:val="000000"/>
                <w:sz w:val="22"/>
                <w:szCs w:val="22"/>
              </w:rPr>
              <w:t>4</w:t>
            </w:r>
            <w:r w:rsidRPr="00C83159">
              <w:rPr>
                <w:color w:val="000000"/>
                <w:sz w:val="22"/>
                <w:szCs w:val="22"/>
              </w:rPr>
              <w:t>.</w:t>
            </w:r>
            <w:r w:rsidRPr="00C83159" w:rsidR="003F6551">
              <w:rPr>
                <w:color w:val="000000"/>
                <w:sz w:val="22"/>
                <w:szCs w:val="22"/>
              </w:rPr>
              <w:t>4</w:t>
            </w:r>
            <w:r w:rsidRPr="00C83159">
              <w:rPr>
                <w:color w:val="000000"/>
                <w:sz w:val="22"/>
                <w:szCs w:val="22"/>
              </w:rPr>
              <w:t xml:space="preserve"> </w:t>
            </w:r>
            <w:r w:rsidRPr="00C83159" w:rsidR="00932915">
              <w:rPr>
                <w:color w:val="000000"/>
                <w:sz w:val="22"/>
                <w:szCs w:val="22"/>
              </w:rPr>
              <w:t>[2,</w:t>
            </w:r>
            <w:r w:rsidR="008B1F8D">
              <w:rPr>
                <w:color w:val="000000"/>
                <w:sz w:val="22"/>
                <w:szCs w:val="22"/>
              </w:rPr>
              <w:t> </w:t>
            </w:r>
            <w:r w:rsidRPr="00C83159" w:rsidR="00932915">
              <w:rPr>
                <w:color w:val="000000"/>
                <w:sz w:val="22"/>
                <w:szCs w:val="22"/>
              </w:rPr>
              <w:t>3</w:t>
            </w:r>
            <w:r w:rsidRPr="00C83159" w:rsidR="009A3F2D">
              <w:rPr>
                <w:color w:val="000000"/>
                <w:sz w:val="22"/>
                <w:szCs w:val="22"/>
              </w:rPr>
              <w:t>]</w:t>
            </w:r>
          </w:p>
        </w:tc>
        <w:tc>
          <w:tcPr>
            <w:tcW w:w="1260" w:type="dxa"/>
          </w:tcPr>
          <w:p w:rsidRPr="00C83159" w:rsidR="00784F85" w:rsidP="006F6F85" w:rsidRDefault="00381A11" w14:paraId="7FDABF74" w14:textId="593270DD">
            <w:pPr>
              <w:spacing w:before="60" w:after="60"/>
              <w:jc w:val="center"/>
              <w:rPr>
                <w:color w:val="000000"/>
                <w:sz w:val="22"/>
                <w:szCs w:val="22"/>
              </w:rPr>
            </w:pPr>
            <w:r w:rsidRPr="00C83159">
              <w:rPr>
                <w:color w:val="000000"/>
                <w:sz w:val="22"/>
                <w:szCs w:val="22"/>
              </w:rPr>
              <w:t>$415.00 [</w:t>
            </w:r>
            <w:r w:rsidRPr="00C83159" w:rsidR="004C2E41">
              <w:rPr>
                <w:color w:val="000000"/>
                <w:sz w:val="22"/>
                <w:szCs w:val="22"/>
              </w:rPr>
              <w:t>1</w:t>
            </w:r>
            <w:r w:rsidRPr="00C83159">
              <w:rPr>
                <w:color w:val="000000"/>
                <w:sz w:val="22"/>
                <w:szCs w:val="22"/>
              </w:rPr>
              <w:t>]</w:t>
            </w:r>
          </w:p>
        </w:tc>
        <w:tc>
          <w:tcPr>
            <w:tcW w:w="1260" w:type="dxa"/>
          </w:tcPr>
          <w:p w:rsidRPr="00C83159" w:rsidR="00784F85" w:rsidP="00784F85" w:rsidRDefault="009632AD" w14:paraId="05EFCF76" w14:textId="330BB7B2">
            <w:pPr>
              <w:spacing w:before="60" w:after="60"/>
              <w:jc w:val="right"/>
              <w:rPr>
                <w:color w:val="000000"/>
                <w:sz w:val="22"/>
                <w:szCs w:val="22"/>
              </w:rPr>
            </w:pPr>
            <w:r w:rsidRPr="00C83159">
              <w:rPr>
                <w:color w:val="000000"/>
                <w:sz w:val="22"/>
                <w:szCs w:val="22"/>
              </w:rPr>
              <w:t>$10,</w:t>
            </w:r>
            <w:r w:rsidRPr="00C83159" w:rsidR="003F6551">
              <w:rPr>
                <w:color w:val="000000"/>
                <w:sz w:val="22"/>
                <w:szCs w:val="22"/>
              </w:rPr>
              <w:t>126</w:t>
            </w:r>
            <w:r w:rsidRPr="00C83159">
              <w:rPr>
                <w:color w:val="000000"/>
                <w:sz w:val="22"/>
                <w:szCs w:val="22"/>
              </w:rPr>
              <w:t>.</w:t>
            </w:r>
            <w:r w:rsidRPr="00C83159" w:rsidR="003F6551">
              <w:rPr>
                <w:color w:val="000000"/>
                <w:sz w:val="22"/>
                <w:szCs w:val="22"/>
              </w:rPr>
              <w:t>0</w:t>
            </w:r>
            <w:r w:rsidRPr="00C83159">
              <w:rPr>
                <w:color w:val="000000"/>
                <w:sz w:val="22"/>
                <w:szCs w:val="22"/>
              </w:rPr>
              <w:t>0</w:t>
            </w:r>
          </w:p>
        </w:tc>
      </w:tr>
      <w:tr w:rsidRPr="007F620E" w:rsidR="00784F85" w:rsidTr="008B1F8D" w14:paraId="38E0B4EA" w14:textId="77777777">
        <w:trPr>
          <w:jc w:val="center"/>
        </w:trPr>
        <w:tc>
          <w:tcPr>
            <w:tcW w:w="1795" w:type="dxa"/>
            <w:gridSpan w:val="2"/>
          </w:tcPr>
          <w:p w:rsidRPr="007F620E" w:rsidR="00784F85" w:rsidP="00C83159" w:rsidRDefault="00C83159" w14:paraId="1F980DF3" w14:textId="5AB4C0D3">
            <w:pPr>
              <w:tabs>
                <w:tab w:val="left" w:pos="1325"/>
              </w:tabs>
              <w:spacing w:before="60" w:after="60"/>
              <w:ind w:left="-115" w:right="-106"/>
              <w:jc w:val="center"/>
              <w:rPr>
                <w:color w:val="000000"/>
              </w:rPr>
            </w:pPr>
            <w:r w:rsidRPr="005812EB">
              <w:rPr>
                <w:color w:val="000000"/>
                <w:sz w:val="22"/>
                <w:szCs w:val="22"/>
              </w:rPr>
              <w:t>Dr.</w:t>
            </w:r>
            <w:r>
              <w:rPr>
                <w:color w:val="000000"/>
                <w:sz w:val="22"/>
                <w:szCs w:val="22"/>
              </w:rPr>
              <w:t> </w:t>
            </w:r>
            <w:r w:rsidRPr="005812EB">
              <w:rPr>
                <w:color w:val="000000"/>
                <w:sz w:val="22"/>
                <w:szCs w:val="22"/>
              </w:rPr>
              <w:t>Joseph</w:t>
            </w:r>
            <w:r>
              <w:rPr>
                <w:color w:val="000000"/>
                <w:sz w:val="22"/>
                <w:szCs w:val="22"/>
              </w:rPr>
              <w:t> </w:t>
            </w:r>
            <w:r w:rsidRPr="005812EB">
              <w:rPr>
                <w:color w:val="000000"/>
                <w:sz w:val="22"/>
                <w:szCs w:val="22"/>
              </w:rPr>
              <w:t>Mitchell</w:t>
            </w:r>
            <w:r w:rsidRPr="005812EB">
              <w:rPr>
                <w:color w:val="000000"/>
                <w:sz w:val="22"/>
                <w:szCs w:val="22"/>
              </w:rPr>
              <w:br/>
              <w:t>(Expert)</w:t>
            </w:r>
          </w:p>
        </w:tc>
        <w:tc>
          <w:tcPr>
            <w:tcW w:w="720" w:type="dxa"/>
            <w:gridSpan w:val="2"/>
          </w:tcPr>
          <w:p w:rsidRPr="00C83159" w:rsidR="00784F85" w:rsidP="00784F85" w:rsidRDefault="00784F85" w14:paraId="275BF57A" w14:textId="5A36B4FE">
            <w:pPr>
              <w:spacing w:before="60" w:after="60"/>
              <w:jc w:val="center"/>
              <w:rPr>
                <w:color w:val="000000"/>
                <w:sz w:val="22"/>
                <w:szCs w:val="22"/>
              </w:rPr>
            </w:pPr>
            <w:r w:rsidRPr="00C83159">
              <w:rPr>
                <w:color w:val="000000"/>
                <w:sz w:val="22"/>
                <w:szCs w:val="22"/>
              </w:rPr>
              <w:t>2024</w:t>
            </w:r>
          </w:p>
        </w:tc>
        <w:tc>
          <w:tcPr>
            <w:tcW w:w="810" w:type="dxa"/>
          </w:tcPr>
          <w:p w:rsidRPr="00C83159" w:rsidR="00784F85" w:rsidP="00784F85" w:rsidRDefault="00CA3798" w14:paraId="0DE506C4" w14:textId="05DDEAC8">
            <w:pPr>
              <w:spacing w:before="60" w:after="60"/>
              <w:jc w:val="center"/>
              <w:rPr>
                <w:color w:val="000000"/>
                <w:sz w:val="22"/>
                <w:szCs w:val="22"/>
              </w:rPr>
            </w:pPr>
            <w:r w:rsidRPr="00C83159">
              <w:rPr>
                <w:color w:val="000000"/>
                <w:sz w:val="22"/>
                <w:szCs w:val="22"/>
              </w:rPr>
              <w:t>21</w:t>
            </w:r>
            <w:r w:rsidRPr="00C83159" w:rsidR="005D40D8">
              <w:rPr>
                <w:color w:val="000000"/>
                <w:sz w:val="22"/>
                <w:szCs w:val="22"/>
              </w:rPr>
              <w:t>4</w:t>
            </w:r>
            <w:r w:rsidRPr="00C83159">
              <w:rPr>
                <w:color w:val="000000"/>
                <w:sz w:val="22"/>
                <w:szCs w:val="22"/>
              </w:rPr>
              <w:t>.2</w:t>
            </w:r>
          </w:p>
        </w:tc>
        <w:tc>
          <w:tcPr>
            <w:tcW w:w="990" w:type="dxa"/>
          </w:tcPr>
          <w:p w:rsidRPr="00C83159" w:rsidR="00784F85" w:rsidP="00784F85" w:rsidRDefault="00784F85" w14:paraId="26413E95" w14:textId="4D6B8954">
            <w:pPr>
              <w:spacing w:before="60" w:after="60"/>
              <w:jc w:val="right"/>
              <w:rPr>
                <w:color w:val="000000"/>
                <w:sz w:val="22"/>
                <w:szCs w:val="22"/>
              </w:rPr>
            </w:pPr>
            <w:r w:rsidRPr="00C83159">
              <w:rPr>
                <w:color w:val="000000"/>
                <w:sz w:val="22"/>
                <w:szCs w:val="22"/>
              </w:rPr>
              <w:t>$455</w:t>
            </w:r>
            <w:r w:rsidRPr="00C83159" w:rsidR="00466E6E">
              <w:rPr>
                <w:color w:val="000000"/>
                <w:sz w:val="22"/>
                <w:szCs w:val="22"/>
              </w:rPr>
              <w:t>.00</w:t>
            </w:r>
          </w:p>
        </w:tc>
        <w:tc>
          <w:tcPr>
            <w:tcW w:w="1530" w:type="dxa"/>
            <w:tcBorders>
              <w:right w:val="single" w:color="auto" w:sz="4" w:space="0"/>
            </w:tcBorders>
          </w:tcPr>
          <w:p w:rsidRPr="00C83159" w:rsidR="00784F85" w:rsidP="00784F85" w:rsidRDefault="00784F85" w14:paraId="300AA881" w14:textId="1E9F9064">
            <w:pPr>
              <w:spacing w:before="60" w:after="60"/>
              <w:rPr>
                <w:color w:val="000000"/>
                <w:sz w:val="22"/>
                <w:szCs w:val="22"/>
              </w:rPr>
            </w:pPr>
            <w:r w:rsidRPr="00C83159">
              <w:rPr>
                <w:color w:val="000000"/>
                <w:sz w:val="22"/>
                <w:szCs w:val="22"/>
              </w:rPr>
              <w:t>D.25-</w:t>
            </w:r>
            <w:r w:rsidRPr="00C83159" w:rsidR="00CA3798">
              <w:rPr>
                <w:color w:val="000000"/>
                <w:sz w:val="22"/>
                <w:szCs w:val="22"/>
              </w:rPr>
              <w:t>05-022</w:t>
            </w:r>
            <w:r w:rsidRPr="00C83159">
              <w:rPr>
                <w:color w:val="000000"/>
                <w:sz w:val="22"/>
                <w:szCs w:val="22"/>
              </w:rPr>
              <w:br/>
            </w:r>
          </w:p>
        </w:tc>
        <w:tc>
          <w:tcPr>
            <w:tcW w:w="1350" w:type="dxa"/>
            <w:tcBorders>
              <w:top w:val="single" w:color="auto" w:sz="4" w:space="0"/>
              <w:left w:val="single" w:color="auto" w:sz="4" w:space="0"/>
              <w:bottom w:val="single" w:color="auto" w:sz="4" w:space="0"/>
              <w:right w:val="single" w:color="auto" w:sz="24" w:space="0"/>
            </w:tcBorders>
          </w:tcPr>
          <w:p w:rsidRPr="00C83159" w:rsidR="00784F85" w:rsidP="008B1F8D" w:rsidRDefault="00784F85" w14:paraId="23EF368E" w14:textId="38F2D54B">
            <w:pPr>
              <w:spacing w:before="60" w:after="60"/>
              <w:rPr>
                <w:color w:val="000000"/>
                <w:sz w:val="22"/>
                <w:szCs w:val="22"/>
              </w:rPr>
            </w:pPr>
            <w:r w:rsidRPr="00C83159">
              <w:rPr>
                <w:color w:val="000000"/>
                <w:sz w:val="22"/>
                <w:szCs w:val="22"/>
              </w:rPr>
              <w:t>$</w:t>
            </w:r>
            <w:r w:rsidRPr="00C83159" w:rsidR="00897BFF">
              <w:rPr>
                <w:color w:val="000000"/>
                <w:sz w:val="22"/>
                <w:szCs w:val="22"/>
              </w:rPr>
              <w:t>97,479</w:t>
            </w:r>
            <w:r w:rsidRPr="00C83159" w:rsidR="00466E6E">
              <w:rPr>
                <w:color w:val="000000"/>
                <w:sz w:val="22"/>
                <w:szCs w:val="22"/>
              </w:rPr>
              <w:t xml:space="preserve">.00 </w:t>
            </w:r>
            <w:r w:rsidRPr="00C83159" w:rsidR="003342CC">
              <w:rPr>
                <w:rStyle w:val="FootnoteReference"/>
                <w:color w:val="000000"/>
                <w:sz w:val="22"/>
                <w:szCs w:val="22"/>
              </w:rPr>
              <w:footnoteReference w:id="8"/>
            </w:r>
          </w:p>
        </w:tc>
        <w:tc>
          <w:tcPr>
            <w:tcW w:w="810" w:type="dxa"/>
            <w:tcBorders>
              <w:left w:val="single" w:color="auto" w:sz="4" w:space="0"/>
            </w:tcBorders>
          </w:tcPr>
          <w:p w:rsidR="008B1F8D" w:rsidP="00784F85" w:rsidRDefault="00377EE2" w14:paraId="6BF3CB26" w14:textId="2D27707F">
            <w:pPr>
              <w:spacing w:before="60" w:after="60"/>
              <w:jc w:val="center"/>
              <w:rPr>
                <w:color w:val="000000"/>
                <w:sz w:val="22"/>
                <w:szCs w:val="22"/>
              </w:rPr>
            </w:pPr>
            <w:r w:rsidRPr="00C83159">
              <w:rPr>
                <w:color w:val="000000"/>
                <w:sz w:val="22"/>
                <w:szCs w:val="22"/>
              </w:rPr>
              <w:t>210</w:t>
            </w:r>
          </w:p>
          <w:p w:rsidRPr="00C83159" w:rsidR="00784F85" w:rsidP="00784F85" w:rsidRDefault="009A3F2D" w14:paraId="2B0CA953" w14:textId="67B6D41A">
            <w:pPr>
              <w:spacing w:before="60" w:after="60"/>
              <w:jc w:val="center"/>
              <w:rPr>
                <w:color w:val="000000"/>
                <w:sz w:val="22"/>
                <w:szCs w:val="22"/>
              </w:rPr>
            </w:pPr>
            <w:r w:rsidRPr="00C83159">
              <w:rPr>
                <w:color w:val="000000"/>
                <w:sz w:val="22"/>
                <w:szCs w:val="22"/>
              </w:rPr>
              <w:t>[</w:t>
            </w:r>
            <w:r w:rsidRPr="00C83159" w:rsidR="00932915">
              <w:rPr>
                <w:color w:val="000000"/>
                <w:sz w:val="22"/>
                <w:szCs w:val="22"/>
              </w:rPr>
              <w:t>2</w:t>
            </w:r>
            <w:r w:rsidRPr="00C83159">
              <w:rPr>
                <w:color w:val="000000"/>
                <w:sz w:val="22"/>
                <w:szCs w:val="22"/>
              </w:rPr>
              <w:t>]</w:t>
            </w:r>
          </w:p>
        </w:tc>
        <w:tc>
          <w:tcPr>
            <w:tcW w:w="1260" w:type="dxa"/>
          </w:tcPr>
          <w:p w:rsidRPr="00C83159" w:rsidR="00784F85" w:rsidP="006F6F85" w:rsidRDefault="004824C7" w14:paraId="1FC8906C" w14:textId="242C164C">
            <w:pPr>
              <w:spacing w:before="60" w:after="60"/>
              <w:jc w:val="center"/>
              <w:rPr>
                <w:color w:val="000000"/>
                <w:sz w:val="22"/>
                <w:szCs w:val="22"/>
              </w:rPr>
            </w:pPr>
            <w:r w:rsidRPr="00C83159">
              <w:rPr>
                <w:color w:val="000000"/>
                <w:sz w:val="22"/>
                <w:szCs w:val="22"/>
              </w:rPr>
              <w:t>$455.00 [</w:t>
            </w:r>
            <w:r w:rsidRPr="00C83159" w:rsidR="004C2E41">
              <w:rPr>
                <w:color w:val="000000"/>
                <w:sz w:val="22"/>
                <w:szCs w:val="22"/>
              </w:rPr>
              <w:t>1</w:t>
            </w:r>
            <w:r w:rsidRPr="00C83159">
              <w:rPr>
                <w:color w:val="000000"/>
                <w:sz w:val="22"/>
                <w:szCs w:val="22"/>
              </w:rPr>
              <w:t>]</w:t>
            </w:r>
          </w:p>
        </w:tc>
        <w:tc>
          <w:tcPr>
            <w:tcW w:w="1260" w:type="dxa"/>
          </w:tcPr>
          <w:p w:rsidRPr="00C83159" w:rsidR="00784F85" w:rsidP="00784F85" w:rsidRDefault="009632AD" w14:paraId="6C594CB5" w14:textId="41B377F5">
            <w:pPr>
              <w:spacing w:before="60" w:after="60"/>
              <w:jc w:val="right"/>
              <w:rPr>
                <w:color w:val="000000"/>
                <w:sz w:val="22"/>
                <w:szCs w:val="22"/>
              </w:rPr>
            </w:pPr>
            <w:r w:rsidRPr="00C83159">
              <w:rPr>
                <w:color w:val="000000"/>
                <w:sz w:val="22"/>
                <w:szCs w:val="22"/>
              </w:rPr>
              <w:t>$</w:t>
            </w:r>
            <w:r w:rsidRPr="00C83159" w:rsidR="008D04D7">
              <w:rPr>
                <w:color w:val="000000"/>
                <w:sz w:val="22"/>
                <w:szCs w:val="22"/>
              </w:rPr>
              <w:t>95,550.00</w:t>
            </w:r>
          </w:p>
        </w:tc>
      </w:tr>
      <w:tr w:rsidRPr="007F620E" w:rsidR="00784F85" w:rsidTr="008B1F8D" w14:paraId="78FC5ECE" w14:textId="77777777">
        <w:trPr>
          <w:jc w:val="center"/>
        </w:trPr>
        <w:tc>
          <w:tcPr>
            <w:tcW w:w="1795" w:type="dxa"/>
            <w:gridSpan w:val="2"/>
          </w:tcPr>
          <w:p w:rsidRPr="007F620E" w:rsidR="00784F85" w:rsidP="00C83159" w:rsidRDefault="00C83159" w14:paraId="1F8943E9" w14:textId="02C111AB">
            <w:pPr>
              <w:tabs>
                <w:tab w:val="left" w:pos="1325"/>
              </w:tabs>
              <w:spacing w:before="60" w:after="60"/>
              <w:ind w:left="-115" w:right="-106"/>
              <w:jc w:val="center"/>
              <w:rPr>
                <w:color w:val="000000"/>
              </w:rPr>
            </w:pPr>
            <w:r w:rsidRPr="005812EB">
              <w:rPr>
                <w:color w:val="000000"/>
                <w:sz w:val="22"/>
                <w:szCs w:val="22"/>
              </w:rPr>
              <w:t>Dr.</w:t>
            </w:r>
            <w:r>
              <w:rPr>
                <w:color w:val="000000"/>
                <w:sz w:val="22"/>
                <w:szCs w:val="22"/>
              </w:rPr>
              <w:t> </w:t>
            </w:r>
            <w:r w:rsidRPr="005812EB">
              <w:rPr>
                <w:color w:val="000000"/>
                <w:sz w:val="22"/>
                <w:szCs w:val="22"/>
              </w:rPr>
              <w:t>Joseph</w:t>
            </w:r>
            <w:r>
              <w:rPr>
                <w:color w:val="000000"/>
                <w:sz w:val="22"/>
                <w:szCs w:val="22"/>
              </w:rPr>
              <w:t> </w:t>
            </w:r>
            <w:r w:rsidRPr="005812EB">
              <w:rPr>
                <w:color w:val="000000"/>
                <w:sz w:val="22"/>
                <w:szCs w:val="22"/>
              </w:rPr>
              <w:t>Mitchell</w:t>
            </w:r>
            <w:r w:rsidRPr="005812EB">
              <w:rPr>
                <w:color w:val="000000"/>
                <w:sz w:val="22"/>
                <w:szCs w:val="22"/>
              </w:rPr>
              <w:br/>
              <w:t>(Expert)</w:t>
            </w:r>
          </w:p>
        </w:tc>
        <w:tc>
          <w:tcPr>
            <w:tcW w:w="720" w:type="dxa"/>
            <w:gridSpan w:val="2"/>
          </w:tcPr>
          <w:p w:rsidRPr="00C83159" w:rsidR="00784F85" w:rsidP="00784F85" w:rsidRDefault="00784F85" w14:paraId="6FFEFF62" w14:textId="0E7CC7B6">
            <w:pPr>
              <w:spacing w:before="60" w:after="60"/>
              <w:jc w:val="center"/>
              <w:rPr>
                <w:color w:val="000000"/>
                <w:sz w:val="22"/>
                <w:szCs w:val="22"/>
              </w:rPr>
            </w:pPr>
            <w:r w:rsidRPr="00C83159">
              <w:rPr>
                <w:color w:val="000000"/>
                <w:sz w:val="22"/>
                <w:szCs w:val="22"/>
              </w:rPr>
              <w:t>2025</w:t>
            </w:r>
          </w:p>
        </w:tc>
        <w:tc>
          <w:tcPr>
            <w:tcW w:w="810" w:type="dxa"/>
          </w:tcPr>
          <w:p w:rsidRPr="00C83159" w:rsidR="00784F85" w:rsidP="00784F85" w:rsidRDefault="00CA3798" w14:paraId="24984638" w14:textId="539EAC95">
            <w:pPr>
              <w:spacing w:before="60" w:after="60"/>
              <w:jc w:val="center"/>
              <w:rPr>
                <w:color w:val="000000"/>
                <w:sz w:val="22"/>
                <w:szCs w:val="22"/>
              </w:rPr>
            </w:pPr>
            <w:r w:rsidRPr="00C83159">
              <w:rPr>
                <w:color w:val="000000"/>
                <w:sz w:val="22"/>
                <w:szCs w:val="22"/>
              </w:rPr>
              <w:t>19.1</w:t>
            </w:r>
          </w:p>
        </w:tc>
        <w:tc>
          <w:tcPr>
            <w:tcW w:w="990" w:type="dxa"/>
          </w:tcPr>
          <w:p w:rsidRPr="00C83159" w:rsidR="00784F85" w:rsidP="00784F85" w:rsidRDefault="00784F85" w14:paraId="00CA9050" w14:textId="770CA755">
            <w:pPr>
              <w:spacing w:before="60" w:after="60"/>
              <w:jc w:val="right"/>
              <w:rPr>
                <w:color w:val="000000"/>
                <w:sz w:val="22"/>
                <w:szCs w:val="22"/>
              </w:rPr>
            </w:pPr>
            <w:r w:rsidRPr="00C83159">
              <w:rPr>
                <w:color w:val="000000"/>
                <w:sz w:val="22"/>
                <w:szCs w:val="22"/>
              </w:rPr>
              <w:t>$4</w:t>
            </w:r>
            <w:r w:rsidRPr="00C83159" w:rsidR="00CA3798">
              <w:rPr>
                <w:color w:val="000000"/>
                <w:sz w:val="22"/>
                <w:szCs w:val="22"/>
              </w:rPr>
              <w:t>71</w:t>
            </w:r>
            <w:r w:rsidRPr="00C83159" w:rsidR="00466E6E">
              <w:rPr>
                <w:color w:val="000000"/>
                <w:sz w:val="22"/>
                <w:szCs w:val="22"/>
              </w:rPr>
              <w:t>.00</w:t>
            </w:r>
          </w:p>
        </w:tc>
        <w:tc>
          <w:tcPr>
            <w:tcW w:w="1530" w:type="dxa"/>
            <w:tcBorders>
              <w:right w:val="single" w:color="auto" w:sz="4" w:space="0"/>
            </w:tcBorders>
          </w:tcPr>
          <w:p w:rsidRPr="00C83159" w:rsidR="00784F85" w:rsidP="00784F85" w:rsidRDefault="00784F85" w14:paraId="760F08DA" w14:textId="712D79C7">
            <w:pPr>
              <w:spacing w:before="60" w:after="60"/>
              <w:rPr>
                <w:color w:val="000000"/>
                <w:sz w:val="22"/>
                <w:szCs w:val="22"/>
              </w:rPr>
            </w:pPr>
            <w:r w:rsidRPr="00C83159">
              <w:rPr>
                <w:color w:val="000000"/>
                <w:sz w:val="22"/>
                <w:szCs w:val="22"/>
              </w:rPr>
              <w:t>D.25-</w:t>
            </w:r>
            <w:r w:rsidRPr="00C83159" w:rsidR="00CA3798">
              <w:rPr>
                <w:color w:val="000000"/>
                <w:sz w:val="22"/>
                <w:szCs w:val="22"/>
              </w:rPr>
              <w:t>05-022</w:t>
            </w:r>
            <w:r w:rsidRPr="00C83159">
              <w:rPr>
                <w:color w:val="000000"/>
                <w:sz w:val="22"/>
                <w:szCs w:val="22"/>
              </w:rPr>
              <w:br/>
              <w:t>Hourly Rate Chart 2/13/25</w:t>
            </w:r>
          </w:p>
        </w:tc>
        <w:tc>
          <w:tcPr>
            <w:tcW w:w="1350" w:type="dxa"/>
            <w:tcBorders>
              <w:top w:val="single" w:color="auto" w:sz="4" w:space="0"/>
              <w:left w:val="single" w:color="auto" w:sz="4" w:space="0"/>
              <w:bottom w:val="single" w:color="auto" w:sz="4" w:space="0"/>
              <w:right w:val="single" w:color="auto" w:sz="24" w:space="0"/>
            </w:tcBorders>
          </w:tcPr>
          <w:p w:rsidRPr="00C83159" w:rsidR="00784F85" w:rsidP="008B1F8D" w:rsidRDefault="00784F85" w14:paraId="39D39174" w14:textId="4114D675">
            <w:pPr>
              <w:spacing w:before="60" w:after="60"/>
              <w:rPr>
                <w:color w:val="000000"/>
                <w:sz w:val="22"/>
                <w:szCs w:val="22"/>
              </w:rPr>
            </w:pPr>
            <w:r w:rsidRPr="00C83159">
              <w:rPr>
                <w:color w:val="000000"/>
                <w:sz w:val="22"/>
                <w:szCs w:val="22"/>
              </w:rPr>
              <w:t>$</w:t>
            </w:r>
            <w:r w:rsidRPr="00C83159" w:rsidR="00897BFF">
              <w:rPr>
                <w:color w:val="000000"/>
                <w:sz w:val="22"/>
                <w:szCs w:val="22"/>
              </w:rPr>
              <w:t>8,996</w:t>
            </w:r>
            <w:r w:rsidRPr="00C83159" w:rsidR="00466E6E">
              <w:rPr>
                <w:color w:val="000000"/>
                <w:sz w:val="22"/>
                <w:szCs w:val="22"/>
              </w:rPr>
              <w:t xml:space="preserve">.00 </w:t>
            </w:r>
            <w:r w:rsidRPr="00C83159" w:rsidR="003342CC">
              <w:rPr>
                <w:rStyle w:val="FootnoteReference"/>
                <w:color w:val="000000"/>
                <w:sz w:val="22"/>
                <w:szCs w:val="22"/>
              </w:rPr>
              <w:footnoteReference w:id="9"/>
            </w:r>
          </w:p>
        </w:tc>
        <w:tc>
          <w:tcPr>
            <w:tcW w:w="810" w:type="dxa"/>
            <w:tcBorders>
              <w:left w:val="single" w:color="auto" w:sz="4" w:space="0"/>
            </w:tcBorders>
          </w:tcPr>
          <w:p w:rsidRPr="00C83159" w:rsidR="00784F85" w:rsidP="00784F85" w:rsidRDefault="00B17573" w14:paraId="047FD0B5" w14:textId="5D138709">
            <w:pPr>
              <w:spacing w:before="60" w:after="60"/>
              <w:jc w:val="center"/>
              <w:rPr>
                <w:color w:val="000000"/>
                <w:sz w:val="22"/>
                <w:szCs w:val="22"/>
              </w:rPr>
            </w:pPr>
            <w:r w:rsidRPr="00C83159">
              <w:rPr>
                <w:color w:val="000000"/>
                <w:sz w:val="22"/>
                <w:szCs w:val="22"/>
              </w:rPr>
              <w:t>19.1</w:t>
            </w:r>
          </w:p>
        </w:tc>
        <w:tc>
          <w:tcPr>
            <w:tcW w:w="1260" w:type="dxa"/>
          </w:tcPr>
          <w:p w:rsidRPr="00C83159" w:rsidR="00784F85" w:rsidP="006F6F85" w:rsidRDefault="00122AEA" w14:paraId="367660C2" w14:textId="233FF167">
            <w:pPr>
              <w:spacing w:before="60" w:after="60"/>
              <w:jc w:val="center"/>
              <w:rPr>
                <w:color w:val="000000"/>
                <w:sz w:val="22"/>
                <w:szCs w:val="22"/>
              </w:rPr>
            </w:pPr>
            <w:r w:rsidRPr="00C83159">
              <w:rPr>
                <w:color w:val="000000"/>
                <w:sz w:val="22"/>
                <w:szCs w:val="22"/>
              </w:rPr>
              <w:t>$47</w:t>
            </w:r>
            <w:r w:rsidRPr="00C83159" w:rsidR="00704918">
              <w:rPr>
                <w:color w:val="000000"/>
                <w:sz w:val="22"/>
                <w:szCs w:val="22"/>
              </w:rPr>
              <w:t>0</w:t>
            </w:r>
            <w:r w:rsidRPr="00C83159">
              <w:rPr>
                <w:color w:val="000000"/>
                <w:sz w:val="22"/>
                <w:szCs w:val="22"/>
              </w:rPr>
              <w:t>.00 [</w:t>
            </w:r>
            <w:r w:rsidRPr="00C83159" w:rsidR="004C2E41">
              <w:rPr>
                <w:color w:val="000000"/>
                <w:sz w:val="22"/>
                <w:szCs w:val="22"/>
              </w:rPr>
              <w:t>1</w:t>
            </w:r>
            <w:r w:rsidRPr="00C83159">
              <w:rPr>
                <w:color w:val="000000"/>
                <w:sz w:val="22"/>
                <w:szCs w:val="22"/>
              </w:rPr>
              <w:t>]</w:t>
            </w:r>
          </w:p>
        </w:tc>
        <w:tc>
          <w:tcPr>
            <w:tcW w:w="1260" w:type="dxa"/>
          </w:tcPr>
          <w:p w:rsidRPr="00C83159" w:rsidR="00784F85" w:rsidP="00784F85" w:rsidRDefault="00052523" w14:paraId="766AC45F" w14:textId="671CD4C2">
            <w:pPr>
              <w:spacing w:before="60" w:after="60"/>
              <w:jc w:val="right"/>
              <w:rPr>
                <w:color w:val="000000"/>
                <w:sz w:val="22"/>
                <w:szCs w:val="22"/>
              </w:rPr>
            </w:pPr>
            <w:r w:rsidRPr="00C83159">
              <w:rPr>
                <w:color w:val="000000"/>
                <w:sz w:val="22"/>
                <w:szCs w:val="22"/>
              </w:rPr>
              <w:t>$8,9</w:t>
            </w:r>
            <w:r w:rsidRPr="00C83159" w:rsidR="00A240D0">
              <w:rPr>
                <w:color w:val="000000"/>
                <w:sz w:val="22"/>
                <w:szCs w:val="22"/>
              </w:rPr>
              <w:t>77.00</w:t>
            </w:r>
          </w:p>
        </w:tc>
      </w:tr>
      <w:tr w:rsidRPr="007F620E" w:rsidR="00784F85" w:rsidTr="008B1F8D" w14:paraId="1B237C11" w14:textId="77777777">
        <w:trPr>
          <w:jc w:val="center"/>
        </w:trPr>
        <w:tc>
          <w:tcPr>
            <w:tcW w:w="7195" w:type="dxa"/>
            <w:gridSpan w:val="8"/>
            <w:tcBorders>
              <w:bottom w:val="single" w:color="auto" w:sz="4" w:space="0"/>
              <w:right w:val="single" w:color="auto" w:sz="24" w:space="0"/>
            </w:tcBorders>
            <w:vAlign w:val="bottom"/>
          </w:tcPr>
          <w:p w:rsidRPr="00374FD1" w:rsidR="00784F85" w:rsidP="00784F85" w:rsidRDefault="00784F85" w14:paraId="2ECB6744" w14:textId="375A7136">
            <w:pPr>
              <w:tabs>
                <w:tab w:val="left" w:pos="957"/>
              </w:tabs>
              <w:spacing w:before="60" w:after="60"/>
              <w:ind w:right="162"/>
              <w:jc w:val="right"/>
              <w:rPr>
                <w:b/>
                <w:i/>
                <w:color w:val="000000"/>
              </w:rPr>
            </w:pPr>
            <w:r w:rsidRPr="007F620E">
              <w:rPr>
                <w:b/>
                <w:i/>
                <w:color w:val="000000"/>
              </w:rPr>
              <w:t>Subtotal:</w:t>
            </w:r>
            <w:r w:rsidR="00466E6E">
              <w:rPr>
                <w:b/>
                <w:i/>
                <w:color w:val="000000"/>
              </w:rPr>
              <w:t>  </w:t>
            </w:r>
            <w:r w:rsidRPr="00374FD1">
              <w:rPr>
                <w:b/>
                <w:i/>
                <w:color w:val="000000"/>
              </w:rPr>
              <w:t>$</w:t>
            </w:r>
            <w:r w:rsidR="00BD093A">
              <w:rPr>
                <w:b/>
                <w:i/>
                <w:color w:val="000000"/>
              </w:rPr>
              <w:t>145</w:t>
            </w:r>
            <w:r w:rsidR="00897BFF">
              <w:rPr>
                <w:b/>
                <w:i/>
                <w:color w:val="000000"/>
              </w:rPr>
              <w:t>,885</w:t>
            </w:r>
            <w:r w:rsidR="008E6A0F">
              <w:rPr>
                <w:rStyle w:val="FootnoteReference"/>
                <w:b/>
                <w:i/>
                <w:color w:val="000000"/>
              </w:rPr>
              <w:footnoteReference w:id="10"/>
            </w:r>
          </w:p>
        </w:tc>
        <w:tc>
          <w:tcPr>
            <w:tcW w:w="3330" w:type="dxa"/>
            <w:gridSpan w:val="3"/>
            <w:tcBorders>
              <w:left w:val="single" w:color="auto" w:sz="24" w:space="0"/>
              <w:bottom w:val="single" w:color="auto" w:sz="4" w:space="0"/>
            </w:tcBorders>
            <w:vAlign w:val="bottom"/>
          </w:tcPr>
          <w:p w:rsidRPr="007F620E" w:rsidR="00784F85" w:rsidP="00784F85" w:rsidRDefault="00784F85" w14:paraId="4C4556E5" w14:textId="2C2C114A">
            <w:pPr>
              <w:tabs>
                <w:tab w:val="left" w:pos="957"/>
              </w:tabs>
              <w:spacing w:before="60" w:after="60"/>
              <w:ind w:right="162"/>
              <w:jc w:val="right"/>
              <w:rPr>
                <w:color w:val="000000"/>
              </w:rPr>
            </w:pPr>
            <w:r w:rsidRPr="007F620E">
              <w:rPr>
                <w:b/>
                <w:i/>
                <w:color w:val="000000"/>
              </w:rPr>
              <w:t>Subtotal:</w:t>
            </w:r>
            <w:r w:rsidR="00466E6E">
              <w:rPr>
                <w:b/>
                <w:i/>
                <w:color w:val="000000"/>
              </w:rPr>
              <w:t>  </w:t>
            </w:r>
            <w:r w:rsidRPr="00052523">
              <w:rPr>
                <w:b/>
                <w:i/>
                <w:iCs/>
                <w:color w:val="000000"/>
              </w:rPr>
              <w:t>$</w:t>
            </w:r>
            <w:r w:rsidR="00052523">
              <w:rPr>
                <w:b/>
                <w:i/>
                <w:iCs/>
                <w:color w:val="000000"/>
              </w:rPr>
              <w:t>142,</w:t>
            </w:r>
            <w:r w:rsidR="007D0607">
              <w:rPr>
                <w:b/>
                <w:i/>
                <w:iCs/>
                <w:color w:val="000000"/>
              </w:rPr>
              <w:t>0</w:t>
            </w:r>
            <w:r w:rsidR="000423E6">
              <w:rPr>
                <w:b/>
                <w:i/>
                <w:iCs/>
                <w:color w:val="000000"/>
              </w:rPr>
              <w:t>26</w:t>
            </w:r>
            <w:r w:rsidR="00052523">
              <w:rPr>
                <w:b/>
                <w:i/>
                <w:iCs/>
                <w:color w:val="000000"/>
              </w:rPr>
              <w:t>.</w:t>
            </w:r>
            <w:r w:rsidR="000423E6">
              <w:rPr>
                <w:b/>
                <w:i/>
                <w:iCs/>
                <w:color w:val="000000"/>
              </w:rPr>
              <w:t>5</w:t>
            </w:r>
            <w:r w:rsidR="00052523">
              <w:rPr>
                <w:b/>
                <w:i/>
                <w:iCs/>
                <w:color w:val="000000"/>
              </w:rPr>
              <w:t>0</w:t>
            </w:r>
          </w:p>
        </w:tc>
      </w:tr>
      <w:tr w:rsidRPr="007F620E" w:rsidR="00CC0BB8" w:rsidTr="00466E6E" w14:paraId="033055EF" w14:textId="77777777">
        <w:trPr>
          <w:jc w:val="center"/>
        </w:trPr>
        <w:tc>
          <w:tcPr>
            <w:tcW w:w="10525" w:type="dxa"/>
            <w:gridSpan w:val="11"/>
            <w:tcBorders>
              <w:top w:val="single" w:color="auto" w:sz="4" w:space="0"/>
              <w:left w:val="single" w:color="auto" w:sz="4" w:space="0"/>
              <w:bottom w:val="single" w:color="auto" w:sz="4" w:space="0"/>
              <w:right w:val="single" w:color="auto" w:sz="4" w:space="0"/>
            </w:tcBorders>
            <w:shd w:val="clear" w:color="auto" w:fill="E6E6E6"/>
            <w:vAlign w:val="bottom"/>
          </w:tcPr>
          <w:p w:rsidRPr="007F620E" w:rsidR="00CC0BB8" w:rsidP="00E41DEA" w:rsidRDefault="00CC0BB8" w14:paraId="30C346C8" w14:textId="77777777">
            <w:pPr>
              <w:keepNext/>
              <w:jc w:val="center"/>
              <w:rPr>
                <w:b/>
                <w:color w:val="000000"/>
              </w:rPr>
            </w:pPr>
            <w:r w:rsidRPr="007F620E">
              <w:rPr>
                <w:b/>
                <w:color w:val="000000"/>
              </w:rPr>
              <w:lastRenderedPageBreak/>
              <w:t>OTHER FEES</w:t>
            </w:r>
          </w:p>
          <w:p w:rsidRPr="007F620E" w:rsidR="00CC0BB8" w:rsidP="00E41DEA" w:rsidRDefault="00CC0BB8" w14:paraId="4E7F42BE" w14:textId="77777777">
            <w:pPr>
              <w:keepNext/>
              <w:jc w:val="center"/>
              <w:rPr>
                <w:b/>
                <w:color w:val="000000"/>
              </w:rPr>
            </w:pPr>
            <w:r w:rsidRPr="007F620E">
              <w:rPr>
                <w:b/>
                <w:color w:val="000000"/>
              </w:rPr>
              <w:t>Describe here what OTHER HOURLY FEES you are Claiming (paralegal, travel **, etc.):</w:t>
            </w:r>
          </w:p>
        </w:tc>
      </w:tr>
      <w:tr w:rsidRPr="00260518" w:rsidR="00CC0BB8" w:rsidTr="008B1F8D" w14:paraId="78C1B689" w14:textId="77777777">
        <w:trPr>
          <w:jc w:val="center"/>
        </w:trPr>
        <w:tc>
          <w:tcPr>
            <w:tcW w:w="1795" w:type="dxa"/>
            <w:gridSpan w:val="2"/>
            <w:tcBorders>
              <w:top w:val="single" w:color="auto" w:sz="4" w:space="0"/>
              <w:bottom w:val="single" w:color="auto" w:sz="4" w:space="0"/>
            </w:tcBorders>
            <w:vAlign w:val="center"/>
          </w:tcPr>
          <w:p w:rsidRPr="00260518" w:rsidR="00CC0BB8" w:rsidP="005812EB" w:rsidRDefault="00CC0BB8" w14:paraId="705D5C4E" w14:textId="77777777">
            <w:pPr>
              <w:keepNext/>
              <w:jc w:val="center"/>
              <w:rPr>
                <w:b/>
                <w:color w:val="000000"/>
                <w:sz w:val="22"/>
                <w:szCs w:val="22"/>
              </w:rPr>
            </w:pPr>
            <w:r w:rsidRPr="00260518">
              <w:rPr>
                <w:b/>
                <w:color w:val="000000"/>
                <w:sz w:val="22"/>
                <w:szCs w:val="22"/>
              </w:rPr>
              <w:t>Item</w:t>
            </w:r>
          </w:p>
        </w:tc>
        <w:tc>
          <w:tcPr>
            <w:tcW w:w="720" w:type="dxa"/>
            <w:gridSpan w:val="2"/>
            <w:tcBorders>
              <w:top w:val="single" w:color="auto" w:sz="4" w:space="0"/>
              <w:bottom w:val="single" w:color="auto" w:sz="4" w:space="0"/>
            </w:tcBorders>
            <w:vAlign w:val="center"/>
          </w:tcPr>
          <w:p w:rsidRPr="00260518" w:rsidR="00CC0BB8" w:rsidP="005812EB" w:rsidRDefault="00CC0BB8" w14:paraId="48AB1C2A" w14:textId="77777777">
            <w:pPr>
              <w:keepNext/>
              <w:jc w:val="center"/>
              <w:rPr>
                <w:b/>
                <w:color w:val="000000"/>
                <w:sz w:val="22"/>
                <w:szCs w:val="22"/>
              </w:rPr>
            </w:pPr>
            <w:r w:rsidRPr="00260518">
              <w:rPr>
                <w:b/>
                <w:color w:val="000000"/>
                <w:sz w:val="22"/>
                <w:szCs w:val="22"/>
              </w:rPr>
              <w:t>Year</w:t>
            </w:r>
          </w:p>
        </w:tc>
        <w:tc>
          <w:tcPr>
            <w:tcW w:w="810" w:type="dxa"/>
            <w:tcBorders>
              <w:top w:val="single" w:color="auto" w:sz="4" w:space="0"/>
              <w:bottom w:val="single" w:color="auto" w:sz="4" w:space="0"/>
            </w:tcBorders>
            <w:vAlign w:val="center"/>
          </w:tcPr>
          <w:p w:rsidRPr="00260518" w:rsidR="00CC0BB8" w:rsidP="005812EB" w:rsidRDefault="00CC0BB8" w14:paraId="67646387" w14:textId="77777777">
            <w:pPr>
              <w:keepNext/>
              <w:jc w:val="center"/>
              <w:rPr>
                <w:b/>
                <w:color w:val="000000"/>
                <w:sz w:val="22"/>
                <w:szCs w:val="22"/>
              </w:rPr>
            </w:pPr>
            <w:r w:rsidRPr="00260518">
              <w:rPr>
                <w:b/>
                <w:color w:val="000000"/>
                <w:sz w:val="22"/>
                <w:szCs w:val="22"/>
              </w:rPr>
              <w:t>Hours</w:t>
            </w:r>
          </w:p>
        </w:tc>
        <w:tc>
          <w:tcPr>
            <w:tcW w:w="990" w:type="dxa"/>
            <w:tcBorders>
              <w:top w:val="single" w:color="auto" w:sz="4" w:space="0"/>
              <w:bottom w:val="single" w:color="auto" w:sz="4" w:space="0"/>
            </w:tcBorders>
            <w:vAlign w:val="center"/>
          </w:tcPr>
          <w:p w:rsidRPr="00260518" w:rsidR="00CC0BB8" w:rsidP="005812EB" w:rsidRDefault="00CC0BB8" w14:paraId="114B1DF1" w14:textId="77777777">
            <w:pPr>
              <w:keepNext/>
              <w:jc w:val="center"/>
              <w:rPr>
                <w:b/>
                <w:color w:val="000000"/>
                <w:sz w:val="22"/>
                <w:szCs w:val="22"/>
              </w:rPr>
            </w:pPr>
            <w:r w:rsidRPr="00260518">
              <w:rPr>
                <w:b/>
                <w:color w:val="000000"/>
                <w:sz w:val="22"/>
                <w:szCs w:val="22"/>
              </w:rPr>
              <w:t>Rate $</w:t>
            </w:r>
          </w:p>
        </w:tc>
        <w:tc>
          <w:tcPr>
            <w:tcW w:w="1530" w:type="dxa"/>
            <w:tcBorders>
              <w:top w:val="single" w:color="auto" w:sz="4" w:space="0"/>
              <w:bottom w:val="single" w:color="auto" w:sz="4" w:space="0"/>
              <w:right w:val="single" w:color="auto" w:sz="4" w:space="0"/>
            </w:tcBorders>
            <w:vAlign w:val="center"/>
          </w:tcPr>
          <w:p w:rsidRPr="00260518" w:rsidR="00CC0BB8" w:rsidP="005812EB" w:rsidRDefault="00CC0BB8" w14:paraId="09C86F9C" w14:textId="77777777">
            <w:pPr>
              <w:keepNext/>
              <w:jc w:val="center"/>
              <w:rPr>
                <w:b/>
                <w:color w:val="000000"/>
                <w:sz w:val="22"/>
                <w:szCs w:val="22"/>
              </w:rPr>
            </w:pPr>
            <w:r w:rsidRPr="00260518">
              <w:rPr>
                <w:b/>
                <w:color w:val="000000"/>
                <w:sz w:val="22"/>
                <w:szCs w:val="22"/>
              </w:rPr>
              <w:t>Basis for Rate*</w:t>
            </w:r>
          </w:p>
        </w:tc>
        <w:tc>
          <w:tcPr>
            <w:tcW w:w="1350" w:type="dxa"/>
            <w:tcBorders>
              <w:top w:val="single" w:color="auto" w:sz="4" w:space="0"/>
              <w:left w:val="single" w:color="auto" w:sz="4" w:space="0"/>
              <w:bottom w:val="single" w:color="auto" w:sz="4" w:space="0"/>
              <w:right w:val="single" w:color="auto" w:sz="24" w:space="0"/>
            </w:tcBorders>
            <w:vAlign w:val="center"/>
          </w:tcPr>
          <w:p w:rsidRPr="00260518" w:rsidR="00CC0BB8" w:rsidP="005812EB" w:rsidRDefault="00CC0BB8" w14:paraId="696E6AF7" w14:textId="77777777">
            <w:pPr>
              <w:keepNext/>
              <w:jc w:val="center"/>
              <w:rPr>
                <w:b/>
                <w:color w:val="000000"/>
                <w:sz w:val="22"/>
                <w:szCs w:val="22"/>
              </w:rPr>
            </w:pPr>
            <w:r w:rsidRPr="00260518">
              <w:rPr>
                <w:b/>
                <w:color w:val="000000"/>
                <w:sz w:val="22"/>
                <w:szCs w:val="22"/>
              </w:rPr>
              <w:t>Total $</w:t>
            </w:r>
          </w:p>
        </w:tc>
        <w:tc>
          <w:tcPr>
            <w:tcW w:w="810" w:type="dxa"/>
            <w:tcBorders>
              <w:top w:val="single" w:color="auto" w:sz="4" w:space="0"/>
              <w:left w:val="single" w:color="auto" w:sz="4" w:space="0"/>
            </w:tcBorders>
            <w:vAlign w:val="center"/>
          </w:tcPr>
          <w:p w:rsidRPr="00260518" w:rsidR="00CC0BB8" w:rsidP="005812EB" w:rsidRDefault="00CC0BB8" w14:paraId="4C0A87E1" w14:textId="77777777">
            <w:pPr>
              <w:keepNext/>
              <w:jc w:val="center"/>
              <w:rPr>
                <w:b/>
                <w:color w:val="000000"/>
                <w:sz w:val="22"/>
                <w:szCs w:val="22"/>
              </w:rPr>
            </w:pPr>
            <w:r w:rsidRPr="00260518">
              <w:rPr>
                <w:b/>
                <w:color w:val="000000"/>
                <w:sz w:val="22"/>
                <w:szCs w:val="22"/>
              </w:rPr>
              <w:t>Hours</w:t>
            </w:r>
          </w:p>
        </w:tc>
        <w:tc>
          <w:tcPr>
            <w:tcW w:w="1260" w:type="dxa"/>
            <w:tcBorders>
              <w:top w:val="single" w:color="auto" w:sz="4" w:space="0"/>
            </w:tcBorders>
            <w:vAlign w:val="center"/>
          </w:tcPr>
          <w:p w:rsidRPr="00260518" w:rsidR="00CC0BB8" w:rsidP="005812EB" w:rsidRDefault="00CC0BB8" w14:paraId="4B0BB022" w14:textId="77777777">
            <w:pPr>
              <w:keepNext/>
              <w:jc w:val="center"/>
              <w:rPr>
                <w:b/>
                <w:color w:val="000000"/>
                <w:sz w:val="22"/>
                <w:szCs w:val="22"/>
              </w:rPr>
            </w:pPr>
            <w:r w:rsidRPr="00260518">
              <w:rPr>
                <w:b/>
                <w:color w:val="000000"/>
                <w:sz w:val="22"/>
                <w:szCs w:val="22"/>
              </w:rPr>
              <w:t xml:space="preserve">Rate </w:t>
            </w:r>
            <w:r>
              <w:rPr>
                <w:b/>
                <w:color w:val="000000"/>
                <w:sz w:val="22"/>
                <w:szCs w:val="22"/>
              </w:rPr>
              <w:t>$</w:t>
            </w:r>
          </w:p>
        </w:tc>
        <w:tc>
          <w:tcPr>
            <w:tcW w:w="1260" w:type="dxa"/>
            <w:tcBorders>
              <w:top w:val="single" w:color="auto" w:sz="4" w:space="0"/>
            </w:tcBorders>
            <w:vAlign w:val="center"/>
          </w:tcPr>
          <w:p w:rsidRPr="00260518" w:rsidR="00CC0BB8" w:rsidP="005812EB" w:rsidRDefault="00CC0BB8" w14:paraId="1A70E9B0" w14:textId="77777777">
            <w:pPr>
              <w:keepNext/>
              <w:jc w:val="center"/>
              <w:rPr>
                <w:b/>
                <w:color w:val="000000"/>
                <w:sz w:val="22"/>
                <w:szCs w:val="22"/>
              </w:rPr>
            </w:pPr>
            <w:r w:rsidRPr="00260518">
              <w:rPr>
                <w:b/>
                <w:color w:val="000000"/>
                <w:sz w:val="22"/>
                <w:szCs w:val="22"/>
              </w:rPr>
              <w:t>Total $</w:t>
            </w:r>
          </w:p>
        </w:tc>
      </w:tr>
      <w:tr w:rsidRPr="007F620E" w:rsidR="00CC0BB8" w:rsidTr="008B1F8D" w14:paraId="4F6DC0F5" w14:textId="77777777">
        <w:trPr>
          <w:jc w:val="center"/>
        </w:trPr>
        <w:tc>
          <w:tcPr>
            <w:tcW w:w="1795" w:type="dxa"/>
            <w:gridSpan w:val="2"/>
          </w:tcPr>
          <w:p w:rsidRPr="008B1F8D" w:rsidR="00CC0BB8" w:rsidP="0018544B" w:rsidRDefault="00CC0BB8" w14:paraId="3A84AF6A" w14:textId="38D89F4A">
            <w:pPr>
              <w:ind w:left="-115" w:right="-113"/>
              <w:jc w:val="center"/>
              <w:rPr>
                <w:color w:val="000000"/>
                <w:sz w:val="22"/>
                <w:szCs w:val="22"/>
              </w:rPr>
            </w:pPr>
            <w:r w:rsidRPr="008B1F8D">
              <w:rPr>
                <w:color w:val="000000"/>
                <w:sz w:val="22"/>
                <w:szCs w:val="22"/>
              </w:rPr>
              <w:t>Dr.</w:t>
            </w:r>
            <w:r w:rsidRPr="008B1F8D" w:rsidR="005812EB">
              <w:rPr>
                <w:color w:val="000000"/>
                <w:sz w:val="22"/>
                <w:szCs w:val="22"/>
              </w:rPr>
              <w:t> </w:t>
            </w:r>
            <w:r w:rsidRPr="008B1F8D">
              <w:rPr>
                <w:color w:val="000000"/>
                <w:sz w:val="22"/>
                <w:szCs w:val="22"/>
              </w:rPr>
              <w:t>Joseph</w:t>
            </w:r>
            <w:r w:rsidRPr="008B1F8D" w:rsidR="005812EB">
              <w:rPr>
                <w:color w:val="000000"/>
                <w:sz w:val="22"/>
                <w:szCs w:val="22"/>
              </w:rPr>
              <w:t> </w:t>
            </w:r>
            <w:r w:rsidRPr="008B1F8D">
              <w:rPr>
                <w:color w:val="000000"/>
                <w:sz w:val="22"/>
                <w:szCs w:val="22"/>
              </w:rPr>
              <w:t>Mitchell</w:t>
            </w:r>
            <w:r w:rsidRPr="008B1F8D" w:rsidR="005812EB">
              <w:rPr>
                <w:color w:val="000000"/>
                <w:sz w:val="22"/>
                <w:szCs w:val="22"/>
              </w:rPr>
              <w:t xml:space="preserve"> </w:t>
            </w:r>
            <w:r w:rsidRPr="008B1F8D">
              <w:rPr>
                <w:color w:val="000000"/>
                <w:sz w:val="22"/>
                <w:szCs w:val="22"/>
              </w:rPr>
              <w:t>(Expert)</w:t>
            </w:r>
            <w:r w:rsidRPr="008B1F8D">
              <w:rPr>
                <w:rStyle w:val="FootnoteReference"/>
                <w:color w:val="000000"/>
                <w:sz w:val="22"/>
                <w:szCs w:val="22"/>
              </w:rPr>
              <w:footnoteReference w:id="11"/>
            </w:r>
          </w:p>
        </w:tc>
        <w:tc>
          <w:tcPr>
            <w:tcW w:w="720" w:type="dxa"/>
            <w:gridSpan w:val="2"/>
          </w:tcPr>
          <w:p w:rsidRPr="008B1F8D" w:rsidR="00CC0BB8" w:rsidP="00E41DEA" w:rsidRDefault="00A1296E" w14:paraId="0F4A42E9" w14:textId="46113924">
            <w:pPr>
              <w:jc w:val="center"/>
              <w:rPr>
                <w:color w:val="000000"/>
                <w:sz w:val="22"/>
                <w:szCs w:val="22"/>
              </w:rPr>
            </w:pPr>
            <w:r w:rsidRPr="008B1F8D">
              <w:rPr>
                <w:color w:val="000000"/>
                <w:sz w:val="22"/>
                <w:szCs w:val="22"/>
              </w:rPr>
              <w:t>2025</w:t>
            </w:r>
          </w:p>
        </w:tc>
        <w:tc>
          <w:tcPr>
            <w:tcW w:w="810" w:type="dxa"/>
          </w:tcPr>
          <w:p w:rsidRPr="008B1F8D" w:rsidR="00CC0BB8" w:rsidP="00E41DEA" w:rsidRDefault="00A1296E" w14:paraId="2EF5B079" w14:textId="699F6203">
            <w:pPr>
              <w:jc w:val="center"/>
              <w:rPr>
                <w:color w:val="000000"/>
                <w:sz w:val="22"/>
                <w:szCs w:val="22"/>
              </w:rPr>
            </w:pPr>
            <w:r w:rsidRPr="008B1F8D">
              <w:rPr>
                <w:color w:val="000000"/>
                <w:sz w:val="22"/>
                <w:szCs w:val="22"/>
              </w:rPr>
              <w:t>8</w:t>
            </w:r>
          </w:p>
        </w:tc>
        <w:tc>
          <w:tcPr>
            <w:tcW w:w="990" w:type="dxa"/>
          </w:tcPr>
          <w:p w:rsidRPr="00C83159" w:rsidR="00CC0BB8" w:rsidP="00E41DEA" w:rsidRDefault="0057381E" w14:paraId="227FE4E8" w14:textId="61E2E883">
            <w:pPr>
              <w:rPr>
                <w:color w:val="000000"/>
                <w:sz w:val="22"/>
                <w:szCs w:val="22"/>
              </w:rPr>
            </w:pPr>
            <w:r w:rsidRPr="00C83159">
              <w:rPr>
                <w:color w:val="000000"/>
                <w:sz w:val="22"/>
                <w:szCs w:val="22"/>
              </w:rPr>
              <w:t>$235.50</w:t>
            </w:r>
          </w:p>
        </w:tc>
        <w:tc>
          <w:tcPr>
            <w:tcW w:w="1530" w:type="dxa"/>
            <w:tcBorders>
              <w:right w:val="single" w:color="auto" w:sz="4" w:space="0"/>
            </w:tcBorders>
          </w:tcPr>
          <w:p w:rsidRPr="005812EB" w:rsidR="00CC0BB8" w:rsidP="00E41DEA" w:rsidRDefault="0057381E" w14:paraId="1F7D4EAE" w14:textId="4B3DA57B">
            <w:pPr>
              <w:rPr>
                <w:color w:val="000000"/>
                <w:sz w:val="22"/>
                <w:szCs w:val="22"/>
              </w:rPr>
            </w:pPr>
            <w:r w:rsidRPr="005812EB">
              <w:rPr>
                <w:color w:val="000000"/>
                <w:sz w:val="22"/>
                <w:szCs w:val="22"/>
              </w:rPr>
              <w:t>D.25-05-022</w:t>
            </w:r>
            <w:r w:rsidRPr="005812EB">
              <w:rPr>
                <w:color w:val="000000"/>
                <w:sz w:val="22"/>
                <w:szCs w:val="22"/>
              </w:rPr>
              <w:br/>
              <w:t>Hourly Rate Chart 2/13/25</w:t>
            </w:r>
          </w:p>
        </w:tc>
        <w:tc>
          <w:tcPr>
            <w:tcW w:w="1350" w:type="dxa"/>
            <w:tcBorders>
              <w:top w:val="single" w:color="auto" w:sz="4" w:space="0"/>
              <w:left w:val="single" w:color="auto" w:sz="4" w:space="0"/>
              <w:bottom w:val="single" w:color="auto" w:sz="4" w:space="0"/>
              <w:right w:val="single" w:color="auto" w:sz="24" w:space="0"/>
            </w:tcBorders>
          </w:tcPr>
          <w:p w:rsidRPr="008B1F8D" w:rsidR="00CC0BB8" w:rsidP="00E41DEA" w:rsidRDefault="001C0DC1" w14:paraId="25403E1B" w14:textId="0CC84789">
            <w:pPr>
              <w:rPr>
                <w:color w:val="000000"/>
                <w:sz w:val="22"/>
                <w:szCs w:val="22"/>
              </w:rPr>
            </w:pPr>
            <w:r w:rsidRPr="008B1F8D">
              <w:rPr>
                <w:color w:val="000000"/>
                <w:sz w:val="22"/>
                <w:szCs w:val="22"/>
              </w:rPr>
              <w:t>$1,884</w:t>
            </w:r>
            <w:r w:rsidRPr="008B1F8D" w:rsidR="0057381E">
              <w:rPr>
                <w:color w:val="000000"/>
                <w:sz w:val="22"/>
                <w:szCs w:val="22"/>
              </w:rPr>
              <w:t>.00</w:t>
            </w:r>
          </w:p>
        </w:tc>
        <w:tc>
          <w:tcPr>
            <w:tcW w:w="810" w:type="dxa"/>
            <w:tcBorders>
              <w:left w:val="single" w:color="auto" w:sz="4" w:space="0"/>
              <w:right w:val="single" w:color="auto" w:sz="4" w:space="0"/>
            </w:tcBorders>
          </w:tcPr>
          <w:p w:rsidRPr="008B1F8D" w:rsidR="00CC0BB8" w:rsidP="00E41DEA" w:rsidRDefault="00CF4BC4" w14:paraId="2C9B63EE" w14:textId="5D989A16">
            <w:pPr>
              <w:jc w:val="center"/>
              <w:rPr>
                <w:color w:val="000000"/>
                <w:sz w:val="22"/>
                <w:szCs w:val="22"/>
              </w:rPr>
            </w:pPr>
            <w:r w:rsidRPr="008B1F8D">
              <w:rPr>
                <w:color w:val="000000"/>
                <w:sz w:val="22"/>
                <w:szCs w:val="22"/>
              </w:rPr>
              <w:t>8</w:t>
            </w:r>
          </w:p>
        </w:tc>
        <w:tc>
          <w:tcPr>
            <w:tcW w:w="1260" w:type="dxa"/>
            <w:tcBorders>
              <w:left w:val="single" w:color="auto" w:sz="4" w:space="0"/>
            </w:tcBorders>
          </w:tcPr>
          <w:p w:rsidRPr="008B1F8D" w:rsidR="00CC0BB8" w:rsidP="008B1F8D" w:rsidRDefault="004649F8" w14:paraId="60557E4C" w14:textId="4F90B6D5">
            <w:pPr>
              <w:spacing w:before="60" w:after="60"/>
              <w:jc w:val="center"/>
              <w:rPr>
                <w:color w:val="000000"/>
                <w:sz w:val="22"/>
                <w:szCs w:val="22"/>
              </w:rPr>
            </w:pPr>
            <w:r w:rsidRPr="008B1F8D">
              <w:rPr>
                <w:color w:val="000000"/>
                <w:sz w:val="22"/>
                <w:szCs w:val="22"/>
              </w:rPr>
              <w:t>$235.</w:t>
            </w:r>
            <w:r w:rsidRPr="008B1F8D" w:rsidR="00704918">
              <w:rPr>
                <w:color w:val="000000"/>
                <w:sz w:val="22"/>
                <w:szCs w:val="22"/>
              </w:rPr>
              <w:t>0</w:t>
            </w:r>
            <w:r w:rsidRPr="008B1F8D">
              <w:rPr>
                <w:color w:val="000000"/>
                <w:sz w:val="22"/>
                <w:szCs w:val="22"/>
              </w:rPr>
              <w:t>0 [1]</w:t>
            </w:r>
          </w:p>
        </w:tc>
        <w:tc>
          <w:tcPr>
            <w:tcW w:w="1260" w:type="dxa"/>
          </w:tcPr>
          <w:p w:rsidRPr="008B1F8D" w:rsidR="00CC0BB8" w:rsidP="00466E6E" w:rsidRDefault="00A22ECA" w14:paraId="4ADB0579" w14:textId="7DC2F533">
            <w:pPr>
              <w:spacing w:before="60" w:after="60"/>
              <w:rPr>
                <w:color w:val="000000"/>
                <w:sz w:val="22"/>
                <w:szCs w:val="22"/>
              </w:rPr>
            </w:pPr>
            <w:r w:rsidRPr="008B1F8D">
              <w:rPr>
                <w:color w:val="000000"/>
                <w:sz w:val="22"/>
                <w:szCs w:val="22"/>
              </w:rPr>
              <w:t>$1,88</w:t>
            </w:r>
            <w:r w:rsidRPr="008B1F8D" w:rsidR="007C288B">
              <w:rPr>
                <w:color w:val="000000"/>
                <w:sz w:val="22"/>
                <w:szCs w:val="22"/>
              </w:rPr>
              <w:t>0</w:t>
            </w:r>
            <w:r w:rsidRPr="008B1F8D">
              <w:rPr>
                <w:color w:val="000000"/>
                <w:sz w:val="22"/>
                <w:szCs w:val="22"/>
              </w:rPr>
              <w:t>.00</w:t>
            </w:r>
          </w:p>
        </w:tc>
      </w:tr>
      <w:tr w:rsidRPr="007F620E" w:rsidR="001C0DC1" w:rsidTr="008B1F8D" w14:paraId="2E18431A" w14:textId="77777777">
        <w:trPr>
          <w:jc w:val="center"/>
        </w:trPr>
        <w:tc>
          <w:tcPr>
            <w:tcW w:w="7195" w:type="dxa"/>
            <w:gridSpan w:val="8"/>
            <w:tcBorders>
              <w:bottom w:val="single" w:color="auto" w:sz="4" w:space="0"/>
              <w:right w:val="single" w:color="auto" w:sz="24" w:space="0"/>
            </w:tcBorders>
            <w:vAlign w:val="bottom"/>
          </w:tcPr>
          <w:p w:rsidRPr="00374FD1" w:rsidR="001C0DC1" w:rsidP="00E41DEA" w:rsidRDefault="001C0DC1" w14:paraId="54F091AC" w14:textId="0F5E3B34">
            <w:pPr>
              <w:tabs>
                <w:tab w:val="left" w:pos="957"/>
              </w:tabs>
              <w:ind w:right="162"/>
              <w:jc w:val="right"/>
              <w:rPr>
                <w:b/>
                <w:i/>
                <w:color w:val="000000"/>
              </w:rPr>
            </w:pPr>
            <w:r w:rsidRPr="007F620E">
              <w:rPr>
                <w:b/>
                <w:i/>
                <w:color w:val="000000"/>
              </w:rPr>
              <w:t>Subtotal:</w:t>
            </w:r>
            <w:r w:rsidR="00E41DEA">
              <w:rPr>
                <w:b/>
                <w:i/>
                <w:color w:val="000000"/>
              </w:rPr>
              <w:t>  </w:t>
            </w:r>
            <w:r w:rsidRPr="00374FD1">
              <w:rPr>
                <w:b/>
                <w:i/>
                <w:color w:val="000000"/>
              </w:rPr>
              <w:t>$</w:t>
            </w:r>
            <w:r w:rsidR="0057381E">
              <w:rPr>
                <w:b/>
                <w:i/>
                <w:color w:val="000000"/>
              </w:rPr>
              <w:t>1,884.00</w:t>
            </w:r>
          </w:p>
        </w:tc>
        <w:tc>
          <w:tcPr>
            <w:tcW w:w="3330" w:type="dxa"/>
            <w:gridSpan w:val="3"/>
            <w:tcBorders>
              <w:left w:val="single" w:color="auto" w:sz="24" w:space="0"/>
              <w:bottom w:val="single" w:color="auto" w:sz="4" w:space="0"/>
            </w:tcBorders>
            <w:vAlign w:val="bottom"/>
          </w:tcPr>
          <w:p w:rsidRPr="00374FD1" w:rsidR="001C0DC1" w:rsidP="00E41DEA" w:rsidRDefault="001C0DC1" w14:paraId="2C114888" w14:textId="5CEA15C7">
            <w:pPr>
              <w:tabs>
                <w:tab w:val="left" w:pos="957"/>
              </w:tabs>
              <w:ind w:right="162"/>
              <w:jc w:val="right"/>
              <w:rPr>
                <w:b/>
                <w:i/>
                <w:color w:val="000000"/>
              </w:rPr>
            </w:pPr>
            <w:r w:rsidRPr="007F620E">
              <w:rPr>
                <w:b/>
                <w:i/>
                <w:color w:val="000000"/>
              </w:rPr>
              <w:t>Subtotal:</w:t>
            </w:r>
            <w:r w:rsidR="00E41DEA">
              <w:rPr>
                <w:b/>
                <w:i/>
                <w:color w:val="000000"/>
              </w:rPr>
              <w:t>  </w:t>
            </w:r>
            <w:r w:rsidRPr="00374FD1">
              <w:rPr>
                <w:b/>
                <w:i/>
                <w:color w:val="000000"/>
              </w:rPr>
              <w:t>$</w:t>
            </w:r>
            <w:r w:rsidR="00A22ECA">
              <w:rPr>
                <w:b/>
                <w:i/>
                <w:color w:val="000000"/>
              </w:rPr>
              <w:t>1,88</w:t>
            </w:r>
            <w:r w:rsidR="007C288B">
              <w:rPr>
                <w:b/>
                <w:i/>
                <w:color w:val="000000"/>
              </w:rPr>
              <w:t>0</w:t>
            </w:r>
            <w:r w:rsidR="00A22ECA">
              <w:rPr>
                <w:b/>
                <w:i/>
                <w:color w:val="000000"/>
              </w:rPr>
              <w:t>.00</w:t>
            </w:r>
          </w:p>
        </w:tc>
      </w:tr>
      <w:tr w:rsidRPr="007F620E" w:rsidR="00784F85" w:rsidTr="00466E6E" w14:paraId="4F8FAF05" w14:textId="77777777">
        <w:trPr>
          <w:jc w:val="center"/>
        </w:trPr>
        <w:tc>
          <w:tcPr>
            <w:tcW w:w="10525" w:type="dxa"/>
            <w:gridSpan w:val="11"/>
            <w:tcBorders>
              <w:top w:val="single" w:color="auto" w:sz="4" w:space="0"/>
              <w:left w:val="single" w:color="auto" w:sz="4" w:space="0"/>
              <w:bottom w:val="single" w:color="auto" w:sz="4" w:space="0"/>
              <w:right w:val="single" w:color="auto" w:sz="4" w:space="0"/>
            </w:tcBorders>
            <w:shd w:val="clear" w:color="auto" w:fill="E6E6E6"/>
          </w:tcPr>
          <w:p w:rsidRPr="007F620E" w:rsidR="00784F85" w:rsidP="00E41DEA" w:rsidRDefault="00784F85" w14:paraId="41FE304C" w14:textId="77777777">
            <w:pPr>
              <w:keepNext/>
              <w:jc w:val="center"/>
              <w:rPr>
                <w:color w:val="000000"/>
              </w:rPr>
            </w:pPr>
            <w:r w:rsidRPr="007F620E">
              <w:rPr>
                <w:b/>
                <w:color w:val="000000"/>
              </w:rPr>
              <w:t xml:space="preserve">INTERVENOR COMPENSATION CLAIM PREPARATION </w:t>
            </w:r>
            <w:r w:rsidRPr="007F620E">
              <w:rPr>
                <w:b/>
                <w:smallCaps/>
                <w:color w:val="000000"/>
              </w:rPr>
              <w:t xml:space="preserve"> **</w:t>
            </w:r>
          </w:p>
        </w:tc>
      </w:tr>
      <w:tr w:rsidRPr="00260518" w:rsidR="00784F85" w:rsidTr="008B1F8D" w14:paraId="48B3E535" w14:textId="77777777">
        <w:trPr>
          <w:jc w:val="center"/>
        </w:trPr>
        <w:tc>
          <w:tcPr>
            <w:tcW w:w="1795" w:type="dxa"/>
            <w:gridSpan w:val="2"/>
            <w:tcBorders>
              <w:top w:val="single" w:color="auto" w:sz="4" w:space="0"/>
              <w:bottom w:val="single" w:color="auto" w:sz="4" w:space="0"/>
            </w:tcBorders>
            <w:vAlign w:val="center"/>
          </w:tcPr>
          <w:p w:rsidRPr="00260518" w:rsidR="00784F85" w:rsidP="005812EB" w:rsidRDefault="00784F85" w14:paraId="563A43BB" w14:textId="77777777">
            <w:pPr>
              <w:keepNext/>
              <w:jc w:val="center"/>
              <w:rPr>
                <w:b/>
                <w:color w:val="000000"/>
                <w:sz w:val="22"/>
                <w:szCs w:val="22"/>
              </w:rPr>
            </w:pPr>
            <w:r w:rsidRPr="00260518">
              <w:rPr>
                <w:b/>
                <w:color w:val="000000"/>
                <w:sz w:val="22"/>
                <w:szCs w:val="22"/>
              </w:rPr>
              <w:t>Item</w:t>
            </w:r>
          </w:p>
        </w:tc>
        <w:tc>
          <w:tcPr>
            <w:tcW w:w="720" w:type="dxa"/>
            <w:gridSpan w:val="2"/>
            <w:tcBorders>
              <w:top w:val="single" w:color="auto" w:sz="4" w:space="0"/>
              <w:bottom w:val="single" w:color="auto" w:sz="4" w:space="0"/>
            </w:tcBorders>
            <w:vAlign w:val="center"/>
          </w:tcPr>
          <w:p w:rsidRPr="00260518" w:rsidR="00784F85" w:rsidP="005812EB" w:rsidRDefault="00784F85" w14:paraId="144552E0" w14:textId="77777777">
            <w:pPr>
              <w:keepNext/>
              <w:jc w:val="center"/>
              <w:rPr>
                <w:b/>
                <w:color w:val="000000"/>
                <w:sz w:val="22"/>
                <w:szCs w:val="22"/>
              </w:rPr>
            </w:pPr>
            <w:r w:rsidRPr="00260518">
              <w:rPr>
                <w:b/>
                <w:color w:val="000000"/>
                <w:sz w:val="22"/>
                <w:szCs w:val="22"/>
              </w:rPr>
              <w:t>Year</w:t>
            </w:r>
          </w:p>
        </w:tc>
        <w:tc>
          <w:tcPr>
            <w:tcW w:w="810" w:type="dxa"/>
            <w:tcBorders>
              <w:top w:val="single" w:color="auto" w:sz="4" w:space="0"/>
              <w:bottom w:val="single" w:color="auto" w:sz="4" w:space="0"/>
            </w:tcBorders>
            <w:vAlign w:val="center"/>
          </w:tcPr>
          <w:p w:rsidRPr="00260518" w:rsidR="00784F85" w:rsidP="005812EB" w:rsidRDefault="00784F85" w14:paraId="42890B1B" w14:textId="77777777">
            <w:pPr>
              <w:keepNext/>
              <w:jc w:val="center"/>
              <w:rPr>
                <w:b/>
                <w:color w:val="000000"/>
                <w:sz w:val="22"/>
                <w:szCs w:val="22"/>
              </w:rPr>
            </w:pPr>
            <w:r w:rsidRPr="00260518">
              <w:rPr>
                <w:b/>
                <w:color w:val="000000"/>
                <w:sz w:val="22"/>
                <w:szCs w:val="22"/>
              </w:rPr>
              <w:t>Hours</w:t>
            </w:r>
          </w:p>
        </w:tc>
        <w:tc>
          <w:tcPr>
            <w:tcW w:w="990" w:type="dxa"/>
            <w:tcBorders>
              <w:top w:val="single" w:color="auto" w:sz="4" w:space="0"/>
              <w:bottom w:val="single" w:color="auto" w:sz="4" w:space="0"/>
            </w:tcBorders>
            <w:vAlign w:val="center"/>
          </w:tcPr>
          <w:p w:rsidRPr="00260518" w:rsidR="00784F85" w:rsidP="005812EB" w:rsidRDefault="00784F85" w14:paraId="1E7BD956" w14:textId="243077B9">
            <w:pPr>
              <w:keepNext/>
              <w:jc w:val="center"/>
              <w:rPr>
                <w:b/>
                <w:color w:val="000000"/>
                <w:sz w:val="22"/>
                <w:szCs w:val="22"/>
              </w:rPr>
            </w:pPr>
            <w:r w:rsidRPr="00260518">
              <w:rPr>
                <w:b/>
                <w:color w:val="000000"/>
                <w:sz w:val="22"/>
                <w:szCs w:val="22"/>
              </w:rPr>
              <w:t>Rate $</w:t>
            </w:r>
          </w:p>
        </w:tc>
        <w:tc>
          <w:tcPr>
            <w:tcW w:w="1530" w:type="dxa"/>
            <w:tcBorders>
              <w:top w:val="single" w:color="auto" w:sz="4" w:space="0"/>
              <w:bottom w:val="single" w:color="auto" w:sz="4" w:space="0"/>
              <w:right w:val="single" w:color="auto" w:sz="4" w:space="0"/>
            </w:tcBorders>
            <w:vAlign w:val="center"/>
          </w:tcPr>
          <w:p w:rsidRPr="00260518" w:rsidR="00784F85" w:rsidP="005812EB" w:rsidRDefault="00784F85" w14:paraId="104D7982" w14:textId="77777777">
            <w:pPr>
              <w:keepNext/>
              <w:jc w:val="center"/>
              <w:rPr>
                <w:b/>
                <w:color w:val="000000"/>
                <w:sz w:val="22"/>
                <w:szCs w:val="22"/>
              </w:rPr>
            </w:pPr>
            <w:r w:rsidRPr="00260518">
              <w:rPr>
                <w:b/>
                <w:color w:val="000000"/>
                <w:sz w:val="22"/>
                <w:szCs w:val="22"/>
              </w:rPr>
              <w:t>Basis for Rate*</w:t>
            </w:r>
          </w:p>
        </w:tc>
        <w:tc>
          <w:tcPr>
            <w:tcW w:w="1350" w:type="dxa"/>
            <w:tcBorders>
              <w:top w:val="single" w:color="auto" w:sz="4" w:space="0"/>
              <w:left w:val="single" w:color="auto" w:sz="4" w:space="0"/>
              <w:bottom w:val="single" w:color="auto" w:sz="4" w:space="0"/>
              <w:right w:val="single" w:color="auto" w:sz="24" w:space="0"/>
            </w:tcBorders>
            <w:vAlign w:val="center"/>
          </w:tcPr>
          <w:p w:rsidRPr="00260518" w:rsidR="00784F85" w:rsidP="005812EB" w:rsidRDefault="00784F85" w14:paraId="073B2BB9" w14:textId="77777777">
            <w:pPr>
              <w:keepNext/>
              <w:jc w:val="center"/>
              <w:rPr>
                <w:b/>
                <w:color w:val="000000"/>
                <w:sz w:val="22"/>
                <w:szCs w:val="22"/>
              </w:rPr>
            </w:pPr>
            <w:r w:rsidRPr="00260518">
              <w:rPr>
                <w:b/>
                <w:color w:val="000000"/>
                <w:sz w:val="22"/>
                <w:szCs w:val="22"/>
              </w:rPr>
              <w:t>Total $</w:t>
            </w:r>
          </w:p>
        </w:tc>
        <w:tc>
          <w:tcPr>
            <w:tcW w:w="810" w:type="dxa"/>
            <w:tcBorders>
              <w:top w:val="single" w:color="auto" w:sz="4" w:space="0"/>
              <w:left w:val="single" w:color="auto" w:sz="4" w:space="0"/>
            </w:tcBorders>
            <w:vAlign w:val="center"/>
          </w:tcPr>
          <w:p w:rsidRPr="00260518" w:rsidR="00784F85" w:rsidP="005812EB" w:rsidRDefault="00784F85" w14:paraId="0409143B" w14:textId="77777777">
            <w:pPr>
              <w:keepNext/>
              <w:jc w:val="center"/>
              <w:rPr>
                <w:b/>
                <w:color w:val="000000"/>
                <w:sz w:val="22"/>
                <w:szCs w:val="22"/>
              </w:rPr>
            </w:pPr>
            <w:r w:rsidRPr="00260518">
              <w:rPr>
                <w:b/>
                <w:color w:val="000000"/>
                <w:sz w:val="22"/>
                <w:szCs w:val="22"/>
              </w:rPr>
              <w:t>Hours</w:t>
            </w:r>
          </w:p>
        </w:tc>
        <w:tc>
          <w:tcPr>
            <w:tcW w:w="1260" w:type="dxa"/>
            <w:tcBorders>
              <w:top w:val="single" w:color="auto" w:sz="4" w:space="0"/>
            </w:tcBorders>
            <w:vAlign w:val="center"/>
          </w:tcPr>
          <w:p w:rsidRPr="00260518" w:rsidR="00784F85" w:rsidP="005812EB" w:rsidRDefault="00784F85" w14:paraId="6B59BB80" w14:textId="2C791D8E">
            <w:pPr>
              <w:keepNext/>
              <w:jc w:val="center"/>
              <w:rPr>
                <w:b/>
                <w:color w:val="000000"/>
                <w:sz w:val="22"/>
                <w:szCs w:val="22"/>
              </w:rPr>
            </w:pPr>
            <w:r w:rsidRPr="00260518">
              <w:rPr>
                <w:b/>
                <w:color w:val="000000"/>
                <w:sz w:val="22"/>
                <w:szCs w:val="22"/>
              </w:rPr>
              <w:t xml:space="preserve">Rate </w:t>
            </w:r>
            <w:r>
              <w:rPr>
                <w:b/>
                <w:color w:val="000000"/>
                <w:sz w:val="22"/>
                <w:szCs w:val="22"/>
              </w:rPr>
              <w:t>$</w:t>
            </w:r>
          </w:p>
        </w:tc>
        <w:tc>
          <w:tcPr>
            <w:tcW w:w="1260" w:type="dxa"/>
            <w:tcBorders>
              <w:top w:val="single" w:color="auto" w:sz="4" w:space="0"/>
            </w:tcBorders>
            <w:vAlign w:val="center"/>
          </w:tcPr>
          <w:p w:rsidRPr="00260518" w:rsidR="00784F85" w:rsidP="005812EB" w:rsidRDefault="00784F85" w14:paraId="6C7B13CF" w14:textId="77777777">
            <w:pPr>
              <w:keepNext/>
              <w:jc w:val="center"/>
              <w:rPr>
                <w:b/>
                <w:color w:val="000000"/>
                <w:sz w:val="22"/>
                <w:szCs w:val="22"/>
              </w:rPr>
            </w:pPr>
            <w:r w:rsidRPr="00260518">
              <w:rPr>
                <w:b/>
                <w:color w:val="000000"/>
                <w:sz w:val="22"/>
                <w:szCs w:val="22"/>
              </w:rPr>
              <w:t>Total $</w:t>
            </w:r>
          </w:p>
        </w:tc>
      </w:tr>
      <w:tr w:rsidRPr="007F620E" w:rsidR="00784F85" w:rsidTr="008B1F8D" w14:paraId="25086E67" w14:textId="77777777">
        <w:trPr>
          <w:jc w:val="center"/>
        </w:trPr>
        <w:tc>
          <w:tcPr>
            <w:tcW w:w="1795" w:type="dxa"/>
            <w:gridSpan w:val="2"/>
          </w:tcPr>
          <w:p w:rsidRPr="005812EB" w:rsidR="00784F85" w:rsidP="0018544B" w:rsidRDefault="00BD093A" w14:paraId="386D0995" w14:textId="7C1387D7">
            <w:pPr>
              <w:ind w:left="-115" w:right="-106"/>
              <w:jc w:val="center"/>
              <w:rPr>
                <w:color w:val="000000"/>
                <w:sz w:val="22"/>
                <w:szCs w:val="22"/>
              </w:rPr>
            </w:pPr>
            <w:r w:rsidRPr="005812EB">
              <w:rPr>
                <w:color w:val="000000"/>
                <w:sz w:val="22"/>
                <w:szCs w:val="22"/>
              </w:rPr>
              <w:t>Dr.</w:t>
            </w:r>
            <w:r w:rsidR="005812EB">
              <w:rPr>
                <w:color w:val="000000"/>
                <w:sz w:val="22"/>
                <w:szCs w:val="22"/>
              </w:rPr>
              <w:t> </w:t>
            </w:r>
            <w:r w:rsidRPr="005812EB">
              <w:rPr>
                <w:color w:val="000000"/>
                <w:sz w:val="22"/>
                <w:szCs w:val="22"/>
              </w:rPr>
              <w:t>Joseph</w:t>
            </w:r>
            <w:r w:rsidR="005812EB">
              <w:rPr>
                <w:color w:val="000000"/>
                <w:sz w:val="22"/>
                <w:szCs w:val="22"/>
              </w:rPr>
              <w:t> </w:t>
            </w:r>
            <w:r w:rsidRPr="005812EB">
              <w:rPr>
                <w:color w:val="000000"/>
                <w:sz w:val="22"/>
                <w:szCs w:val="22"/>
              </w:rPr>
              <w:t>Mitchell</w:t>
            </w:r>
            <w:r w:rsidRPr="005812EB">
              <w:rPr>
                <w:color w:val="000000"/>
                <w:sz w:val="22"/>
                <w:szCs w:val="22"/>
              </w:rPr>
              <w:br/>
              <w:t>(Expert)</w:t>
            </w:r>
          </w:p>
        </w:tc>
        <w:tc>
          <w:tcPr>
            <w:tcW w:w="720" w:type="dxa"/>
            <w:gridSpan w:val="2"/>
          </w:tcPr>
          <w:p w:rsidRPr="008B1F8D" w:rsidR="00784F85" w:rsidP="00E41DEA" w:rsidRDefault="00BD093A" w14:paraId="4A155F1D" w14:textId="7FEC3799">
            <w:pPr>
              <w:jc w:val="center"/>
              <w:rPr>
                <w:color w:val="000000"/>
                <w:sz w:val="22"/>
                <w:szCs w:val="22"/>
              </w:rPr>
            </w:pPr>
            <w:r w:rsidRPr="008B1F8D">
              <w:rPr>
                <w:color w:val="000000"/>
                <w:sz w:val="22"/>
                <w:szCs w:val="22"/>
              </w:rPr>
              <w:t>2022</w:t>
            </w:r>
          </w:p>
        </w:tc>
        <w:tc>
          <w:tcPr>
            <w:tcW w:w="810" w:type="dxa"/>
          </w:tcPr>
          <w:p w:rsidRPr="008B1F8D" w:rsidR="00784F85" w:rsidP="00E41DEA" w:rsidRDefault="00BD093A" w14:paraId="30EEA80A" w14:textId="241DE557">
            <w:pPr>
              <w:jc w:val="center"/>
              <w:rPr>
                <w:color w:val="000000"/>
                <w:sz w:val="22"/>
                <w:szCs w:val="22"/>
              </w:rPr>
            </w:pPr>
            <w:r w:rsidRPr="008B1F8D">
              <w:rPr>
                <w:color w:val="000000"/>
                <w:sz w:val="22"/>
                <w:szCs w:val="22"/>
              </w:rPr>
              <w:t>1</w:t>
            </w:r>
          </w:p>
        </w:tc>
        <w:tc>
          <w:tcPr>
            <w:tcW w:w="990" w:type="dxa"/>
          </w:tcPr>
          <w:p w:rsidRPr="008B1F8D" w:rsidR="00784F85" w:rsidP="00E41DEA" w:rsidRDefault="00BD093A" w14:paraId="4EB14C91" w14:textId="5D74F288">
            <w:pPr>
              <w:rPr>
                <w:color w:val="000000"/>
                <w:sz w:val="22"/>
                <w:szCs w:val="22"/>
              </w:rPr>
            </w:pPr>
            <w:r w:rsidRPr="008B1F8D">
              <w:rPr>
                <w:color w:val="000000"/>
                <w:sz w:val="22"/>
                <w:szCs w:val="22"/>
              </w:rPr>
              <w:t>198</w:t>
            </w:r>
            <w:r w:rsidRPr="008B1F8D" w:rsidR="00466E6E">
              <w:rPr>
                <w:color w:val="000000"/>
                <w:sz w:val="22"/>
                <w:szCs w:val="22"/>
              </w:rPr>
              <w:t>.00</w:t>
            </w:r>
          </w:p>
        </w:tc>
        <w:tc>
          <w:tcPr>
            <w:tcW w:w="1530" w:type="dxa"/>
            <w:tcBorders>
              <w:right w:val="single" w:color="auto" w:sz="4" w:space="0"/>
            </w:tcBorders>
          </w:tcPr>
          <w:p w:rsidRPr="008B1F8D" w:rsidR="00784F85" w:rsidP="00E41DEA" w:rsidRDefault="00BD093A" w14:paraId="02D334B7" w14:textId="10832510">
            <w:pPr>
              <w:rPr>
                <w:color w:val="000000"/>
                <w:sz w:val="22"/>
                <w:szCs w:val="22"/>
              </w:rPr>
            </w:pPr>
            <w:r w:rsidRPr="008B1F8D">
              <w:rPr>
                <w:color w:val="000000"/>
                <w:sz w:val="22"/>
                <w:szCs w:val="22"/>
              </w:rPr>
              <w:t>D.23-08-039</w:t>
            </w:r>
          </w:p>
        </w:tc>
        <w:tc>
          <w:tcPr>
            <w:tcW w:w="1350" w:type="dxa"/>
            <w:tcBorders>
              <w:top w:val="single" w:color="auto" w:sz="4" w:space="0"/>
              <w:left w:val="single" w:color="auto" w:sz="4" w:space="0"/>
              <w:bottom w:val="single" w:color="auto" w:sz="4" w:space="0"/>
              <w:right w:val="single" w:color="auto" w:sz="24" w:space="0"/>
            </w:tcBorders>
          </w:tcPr>
          <w:p w:rsidRPr="008B1F8D" w:rsidR="00784F85" w:rsidP="00E41DEA" w:rsidRDefault="00BD093A" w14:paraId="7B9A0261" w14:textId="68C3754C">
            <w:pPr>
              <w:rPr>
                <w:color w:val="000000"/>
                <w:sz w:val="22"/>
                <w:szCs w:val="22"/>
              </w:rPr>
            </w:pPr>
            <w:r w:rsidRPr="008B1F8D">
              <w:rPr>
                <w:color w:val="000000"/>
                <w:sz w:val="22"/>
                <w:szCs w:val="22"/>
              </w:rPr>
              <w:t>$198</w:t>
            </w:r>
            <w:r w:rsidRPr="008B1F8D" w:rsidR="00466E6E">
              <w:rPr>
                <w:color w:val="000000"/>
                <w:sz w:val="22"/>
                <w:szCs w:val="22"/>
              </w:rPr>
              <w:t>.00</w:t>
            </w:r>
          </w:p>
        </w:tc>
        <w:tc>
          <w:tcPr>
            <w:tcW w:w="810" w:type="dxa"/>
            <w:tcBorders>
              <w:left w:val="single" w:color="auto" w:sz="4" w:space="0"/>
              <w:right w:val="single" w:color="auto" w:sz="4" w:space="0"/>
            </w:tcBorders>
          </w:tcPr>
          <w:p w:rsidRPr="008B1F8D" w:rsidR="00784F85" w:rsidP="00E41DEA" w:rsidRDefault="00D46C39" w14:paraId="5E5A4264" w14:textId="7384D749">
            <w:pPr>
              <w:jc w:val="center"/>
              <w:rPr>
                <w:color w:val="000000"/>
                <w:sz w:val="22"/>
                <w:szCs w:val="22"/>
              </w:rPr>
            </w:pPr>
            <w:r w:rsidRPr="008B1F8D">
              <w:rPr>
                <w:color w:val="000000"/>
                <w:sz w:val="22"/>
                <w:szCs w:val="22"/>
              </w:rPr>
              <w:t>1</w:t>
            </w:r>
          </w:p>
        </w:tc>
        <w:tc>
          <w:tcPr>
            <w:tcW w:w="1260" w:type="dxa"/>
            <w:tcBorders>
              <w:left w:val="single" w:color="auto" w:sz="4" w:space="0"/>
            </w:tcBorders>
          </w:tcPr>
          <w:p w:rsidRPr="008B1F8D" w:rsidR="00784F85" w:rsidP="008B1F8D" w:rsidRDefault="004649F8" w14:paraId="47B1F089" w14:textId="2C632870">
            <w:pPr>
              <w:jc w:val="center"/>
              <w:rPr>
                <w:color w:val="000000"/>
                <w:sz w:val="22"/>
                <w:szCs w:val="22"/>
              </w:rPr>
            </w:pPr>
            <w:r w:rsidRPr="008B1F8D">
              <w:rPr>
                <w:color w:val="000000"/>
                <w:sz w:val="22"/>
                <w:szCs w:val="22"/>
              </w:rPr>
              <w:t>$19</w:t>
            </w:r>
            <w:r w:rsidRPr="008B1F8D" w:rsidR="00B53D91">
              <w:rPr>
                <w:color w:val="000000"/>
                <w:sz w:val="22"/>
                <w:szCs w:val="22"/>
              </w:rPr>
              <w:t>7.50 [1]</w:t>
            </w:r>
          </w:p>
        </w:tc>
        <w:tc>
          <w:tcPr>
            <w:tcW w:w="1260" w:type="dxa"/>
          </w:tcPr>
          <w:p w:rsidRPr="008B1F8D" w:rsidR="00784F85" w:rsidP="00E41DEA" w:rsidRDefault="00D46C39" w14:paraId="10659B6D" w14:textId="2F1DDE26">
            <w:pPr>
              <w:rPr>
                <w:color w:val="000000"/>
                <w:sz w:val="22"/>
                <w:szCs w:val="22"/>
              </w:rPr>
            </w:pPr>
            <w:r w:rsidRPr="008B1F8D">
              <w:rPr>
                <w:color w:val="000000"/>
                <w:sz w:val="22"/>
                <w:szCs w:val="22"/>
              </w:rPr>
              <w:t>$197.50</w:t>
            </w:r>
          </w:p>
        </w:tc>
      </w:tr>
      <w:tr w:rsidRPr="007F620E" w:rsidR="00784F85" w:rsidTr="008B1F8D" w14:paraId="7AB9EF54" w14:textId="77777777">
        <w:trPr>
          <w:jc w:val="center"/>
        </w:trPr>
        <w:tc>
          <w:tcPr>
            <w:tcW w:w="1795" w:type="dxa"/>
            <w:gridSpan w:val="2"/>
          </w:tcPr>
          <w:p w:rsidRPr="005812EB" w:rsidR="00784F85" w:rsidP="0018544B" w:rsidRDefault="00BD093A" w14:paraId="4F803C09" w14:textId="53C0ABA7">
            <w:pPr>
              <w:ind w:left="-115" w:right="-106"/>
              <w:jc w:val="center"/>
              <w:rPr>
                <w:color w:val="000000"/>
                <w:sz w:val="22"/>
                <w:szCs w:val="22"/>
              </w:rPr>
            </w:pPr>
            <w:r w:rsidRPr="005812EB">
              <w:rPr>
                <w:color w:val="000000"/>
                <w:sz w:val="22"/>
                <w:szCs w:val="22"/>
              </w:rPr>
              <w:t>Dr. Joseph Mitchell</w:t>
            </w:r>
            <w:r w:rsidRPr="005812EB">
              <w:rPr>
                <w:color w:val="000000"/>
                <w:sz w:val="22"/>
                <w:szCs w:val="22"/>
              </w:rPr>
              <w:br/>
              <w:t>(Expert)</w:t>
            </w:r>
          </w:p>
        </w:tc>
        <w:tc>
          <w:tcPr>
            <w:tcW w:w="720" w:type="dxa"/>
            <w:gridSpan w:val="2"/>
          </w:tcPr>
          <w:p w:rsidRPr="008B1F8D" w:rsidR="00784F85" w:rsidP="00E41DEA" w:rsidRDefault="00BD093A" w14:paraId="058BFE37" w14:textId="4D6DD706">
            <w:pPr>
              <w:jc w:val="center"/>
              <w:rPr>
                <w:color w:val="000000"/>
                <w:sz w:val="22"/>
                <w:szCs w:val="22"/>
              </w:rPr>
            </w:pPr>
            <w:r w:rsidRPr="008B1F8D">
              <w:rPr>
                <w:color w:val="000000"/>
                <w:sz w:val="22"/>
                <w:szCs w:val="22"/>
              </w:rPr>
              <w:t>2023</w:t>
            </w:r>
          </w:p>
        </w:tc>
        <w:tc>
          <w:tcPr>
            <w:tcW w:w="810" w:type="dxa"/>
          </w:tcPr>
          <w:p w:rsidRPr="008B1F8D" w:rsidR="00784F85" w:rsidP="00E41DEA" w:rsidRDefault="00BD093A" w14:paraId="66A42865" w14:textId="09DEE4C3">
            <w:pPr>
              <w:jc w:val="center"/>
              <w:rPr>
                <w:color w:val="000000"/>
                <w:sz w:val="22"/>
                <w:szCs w:val="22"/>
              </w:rPr>
            </w:pPr>
            <w:r w:rsidRPr="008B1F8D">
              <w:rPr>
                <w:color w:val="000000"/>
                <w:sz w:val="22"/>
                <w:szCs w:val="22"/>
              </w:rPr>
              <w:t>1</w:t>
            </w:r>
          </w:p>
        </w:tc>
        <w:tc>
          <w:tcPr>
            <w:tcW w:w="990" w:type="dxa"/>
          </w:tcPr>
          <w:p w:rsidRPr="008B1F8D" w:rsidR="00784F85" w:rsidP="00E41DEA" w:rsidRDefault="00BD093A" w14:paraId="42AE8F2C" w14:textId="3DA90E3A">
            <w:pPr>
              <w:rPr>
                <w:color w:val="000000"/>
                <w:sz w:val="22"/>
                <w:szCs w:val="22"/>
              </w:rPr>
            </w:pPr>
            <w:r w:rsidRPr="008B1F8D">
              <w:rPr>
                <w:color w:val="000000"/>
                <w:sz w:val="22"/>
                <w:szCs w:val="22"/>
              </w:rPr>
              <w:t>208</w:t>
            </w:r>
            <w:r w:rsidRPr="008B1F8D" w:rsidR="00466E6E">
              <w:rPr>
                <w:color w:val="000000"/>
                <w:sz w:val="22"/>
                <w:szCs w:val="22"/>
              </w:rPr>
              <w:t>.00</w:t>
            </w:r>
          </w:p>
        </w:tc>
        <w:tc>
          <w:tcPr>
            <w:tcW w:w="1530" w:type="dxa"/>
            <w:tcBorders>
              <w:right w:val="single" w:color="auto" w:sz="4" w:space="0"/>
            </w:tcBorders>
          </w:tcPr>
          <w:p w:rsidRPr="008B1F8D" w:rsidR="00784F85" w:rsidP="00E41DEA" w:rsidRDefault="00BD093A" w14:paraId="3DB754B7" w14:textId="7AAD0FCF">
            <w:pPr>
              <w:rPr>
                <w:color w:val="000000"/>
                <w:sz w:val="22"/>
                <w:szCs w:val="22"/>
              </w:rPr>
            </w:pPr>
            <w:r w:rsidRPr="008B1F8D">
              <w:rPr>
                <w:color w:val="000000"/>
                <w:sz w:val="22"/>
                <w:szCs w:val="22"/>
              </w:rPr>
              <w:t>D.25-05-022</w:t>
            </w:r>
            <w:r w:rsidRPr="008B1F8D">
              <w:rPr>
                <w:color w:val="000000"/>
                <w:sz w:val="22"/>
                <w:szCs w:val="22"/>
              </w:rPr>
              <w:br/>
            </w:r>
          </w:p>
        </w:tc>
        <w:tc>
          <w:tcPr>
            <w:tcW w:w="1350" w:type="dxa"/>
            <w:tcBorders>
              <w:top w:val="single" w:color="auto" w:sz="4" w:space="0"/>
              <w:left w:val="single" w:color="auto" w:sz="4" w:space="0"/>
              <w:bottom w:val="single" w:color="auto" w:sz="4" w:space="0"/>
              <w:right w:val="single" w:color="auto" w:sz="24" w:space="0"/>
            </w:tcBorders>
          </w:tcPr>
          <w:p w:rsidRPr="008B1F8D" w:rsidR="00784F85" w:rsidP="00E41DEA" w:rsidRDefault="00BD093A" w14:paraId="3D39C021" w14:textId="4D90E802">
            <w:pPr>
              <w:rPr>
                <w:color w:val="000000"/>
                <w:sz w:val="22"/>
                <w:szCs w:val="22"/>
              </w:rPr>
            </w:pPr>
            <w:r w:rsidRPr="008B1F8D">
              <w:rPr>
                <w:color w:val="000000"/>
                <w:sz w:val="22"/>
                <w:szCs w:val="22"/>
              </w:rPr>
              <w:t>$208</w:t>
            </w:r>
            <w:r w:rsidRPr="008B1F8D" w:rsidR="00466E6E">
              <w:rPr>
                <w:color w:val="000000"/>
                <w:sz w:val="22"/>
                <w:szCs w:val="22"/>
              </w:rPr>
              <w:t>.00</w:t>
            </w:r>
          </w:p>
        </w:tc>
        <w:tc>
          <w:tcPr>
            <w:tcW w:w="810" w:type="dxa"/>
            <w:tcBorders>
              <w:left w:val="single" w:color="auto" w:sz="4" w:space="0"/>
              <w:right w:val="single" w:color="auto" w:sz="4" w:space="0"/>
            </w:tcBorders>
          </w:tcPr>
          <w:p w:rsidRPr="008B1F8D" w:rsidR="00784F85" w:rsidP="00E41DEA" w:rsidRDefault="00D46C39" w14:paraId="6B8C8F0C" w14:textId="57C36269">
            <w:pPr>
              <w:jc w:val="center"/>
              <w:rPr>
                <w:color w:val="000000"/>
                <w:sz w:val="22"/>
                <w:szCs w:val="22"/>
              </w:rPr>
            </w:pPr>
            <w:r w:rsidRPr="008B1F8D">
              <w:rPr>
                <w:color w:val="000000"/>
                <w:sz w:val="22"/>
                <w:szCs w:val="22"/>
              </w:rPr>
              <w:t>1</w:t>
            </w:r>
          </w:p>
        </w:tc>
        <w:tc>
          <w:tcPr>
            <w:tcW w:w="1260" w:type="dxa"/>
            <w:tcBorders>
              <w:left w:val="single" w:color="auto" w:sz="4" w:space="0"/>
            </w:tcBorders>
          </w:tcPr>
          <w:p w:rsidRPr="008B1F8D" w:rsidR="00784F85" w:rsidP="008B1F8D" w:rsidRDefault="00D46C39" w14:paraId="0A58B021" w14:textId="69F3B044">
            <w:pPr>
              <w:jc w:val="center"/>
              <w:rPr>
                <w:color w:val="000000"/>
                <w:sz w:val="22"/>
                <w:szCs w:val="22"/>
              </w:rPr>
            </w:pPr>
            <w:r w:rsidRPr="008B1F8D">
              <w:rPr>
                <w:color w:val="000000"/>
                <w:sz w:val="22"/>
                <w:szCs w:val="22"/>
              </w:rPr>
              <w:t>$207.50 [1]</w:t>
            </w:r>
          </w:p>
        </w:tc>
        <w:tc>
          <w:tcPr>
            <w:tcW w:w="1260" w:type="dxa"/>
          </w:tcPr>
          <w:p w:rsidRPr="008B1F8D" w:rsidR="00784F85" w:rsidP="00E41DEA" w:rsidRDefault="00D46C39" w14:paraId="0769A3B4" w14:textId="3619B7C4">
            <w:pPr>
              <w:rPr>
                <w:color w:val="000000"/>
                <w:sz w:val="22"/>
                <w:szCs w:val="22"/>
              </w:rPr>
            </w:pPr>
            <w:r w:rsidRPr="008B1F8D">
              <w:rPr>
                <w:color w:val="000000"/>
                <w:sz w:val="22"/>
                <w:szCs w:val="22"/>
              </w:rPr>
              <w:t>$207.50</w:t>
            </w:r>
          </w:p>
        </w:tc>
      </w:tr>
      <w:tr w:rsidRPr="007F620E" w:rsidR="00BD093A" w:rsidTr="008B1F8D" w14:paraId="6182521A" w14:textId="77777777">
        <w:trPr>
          <w:jc w:val="center"/>
        </w:trPr>
        <w:tc>
          <w:tcPr>
            <w:tcW w:w="1795" w:type="dxa"/>
            <w:gridSpan w:val="2"/>
          </w:tcPr>
          <w:p w:rsidRPr="005812EB" w:rsidR="00BD093A" w:rsidP="0018544B" w:rsidRDefault="00BD093A" w14:paraId="75E3A195" w14:textId="008AA428">
            <w:pPr>
              <w:keepNext/>
              <w:ind w:left="-115" w:right="-106"/>
              <w:jc w:val="center"/>
              <w:rPr>
                <w:color w:val="000000"/>
                <w:sz w:val="22"/>
                <w:szCs w:val="22"/>
              </w:rPr>
            </w:pPr>
            <w:r w:rsidRPr="005812EB">
              <w:rPr>
                <w:color w:val="000000"/>
                <w:sz w:val="22"/>
                <w:szCs w:val="22"/>
              </w:rPr>
              <w:t>Dr. Joseph Mitchell</w:t>
            </w:r>
            <w:r w:rsidRPr="005812EB">
              <w:rPr>
                <w:color w:val="000000"/>
                <w:sz w:val="22"/>
                <w:szCs w:val="22"/>
              </w:rPr>
              <w:br/>
              <w:t>(Expert)</w:t>
            </w:r>
          </w:p>
        </w:tc>
        <w:tc>
          <w:tcPr>
            <w:tcW w:w="720" w:type="dxa"/>
            <w:gridSpan w:val="2"/>
          </w:tcPr>
          <w:p w:rsidRPr="008B1F8D" w:rsidR="00BD093A" w:rsidP="00E41DEA" w:rsidRDefault="00BD093A" w14:paraId="38BAD514" w14:textId="61C83A77">
            <w:pPr>
              <w:keepNext/>
              <w:jc w:val="center"/>
              <w:rPr>
                <w:color w:val="000000"/>
                <w:sz w:val="22"/>
                <w:szCs w:val="22"/>
              </w:rPr>
            </w:pPr>
            <w:r w:rsidRPr="008B1F8D">
              <w:rPr>
                <w:color w:val="000000"/>
                <w:sz w:val="22"/>
                <w:szCs w:val="22"/>
              </w:rPr>
              <w:t>2025</w:t>
            </w:r>
          </w:p>
        </w:tc>
        <w:tc>
          <w:tcPr>
            <w:tcW w:w="810" w:type="dxa"/>
          </w:tcPr>
          <w:p w:rsidRPr="008B1F8D" w:rsidR="00BD093A" w:rsidP="00E41DEA" w:rsidRDefault="00BD093A" w14:paraId="728D3528" w14:textId="1178829B">
            <w:pPr>
              <w:keepNext/>
              <w:jc w:val="center"/>
              <w:rPr>
                <w:color w:val="000000"/>
                <w:sz w:val="22"/>
                <w:szCs w:val="22"/>
              </w:rPr>
            </w:pPr>
            <w:r w:rsidRPr="008B1F8D">
              <w:rPr>
                <w:color w:val="000000"/>
                <w:sz w:val="22"/>
                <w:szCs w:val="22"/>
              </w:rPr>
              <w:t>19.5</w:t>
            </w:r>
          </w:p>
        </w:tc>
        <w:tc>
          <w:tcPr>
            <w:tcW w:w="990" w:type="dxa"/>
          </w:tcPr>
          <w:p w:rsidRPr="008B1F8D" w:rsidR="00BD093A" w:rsidP="00E41DEA" w:rsidRDefault="00BD093A" w14:paraId="2E3D3804" w14:textId="4434A4E8">
            <w:pPr>
              <w:keepNext/>
              <w:rPr>
                <w:color w:val="000000"/>
                <w:sz w:val="22"/>
                <w:szCs w:val="22"/>
              </w:rPr>
            </w:pPr>
            <w:r w:rsidRPr="008B1F8D">
              <w:rPr>
                <w:color w:val="000000"/>
                <w:sz w:val="22"/>
                <w:szCs w:val="22"/>
              </w:rPr>
              <w:t>236</w:t>
            </w:r>
            <w:r w:rsidRPr="008B1F8D" w:rsidR="00466E6E">
              <w:rPr>
                <w:color w:val="000000"/>
                <w:sz w:val="22"/>
                <w:szCs w:val="22"/>
              </w:rPr>
              <w:t>.00</w:t>
            </w:r>
          </w:p>
        </w:tc>
        <w:tc>
          <w:tcPr>
            <w:tcW w:w="1530" w:type="dxa"/>
            <w:tcBorders>
              <w:right w:val="single" w:color="auto" w:sz="4" w:space="0"/>
            </w:tcBorders>
          </w:tcPr>
          <w:p w:rsidRPr="008B1F8D" w:rsidR="00BD093A" w:rsidP="00E41DEA" w:rsidRDefault="00BD093A" w14:paraId="7D9ACE49" w14:textId="1679EDA1">
            <w:pPr>
              <w:keepNext/>
              <w:rPr>
                <w:color w:val="000000"/>
                <w:sz w:val="22"/>
                <w:szCs w:val="22"/>
              </w:rPr>
            </w:pPr>
            <w:r w:rsidRPr="008B1F8D">
              <w:rPr>
                <w:color w:val="000000"/>
                <w:sz w:val="22"/>
                <w:szCs w:val="22"/>
              </w:rPr>
              <w:t>D.25-05-022</w:t>
            </w:r>
            <w:r w:rsidRPr="008B1F8D">
              <w:rPr>
                <w:color w:val="000000"/>
                <w:sz w:val="22"/>
                <w:szCs w:val="22"/>
              </w:rPr>
              <w:br/>
              <w:t>Hourly Rate Chart 2/13/25</w:t>
            </w:r>
          </w:p>
        </w:tc>
        <w:tc>
          <w:tcPr>
            <w:tcW w:w="1350" w:type="dxa"/>
            <w:tcBorders>
              <w:top w:val="single" w:color="auto" w:sz="4" w:space="0"/>
              <w:left w:val="single" w:color="auto" w:sz="4" w:space="0"/>
              <w:bottom w:val="single" w:color="auto" w:sz="4" w:space="0"/>
              <w:right w:val="single" w:color="auto" w:sz="24" w:space="0"/>
            </w:tcBorders>
          </w:tcPr>
          <w:p w:rsidRPr="008B1F8D" w:rsidR="00BD093A" w:rsidP="00E41DEA" w:rsidRDefault="00BD093A" w14:paraId="36E8C8BF" w14:textId="47D2732D">
            <w:pPr>
              <w:keepNext/>
              <w:rPr>
                <w:color w:val="000000"/>
                <w:sz w:val="22"/>
                <w:szCs w:val="22"/>
              </w:rPr>
            </w:pPr>
            <w:r w:rsidRPr="008B1F8D">
              <w:rPr>
                <w:color w:val="000000"/>
                <w:sz w:val="22"/>
                <w:szCs w:val="22"/>
              </w:rPr>
              <w:t>$4,592</w:t>
            </w:r>
            <w:r w:rsidRPr="008B1F8D" w:rsidR="00466E6E">
              <w:rPr>
                <w:color w:val="000000"/>
                <w:sz w:val="22"/>
                <w:szCs w:val="22"/>
              </w:rPr>
              <w:t>.00</w:t>
            </w:r>
            <w:r w:rsidRPr="008B1F8D" w:rsidR="00B53D91">
              <w:rPr>
                <w:rStyle w:val="FootnoteReference"/>
                <w:color w:val="000000"/>
                <w:sz w:val="22"/>
                <w:szCs w:val="22"/>
              </w:rPr>
              <w:footnoteReference w:id="12"/>
            </w:r>
          </w:p>
        </w:tc>
        <w:tc>
          <w:tcPr>
            <w:tcW w:w="810" w:type="dxa"/>
            <w:tcBorders>
              <w:left w:val="single" w:color="auto" w:sz="4" w:space="0"/>
              <w:right w:val="single" w:color="auto" w:sz="4" w:space="0"/>
            </w:tcBorders>
          </w:tcPr>
          <w:p w:rsidR="008B1F8D" w:rsidP="00E41DEA" w:rsidRDefault="00D905B3" w14:paraId="04F736DF" w14:textId="77777777">
            <w:pPr>
              <w:keepNext/>
              <w:jc w:val="center"/>
              <w:rPr>
                <w:color w:val="000000"/>
                <w:sz w:val="22"/>
                <w:szCs w:val="22"/>
              </w:rPr>
            </w:pPr>
            <w:r w:rsidRPr="008B1F8D">
              <w:rPr>
                <w:color w:val="000000"/>
                <w:sz w:val="22"/>
                <w:szCs w:val="22"/>
              </w:rPr>
              <w:t>1</w:t>
            </w:r>
            <w:r w:rsidRPr="008B1F8D" w:rsidR="00BF07A8">
              <w:rPr>
                <w:color w:val="000000"/>
                <w:sz w:val="22"/>
                <w:szCs w:val="22"/>
              </w:rPr>
              <w:t>2</w:t>
            </w:r>
            <w:r w:rsidRPr="008B1F8D">
              <w:rPr>
                <w:color w:val="000000"/>
                <w:sz w:val="22"/>
                <w:szCs w:val="22"/>
              </w:rPr>
              <w:t xml:space="preserve"> </w:t>
            </w:r>
          </w:p>
          <w:p w:rsidRPr="008B1F8D" w:rsidR="00BD093A" w:rsidP="00E41DEA" w:rsidRDefault="00D905B3" w14:paraId="1B6A158A" w14:textId="3A5FB6DE">
            <w:pPr>
              <w:keepNext/>
              <w:jc w:val="center"/>
              <w:rPr>
                <w:color w:val="000000"/>
                <w:sz w:val="22"/>
                <w:szCs w:val="22"/>
              </w:rPr>
            </w:pPr>
            <w:r w:rsidRPr="008B1F8D">
              <w:rPr>
                <w:color w:val="000000"/>
                <w:sz w:val="22"/>
                <w:szCs w:val="22"/>
              </w:rPr>
              <w:t>[</w:t>
            </w:r>
            <w:r w:rsidRPr="008B1F8D" w:rsidR="001118C7">
              <w:rPr>
                <w:color w:val="000000"/>
                <w:sz w:val="22"/>
                <w:szCs w:val="22"/>
              </w:rPr>
              <w:t>4</w:t>
            </w:r>
            <w:r w:rsidRPr="008B1F8D">
              <w:rPr>
                <w:color w:val="000000"/>
                <w:sz w:val="22"/>
                <w:szCs w:val="22"/>
              </w:rPr>
              <w:t>]</w:t>
            </w:r>
          </w:p>
        </w:tc>
        <w:tc>
          <w:tcPr>
            <w:tcW w:w="1260" w:type="dxa"/>
            <w:tcBorders>
              <w:left w:val="single" w:color="auto" w:sz="4" w:space="0"/>
            </w:tcBorders>
          </w:tcPr>
          <w:p w:rsidRPr="008B1F8D" w:rsidR="00BD093A" w:rsidP="008B1F8D" w:rsidRDefault="00D46C39" w14:paraId="4FC913EB" w14:textId="766491C0">
            <w:pPr>
              <w:keepNext/>
              <w:jc w:val="center"/>
              <w:rPr>
                <w:color w:val="000000"/>
                <w:sz w:val="22"/>
                <w:szCs w:val="22"/>
              </w:rPr>
            </w:pPr>
            <w:r w:rsidRPr="008B1F8D">
              <w:rPr>
                <w:color w:val="000000"/>
                <w:sz w:val="22"/>
                <w:szCs w:val="22"/>
              </w:rPr>
              <w:t>$235.</w:t>
            </w:r>
            <w:r w:rsidRPr="008B1F8D" w:rsidR="00125355">
              <w:rPr>
                <w:color w:val="000000"/>
                <w:sz w:val="22"/>
                <w:szCs w:val="22"/>
              </w:rPr>
              <w:t xml:space="preserve">00 </w:t>
            </w:r>
            <w:r w:rsidRPr="008B1F8D">
              <w:rPr>
                <w:color w:val="000000"/>
                <w:sz w:val="22"/>
                <w:szCs w:val="22"/>
              </w:rPr>
              <w:t>[1]</w:t>
            </w:r>
          </w:p>
        </w:tc>
        <w:tc>
          <w:tcPr>
            <w:tcW w:w="1260" w:type="dxa"/>
          </w:tcPr>
          <w:p w:rsidRPr="008B1F8D" w:rsidR="00BD093A" w:rsidP="00E41DEA" w:rsidRDefault="00BF07A8" w14:paraId="700DEE78" w14:textId="0B385C1A">
            <w:pPr>
              <w:keepNext/>
              <w:rPr>
                <w:color w:val="000000"/>
                <w:sz w:val="22"/>
                <w:szCs w:val="22"/>
              </w:rPr>
            </w:pPr>
            <w:r w:rsidRPr="008B1F8D">
              <w:rPr>
                <w:color w:val="000000"/>
                <w:sz w:val="22"/>
                <w:szCs w:val="22"/>
              </w:rPr>
              <w:t>$2,82</w:t>
            </w:r>
            <w:r w:rsidRPr="008B1F8D" w:rsidR="005378CD">
              <w:rPr>
                <w:color w:val="000000"/>
                <w:sz w:val="22"/>
                <w:szCs w:val="22"/>
              </w:rPr>
              <w:t>0</w:t>
            </w:r>
            <w:r w:rsidRPr="008B1F8D">
              <w:rPr>
                <w:color w:val="000000"/>
                <w:sz w:val="22"/>
                <w:szCs w:val="22"/>
              </w:rPr>
              <w:t>.00</w:t>
            </w:r>
          </w:p>
        </w:tc>
      </w:tr>
      <w:tr w:rsidRPr="007F620E" w:rsidR="00BD093A" w:rsidTr="008B1F8D" w14:paraId="266CEDD5" w14:textId="77777777">
        <w:trPr>
          <w:jc w:val="center"/>
        </w:trPr>
        <w:tc>
          <w:tcPr>
            <w:tcW w:w="7195" w:type="dxa"/>
            <w:gridSpan w:val="8"/>
            <w:tcBorders>
              <w:bottom w:val="single" w:color="auto" w:sz="4" w:space="0"/>
              <w:right w:val="single" w:color="auto" w:sz="24" w:space="0"/>
            </w:tcBorders>
            <w:vAlign w:val="bottom"/>
          </w:tcPr>
          <w:p w:rsidRPr="00374FD1" w:rsidR="00BD093A" w:rsidP="00E41DEA" w:rsidRDefault="00BD093A" w14:paraId="4A1F5988" w14:textId="79D5F19E">
            <w:pPr>
              <w:tabs>
                <w:tab w:val="left" w:pos="957"/>
              </w:tabs>
              <w:ind w:right="162"/>
              <w:jc w:val="right"/>
              <w:rPr>
                <w:b/>
                <w:i/>
                <w:color w:val="000000"/>
              </w:rPr>
            </w:pPr>
            <w:r w:rsidRPr="007F620E">
              <w:rPr>
                <w:b/>
                <w:i/>
                <w:color w:val="000000"/>
              </w:rPr>
              <w:t>Subtotal:</w:t>
            </w:r>
            <w:r w:rsidR="00E41DEA">
              <w:rPr>
                <w:b/>
                <w:i/>
                <w:color w:val="000000"/>
              </w:rPr>
              <w:t>  </w:t>
            </w:r>
            <w:r w:rsidRPr="00374FD1">
              <w:rPr>
                <w:b/>
                <w:i/>
                <w:color w:val="000000"/>
              </w:rPr>
              <w:t>$</w:t>
            </w:r>
            <w:r>
              <w:rPr>
                <w:b/>
                <w:i/>
                <w:color w:val="000000"/>
              </w:rPr>
              <w:t>4,990</w:t>
            </w:r>
            <w:r w:rsidRPr="00E41DEA" w:rsidR="00AA33E7">
              <w:rPr>
                <w:rStyle w:val="FootnoteReference"/>
                <w:b/>
                <w:i/>
                <w:color w:val="000000"/>
                <w:sz w:val="20"/>
                <w:szCs w:val="20"/>
              </w:rPr>
              <w:footnoteReference w:id="13"/>
            </w:r>
          </w:p>
        </w:tc>
        <w:tc>
          <w:tcPr>
            <w:tcW w:w="3330" w:type="dxa"/>
            <w:gridSpan w:val="3"/>
            <w:tcBorders>
              <w:left w:val="single" w:color="auto" w:sz="24" w:space="0"/>
              <w:bottom w:val="single" w:color="auto" w:sz="4" w:space="0"/>
            </w:tcBorders>
            <w:vAlign w:val="bottom"/>
          </w:tcPr>
          <w:p w:rsidRPr="00374FD1" w:rsidR="00BD093A" w:rsidP="00E41DEA" w:rsidRDefault="00BD093A" w14:paraId="2FBAA587" w14:textId="7872B337">
            <w:pPr>
              <w:tabs>
                <w:tab w:val="left" w:pos="957"/>
              </w:tabs>
              <w:ind w:right="162"/>
              <w:jc w:val="right"/>
              <w:rPr>
                <w:b/>
                <w:i/>
                <w:color w:val="000000"/>
              </w:rPr>
            </w:pPr>
            <w:r w:rsidRPr="007F620E">
              <w:rPr>
                <w:b/>
                <w:i/>
                <w:color w:val="000000"/>
              </w:rPr>
              <w:t>Subtotal:</w:t>
            </w:r>
            <w:r w:rsidR="00E41DEA">
              <w:rPr>
                <w:b/>
                <w:i/>
                <w:color w:val="000000"/>
              </w:rPr>
              <w:t>  </w:t>
            </w:r>
            <w:r w:rsidRPr="00374FD1">
              <w:rPr>
                <w:b/>
                <w:i/>
                <w:color w:val="000000"/>
              </w:rPr>
              <w:t>$</w:t>
            </w:r>
            <w:r w:rsidR="009E78F5">
              <w:rPr>
                <w:b/>
                <w:i/>
                <w:color w:val="000000"/>
              </w:rPr>
              <w:t>3,2</w:t>
            </w:r>
            <w:r w:rsidR="005378CD">
              <w:rPr>
                <w:b/>
                <w:i/>
                <w:color w:val="000000"/>
              </w:rPr>
              <w:t>25</w:t>
            </w:r>
            <w:r w:rsidR="009E78F5">
              <w:rPr>
                <w:b/>
                <w:i/>
                <w:color w:val="000000"/>
              </w:rPr>
              <w:t>.00</w:t>
            </w:r>
          </w:p>
        </w:tc>
      </w:tr>
      <w:tr w:rsidRPr="007F620E" w:rsidR="00BD093A" w:rsidTr="00466E6E" w14:paraId="06193E6C" w14:textId="77777777">
        <w:trPr>
          <w:jc w:val="center"/>
        </w:trPr>
        <w:tc>
          <w:tcPr>
            <w:tcW w:w="10525" w:type="dxa"/>
            <w:gridSpan w:val="11"/>
            <w:tcBorders>
              <w:top w:val="single" w:color="auto" w:sz="4" w:space="0"/>
              <w:left w:val="single" w:color="auto" w:sz="4" w:space="0"/>
              <w:bottom w:val="single" w:color="auto" w:sz="4" w:space="0"/>
              <w:right w:val="single" w:color="auto" w:sz="4" w:space="0"/>
            </w:tcBorders>
            <w:shd w:val="clear" w:color="auto" w:fill="E6E6E6"/>
          </w:tcPr>
          <w:p w:rsidRPr="007F620E" w:rsidR="00BD093A" w:rsidP="00E41DEA" w:rsidRDefault="00BD093A" w14:paraId="3BECCA4A" w14:textId="77777777">
            <w:pPr>
              <w:keepNext/>
              <w:jc w:val="center"/>
              <w:rPr>
                <w:b/>
                <w:smallCaps/>
                <w:color w:val="000000"/>
              </w:rPr>
            </w:pPr>
            <w:r w:rsidRPr="007F620E">
              <w:rPr>
                <w:b/>
                <w:smallCaps/>
                <w:color w:val="000000"/>
              </w:rPr>
              <w:t>COSTS</w:t>
            </w:r>
          </w:p>
        </w:tc>
      </w:tr>
      <w:tr w:rsidRPr="007F620E" w:rsidR="00BD093A" w:rsidTr="008B1F8D" w14:paraId="72A80274" w14:textId="77777777">
        <w:trPr>
          <w:jc w:val="center"/>
        </w:trPr>
        <w:tc>
          <w:tcPr>
            <w:tcW w:w="496" w:type="dxa"/>
            <w:tcBorders>
              <w:top w:val="single" w:color="auto" w:sz="4" w:space="0"/>
              <w:bottom w:val="single" w:color="auto" w:sz="4" w:space="0"/>
            </w:tcBorders>
          </w:tcPr>
          <w:p w:rsidRPr="007F620E" w:rsidR="00BD093A" w:rsidP="00E41DEA" w:rsidRDefault="00BD093A" w14:paraId="117C57EE" w14:textId="77777777">
            <w:pPr>
              <w:keepNext/>
              <w:jc w:val="center"/>
              <w:rPr>
                <w:b/>
                <w:color w:val="000000"/>
              </w:rPr>
            </w:pPr>
            <w:r w:rsidRPr="007F620E">
              <w:rPr>
                <w:b/>
                <w:color w:val="000000"/>
              </w:rPr>
              <w:t>#</w:t>
            </w:r>
          </w:p>
        </w:tc>
        <w:tc>
          <w:tcPr>
            <w:tcW w:w="1719" w:type="dxa"/>
            <w:gridSpan w:val="2"/>
            <w:tcBorders>
              <w:top w:val="single" w:color="auto" w:sz="4" w:space="0"/>
              <w:bottom w:val="single" w:color="auto" w:sz="4" w:space="0"/>
            </w:tcBorders>
          </w:tcPr>
          <w:p w:rsidRPr="007F620E" w:rsidR="00BD093A" w:rsidP="00E41DEA" w:rsidRDefault="00BD093A" w14:paraId="6A45FCC1" w14:textId="77777777">
            <w:pPr>
              <w:keepNext/>
              <w:jc w:val="center"/>
              <w:rPr>
                <w:b/>
                <w:color w:val="000000"/>
              </w:rPr>
            </w:pPr>
            <w:r w:rsidRPr="007F620E">
              <w:rPr>
                <w:b/>
                <w:color w:val="000000"/>
              </w:rPr>
              <w:t>Item</w:t>
            </w:r>
          </w:p>
        </w:tc>
        <w:tc>
          <w:tcPr>
            <w:tcW w:w="3630" w:type="dxa"/>
            <w:gridSpan w:val="4"/>
            <w:tcBorders>
              <w:top w:val="single" w:color="auto" w:sz="4" w:space="0"/>
              <w:left w:val="single" w:color="auto" w:sz="4" w:space="0"/>
              <w:bottom w:val="single" w:color="auto" w:sz="4" w:space="0"/>
              <w:right w:val="single" w:color="auto" w:sz="4" w:space="0"/>
            </w:tcBorders>
            <w:shd w:val="clear" w:color="auto" w:fill="FFFFFF"/>
          </w:tcPr>
          <w:p w:rsidRPr="007F620E" w:rsidR="00BD093A" w:rsidP="00E41DEA" w:rsidRDefault="00BD093A" w14:paraId="19FE7A44" w14:textId="77777777">
            <w:pPr>
              <w:keepNext/>
              <w:jc w:val="center"/>
              <w:rPr>
                <w:b/>
                <w:color w:val="000000"/>
              </w:rPr>
            </w:pPr>
            <w:r w:rsidRPr="007F620E">
              <w:rPr>
                <w:b/>
                <w:color w:val="000000"/>
              </w:rPr>
              <w:t>Detail</w:t>
            </w:r>
          </w:p>
        </w:tc>
        <w:tc>
          <w:tcPr>
            <w:tcW w:w="1350" w:type="dxa"/>
            <w:tcBorders>
              <w:top w:val="single" w:color="auto" w:sz="4" w:space="0"/>
              <w:left w:val="single" w:color="auto" w:sz="4" w:space="0"/>
              <w:bottom w:val="single" w:color="auto" w:sz="4" w:space="0"/>
              <w:right w:val="single" w:color="auto" w:sz="24" w:space="0"/>
            </w:tcBorders>
          </w:tcPr>
          <w:p w:rsidRPr="007F620E" w:rsidR="00BD093A" w:rsidP="00E41DEA" w:rsidRDefault="00BD093A" w14:paraId="52A549BC" w14:textId="77777777">
            <w:pPr>
              <w:keepNext/>
              <w:jc w:val="center"/>
              <w:rPr>
                <w:b/>
                <w:color w:val="000000"/>
              </w:rPr>
            </w:pPr>
            <w:r w:rsidRPr="007F620E">
              <w:rPr>
                <w:b/>
                <w:color w:val="000000"/>
              </w:rPr>
              <w:t>Amount</w:t>
            </w:r>
          </w:p>
        </w:tc>
        <w:tc>
          <w:tcPr>
            <w:tcW w:w="3330" w:type="dxa"/>
            <w:gridSpan w:val="3"/>
            <w:tcBorders>
              <w:top w:val="single" w:color="auto" w:sz="4" w:space="0"/>
              <w:left w:val="single" w:color="auto" w:sz="24" w:space="0"/>
            </w:tcBorders>
          </w:tcPr>
          <w:p w:rsidRPr="007F620E" w:rsidR="00BD093A" w:rsidP="00E41DEA" w:rsidRDefault="00BD093A" w14:paraId="2A0A92A1" w14:textId="77777777">
            <w:pPr>
              <w:keepNext/>
              <w:jc w:val="right"/>
              <w:rPr>
                <w:b/>
                <w:color w:val="000000"/>
              </w:rPr>
            </w:pPr>
            <w:r w:rsidRPr="007F620E">
              <w:rPr>
                <w:b/>
                <w:color w:val="000000"/>
              </w:rPr>
              <w:t>Amount</w:t>
            </w:r>
          </w:p>
        </w:tc>
      </w:tr>
      <w:tr w:rsidRPr="007F620E" w:rsidR="00BD093A" w:rsidTr="008B1F8D" w14:paraId="14B6D61A" w14:textId="77777777">
        <w:trPr>
          <w:jc w:val="center"/>
        </w:trPr>
        <w:tc>
          <w:tcPr>
            <w:tcW w:w="496" w:type="dxa"/>
            <w:tcBorders>
              <w:bottom w:val="single" w:color="auto" w:sz="4" w:space="0"/>
            </w:tcBorders>
          </w:tcPr>
          <w:p w:rsidRPr="007F620E" w:rsidR="00BD093A" w:rsidP="00E41DEA" w:rsidRDefault="00BD093A" w14:paraId="3272FF6C" w14:textId="77777777">
            <w:pPr>
              <w:rPr>
                <w:color w:val="000000"/>
              </w:rPr>
            </w:pPr>
            <w:r>
              <w:rPr>
                <w:color w:val="000000"/>
              </w:rPr>
              <w:t>1.</w:t>
            </w:r>
          </w:p>
        </w:tc>
        <w:tc>
          <w:tcPr>
            <w:tcW w:w="1719" w:type="dxa"/>
            <w:gridSpan w:val="2"/>
            <w:tcBorders>
              <w:bottom w:val="single" w:color="auto" w:sz="4" w:space="0"/>
            </w:tcBorders>
          </w:tcPr>
          <w:p w:rsidRPr="008B1F8D" w:rsidR="00BD093A" w:rsidP="00E41DEA" w:rsidRDefault="00BD093A" w14:paraId="00BD9FA4" w14:textId="1097537B">
            <w:pPr>
              <w:rPr>
                <w:color w:val="000000"/>
                <w:sz w:val="22"/>
                <w:szCs w:val="22"/>
              </w:rPr>
            </w:pPr>
            <w:r w:rsidRPr="008B1F8D">
              <w:rPr>
                <w:color w:val="000000"/>
                <w:sz w:val="22"/>
                <w:szCs w:val="22"/>
              </w:rPr>
              <w:t>AK Airlines</w:t>
            </w:r>
          </w:p>
        </w:tc>
        <w:tc>
          <w:tcPr>
            <w:tcW w:w="3630" w:type="dxa"/>
            <w:gridSpan w:val="4"/>
            <w:tcBorders>
              <w:top w:val="single" w:color="auto" w:sz="4" w:space="0"/>
              <w:left w:val="single" w:color="auto" w:sz="4" w:space="0"/>
              <w:bottom w:val="single" w:color="auto" w:sz="4" w:space="0"/>
              <w:right w:val="single" w:color="auto" w:sz="4" w:space="0"/>
            </w:tcBorders>
          </w:tcPr>
          <w:p w:rsidRPr="008B1F8D" w:rsidR="00BD093A" w:rsidP="00E41DEA" w:rsidRDefault="00BD093A" w14:paraId="05A1FC0C" w14:textId="7E1C1ABA">
            <w:pPr>
              <w:rPr>
                <w:color w:val="000000"/>
                <w:sz w:val="22"/>
                <w:szCs w:val="22"/>
              </w:rPr>
            </w:pPr>
            <w:r w:rsidRPr="008B1F8D">
              <w:rPr>
                <w:color w:val="000000"/>
                <w:sz w:val="22"/>
                <w:szCs w:val="22"/>
              </w:rPr>
              <w:t>GRC Oral Argument flight</w:t>
            </w:r>
          </w:p>
        </w:tc>
        <w:tc>
          <w:tcPr>
            <w:tcW w:w="1350" w:type="dxa"/>
            <w:tcBorders>
              <w:top w:val="single" w:color="auto" w:sz="4" w:space="0"/>
              <w:left w:val="single" w:color="auto" w:sz="4" w:space="0"/>
              <w:bottom w:val="single" w:color="auto" w:sz="4" w:space="0"/>
              <w:right w:val="single" w:color="auto" w:sz="24" w:space="0"/>
            </w:tcBorders>
          </w:tcPr>
          <w:p w:rsidRPr="008B1F8D" w:rsidR="00BD093A" w:rsidP="00E41DEA" w:rsidRDefault="00466E6E" w14:paraId="324F04F2" w14:textId="18D29DEE">
            <w:pPr>
              <w:rPr>
                <w:color w:val="000000"/>
                <w:sz w:val="22"/>
                <w:szCs w:val="22"/>
              </w:rPr>
            </w:pPr>
            <w:r w:rsidRPr="008B1F8D">
              <w:rPr>
                <w:color w:val="000000"/>
                <w:sz w:val="22"/>
                <w:szCs w:val="22"/>
              </w:rPr>
              <w:t>$</w:t>
            </w:r>
            <w:r w:rsidRPr="008B1F8D" w:rsidR="00BD093A">
              <w:rPr>
                <w:color w:val="000000"/>
                <w:sz w:val="22"/>
                <w:szCs w:val="22"/>
              </w:rPr>
              <w:t>1196.60</w:t>
            </w:r>
          </w:p>
        </w:tc>
        <w:tc>
          <w:tcPr>
            <w:tcW w:w="3330" w:type="dxa"/>
            <w:gridSpan w:val="3"/>
            <w:tcBorders>
              <w:left w:val="single" w:color="auto" w:sz="24" w:space="0"/>
            </w:tcBorders>
          </w:tcPr>
          <w:p w:rsidRPr="008B1F8D" w:rsidR="00BD093A" w:rsidP="00E41DEA" w:rsidRDefault="00B53D91" w14:paraId="1C7D79D0" w14:textId="5D9F70CE">
            <w:pPr>
              <w:jc w:val="right"/>
              <w:rPr>
                <w:color w:val="000000"/>
                <w:sz w:val="22"/>
                <w:szCs w:val="22"/>
              </w:rPr>
            </w:pPr>
            <w:r w:rsidRPr="008B1F8D">
              <w:rPr>
                <w:color w:val="000000"/>
                <w:sz w:val="22"/>
                <w:szCs w:val="22"/>
              </w:rPr>
              <w:t>$350</w:t>
            </w:r>
            <w:r w:rsidRPr="008B1F8D" w:rsidR="00FA4CB6">
              <w:rPr>
                <w:color w:val="000000"/>
                <w:sz w:val="22"/>
                <w:szCs w:val="22"/>
              </w:rPr>
              <w:t>.00 [</w:t>
            </w:r>
            <w:r w:rsidRPr="008B1F8D" w:rsidR="001118C7">
              <w:rPr>
                <w:color w:val="000000"/>
                <w:sz w:val="22"/>
                <w:szCs w:val="22"/>
              </w:rPr>
              <w:t>5</w:t>
            </w:r>
            <w:r w:rsidRPr="008B1F8D" w:rsidR="00FA4CB6">
              <w:rPr>
                <w:color w:val="000000"/>
                <w:sz w:val="22"/>
                <w:szCs w:val="22"/>
              </w:rPr>
              <w:t>]</w:t>
            </w:r>
          </w:p>
        </w:tc>
      </w:tr>
      <w:tr w:rsidRPr="007F620E" w:rsidR="00BD093A" w:rsidTr="008B1F8D" w14:paraId="5988A992" w14:textId="77777777">
        <w:trPr>
          <w:jc w:val="center"/>
        </w:trPr>
        <w:tc>
          <w:tcPr>
            <w:tcW w:w="496" w:type="dxa"/>
            <w:tcBorders>
              <w:bottom w:val="single" w:color="auto" w:sz="4" w:space="0"/>
            </w:tcBorders>
          </w:tcPr>
          <w:p w:rsidRPr="007F620E" w:rsidR="00BD093A" w:rsidP="00E41DEA" w:rsidRDefault="00BD093A" w14:paraId="454061C0" w14:textId="77777777">
            <w:pPr>
              <w:rPr>
                <w:color w:val="000000"/>
              </w:rPr>
            </w:pPr>
            <w:r>
              <w:rPr>
                <w:color w:val="000000"/>
              </w:rPr>
              <w:t>2.</w:t>
            </w:r>
          </w:p>
        </w:tc>
        <w:tc>
          <w:tcPr>
            <w:tcW w:w="1719" w:type="dxa"/>
            <w:gridSpan w:val="2"/>
            <w:tcBorders>
              <w:bottom w:val="single" w:color="auto" w:sz="4" w:space="0"/>
            </w:tcBorders>
          </w:tcPr>
          <w:p w:rsidRPr="008B1F8D" w:rsidR="00BD093A" w:rsidP="00E41DEA" w:rsidRDefault="00BD093A" w14:paraId="51F2CAB8" w14:textId="22C85921">
            <w:pPr>
              <w:rPr>
                <w:color w:val="000000"/>
                <w:sz w:val="22"/>
                <w:szCs w:val="22"/>
              </w:rPr>
            </w:pPr>
            <w:r w:rsidRPr="008B1F8D">
              <w:rPr>
                <w:color w:val="000000"/>
                <w:sz w:val="22"/>
                <w:szCs w:val="22"/>
              </w:rPr>
              <w:t>SF Taxi</w:t>
            </w:r>
          </w:p>
        </w:tc>
        <w:tc>
          <w:tcPr>
            <w:tcW w:w="3630" w:type="dxa"/>
            <w:gridSpan w:val="4"/>
            <w:tcBorders>
              <w:top w:val="single" w:color="auto" w:sz="4" w:space="0"/>
              <w:left w:val="single" w:color="auto" w:sz="4" w:space="0"/>
              <w:bottom w:val="single" w:color="auto" w:sz="4" w:space="0"/>
              <w:right w:val="single" w:color="auto" w:sz="4" w:space="0"/>
            </w:tcBorders>
          </w:tcPr>
          <w:p w:rsidRPr="008B1F8D" w:rsidR="00BD093A" w:rsidP="00E41DEA" w:rsidRDefault="00BD093A" w14:paraId="6A57CD68" w14:textId="7AD7FDA4">
            <w:pPr>
              <w:rPr>
                <w:color w:val="000000"/>
                <w:sz w:val="22"/>
                <w:szCs w:val="22"/>
              </w:rPr>
            </w:pPr>
            <w:r w:rsidRPr="008B1F8D">
              <w:rPr>
                <w:color w:val="000000"/>
                <w:sz w:val="22"/>
                <w:szCs w:val="22"/>
              </w:rPr>
              <w:t>Airport to SF Taxi</w:t>
            </w:r>
          </w:p>
        </w:tc>
        <w:tc>
          <w:tcPr>
            <w:tcW w:w="1350" w:type="dxa"/>
            <w:tcBorders>
              <w:top w:val="single" w:color="auto" w:sz="4" w:space="0"/>
              <w:left w:val="single" w:color="auto" w:sz="4" w:space="0"/>
              <w:bottom w:val="single" w:color="auto" w:sz="4" w:space="0"/>
              <w:right w:val="single" w:color="auto" w:sz="24" w:space="0"/>
            </w:tcBorders>
          </w:tcPr>
          <w:p w:rsidRPr="008B1F8D" w:rsidR="00BD093A" w:rsidP="00E41DEA" w:rsidRDefault="00466E6E" w14:paraId="45700372" w14:textId="579A2F99">
            <w:pPr>
              <w:rPr>
                <w:color w:val="000000"/>
                <w:sz w:val="22"/>
                <w:szCs w:val="22"/>
              </w:rPr>
            </w:pPr>
            <w:r w:rsidRPr="008B1F8D">
              <w:rPr>
                <w:color w:val="000000"/>
                <w:sz w:val="22"/>
                <w:szCs w:val="22"/>
              </w:rPr>
              <w:t>$</w:t>
            </w:r>
            <w:r w:rsidRPr="008B1F8D" w:rsidR="00BD093A">
              <w:rPr>
                <w:color w:val="000000"/>
                <w:sz w:val="22"/>
                <w:szCs w:val="22"/>
              </w:rPr>
              <w:t>69.12</w:t>
            </w:r>
          </w:p>
        </w:tc>
        <w:tc>
          <w:tcPr>
            <w:tcW w:w="3330" w:type="dxa"/>
            <w:gridSpan w:val="3"/>
            <w:tcBorders>
              <w:left w:val="single" w:color="auto" w:sz="24" w:space="0"/>
            </w:tcBorders>
          </w:tcPr>
          <w:p w:rsidRPr="008B1F8D" w:rsidR="00BD093A" w:rsidP="00E41DEA" w:rsidRDefault="00FA4CB6" w14:paraId="7540FF22" w14:textId="644B9A26">
            <w:pPr>
              <w:jc w:val="right"/>
              <w:rPr>
                <w:color w:val="000000"/>
                <w:sz w:val="22"/>
                <w:szCs w:val="22"/>
              </w:rPr>
            </w:pPr>
            <w:r w:rsidRPr="008B1F8D">
              <w:rPr>
                <w:color w:val="000000"/>
                <w:sz w:val="22"/>
                <w:szCs w:val="22"/>
              </w:rPr>
              <w:t>$69.12</w:t>
            </w:r>
          </w:p>
        </w:tc>
      </w:tr>
      <w:tr w:rsidRPr="007F620E" w:rsidR="00BD093A" w:rsidTr="008B1F8D" w14:paraId="49710ABB" w14:textId="77777777">
        <w:trPr>
          <w:jc w:val="center"/>
        </w:trPr>
        <w:tc>
          <w:tcPr>
            <w:tcW w:w="496" w:type="dxa"/>
            <w:tcBorders>
              <w:bottom w:val="single" w:color="auto" w:sz="4" w:space="0"/>
            </w:tcBorders>
          </w:tcPr>
          <w:p w:rsidR="00BD093A" w:rsidP="00E41DEA" w:rsidRDefault="00BD093A" w14:paraId="0D977F2C" w14:textId="5A90ED3C">
            <w:pPr>
              <w:rPr>
                <w:color w:val="000000"/>
              </w:rPr>
            </w:pPr>
            <w:r>
              <w:rPr>
                <w:color w:val="000000"/>
              </w:rPr>
              <w:t xml:space="preserve">3. </w:t>
            </w:r>
          </w:p>
        </w:tc>
        <w:tc>
          <w:tcPr>
            <w:tcW w:w="1719" w:type="dxa"/>
            <w:gridSpan w:val="2"/>
            <w:tcBorders>
              <w:bottom w:val="single" w:color="auto" w:sz="4" w:space="0"/>
            </w:tcBorders>
          </w:tcPr>
          <w:p w:rsidRPr="008B1F8D" w:rsidR="00BD093A" w:rsidP="00E41DEA" w:rsidRDefault="00BD093A" w14:paraId="07F662A0" w14:textId="61EF6C2D">
            <w:pPr>
              <w:rPr>
                <w:color w:val="000000"/>
                <w:sz w:val="22"/>
                <w:szCs w:val="22"/>
              </w:rPr>
            </w:pPr>
            <w:r w:rsidRPr="008B1F8D">
              <w:rPr>
                <w:color w:val="000000"/>
                <w:sz w:val="22"/>
                <w:szCs w:val="22"/>
              </w:rPr>
              <w:t>SF Uber</w:t>
            </w:r>
          </w:p>
        </w:tc>
        <w:tc>
          <w:tcPr>
            <w:tcW w:w="3630" w:type="dxa"/>
            <w:gridSpan w:val="4"/>
            <w:tcBorders>
              <w:top w:val="single" w:color="auto" w:sz="4" w:space="0"/>
              <w:left w:val="single" w:color="auto" w:sz="4" w:space="0"/>
              <w:bottom w:val="single" w:color="auto" w:sz="4" w:space="0"/>
              <w:right w:val="single" w:color="auto" w:sz="4" w:space="0"/>
            </w:tcBorders>
          </w:tcPr>
          <w:p w:rsidRPr="008B1F8D" w:rsidR="00BD093A" w:rsidP="00E41DEA" w:rsidRDefault="00BD093A" w14:paraId="12324AFA" w14:textId="7D2331DF">
            <w:pPr>
              <w:rPr>
                <w:color w:val="000000"/>
                <w:sz w:val="22"/>
                <w:szCs w:val="22"/>
              </w:rPr>
            </w:pPr>
            <w:r w:rsidRPr="008B1F8D">
              <w:rPr>
                <w:color w:val="000000"/>
                <w:sz w:val="22"/>
                <w:szCs w:val="22"/>
              </w:rPr>
              <w:t>SF to Airport</w:t>
            </w:r>
          </w:p>
        </w:tc>
        <w:tc>
          <w:tcPr>
            <w:tcW w:w="1350" w:type="dxa"/>
            <w:tcBorders>
              <w:top w:val="single" w:color="auto" w:sz="4" w:space="0"/>
              <w:left w:val="single" w:color="auto" w:sz="4" w:space="0"/>
              <w:bottom w:val="single" w:color="auto" w:sz="4" w:space="0"/>
              <w:right w:val="single" w:color="auto" w:sz="24" w:space="0"/>
            </w:tcBorders>
          </w:tcPr>
          <w:p w:rsidRPr="008B1F8D" w:rsidR="00BD093A" w:rsidP="00E41DEA" w:rsidRDefault="00466E6E" w14:paraId="2E730ACD" w14:textId="1AC9E086">
            <w:pPr>
              <w:rPr>
                <w:color w:val="000000"/>
                <w:sz w:val="22"/>
                <w:szCs w:val="22"/>
              </w:rPr>
            </w:pPr>
            <w:r w:rsidRPr="008B1F8D">
              <w:rPr>
                <w:color w:val="000000"/>
                <w:sz w:val="22"/>
                <w:szCs w:val="22"/>
              </w:rPr>
              <w:t>$</w:t>
            </w:r>
            <w:r w:rsidRPr="008B1F8D" w:rsidR="00BD093A">
              <w:rPr>
                <w:color w:val="000000"/>
                <w:sz w:val="22"/>
                <w:szCs w:val="22"/>
              </w:rPr>
              <w:t>42.30</w:t>
            </w:r>
          </w:p>
        </w:tc>
        <w:tc>
          <w:tcPr>
            <w:tcW w:w="3330" w:type="dxa"/>
            <w:gridSpan w:val="3"/>
            <w:tcBorders>
              <w:left w:val="single" w:color="auto" w:sz="24" w:space="0"/>
            </w:tcBorders>
          </w:tcPr>
          <w:p w:rsidRPr="008B1F8D" w:rsidR="00BD093A" w:rsidP="00E41DEA" w:rsidRDefault="00FA4CB6" w14:paraId="0E7213DF" w14:textId="26890F94">
            <w:pPr>
              <w:jc w:val="right"/>
              <w:rPr>
                <w:color w:val="000000"/>
                <w:sz w:val="22"/>
                <w:szCs w:val="22"/>
              </w:rPr>
            </w:pPr>
            <w:r w:rsidRPr="008B1F8D">
              <w:rPr>
                <w:color w:val="000000"/>
                <w:sz w:val="22"/>
                <w:szCs w:val="22"/>
              </w:rPr>
              <w:t>$42.30</w:t>
            </w:r>
          </w:p>
        </w:tc>
      </w:tr>
      <w:tr w:rsidRPr="007F620E" w:rsidR="00BD093A" w:rsidTr="008B1F8D" w14:paraId="7D250EBF" w14:textId="77777777">
        <w:trPr>
          <w:trHeight w:val="317" w:hRule="exact"/>
          <w:jc w:val="center"/>
        </w:trPr>
        <w:tc>
          <w:tcPr>
            <w:tcW w:w="7195" w:type="dxa"/>
            <w:gridSpan w:val="8"/>
            <w:tcBorders>
              <w:bottom w:val="single" w:color="auto" w:sz="4" w:space="0"/>
              <w:right w:val="single" w:color="auto" w:sz="24" w:space="0"/>
            </w:tcBorders>
            <w:vAlign w:val="bottom"/>
          </w:tcPr>
          <w:p w:rsidRPr="00374FD1" w:rsidR="00BD093A" w:rsidP="00E41DEA" w:rsidRDefault="00BD093A" w14:paraId="6ADE275E" w14:textId="592EAFEA">
            <w:pPr>
              <w:keepNext/>
              <w:tabs>
                <w:tab w:val="left" w:pos="957"/>
              </w:tabs>
              <w:ind w:right="158"/>
              <w:jc w:val="right"/>
              <w:rPr>
                <w:b/>
                <w:i/>
                <w:color w:val="000000"/>
              </w:rPr>
            </w:pPr>
            <w:r w:rsidRPr="007F620E">
              <w:rPr>
                <w:b/>
                <w:i/>
                <w:color w:val="000000"/>
              </w:rPr>
              <w:t>Subtotal:</w:t>
            </w:r>
            <w:r w:rsidR="00E41DEA">
              <w:rPr>
                <w:b/>
                <w:i/>
                <w:color w:val="000000"/>
              </w:rPr>
              <w:t>  </w:t>
            </w:r>
            <w:r w:rsidRPr="00374FD1">
              <w:rPr>
                <w:b/>
                <w:i/>
                <w:color w:val="000000"/>
              </w:rPr>
              <w:t>$</w:t>
            </w:r>
            <w:r>
              <w:rPr>
                <w:b/>
                <w:i/>
                <w:color w:val="000000"/>
              </w:rPr>
              <w:t>1,308</w:t>
            </w:r>
            <w:r w:rsidR="003F17E7">
              <w:rPr>
                <w:rStyle w:val="FootnoteReference"/>
                <w:b/>
                <w:i/>
                <w:color w:val="000000"/>
              </w:rPr>
              <w:footnoteReference w:id="14"/>
            </w:r>
          </w:p>
        </w:tc>
        <w:tc>
          <w:tcPr>
            <w:tcW w:w="3330" w:type="dxa"/>
            <w:gridSpan w:val="3"/>
            <w:tcBorders>
              <w:left w:val="single" w:color="auto" w:sz="24" w:space="0"/>
            </w:tcBorders>
            <w:vAlign w:val="bottom"/>
          </w:tcPr>
          <w:p w:rsidRPr="00374FD1" w:rsidR="00BD093A" w:rsidP="00BD093A" w:rsidRDefault="00BD093A" w14:paraId="67993F7A" w14:textId="7F53D6F8">
            <w:pPr>
              <w:keepNext/>
              <w:tabs>
                <w:tab w:val="left" w:pos="957"/>
              </w:tabs>
              <w:spacing w:before="60" w:after="60"/>
              <w:ind w:right="158"/>
              <w:jc w:val="right"/>
              <w:rPr>
                <w:b/>
                <w:i/>
                <w:color w:val="000000"/>
              </w:rPr>
            </w:pPr>
            <w:r w:rsidRPr="007F620E">
              <w:rPr>
                <w:b/>
                <w:i/>
                <w:color w:val="000000"/>
              </w:rPr>
              <w:t>Subtotal:</w:t>
            </w:r>
            <w:r w:rsidR="00E41DEA">
              <w:rPr>
                <w:b/>
                <w:i/>
                <w:color w:val="000000"/>
              </w:rPr>
              <w:t>  </w:t>
            </w:r>
            <w:r w:rsidRPr="00374FD1">
              <w:rPr>
                <w:b/>
                <w:i/>
                <w:color w:val="000000"/>
              </w:rPr>
              <w:t>$</w:t>
            </w:r>
            <w:r w:rsidR="00D46C39">
              <w:rPr>
                <w:b/>
                <w:i/>
                <w:color w:val="000000"/>
              </w:rPr>
              <w:t>461.42</w:t>
            </w:r>
          </w:p>
        </w:tc>
      </w:tr>
      <w:tr w:rsidRPr="007F620E" w:rsidR="00BD093A" w:rsidTr="008B1F8D" w14:paraId="06E7371A" w14:textId="77777777">
        <w:trPr>
          <w:trHeight w:val="317" w:hRule="exact"/>
          <w:jc w:val="center"/>
        </w:trPr>
        <w:tc>
          <w:tcPr>
            <w:tcW w:w="7195" w:type="dxa"/>
            <w:gridSpan w:val="8"/>
            <w:tcBorders>
              <w:top w:val="single" w:color="auto" w:sz="4" w:space="0"/>
              <w:bottom w:val="single" w:color="auto" w:sz="4" w:space="0"/>
              <w:right w:val="single" w:color="auto" w:sz="24" w:space="0"/>
            </w:tcBorders>
            <w:shd w:val="clear" w:color="auto" w:fill="E6E6E6"/>
            <w:vAlign w:val="bottom"/>
          </w:tcPr>
          <w:p w:rsidRPr="00FE3BAE" w:rsidR="00BD093A" w:rsidP="00E41DEA" w:rsidRDefault="00BD093A" w14:paraId="11B3B704" w14:textId="52DAFC77">
            <w:pPr>
              <w:tabs>
                <w:tab w:val="left" w:pos="957"/>
              </w:tabs>
              <w:ind w:right="72"/>
              <w:jc w:val="right"/>
              <w:rPr>
                <w:b/>
                <w:color w:val="000000"/>
              </w:rPr>
            </w:pPr>
            <w:r w:rsidRPr="00374FD1">
              <w:rPr>
                <w:b/>
                <w:i/>
                <w:color w:val="000000"/>
              </w:rPr>
              <w:t>TOTAL REQUEST:</w:t>
            </w:r>
            <w:r w:rsidR="00E41DEA">
              <w:rPr>
                <w:b/>
                <w:i/>
                <w:color w:val="000000"/>
              </w:rPr>
              <w:t>  </w:t>
            </w:r>
            <w:r w:rsidRPr="00374FD1">
              <w:rPr>
                <w:b/>
                <w:i/>
                <w:color w:val="000000"/>
              </w:rPr>
              <w:t>$</w:t>
            </w:r>
            <w:r w:rsidR="00FC2ADF">
              <w:rPr>
                <w:b/>
                <w:i/>
                <w:color w:val="000000"/>
              </w:rPr>
              <w:t>15</w:t>
            </w:r>
            <w:r w:rsidR="007132CD">
              <w:rPr>
                <w:b/>
                <w:i/>
                <w:color w:val="000000"/>
              </w:rPr>
              <w:t>4,013</w:t>
            </w:r>
            <w:r w:rsidR="008451DA">
              <w:rPr>
                <w:rStyle w:val="FootnoteReference"/>
                <w:b/>
                <w:i/>
                <w:color w:val="000000"/>
              </w:rPr>
              <w:footnoteReference w:id="15"/>
            </w:r>
          </w:p>
        </w:tc>
        <w:tc>
          <w:tcPr>
            <w:tcW w:w="3330" w:type="dxa"/>
            <w:gridSpan w:val="3"/>
            <w:tcBorders>
              <w:left w:val="single" w:color="auto" w:sz="24" w:space="0"/>
            </w:tcBorders>
            <w:shd w:val="clear" w:color="auto" w:fill="E6E6E6"/>
            <w:vAlign w:val="bottom"/>
          </w:tcPr>
          <w:p w:rsidRPr="00FE3BAE" w:rsidR="00BD093A" w:rsidP="00BD093A" w:rsidRDefault="00BD093A" w14:paraId="3680D139" w14:textId="571A3109">
            <w:pPr>
              <w:tabs>
                <w:tab w:val="left" w:pos="957"/>
              </w:tabs>
              <w:spacing w:before="60" w:after="60"/>
              <w:ind w:right="72"/>
              <w:jc w:val="right"/>
              <w:rPr>
                <w:b/>
                <w:color w:val="000000"/>
              </w:rPr>
            </w:pPr>
            <w:r w:rsidRPr="00374FD1">
              <w:rPr>
                <w:b/>
                <w:i/>
                <w:color w:val="000000"/>
              </w:rPr>
              <w:t>TOTAL AWARD:</w:t>
            </w:r>
            <w:r w:rsidR="00E41DEA">
              <w:rPr>
                <w:b/>
                <w:i/>
                <w:color w:val="000000"/>
              </w:rPr>
              <w:t>  </w:t>
            </w:r>
            <w:r w:rsidRPr="00374FD1">
              <w:rPr>
                <w:b/>
                <w:i/>
                <w:color w:val="000000"/>
              </w:rPr>
              <w:t>$</w:t>
            </w:r>
            <w:r w:rsidR="007640B2">
              <w:rPr>
                <w:b/>
                <w:i/>
                <w:color w:val="000000"/>
              </w:rPr>
              <w:t>14</w:t>
            </w:r>
            <w:r w:rsidR="00EE3615">
              <w:rPr>
                <w:b/>
                <w:i/>
                <w:color w:val="000000"/>
              </w:rPr>
              <w:t>7,</w:t>
            </w:r>
            <w:r w:rsidR="008A7F4C">
              <w:rPr>
                <w:b/>
                <w:i/>
                <w:color w:val="000000"/>
              </w:rPr>
              <w:t>59</w:t>
            </w:r>
            <w:r w:rsidR="002B2206">
              <w:rPr>
                <w:b/>
                <w:i/>
                <w:color w:val="000000"/>
              </w:rPr>
              <w:t>2</w:t>
            </w:r>
            <w:r w:rsidR="007640B2">
              <w:rPr>
                <w:b/>
                <w:i/>
                <w:color w:val="000000"/>
              </w:rPr>
              <w:t>.</w:t>
            </w:r>
            <w:r w:rsidR="008A7F4C">
              <w:rPr>
                <w:b/>
                <w:i/>
                <w:color w:val="000000"/>
              </w:rPr>
              <w:t>9</w:t>
            </w:r>
            <w:r w:rsidR="007640B2">
              <w:rPr>
                <w:b/>
                <w:i/>
                <w:color w:val="000000"/>
              </w:rPr>
              <w:t>2</w:t>
            </w:r>
          </w:p>
        </w:tc>
      </w:tr>
      <w:tr w:rsidRPr="007F620E" w:rsidR="00BD093A" w:rsidTr="00466E6E" w14:paraId="6A909BC1" w14:textId="77777777">
        <w:trPr>
          <w:jc w:val="center"/>
        </w:trPr>
        <w:tc>
          <w:tcPr>
            <w:tcW w:w="10525" w:type="dxa"/>
            <w:gridSpan w:val="11"/>
            <w:tcBorders>
              <w:top w:val="single" w:color="auto" w:sz="4" w:space="0"/>
              <w:bottom w:val="single" w:color="auto" w:sz="4" w:space="0"/>
            </w:tcBorders>
          </w:tcPr>
          <w:p w:rsidRPr="005812EB" w:rsidR="00BD093A" w:rsidP="00E41DEA" w:rsidRDefault="00BD093A" w14:paraId="6F39872E" w14:textId="1A230219">
            <w:pPr>
              <w:rPr>
                <w:color w:val="000000"/>
                <w:sz w:val="22"/>
                <w:szCs w:val="22"/>
              </w:rPr>
            </w:pPr>
            <w:r w:rsidRPr="005812EB">
              <w:rPr>
                <w:color w:val="000000"/>
                <w:sz w:val="22"/>
                <w:szCs w:val="22"/>
              </w:rPr>
              <w:t xml:space="preserve">*We remind all intervenors that Commission staff may audit </w:t>
            </w:r>
            <w:r w:rsidRPr="005812EB">
              <w:rPr>
                <w:sz w:val="22"/>
                <w:szCs w:val="22"/>
              </w:rPr>
              <w:t>the records and books of the intervenors to the extent necessary to verify the basis for the award (§1804(d)).  I</w:t>
            </w:r>
            <w:r w:rsidRPr="005812EB">
              <w:rPr>
                <w:color w:val="000000"/>
                <w:sz w:val="22"/>
                <w:szCs w:val="22"/>
              </w:rPr>
              <w:t>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w:t>
            </w:r>
          </w:p>
          <w:p w:rsidRPr="007F620E" w:rsidR="00BD093A" w:rsidP="00E41DEA" w:rsidRDefault="00BD093A" w14:paraId="0D03EC65" w14:textId="77777777">
            <w:pPr>
              <w:rPr>
                <w:color w:val="000000"/>
              </w:rPr>
            </w:pPr>
            <w:r w:rsidRPr="005812EB">
              <w:rPr>
                <w:color w:val="000000"/>
                <w:sz w:val="22"/>
                <w:szCs w:val="22"/>
              </w:rPr>
              <w:t>**Travel and Reasonable Claim preparation time are typically compensated at ½ of preparer’s normal hourly rate</w:t>
            </w:r>
            <w:r w:rsidRPr="005812EB" w:rsidDel="00D075B1">
              <w:rPr>
                <w:color w:val="000000"/>
                <w:sz w:val="22"/>
                <w:szCs w:val="22"/>
              </w:rPr>
              <w:t xml:space="preserve"> </w:t>
            </w:r>
          </w:p>
        </w:tc>
      </w:tr>
    </w:tbl>
    <w:p w:rsidRPr="003B6A1B" w:rsidR="00A92D0B" w:rsidP="0073360A" w:rsidRDefault="00A92D0B" w14:paraId="04BC309E" w14:textId="70957BA8">
      <w:pPr>
        <w:pStyle w:val="Style1forICOMPS"/>
        <w:numPr>
          <w:ilvl w:val="0"/>
          <w:numId w:val="14"/>
        </w:numPr>
        <w:tabs>
          <w:tab w:val="left" w:pos="900"/>
        </w:tabs>
        <w:spacing w:before="720" w:after="120"/>
        <w:ind w:left="360"/>
        <w:jc w:val="left"/>
        <w:rPr>
          <w:i/>
          <w:color w:val="000000"/>
          <w:u w:val="single"/>
        </w:rPr>
      </w:pPr>
      <w:r w:rsidRPr="005B5B44">
        <w:rPr>
          <w:color w:val="000000"/>
        </w:rPr>
        <w:lastRenderedPageBreak/>
        <w:t>Attachments</w:t>
      </w:r>
      <w:r w:rsidRPr="007F620E">
        <w:t xml:space="preserve"> Documenting Specific Claim and Comments on Part III</w:t>
      </w:r>
      <w:r w:rsidR="00C02649">
        <w:t>:</w:t>
      </w:r>
      <w:r w:rsidR="00041F69">
        <w:rPr>
          <w:rStyle w:val="FootnoteReference"/>
        </w:rPr>
        <w:footnoteReference w:id="16"/>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245"/>
        <w:gridCol w:w="7020"/>
      </w:tblGrid>
      <w:tr w:rsidRPr="007F620E" w:rsidR="00A92D0B" w:rsidTr="0018544B" w14:paraId="0C2B760A" w14:textId="77777777">
        <w:trPr>
          <w:tblHeader/>
        </w:trPr>
        <w:tc>
          <w:tcPr>
            <w:tcW w:w="2245" w:type="dxa"/>
            <w:shd w:val="clear" w:color="auto" w:fill="D9D9D9" w:themeFill="background1" w:themeFillShade="D9"/>
            <w:vAlign w:val="center"/>
          </w:tcPr>
          <w:p w:rsidRPr="007F620E" w:rsidR="00A92D0B" w:rsidP="0018544B" w:rsidRDefault="0018544B" w14:paraId="42A1D838" w14:textId="7EF3D9C5">
            <w:pPr>
              <w:tabs>
                <w:tab w:val="left" w:pos="1260"/>
              </w:tabs>
              <w:jc w:val="center"/>
              <w:rPr>
                <w:b/>
                <w:color w:val="000000"/>
              </w:rPr>
            </w:pPr>
            <w:r w:rsidRPr="007F620E">
              <w:rPr>
                <w:b/>
                <w:color w:val="000000"/>
              </w:rPr>
              <w:t>ATTACHMENT OR COMMENT  #</w:t>
            </w:r>
          </w:p>
        </w:tc>
        <w:tc>
          <w:tcPr>
            <w:tcW w:w="7020" w:type="dxa"/>
            <w:tcBorders>
              <w:bottom w:val="single" w:color="auto" w:sz="4" w:space="0"/>
            </w:tcBorders>
            <w:shd w:val="clear" w:color="auto" w:fill="D9D9D9" w:themeFill="background1" w:themeFillShade="D9"/>
            <w:vAlign w:val="center"/>
          </w:tcPr>
          <w:p w:rsidRPr="007F620E" w:rsidR="00A92D0B" w:rsidP="0018544B" w:rsidRDefault="0018544B" w14:paraId="55F0A65F" w14:textId="669A5700">
            <w:pPr>
              <w:tabs>
                <w:tab w:val="left" w:pos="1260"/>
              </w:tabs>
              <w:jc w:val="center"/>
              <w:rPr>
                <w:b/>
                <w:color w:val="000000"/>
              </w:rPr>
            </w:pPr>
            <w:r w:rsidRPr="007F620E">
              <w:rPr>
                <w:b/>
                <w:color w:val="000000"/>
              </w:rPr>
              <w:t>DESCRIPTION/COMMENT</w:t>
            </w:r>
          </w:p>
        </w:tc>
      </w:tr>
      <w:tr w:rsidRPr="007F620E" w:rsidR="00A92D0B" w:rsidTr="0018544B" w14:paraId="71F47148" w14:textId="77777777">
        <w:tc>
          <w:tcPr>
            <w:tcW w:w="2245" w:type="dxa"/>
            <w:tcBorders>
              <w:bottom w:val="single" w:color="auto" w:sz="4" w:space="0"/>
            </w:tcBorders>
          </w:tcPr>
          <w:p w:rsidRPr="007F620E" w:rsidR="00A92D0B" w:rsidP="0018544B" w:rsidRDefault="00A92D0B" w14:paraId="7A5C03D8" w14:textId="77777777">
            <w:pPr>
              <w:tabs>
                <w:tab w:val="left" w:pos="1260"/>
              </w:tabs>
              <w:jc w:val="center"/>
              <w:rPr>
                <w:color w:val="000000"/>
              </w:rPr>
            </w:pPr>
            <w:r w:rsidRPr="007F620E">
              <w:rPr>
                <w:color w:val="000000"/>
              </w:rPr>
              <w:t>1</w:t>
            </w:r>
          </w:p>
        </w:tc>
        <w:tc>
          <w:tcPr>
            <w:tcW w:w="7020"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A92D0B" w:rsidTr="0018544B" w14:paraId="72C869B0" w14:textId="77777777">
        <w:tc>
          <w:tcPr>
            <w:tcW w:w="2245" w:type="dxa"/>
          </w:tcPr>
          <w:p w:rsidRPr="007F620E" w:rsidR="00A92D0B" w:rsidP="0018544B" w:rsidRDefault="0022302F" w14:paraId="49AADD21" w14:textId="77777777">
            <w:pPr>
              <w:tabs>
                <w:tab w:val="left" w:pos="1260"/>
              </w:tabs>
              <w:jc w:val="center"/>
              <w:rPr>
                <w:color w:val="000000"/>
              </w:rPr>
            </w:pPr>
            <w:r>
              <w:rPr>
                <w:color w:val="000000"/>
              </w:rPr>
              <w:t>2</w:t>
            </w:r>
          </w:p>
        </w:tc>
        <w:tc>
          <w:tcPr>
            <w:tcW w:w="7020" w:type="dxa"/>
          </w:tcPr>
          <w:p w:rsidRPr="00BD093A" w:rsidR="00A92D0B" w:rsidP="001A3CF3" w:rsidRDefault="00BD093A" w14:paraId="3AF20C23" w14:textId="7B8659AC">
            <w:pPr>
              <w:tabs>
                <w:tab w:val="left" w:pos="1260"/>
              </w:tabs>
              <w:rPr>
                <w:bCs/>
                <w:color w:val="000000"/>
              </w:rPr>
            </w:pPr>
            <w:r>
              <w:rPr>
                <w:bCs/>
                <w:color w:val="000000"/>
              </w:rPr>
              <w:t>Mitchell timesheet</w:t>
            </w:r>
          </w:p>
        </w:tc>
      </w:tr>
      <w:tr w:rsidRPr="007F620E" w:rsidR="00BD093A" w:rsidTr="0018544B" w14:paraId="155FB906" w14:textId="77777777">
        <w:tc>
          <w:tcPr>
            <w:tcW w:w="2245" w:type="dxa"/>
          </w:tcPr>
          <w:p w:rsidR="00BD093A" w:rsidP="0018544B" w:rsidRDefault="00BD093A" w14:paraId="03E5E91C" w14:textId="1449D57A">
            <w:pPr>
              <w:tabs>
                <w:tab w:val="left" w:pos="1260"/>
              </w:tabs>
              <w:jc w:val="center"/>
              <w:rPr>
                <w:color w:val="000000"/>
              </w:rPr>
            </w:pPr>
            <w:r>
              <w:rPr>
                <w:color w:val="000000"/>
              </w:rPr>
              <w:t>3</w:t>
            </w:r>
          </w:p>
        </w:tc>
        <w:tc>
          <w:tcPr>
            <w:tcW w:w="7020" w:type="dxa"/>
          </w:tcPr>
          <w:p w:rsidR="00BD093A" w:rsidP="001A3CF3" w:rsidRDefault="00BD093A" w14:paraId="262C87BA" w14:textId="360129E9">
            <w:pPr>
              <w:tabs>
                <w:tab w:val="left" w:pos="1260"/>
              </w:tabs>
              <w:rPr>
                <w:bCs/>
                <w:color w:val="000000"/>
              </w:rPr>
            </w:pPr>
            <w:r>
              <w:rPr>
                <w:bCs/>
                <w:color w:val="000000"/>
              </w:rPr>
              <w:t>Mitchell GRC Testimony</w:t>
            </w:r>
          </w:p>
        </w:tc>
      </w:tr>
      <w:tr w:rsidRPr="007F620E" w:rsidR="00FF120D" w:rsidTr="0018544B" w14:paraId="3B4A3AB5" w14:textId="77777777">
        <w:tc>
          <w:tcPr>
            <w:tcW w:w="2245" w:type="dxa"/>
          </w:tcPr>
          <w:p w:rsidR="00FF120D" w:rsidP="0018544B" w:rsidRDefault="00FF120D" w14:paraId="7D11612B" w14:textId="29BAFB56">
            <w:pPr>
              <w:tabs>
                <w:tab w:val="left" w:pos="1260"/>
              </w:tabs>
              <w:jc w:val="center"/>
              <w:rPr>
                <w:color w:val="000000"/>
              </w:rPr>
            </w:pPr>
            <w:r>
              <w:rPr>
                <w:color w:val="000000"/>
              </w:rPr>
              <w:t>4</w:t>
            </w:r>
          </w:p>
        </w:tc>
        <w:tc>
          <w:tcPr>
            <w:tcW w:w="7020" w:type="dxa"/>
          </w:tcPr>
          <w:p w:rsidR="00FF120D" w:rsidP="001A3CF3" w:rsidRDefault="00FF120D" w14:paraId="1EC9B5A5" w14:textId="478E84E4">
            <w:pPr>
              <w:tabs>
                <w:tab w:val="left" w:pos="1260"/>
              </w:tabs>
              <w:rPr>
                <w:bCs/>
                <w:color w:val="000000"/>
              </w:rPr>
            </w:pPr>
            <w:r>
              <w:rPr>
                <w:bCs/>
                <w:color w:val="000000"/>
              </w:rPr>
              <w:t>Receipts</w:t>
            </w:r>
          </w:p>
        </w:tc>
      </w:tr>
    </w:tbl>
    <w:p w:rsidRPr="007F620E" w:rsidR="00466405" w:rsidP="008D5BD7" w:rsidRDefault="00466405" w14:paraId="64D85256" w14:textId="12146D8D">
      <w:pPr>
        <w:pStyle w:val="Style1forICOMPS"/>
        <w:numPr>
          <w:ilvl w:val="0"/>
          <w:numId w:val="14"/>
        </w:numPr>
        <w:spacing w:before="240" w:after="120"/>
        <w:ind w:left="360"/>
        <w:jc w:val="left"/>
      </w:pPr>
      <w:r w:rsidRPr="007F620E">
        <w:t xml:space="preserve">CPUC </w:t>
      </w:r>
      <w:r>
        <w:t xml:space="preserve">Comments, </w:t>
      </w:r>
      <w:r w:rsidRPr="007F620E">
        <w:t>Disallowances</w:t>
      </w:r>
      <w:r>
        <w:t>,</w:t>
      </w:r>
      <w:r w:rsidRPr="007F620E">
        <w:t xml:space="preserve"> and 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466405" w:rsidTr="00466405" w14:paraId="640218A0" w14:textId="77777777">
        <w:trPr>
          <w:tblHeader/>
        </w:trPr>
        <w:tc>
          <w:tcPr>
            <w:tcW w:w="1603" w:type="dxa"/>
            <w:shd w:val="pct12" w:color="auto" w:fill="auto"/>
          </w:tcPr>
          <w:p w:rsidRPr="007F620E" w:rsidR="00466405" w:rsidP="0018544B" w:rsidRDefault="0018544B" w14:paraId="59DBA042" w14:textId="253EC997">
            <w:pPr>
              <w:tabs>
                <w:tab w:val="left" w:pos="1440"/>
              </w:tabs>
              <w:jc w:val="center"/>
              <w:rPr>
                <w:b/>
                <w:color w:val="000000"/>
              </w:rPr>
            </w:pPr>
            <w:r w:rsidRPr="007F620E">
              <w:rPr>
                <w:b/>
                <w:color w:val="000000"/>
              </w:rPr>
              <w:t>ITEM</w:t>
            </w:r>
          </w:p>
        </w:tc>
        <w:tc>
          <w:tcPr>
            <w:tcW w:w="7757" w:type="dxa"/>
            <w:shd w:val="pct12" w:color="auto" w:fill="auto"/>
          </w:tcPr>
          <w:p w:rsidRPr="007F620E" w:rsidR="00466405" w:rsidP="0018544B" w:rsidRDefault="0018544B" w14:paraId="599FD6D9" w14:textId="498FF014">
            <w:pPr>
              <w:tabs>
                <w:tab w:val="left" w:pos="1440"/>
              </w:tabs>
              <w:jc w:val="center"/>
              <w:rPr>
                <w:b/>
                <w:color w:val="000000"/>
              </w:rPr>
            </w:pPr>
            <w:r w:rsidRPr="007F620E">
              <w:rPr>
                <w:b/>
                <w:color w:val="000000"/>
              </w:rPr>
              <w:t>REASON</w:t>
            </w:r>
          </w:p>
        </w:tc>
      </w:tr>
      <w:tr w:rsidRPr="007F620E" w:rsidR="00466405" w:rsidTr="00466405" w14:paraId="70494002" w14:textId="77777777">
        <w:tc>
          <w:tcPr>
            <w:tcW w:w="1603" w:type="dxa"/>
          </w:tcPr>
          <w:p w:rsidRPr="007F620E" w:rsidR="00466405" w:rsidP="0018544B" w:rsidRDefault="00466405" w14:paraId="3F778B24" w14:textId="50681621">
            <w:pPr>
              <w:tabs>
                <w:tab w:val="left" w:pos="1440"/>
              </w:tabs>
              <w:spacing w:before="120"/>
              <w:rPr>
                <w:color w:val="000000"/>
              </w:rPr>
            </w:pPr>
            <w:r>
              <w:rPr>
                <w:color w:val="000000"/>
              </w:rPr>
              <w:t xml:space="preserve">[1] Mitchell’s 2022, 2023, 2024 and 2025 Hourly Rates and 2022, 2023, and 2025 Intervenor Compensation Claim </w:t>
            </w:r>
            <w:r w:rsidR="003A144F">
              <w:rPr>
                <w:color w:val="000000"/>
              </w:rPr>
              <w:t>Preparation</w:t>
            </w:r>
            <w:r>
              <w:rPr>
                <w:color w:val="000000"/>
              </w:rPr>
              <w:t xml:space="preserve"> Hourly Rates</w:t>
            </w:r>
          </w:p>
        </w:tc>
        <w:tc>
          <w:tcPr>
            <w:tcW w:w="7757" w:type="dxa"/>
          </w:tcPr>
          <w:p w:rsidR="00181058" w:rsidP="0018544B" w:rsidRDefault="00C35855" w14:paraId="72FFD3BB" w14:textId="6182A9C6">
            <w:pPr>
              <w:tabs>
                <w:tab w:val="left" w:pos="1440"/>
              </w:tabs>
              <w:spacing w:before="120" w:after="120"/>
              <w:rPr>
                <w:color w:val="000000"/>
              </w:rPr>
            </w:pPr>
            <w:r w:rsidRPr="00C35855">
              <w:rPr>
                <w:color w:val="000000"/>
              </w:rPr>
              <w:t xml:space="preserve">Upon further review, the Commission has determined that </w:t>
            </w:r>
            <w:r>
              <w:rPr>
                <w:color w:val="000000"/>
              </w:rPr>
              <w:t xml:space="preserve">Mitchell </w:t>
            </w:r>
            <w:r w:rsidRPr="00C35855">
              <w:rPr>
                <w:color w:val="000000"/>
              </w:rPr>
              <w:t>is a consultant.</w:t>
            </w:r>
          </w:p>
          <w:p w:rsidR="00756256" w:rsidP="00756256" w:rsidRDefault="00756256" w14:paraId="702A69C8" w14:textId="721BA965">
            <w:pPr>
              <w:tabs>
                <w:tab w:val="left" w:pos="1440"/>
              </w:tabs>
              <w:spacing w:after="120"/>
              <w:rPr>
                <w:color w:val="000000"/>
              </w:rPr>
            </w:pPr>
            <w:r w:rsidRPr="00756256">
              <w:rPr>
                <w:color w:val="000000"/>
              </w:rPr>
              <w:t>Pursuant to Commission policy, the rate requested by an intervenor must not exceed the rate billed to that intervenor by any outside consultant it hires, even if the consultant’s billed rate is below the floor for a given experience level.</w:t>
            </w:r>
            <w:r w:rsidR="005E0A3E">
              <w:rPr>
                <w:rStyle w:val="FootnoteReference"/>
                <w:color w:val="000000"/>
              </w:rPr>
              <w:footnoteReference w:id="17"/>
            </w:r>
            <w:r w:rsidRPr="00756256">
              <w:rPr>
                <w:color w:val="000000"/>
              </w:rPr>
              <w:t xml:space="preserve"> </w:t>
            </w:r>
            <w:r w:rsidR="00DF72A0">
              <w:rPr>
                <w:color w:val="000000"/>
              </w:rPr>
              <w:t xml:space="preserve"> </w:t>
            </w:r>
            <w:r w:rsidRPr="00756256">
              <w:rPr>
                <w:color w:val="000000"/>
              </w:rPr>
              <w:t>Per the IComp Program Guide at 24, the Commission may audit the records and books of the intervenors to the extent necessary to verify the basis for the award.</w:t>
            </w:r>
            <w:r w:rsidR="006132D3">
              <w:rPr>
                <w:rStyle w:val="FootnoteReference"/>
                <w:color w:val="000000"/>
              </w:rPr>
              <w:footnoteReference w:id="18"/>
            </w:r>
          </w:p>
          <w:p w:rsidR="00756256" w:rsidP="00756256" w:rsidRDefault="00756256" w14:paraId="45B72772" w14:textId="767B453A">
            <w:pPr>
              <w:tabs>
                <w:tab w:val="left" w:pos="1440"/>
              </w:tabs>
              <w:spacing w:after="120"/>
              <w:rPr>
                <w:color w:val="000000"/>
              </w:rPr>
            </w:pPr>
            <w:r w:rsidRPr="00756256">
              <w:rPr>
                <w:color w:val="000000"/>
              </w:rPr>
              <w:t>MGRA has confirmed that it paid Mitchell $395</w:t>
            </w:r>
            <w:r w:rsidR="00773B8B">
              <w:rPr>
                <w:color w:val="000000"/>
              </w:rPr>
              <w:t>.00</w:t>
            </w:r>
            <w:r w:rsidRPr="00756256">
              <w:rPr>
                <w:color w:val="000000"/>
              </w:rPr>
              <w:t xml:space="preserve"> </w:t>
            </w:r>
            <w:r w:rsidR="00E86DE4">
              <w:rPr>
                <w:color w:val="000000"/>
              </w:rPr>
              <w:t xml:space="preserve">per hour </w:t>
            </w:r>
            <w:r w:rsidRPr="00756256">
              <w:rPr>
                <w:color w:val="000000"/>
              </w:rPr>
              <w:t>in 2022, $415</w:t>
            </w:r>
            <w:r w:rsidR="00DC2741">
              <w:rPr>
                <w:color w:val="000000"/>
              </w:rPr>
              <w:t>.00</w:t>
            </w:r>
            <w:r w:rsidRPr="00756256">
              <w:rPr>
                <w:color w:val="000000"/>
              </w:rPr>
              <w:t xml:space="preserve"> </w:t>
            </w:r>
            <w:r w:rsidR="00E86DE4">
              <w:rPr>
                <w:color w:val="000000"/>
              </w:rPr>
              <w:t xml:space="preserve">per hour </w:t>
            </w:r>
            <w:r w:rsidRPr="00756256">
              <w:rPr>
                <w:color w:val="000000"/>
              </w:rPr>
              <w:t>in 2023, $455</w:t>
            </w:r>
            <w:r w:rsidR="00DC2741">
              <w:rPr>
                <w:color w:val="000000"/>
              </w:rPr>
              <w:t>.00</w:t>
            </w:r>
            <w:r w:rsidRPr="00756256">
              <w:rPr>
                <w:color w:val="000000"/>
              </w:rPr>
              <w:t xml:space="preserve"> </w:t>
            </w:r>
            <w:r w:rsidR="00E86DE4">
              <w:rPr>
                <w:color w:val="000000"/>
              </w:rPr>
              <w:t xml:space="preserve">per hour </w:t>
            </w:r>
            <w:r w:rsidRPr="00756256">
              <w:rPr>
                <w:color w:val="000000"/>
              </w:rPr>
              <w:t>in 2024</w:t>
            </w:r>
            <w:r w:rsidR="006132D3">
              <w:rPr>
                <w:color w:val="000000"/>
              </w:rPr>
              <w:t>,</w:t>
            </w:r>
            <w:r w:rsidRPr="00756256">
              <w:rPr>
                <w:color w:val="000000"/>
              </w:rPr>
              <w:t xml:space="preserve"> and $</w:t>
            </w:r>
            <w:r w:rsidR="007B4E5A">
              <w:rPr>
                <w:color w:val="000000"/>
              </w:rPr>
              <w:t>471</w:t>
            </w:r>
            <w:r w:rsidR="0012420A">
              <w:rPr>
                <w:color w:val="000000"/>
              </w:rPr>
              <w:t>.00</w:t>
            </w:r>
            <w:r w:rsidRPr="00756256">
              <w:rPr>
                <w:color w:val="000000"/>
              </w:rPr>
              <w:t xml:space="preserve"> </w:t>
            </w:r>
            <w:r w:rsidR="00E86DE4">
              <w:rPr>
                <w:color w:val="000000"/>
              </w:rPr>
              <w:t xml:space="preserve">per hour </w:t>
            </w:r>
            <w:r w:rsidRPr="00756256">
              <w:rPr>
                <w:color w:val="000000"/>
              </w:rPr>
              <w:t>in 2025</w:t>
            </w:r>
            <w:r w:rsidR="00E86DE4">
              <w:rPr>
                <w:color w:val="000000"/>
              </w:rPr>
              <w:t xml:space="preserve"> for work in this proceeding</w:t>
            </w:r>
            <w:r w:rsidRPr="00756256">
              <w:rPr>
                <w:color w:val="000000"/>
              </w:rPr>
              <w:t xml:space="preserve">. </w:t>
            </w:r>
            <w:r w:rsidR="00DF72A0">
              <w:rPr>
                <w:color w:val="000000"/>
              </w:rPr>
              <w:t xml:space="preserve"> </w:t>
            </w:r>
            <w:r w:rsidRPr="0059745B" w:rsidR="0059745B">
              <w:rPr>
                <w:color w:val="000000"/>
              </w:rPr>
              <w:t>We find th</w:t>
            </w:r>
            <w:r w:rsidR="0059745B">
              <w:rPr>
                <w:color w:val="000000"/>
              </w:rPr>
              <w:t>ese</w:t>
            </w:r>
            <w:r w:rsidRPr="0059745B" w:rsidR="0059745B">
              <w:rPr>
                <w:color w:val="000000"/>
              </w:rPr>
              <w:t xml:space="preserve"> rate</w:t>
            </w:r>
            <w:r w:rsidR="0059745B">
              <w:rPr>
                <w:color w:val="000000"/>
              </w:rPr>
              <w:t>s</w:t>
            </w:r>
            <w:r w:rsidRPr="0059745B" w:rsidR="0059745B">
              <w:rPr>
                <w:color w:val="000000"/>
              </w:rPr>
              <w:t xml:space="preserve"> reasonable given </w:t>
            </w:r>
            <w:r w:rsidR="0059745B">
              <w:rPr>
                <w:color w:val="000000"/>
              </w:rPr>
              <w:t>Mitchell’s</w:t>
            </w:r>
            <w:r w:rsidRPr="0059745B" w:rsidR="0059745B">
              <w:rPr>
                <w:color w:val="000000"/>
              </w:rPr>
              <w:t xml:space="preserve"> experience</w:t>
            </w:r>
            <w:r w:rsidR="00E5668B">
              <w:rPr>
                <w:color w:val="000000"/>
              </w:rPr>
              <w:t>;</w:t>
            </w:r>
            <w:r w:rsidRPr="0059745B" w:rsidR="0059745B">
              <w:rPr>
                <w:color w:val="000000"/>
              </w:rPr>
              <w:t xml:space="preserve"> </w:t>
            </w:r>
            <w:r w:rsidR="00B12CEE">
              <w:rPr>
                <w:color w:val="000000"/>
              </w:rPr>
              <w:t>howev</w:t>
            </w:r>
            <w:r w:rsidR="00FB1A8E">
              <w:rPr>
                <w:color w:val="000000"/>
              </w:rPr>
              <w:t>er</w:t>
            </w:r>
            <w:r w:rsidR="00E5668B">
              <w:rPr>
                <w:color w:val="000000"/>
              </w:rPr>
              <w:t>,</w:t>
            </w:r>
            <w:r w:rsidR="00FB1A8E">
              <w:rPr>
                <w:color w:val="000000"/>
              </w:rPr>
              <w:t xml:space="preserve"> we </w:t>
            </w:r>
            <w:r w:rsidR="008329AD">
              <w:rPr>
                <w:color w:val="000000"/>
              </w:rPr>
              <w:t>round</w:t>
            </w:r>
            <w:r w:rsidR="00FB1A8E">
              <w:rPr>
                <w:color w:val="000000"/>
              </w:rPr>
              <w:t xml:space="preserve"> Mitchell’s 2025</w:t>
            </w:r>
            <w:r w:rsidR="009F1B51">
              <w:rPr>
                <w:color w:val="000000"/>
              </w:rPr>
              <w:t xml:space="preserve"> </w:t>
            </w:r>
            <w:r w:rsidR="00E5668B">
              <w:rPr>
                <w:color w:val="000000"/>
              </w:rPr>
              <w:t xml:space="preserve">rate </w:t>
            </w:r>
            <w:r w:rsidR="009F1B51">
              <w:rPr>
                <w:color w:val="000000"/>
              </w:rPr>
              <w:t xml:space="preserve">to $470.00 in order to round to </w:t>
            </w:r>
            <w:r w:rsidR="008329AD">
              <w:rPr>
                <w:color w:val="000000"/>
              </w:rPr>
              <w:t>the nearest</w:t>
            </w:r>
            <w:r w:rsidR="00ED79AB">
              <w:rPr>
                <w:color w:val="000000"/>
              </w:rPr>
              <w:t xml:space="preserve"> five</w:t>
            </w:r>
            <w:r w:rsidR="00E5668B">
              <w:rPr>
                <w:color w:val="000000"/>
              </w:rPr>
              <w:t>-</w:t>
            </w:r>
            <w:r w:rsidR="00ED79AB">
              <w:rPr>
                <w:color w:val="000000"/>
              </w:rPr>
              <w:t>dollar increment</w:t>
            </w:r>
            <w:r w:rsidR="00E5668B">
              <w:rPr>
                <w:color w:val="000000"/>
              </w:rPr>
              <w:t>,</w:t>
            </w:r>
            <w:r w:rsidR="00FB1A8E">
              <w:rPr>
                <w:color w:val="000000"/>
              </w:rPr>
              <w:t xml:space="preserve"> </w:t>
            </w:r>
            <w:r w:rsidRPr="0059745B" w:rsidR="0059745B">
              <w:rPr>
                <w:color w:val="000000"/>
              </w:rPr>
              <w:t xml:space="preserve">and approve </w:t>
            </w:r>
            <w:r w:rsidR="00177212">
              <w:rPr>
                <w:color w:val="000000"/>
              </w:rPr>
              <w:t>the</w:t>
            </w:r>
            <w:r w:rsidR="003A748A">
              <w:rPr>
                <w:color w:val="000000"/>
              </w:rPr>
              <w:t xml:space="preserve"> other</w:t>
            </w:r>
            <w:r w:rsidRPr="0059745B" w:rsidR="00177212">
              <w:rPr>
                <w:color w:val="000000"/>
              </w:rPr>
              <w:t xml:space="preserve"> </w:t>
            </w:r>
            <w:r w:rsidRPr="0059745B" w:rsidR="0059745B">
              <w:rPr>
                <w:color w:val="000000"/>
              </w:rPr>
              <w:t>rate</w:t>
            </w:r>
            <w:r w:rsidR="00177212">
              <w:rPr>
                <w:color w:val="000000"/>
              </w:rPr>
              <w:t>s</w:t>
            </w:r>
            <w:r w:rsidRPr="0059745B" w:rsidR="0059745B">
              <w:rPr>
                <w:color w:val="000000"/>
              </w:rPr>
              <w:t xml:space="preserve"> </w:t>
            </w:r>
            <w:r w:rsidR="00177212">
              <w:rPr>
                <w:color w:val="000000"/>
              </w:rPr>
              <w:t>as requested</w:t>
            </w:r>
            <w:r w:rsidRPr="0059745B" w:rsidR="0059745B">
              <w:rPr>
                <w:color w:val="000000"/>
              </w:rPr>
              <w:t>.</w:t>
            </w:r>
          </w:p>
          <w:p w:rsidR="004C2E41" w:rsidP="004C2E41" w:rsidRDefault="003F5C34" w14:paraId="4EEA4745" w14:textId="677130D4">
            <w:pPr>
              <w:tabs>
                <w:tab w:val="left" w:pos="1440"/>
              </w:tabs>
              <w:spacing w:after="120"/>
              <w:rPr>
                <w:color w:val="000000"/>
              </w:rPr>
            </w:pPr>
            <w:r>
              <w:rPr>
                <w:color w:val="000000"/>
              </w:rPr>
              <w:t>W</w:t>
            </w:r>
            <w:r w:rsidR="006B0058">
              <w:rPr>
                <w:color w:val="000000"/>
              </w:rPr>
              <w:t xml:space="preserve">e apply one-half of </w:t>
            </w:r>
            <w:r w:rsidR="00CF669E">
              <w:rPr>
                <w:color w:val="000000"/>
              </w:rPr>
              <w:t xml:space="preserve">Mitchell’s 2022, 2023, and 2025 rates </w:t>
            </w:r>
            <w:r w:rsidR="00744596">
              <w:rPr>
                <w:color w:val="000000"/>
              </w:rPr>
              <w:t>to adopt</w:t>
            </w:r>
            <w:r>
              <w:rPr>
                <w:color w:val="000000"/>
              </w:rPr>
              <w:t xml:space="preserve"> </w:t>
            </w:r>
            <w:r w:rsidR="004649F8">
              <w:rPr>
                <w:color w:val="000000"/>
              </w:rPr>
              <w:t xml:space="preserve">travel time and </w:t>
            </w:r>
            <w:r>
              <w:rPr>
                <w:color w:val="000000"/>
              </w:rPr>
              <w:t xml:space="preserve">Intervenor Compensation Claim Preparation </w:t>
            </w:r>
            <w:r w:rsidR="0088252B">
              <w:rPr>
                <w:color w:val="000000"/>
              </w:rPr>
              <w:t>hourly rates of</w:t>
            </w:r>
            <w:r w:rsidR="00744596">
              <w:rPr>
                <w:color w:val="000000"/>
              </w:rPr>
              <w:t xml:space="preserve"> </w:t>
            </w:r>
            <w:r w:rsidR="00773B8B">
              <w:rPr>
                <w:color w:val="000000"/>
              </w:rPr>
              <w:t>$197.50</w:t>
            </w:r>
            <w:r w:rsidR="0088252B">
              <w:rPr>
                <w:color w:val="000000"/>
              </w:rPr>
              <w:t xml:space="preserve">, $207.50, and </w:t>
            </w:r>
            <w:r w:rsidR="006132D3">
              <w:rPr>
                <w:color w:val="000000"/>
              </w:rPr>
              <w:t>$</w:t>
            </w:r>
            <w:r w:rsidR="0088252B">
              <w:rPr>
                <w:color w:val="000000"/>
              </w:rPr>
              <w:t>23</w:t>
            </w:r>
            <w:r w:rsidR="004C2E41">
              <w:rPr>
                <w:color w:val="000000"/>
              </w:rPr>
              <w:t>5.</w:t>
            </w:r>
            <w:r w:rsidR="001F3841">
              <w:rPr>
                <w:color w:val="000000"/>
              </w:rPr>
              <w:t>0</w:t>
            </w:r>
            <w:r w:rsidR="004C2E41">
              <w:rPr>
                <w:color w:val="000000"/>
              </w:rPr>
              <w:t>0, respectively.</w:t>
            </w:r>
          </w:p>
          <w:p w:rsidRPr="007F620E" w:rsidR="00466405" w:rsidP="004C2E41" w:rsidRDefault="00756256" w14:paraId="6821B5D3" w14:textId="00BD3A89">
            <w:pPr>
              <w:tabs>
                <w:tab w:val="left" w:pos="1440"/>
              </w:tabs>
              <w:spacing w:after="120"/>
              <w:rPr>
                <w:color w:val="000000"/>
              </w:rPr>
            </w:pPr>
            <w:r w:rsidRPr="00756256">
              <w:rPr>
                <w:color w:val="000000"/>
              </w:rPr>
              <w:t xml:space="preserve">The award determined herein for </w:t>
            </w:r>
            <w:r w:rsidR="006132D3">
              <w:rPr>
                <w:color w:val="000000"/>
              </w:rPr>
              <w:t>Mitchell’s</w:t>
            </w:r>
            <w:r w:rsidRPr="00756256">
              <w:rPr>
                <w:color w:val="000000"/>
              </w:rPr>
              <w:t xml:space="preserve"> contribution in this proceeding shall be paid in full to </w:t>
            </w:r>
            <w:r w:rsidR="006132D3">
              <w:rPr>
                <w:color w:val="000000"/>
              </w:rPr>
              <w:t>Mitchell</w:t>
            </w:r>
            <w:r w:rsidRPr="00756256">
              <w:rPr>
                <w:color w:val="000000"/>
              </w:rPr>
              <w:t xml:space="preserve">, and no portion of this part of the award shall be kept by </w:t>
            </w:r>
            <w:r w:rsidR="006132D3">
              <w:rPr>
                <w:color w:val="000000"/>
              </w:rPr>
              <w:t>MGRA</w:t>
            </w:r>
            <w:r w:rsidRPr="00756256">
              <w:rPr>
                <w:color w:val="000000"/>
              </w:rPr>
              <w:t xml:space="preserve">. </w:t>
            </w:r>
            <w:r w:rsidR="00DF72A0">
              <w:rPr>
                <w:color w:val="000000"/>
              </w:rPr>
              <w:t xml:space="preserve"> </w:t>
            </w:r>
            <w:r w:rsidRPr="00756256">
              <w:rPr>
                <w:color w:val="000000"/>
              </w:rPr>
              <w:t>Additionally, the rates approved here are specific to work in this proceeding and the contract terms between the consultant and intervenor, as they are established in accordance with the Commission's policy on consultant compensation.</w:t>
            </w:r>
          </w:p>
        </w:tc>
      </w:tr>
      <w:tr w:rsidRPr="007F620E" w:rsidR="00466405" w:rsidTr="00466405" w14:paraId="2651EC93" w14:textId="77777777">
        <w:tc>
          <w:tcPr>
            <w:tcW w:w="1603" w:type="dxa"/>
          </w:tcPr>
          <w:p w:rsidRPr="007F620E" w:rsidR="00466405" w:rsidP="00466405" w:rsidRDefault="00466405" w14:paraId="45297D32" w14:textId="5452DCB7">
            <w:pPr>
              <w:tabs>
                <w:tab w:val="left" w:pos="1440"/>
              </w:tabs>
              <w:rPr>
                <w:color w:val="000000"/>
              </w:rPr>
            </w:pPr>
            <w:r>
              <w:rPr>
                <w:color w:val="000000"/>
              </w:rPr>
              <w:t xml:space="preserve">[2] Adjustment </w:t>
            </w:r>
            <w:r w:rsidR="00414B1C">
              <w:rPr>
                <w:color w:val="000000"/>
              </w:rPr>
              <w:t>to</w:t>
            </w:r>
            <w:r>
              <w:rPr>
                <w:color w:val="000000"/>
              </w:rPr>
              <w:t xml:space="preserve"> </w:t>
            </w:r>
            <w:r>
              <w:rPr>
                <w:color w:val="000000"/>
              </w:rPr>
              <w:lastRenderedPageBreak/>
              <w:t>Timesheet Entries</w:t>
            </w:r>
          </w:p>
        </w:tc>
        <w:tc>
          <w:tcPr>
            <w:tcW w:w="7757" w:type="dxa"/>
          </w:tcPr>
          <w:p w:rsidR="00466405" w:rsidP="00FA37DB" w:rsidRDefault="00466405" w14:paraId="072126C5" w14:textId="0769C354">
            <w:pPr>
              <w:tabs>
                <w:tab w:val="left" w:pos="1440"/>
              </w:tabs>
              <w:spacing w:after="120"/>
            </w:pPr>
            <w:r>
              <w:lastRenderedPageBreak/>
              <w:t>MGRA</w:t>
            </w:r>
            <w:r w:rsidR="00D65884">
              <w:t xml:space="preserve"> requested 71.90 hours in 2022 and 214.20 hours in 202</w:t>
            </w:r>
            <w:r w:rsidR="00DB6E38">
              <w:t xml:space="preserve">4. </w:t>
            </w:r>
            <w:r w:rsidR="00DF72A0">
              <w:t xml:space="preserve"> </w:t>
            </w:r>
            <w:r w:rsidR="00DB6E38">
              <w:t>However, MGRA</w:t>
            </w:r>
            <w:r>
              <w:t xml:space="preserve">’s submitted timesheets show </w:t>
            </w:r>
            <w:r w:rsidR="00DB6E38">
              <w:t>Mitchell worked 69.30 hours</w:t>
            </w:r>
            <w:r>
              <w:t xml:space="preserve"> </w:t>
            </w:r>
            <w:r w:rsidR="00DB6E38">
              <w:t xml:space="preserve">in </w:t>
            </w:r>
            <w:r>
              <w:t>202</w:t>
            </w:r>
            <w:r w:rsidR="008F35C0">
              <w:t>2</w:t>
            </w:r>
            <w:r>
              <w:t xml:space="preserve"> </w:t>
            </w:r>
            <w:r>
              <w:lastRenderedPageBreak/>
              <w:t xml:space="preserve">and </w:t>
            </w:r>
            <w:r w:rsidR="00DB6E38">
              <w:t xml:space="preserve">210.00 hours in </w:t>
            </w:r>
            <w:r>
              <w:t>202</w:t>
            </w:r>
            <w:r w:rsidR="008F35C0">
              <w:t>4</w:t>
            </w:r>
            <w:r>
              <w:t xml:space="preserve">. </w:t>
            </w:r>
            <w:r w:rsidR="00DF72A0">
              <w:t xml:space="preserve"> </w:t>
            </w:r>
            <w:r>
              <w:t xml:space="preserve">The Commission only compensates intervenors for </w:t>
            </w:r>
            <w:r>
              <w:rPr>
                <w:i/>
                <w:iCs/>
              </w:rPr>
              <w:t xml:space="preserve">actual </w:t>
            </w:r>
            <w:r>
              <w:t>time worked while su</w:t>
            </w:r>
            <w:r w:rsidR="00AD2F59">
              <w:t xml:space="preserve">bstantially contributing to a Commission decision or order. </w:t>
            </w:r>
            <w:r w:rsidR="00DF72A0">
              <w:t xml:space="preserve"> </w:t>
            </w:r>
            <w:r w:rsidR="00AD2F59">
              <w:t>We</w:t>
            </w:r>
            <w:r w:rsidR="00C17EEB">
              <w:t xml:space="preserve"> find it reasonable to award MGRA for the actual time Mitchell worked in </w:t>
            </w:r>
            <w:r w:rsidR="002F7A7B">
              <w:t>A.22-05-013 and A.23-05-010</w:t>
            </w:r>
            <w:r w:rsidR="00E5668B">
              <w:t>,</w:t>
            </w:r>
            <w:r w:rsidR="002F7A7B">
              <w:t xml:space="preserve"> </w:t>
            </w:r>
            <w:r w:rsidR="0005289D">
              <w:t xml:space="preserve">and make the following </w:t>
            </w:r>
            <w:r w:rsidR="00235EF2">
              <w:t>reductions</w:t>
            </w:r>
            <w:r w:rsidR="0005289D">
              <w:t>:</w:t>
            </w:r>
          </w:p>
          <w:p w:rsidR="0005289D" w:rsidP="0005289D" w:rsidRDefault="008F35C0" w14:paraId="07D11890" w14:textId="6C564586">
            <w:pPr>
              <w:pStyle w:val="ListBullet"/>
            </w:pPr>
            <w:r>
              <w:t>2022</w:t>
            </w:r>
            <w:r w:rsidR="00E16E36">
              <w:t xml:space="preserve">: </w:t>
            </w:r>
            <w:r w:rsidR="00CC0092">
              <w:t xml:space="preserve">71.90 hours reduced to </w:t>
            </w:r>
            <w:r w:rsidR="00C05ECF">
              <w:t>69</w:t>
            </w:r>
            <w:r w:rsidR="00CC0092">
              <w:t>.30 hours</w:t>
            </w:r>
          </w:p>
          <w:p w:rsidRPr="007F620E" w:rsidR="00CC0092" w:rsidP="0005289D" w:rsidRDefault="00CC0092" w14:paraId="63B4B35D" w14:textId="048452F4">
            <w:pPr>
              <w:pStyle w:val="ListBullet"/>
            </w:pPr>
            <w:r>
              <w:t xml:space="preserve">2024: </w:t>
            </w:r>
            <w:r w:rsidR="007A74EA">
              <w:t>214.20 hours reduced to 210.00 hours</w:t>
            </w:r>
          </w:p>
        </w:tc>
      </w:tr>
      <w:tr w:rsidRPr="007F620E" w:rsidR="00DD4361" w:rsidTr="00466405" w14:paraId="0FBBD98F" w14:textId="77777777">
        <w:tc>
          <w:tcPr>
            <w:tcW w:w="1603" w:type="dxa"/>
          </w:tcPr>
          <w:p w:rsidR="00DD4361" w:rsidP="00466405" w:rsidRDefault="001118C7" w14:paraId="43CBDB31" w14:textId="58606E19">
            <w:pPr>
              <w:tabs>
                <w:tab w:val="left" w:pos="1440"/>
              </w:tabs>
              <w:rPr>
                <w:color w:val="000000"/>
              </w:rPr>
            </w:pPr>
            <w:r>
              <w:rPr>
                <w:color w:val="000000"/>
              </w:rPr>
              <w:lastRenderedPageBreak/>
              <w:t>[3]</w:t>
            </w:r>
            <w:r w:rsidR="00CA2656">
              <w:rPr>
                <w:color w:val="000000"/>
              </w:rPr>
              <w:t xml:space="preserve"> </w:t>
            </w:r>
            <w:r w:rsidR="004846D6">
              <w:rPr>
                <w:color w:val="000000"/>
              </w:rPr>
              <w:t xml:space="preserve">2023 Disallowance for </w:t>
            </w:r>
            <w:r w:rsidR="00CA2656">
              <w:rPr>
                <w:color w:val="000000"/>
              </w:rPr>
              <w:t>Vagueness</w:t>
            </w:r>
            <w:r w:rsidR="004846D6">
              <w:rPr>
                <w:color w:val="000000"/>
              </w:rPr>
              <w:t xml:space="preserve"> </w:t>
            </w:r>
          </w:p>
        </w:tc>
        <w:tc>
          <w:tcPr>
            <w:tcW w:w="7757" w:type="dxa"/>
          </w:tcPr>
          <w:p w:rsidR="00D529D0" w:rsidP="00DF72A0" w:rsidRDefault="00D529D0" w14:paraId="7091F363" w14:textId="2166B2AC">
            <w:pPr>
              <w:tabs>
                <w:tab w:val="left" w:pos="1440"/>
              </w:tabs>
              <w:spacing w:after="120"/>
              <w:rPr>
                <w:rFonts w:asciiTheme="majorBidi" w:hAnsiTheme="majorBidi" w:cstheme="majorBidi"/>
              </w:rPr>
            </w:pPr>
            <w:r w:rsidRPr="00D529D0">
              <w:rPr>
                <w:rFonts w:asciiTheme="majorBidi" w:hAnsiTheme="majorBidi" w:cstheme="majorBidi"/>
              </w:rPr>
              <w:t xml:space="preserve">We find that </w:t>
            </w:r>
            <w:r>
              <w:rPr>
                <w:rFonts w:asciiTheme="majorBidi" w:hAnsiTheme="majorBidi" w:cstheme="majorBidi"/>
              </w:rPr>
              <w:t>MGRA</w:t>
            </w:r>
            <w:r w:rsidRPr="00D529D0">
              <w:rPr>
                <w:rFonts w:asciiTheme="majorBidi" w:hAnsiTheme="majorBidi" w:cstheme="majorBidi"/>
              </w:rPr>
              <w:t xml:space="preserve"> has multiple vague or undefined time entries, totaling approximately </w:t>
            </w:r>
            <w:r>
              <w:rPr>
                <w:rFonts w:asciiTheme="majorBidi" w:hAnsiTheme="majorBidi" w:cstheme="majorBidi"/>
              </w:rPr>
              <w:t>2.10</w:t>
            </w:r>
            <w:r w:rsidRPr="00D529D0">
              <w:rPr>
                <w:rFonts w:asciiTheme="majorBidi" w:hAnsiTheme="majorBidi" w:cstheme="majorBidi"/>
              </w:rPr>
              <w:t xml:space="preserve"> hours</w:t>
            </w:r>
            <w:r>
              <w:rPr>
                <w:rFonts w:asciiTheme="majorBidi" w:hAnsiTheme="majorBidi" w:cstheme="majorBidi"/>
              </w:rPr>
              <w:t xml:space="preserve"> in 2023</w:t>
            </w:r>
            <w:r w:rsidRPr="00D529D0">
              <w:rPr>
                <w:rFonts w:asciiTheme="majorBidi" w:hAnsiTheme="majorBidi" w:cstheme="majorBidi"/>
              </w:rPr>
              <w:t xml:space="preserve">. Rule 17.4 requires that each time entry clearly identify the specific task performed. </w:t>
            </w:r>
            <w:r w:rsidR="00DF72A0">
              <w:rPr>
                <w:rFonts w:asciiTheme="majorBidi" w:hAnsiTheme="majorBidi" w:cstheme="majorBidi"/>
              </w:rPr>
              <w:t xml:space="preserve"> </w:t>
            </w:r>
            <w:r w:rsidRPr="00D529D0">
              <w:rPr>
                <w:rFonts w:asciiTheme="majorBidi" w:hAnsiTheme="majorBidi" w:cstheme="majorBidi"/>
              </w:rPr>
              <w:t xml:space="preserve">We suspect that some of these entries may be tasks within a larger task and could be related. However, </w:t>
            </w:r>
            <w:r>
              <w:rPr>
                <w:rFonts w:asciiTheme="majorBidi" w:hAnsiTheme="majorBidi" w:cstheme="majorBidi"/>
              </w:rPr>
              <w:t xml:space="preserve">MGRA </w:t>
            </w:r>
            <w:r w:rsidRPr="00D529D0">
              <w:rPr>
                <w:rFonts w:asciiTheme="majorBidi" w:hAnsiTheme="majorBidi" w:cstheme="majorBidi"/>
              </w:rPr>
              <w:t xml:space="preserve">should provide clearer descriptions so that Commission staff are not left to make assumptions. </w:t>
            </w:r>
            <w:r w:rsidR="00DF72A0">
              <w:rPr>
                <w:rFonts w:asciiTheme="majorBidi" w:hAnsiTheme="majorBidi" w:cstheme="majorBidi"/>
              </w:rPr>
              <w:t xml:space="preserve"> </w:t>
            </w:r>
            <w:r w:rsidRPr="00D529D0">
              <w:rPr>
                <w:rFonts w:asciiTheme="majorBidi" w:hAnsiTheme="majorBidi" w:cstheme="majorBidi"/>
              </w:rPr>
              <w:t xml:space="preserve">The entries listed below lack the necessary detail to determine their relevance or value to the proceeding, and do not comply with program requirements. </w:t>
            </w:r>
            <w:r w:rsidR="00DF72A0">
              <w:rPr>
                <w:rFonts w:asciiTheme="majorBidi" w:hAnsiTheme="majorBidi" w:cstheme="majorBidi"/>
              </w:rPr>
              <w:t xml:space="preserve"> </w:t>
            </w:r>
            <w:r w:rsidRPr="00D529D0" w:rsidR="00736053">
              <w:rPr>
                <w:rFonts w:asciiTheme="majorBidi" w:hAnsiTheme="majorBidi" w:cstheme="majorBidi"/>
              </w:rPr>
              <w:t>Accordingly,</w:t>
            </w:r>
            <w:r w:rsidRPr="00D529D0">
              <w:rPr>
                <w:rFonts w:asciiTheme="majorBidi" w:hAnsiTheme="majorBidi" w:cstheme="majorBidi"/>
              </w:rPr>
              <w:t xml:space="preserve"> we reduce </w:t>
            </w:r>
            <w:r w:rsidR="00736053">
              <w:rPr>
                <w:rFonts w:asciiTheme="majorBidi" w:hAnsiTheme="majorBidi" w:cstheme="majorBidi"/>
              </w:rPr>
              <w:t>2.10</w:t>
            </w:r>
            <w:r w:rsidRPr="00D529D0">
              <w:rPr>
                <w:rFonts w:asciiTheme="majorBidi" w:hAnsiTheme="majorBidi" w:cstheme="majorBidi"/>
              </w:rPr>
              <w:t xml:space="preserve"> hours from </w:t>
            </w:r>
            <w:r w:rsidR="00736053">
              <w:rPr>
                <w:rFonts w:asciiTheme="majorBidi" w:hAnsiTheme="majorBidi" w:cstheme="majorBidi"/>
              </w:rPr>
              <w:t>Mitchell’s 2023 work.</w:t>
            </w:r>
            <w:r w:rsidRPr="00D529D0">
              <w:rPr>
                <w:rFonts w:asciiTheme="majorBidi" w:hAnsiTheme="majorBidi" w:cstheme="majorBidi"/>
              </w:rPr>
              <w:t xml:space="preserve"> </w:t>
            </w:r>
            <w:r w:rsidR="00DF72A0">
              <w:rPr>
                <w:rFonts w:asciiTheme="majorBidi" w:hAnsiTheme="majorBidi" w:cstheme="majorBidi"/>
              </w:rPr>
              <w:t xml:space="preserve"> </w:t>
            </w:r>
            <w:r w:rsidRPr="00D529D0">
              <w:rPr>
                <w:rFonts w:asciiTheme="majorBidi" w:hAnsiTheme="majorBidi" w:cstheme="majorBidi"/>
              </w:rPr>
              <w:t>We further note that the following activities do not clearly demonstrate how they contributed to the Commission’s decision-making process.</w:t>
            </w:r>
          </w:p>
          <w:p w:rsidR="00AE3928" w:rsidP="00AE3928" w:rsidRDefault="009E7F36" w14:paraId="2F3323BE" w14:textId="2421C03D">
            <w:pPr>
              <w:pStyle w:val="ListBullet"/>
            </w:pPr>
            <w:r>
              <w:t>November 9, 2023</w:t>
            </w:r>
            <w:r w:rsidR="00AE3928">
              <w:t xml:space="preserve"> – Activity: “Review”, Description: “</w:t>
            </w:r>
            <w:r w:rsidRPr="008113DF" w:rsidR="008113DF">
              <w:t xml:space="preserve">SCEGRC25 </w:t>
            </w:r>
            <w:r w:rsidR="008113DF">
              <w:t>–</w:t>
            </w:r>
            <w:r w:rsidRPr="008113DF" w:rsidR="008113DF">
              <w:t xml:space="preserve"> Errata</w:t>
            </w:r>
            <w:r w:rsidR="008113DF">
              <w:t>”</w:t>
            </w:r>
          </w:p>
          <w:p w:rsidR="008113DF" w:rsidP="00AE3928" w:rsidRDefault="008113DF" w14:paraId="3E4B9FB1" w14:textId="707054EC">
            <w:pPr>
              <w:pStyle w:val="ListBullet"/>
            </w:pPr>
            <w:r>
              <w:t>November 27, 2023 – Activity: “Review”, Description: “</w:t>
            </w:r>
            <w:r w:rsidRPr="00A61481" w:rsidR="00A61481">
              <w:t xml:space="preserve">SCEGRC25 </w:t>
            </w:r>
            <w:r w:rsidR="00A61481">
              <w:t>–</w:t>
            </w:r>
            <w:r w:rsidRPr="00A61481" w:rsidR="00A61481">
              <w:t xml:space="preserve"> Review</w:t>
            </w:r>
            <w:r w:rsidR="00A61481">
              <w:t>”</w:t>
            </w:r>
          </w:p>
          <w:p w:rsidR="00A61481" w:rsidP="00DF72A0" w:rsidRDefault="00A61481" w14:paraId="36B8512A" w14:textId="7976F022">
            <w:pPr>
              <w:pStyle w:val="ListBullet"/>
              <w:spacing w:after="120"/>
            </w:pPr>
            <w:r>
              <w:t>November 30, 2023 – Activity: “Review”, Description: “</w:t>
            </w:r>
            <w:r w:rsidRPr="00A61481">
              <w:t xml:space="preserve">SCEGRC25 </w:t>
            </w:r>
            <w:r>
              <w:t>–</w:t>
            </w:r>
            <w:r w:rsidRPr="00A61481">
              <w:t xml:space="preserve"> Review</w:t>
            </w:r>
            <w:r w:rsidR="00DF72A0">
              <w:t>”</w:t>
            </w:r>
            <w:r>
              <w:t>:</w:t>
            </w:r>
          </w:p>
          <w:p w:rsidR="00DD4361" w:rsidP="00975B80" w:rsidRDefault="00CA2656" w14:paraId="7EA4B4DF" w14:textId="16A21E1B">
            <w:pPr>
              <w:tabs>
                <w:tab w:val="left" w:pos="1440"/>
              </w:tabs>
              <w:spacing w:after="240"/>
              <w:rPr>
                <w:rFonts w:asciiTheme="majorBidi" w:hAnsiTheme="majorBidi" w:cstheme="majorBidi"/>
              </w:rPr>
            </w:pPr>
            <w:r w:rsidRPr="00CA2656">
              <w:rPr>
                <w:rFonts w:asciiTheme="majorBidi" w:hAnsiTheme="majorBidi" w:cstheme="majorBidi"/>
              </w:rPr>
              <w:t>Intervenors bear the burden of proof to show that all claimed hours were spent efficiently and made a substantial contribution, as required under program guidelines.</w:t>
            </w:r>
          </w:p>
        </w:tc>
      </w:tr>
      <w:tr w:rsidRPr="007F620E" w:rsidR="00EA203A" w:rsidTr="00466405" w14:paraId="002FA694" w14:textId="77777777">
        <w:tc>
          <w:tcPr>
            <w:tcW w:w="1603" w:type="dxa"/>
          </w:tcPr>
          <w:p w:rsidR="00EA203A" w:rsidP="00DF72A0" w:rsidRDefault="00581A36" w14:paraId="3E09C801" w14:textId="2D397B29">
            <w:pPr>
              <w:tabs>
                <w:tab w:val="left" w:pos="1440"/>
              </w:tabs>
              <w:spacing w:before="120"/>
              <w:rPr>
                <w:color w:val="000000"/>
              </w:rPr>
            </w:pPr>
            <w:r>
              <w:rPr>
                <w:color w:val="000000"/>
              </w:rPr>
              <w:t>[</w:t>
            </w:r>
            <w:r w:rsidR="001118C7">
              <w:rPr>
                <w:color w:val="000000"/>
              </w:rPr>
              <w:t>4</w:t>
            </w:r>
            <w:r>
              <w:rPr>
                <w:color w:val="000000"/>
              </w:rPr>
              <w:t>]</w:t>
            </w:r>
            <w:r w:rsidR="00115623">
              <w:rPr>
                <w:color w:val="000000"/>
              </w:rPr>
              <w:t xml:space="preserve"> Intervenor Compensation Claim Preparation </w:t>
            </w:r>
            <w:r w:rsidR="00FA7B41">
              <w:rPr>
                <w:color w:val="000000"/>
              </w:rPr>
              <w:t>Time Reduction</w:t>
            </w:r>
          </w:p>
        </w:tc>
        <w:tc>
          <w:tcPr>
            <w:tcW w:w="7757" w:type="dxa"/>
          </w:tcPr>
          <w:p w:rsidRPr="00975B80" w:rsidR="00EA203A" w:rsidP="00DF72A0" w:rsidRDefault="00C20D60" w14:paraId="184A9480" w14:textId="64B6D9A9">
            <w:pPr>
              <w:tabs>
                <w:tab w:val="left" w:pos="1440"/>
              </w:tabs>
              <w:spacing w:before="120" w:after="120"/>
              <w:rPr>
                <w:rFonts w:asciiTheme="majorBidi" w:hAnsiTheme="majorBidi" w:cstheme="majorBidi"/>
              </w:rPr>
            </w:pPr>
            <w:r>
              <w:rPr>
                <w:rFonts w:asciiTheme="majorBidi" w:hAnsiTheme="majorBidi" w:cstheme="majorBidi"/>
              </w:rPr>
              <w:t>MGRA</w:t>
            </w:r>
            <w:r w:rsidRPr="00C03CC2">
              <w:rPr>
                <w:rFonts w:asciiTheme="majorBidi" w:hAnsiTheme="majorBidi" w:cstheme="majorBidi"/>
              </w:rPr>
              <w:t xml:space="preserve"> claimed </w:t>
            </w:r>
            <w:r>
              <w:rPr>
                <w:rFonts w:asciiTheme="majorBidi" w:hAnsiTheme="majorBidi" w:cstheme="majorBidi"/>
              </w:rPr>
              <w:t>19.50</w:t>
            </w:r>
            <w:r w:rsidRPr="00C03CC2">
              <w:rPr>
                <w:rFonts w:asciiTheme="majorBidi" w:hAnsiTheme="majorBidi" w:cstheme="majorBidi"/>
              </w:rPr>
              <w:t xml:space="preserve"> hours for preparation of the intervenor compensation request</w:t>
            </w:r>
            <w:r>
              <w:rPr>
                <w:rFonts w:asciiTheme="majorBidi" w:hAnsiTheme="majorBidi" w:cstheme="majorBidi"/>
              </w:rPr>
              <w:t xml:space="preserve"> in their submitted timesheet</w:t>
            </w:r>
            <w:r w:rsidRPr="00C03CC2">
              <w:rPr>
                <w:rFonts w:asciiTheme="majorBidi" w:hAnsiTheme="majorBidi" w:cstheme="majorBidi"/>
              </w:rPr>
              <w:t xml:space="preserve">. </w:t>
            </w:r>
            <w:r w:rsidR="00DF72A0">
              <w:rPr>
                <w:rFonts w:asciiTheme="majorBidi" w:hAnsiTheme="majorBidi" w:cstheme="majorBidi"/>
              </w:rPr>
              <w:t xml:space="preserve"> </w:t>
            </w:r>
            <w:r w:rsidRPr="00C03CC2">
              <w:rPr>
                <w:rFonts w:asciiTheme="majorBidi" w:hAnsiTheme="majorBidi" w:cstheme="majorBidi"/>
              </w:rPr>
              <w:t>While the claim was generally compliant with Commission requirements, we find the preparation hours excessive given the scope of issues and overall scale of the request.</w:t>
            </w:r>
            <w:r w:rsidR="00975B80">
              <w:rPr>
                <w:rFonts w:asciiTheme="majorBidi" w:hAnsiTheme="majorBidi" w:cstheme="majorBidi"/>
              </w:rPr>
              <w:t xml:space="preserve"> </w:t>
            </w:r>
            <w:r w:rsidR="00DF72A0">
              <w:rPr>
                <w:rFonts w:asciiTheme="majorBidi" w:hAnsiTheme="majorBidi" w:cstheme="majorBidi"/>
              </w:rPr>
              <w:t xml:space="preserve"> </w:t>
            </w:r>
            <w:r w:rsidR="00531793">
              <w:rPr>
                <w:rFonts w:asciiTheme="majorBidi" w:hAnsiTheme="majorBidi" w:cstheme="majorBidi"/>
              </w:rPr>
              <w:t>Mitchell</w:t>
            </w:r>
            <w:r w:rsidRPr="00C03CC2">
              <w:rPr>
                <w:rFonts w:asciiTheme="majorBidi" w:hAnsiTheme="majorBidi" w:cstheme="majorBidi"/>
              </w:rPr>
              <w:t xml:space="preserve"> has significant experience practicing before the Commission and preparing similar claims, and we expect greater efficiency in compiling this request.</w:t>
            </w:r>
            <w:r w:rsidR="00975B80">
              <w:rPr>
                <w:rFonts w:asciiTheme="majorBidi" w:hAnsiTheme="majorBidi" w:cstheme="majorBidi"/>
              </w:rPr>
              <w:t xml:space="preserve"> </w:t>
            </w:r>
            <w:r w:rsidRPr="00C03CC2">
              <w:rPr>
                <w:rFonts w:asciiTheme="majorBidi" w:hAnsiTheme="majorBidi" w:cstheme="majorBidi"/>
              </w:rPr>
              <w:t xml:space="preserve">Accordingly, we reduce the claimed hours by </w:t>
            </w:r>
            <w:r w:rsidR="00975B80">
              <w:rPr>
                <w:rFonts w:asciiTheme="majorBidi" w:hAnsiTheme="majorBidi" w:cstheme="majorBidi"/>
              </w:rPr>
              <w:t>7.50</w:t>
            </w:r>
            <w:r w:rsidRPr="00C03CC2">
              <w:rPr>
                <w:rFonts w:asciiTheme="majorBidi" w:hAnsiTheme="majorBidi" w:cstheme="majorBidi"/>
              </w:rPr>
              <w:t xml:space="preserve"> hours</w:t>
            </w:r>
            <w:r w:rsidR="00343ECF">
              <w:rPr>
                <w:rFonts w:asciiTheme="majorBidi" w:hAnsiTheme="majorBidi" w:cstheme="majorBidi"/>
              </w:rPr>
              <w:t xml:space="preserve"> by </w:t>
            </w:r>
            <w:r w:rsidRPr="00C03CC2">
              <w:rPr>
                <w:rFonts w:asciiTheme="majorBidi" w:hAnsiTheme="majorBidi" w:cstheme="majorBidi"/>
              </w:rPr>
              <w:t xml:space="preserve">awarding </w:t>
            </w:r>
            <w:r w:rsidR="00343ECF">
              <w:rPr>
                <w:rFonts w:asciiTheme="majorBidi" w:hAnsiTheme="majorBidi" w:cstheme="majorBidi"/>
              </w:rPr>
              <w:t>12.00</w:t>
            </w:r>
            <w:r w:rsidR="00DF72A0">
              <w:rPr>
                <w:rFonts w:asciiTheme="majorBidi" w:hAnsiTheme="majorBidi" w:cstheme="majorBidi"/>
              </w:rPr>
              <w:t> </w:t>
            </w:r>
            <w:r w:rsidRPr="00C03CC2">
              <w:rPr>
                <w:rFonts w:asciiTheme="majorBidi" w:hAnsiTheme="majorBidi" w:cstheme="majorBidi"/>
              </w:rPr>
              <w:t xml:space="preserve">hours for claim preparation. </w:t>
            </w:r>
            <w:r w:rsidR="00DF72A0">
              <w:rPr>
                <w:rFonts w:asciiTheme="majorBidi" w:hAnsiTheme="majorBidi" w:cstheme="majorBidi"/>
              </w:rPr>
              <w:t xml:space="preserve"> </w:t>
            </w:r>
            <w:r w:rsidRPr="00C03CC2">
              <w:rPr>
                <w:rFonts w:asciiTheme="majorBidi" w:hAnsiTheme="majorBidi" w:cstheme="majorBidi"/>
              </w:rPr>
              <w:t>This adjustment better reflects the complexity and scale of the request</w:t>
            </w:r>
            <w:r w:rsidR="00CB690A">
              <w:rPr>
                <w:rFonts w:asciiTheme="majorBidi" w:hAnsiTheme="majorBidi" w:cstheme="majorBidi"/>
              </w:rPr>
              <w:t>.</w:t>
            </w:r>
          </w:p>
        </w:tc>
      </w:tr>
      <w:tr w:rsidRPr="007F620E" w:rsidR="008907A3" w:rsidTr="00466405" w14:paraId="16CD034D" w14:textId="77777777">
        <w:tc>
          <w:tcPr>
            <w:tcW w:w="1603" w:type="dxa"/>
          </w:tcPr>
          <w:p w:rsidR="008907A3" w:rsidP="00466405" w:rsidRDefault="0045793B" w14:paraId="02849A6F" w14:textId="76301F72">
            <w:pPr>
              <w:tabs>
                <w:tab w:val="left" w:pos="1440"/>
              </w:tabs>
              <w:rPr>
                <w:color w:val="000000"/>
              </w:rPr>
            </w:pPr>
            <w:r>
              <w:rPr>
                <w:color w:val="000000"/>
              </w:rPr>
              <w:lastRenderedPageBreak/>
              <w:t>[</w:t>
            </w:r>
            <w:r w:rsidR="001118C7">
              <w:rPr>
                <w:color w:val="000000"/>
              </w:rPr>
              <w:t>5</w:t>
            </w:r>
            <w:r>
              <w:rPr>
                <w:color w:val="000000"/>
              </w:rPr>
              <w:t>] Cost Reductions</w:t>
            </w:r>
          </w:p>
        </w:tc>
        <w:tc>
          <w:tcPr>
            <w:tcW w:w="7757" w:type="dxa"/>
          </w:tcPr>
          <w:p w:rsidR="008907A3" w:rsidP="00FA37DB" w:rsidRDefault="00F569A8" w14:paraId="4A671E56" w14:textId="77777777">
            <w:pPr>
              <w:tabs>
                <w:tab w:val="left" w:pos="1440"/>
              </w:tabs>
              <w:spacing w:after="120"/>
            </w:pPr>
            <w:r>
              <w:t>T</w:t>
            </w:r>
            <w:r w:rsidRPr="00F569A8">
              <w:t>he Intervenor Compensation Program only provides compensation for reasonable costs incurred by intervenors as a result of their substantial contribution to CPUC proceedings in which they participated.</w:t>
            </w:r>
            <w:r w:rsidR="003D409A">
              <w:rPr>
                <w:rStyle w:val="FootnoteReference"/>
              </w:rPr>
              <w:footnoteReference w:id="19"/>
            </w:r>
          </w:p>
          <w:p w:rsidR="006A1826" w:rsidP="0045793B" w:rsidRDefault="00595AAD" w14:paraId="34255224" w14:textId="4017C39B">
            <w:pPr>
              <w:tabs>
                <w:tab w:val="left" w:pos="1440"/>
              </w:tabs>
              <w:spacing w:after="120"/>
            </w:pPr>
            <w:r>
              <w:t xml:space="preserve">On July 14, 2025, ALJ </w:t>
            </w:r>
            <w:r w:rsidR="00BB2F2F">
              <w:t xml:space="preserve">Rizzo and ALJ Seybert issued a ruling setting oral arguments for August 11, 2025 in A.23-05-010. </w:t>
            </w:r>
            <w:r w:rsidR="0088762E">
              <w:t>MGRA</w:t>
            </w:r>
            <w:r w:rsidR="00BB2F2F">
              <w:t xml:space="preserve"> submitted receipts</w:t>
            </w:r>
            <w:r w:rsidR="00F01946">
              <w:t xml:space="preserve"> </w:t>
            </w:r>
            <w:r w:rsidR="00042014">
              <w:t>for</w:t>
            </w:r>
            <w:r w:rsidR="00366E22">
              <w:t xml:space="preserve"> $1,162.00</w:t>
            </w:r>
            <w:r w:rsidR="00042014">
              <w:t xml:space="preserve"> spent</w:t>
            </w:r>
            <w:r w:rsidR="00366E22">
              <w:t xml:space="preserve"> on a one-night </w:t>
            </w:r>
            <w:r w:rsidR="00F01946">
              <w:t>first-class round-trip flight from San Diego to San Francisco</w:t>
            </w:r>
            <w:r w:rsidR="00042014">
              <w:t xml:space="preserve"> for Mitchell</w:t>
            </w:r>
            <w:r w:rsidR="00F01946">
              <w:t xml:space="preserve"> on August, </w:t>
            </w:r>
            <w:r w:rsidR="00366E22">
              <w:t xml:space="preserve">6, 2025. </w:t>
            </w:r>
            <w:r w:rsidR="009E497C">
              <w:t>We</w:t>
            </w:r>
            <w:r w:rsidR="0085660D">
              <w:t xml:space="preserve"> </w:t>
            </w:r>
            <w:r w:rsidR="0028251C">
              <w:t xml:space="preserve">find </w:t>
            </w:r>
            <w:r w:rsidR="0085660D">
              <w:t xml:space="preserve">it unreasonable for MGRA to </w:t>
            </w:r>
            <w:r w:rsidR="003D30B8">
              <w:t xml:space="preserve">take so long to </w:t>
            </w:r>
            <w:r w:rsidR="0085660D">
              <w:t xml:space="preserve">book </w:t>
            </w:r>
            <w:r w:rsidR="003D30B8">
              <w:t>the flight and for it be</w:t>
            </w:r>
            <w:r w:rsidR="009E497C">
              <w:t xml:space="preserve"> </w:t>
            </w:r>
            <w:r w:rsidR="00A73817">
              <w:t>first-class</w:t>
            </w:r>
            <w:r w:rsidR="00883BEA">
              <w:t>. After a review of similar flights</w:t>
            </w:r>
            <w:r w:rsidR="0028251C">
              <w:t xml:space="preserve"> booked</w:t>
            </w:r>
            <w:r w:rsidR="00883BEA">
              <w:t xml:space="preserve"> in economy </w:t>
            </w:r>
            <w:r w:rsidR="00A73817">
              <w:t>class,</w:t>
            </w:r>
            <w:r w:rsidR="00883BEA">
              <w:t xml:space="preserve"> we find it reasonable </w:t>
            </w:r>
            <w:r w:rsidR="00A73817">
              <w:t>to award MGRA</w:t>
            </w:r>
            <w:r w:rsidR="00883BEA">
              <w:t xml:space="preserve"> $</w:t>
            </w:r>
            <w:r w:rsidR="0045793B">
              <w:t>350.00</w:t>
            </w:r>
            <w:r w:rsidR="00A73817">
              <w:t xml:space="preserve"> </w:t>
            </w:r>
            <w:r w:rsidR="00361D2B">
              <w:t xml:space="preserve">for </w:t>
            </w:r>
            <w:r w:rsidR="002C6CE0">
              <w:t>Mitchell’s</w:t>
            </w:r>
            <w:r w:rsidR="00361D2B">
              <w:t xml:space="preserve"> flight</w:t>
            </w:r>
            <w:r w:rsidR="00283ECB">
              <w:t>s</w:t>
            </w:r>
            <w:r w:rsidR="00361D2B">
              <w:t xml:space="preserve"> to participate at the oral arguments</w:t>
            </w:r>
            <w:r w:rsidR="0045793B">
              <w:t>.</w:t>
            </w:r>
            <w:r w:rsidR="006A1826">
              <w:t xml:space="preserve"> </w:t>
            </w:r>
          </w:p>
        </w:tc>
      </w:tr>
      <w:tr w:rsidRPr="007F620E" w:rsidR="007634D0" w:rsidTr="00466405" w14:paraId="4EE651EB" w14:textId="77777777">
        <w:tc>
          <w:tcPr>
            <w:tcW w:w="1603" w:type="dxa"/>
          </w:tcPr>
          <w:p w:rsidR="007634D0" w:rsidP="00DF72A0" w:rsidRDefault="007634D0" w14:paraId="44B80E8E" w14:textId="584A9E93">
            <w:pPr>
              <w:tabs>
                <w:tab w:val="left" w:pos="1440"/>
              </w:tabs>
              <w:spacing w:before="120"/>
              <w:rPr>
                <w:color w:val="000000"/>
              </w:rPr>
            </w:pPr>
            <w:r>
              <w:rPr>
                <w:color w:val="000000"/>
              </w:rPr>
              <w:t>[6] Consultant Disclaimer</w:t>
            </w:r>
          </w:p>
        </w:tc>
        <w:tc>
          <w:tcPr>
            <w:tcW w:w="7757" w:type="dxa"/>
          </w:tcPr>
          <w:p w:rsidRPr="00A012DE" w:rsidR="00A012DE" w:rsidP="00DF72A0" w:rsidRDefault="00A012DE" w14:paraId="4B8A7219" w14:textId="7F2ED2AD">
            <w:pPr>
              <w:tabs>
                <w:tab w:val="left" w:pos="1440"/>
              </w:tabs>
              <w:spacing w:before="120" w:after="120"/>
            </w:pPr>
            <w:r w:rsidRPr="00A012DE">
              <w:t>The Commission takes this opportunity to remind all intervenors that they bear the burden of providing accurate, complete, and honest information in all compensation requests. The Commission relies on intervenors' good faith representations, particularly regarding consultant agreements and payments, as it does not have the resources to review every contract or non-standard arrangement in detail.</w:t>
            </w:r>
          </w:p>
          <w:p w:rsidRPr="00A012DE" w:rsidR="00A012DE" w:rsidP="00A012DE" w:rsidRDefault="00A012DE" w14:paraId="7BB03D60" w14:textId="46E66539">
            <w:pPr>
              <w:tabs>
                <w:tab w:val="left" w:pos="1440"/>
              </w:tabs>
              <w:spacing w:after="120"/>
            </w:pPr>
            <w:r w:rsidRPr="00A012DE">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007634D0" w:rsidP="00DF72A0" w:rsidRDefault="00A012DE" w14:paraId="64132E5B" w14:textId="2B552036">
            <w:pPr>
              <w:tabs>
                <w:tab w:val="left" w:pos="1440"/>
              </w:tabs>
            </w:pPr>
            <w:r w:rsidRPr="00A012DE">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8D5BD7" w:rsidR="00A92D0B" w:rsidP="008D5BD7" w:rsidRDefault="00A92D0B" w14:paraId="18E9D359" w14:textId="0BE98786">
      <w:pPr>
        <w:pStyle w:val="Style1forICOMPS"/>
        <w:spacing w:before="240" w:after="120"/>
        <w:rPr>
          <w:rFonts w:cs="Arial"/>
        </w:rPr>
      </w:pPr>
      <w:r w:rsidRPr="008D5BD7">
        <w:rPr>
          <w:rFonts w:cs="Arial"/>
        </w:rPr>
        <w:t>PART IV:</w:t>
      </w:r>
      <w:r w:rsidRPr="008D5BD7" w:rsidR="00D1778A">
        <w:rPr>
          <w:rFonts w:cs="Arial"/>
        </w:rPr>
        <w:t xml:space="preserve">  </w:t>
      </w:r>
      <w:r w:rsidRPr="008D5BD7">
        <w:rPr>
          <w:rFonts w:cs="Arial"/>
        </w:rPr>
        <w:t>OPPOSITIONS AND COMMENTS</w:t>
      </w:r>
    </w:p>
    <w:p w:rsidRPr="008D5BD7" w:rsidR="00D1778A" w:rsidP="00575494" w:rsidRDefault="00A92D0B" w14:paraId="4E460EA0" w14:textId="77777777">
      <w:pPr>
        <w:keepNext/>
        <w:tabs>
          <w:tab w:val="left" w:pos="1260"/>
        </w:tabs>
        <w:ind w:left="1267" w:hanging="1267"/>
        <w:jc w:val="center"/>
        <w:rPr>
          <w:rFonts w:ascii="Arial" w:hAnsi="Arial" w:cs="Arial"/>
          <w:b/>
          <w:color w:val="000000"/>
        </w:rPr>
      </w:pPr>
      <w:r w:rsidRPr="008D5BD7">
        <w:rPr>
          <w:rFonts w:ascii="Arial" w:hAnsi="Arial" w:cs="Arial"/>
          <w:b/>
          <w:color w:val="000000"/>
        </w:rPr>
        <w:t>Within 30 days after service of this Claim, Commission Staff</w:t>
      </w:r>
    </w:p>
    <w:p w:rsidRPr="008D5BD7" w:rsidR="00A92D0B" w:rsidP="00DF72A0" w:rsidRDefault="00F20061" w14:paraId="5D5DC317" w14:textId="55C91D48">
      <w:pPr>
        <w:keepNext/>
        <w:tabs>
          <w:tab w:val="left" w:pos="1260"/>
        </w:tabs>
        <w:spacing w:after="120"/>
        <w:ind w:left="1267" w:hanging="1267"/>
        <w:jc w:val="center"/>
        <w:rPr>
          <w:rFonts w:ascii="Arial" w:hAnsi="Arial" w:cs="Arial"/>
          <w:b/>
          <w:color w:val="000000"/>
        </w:rPr>
      </w:pPr>
      <w:r w:rsidRPr="008D5BD7">
        <w:rPr>
          <w:rFonts w:ascii="Arial" w:hAnsi="Arial" w:cs="Arial"/>
          <w:b/>
          <w:color w:val="000000"/>
        </w:rPr>
        <w:t xml:space="preserve"> </w:t>
      </w:r>
      <w:r w:rsidRPr="008D5BD7" w:rsidR="00A92D0B">
        <w:rPr>
          <w:rFonts w:ascii="Arial" w:hAnsi="Arial" w:cs="Arial"/>
          <w:b/>
          <w:color w:val="000000"/>
        </w:rPr>
        <w:t>or any other party may file a response to the Claim (</w:t>
      </w:r>
      <w:r w:rsidRPr="008D5BD7" w:rsidR="00A92D0B">
        <w:rPr>
          <w:rFonts w:ascii="Arial" w:hAnsi="Arial" w:cs="Arial"/>
          <w:b/>
          <w:i/>
          <w:color w:val="000000"/>
        </w:rPr>
        <w:t>see</w:t>
      </w:r>
      <w:r w:rsidRPr="008D5BD7" w:rsidR="00A92D0B">
        <w:rPr>
          <w:rFonts w:ascii="Arial" w:hAnsi="Arial" w:cs="Arial"/>
          <w:b/>
          <w:color w:val="000000"/>
        </w:rPr>
        <w:t xml:space="preserve">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465"/>
        <w:gridCol w:w="1895"/>
      </w:tblGrid>
      <w:tr w:rsidRPr="007F620E" w:rsidR="00A92D0B" w:rsidTr="00DF72A0" w14:paraId="46A51699" w14:textId="77777777">
        <w:tc>
          <w:tcPr>
            <w:tcW w:w="7465"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1895" w:type="dxa"/>
            <w:vAlign w:val="center"/>
          </w:tcPr>
          <w:p w:rsidRPr="007F620E" w:rsidR="00A92D0B" w:rsidP="00DF72A0" w:rsidRDefault="00466405" w14:paraId="6E7CD931" w14:textId="6B586AB7">
            <w:pPr>
              <w:jc w:val="cente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465"/>
        <w:gridCol w:w="1895"/>
      </w:tblGrid>
      <w:tr w:rsidRPr="007F620E" w:rsidR="00A92D0B" w:rsidTr="00DF72A0" w14:paraId="7A0D8740" w14:textId="77777777">
        <w:tc>
          <w:tcPr>
            <w:tcW w:w="7465" w:type="dxa"/>
          </w:tcPr>
          <w:p w:rsidRPr="007F620E" w:rsidR="00A92D0B" w:rsidP="005A3018" w:rsidRDefault="00A92D0B" w14:paraId="37D28D8D" w14:textId="2738D74E">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A60203">
              <w:rPr>
                <w:b/>
                <w:color w:val="000000"/>
              </w:rPr>
              <w:t> </w:t>
            </w:r>
            <w:r w:rsidRPr="007F620E">
              <w:rPr>
                <w:b/>
                <w:color w:val="000000"/>
              </w:rPr>
              <w:t>Rule</w:t>
            </w:r>
            <w:r w:rsidR="00DF72A0">
              <w:rPr>
                <w:b/>
                <w:color w:val="000000"/>
              </w:rPr>
              <w:t> </w:t>
            </w:r>
            <w:r w:rsidRPr="007F620E">
              <w:rPr>
                <w:b/>
                <w:color w:val="000000"/>
              </w:rPr>
              <w:t>14.6(</w:t>
            </w:r>
            <w:r w:rsidRPr="007F620E" w:rsidR="00963EEF">
              <w:rPr>
                <w:b/>
                <w:color w:val="000000"/>
              </w:rPr>
              <w:t>c</w:t>
            </w:r>
            <w:r w:rsidRPr="007F620E">
              <w:rPr>
                <w:b/>
                <w:color w:val="000000"/>
              </w:rPr>
              <w:t>)(6))?</w:t>
            </w:r>
          </w:p>
        </w:tc>
        <w:tc>
          <w:tcPr>
            <w:tcW w:w="1895" w:type="dxa"/>
            <w:vAlign w:val="center"/>
          </w:tcPr>
          <w:p w:rsidRPr="007F620E" w:rsidR="00A92D0B" w:rsidP="00DF72A0" w:rsidRDefault="00EA203A" w14:paraId="238D2D3F" w14:textId="115616D8">
            <w:pPr>
              <w:keepNext/>
              <w:keepLines/>
              <w:spacing w:after="240"/>
              <w:jc w:val="center"/>
              <w:rPr>
                <w:color w:val="000000"/>
              </w:rPr>
            </w:pPr>
            <w:r>
              <w:rPr>
                <w:color w:val="000000"/>
              </w:rPr>
              <w:t>Yes</w:t>
            </w:r>
          </w:p>
        </w:tc>
      </w:tr>
    </w:tbl>
    <w:p w:rsidRPr="00896710" w:rsidR="00A92D0B" w:rsidP="008D5BD7" w:rsidRDefault="00A92D0B" w14:paraId="186E115A" w14:textId="77777777">
      <w:pPr>
        <w:pStyle w:val="Style1forICOMPS"/>
        <w:spacing w:after="120"/>
        <w:rPr>
          <w:u w:val="single"/>
        </w:rPr>
      </w:pPr>
      <w:r w:rsidRPr="00896710">
        <w:rPr>
          <w:u w:val="single"/>
        </w:rPr>
        <w:lastRenderedPageBreak/>
        <w:t>FINDINGS OF FACT</w:t>
      </w:r>
    </w:p>
    <w:p w:rsidRPr="007F620E" w:rsidR="00A92D0B" w:rsidRDefault="00A22ECA" w14:paraId="7772A9DC" w14:textId="6A1EEEB3">
      <w:pPr>
        <w:numPr>
          <w:ilvl w:val="0"/>
          <w:numId w:val="3"/>
        </w:numPr>
        <w:tabs>
          <w:tab w:val="num" w:pos="540"/>
        </w:tabs>
        <w:ind w:left="540" w:hanging="540"/>
      </w:pPr>
      <w:r w:rsidRPr="000F2831">
        <w:t xml:space="preserve">Mussey Grade Road Alliance </w:t>
      </w:r>
      <w:r w:rsidRPr="007F620E" w:rsidR="00A92D0B">
        <w:t>has made a substantia</w:t>
      </w:r>
      <w:r w:rsidRPr="007F620E" w:rsidR="00DE3A5D">
        <w:t>l contribution to D.</w:t>
      </w:r>
      <w:r w:rsidRPr="009F2B80" w:rsidR="009F2B80">
        <w:t>23-11-007 and D.25-09-030</w:t>
      </w:r>
      <w:r w:rsidRPr="007F620E" w:rsidR="00A92D0B">
        <w:t>.</w:t>
      </w:r>
    </w:p>
    <w:p w:rsidRPr="007F620E" w:rsidR="00A92D0B" w:rsidRDefault="00A92D0B" w14:paraId="04EB50FD" w14:textId="1AADD853">
      <w:pPr>
        <w:numPr>
          <w:ilvl w:val="0"/>
          <w:numId w:val="3"/>
        </w:numPr>
        <w:tabs>
          <w:tab w:val="num" w:pos="540"/>
        </w:tabs>
        <w:spacing w:before="240"/>
      </w:pPr>
      <w:r w:rsidRPr="007F620E">
        <w:t>The requested hourly rates for</w:t>
      </w:r>
      <w:r w:rsidR="003B6A1B">
        <w:t xml:space="preserve"> </w:t>
      </w:r>
      <w:r w:rsidRPr="000F2831" w:rsidR="009F2B80">
        <w:t xml:space="preserve">Mussey Grade Road Alliance </w:t>
      </w:r>
      <w:r w:rsidRPr="007F620E">
        <w:t>are comparable to market rates paid to experts and advocates having comparable training and experience and offering similar services</w:t>
      </w:r>
      <w:r w:rsidRPr="004313DF" w:rsidR="004313DF">
        <w:t>, and/or reflect the actual rates billed to, and paid by the intervenor, for consultant services rendered</w:t>
      </w:r>
      <w:r w:rsidRPr="007F620E">
        <w:t>.</w:t>
      </w:r>
    </w:p>
    <w:p w:rsidRPr="007F620E" w:rsidR="00A92D0B" w:rsidRDefault="00A92D0B" w14:paraId="528EBB52" w14:textId="5D1B5628">
      <w:pPr>
        <w:numPr>
          <w:ilvl w:val="0"/>
          <w:numId w:val="3"/>
        </w:numPr>
        <w:tabs>
          <w:tab w:val="num" w:pos="540"/>
        </w:tabs>
        <w:spacing w:before="240"/>
      </w:pPr>
      <w:r w:rsidRPr="007F620E">
        <w:t>The claimed costs and expenses,</w:t>
      </w:r>
      <w:r w:rsidR="003B5EAC">
        <w:t xml:space="preserve"> </w:t>
      </w:r>
      <w:r w:rsidRPr="007F620E">
        <w:t>as adjusted herein, are reasonable and commensurate with the work performed.</w:t>
      </w:r>
    </w:p>
    <w:p w:rsidRPr="007F620E" w:rsidR="00A92D0B" w:rsidRDefault="00A92D0B" w14:paraId="48B52895" w14:textId="366F58C1">
      <w:pPr>
        <w:numPr>
          <w:ilvl w:val="0"/>
          <w:numId w:val="3"/>
        </w:numPr>
        <w:tabs>
          <w:tab w:val="num" w:pos="540"/>
        </w:tabs>
        <w:spacing w:before="240"/>
      </w:pPr>
      <w:r w:rsidRPr="007F620E">
        <w:t xml:space="preserve">The total of reasonable </w:t>
      </w:r>
      <w:r w:rsidRPr="007F620E" w:rsidR="003C608A">
        <w:t xml:space="preserve">compensation </w:t>
      </w:r>
      <w:r w:rsidRPr="007F620E">
        <w:t xml:space="preserve">is </w:t>
      </w:r>
      <w:r w:rsidRPr="00EE3615" w:rsidR="00EE3615">
        <w:t>$</w:t>
      </w:r>
      <w:r w:rsidRPr="0052776A" w:rsidR="0052776A">
        <w:t>147,592.92</w:t>
      </w:r>
    </w:p>
    <w:p w:rsidRPr="00896710" w:rsidR="00A92D0B" w:rsidP="00896710" w:rsidRDefault="00A92D0B" w14:paraId="5C773C3F" w14:textId="77777777">
      <w:pPr>
        <w:pStyle w:val="Style1forICOMPS"/>
        <w:spacing w:before="240" w:after="120"/>
        <w:rPr>
          <w:u w:val="single"/>
        </w:rPr>
      </w:pPr>
      <w:r w:rsidRPr="00896710">
        <w:rPr>
          <w:u w:val="single"/>
        </w:rPr>
        <w:t>CONCLUSION OF LAW</w:t>
      </w:r>
    </w:p>
    <w:p w:rsidRPr="007F620E" w:rsidR="00A92D0B" w:rsidP="00896710" w:rsidRDefault="00A92D0B" w14:paraId="654F2C27" w14:textId="06E80876">
      <w:pPr>
        <w:numPr>
          <w:ilvl w:val="0"/>
          <w:numId w:val="10"/>
        </w:numPr>
        <w:rPr>
          <w:color w:val="000000"/>
        </w:rPr>
      </w:pPr>
      <w:r w:rsidRPr="00575494">
        <w:t>The</w:t>
      </w:r>
      <w:r w:rsidRPr="007F620E">
        <w:rPr>
          <w:color w:val="000000"/>
        </w:rPr>
        <w:t xml:space="preserve"> Claim, with any adjustment set forth above, </w:t>
      </w:r>
      <w:r w:rsidR="009D549B">
        <w:rPr>
          <w:color w:val="000000"/>
        </w:rPr>
        <w:t>s</w:t>
      </w:r>
      <w:r w:rsidRPr="007F620E">
        <w:rPr>
          <w:color w:val="000000"/>
        </w:rPr>
        <w:t>atisfies</w:t>
      </w:r>
      <w:r w:rsidRPr="007F620E" w:rsidR="00DE3A5D">
        <w:rPr>
          <w:color w:val="000000"/>
        </w:rPr>
        <w:t xml:space="preserve"> requirements of Pub. Util.</w:t>
      </w:r>
      <w:r w:rsidRPr="007F620E">
        <w:rPr>
          <w:color w:val="000000"/>
        </w:rPr>
        <w:t xml:space="preserve"> Code §§ 1801-1812.</w:t>
      </w:r>
    </w:p>
    <w:p w:rsidRPr="00896710" w:rsidR="00A92D0B" w:rsidP="00896710" w:rsidRDefault="00A92D0B" w14:paraId="0E2503A5" w14:textId="77777777">
      <w:pPr>
        <w:pStyle w:val="Style1forICOMPS"/>
        <w:spacing w:before="240" w:after="120"/>
        <w:rPr>
          <w:u w:val="single"/>
        </w:rPr>
      </w:pPr>
      <w:r w:rsidRPr="00896710">
        <w:rPr>
          <w:u w:val="single"/>
        </w:rPr>
        <w:t>ORDER</w:t>
      </w:r>
    </w:p>
    <w:p w:rsidRPr="007F620E" w:rsidR="00A92D0B" w:rsidP="00CE057B" w:rsidRDefault="000F2831" w14:paraId="33FB4E15" w14:textId="68ACC751">
      <w:pPr>
        <w:keepNext/>
        <w:numPr>
          <w:ilvl w:val="0"/>
          <w:numId w:val="4"/>
        </w:numPr>
        <w:tabs>
          <w:tab w:val="clear" w:pos="900"/>
          <w:tab w:val="num" w:pos="540"/>
        </w:tabs>
        <w:ind w:left="547" w:hanging="547"/>
        <w:rPr>
          <w:color w:val="000000"/>
        </w:rPr>
      </w:pPr>
      <w:r w:rsidRPr="000F2831">
        <w:t xml:space="preserve">Mussey Grade Road Alliance </w:t>
      </w:r>
      <w:r w:rsidR="00831652">
        <w:t>is</w:t>
      </w:r>
      <w:r w:rsidRPr="00FE3BAE" w:rsidR="00FE3BAE">
        <w:t xml:space="preserve"> </w:t>
      </w:r>
      <w:r w:rsidRPr="00FE3BAE" w:rsidR="00A92D0B">
        <w:rPr>
          <w:color w:val="000000"/>
        </w:rPr>
        <w:t xml:space="preserve">awarded </w:t>
      </w:r>
      <w:r w:rsidRPr="00EE3615" w:rsidR="00EE3615">
        <w:rPr>
          <w:color w:val="000000"/>
        </w:rPr>
        <w:t>$</w:t>
      </w:r>
      <w:r w:rsidRPr="0052776A" w:rsidR="0052776A">
        <w:rPr>
          <w:color w:val="000000"/>
        </w:rPr>
        <w:t>147,592.92</w:t>
      </w:r>
      <w:r w:rsidR="00EE3615">
        <w:rPr>
          <w:color w:val="000000"/>
        </w:rPr>
        <w:t>.</w:t>
      </w:r>
    </w:p>
    <w:p w:rsidR="00A92D0B" w:rsidRDefault="00A92D0B" w14:paraId="4AEF5671" w14:textId="68366C99">
      <w:pPr>
        <w:numPr>
          <w:ilvl w:val="0"/>
          <w:numId w:val="4"/>
        </w:numPr>
        <w:tabs>
          <w:tab w:val="clear" w:pos="900"/>
          <w:tab w:val="num" w:pos="540"/>
        </w:tabs>
        <w:spacing w:before="240"/>
        <w:ind w:left="547" w:hanging="547"/>
      </w:pPr>
      <w:r w:rsidRPr="007F620E">
        <w:t xml:space="preserve">Within 30 days of the effective date of this decision, </w:t>
      </w:r>
      <w:r w:rsidRPr="00C30FC5" w:rsidR="00C30FC5">
        <w:t xml:space="preserve">Southern California Edison Company </w:t>
      </w:r>
      <w:r w:rsidRPr="007F620E">
        <w:t xml:space="preserve">shall pay </w:t>
      </w:r>
      <w:r w:rsidRPr="000F2831" w:rsidR="000F2831">
        <w:t xml:space="preserve">Mussey Grade Road Alliance </w:t>
      </w:r>
      <w:r w:rsidRPr="0022302F">
        <w:t xml:space="preserve">the </w:t>
      </w:r>
      <w:r w:rsidRPr="007F620E">
        <w:t xml:space="preserve">total award. 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EA203A">
        <w:t>December 29, 2025</w:t>
      </w:r>
      <w:r w:rsidRPr="007F620E" w:rsidR="00357F1A">
        <w:t xml:space="preserve">, </w:t>
      </w:r>
      <w:r w:rsidRPr="007F620E">
        <w:t>the 75</w:t>
      </w:r>
      <w:r w:rsidRPr="007F620E">
        <w:rPr>
          <w:vertAlign w:val="superscript"/>
        </w:rPr>
        <w:t>th</w:t>
      </w:r>
      <w:r w:rsidRPr="007F620E">
        <w:t xml:space="preserve"> day after the filing of </w:t>
      </w:r>
      <w:r w:rsidRPr="000F2831" w:rsidR="000F2831">
        <w:t>Mussey Grade Road Alliance</w:t>
      </w:r>
      <w:r w:rsidRPr="003B6A1B" w:rsidR="00FE3BAE">
        <w:t>’s</w:t>
      </w:r>
      <w:r w:rsidRPr="003B6A1B" w:rsidR="00FE3BAE">
        <w:rPr>
          <w:b/>
        </w:rPr>
        <w:t xml:space="preserve"> </w:t>
      </w:r>
      <w:r w:rsidRPr="007F620E">
        <w:t>request, and continuing until full payment is made.</w:t>
      </w:r>
    </w:p>
    <w:p w:rsidRPr="007F620E" w:rsidR="00A92D0B" w:rsidP="00DE3A5D" w:rsidRDefault="00A92D0B" w14:paraId="5AD40C95" w14:textId="4E071A8C">
      <w:pPr>
        <w:keepNext/>
        <w:keepLines/>
        <w:numPr>
          <w:ilvl w:val="0"/>
          <w:numId w:val="4"/>
        </w:numPr>
        <w:tabs>
          <w:tab w:val="clear" w:pos="900"/>
          <w:tab w:val="num" w:pos="540"/>
        </w:tabs>
        <w:spacing w:before="240"/>
        <w:ind w:left="547" w:hanging="547"/>
      </w:pPr>
      <w:r w:rsidRPr="007F620E">
        <w:lastRenderedPageBreak/>
        <w:t>The comment period for today’s decision is 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00A92D0B" w:rsidP="00357623" w:rsidRDefault="00A92D0B" w14:paraId="0467B995" w14:textId="73785064">
      <w:pPr>
        <w:keepNext/>
        <w:keepLines/>
        <w:spacing w:before="240"/>
        <w:ind w:left="547"/>
        <w:rPr>
          <w:color w:val="000000"/>
        </w:rPr>
      </w:pPr>
      <w:r w:rsidRPr="007F620E">
        <w:rPr>
          <w:color w:val="000000"/>
        </w:rPr>
        <w:t>Dated</w:t>
      </w:r>
      <w:r w:rsidR="00DF72A0">
        <w:rPr>
          <w:color w:val="000000"/>
        </w:rPr>
        <w:t> July </w:t>
      </w:r>
      <w:r w:rsidR="00CD457D">
        <w:rPr>
          <w:color w:val="000000"/>
        </w:rPr>
        <w:t>16</w:t>
      </w:r>
      <w:r w:rsidRPr="007F620E">
        <w:rPr>
          <w:color w:val="000000"/>
        </w:rPr>
        <w:t>,</w:t>
      </w:r>
      <w:r w:rsidR="00DF72A0">
        <w:rPr>
          <w:color w:val="000000"/>
        </w:rPr>
        <w:t> 2026, </w:t>
      </w:r>
      <w:r w:rsidRPr="007F620E">
        <w:rPr>
          <w:color w:val="000000"/>
        </w:rPr>
        <w:t>at San Francisco, California.</w:t>
      </w:r>
    </w:p>
    <w:p w:rsidR="00CD457D" w:rsidP="00357623" w:rsidRDefault="00CD457D" w14:paraId="459CCD5C" w14:textId="77777777">
      <w:pPr>
        <w:keepNext/>
        <w:keepLines/>
        <w:spacing w:before="240"/>
        <w:ind w:left="547"/>
        <w:rPr>
          <w:color w:val="000000"/>
        </w:rPr>
      </w:pPr>
    </w:p>
    <w:p w:rsidR="00CD457D" w:rsidP="00357623" w:rsidRDefault="00CD457D" w14:paraId="489C8ECB" w14:textId="77777777">
      <w:pPr>
        <w:keepNext/>
        <w:keepLines/>
        <w:spacing w:before="240"/>
        <w:ind w:left="547"/>
        <w:rPr>
          <w:color w:val="000000"/>
        </w:rPr>
      </w:pPr>
    </w:p>
    <w:p w:rsidRPr="00CD457D" w:rsidR="00CD457D" w:rsidP="00CD457D" w:rsidRDefault="00CD457D" w14:paraId="037FA336" w14:textId="77777777">
      <w:pPr>
        <w:keepNext/>
        <w:keepLines/>
        <w:ind w:left="5040"/>
        <w:rPr>
          <w:color w:val="000000"/>
        </w:rPr>
      </w:pPr>
      <w:r w:rsidRPr="00CD457D">
        <w:rPr>
          <w:color w:val="000000"/>
        </w:rPr>
        <w:t>JOHN REYNOLDS</w:t>
      </w:r>
    </w:p>
    <w:p w:rsidRPr="00CD457D" w:rsidR="00CD457D" w:rsidP="00CD457D" w:rsidRDefault="00CD457D" w14:paraId="52A502B1" w14:textId="124978BD">
      <w:pPr>
        <w:keepNext/>
        <w:keepLines/>
        <w:ind w:left="5040"/>
        <w:rPr>
          <w:color w:val="000000"/>
        </w:rPr>
      </w:pPr>
      <w:r>
        <w:rPr>
          <w:color w:val="000000"/>
        </w:rPr>
        <w:tab/>
      </w:r>
      <w:r>
        <w:rPr>
          <w:color w:val="000000"/>
        </w:rPr>
        <w:tab/>
      </w:r>
      <w:r w:rsidRPr="00CD457D">
        <w:rPr>
          <w:color w:val="000000"/>
        </w:rPr>
        <w:t>President</w:t>
      </w:r>
    </w:p>
    <w:p w:rsidRPr="00CD457D" w:rsidR="00CD457D" w:rsidP="00CD457D" w:rsidRDefault="00CD457D" w14:paraId="1F65235C" w14:textId="77777777">
      <w:pPr>
        <w:keepNext/>
        <w:keepLines/>
        <w:ind w:left="5040"/>
        <w:rPr>
          <w:color w:val="000000"/>
        </w:rPr>
      </w:pPr>
      <w:r w:rsidRPr="00CD457D">
        <w:rPr>
          <w:color w:val="000000"/>
        </w:rPr>
        <w:t>DARCIE L. HOUCK</w:t>
      </w:r>
    </w:p>
    <w:p w:rsidRPr="00CD457D" w:rsidR="00CD457D" w:rsidP="00CD457D" w:rsidRDefault="00CD457D" w14:paraId="060A38D9" w14:textId="77777777">
      <w:pPr>
        <w:keepNext/>
        <w:keepLines/>
        <w:ind w:left="5040"/>
        <w:rPr>
          <w:color w:val="000000"/>
        </w:rPr>
      </w:pPr>
      <w:r w:rsidRPr="00CD457D">
        <w:rPr>
          <w:color w:val="000000"/>
        </w:rPr>
        <w:t>KAREN DOUGLAS</w:t>
      </w:r>
    </w:p>
    <w:p w:rsidRPr="00CD457D" w:rsidR="00CD457D" w:rsidP="00CD457D" w:rsidRDefault="00CD457D" w14:paraId="513387B1" w14:textId="77777777">
      <w:pPr>
        <w:keepNext/>
        <w:keepLines/>
        <w:ind w:left="5040"/>
        <w:rPr>
          <w:color w:val="000000"/>
        </w:rPr>
      </w:pPr>
      <w:r w:rsidRPr="00CD457D">
        <w:rPr>
          <w:color w:val="000000"/>
        </w:rPr>
        <w:t>CHRISTINE HARADA</w:t>
      </w:r>
    </w:p>
    <w:p w:rsidRPr="00CD457D" w:rsidR="00CD457D" w:rsidP="00CD457D" w:rsidRDefault="00CD457D" w14:paraId="40E9673E" w14:textId="77777777">
      <w:pPr>
        <w:keepNext/>
        <w:keepLines/>
        <w:ind w:left="5040"/>
        <w:rPr>
          <w:color w:val="000000"/>
        </w:rPr>
      </w:pPr>
      <w:r w:rsidRPr="00CD457D">
        <w:rPr>
          <w:color w:val="000000"/>
        </w:rPr>
        <w:tab/>
      </w:r>
      <w:r w:rsidRPr="00CD457D">
        <w:rPr>
          <w:color w:val="000000"/>
        </w:rPr>
        <w:tab/>
        <w:t>Commissioners</w:t>
      </w:r>
    </w:p>
    <w:p w:rsidRPr="00CD457D" w:rsidR="00CD457D" w:rsidP="00CD457D" w:rsidRDefault="00CD457D" w14:paraId="552A9C79" w14:textId="77777777">
      <w:pPr>
        <w:keepNext/>
        <w:keepLines/>
        <w:ind w:left="5040"/>
        <w:rPr>
          <w:color w:val="000000"/>
        </w:rPr>
      </w:pPr>
    </w:p>
    <w:p w:rsidRPr="00CD457D" w:rsidR="00CD457D" w:rsidP="00CD457D" w:rsidRDefault="00CD457D" w14:paraId="5EC1BDD3" w14:textId="77777777">
      <w:pPr>
        <w:keepNext/>
        <w:keepLines/>
        <w:ind w:left="5040"/>
        <w:rPr>
          <w:color w:val="000000"/>
        </w:rPr>
      </w:pPr>
      <w:r w:rsidRPr="00CD457D">
        <w:rPr>
          <w:color w:val="000000"/>
        </w:rPr>
        <w:t>Commissioner Matthew Baker recused</w:t>
      </w:r>
    </w:p>
    <w:p w:rsidRPr="00CD457D" w:rsidR="00CD457D" w:rsidP="00CD457D" w:rsidRDefault="00CD457D" w14:paraId="499C28C2" w14:textId="77777777">
      <w:pPr>
        <w:keepNext/>
        <w:keepLines/>
        <w:ind w:left="5040"/>
        <w:rPr>
          <w:color w:val="000000"/>
        </w:rPr>
      </w:pPr>
      <w:r w:rsidRPr="00CD457D">
        <w:rPr>
          <w:color w:val="000000"/>
        </w:rPr>
        <w:t>himself from this agenda item and was</w:t>
      </w:r>
    </w:p>
    <w:p w:rsidR="00CD457D" w:rsidP="00CD457D" w:rsidRDefault="00CD457D" w14:paraId="3BB9EFC8" w14:textId="77777777">
      <w:pPr>
        <w:keepNext/>
        <w:keepLines/>
        <w:ind w:left="5040"/>
        <w:rPr>
          <w:color w:val="000000"/>
        </w:rPr>
      </w:pPr>
      <w:r w:rsidRPr="00CD457D">
        <w:rPr>
          <w:color w:val="000000"/>
        </w:rPr>
        <w:t>not part of the quorum in its</w:t>
      </w:r>
    </w:p>
    <w:p w:rsidRPr="007F620E" w:rsidR="00CD457D" w:rsidP="00CD457D" w:rsidRDefault="00CD457D" w14:paraId="70173872" w14:textId="6EF15795">
      <w:pPr>
        <w:keepNext/>
        <w:keepLines/>
        <w:ind w:left="5040"/>
        <w:rPr>
          <w:color w:val="000000"/>
        </w:rPr>
      </w:pPr>
      <w:r w:rsidRPr="00CD457D">
        <w:rPr>
          <w:color w:val="000000"/>
        </w:rPr>
        <w:t>consideration.</w:t>
      </w: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C53E28">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Pr="008D5BD7" w:rsidR="00FE3BAE" w:rsidP="00FE3BAE" w:rsidRDefault="00FE3BAE" w14:paraId="7A1C7043" w14:textId="77777777">
      <w:pPr>
        <w:pStyle w:val="standard"/>
        <w:ind w:firstLine="0"/>
        <w:jc w:val="center"/>
        <w:rPr>
          <w:rFonts w:ascii="Arial" w:hAnsi="Arial" w:cs="Arial"/>
          <w:b/>
          <w:szCs w:val="26"/>
        </w:rPr>
      </w:pPr>
      <w:r w:rsidRPr="008D5BD7">
        <w:rPr>
          <w:rFonts w:ascii="Arial" w:hAnsi="Arial" w:cs="Arial"/>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RDefault="00CD457D" w14:paraId="16C5D6B1" w14:textId="23E64FD3">
            <w:r w:rsidRPr="00CD457D">
              <w:t>D2607056</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RDefault="00C30FC5" w14:paraId="6846FB87" w14:textId="5BED996F">
            <w:pPr>
              <w:jc w:val="center"/>
            </w:pPr>
            <w:r>
              <w:t>No</w:t>
            </w:r>
          </w:p>
        </w:tc>
      </w:tr>
      <w:tr w:rsidRPr="00B803D5" w:rsidR="00FE3BAE" w:rsidTr="002D318D"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RDefault="008A7D11" w14:paraId="426F2C45" w14:textId="2AA89BE8">
            <w:r>
              <w:t>D</w:t>
            </w:r>
            <w:r w:rsidR="002D318D">
              <w:t xml:space="preserve">2311007, </w:t>
            </w:r>
            <w:r>
              <w:t>D2509030</w:t>
            </w:r>
          </w:p>
        </w:tc>
      </w:tr>
      <w:tr w:rsidRPr="00B803D5" w:rsidR="00FE3BAE" w:rsidTr="008A7D11"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RDefault="008E4FC3" w14:paraId="5B85688D" w14:textId="38B30FA3">
            <w:r>
              <w:t>A2205013, A2305010</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RDefault="00AC1B04" w14:paraId="5E75C0F0" w14:textId="0494F0EC">
            <w:r>
              <w:rPr>
                <w:bCs/>
                <w:color w:val="000000"/>
              </w:rPr>
              <w:t xml:space="preserve">ALJ </w:t>
            </w:r>
            <w:r w:rsidRPr="008E7787">
              <w:rPr>
                <w:bCs/>
                <w:color w:val="000000"/>
              </w:rPr>
              <w:t>Rafael</w:t>
            </w:r>
            <w:r>
              <w:rPr>
                <w:bCs/>
                <w:color w:val="000000"/>
              </w:rPr>
              <w:t> </w:t>
            </w:r>
            <w:r w:rsidRPr="008E7787">
              <w:rPr>
                <w:bCs/>
                <w:color w:val="000000"/>
              </w:rPr>
              <w:t>Lirag</w:t>
            </w:r>
            <w:r>
              <w:rPr>
                <w:bCs/>
                <w:color w:val="000000"/>
              </w:rPr>
              <w:t>,</w:t>
            </w:r>
            <w:r>
              <w:t xml:space="preserve"> </w:t>
            </w:r>
            <w:r w:rsidR="002D318D">
              <w:t>ALJ</w:t>
            </w:r>
            <w:r w:rsidRPr="008E7787">
              <w:rPr>
                <w:bCs/>
                <w:color w:val="000000"/>
              </w:rPr>
              <w:t xml:space="preserve"> Colin Rizzo, </w:t>
            </w:r>
            <w:r>
              <w:rPr>
                <w:bCs/>
                <w:color w:val="000000"/>
              </w:rPr>
              <w:t xml:space="preserve">ALJ </w:t>
            </w:r>
            <w:r w:rsidRPr="008E7787">
              <w:rPr>
                <w:bCs/>
                <w:color w:val="000000"/>
              </w:rPr>
              <w:t>Ehren Seybert</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RDefault="00153403" w14:paraId="7CA711B6" w14:textId="04CCCFAF">
            <w:r>
              <w:t>Southern California Edison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00BC56E0" w14:paraId="6CDB318E" w14:textId="77777777">
        <w:trPr>
          <w:jc w:val="center"/>
        </w:trPr>
        <w:tc>
          <w:tcPr>
            <w:tcW w:w="2066"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60"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2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88"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50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92088D" w:rsidR="00BC56E0" w:rsidTr="0092088D" w14:paraId="080524E3" w14:textId="77777777">
        <w:trPr>
          <w:trHeight w:val="872"/>
          <w:jc w:val="center"/>
        </w:trPr>
        <w:tc>
          <w:tcPr>
            <w:tcW w:w="2066" w:type="dxa"/>
            <w:tcBorders>
              <w:top w:val="single" w:color="auto" w:sz="4" w:space="0"/>
              <w:left w:val="single" w:color="auto" w:sz="4" w:space="0"/>
              <w:bottom w:val="single" w:color="auto" w:sz="4" w:space="0"/>
              <w:right w:val="single" w:color="auto" w:sz="4" w:space="0"/>
            </w:tcBorders>
            <w:hideMark/>
          </w:tcPr>
          <w:p w:rsidRPr="0092088D" w:rsidR="00BC56E0" w:rsidP="00BC56E0" w:rsidRDefault="00BC56E0" w14:paraId="3008FB17" w14:textId="1FDA14F9">
            <w:pPr>
              <w:jc w:val="center"/>
            </w:pPr>
            <w:r w:rsidRPr="0092088D">
              <w:t>Mussey Grade Road Alliance</w:t>
            </w:r>
          </w:p>
        </w:tc>
        <w:tc>
          <w:tcPr>
            <w:tcW w:w="1460" w:type="dxa"/>
            <w:tcBorders>
              <w:top w:val="single" w:color="auto" w:sz="4" w:space="0"/>
              <w:left w:val="single" w:color="auto" w:sz="4" w:space="0"/>
              <w:bottom w:val="single" w:color="auto" w:sz="4" w:space="0"/>
              <w:right w:val="single" w:color="auto" w:sz="4" w:space="0"/>
            </w:tcBorders>
            <w:hideMark/>
          </w:tcPr>
          <w:p w:rsidRPr="0092088D" w:rsidR="00BC56E0" w:rsidP="00BC56E0" w:rsidRDefault="00BC56E0" w14:paraId="63956769" w14:textId="0C634D7B">
            <w:pPr>
              <w:jc w:val="center"/>
            </w:pPr>
            <w:r w:rsidRPr="0092088D">
              <w:t>10/15/25</w:t>
            </w:r>
          </w:p>
        </w:tc>
        <w:tc>
          <w:tcPr>
            <w:tcW w:w="1420" w:type="dxa"/>
            <w:tcBorders>
              <w:top w:val="single" w:color="auto" w:sz="4" w:space="0"/>
              <w:left w:val="single" w:color="auto" w:sz="4" w:space="0"/>
              <w:bottom w:val="single" w:color="auto" w:sz="4" w:space="0"/>
              <w:right w:val="single" w:color="auto" w:sz="4" w:space="0"/>
            </w:tcBorders>
            <w:hideMark/>
          </w:tcPr>
          <w:p w:rsidRPr="0092088D" w:rsidR="00BC56E0" w:rsidP="00BC56E0" w:rsidRDefault="00BC56E0" w14:paraId="75AD20FA" w14:textId="4870A7A9">
            <w:pPr>
              <w:jc w:val="center"/>
            </w:pPr>
            <w:r w:rsidRPr="0092088D">
              <w:t>$154,013</w:t>
            </w:r>
            <w:r w:rsidR="00637FB3">
              <w:rPr>
                <w:rStyle w:val="FootnoteReference"/>
              </w:rPr>
              <w:footnoteReference w:id="20"/>
            </w:r>
          </w:p>
        </w:tc>
        <w:tc>
          <w:tcPr>
            <w:tcW w:w="1588" w:type="dxa"/>
            <w:tcBorders>
              <w:top w:val="single" w:color="auto" w:sz="4" w:space="0"/>
              <w:left w:val="single" w:color="auto" w:sz="4" w:space="0"/>
              <w:bottom w:val="single" w:color="auto" w:sz="4" w:space="0"/>
              <w:right w:val="single" w:color="auto" w:sz="4" w:space="0"/>
            </w:tcBorders>
            <w:hideMark/>
          </w:tcPr>
          <w:p w:rsidR="00D06A31" w:rsidP="00BC56E0" w:rsidRDefault="00EE3615" w14:paraId="3AD64BF9" w14:textId="407D7B2B">
            <w:pPr>
              <w:jc w:val="center"/>
            </w:pPr>
            <w:r w:rsidRPr="0092088D">
              <w:t>$</w:t>
            </w:r>
            <w:r w:rsidRPr="00D06A31" w:rsidR="00D06A31">
              <w:t>147,592.92</w:t>
            </w:r>
          </w:p>
          <w:p w:rsidRPr="0092088D" w:rsidR="00BC56E0" w:rsidP="00BC56E0" w:rsidRDefault="00BC56E0" w14:paraId="0DD6FE00" w14:textId="47675B26">
            <w:pPr>
              <w:jc w:val="center"/>
            </w:pPr>
          </w:p>
        </w:tc>
        <w:tc>
          <w:tcPr>
            <w:tcW w:w="1405" w:type="dxa"/>
            <w:tcBorders>
              <w:top w:val="single" w:color="auto" w:sz="4" w:space="0"/>
              <w:left w:val="single" w:color="auto" w:sz="4" w:space="0"/>
              <w:bottom w:val="single" w:color="auto" w:sz="4" w:space="0"/>
              <w:right w:val="single" w:color="auto" w:sz="4" w:space="0"/>
            </w:tcBorders>
            <w:hideMark/>
          </w:tcPr>
          <w:p w:rsidRPr="0092088D" w:rsidR="00BC56E0" w:rsidP="00BC56E0" w:rsidRDefault="00BC56E0" w14:paraId="0BDAFE20" w14:textId="77777777">
            <w:pPr>
              <w:jc w:val="center"/>
            </w:pPr>
            <w:r w:rsidRPr="0092088D">
              <w:t>N/A</w:t>
            </w:r>
          </w:p>
        </w:tc>
        <w:tc>
          <w:tcPr>
            <w:tcW w:w="2501" w:type="dxa"/>
            <w:tcBorders>
              <w:top w:val="single" w:color="auto" w:sz="4" w:space="0"/>
              <w:left w:val="single" w:color="auto" w:sz="4" w:space="0"/>
              <w:bottom w:val="single" w:color="auto" w:sz="4" w:space="0"/>
              <w:right w:val="single" w:color="auto" w:sz="4" w:space="0"/>
            </w:tcBorders>
            <w:hideMark/>
          </w:tcPr>
          <w:p w:rsidRPr="0092088D" w:rsidR="00BC56E0" w:rsidP="00BC56E0" w:rsidRDefault="0092088D" w14:paraId="6B53C6F9" w14:textId="7280AAB4">
            <w:pPr>
              <w:jc w:val="center"/>
            </w:pPr>
            <w:r w:rsidRPr="0092088D">
              <w:t>See Part III.D CPUC Comments, Disallowances and Adjustments</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BC56E0"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BC56E0" w:rsidTr="008E4FC3"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E4FC3" w:rsidR="00BC56E0" w:rsidP="00BC56E0" w:rsidRDefault="00BC56E0" w14:paraId="0F0C6D6C" w14:textId="55B6A33A">
            <w:pPr>
              <w:jc w:val="center"/>
            </w:pPr>
            <w:r w:rsidRPr="008E4FC3">
              <w:t>Joseph</w:t>
            </w:r>
          </w:p>
        </w:tc>
        <w:tc>
          <w:tcPr>
            <w:tcW w:w="1725" w:type="dxa"/>
            <w:tcBorders>
              <w:top w:val="single" w:color="auto" w:sz="4" w:space="0"/>
              <w:left w:val="single" w:color="auto" w:sz="4" w:space="0"/>
              <w:bottom w:val="single" w:color="auto" w:sz="4" w:space="0"/>
              <w:right w:val="single" w:color="auto" w:sz="4" w:space="0"/>
            </w:tcBorders>
          </w:tcPr>
          <w:p w:rsidRPr="008E4FC3" w:rsidR="00BC56E0" w:rsidP="00BC56E0" w:rsidRDefault="00BC56E0" w14:paraId="6ACE7B68" w14:textId="5AA0DD1B">
            <w:pPr>
              <w:jc w:val="center"/>
            </w:pPr>
            <w:r w:rsidRPr="008E4FC3">
              <w:t>Mitchell</w:t>
            </w:r>
          </w:p>
        </w:tc>
        <w:tc>
          <w:tcPr>
            <w:tcW w:w="2088" w:type="dxa"/>
            <w:tcBorders>
              <w:top w:val="single" w:color="auto" w:sz="4" w:space="0"/>
              <w:left w:val="single" w:color="auto" w:sz="4" w:space="0"/>
              <w:bottom w:val="single" w:color="auto" w:sz="4" w:space="0"/>
              <w:right w:val="single" w:color="auto" w:sz="4" w:space="0"/>
            </w:tcBorders>
          </w:tcPr>
          <w:p w:rsidRPr="008E4FC3" w:rsidR="00BC56E0" w:rsidP="00BC56E0" w:rsidRDefault="00BC56E0" w14:paraId="0E61474F" w14:textId="684F4A5E">
            <w:pPr>
              <w:jc w:val="center"/>
            </w:pPr>
            <w:r w:rsidRPr="008E4FC3">
              <w:t>Consultant</w:t>
            </w:r>
          </w:p>
        </w:tc>
        <w:tc>
          <w:tcPr>
            <w:tcW w:w="1748" w:type="dxa"/>
            <w:tcBorders>
              <w:top w:val="single" w:color="auto" w:sz="4" w:space="0"/>
              <w:left w:val="single" w:color="auto" w:sz="4" w:space="0"/>
              <w:bottom w:val="single" w:color="auto" w:sz="4" w:space="0"/>
              <w:right w:val="single" w:color="auto" w:sz="4" w:space="0"/>
            </w:tcBorders>
          </w:tcPr>
          <w:p w:rsidRPr="00B803D5" w:rsidR="00BC56E0" w:rsidP="00BC56E0" w:rsidRDefault="00BC56E0" w14:paraId="44F9655C" w14:textId="0E4444E6">
            <w:pPr>
              <w:jc w:val="center"/>
            </w:pPr>
            <w:r>
              <w:t>$395</w:t>
            </w:r>
            <w:r w:rsidRPr="0073360A" w:rsidR="0073360A">
              <w:t>.00</w:t>
            </w:r>
          </w:p>
        </w:tc>
        <w:tc>
          <w:tcPr>
            <w:tcW w:w="1725" w:type="dxa"/>
            <w:tcBorders>
              <w:top w:val="single" w:color="auto" w:sz="4" w:space="0"/>
              <w:left w:val="single" w:color="auto" w:sz="4" w:space="0"/>
              <w:bottom w:val="single" w:color="auto" w:sz="4" w:space="0"/>
              <w:right w:val="single" w:color="auto" w:sz="4" w:space="0"/>
            </w:tcBorders>
          </w:tcPr>
          <w:p w:rsidRPr="00B803D5" w:rsidR="00BC56E0" w:rsidP="00BC56E0" w:rsidRDefault="00BC56E0" w14:paraId="2EB25516" w14:textId="67CA33A1">
            <w:pPr>
              <w:jc w:val="center"/>
            </w:pPr>
            <w:r>
              <w:t>2022</w:t>
            </w:r>
          </w:p>
        </w:tc>
        <w:tc>
          <w:tcPr>
            <w:tcW w:w="1634" w:type="dxa"/>
            <w:tcBorders>
              <w:top w:val="single" w:color="auto" w:sz="4" w:space="0"/>
              <w:left w:val="single" w:color="auto" w:sz="4" w:space="0"/>
              <w:bottom w:val="single" w:color="auto" w:sz="4" w:space="0"/>
              <w:right w:val="single" w:color="auto" w:sz="4" w:space="0"/>
            </w:tcBorders>
          </w:tcPr>
          <w:p w:rsidRPr="00B803D5" w:rsidR="00BC56E0" w:rsidP="00BC56E0" w:rsidRDefault="008E4FC3" w14:paraId="0A76FE98" w14:textId="4AB361C3">
            <w:pPr>
              <w:jc w:val="center"/>
            </w:pPr>
            <w:r>
              <w:t>$395.00</w:t>
            </w:r>
          </w:p>
        </w:tc>
      </w:tr>
      <w:tr w:rsidRPr="00B803D5" w:rsidR="00BC56E0" w:rsidTr="008E4FC3"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E4FC3" w:rsidR="00BC56E0" w:rsidP="00BC56E0" w:rsidRDefault="00BC56E0" w14:paraId="4CFDAB24" w14:textId="3B48BFDE">
            <w:pPr>
              <w:jc w:val="center"/>
            </w:pPr>
            <w:r w:rsidRPr="008E4FC3">
              <w:t>Joseph</w:t>
            </w:r>
          </w:p>
        </w:tc>
        <w:tc>
          <w:tcPr>
            <w:tcW w:w="1725" w:type="dxa"/>
            <w:tcBorders>
              <w:top w:val="single" w:color="auto" w:sz="4" w:space="0"/>
              <w:left w:val="single" w:color="auto" w:sz="4" w:space="0"/>
              <w:bottom w:val="single" w:color="auto" w:sz="4" w:space="0"/>
              <w:right w:val="single" w:color="auto" w:sz="4" w:space="0"/>
            </w:tcBorders>
          </w:tcPr>
          <w:p w:rsidRPr="008E4FC3" w:rsidR="00BC56E0" w:rsidP="00BC56E0" w:rsidRDefault="00BC56E0" w14:paraId="3A9B4F75" w14:textId="70F574BF">
            <w:pPr>
              <w:jc w:val="center"/>
            </w:pPr>
            <w:r w:rsidRPr="008E4FC3">
              <w:t>Mitchell</w:t>
            </w:r>
          </w:p>
        </w:tc>
        <w:tc>
          <w:tcPr>
            <w:tcW w:w="2088" w:type="dxa"/>
            <w:tcBorders>
              <w:top w:val="single" w:color="auto" w:sz="4" w:space="0"/>
              <w:left w:val="single" w:color="auto" w:sz="4" w:space="0"/>
              <w:bottom w:val="single" w:color="auto" w:sz="4" w:space="0"/>
              <w:right w:val="single" w:color="auto" w:sz="4" w:space="0"/>
            </w:tcBorders>
          </w:tcPr>
          <w:p w:rsidRPr="008E4FC3" w:rsidR="00BC56E0" w:rsidP="00BC56E0" w:rsidRDefault="00BC56E0" w14:paraId="73440B00" w14:textId="138CC012">
            <w:pPr>
              <w:jc w:val="center"/>
            </w:pPr>
            <w:r w:rsidRPr="008E4FC3">
              <w:t>Consultant</w:t>
            </w:r>
          </w:p>
        </w:tc>
        <w:tc>
          <w:tcPr>
            <w:tcW w:w="1748" w:type="dxa"/>
            <w:tcBorders>
              <w:top w:val="single" w:color="auto" w:sz="4" w:space="0"/>
              <w:left w:val="single" w:color="auto" w:sz="4" w:space="0"/>
              <w:bottom w:val="single" w:color="auto" w:sz="4" w:space="0"/>
              <w:right w:val="single" w:color="auto" w:sz="4" w:space="0"/>
            </w:tcBorders>
          </w:tcPr>
          <w:p w:rsidRPr="00B803D5" w:rsidR="00BC56E0" w:rsidP="00BC56E0" w:rsidRDefault="00BC56E0" w14:paraId="1466F47E" w14:textId="75505B9A">
            <w:pPr>
              <w:jc w:val="center"/>
            </w:pPr>
            <w:r>
              <w:t>$415</w:t>
            </w:r>
            <w:r w:rsidRPr="0073360A" w:rsidR="0073360A">
              <w:t>.00</w:t>
            </w:r>
          </w:p>
        </w:tc>
        <w:tc>
          <w:tcPr>
            <w:tcW w:w="1725" w:type="dxa"/>
            <w:tcBorders>
              <w:top w:val="single" w:color="auto" w:sz="4" w:space="0"/>
              <w:left w:val="single" w:color="auto" w:sz="4" w:space="0"/>
              <w:bottom w:val="single" w:color="auto" w:sz="4" w:space="0"/>
              <w:right w:val="single" w:color="auto" w:sz="4" w:space="0"/>
            </w:tcBorders>
          </w:tcPr>
          <w:p w:rsidRPr="00B803D5" w:rsidR="00BC56E0" w:rsidP="00BC56E0" w:rsidRDefault="00BC56E0" w14:paraId="4CBE320E" w14:textId="4C208ABB">
            <w:pPr>
              <w:jc w:val="center"/>
            </w:pPr>
            <w:r>
              <w:t>2023</w:t>
            </w:r>
          </w:p>
        </w:tc>
        <w:tc>
          <w:tcPr>
            <w:tcW w:w="1634" w:type="dxa"/>
            <w:tcBorders>
              <w:top w:val="single" w:color="auto" w:sz="4" w:space="0"/>
              <w:left w:val="single" w:color="auto" w:sz="4" w:space="0"/>
              <w:bottom w:val="single" w:color="auto" w:sz="4" w:space="0"/>
              <w:right w:val="single" w:color="auto" w:sz="4" w:space="0"/>
            </w:tcBorders>
          </w:tcPr>
          <w:p w:rsidRPr="00B803D5" w:rsidR="00BC56E0" w:rsidP="00BC56E0" w:rsidRDefault="008E4FC3" w14:paraId="37932A57" w14:textId="3DBAB945">
            <w:pPr>
              <w:jc w:val="center"/>
            </w:pPr>
            <w:r>
              <w:t>$415.00</w:t>
            </w:r>
          </w:p>
        </w:tc>
      </w:tr>
      <w:tr w:rsidRPr="00B803D5" w:rsidR="00BC56E0" w:rsidTr="008E4FC3"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E4FC3" w:rsidR="00BC56E0" w:rsidP="00BC56E0" w:rsidRDefault="00BC56E0" w14:paraId="65C04662" w14:textId="581BDA2A">
            <w:pPr>
              <w:jc w:val="center"/>
            </w:pPr>
            <w:r w:rsidRPr="008E4FC3">
              <w:t>Joseph</w:t>
            </w:r>
          </w:p>
        </w:tc>
        <w:tc>
          <w:tcPr>
            <w:tcW w:w="1725" w:type="dxa"/>
            <w:tcBorders>
              <w:top w:val="single" w:color="auto" w:sz="4" w:space="0"/>
              <w:left w:val="single" w:color="auto" w:sz="4" w:space="0"/>
              <w:bottom w:val="single" w:color="auto" w:sz="4" w:space="0"/>
              <w:right w:val="single" w:color="auto" w:sz="4" w:space="0"/>
            </w:tcBorders>
          </w:tcPr>
          <w:p w:rsidRPr="008E4FC3" w:rsidR="00BC56E0" w:rsidP="00BC56E0" w:rsidRDefault="00BC56E0" w14:paraId="1C590887" w14:textId="3F8D5167">
            <w:pPr>
              <w:jc w:val="center"/>
            </w:pPr>
            <w:r w:rsidRPr="008E4FC3">
              <w:t>Mitchell</w:t>
            </w:r>
          </w:p>
        </w:tc>
        <w:tc>
          <w:tcPr>
            <w:tcW w:w="2088" w:type="dxa"/>
            <w:tcBorders>
              <w:top w:val="single" w:color="auto" w:sz="4" w:space="0"/>
              <w:left w:val="single" w:color="auto" w:sz="4" w:space="0"/>
              <w:bottom w:val="single" w:color="auto" w:sz="4" w:space="0"/>
              <w:right w:val="single" w:color="auto" w:sz="4" w:space="0"/>
            </w:tcBorders>
          </w:tcPr>
          <w:p w:rsidRPr="008E4FC3" w:rsidR="00BC56E0" w:rsidP="00BC56E0" w:rsidRDefault="00BC56E0" w14:paraId="1EA8DE3D" w14:textId="2B78B596">
            <w:pPr>
              <w:jc w:val="center"/>
            </w:pPr>
            <w:r w:rsidRPr="008E4FC3">
              <w:t>Consultant</w:t>
            </w:r>
          </w:p>
        </w:tc>
        <w:tc>
          <w:tcPr>
            <w:tcW w:w="1748" w:type="dxa"/>
            <w:tcBorders>
              <w:top w:val="single" w:color="auto" w:sz="4" w:space="0"/>
              <w:left w:val="single" w:color="auto" w:sz="4" w:space="0"/>
              <w:bottom w:val="single" w:color="auto" w:sz="4" w:space="0"/>
              <w:right w:val="single" w:color="auto" w:sz="4" w:space="0"/>
            </w:tcBorders>
          </w:tcPr>
          <w:p w:rsidRPr="00B803D5" w:rsidR="00BC56E0" w:rsidP="00BC56E0" w:rsidRDefault="00BC56E0" w14:paraId="4F6290AB" w14:textId="55227E6F">
            <w:pPr>
              <w:jc w:val="center"/>
            </w:pPr>
            <w:r>
              <w:t>$455</w:t>
            </w:r>
            <w:r w:rsidRPr="0073360A" w:rsidR="0073360A">
              <w:t>.00</w:t>
            </w:r>
          </w:p>
        </w:tc>
        <w:tc>
          <w:tcPr>
            <w:tcW w:w="1725" w:type="dxa"/>
            <w:tcBorders>
              <w:top w:val="single" w:color="auto" w:sz="4" w:space="0"/>
              <w:left w:val="single" w:color="auto" w:sz="4" w:space="0"/>
              <w:bottom w:val="single" w:color="auto" w:sz="4" w:space="0"/>
              <w:right w:val="single" w:color="auto" w:sz="4" w:space="0"/>
            </w:tcBorders>
          </w:tcPr>
          <w:p w:rsidRPr="00B803D5" w:rsidR="00BC56E0" w:rsidP="00BC56E0" w:rsidRDefault="00BC56E0" w14:paraId="1354C70A" w14:textId="7AEEA7AD">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BC56E0" w:rsidP="00BC56E0" w:rsidRDefault="008E4FC3" w14:paraId="36649915" w14:textId="2070EFDB">
            <w:pPr>
              <w:jc w:val="center"/>
            </w:pPr>
            <w:r>
              <w:t>$455.00</w:t>
            </w:r>
          </w:p>
        </w:tc>
      </w:tr>
      <w:tr w:rsidRPr="00B803D5" w:rsidR="00BC56E0" w:rsidTr="008E4FC3"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E4FC3" w:rsidR="00BC56E0" w:rsidP="00BC56E0" w:rsidRDefault="00BC56E0" w14:paraId="71BF257F" w14:textId="30A38911">
            <w:pPr>
              <w:jc w:val="center"/>
            </w:pPr>
            <w:r w:rsidRPr="008E4FC3">
              <w:t>Joseph</w:t>
            </w:r>
          </w:p>
        </w:tc>
        <w:tc>
          <w:tcPr>
            <w:tcW w:w="1725" w:type="dxa"/>
            <w:tcBorders>
              <w:top w:val="single" w:color="auto" w:sz="4" w:space="0"/>
              <w:left w:val="single" w:color="auto" w:sz="4" w:space="0"/>
              <w:bottom w:val="single" w:color="auto" w:sz="4" w:space="0"/>
              <w:right w:val="single" w:color="auto" w:sz="4" w:space="0"/>
            </w:tcBorders>
          </w:tcPr>
          <w:p w:rsidRPr="008E4FC3" w:rsidR="00BC56E0" w:rsidP="00BC56E0" w:rsidRDefault="00BC56E0" w14:paraId="4D0E5B24" w14:textId="0CCE1657">
            <w:pPr>
              <w:jc w:val="center"/>
            </w:pPr>
            <w:r w:rsidRPr="008E4FC3">
              <w:t>Mitchell</w:t>
            </w:r>
          </w:p>
        </w:tc>
        <w:tc>
          <w:tcPr>
            <w:tcW w:w="2088" w:type="dxa"/>
            <w:tcBorders>
              <w:top w:val="single" w:color="auto" w:sz="4" w:space="0"/>
              <w:left w:val="single" w:color="auto" w:sz="4" w:space="0"/>
              <w:bottom w:val="single" w:color="auto" w:sz="4" w:space="0"/>
              <w:right w:val="single" w:color="auto" w:sz="4" w:space="0"/>
            </w:tcBorders>
          </w:tcPr>
          <w:p w:rsidRPr="008E4FC3" w:rsidR="00BC56E0" w:rsidP="00BC56E0" w:rsidRDefault="00BC56E0" w14:paraId="3ACB6465" w14:textId="593BADD1">
            <w:pPr>
              <w:jc w:val="center"/>
            </w:pPr>
            <w:r w:rsidRPr="008E4FC3">
              <w:t>Consultant</w:t>
            </w:r>
          </w:p>
        </w:tc>
        <w:tc>
          <w:tcPr>
            <w:tcW w:w="1748" w:type="dxa"/>
            <w:tcBorders>
              <w:top w:val="single" w:color="auto" w:sz="4" w:space="0"/>
              <w:left w:val="single" w:color="auto" w:sz="4" w:space="0"/>
              <w:bottom w:val="single" w:color="auto" w:sz="4" w:space="0"/>
              <w:right w:val="single" w:color="auto" w:sz="4" w:space="0"/>
            </w:tcBorders>
          </w:tcPr>
          <w:p w:rsidRPr="00B803D5" w:rsidR="00BC56E0" w:rsidP="00BC56E0" w:rsidRDefault="00BC56E0" w14:paraId="27D75B3F" w14:textId="3E6DA79A">
            <w:pPr>
              <w:jc w:val="center"/>
            </w:pPr>
            <w:r>
              <w:t>$471</w:t>
            </w:r>
            <w:r w:rsidRPr="0073360A" w:rsidR="0073360A">
              <w:t>.00</w:t>
            </w:r>
          </w:p>
        </w:tc>
        <w:tc>
          <w:tcPr>
            <w:tcW w:w="1725" w:type="dxa"/>
            <w:tcBorders>
              <w:top w:val="single" w:color="auto" w:sz="4" w:space="0"/>
              <w:left w:val="single" w:color="auto" w:sz="4" w:space="0"/>
              <w:bottom w:val="single" w:color="auto" w:sz="4" w:space="0"/>
              <w:right w:val="single" w:color="auto" w:sz="4" w:space="0"/>
            </w:tcBorders>
          </w:tcPr>
          <w:p w:rsidRPr="00B803D5" w:rsidR="00BC56E0" w:rsidP="00BC56E0" w:rsidRDefault="00BC56E0" w14:paraId="0BD45097" w14:textId="3DD4BAB7">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BC56E0" w:rsidP="00BC56E0" w:rsidRDefault="008E4FC3" w14:paraId="6B245605" w14:textId="632089C8">
            <w:pPr>
              <w:jc w:val="center"/>
            </w:pPr>
            <w:r>
              <w:t>$47</w:t>
            </w:r>
            <w:r w:rsidR="00EE7CCD">
              <w:t>0</w:t>
            </w:r>
            <w:r>
              <w:t>.00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5"/>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74CB" w14:textId="77777777" w:rsidR="00A0282F" w:rsidRDefault="00A0282F" w:rsidP="00885956">
      <w:r>
        <w:separator/>
      </w:r>
    </w:p>
  </w:endnote>
  <w:endnote w:type="continuationSeparator" w:id="0">
    <w:p w14:paraId="6663087F" w14:textId="77777777" w:rsidR="00A0282F" w:rsidRDefault="00A0282F"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charset w:val="00"/>
    <w:family w:val="auto"/>
    <w:pitch w:val="variable"/>
    <w:sig w:usb0="20000A87" w:usb1="08000000" w:usb2="00000008" w:usb3="00000000" w:csb0="000001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20F4" w14:textId="2E8068DA" w:rsidR="003B6A1B" w:rsidRDefault="00C53E28" w:rsidP="00880855">
    <w:pPr>
      <w:pStyle w:val="Footer"/>
      <w:jc w:val="center"/>
    </w:pPr>
    <w:r>
      <w:t xml:space="preserve">- </w:t>
    </w:r>
    <w:sdt>
      <w:sdtPr>
        <w:id w:val="1910570652"/>
        <w:docPartObj>
          <w:docPartGallery w:val="Page Numbers (Bottom of Page)"/>
          <w:docPartUnique/>
        </w:docPartObj>
      </w:sdtPr>
      <w:sdtEndPr>
        <w:rPr>
          <w:noProof/>
        </w:rPr>
      </w:sdtEndPr>
      <w:sdtContent>
        <w:r w:rsidR="003B6A1B">
          <w:fldChar w:fldCharType="begin"/>
        </w:r>
        <w:r w:rsidR="003B6A1B">
          <w:instrText xml:space="preserve"> PAGE   \* MERGEFORMAT </w:instrText>
        </w:r>
        <w:r w:rsidR="003B6A1B">
          <w:fldChar w:fldCharType="separate"/>
        </w:r>
        <w:r w:rsidR="0055228B">
          <w:rPr>
            <w:noProof/>
          </w:rPr>
          <w:t>- 1 -</w:t>
        </w:r>
        <w:r w:rsidR="003B6A1B">
          <w:rPr>
            <w:noProof/>
          </w:rPr>
          <w:fldChar w:fldCharType="end"/>
        </w:r>
        <w:r>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2B494C2D" w14:textId="521F6B20" w:rsidR="00CF1129" w:rsidRDefault="00AA20BD" w:rsidP="00986BD7">
        <w:pPr>
          <w:pStyle w:val="Footer"/>
        </w:pPr>
        <w:r w:rsidRPr="00AA20BD">
          <w:rPr>
            <w:sz w:val="16"/>
            <w:szCs w:val="16"/>
          </w:rPr>
          <w:t>611978769</w:t>
        </w:r>
        <w:r w:rsidR="00986BD7">
          <w:tab/>
        </w:r>
        <w:r w:rsidR="00C53E28">
          <w:t xml:space="preserve">- </w:t>
        </w:r>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r w:rsidR="00C53E28">
          <w:rPr>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6B34" w14:textId="77777777" w:rsidR="00A0282F" w:rsidRDefault="00A0282F" w:rsidP="00885956">
      <w:r>
        <w:separator/>
      </w:r>
    </w:p>
  </w:footnote>
  <w:footnote w:type="continuationSeparator" w:id="0">
    <w:p w14:paraId="77FFFDAB" w14:textId="77777777" w:rsidR="00A0282F" w:rsidRDefault="00A0282F" w:rsidP="00885956">
      <w:r>
        <w:continuationSeparator/>
      </w:r>
    </w:p>
  </w:footnote>
  <w:footnote w:id="1">
    <w:p w14:paraId="68708A62" w14:textId="2F823670" w:rsidR="0000618E" w:rsidRDefault="0000618E">
      <w:pPr>
        <w:pStyle w:val="FootnoteText"/>
      </w:pPr>
      <w:r>
        <w:rPr>
          <w:rStyle w:val="FootnoteReference"/>
        </w:rPr>
        <w:footnoteRef/>
      </w:r>
      <w:r>
        <w:t xml:space="preserve"> </w:t>
      </w:r>
      <w:r w:rsidR="00B735A2">
        <w:t xml:space="preserve">MGRA’s total request should be </w:t>
      </w:r>
      <w:r w:rsidR="009B452A" w:rsidRPr="009B452A">
        <w:t>$154,055.12</w:t>
      </w:r>
      <w:r w:rsidR="00B735A2">
        <w:t>, as discussed in the footnotes of Part III.B.</w:t>
      </w:r>
    </w:p>
  </w:footnote>
  <w:footnote w:id="2">
    <w:p w14:paraId="270776FF" w14:textId="73645DAD" w:rsidR="001F6F09" w:rsidRDefault="001F6F09">
      <w:pPr>
        <w:pStyle w:val="FootnoteText"/>
      </w:pPr>
      <w:r>
        <w:rPr>
          <w:rStyle w:val="FootnoteReference"/>
        </w:rPr>
        <w:footnoteRef/>
      </w:r>
      <w:r>
        <w:t xml:space="preserve"> </w:t>
      </w:r>
      <w:r w:rsidR="008158AC">
        <w:t>C</w:t>
      </w:r>
      <w:r w:rsidR="00A8404F">
        <w:t xml:space="preserve">ommissioner </w:t>
      </w:r>
      <w:r w:rsidR="000D2627">
        <w:t>Karen Douglas</w:t>
      </w:r>
      <w:r w:rsidR="00A8404F">
        <w:t xml:space="preserve"> </w:t>
      </w:r>
      <w:r w:rsidR="003A349F">
        <w:t xml:space="preserve">was </w:t>
      </w:r>
      <w:r w:rsidR="00CF1EEE">
        <w:t xml:space="preserve">assigned to A.22-05-013 on </w:t>
      </w:r>
      <w:r w:rsidR="000D2627" w:rsidRPr="0078465A">
        <w:t xml:space="preserve">April </w:t>
      </w:r>
      <w:r w:rsidR="00E56C0A" w:rsidRPr="0078465A">
        <w:t>22</w:t>
      </w:r>
      <w:r w:rsidR="00CF1EEE" w:rsidRPr="0078465A">
        <w:t>, 2026</w:t>
      </w:r>
      <w:r w:rsidR="00CF1EEE" w:rsidRPr="00E56C0A">
        <w:t>.</w:t>
      </w:r>
    </w:p>
  </w:footnote>
  <w:footnote w:id="3">
    <w:p w14:paraId="7B726305" w14:textId="0E1CB570" w:rsidR="0093299E" w:rsidRDefault="0093299E" w:rsidP="001F3A13">
      <w:pPr>
        <w:pStyle w:val="FootnoteText"/>
        <w:spacing w:after="0"/>
      </w:pPr>
      <w:r>
        <w:rPr>
          <w:rStyle w:val="FootnoteReference"/>
        </w:rPr>
        <w:footnoteRef/>
      </w:r>
      <w:r>
        <w:t xml:space="preserve"> ALJ Rafael Lirag is the assigned ALJ to A.22-05-013.</w:t>
      </w:r>
    </w:p>
  </w:footnote>
  <w:footnote w:id="4">
    <w:p w14:paraId="066A14C5" w14:textId="77777777" w:rsidR="003A3185" w:rsidRDefault="003A3185" w:rsidP="003A3185">
      <w:pPr>
        <w:pStyle w:val="FootnoteText"/>
      </w:pPr>
      <w:r>
        <w:rPr>
          <w:rStyle w:val="FootnoteReference"/>
        </w:rPr>
        <w:footnoteRef/>
      </w:r>
      <w:r>
        <w:t xml:space="preserve"> All statutory references are to California Public Utilities Code unless indicated otherwise.</w:t>
      </w:r>
    </w:p>
  </w:footnote>
  <w:footnote w:id="5">
    <w:p w14:paraId="6686C2A4" w14:textId="3AA9BDB5" w:rsidR="007E766C" w:rsidRDefault="007E766C" w:rsidP="00DA74C8">
      <w:pPr>
        <w:pStyle w:val="FootnoteText"/>
        <w:spacing w:after="0"/>
      </w:pPr>
      <w:r>
        <w:rPr>
          <w:rStyle w:val="FootnoteReference"/>
        </w:rPr>
        <w:footnoteRef/>
      </w:r>
      <w:r>
        <w:t xml:space="preserve"> </w:t>
      </w:r>
      <w:r w:rsidR="00BE4776">
        <w:t>A.22-05-015, “</w:t>
      </w:r>
      <w:r w:rsidRPr="007E766C">
        <w:t xml:space="preserve">Administrative Law Judge’s Ruling on Mussey Grade Road Alliance’s Showing </w:t>
      </w:r>
      <w:r>
        <w:t>o</w:t>
      </w:r>
      <w:r w:rsidRPr="007E766C">
        <w:t>f Significant Financial Hardship</w:t>
      </w:r>
      <w:r w:rsidR="00BE4776">
        <w:t xml:space="preserve">” at </w:t>
      </w:r>
      <w:r w:rsidR="000A5E09">
        <w:t>7-8</w:t>
      </w:r>
      <w:r w:rsidR="00BE4776">
        <w:t>, January 25, 2023</w:t>
      </w:r>
      <w:r w:rsidR="000A5E09">
        <w:t>.</w:t>
      </w:r>
    </w:p>
  </w:footnote>
  <w:footnote w:id="6">
    <w:p w14:paraId="0FCD3CE9" w14:textId="460E190D" w:rsidR="003342CC" w:rsidRDefault="003342CC">
      <w:pPr>
        <w:pStyle w:val="FootnoteText"/>
      </w:pPr>
      <w:r>
        <w:rPr>
          <w:rStyle w:val="FootnoteReference"/>
        </w:rPr>
        <w:footnoteRef/>
      </w:r>
      <w:r>
        <w:t xml:space="preserve"> </w:t>
      </w:r>
      <w:r w:rsidR="003B4EEC">
        <w:t>Mitchell’s 202</w:t>
      </w:r>
      <w:r w:rsidR="00471144">
        <w:t>2</w:t>
      </w:r>
      <w:r w:rsidR="003B4EEC">
        <w:t xml:space="preserve"> total should be $28,400.50 (71.90 </w:t>
      </w:r>
      <w:r w:rsidR="00471144">
        <w:t>x $395.00 = $28,400.50).</w:t>
      </w:r>
    </w:p>
  </w:footnote>
  <w:footnote w:id="7">
    <w:p w14:paraId="12A611BE" w14:textId="292A8ADB" w:rsidR="003342CC" w:rsidRDefault="003342CC">
      <w:pPr>
        <w:pStyle w:val="FootnoteText"/>
      </w:pPr>
      <w:r>
        <w:rPr>
          <w:rStyle w:val="FootnoteReference"/>
        </w:rPr>
        <w:footnoteRef/>
      </w:r>
      <w:r>
        <w:t xml:space="preserve"> </w:t>
      </w:r>
      <w:r w:rsidR="00471144">
        <w:t>Mitchell’s 2023 total should be</w:t>
      </w:r>
      <w:r w:rsidR="00C05B3F">
        <w:t xml:space="preserve"> $</w:t>
      </w:r>
      <w:r w:rsidR="00163232">
        <w:t xml:space="preserve">10,997.50 (26.50 x $415.00 = </w:t>
      </w:r>
      <w:r w:rsidR="008E6A0F">
        <w:t>$10,997.50).</w:t>
      </w:r>
    </w:p>
  </w:footnote>
  <w:footnote w:id="8">
    <w:p w14:paraId="3C2B01E7" w14:textId="41FF8CC8" w:rsidR="003342CC" w:rsidRDefault="003342CC">
      <w:pPr>
        <w:pStyle w:val="FootnoteText"/>
      </w:pPr>
      <w:r>
        <w:rPr>
          <w:rStyle w:val="FootnoteReference"/>
        </w:rPr>
        <w:footnoteRef/>
      </w:r>
      <w:r>
        <w:t xml:space="preserve"> </w:t>
      </w:r>
      <w:r w:rsidR="00471144">
        <w:t>Mitchell’s 2024 total should be</w:t>
      </w:r>
      <w:r w:rsidR="001E00A7">
        <w:t xml:space="preserve"> $97,461.00 (214.20 x $455.00 = $97</w:t>
      </w:r>
      <w:r w:rsidR="00163232">
        <w:t>,461.00).</w:t>
      </w:r>
    </w:p>
  </w:footnote>
  <w:footnote w:id="9">
    <w:p w14:paraId="13417879" w14:textId="466A2400" w:rsidR="003342CC" w:rsidRDefault="003342CC" w:rsidP="00C83159">
      <w:pPr>
        <w:pStyle w:val="FootnoteText"/>
      </w:pPr>
      <w:r>
        <w:rPr>
          <w:rStyle w:val="FootnoteReference"/>
        </w:rPr>
        <w:footnoteRef/>
      </w:r>
      <w:r>
        <w:t xml:space="preserve"> </w:t>
      </w:r>
      <w:r w:rsidR="00471144">
        <w:t>Mitchell’s 2025 total should be</w:t>
      </w:r>
      <w:r w:rsidR="00E16A45">
        <w:t xml:space="preserve"> $8,996.10 (19.1 x $471.00 = $8,996.10).</w:t>
      </w:r>
    </w:p>
  </w:footnote>
  <w:footnote w:id="10">
    <w:p w14:paraId="6BC8DF99" w14:textId="3B5B359A" w:rsidR="008E6A0F" w:rsidRPr="0018544B" w:rsidRDefault="008E6A0F" w:rsidP="0018544B">
      <w:pPr>
        <w:pStyle w:val="FootnoteText"/>
        <w:rPr>
          <w:sz w:val="20"/>
        </w:rPr>
      </w:pPr>
      <w:r w:rsidRPr="0018544B">
        <w:rPr>
          <w:rStyle w:val="FootnoteReference"/>
          <w:sz w:val="20"/>
        </w:rPr>
        <w:footnoteRef/>
      </w:r>
      <w:r w:rsidRPr="0018544B">
        <w:rPr>
          <w:sz w:val="20"/>
        </w:rPr>
        <w:t xml:space="preserve"> MGRA’s Attorney, Expert, and Advocate Fees sh</w:t>
      </w:r>
      <w:r w:rsidR="001C58FA" w:rsidRPr="0018544B">
        <w:rPr>
          <w:sz w:val="20"/>
        </w:rPr>
        <w:t>ould be $145,855.10 (</w:t>
      </w:r>
      <w:r w:rsidR="00C7615E" w:rsidRPr="0018544B">
        <w:rPr>
          <w:sz w:val="20"/>
        </w:rPr>
        <w:t>$28,400.50 + $10,997.50 + $97,461.00 + $8,996.10 = $145,855.10).</w:t>
      </w:r>
    </w:p>
  </w:footnote>
  <w:footnote w:id="11">
    <w:p w14:paraId="330B8431" w14:textId="24A696AE" w:rsidR="00CC0BB8" w:rsidRPr="0018544B" w:rsidRDefault="00CC0BB8">
      <w:pPr>
        <w:pStyle w:val="FootnoteText"/>
        <w:rPr>
          <w:sz w:val="20"/>
        </w:rPr>
      </w:pPr>
      <w:r w:rsidRPr="0018544B">
        <w:rPr>
          <w:rStyle w:val="FootnoteReference"/>
          <w:sz w:val="20"/>
        </w:rPr>
        <w:footnoteRef/>
      </w:r>
      <w:r w:rsidRPr="0018544B">
        <w:rPr>
          <w:sz w:val="20"/>
        </w:rPr>
        <w:t xml:space="preserve"> The Commission </w:t>
      </w:r>
      <w:r w:rsidR="00A1296E" w:rsidRPr="0018544B">
        <w:rPr>
          <w:sz w:val="20"/>
        </w:rPr>
        <w:t>added a line for Other Fees for Mitchell.</w:t>
      </w:r>
    </w:p>
  </w:footnote>
  <w:footnote w:id="12">
    <w:p w14:paraId="44F28DB4" w14:textId="654CC5B9" w:rsidR="00B53D91" w:rsidRPr="0018544B" w:rsidRDefault="00B53D91">
      <w:pPr>
        <w:pStyle w:val="FootnoteText"/>
        <w:rPr>
          <w:sz w:val="20"/>
        </w:rPr>
      </w:pPr>
      <w:r w:rsidRPr="0018544B">
        <w:rPr>
          <w:rStyle w:val="FootnoteReference"/>
          <w:sz w:val="20"/>
        </w:rPr>
        <w:footnoteRef/>
      </w:r>
      <w:r w:rsidRPr="0018544B">
        <w:rPr>
          <w:sz w:val="20"/>
        </w:rPr>
        <w:t xml:space="preserve"> </w:t>
      </w:r>
      <w:r w:rsidR="006E0ED8" w:rsidRPr="0018544B">
        <w:rPr>
          <w:sz w:val="20"/>
        </w:rPr>
        <w:t>Mitchell’s Intervenor Compensation Claim Preparation total should be $</w:t>
      </w:r>
      <w:r w:rsidR="00F91F2D" w:rsidRPr="0018544B">
        <w:rPr>
          <w:sz w:val="20"/>
        </w:rPr>
        <w:t>4</w:t>
      </w:r>
      <w:r w:rsidR="008B4962" w:rsidRPr="0018544B">
        <w:rPr>
          <w:sz w:val="20"/>
        </w:rPr>
        <w:t>,</w:t>
      </w:r>
      <w:r w:rsidR="0040175B" w:rsidRPr="0018544B">
        <w:rPr>
          <w:sz w:val="20"/>
        </w:rPr>
        <w:t>602.00</w:t>
      </w:r>
      <w:r w:rsidR="006E0ED8" w:rsidRPr="0018544B">
        <w:rPr>
          <w:sz w:val="20"/>
        </w:rPr>
        <w:t xml:space="preserve"> (1</w:t>
      </w:r>
      <w:r w:rsidR="00F91F2D" w:rsidRPr="0018544B">
        <w:rPr>
          <w:sz w:val="20"/>
        </w:rPr>
        <w:t>9</w:t>
      </w:r>
      <w:r w:rsidR="006E0ED8" w:rsidRPr="0018544B">
        <w:rPr>
          <w:sz w:val="20"/>
        </w:rPr>
        <w:t>.</w:t>
      </w:r>
      <w:r w:rsidR="00F91F2D" w:rsidRPr="0018544B">
        <w:rPr>
          <w:sz w:val="20"/>
        </w:rPr>
        <w:t>5</w:t>
      </w:r>
      <w:r w:rsidR="006E0ED8" w:rsidRPr="0018544B">
        <w:rPr>
          <w:sz w:val="20"/>
        </w:rPr>
        <w:t>0 x $</w:t>
      </w:r>
      <w:r w:rsidR="00065226" w:rsidRPr="0018544B">
        <w:rPr>
          <w:sz w:val="20"/>
        </w:rPr>
        <w:t xml:space="preserve">236 </w:t>
      </w:r>
      <w:r w:rsidR="006E0ED8" w:rsidRPr="0018544B">
        <w:rPr>
          <w:sz w:val="20"/>
        </w:rPr>
        <w:t xml:space="preserve"> = $</w:t>
      </w:r>
      <w:r w:rsidR="0040175B" w:rsidRPr="0018544B">
        <w:rPr>
          <w:sz w:val="20"/>
        </w:rPr>
        <w:t>4,602.00</w:t>
      </w:r>
      <w:r w:rsidR="006E0ED8" w:rsidRPr="0018544B">
        <w:rPr>
          <w:sz w:val="20"/>
        </w:rPr>
        <w:t>).</w:t>
      </w:r>
    </w:p>
  </w:footnote>
  <w:footnote w:id="13">
    <w:p w14:paraId="1A3E96FA" w14:textId="4CE2EBBE" w:rsidR="00AA33E7" w:rsidRPr="0018544B" w:rsidRDefault="00AA33E7" w:rsidP="0018544B">
      <w:pPr>
        <w:pStyle w:val="FootnoteText"/>
        <w:rPr>
          <w:sz w:val="20"/>
        </w:rPr>
      </w:pPr>
      <w:r w:rsidRPr="0018544B">
        <w:rPr>
          <w:rStyle w:val="FootnoteReference"/>
          <w:sz w:val="20"/>
        </w:rPr>
        <w:footnoteRef/>
      </w:r>
      <w:r w:rsidRPr="0018544B">
        <w:rPr>
          <w:sz w:val="20"/>
        </w:rPr>
        <w:t xml:space="preserve"> </w:t>
      </w:r>
      <w:r w:rsidR="008B4962" w:rsidRPr="0018544B">
        <w:rPr>
          <w:sz w:val="20"/>
        </w:rPr>
        <w:t xml:space="preserve">MGRA’s Intervenor Compensation Claim Preparation subtotal should be </w:t>
      </w:r>
      <w:r w:rsidR="00C33D97" w:rsidRPr="0018544B">
        <w:rPr>
          <w:sz w:val="20"/>
        </w:rPr>
        <w:t>$5,</w:t>
      </w:r>
      <w:r w:rsidR="00445510" w:rsidRPr="0018544B">
        <w:rPr>
          <w:sz w:val="20"/>
        </w:rPr>
        <w:t>008</w:t>
      </w:r>
      <w:r w:rsidR="00C33D97" w:rsidRPr="0018544B">
        <w:rPr>
          <w:sz w:val="20"/>
        </w:rPr>
        <w:t>.</w:t>
      </w:r>
      <w:r w:rsidR="00445510" w:rsidRPr="0018544B">
        <w:rPr>
          <w:sz w:val="20"/>
        </w:rPr>
        <w:t>00</w:t>
      </w:r>
      <w:r w:rsidR="00C33D97" w:rsidRPr="0018544B">
        <w:rPr>
          <w:sz w:val="20"/>
        </w:rPr>
        <w:t xml:space="preserve"> ($</w:t>
      </w:r>
      <w:r w:rsidR="00445510" w:rsidRPr="0018544B">
        <w:rPr>
          <w:sz w:val="20"/>
        </w:rPr>
        <w:t>198.00</w:t>
      </w:r>
      <w:r w:rsidR="00C33D97" w:rsidRPr="0018544B">
        <w:rPr>
          <w:sz w:val="20"/>
        </w:rPr>
        <w:t xml:space="preserve"> + $20</w:t>
      </w:r>
      <w:r w:rsidR="00445510" w:rsidRPr="0018544B">
        <w:rPr>
          <w:sz w:val="20"/>
        </w:rPr>
        <w:t>8.00</w:t>
      </w:r>
      <w:r w:rsidR="00C33D97" w:rsidRPr="0018544B">
        <w:rPr>
          <w:sz w:val="20"/>
        </w:rPr>
        <w:t xml:space="preserve"> +</w:t>
      </w:r>
      <w:r w:rsidR="00263A6C" w:rsidRPr="0018544B">
        <w:rPr>
          <w:sz w:val="20"/>
        </w:rPr>
        <w:t xml:space="preserve"> $4,</w:t>
      </w:r>
      <w:r w:rsidR="00406146" w:rsidRPr="0018544B">
        <w:rPr>
          <w:sz w:val="20"/>
        </w:rPr>
        <w:t>602.00</w:t>
      </w:r>
      <w:r w:rsidR="00263A6C" w:rsidRPr="0018544B">
        <w:rPr>
          <w:sz w:val="20"/>
        </w:rPr>
        <w:t xml:space="preserve"> = $5,</w:t>
      </w:r>
      <w:r w:rsidR="00445510" w:rsidRPr="0018544B">
        <w:rPr>
          <w:sz w:val="20"/>
        </w:rPr>
        <w:t>008</w:t>
      </w:r>
      <w:r w:rsidR="00263A6C" w:rsidRPr="0018544B">
        <w:rPr>
          <w:sz w:val="20"/>
        </w:rPr>
        <w:t>.</w:t>
      </w:r>
      <w:r w:rsidR="00445510" w:rsidRPr="0018544B">
        <w:rPr>
          <w:sz w:val="20"/>
        </w:rPr>
        <w:t>00</w:t>
      </w:r>
      <w:r w:rsidR="00263A6C" w:rsidRPr="0018544B">
        <w:rPr>
          <w:sz w:val="20"/>
        </w:rPr>
        <w:t>).</w:t>
      </w:r>
    </w:p>
  </w:footnote>
  <w:footnote w:id="14">
    <w:p w14:paraId="6371B895" w14:textId="369E1E3E" w:rsidR="003F17E7" w:rsidRPr="0018544B" w:rsidRDefault="003F17E7">
      <w:pPr>
        <w:pStyle w:val="FootnoteText"/>
        <w:rPr>
          <w:sz w:val="20"/>
        </w:rPr>
      </w:pPr>
      <w:r w:rsidRPr="0018544B">
        <w:rPr>
          <w:rStyle w:val="FootnoteReference"/>
          <w:sz w:val="20"/>
        </w:rPr>
        <w:footnoteRef/>
      </w:r>
      <w:r w:rsidRPr="0018544B">
        <w:rPr>
          <w:sz w:val="20"/>
        </w:rPr>
        <w:t xml:space="preserve"> </w:t>
      </w:r>
      <w:r w:rsidR="00C210E8" w:rsidRPr="0018544B">
        <w:rPr>
          <w:sz w:val="20"/>
        </w:rPr>
        <w:t>MGRA’s total costs should be $1,308.02.</w:t>
      </w:r>
    </w:p>
  </w:footnote>
  <w:footnote w:id="15">
    <w:p w14:paraId="3EE69313" w14:textId="7F4AF563" w:rsidR="008451DA" w:rsidRDefault="008451DA" w:rsidP="0018544B">
      <w:pPr>
        <w:pStyle w:val="FootnoteText"/>
        <w:spacing w:after="0"/>
      </w:pPr>
      <w:r w:rsidRPr="0018544B">
        <w:rPr>
          <w:rStyle w:val="FootnoteReference"/>
          <w:sz w:val="20"/>
        </w:rPr>
        <w:footnoteRef/>
      </w:r>
      <w:r w:rsidRPr="0018544B">
        <w:rPr>
          <w:sz w:val="20"/>
        </w:rPr>
        <w:t xml:space="preserve"> </w:t>
      </w:r>
      <w:r w:rsidR="00621EC3" w:rsidRPr="0018544B">
        <w:rPr>
          <w:sz w:val="20"/>
        </w:rPr>
        <w:t>MGRA’s total request should be $</w:t>
      </w:r>
      <w:r w:rsidR="00087CF6" w:rsidRPr="0018544B">
        <w:rPr>
          <w:sz w:val="20"/>
        </w:rPr>
        <w:t>154,</w:t>
      </w:r>
      <w:r w:rsidR="00121BDB" w:rsidRPr="0018544B">
        <w:rPr>
          <w:sz w:val="20"/>
        </w:rPr>
        <w:t>055</w:t>
      </w:r>
      <w:r w:rsidR="00087CF6" w:rsidRPr="0018544B">
        <w:rPr>
          <w:sz w:val="20"/>
        </w:rPr>
        <w:t>.</w:t>
      </w:r>
      <w:r w:rsidR="00121BDB" w:rsidRPr="0018544B">
        <w:rPr>
          <w:sz w:val="20"/>
        </w:rPr>
        <w:t xml:space="preserve">12 ($145,855.10 + $1,884.00 + </w:t>
      </w:r>
      <w:r w:rsidR="009B452A" w:rsidRPr="0018544B">
        <w:rPr>
          <w:sz w:val="20"/>
        </w:rPr>
        <w:t>$5008.00 + $1,308.02 = $154,055.12)</w:t>
      </w:r>
      <w:r w:rsidR="00087CF6" w:rsidRPr="0018544B">
        <w:rPr>
          <w:sz w:val="20"/>
        </w:rPr>
        <w:t>.</w:t>
      </w:r>
    </w:p>
  </w:footnote>
  <w:footnote w:id="16">
    <w:p w14:paraId="31B5D75D" w14:textId="640AEDD5" w:rsidR="00041F69" w:rsidRPr="0018544B" w:rsidRDefault="00041F69">
      <w:pPr>
        <w:pStyle w:val="FootnoteText"/>
        <w:rPr>
          <w:sz w:val="20"/>
        </w:rPr>
      </w:pPr>
      <w:r w:rsidRPr="0018544B">
        <w:rPr>
          <w:rStyle w:val="FootnoteReference"/>
          <w:sz w:val="20"/>
        </w:rPr>
        <w:footnoteRef/>
      </w:r>
      <w:r w:rsidRPr="0018544B">
        <w:rPr>
          <w:sz w:val="20"/>
        </w:rPr>
        <w:t xml:space="preserve"> Attachments are not included in the final decision.</w:t>
      </w:r>
    </w:p>
  </w:footnote>
  <w:footnote w:id="17">
    <w:p w14:paraId="4B1AE87E" w14:textId="5560DC43" w:rsidR="005E0A3E" w:rsidRPr="0018544B" w:rsidRDefault="005E0A3E">
      <w:pPr>
        <w:pStyle w:val="FootnoteText"/>
        <w:rPr>
          <w:sz w:val="20"/>
        </w:rPr>
      </w:pPr>
      <w:r w:rsidRPr="0018544B">
        <w:rPr>
          <w:rStyle w:val="FootnoteReference"/>
          <w:sz w:val="20"/>
        </w:rPr>
        <w:footnoteRef/>
      </w:r>
      <w:r w:rsidRPr="0018544B">
        <w:rPr>
          <w:sz w:val="20"/>
        </w:rPr>
        <w:t xml:space="preserve"> D.07-01-009, D.08-04-010, and Resolution ALJ</w:t>
      </w:r>
      <w:r w:rsidR="005871A2" w:rsidRPr="0018544B">
        <w:rPr>
          <w:sz w:val="20"/>
        </w:rPr>
        <w:t>-</w:t>
      </w:r>
      <w:r w:rsidRPr="0018544B">
        <w:rPr>
          <w:sz w:val="20"/>
        </w:rPr>
        <w:t>235.</w:t>
      </w:r>
    </w:p>
  </w:footnote>
  <w:footnote w:id="18">
    <w:p w14:paraId="1B941D60" w14:textId="37F0F680" w:rsidR="006132D3" w:rsidRDefault="006132D3" w:rsidP="0018544B">
      <w:pPr>
        <w:pStyle w:val="FootnoteText"/>
        <w:spacing w:after="0"/>
      </w:pPr>
      <w:r w:rsidRPr="0018544B">
        <w:rPr>
          <w:rStyle w:val="FootnoteReference"/>
          <w:sz w:val="20"/>
        </w:rPr>
        <w:footnoteRef/>
      </w:r>
      <w:r w:rsidRPr="0018544B">
        <w:rPr>
          <w:sz w:val="20"/>
        </w:rPr>
        <w:t xml:space="preserve"> §1804(d).</w:t>
      </w:r>
    </w:p>
  </w:footnote>
  <w:footnote w:id="19">
    <w:p w14:paraId="41104A51" w14:textId="0EB14113" w:rsidR="003D409A" w:rsidRPr="003D409A" w:rsidRDefault="003D409A" w:rsidP="00DF72A0">
      <w:pPr>
        <w:pStyle w:val="FootnoteText"/>
        <w:spacing w:after="0"/>
      </w:pPr>
      <w:r>
        <w:rPr>
          <w:rStyle w:val="FootnoteReference"/>
        </w:rPr>
        <w:footnoteRef/>
      </w:r>
      <w:r>
        <w:t xml:space="preserve"> </w:t>
      </w:r>
      <w:r>
        <w:rPr>
          <w:i/>
          <w:iCs/>
        </w:rPr>
        <w:t xml:space="preserve">See </w:t>
      </w:r>
      <w:r w:rsidR="00A12348">
        <w:t>§1802(a)</w:t>
      </w:r>
      <w:r w:rsidR="00CB690A">
        <w:t>, (e)</w:t>
      </w:r>
      <w:r w:rsidR="00A12348">
        <w:t xml:space="preserve"> and Intervenor Compensation Program Guide at 4 and </w:t>
      </w:r>
      <w:r w:rsidR="0088762E">
        <w:t>23.</w:t>
      </w:r>
    </w:p>
  </w:footnote>
  <w:footnote w:id="20">
    <w:p w14:paraId="24DCCD72" w14:textId="0B614E75" w:rsidR="00637FB3" w:rsidRDefault="00637FB3" w:rsidP="0006735F">
      <w:pPr>
        <w:pStyle w:val="FootnoteText"/>
        <w:spacing w:after="0"/>
      </w:pPr>
      <w:r>
        <w:rPr>
          <w:rStyle w:val="FootnoteReference"/>
        </w:rPr>
        <w:footnoteRef/>
      </w:r>
      <w:r>
        <w:t xml:space="preserve"> </w:t>
      </w:r>
      <w:r w:rsidRPr="00637FB3">
        <w:t>MGRA’s total request should be $</w:t>
      </w:r>
      <w:r w:rsidR="00A95128" w:rsidRPr="00A95128">
        <w:t>154,055.12</w:t>
      </w:r>
      <w:r w:rsidRPr="00637FB3">
        <w:t>, as discussed in the footnotes of Part III.B.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6381" w14:textId="7B5A73C9" w:rsidR="00AE752D" w:rsidRDefault="00AE752D">
    <w:pPr>
      <w:pStyle w:val="Header"/>
    </w:pPr>
    <w:r w:rsidRPr="00AE752D">
      <w:t>A.22-05-013/A.23-05-010</w:t>
    </w:r>
    <w:r>
      <w:t>  </w:t>
    </w:r>
    <w:r w:rsidRPr="00AE752D">
      <w:t>ALJ/RL8/abb</w:t>
    </w:r>
  </w:p>
  <w:p w14:paraId="652AF3AD" w14:textId="77777777" w:rsidR="00AE752D" w:rsidRDefault="00AE752D">
    <w:pPr>
      <w:pStyle w:val="Header"/>
    </w:pPr>
  </w:p>
  <w:p w14:paraId="2C33B9EE" w14:textId="77777777" w:rsidR="00AE752D" w:rsidRDefault="00AE7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D4BD" w14:textId="77777777" w:rsidR="00133A05" w:rsidRDefault="00133A05">
    <w:pPr>
      <w:pStyle w:val="Header"/>
    </w:pPr>
  </w:p>
  <w:p w14:paraId="6FD73B43" w14:textId="77777777" w:rsidR="00133A05" w:rsidRDefault="00133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E6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661C4"/>
    <w:multiLevelType w:val="hybridMultilevel"/>
    <w:tmpl w:val="A5F8B82E"/>
    <w:lvl w:ilvl="0" w:tplc="58ECDC5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458E8"/>
    <w:multiLevelType w:val="hybridMultilevel"/>
    <w:tmpl w:val="8C54F2EA"/>
    <w:lvl w:ilvl="0" w:tplc="58ECDC5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946A9"/>
    <w:multiLevelType w:val="hybridMultilevel"/>
    <w:tmpl w:val="60AC0568"/>
    <w:lvl w:ilvl="0" w:tplc="DAA6AB9C">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12"/>
  </w:num>
  <w:num w:numId="2" w16cid:durableId="296566636">
    <w:abstractNumId w:val="2"/>
  </w:num>
  <w:num w:numId="3" w16cid:durableId="2098595014">
    <w:abstractNumId w:val="13"/>
  </w:num>
  <w:num w:numId="4" w16cid:durableId="1312905431">
    <w:abstractNumId w:val="9"/>
  </w:num>
  <w:num w:numId="5" w16cid:durableId="417093550">
    <w:abstractNumId w:val="7"/>
  </w:num>
  <w:num w:numId="6" w16cid:durableId="1486429129">
    <w:abstractNumId w:val="11"/>
  </w:num>
  <w:num w:numId="7" w16cid:durableId="258221757">
    <w:abstractNumId w:val="8"/>
  </w:num>
  <w:num w:numId="8" w16cid:durableId="842936081">
    <w:abstractNumId w:val="10"/>
  </w:num>
  <w:num w:numId="9" w16cid:durableId="1685205339">
    <w:abstractNumId w:val="3"/>
  </w:num>
  <w:num w:numId="10" w16cid:durableId="789317941">
    <w:abstractNumId w:val="6"/>
  </w:num>
  <w:num w:numId="11" w16cid:durableId="399787673">
    <w:abstractNumId w:val="0"/>
  </w:num>
  <w:num w:numId="12" w16cid:durableId="68385767">
    <w:abstractNumId w:val="5"/>
  </w:num>
  <w:num w:numId="13" w16cid:durableId="1282687234">
    <w:abstractNumId w:val="4"/>
  </w:num>
  <w:num w:numId="14" w16cid:durableId="688488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0618E"/>
    <w:rsid w:val="00014ADB"/>
    <w:rsid w:val="0001643D"/>
    <w:rsid w:val="00026A15"/>
    <w:rsid w:val="00030ECF"/>
    <w:rsid w:val="00033015"/>
    <w:rsid w:val="00034492"/>
    <w:rsid w:val="00036EFD"/>
    <w:rsid w:val="00036F54"/>
    <w:rsid w:val="00041F69"/>
    <w:rsid w:val="00042014"/>
    <w:rsid w:val="000423E6"/>
    <w:rsid w:val="00045A2F"/>
    <w:rsid w:val="00052523"/>
    <w:rsid w:val="0005289D"/>
    <w:rsid w:val="0005331D"/>
    <w:rsid w:val="0005538D"/>
    <w:rsid w:val="00055843"/>
    <w:rsid w:val="00056B2D"/>
    <w:rsid w:val="00057E00"/>
    <w:rsid w:val="00063DD1"/>
    <w:rsid w:val="00065097"/>
    <w:rsid w:val="00065226"/>
    <w:rsid w:val="0006735F"/>
    <w:rsid w:val="00072C81"/>
    <w:rsid w:val="00073262"/>
    <w:rsid w:val="0008570C"/>
    <w:rsid w:val="00087CF6"/>
    <w:rsid w:val="000924D9"/>
    <w:rsid w:val="000924FB"/>
    <w:rsid w:val="000971C0"/>
    <w:rsid w:val="000A5E09"/>
    <w:rsid w:val="000B12FB"/>
    <w:rsid w:val="000B20CA"/>
    <w:rsid w:val="000B2F40"/>
    <w:rsid w:val="000B36F6"/>
    <w:rsid w:val="000C0E0F"/>
    <w:rsid w:val="000C4CCF"/>
    <w:rsid w:val="000D2627"/>
    <w:rsid w:val="000D2762"/>
    <w:rsid w:val="000D6CA0"/>
    <w:rsid w:val="000D6DF8"/>
    <w:rsid w:val="000D7C7E"/>
    <w:rsid w:val="000E41D9"/>
    <w:rsid w:val="000E6ABD"/>
    <w:rsid w:val="000F2831"/>
    <w:rsid w:val="000F3A47"/>
    <w:rsid w:val="000F595C"/>
    <w:rsid w:val="000F6716"/>
    <w:rsid w:val="000F7670"/>
    <w:rsid w:val="00101D29"/>
    <w:rsid w:val="00102827"/>
    <w:rsid w:val="0010480F"/>
    <w:rsid w:val="00105BF6"/>
    <w:rsid w:val="00110761"/>
    <w:rsid w:val="00110D89"/>
    <w:rsid w:val="001118C7"/>
    <w:rsid w:val="00112396"/>
    <w:rsid w:val="001133CF"/>
    <w:rsid w:val="0011390F"/>
    <w:rsid w:val="00115623"/>
    <w:rsid w:val="00116215"/>
    <w:rsid w:val="001216DA"/>
    <w:rsid w:val="00121BDB"/>
    <w:rsid w:val="00122AEA"/>
    <w:rsid w:val="00123103"/>
    <w:rsid w:val="001235E9"/>
    <w:rsid w:val="0012420A"/>
    <w:rsid w:val="00124DCB"/>
    <w:rsid w:val="00125355"/>
    <w:rsid w:val="00125492"/>
    <w:rsid w:val="00126C14"/>
    <w:rsid w:val="001314C7"/>
    <w:rsid w:val="00133161"/>
    <w:rsid w:val="00133A05"/>
    <w:rsid w:val="001346EB"/>
    <w:rsid w:val="0013487E"/>
    <w:rsid w:val="001361C5"/>
    <w:rsid w:val="00141A4E"/>
    <w:rsid w:val="00151AA8"/>
    <w:rsid w:val="00152F94"/>
    <w:rsid w:val="00153403"/>
    <w:rsid w:val="00163232"/>
    <w:rsid w:val="00163ED4"/>
    <w:rsid w:val="001671E0"/>
    <w:rsid w:val="00171EBF"/>
    <w:rsid w:val="00175865"/>
    <w:rsid w:val="00177212"/>
    <w:rsid w:val="00180E8C"/>
    <w:rsid w:val="00181058"/>
    <w:rsid w:val="0018544B"/>
    <w:rsid w:val="00195372"/>
    <w:rsid w:val="001962EB"/>
    <w:rsid w:val="001A0264"/>
    <w:rsid w:val="001A3CF3"/>
    <w:rsid w:val="001A7BFA"/>
    <w:rsid w:val="001B1F2D"/>
    <w:rsid w:val="001B20BD"/>
    <w:rsid w:val="001B2A21"/>
    <w:rsid w:val="001B352E"/>
    <w:rsid w:val="001B35FE"/>
    <w:rsid w:val="001B4565"/>
    <w:rsid w:val="001C0DC1"/>
    <w:rsid w:val="001C0DD1"/>
    <w:rsid w:val="001C21AE"/>
    <w:rsid w:val="001C4214"/>
    <w:rsid w:val="001C4B25"/>
    <w:rsid w:val="001C58FA"/>
    <w:rsid w:val="001C732B"/>
    <w:rsid w:val="001D0C46"/>
    <w:rsid w:val="001D2430"/>
    <w:rsid w:val="001D3ED2"/>
    <w:rsid w:val="001D5DAB"/>
    <w:rsid w:val="001D6903"/>
    <w:rsid w:val="001E00A7"/>
    <w:rsid w:val="001E41AF"/>
    <w:rsid w:val="001E77CF"/>
    <w:rsid w:val="001E7AF2"/>
    <w:rsid w:val="001E7EE2"/>
    <w:rsid w:val="001F238E"/>
    <w:rsid w:val="001F3439"/>
    <w:rsid w:val="001F3841"/>
    <w:rsid w:val="001F3A13"/>
    <w:rsid w:val="001F6F09"/>
    <w:rsid w:val="00204E3A"/>
    <w:rsid w:val="00207302"/>
    <w:rsid w:val="00212D16"/>
    <w:rsid w:val="00212DBD"/>
    <w:rsid w:val="00212E10"/>
    <w:rsid w:val="00214B22"/>
    <w:rsid w:val="00217224"/>
    <w:rsid w:val="0022302F"/>
    <w:rsid w:val="00223509"/>
    <w:rsid w:val="00230392"/>
    <w:rsid w:val="002336F5"/>
    <w:rsid w:val="00235CC6"/>
    <w:rsid w:val="00235EF2"/>
    <w:rsid w:val="002415DC"/>
    <w:rsid w:val="00243802"/>
    <w:rsid w:val="002466F8"/>
    <w:rsid w:val="00256F00"/>
    <w:rsid w:val="00260518"/>
    <w:rsid w:val="0026254A"/>
    <w:rsid w:val="00262A76"/>
    <w:rsid w:val="00263A6C"/>
    <w:rsid w:val="00264333"/>
    <w:rsid w:val="00265F48"/>
    <w:rsid w:val="00265FC1"/>
    <w:rsid w:val="00270E2E"/>
    <w:rsid w:val="00271AB1"/>
    <w:rsid w:val="0027301B"/>
    <w:rsid w:val="00273208"/>
    <w:rsid w:val="00276432"/>
    <w:rsid w:val="0028251C"/>
    <w:rsid w:val="00283ECB"/>
    <w:rsid w:val="0028657C"/>
    <w:rsid w:val="00295E9C"/>
    <w:rsid w:val="002A2693"/>
    <w:rsid w:val="002A493E"/>
    <w:rsid w:val="002A5725"/>
    <w:rsid w:val="002A6C07"/>
    <w:rsid w:val="002A7AD1"/>
    <w:rsid w:val="002B2206"/>
    <w:rsid w:val="002B39ED"/>
    <w:rsid w:val="002B76BD"/>
    <w:rsid w:val="002C1283"/>
    <w:rsid w:val="002C2AD0"/>
    <w:rsid w:val="002C3A22"/>
    <w:rsid w:val="002C60B8"/>
    <w:rsid w:val="002C6CE0"/>
    <w:rsid w:val="002D21CA"/>
    <w:rsid w:val="002D318D"/>
    <w:rsid w:val="002D53AA"/>
    <w:rsid w:val="002D5893"/>
    <w:rsid w:val="002D76EF"/>
    <w:rsid w:val="002E3851"/>
    <w:rsid w:val="002E4774"/>
    <w:rsid w:val="002E58AC"/>
    <w:rsid w:val="002E5F83"/>
    <w:rsid w:val="002E6ADA"/>
    <w:rsid w:val="002E7064"/>
    <w:rsid w:val="002E77D8"/>
    <w:rsid w:val="002F7A7B"/>
    <w:rsid w:val="0030281F"/>
    <w:rsid w:val="00303C2B"/>
    <w:rsid w:val="00305ED3"/>
    <w:rsid w:val="00326766"/>
    <w:rsid w:val="003324F9"/>
    <w:rsid w:val="00333DFA"/>
    <w:rsid w:val="003342CC"/>
    <w:rsid w:val="003357E1"/>
    <w:rsid w:val="003368B5"/>
    <w:rsid w:val="00340842"/>
    <w:rsid w:val="00343ECF"/>
    <w:rsid w:val="00350139"/>
    <w:rsid w:val="003501DD"/>
    <w:rsid w:val="00354A14"/>
    <w:rsid w:val="00354CDA"/>
    <w:rsid w:val="0035626E"/>
    <w:rsid w:val="00356CCD"/>
    <w:rsid w:val="00357623"/>
    <w:rsid w:val="00357885"/>
    <w:rsid w:val="00357F1A"/>
    <w:rsid w:val="003615AB"/>
    <w:rsid w:val="00361D2B"/>
    <w:rsid w:val="0036292D"/>
    <w:rsid w:val="0036407B"/>
    <w:rsid w:val="00366E22"/>
    <w:rsid w:val="00374FD1"/>
    <w:rsid w:val="00377884"/>
    <w:rsid w:val="00377EE2"/>
    <w:rsid w:val="00380703"/>
    <w:rsid w:val="00380F0B"/>
    <w:rsid w:val="00381A11"/>
    <w:rsid w:val="00381BC8"/>
    <w:rsid w:val="0039430B"/>
    <w:rsid w:val="003A04A6"/>
    <w:rsid w:val="003A144F"/>
    <w:rsid w:val="003A3185"/>
    <w:rsid w:val="003A349F"/>
    <w:rsid w:val="003A748A"/>
    <w:rsid w:val="003B0162"/>
    <w:rsid w:val="003B1782"/>
    <w:rsid w:val="003B363F"/>
    <w:rsid w:val="003B4EEC"/>
    <w:rsid w:val="003B5EAC"/>
    <w:rsid w:val="003B6A1B"/>
    <w:rsid w:val="003C608A"/>
    <w:rsid w:val="003D30B8"/>
    <w:rsid w:val="003D359B"/>
    <w:rsid w:val="003D3A85"/>
    <w:rsid w:val="003D409A"/>
    <w:rsid w:val="003D4455"/>
    <w:rsid w:val="003E0196"/>
    <w:rsid w:val="003E2726"/>
    <w:rsid w:val="003E3062"/>
    <w:rsid w:val="003E34FD"/>
    <w:rsid w:val="003E7451"/>
    <w:rsid w:val="003F17E7"/>
    <w:rsid w:val="003F5C34"/>
    <w:rsid w:val="003F6551"/>
    <w:rsid w:val="003F6839"/>
    <w:rsid w:val="003F7084"/>
    <w:rsid w:val="0040175B"/>
    <w:rsid w:val="00402710"/>
    <w:rsid w:val="00403EDB"/>
    <w:rsid w:val="00406146"/>
    <w:rsid w:val="00414B1C"/>
    <w:rsid w:val="00417F9C"/>
    <w:rsid w:val="004220FF"/>
    <w:rsid w:val="004221D7"/>
    <w:rsid w:val="0042356E"/>
    <w:rsid w:val="004313DF"/>
    <w:rsid w:val="00431585"/>
    <w:rsid w:val="004351B2"/>
    <w:rsid w:val="00435C30"/>
    <w:rsid w:val="00443CDD"/>
    <w:rsid w:val="00445510"/>
    <w:rsid w:val="0044733D"/>
    <w:rsid w:val="0045054E"/>
    <w:rsid w:val="004534E7"/>
    <w:rsid w:val="0045793B"/>
    <w:rsid w:val="00457FD8"/>
    <w:rsid w:val="004606C2"/>
    <w:rsid w:val="00461737"/>
    <w:rsid w:val="0046248A"/>
    <w:rsid w:val="004649F8"/>
    <w:rsid w:val="00464AE2"/>
    <w:rsid w:val="00466405"/>
    <w:rsid w:val="00466E6E"/>
    <w:rsid w:val="00467E65"/>
    <w:rsid w:val="00471144"/>
    <w:rsid w:val="00474263"/>
    <w:rsid w:val="00476311"/>
    <w:rsid w:val="004764FD"/>
    <w:rsid w:val="00480BF6"/>
    <w:rsid w:val="004824C7"/>
    <w:rsid w:val="004840D2"/>
    <w:rsid w:val="004846D6"/>
    <w:rsid w:val="00493543"/>
    <w:rsid w:val="00493797"/>
    <w:rsid w:val="004A1BCA"/>
    <w:rsid w:val="004A64F1"/>
    <w:rsid w:val="004A68FE"/>
    <w:rsid w:val="004A6FD4"/>
    <w:rsid w:val="004B0A53"/>
    <w:rsid w:val="004B3299"/>
    <w:rsid w:val="004B42BB"/>
    <w:rsid w:val="004B777A"/>
    <w:rsid w:val="004C0961"/>
    <w:rsid w:val="004C2E41"/>
    <w:rsid w:val="004C39A1"/>
    <w:rsid w:val="004D6B6D"/>
    <w:rsid w:val="004D779D"/>
    <w:rsid w:val="004E016D"/>
    <w:rsid w:val="004E0395"/>
    <w:rsid w:val="004E3939"/>
    <w:rsid w:val="004E3D93"/>
    <w:rsid w:val="004E55D9"/>
    <w:rsid w:val="004E5E6D"/>
    <w:rsid w:val="004F28B4"/>
    <w:rsid w:val="00512153"/>
    <w:rsid w:val="00514318"/>
    <w:rsid w:val="00516CE7"/>
    <w:rsid w:val="005215EF"/>
    <w:rsid w:val="00521B86"/>
    <w:rsid w:val="00524F25"/>
    <w:rsid w:val="0052776A"/>
    <w:rsid w:val="00527FDB"/>
    <w:rsid w:val="00531793"/>
    <w:rsid w:val="00533373"/>
    <w:rsid w:val="005378CD"/>
    <w:rsid w:val="00546079"/>
    <w:rsid w:val="00547145"/>
    <w:rsid w:val="005502D6"/>
    <w:rsid w:val="00551967"/>
    <w:rsid w:val="0055228B"/>
    <w:rsid w:val="00552451"/>
    <w:rsid w:val="00552D74"/>
    <w:rsid w:val="00557925"/>
    <w:rsid w:val="00557B88"/>
    <w:rsid w:val="00570263"/>
    <w:rsid w:val="0057088A"/>
    <w:rsid w:val="0057381E"/>
    <w:rsid w:val="00575494"/>
    <w:rsid w:val="005778E3"/>
    <w:rsid w:val="005812EB"/>
    <w:rsid w:val="00581A36"/>
    <w:rsid w:val="0058378A"/>
    <w:rsid w:val="00583C88"/>
    <w:rsid w:val="00583DF7"/>
    <w:rsid w:val="005853FD"/>
    <w:rsid w:val="005871A2"/>
    <w:rsid w:val="005912FA"/>
    <w:rsid w:val="0059289A"/>
    <w:rsid w:val="00595AAD"/>
    <w:rsid w:val="00595D51"/>
    <w:rsid w:val="0059745B"/>
    <w:rsid w:val="005A0575"/>
    <w:rsid w:val="005A3018"/>
    <w:rsid w:val="005A53F1"/>
    <w:rsid w:val="005A54E4"/>
    <w:rsid w:val="005A63D4"/>
    <w:rsid w:val="005A65C2"/>
    <w:rsid w:val="005A76B2"/>
    <w:rsid w:val="005B4142"/>
    <w:rsid w:val="005B5B44"/>
    <w:rsid w:val="005C18F8"/>
    <w:rsid w:val="005C327F"/>
    <w:rsid w:val="005C3B65"/>
    <w:rsid w:val="005C5D89"/>
    <w:rsid w:val="005D0BA7"/>
    <w:rsid w:val="005D17E1"/>
    <w:rsid w:val="005D40D8"/>
    <w:rsid w:val="005D6574"/>
    <w:rsid w:val="005D756B"/>
    <w:rsid w:val="005E0A11"/>
    <w:rsid w:val="005E0A3E"/>
    <w:rsid w:val="005E1382"/>
    <w:rsid w:val="005F4D82"/>
    <w:rsid w:val="00602929"/>
    <w:rsid w:val="006132D3"/>
    <w:rsid w:val="006164EB"/>
    <w:rsid w:val="006178EF"/>
    <w:rsid w:val="00621A7C"/>
    <w:rsid w:val="00621EC3"/>
    <w:rsid w:val="006346A7"/>
    <w:rsid w:val="00637FB3"/>
    <w:rsid w:val="00643651"/>
    <w:rsid w:val="00644B6F"/>
    <w:rsid w:val="0065087E"/>
    <w:rsid w:val="006509E0"/>
    <w:rsid w:val="006515EB"/>
    <w:rsid w:val="00652DEA"/>
    <w:rsid w:val="00653606"/>
    <w:rsid w:val="00660D7E"/>
    <w:rsid w:val="006637D2"/>
    <w:rsid w:val="0066597D"/>
    <w:rsid w:val="00673595"/>
    <w:rsid w:val="00673EB1"/>
    <w:rsid w:val="0067412B"/>
    <w:rsid w:val="00681D04"/>
    <w:rsid w:val="00681DDE"/>
    <w:rsid w:val="00691528"/>
    <w:rsid w:val="00692738"/>
    <w:rsid w:val="00696ECF"/>
    <w:rsid w:val="006A1826"/>
    <w:rsid w:val="006A25EE"/>
    <w:rsid w:val="006A2AEE"/>
    <w:rsid w:val="006A7272"/>
    <w:rsid w:val="006B0058"/>
    <w:rsid w:val="006B0BC7"/>
    <w:rsid w:val="006B17CE"/>
    <w:rsid w:val="006B385C"/>
    <w:rsid w:val="006B44E7"/>
    <w:rsid w:val="006B5F33"/>
    <w:rsid w:val="006B7228"/>
    <w:rsid w:val="006B7375"/>
    <w:rsid w:val="006C2C57"/>
    <w:rsid w:val="006C6937"/>
    <w:rsid w:val="006D0539"/>
    <w:rsid w:val="006D1BE0"/>
    <w:rsid w:val="006D46F4"/>
    <w:rsid w:val="006D4B0E"/>
    <w:rsid w:val="006D67C9"/>
    <w:rsid w:val="006E0ED8"/>
    <w:rsid w:val="006E17B7"/>
    <w:rsid w:val="006E294A"/>
    <w:rsid w:val="006E2AF0"/>
    <w:rsid w:val="006E4A36"/>
    <w:rsid w:val="006E7339"/>
    <w:rsid w:val="006F53C6"/>
    <w:rsid w:val="006F6F85"/>
    <w:rsid w:val="007029EF"/>
    <w:rsid w:val="00703D5A"/>
    <w:rsid w:val="00704918"/>
    <w:rsid w:val="007053BC"/>
    <w:rsid w:val="007056FC"/>
    <w:rsid w:val="00710E48"/>
    <w:rsid w:val="007132CD"/>
    <w:rsid w:val="00716D7A"/>
    <w:rsid w:val="0071710E"/>
    <w:rsid w:val="00722298"/>
    <w:rsid w:val="00725A15"/>
    <w:rsid w:val="00726279"/>
    <w:rsid w:val="0072787E"/>
    <w:rsid w:val="00730060"/>
    <w:rsid w:val="00730266"/>
    <w:rsid w:val="0073360A"/>
    <w:rsid w:val="007356E3"/>
    <w:rsid w:val="00736053"/>
    <w:rsid w:val="0073699A"/>
    <w:rsid w:val="00740A7C"/>
    <w:rsid w:val="00744596"/>
    <w:rsid w:val="0074472B"/>
    <w:rsid w:val="00745A67"/>
    <w:rsid w:val="00745A99"/>
    <w:rsid w:val="0074620B"/>
    <w:rsid w:val="00754398"/>
    <w:rsid w:val="00755743"/>
    <w:rsid w:val="00755C28"/>
    <w:rsid w:val="00756256"/>
    <w:rsid w:val="00757072"/>
    <w:rsid w:val="00757B44"/>
    <w:rsid w:val="00760970"/>
    <w:rsid w:val="007634D0"/>
    <w:rsid w:val="00763797"/>
    <w:rsid w:val="007640B2"/>
    <w:rsid w:val="007649EB"/>
    <w:rsid w:val="00765CB7"/>
    <w:rsid w:val="007660F6"/>
    <w:rsid w:val="00773B8B"/>
    <w:rsid w:val="00775DDC"/>
    <w:rsid w:val="00780288"/>
    <w:rsid w:val="00780C7B"/>
    <w:rsid w:val="0078465A"/>
    <w:rsid w:val="00784F85"/>
    <w:rsid w:val="00786CAD"/>
    <w:rsid w:val="0079030E"/>
    <w:rsid w:val="007917AC"/>
    <w:rsid w:val="007938CD"/>
    <w:rsid w:val="007A3B99"/>
    <w:rsid w:val="007A3FCC"/>
    <w:rsid w:val="007A4A50"/>
    <w:rsid w:val="007A68CA"/>
    <w:rsid w:val="007A74EA"/>
    <w:rsid w:val="007B23F5"/>
    <w:rsid w:val="007B4E5A"/>
    <w:rsid w:val="007B521E"/>
    <w:rsid w:val="007C1B69"/>
    <w:rsid w:val="007C288B"/>
    <w:rsid w:val="007D049D"/>
    <w:rsid w:val="007D0607"/>
    <w:rsid w:val="007D1C3B"/>
    <w:rsid w:val="007D258C"/>
    <w:rsid w:val="007D48A5"/>
    <w:rsid w:val="007D5365"/>
    <w:rsid w:val="007D54E6"/>
    <w:rsid w:val="007E2D54"/>
    <w:rsid w:val="007E71C3"/>
    <w:rsid w:val="007E766C"/>
    <w:rsid w:val="007F620E"/>
    <w:rsid w:val="007F6CF5"/>
    <w:rsid w:val="00801ADE"/>
    <w:rsid w:val="00802101"/>
    <w:rsid w:val="00802701"/>
    <w:rsid w:val="00802E95"/>
    <w:rsid w:val="00802F2E"/>
    <w:rsid w:val="008113DF"/>
    <w:rsid w:val="00811DB1"/>
    <w:rsid w:val="008158AC"/>
    <w:rsid w:val="00815F1F"/>
    <w:rsid w:val="0081626F"/>
    <w:rsid w:val="00830A7A"/>
    <w:rsid w:val="00831652"/>
    <w:rsid w:val="00831C70"/>
    <w:rsid w:val="008329AD"/>
    <w:rsid w:val="0083350A"/>
    <w:rsid w:val="0083442F"/>
    <w:rsid w:val="008360EC"/>
    <w:rsid w:val="008400EA"/>
    <w:rsid w:val="00840BC4"/>
    <w:rsid w:val="00842902"/>
    <w:rsid w:val="00843A12"/>
    <w:rsid w:val="00843F1F"/>
    <w:rsid w:val="008451DA"/>
    <w:rsid w:val="008458BA"/>
    <w:rsid w:val="00855FD7"/>
    <w:rsid w:val="0085660D"/>
    <w:rsid w:val="00867C57"/>
    <w:rsid w:val="00873A67"/>
    <w:rsid w:val="00880855"/>
    <w:rsid w:val="0088252B"/>
    <w:rsid w:val="00883BEA"/>
    <w:rsid w:val="008844B6"/>
    <w:rsid w:val="00885956"/>
    <w:rsid w:val="00885F26"/>
    <w:rsid w:val="00886869"/>
    <w:rsid w:val="0088762E"/>
    <w:rsid w:val="008907A3"/>
    <w:rsid w:val="008963D3"/>
    <w:rsid w:val="00896710"/>
    <w:rsid w:val="008971AE"/>
    <w:rsid w:val="00897BFF"/>
    <w:rsid w:val="008A1553"/>
    <w:rsid w:val="008A7D11"/>
    <w:rsid w:val="008A7F4C"/>
    <w:rsid w:val="008B16C0"/>
    <w:rsid w:val="008B1F8D"/>
    <w:rsid w:val="008B2861"/>
    <w:rsid w:val="008B4962"/>
    <w:rsid w:val="008B67E2"/>
    <w:rsid w:val="008C0407"/>
    <w:rsid w:val="008C09F7"/>
    <w:rsid w:val="008C2208"/>
    <w:rsid w:val="008C3D70"/>
    <w:rsid w:val="008C425F"/>
    <w:rsid w:val="008D04D7"/>
    <w:rsid w:val="008D5202"/>
    <w:rsid w:val="008D5BD7"/>
    <w:rsid w:val="008E09FA"/>
    <w:rsid w:val="008E182E"/>
    <w:rsid w:val="008E3450"/>
    <w:rsid w:val="008E4336"/>
    <w:rsid w:val="008E4FC3"/>
    <w:rsid w:val="008E6A0F"/>
    <w:rsid w:val="008E7787"/>
    <w:rsid w:val="008F2E96"/>
    <w:rsid w:val="008F35C0"/>
    <w:rsid w:val="008F3D31"/>
    <w:rsid w:val="0090659D"/>
    <w:rsid w:val="00915118"/>
    <w:rsid w:val="00917891"/>
    <w:rsid w:val="00917F56"/>
    <w:rsid w:val="0092088D"/>
    <w:rsid w:val="009241AA"/>
    <w:rsid w:val="00925FAB"/>
    <w:rsid w:val="00930B6A"/>
    <w:rsid w:val="00932915"/>
    <w:rsid w:val="0093299E"/>
    <w:rsid w:val="009359E4"/>
    <w:rsid w:val="00937E13"/>
    <w:rsid w:val="0094707B"/>
    <w:rsid w:val="00951C03"/>
    <w:rsid w:val="00953953"/>
    <w:rsid w:val="00954AB4"/>
    <w:rsid w:val="00957DFC"/>
    <w:rsid w:val="00962701"/>
    <w:rsid w:val="009632AD"/>
    <w:rsid w:val="00963EEF"/>
    <w:rsid w:val="00967A1D"/>
    <w:rsid w:val="00975B80"/>
    <w:rsid w:val="00975D1F"/>
    <w:rsid w:val="009763E4"/>
    <w:rsid w:val="009775FD"/>
    <w:rsid w:val="00980A59"/>
    <w:rsid w:val="00981F63"/>
    <w:rsid w:val="00982014"/>
    <w:rsid w:val="00986BD7"/>
    <w:rsid w:val="0099213C"/>
    <w:rsid w:val="009A3F2D"/>
    <w:rsid w:val="009A62F6"/>
    <w:rsid w:val="009B452A"/>
    <w:rsid w:val="009C285C"/>
    <w:rsid w:val="009C2ACD"/>
    <w:rsid w:val="009D549B"/>
    <w:rsid w:val="009D5F27"/>
    <w:rsid w:val="009D66FE"/>
    <w:rsid w:val="009E4122"/>
    <w:rsid w:val="009E48E4"/>
    <w:rsid w:val="009E497C"/>
    <w:rsid w:val="009E78F5"/>
    <w:rsid w:val="009E7F36"/>
    <w:rsid w:val="009F1B51"/>
    <w:rsid w:val="009F2B80"/>
    <w:rsid w:val="00A012DE"/>
    <w:rsid w:val="00A0282F"/>
    <w:rsid w:val="00A07A96"/>
    <w:rsid w:val="00A12348"/>
    <w:rsid w:val="00A1296E"/>
    <w:rsid w:val="00A22ECA"/>
    <w:rsid w:val="00A237EF"/>
    <w:rsid w:val="00A23930"/>
    <w:rsid w:val="00A240D0"/>
    <w:rsid w:val="00A24E91"/>
    <w:rsid w:val="00A30ABE"/>
    <w:rsid w:val="00A319DE"/>
    <w:rsid w:val="00A371A6"/>
    <w:rsid w:val="00A374DB"/>
    <w:rsid w:val="00A60203"/>
    <w:rsid w:val="00A61481"/>
    <w:rsid w:val="00A63C8A"/>
    <w:rsid w:val="00A64E06"/>
    <w:rsid w:val="00A65BF2"/>
    <w:rsid w:val="00A67E89"/>
    <w:rsid w:val="00A73817"/>
    <w:rsid w:val="00A74401"/>
    <w:rsid w:val="00A75946"/>
    <w:rsid w:val="00A75CD9"/>
    <w:rsid w:val="00A75D2D"/>
    <w:rsid w:val="00A8404F"/>
    <w:rsid w:val="00A86489"/>
    <w:rsid w:val="00A86988"/>
    <w:rsid w:val="00A9064A"/>
    <w:rsid w:val="00A90E9B"/>
    <w:rsid w:val="00A910F1"/>
    <w:rsid w:val="00A92D0B"/>
    <w:rsid w:val="00A95128"/>
    <w:rsid w:val="00A959E8"/>
    <w:rsid w:val="00AA1740"/>
    <w:rsid w:val="00AA20BD"/>
    <w:rsid w:val="00AA33E7"/>
    <w:rsid w:val="00AA6EDB"/>
    <w:rsid w:val="00AB16E6"/>
    <w:rsid w:val="00AB2F7F"/>
    <w:rsid w:val="00AB3019"/>
    <w:rsid w:val="00AB30A2"/>
    <w:rsid w:val="00AB3510"/>
    <w:rsid w:val="00AB5D25"/>
    <w:rsid w:val="00AC1B04"/>
    <w:rsid w:val="00AC5A4B"/>
    <w:rsid w:val="00AC6CCF"/>
    <w:rsid w:val="00AC6D0A"/>
    <w:rsid w:val="00AC78AE"/>
    <w:rsid w:val="00AD1BD0"/>
    <w:rsid w:val="00AD2F59"/>
    <w:rsid w:val="00AD5797"/>
    <w:rsid w:val="00AD6184"/>
    <w:rsid w:val="00AD742A"/>
    <w:rsid w:val="00AE0709"/>
    <w:rsid w:val="00AE3928"/>
    <w:rsid w:val="00AE429F"/>
    <w:rsid w:val="00AE6488"/>
    <w:rsid w:val="00AE752D"/>
    <w:rsid w:val="00AF0FC9"/>
    <w:rsid w:val="00AF1033"/>
    <w:rsid w:val="00AF39D2"/>
    <w:rsid w:val="00AF61A9"/>
    <w:rsid w:val="00B00BCD"/>
    <w:rsid w:val="00B03003"/>
    <w:rsid w:val="00B12CEE"/>
    <w:rsid w:val="00B1358B"/>
    <w:rsid w:val="00B1593B"/>
    <w:rsid w:val="00B1670A"/>
    <w:rsid w:val="00B17005"/>
    <w:rsid w:val="00B17573"/>
    <w:rsid w:val="00B22275"/>
    <w:rsid w:val="00B266D1"/>
    <w:rsid w:val="00B27C43"/>
    <w:rsid w:val="00B30F84"/>
    <w:rsid w:val="00B312DA"/>
    <w:rsid w:val="00B31565"/>
    <w:rsid w:val="00B37504"/>
    <w:rsid w:val="00B44B7A"/>
    <w:rsid w:val="00B50F28"/>
    <w:rsid w:val="00B51C2B"/>
    <w:rsid w:val="00B51F03"/>
    <w:rsid w:val="00B53D91"/>
    <w:rsid w:val="00B54991"/>
    <w:rsid w:val="00B55CCD"/>
    <w:rsid w:val="00B55D78"/>
    <w:rsid w:val="00B61EDF"/>
    <w:rsid w:val="00B62188"/>
    <w:rsid w:val="00B62AC0"/>
    <w:rsid w:val="00B66CF5"/>
    <w:rsid w:val="00B735A2"/>
    <w:rsid w:val="00B803D5"/>
    <w:rsid w:val="00B8513A"/>
    <w:rsid w:val="00B85869"/>
    <w:rsid w:val="00B865BE"/>
    <w:rsid w:val="00B925DB"/>
    <w:rsid w:val="00BA2396"/>
    <w:rsid w:val="00BA548C"/>
    <w:rsid w:val="00BA5B99"/>
    <w:rsid w:val="00BA7304"/>
    <w:rsid w:val="00BB0999"/>
    <w:rsid w:val="00BB16D1"/>
    <w:rsid w:val="00BB2F2F"/>
    <w:rsid w:val="00BB49BB"/>
    <w:rsid w:val="00BC2261"/>
    <w:rsid w:val="00BC524D"/>
    <w:rsid w:val="00BC56E0"/>
    <w:rsid w:val="00BD093A"/>
    <w:rsid w:val="00BD3FD0"/>
    <w:rsid w:val="00BD6617"/>
    <w:rsid w:val="00BE45D0"/>
    <w:rsid w:val="00BE4776"/>
    <w:rsid w:val="00BE5A04"/>
    <w:rsid w:val="00BF07A8"/>
    <w:rsid w:val="00BF1A3D"/>
    <w:rsid w:val="00BF2F45"/>
    <w:rsid w:val="00C02631"/>
    <w:rsid w:val="00C02649"/>
    <w:rsid w:val="00C02670"/>
    <w:rsid w:val="00C03962"/>
    <w:rsid w:val="00C0444A"/>
    <w:rsid w:val="00C0471D"/>
    <w:rsid w:val="00C05B3F"/>
    <w:rsid w:val="00C05ECF"/>
    <w:rsid w:val="00C13B3F"/>
    <w:rsid w:val="00C16981"/>
    <w:rsid w:val="00C17EEB"/>
    <w:rsid w:val="00C20D60"/>
    <w:rsid w:val="00C210E8"/>
    <w:rsid w:val="00C22674"/>
    <w:rsid w:val="00C26741"/>
    <w:rsid w:val="00C2707E"/>
    <w:rsid w:val="00C30FC5"/>
    <w:rsid w:val="00C33D97"/>
    <w:rsid w:val="00C3584A"/>
    <w:rsid w:val="00C35855"/>
    <w:rsid w:val="00C372E0"/>
    <w:rsid w:val="00C4291A"/>
    <w:rsid w:val="00C43E4C"/>
    <w:rsid w:val="00C47A2B"/>
    <w:rsid w:val="00C52513"/>
    <w:rsid w:val="00C53B36"/>
    <w:rsid w:val="00C53E28"/>
    <w:rsid w:val="00C55E08"/>
    <w:rsid w:val="00C70FDC"/>
    <w:rsid w:val="00C72AD2"/>
    <w:rsid w:val="00C742D7"/>
    <w:rsid w:val="00C7615E"/>
    <w:rsid w:val="00C765A2"/>
    <w:rsid w:val="00C76822"/>
    <w:rsid w:val="00C80771"/>
    <w:rsid w:val="00C83159"/>
    <w:rsid w:val="00C911FF"/>
    <w:rsid w:val="00C9189B"/>
    <w:rsid w:val="00C930C9"/>
    <w:rsid w:val="00CA1DE7"/>
    <w:rsid w:val="00CA2656"/>
    <w:rsid w:val="00CA36D7"/>
    <w:rsid w:val="00CA3798"/>
    <w:rsid w:val="00CA420C"/>
    <w:rsid w:val="00CA66CE"/>
    <w:rsid w:val="00CB0ADA"/>
    <w:rsid w:val="00CB59EE"/>
    <w:rsid w:val="00CB690A"/>
    <w:rsid w:val="00CC0092"/>
    <w:rsid w:val="00CC0BB8"/>
    <w:rsid w:val="00CC10AF"/>
    <w:rsid w:val="00CC4B40"/>
    <w:rsid w:val="00CC708E"/>
    <w:rsid w:val="00CD21D3"/>
    <w:rsid w:val="00CD2B57"/>
    <w:rsid w:val="00CD457D"/>
    <w:rsid w:val="00CD6886"/>
    <w:rsid w:val="00CD7D17"/>
    <w:rsid w:val="00CE057B"/>
    <w:rsid w:val="00CE3D07"/>
    <w:rsid w:val="00CF1129"/>
    <w:rsid w:val="00CF1EEE"/>
    <w:rsid w:val="00CF4A3B"/>
    <w:rsid w:val="00CF4BC4"/>
    <w:rsid w:val="00CF669E"/>
    <w:rsid w:val="00D00FAF"/>
    <w:rsid w:val="00D06166"/>
    <w:rsid w:val="00D06A31"/>
    <w:rsid w:val="00D075B1"/>
    <w:rsid w:val="00D10372"/>
    <w:rsid w:val="00D15181"/>
    <w:rsid w:val="00D1778A"/>
    <w:rsid w:val="00D26B9E"/>
    <w:rsid w:val="00D27D5F"/>
    <w:rsid w:val="00D30039"/>
    <w:rsid w:val="00D30AA6"/>
    <w:rsid w:val="00D30C4F"/>
    <w:rsid w:val="00D32210"/>
    <w:rsid w:val="00D36884"/>
    <w:rsid w:val="00D36927"/>
    <w:rsid w:val="00D4025D"/>
    <w:rsid w:val="00D46C39"/>
    <w:rsid w:val="00D512AC"/>
    <w:rsid w:val="00D529D0"/>
    <w:rsid w:val="00D56BCA"/>
    <w:rsid w:val="00D64742"/>
    <w:rsid w:val="00D65884"/>
    <w:rsid w:val="00D65FE3"/>
    <w:rsid w:val="00D70290"/>
    <w:rsid w:val="00D74F4E"/>
    <w:rsid w:val="00D75107"/>
    <w:rsid w:val="00D75175"/>
    <w:rsid w:val="00D8406B"/>
    <w:rsid w:val="00D84F94"/>
    <w:rsid w:val="00D8769E"/>
    <w:rsid w:val="00D905B3"/>
    <w:rsid w:val="00D97514"/>
    <w:rsid w:val="00DA3AEE"/>
    <w:rsid w:val="00DA52DF"/>
    <w:rsid w:val="00DA74C8"/>
    <w:rsid w:val="00DB4582"/>
    <w:rsid w:val="00DB4B81"/>
    <w:rsid w:val="00DB6E38"/>
    <w:rsid w:val="00DC0799"/>
    <w:rsid w:val="00DC218D"/>
    <w:rsid w:val="00DC2741"/>
    <w:rsid w:val="00DC64BB"/>
    <w:rsid w:val="00DD4361"/>
    <w:rsid w:val="00DD52BB"/>
    <w:rsid w:val="00DD55DD"/>
    <w:rsid w:val="00DD5B66"/>
    <w:rsid w:val="00DE3A5D"/>
    <w:rsid w:val="00DE688B"/>
    <w:rsid w:val="00DE6D53"/>
    <w:rsid w:val="00DF3AD8"/>
    <w:rsid w:val="00DF6852"/>
    <w:rsid w:val="00DF72A0"/>
    <w:rsid w:val="00E00990"/>
    <w:rsid w:val="00E00FCE"/>
    <w:rsid w:val="00E05E19"/>
    <w:rsid w:val="00E07933"/>
    <w:rsid w:val="00E15DC3"/>
    <w:rsid w:val="00E16A45"/>
    <w:rsid w:val="00E16E36"/>
    <w:rsid w:val="00E17B34"/>
    <w:rsid w:val="00E206A6"/>
    <w:rsid w:val="00E21EA5"/>
    <w:rsid w:val="00E25078"/>
    <w:rsid w:val="00E31017"/>
    <w:rsid w:val="00E320B7"/>
    <w:rsid w:val="00E32D1A"/>
    <w:rsid w:val="00E3786F"/>
    <w:rsid w:val="00E40140"/>
    <w:rsid w:val="00E416DD"/>
    <w:rsid w:val="00E41AF4"/>
    <w:rsid w:val="00E41DEA"/>
    <w:rsid w:val="00E438C4"/>
    <w:rsid w:val="00E52992"/>
    <w:rsid w:val="00E54D84"/>
    <w:rsid w:val="00E5668B"/>
    <w:rsid w:val="00E56C0A"/>
    <w:rsid w:val="00E60942"/>
    <w:rsid w:val="00E60C89"/>
    <w:rsid w:val="00E62890"/>
    <w:rsid w:val="00E65033"/>
    <w:rsid w:val="00E66FE7"/>
    <w:rsid w:val="00E70519"/>
    <w:rsid w:val="00E734F8"/>
    <w:rsid w:val="00E737F4"/>
    <w:rsid w:val="00E73A3B"/>
    <w:rsid w:val="00E75BA0"/>
    <w:rsid w:val="00E75E09"/>
    <w:rsid w:val="00E775D0"/>
    <w:rsid w:val="00E81881"/>
    <w:rsid w:val="00E86DE4"/>
    <w:rsid w:val="00E932C5"/>
    <w:rsid w:val="00E9366A"/>
    <w:rsid w:val="00E957AF"/>
    <w:rsid w:val="00E959A0"/>
    <w:rsid w:val="00E97D48"/>
    <w:rsid w:val="00EA203A"/>
    <w:rsid w:val="00EA60A4"/>
    <w:rsid w:val="00EB0DBA"/>
    <w:rsid w:val="00EB1E0F"/>
    <w:rsid w:val="00EB2371"/>
    <w:rsid w:val="00EB64CF"/>
    <w:rsid w:val="00EC50F9"/>
    <w:rsid w:val="00EC6387"/>
    <w:rsid w:val="00EC7743"/>
    <w:rsid w:val="00ED6B6B"/>
    <w:rsid w:val="00ED79AB"/>
    <w:rsid w:val="00EE3615"/>
    <w:rsid w:val="00EE7CCD"/>
    <w:rsid w:val="00F01946"/>
    <w:rsid w:val="00F028C8"/>
    <w:rsid w:val="00F04904"/>
    <w:rsid w:val="00F050DD"/>
    <w:rsid w:val="00F10078"/>
    <w:rsid w:val="00F13C79"/>
    <w:rsid w:val="00F20061"/>
    <w:rsid w:val="00F23364"/>
    <w:rsid w:val="00F24CD8"/>
    <w:rsid w:val="00F26365"/>
    <w:rsid w:val="00F26371"/>
    <w:rsid w:val="00F2682B"/>
    <w:rsid w:val="00F30DA8"/>
    <w:rsid w:val="00F34BF9"/>
    <w:rsid w:val="00F34C1F"/>
    <w:rsid w:val="00F356A1"/>
    <w:rsid w:val="00F3772B"/>
    <w:rsid w:val="00F415D8"/>
    <w:rsid w:val="00F47E87"/>
    <w:rsid w:val="00F52B19"/>
    <w:rsid w:val="00F569A8"/>
    <w:rsid w:val="00F63C29"/>
    <w:rsid w:val="00F650AE"/>
    <w:rsid w:val="00F7579D"/>
    <w:rsid w:val="00F81778"/>
    <w:rsid w:val="00F82800"/>
    <w:rsid w:val="00F862A9"/>
    <w:rsid w:val="00F91F2D"/>
    <w:rsid w:val="00FA2519"/>
    <w:rsid w:val="00FA37DB"/>
    <w:rsid w:val="00FA4732"/>
    <w:rsid w:val="00FA4BE4"/>
    <w:rsid w:val="00FA4CB6"/>
    <w:rsid w:val="00FA7B41"/>
    <w:rsid w:val="00FB1A8E"/>
    <w:rsid w:val="00FB1C79"/>
    <w:rsid w:val="00FB33B1"/>
    <w:rsid w:val="00FB3B0E"/>
    <w:rsid w:val="00FB4686"/>
    <w:rsid w:val="00FC2ADF"/>
    <w:rsid w:val="00FC3AF0"/>
    <w:rsid w:val="00FC3EF8"/>
    <w:rsid w:val="00FC72B7"/>
    <w:rsid w:val="00FD320C"/>
    <w:rsid w:val="00FD6827"/>
    <w:rsid w:val="00FD688E"/>
    <w:rsid w:val="00FE3BAE"/>
    <w:rsid w:val="00FF0C1E"/>
    <w:rsid w:val="00FF120D"/>
    <w:rsid w:val="00FF1EFD"/>
    <w:rsid w:val="00FF3A51"/>
    <w:rsid w:val="00FF7EF0"/>
    <w:rsid w:val="53B8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D4BD0D41-9FE7-4A92-82C6-B8B20EBC3A3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062"/>
    <w:rPr>
      <w:sz w:val="24"/>
      <w:szCs w:val="24"/>
    </w:rPr>
  </w:style>
  <w:style w:type="paragraph" w:styleId="Heading1">
    <w:name w:val="heading 1"/>
    <w:basedOn w:val="Normal"/>
    <w:next w:val="Normal"/>
    <w:link w:val="Heading1Char"/>
    <w:qFormat/>
    <w:rsid w:val="00E932C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uiPriority w:val="99"/>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760970"/>
    <w:pPr>
      <w:autoSpaceDE w:val="0"/>
      <w:autoSpaceDN w:val="0"/>
      <w:adjustRightInd w:val="0"/>
    </w:pPr>
    <w:rPr>
      <w:color w:val="000000"/>
      <w:sz w:val="24"/>
      <w:szCs w:val="24"/>
    </w:rPr>
  </w:style>
  <w:style w:type="paragraph" w:styleId="ListBullet">
    <w:name w:val="List Bullet"/>
    <w:basedOn w:val="Normal"/>
    <w:unhideWhenUsed/>
    <w:rsid w:val="0005289D"/>
    <w:pPr>
      <w:numPr>
        <w:numId w:val="11"/>
      </w:numPr>
      <w:contextualSpacing/>
    </w:pPr>
  </w:style>
  <w:style w:type="character" w:customStyle="1" w:styleId="Heading1Char">
    <w:name w:val="Heading 1 Char"/>
    <w:basedOn w:val="DefaultParagraphFont"/>
    <w:link w:val="Heading1"/>
    <w:rsid w:val="00E932C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E3062"/>
    <w:pPr>
      <w:spacing w:line="259" w:lineRule="auto"/>
      <w:outlineLvl w:val="9"/>
    </w:pPr>
  </w:style>
  <w:style w:type="paragraph" w:styleId="TOC2">
    <w:name w:val="toc 2"/>
    <w:basedOn w:val="Normal"/>
    <w:next w:val="Normal"/>
    <w:autoRedefine/>
    <w:uiPriority w:val="39"/>
    <w:unhideWhenUsed/>
    <w:rsid w:val="003E3062"/>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3E3062"/>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3E3062"/>
    <w:pPr>
      <w:spacing w:after="100" w:line="259" w:lineRule="auto"/>
      <w:ind w:left="440"/>
    </w:pPr>
    <w:rPr>
      <w:rFonts w:asciiTheme="minorHAnsi" w:eastAsiaTheme="minorEastAsia" w:hAnsiTheme="minorHAnsi"/>
      <w:sz w:val="22"/>
      <w:szCs w:val="22"/>
    </w:rPr>
  </w:style>
  <w:style w:type="paragraph" w:styleId="Subtitle">
    <w:name w:val="Subtitle"/>
    <w:basedOn w:val="Normal"/>
    <w:next w:val="Normal"/>
    <w:link w:val="SubtitleChar"/>
    <w:qFormat/>
    <w:rsid w:val="00C53E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53E28"/>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qFormat/>
    <w:rsid w:val="003A3185"/>
    <w:rPr>
      <w:b/>
      <w:bCs/>
    </w:rPr>
  </w:style>
  <w:style w:type="paragraph" w:customStyle="1" w:styleId="Style1forICOMPS">
    <w:name w:val="Style1 for ICOMPS"/>
    <w:basedOn w:val="Normal"/>
    <w:link w:val="Style1forICOMPSChar"/>
    <w:qFormat/>
    <w:rsid w:val="0067412B"/>
    <w:pPr>
      <w:jc w:val="center"/>
    </w:pPr>
    <w:rPr>
      <w:rFonts w:ascii="Arial" w:hAnsi="Arial"/>
      <w:b/>
    </w:rPr>
  </w:style>
  <w:style w:type="character" w:customStyle="1" w:styleId="Style1forICOMPSChar">
    <w:name w:val="Style1 for ICOMPS Char"/>
    <w:basedOn w:val="DefaultParagraphFont"/>
    <w:link w:val="Style1forICOMPS"/>
    <w:rsid w:val="0067412B"/>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customXml/itemProps2.xml><?xml version="1.0" encoding="utf-8"?>
<ds:datastoreItem xmlns:ds="http://schemas.openxmlformats.org/officeDocument/2006/customXml" ds:itemID="{E74CB4F8-84AB-4DF0-80F4-87C7AB606E05}">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3.xml><?xml version="1.0" encoding="utf-8"?>
<ds:datastoreItem xmlns:ds="http://schemas.openxmlformats.org/officeDocument/2006/customXml" ds:itemID="{2BBCE401-1DDD-466B-B748-781867210541}">
  <ds:schemaRefs>
    <ds:schemaRef ds:uri="http://schemas.microsoft.com/sharepoint/v3/contenttype/forms"/>
  </ds:schemaRefs>
</ds:datastoreItem>
</file>

<file path=customXml/itemProps4.xml><?xml version="1.0" encoding="utf-8"?>
<ds:datastoreItem xmlns:ds="http://schemas.openxmlformats.org/officeDocument/2006/customXml" ds:itemID="{7E21862D-0D1F-4D96-B61C-1CD64FCFC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6641</ap:Words>
  <ap:Characters>37858</ap:Characters>
  <ap:Application>Microsoft Office Word</ap:Application>
  <ap:DocSecurity>0</ap:DocSecurity>
  <ap:Lines>315</ap:Lines>
  <ap:Paragraphs>88</ap:Paragraphs>
  <ap:ScaleCrop>false</ap:ScaleCrop>
  <ap:Company/>
  <ap:LinksUpToDate>false</ap:LinksUpToDate>
  <ap:CharactersWithSpaces>44411</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2026-07-21T14:36:49Z</dcterms:created>
  <dcterms:modified xsi:type="dcterms:W3CDTF">2026-07-21T14:36:49Z</dcterms:modified>
</cp:coreProperties>
</file>